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F22A1D" w:rsidRPr="00B719AD" w14:paraId="2B6837B5" w14:textId="77777777" w:rsidTr="001E03EE">
        <w:trPr>
          <w:cantSplit/>
          <w:trHeight w:val="1240"/>
        </w:trPr>
        <w:tc>
          <w:tcPr>
            <w:tcW w:w="4785" w:type="dxa"/>
            <w:gridSpan w:val="2"/>
            <w:tcBorders>
              <w:top w:val="nil"/>
              <w:left w:val="nil"/>
              <w:bottom w:val="nil"/>
              <w:right w:val="nil"/>
            </w:tcBorders>
            <w:vAlign w:val="center"/>
          </w:tcPr>
          <w:p w14:paraId="2340466F" w14:textId="48C1B4D5" w:rsidR="00F22A1D" w:rsidRPr="00F22A1D" w:rsidRDefault="00F22A1D" w:rsidP="00F22A1D">
            <w:pPr>
              <w:pStyle w:val="ECCLetterHead"/>
            </w:pPr>
          </w:p>
        </w:tc>
        <w:tc>
          <w:tcPr>
            <w:tcW w:w="4996" w:type="dxa"/>
            <w:tcBorders>
              <w:top w:val="nil"/>
              <w:left w:val="nil"/>
              <w:bottom w:val="nil"/>
              <w:right w:val="nil"/>
            </w:tcBorders>
          </w:tcPr>
          <w:p w14:paraId="73DAC944" w14:textId="44268816" w:rsidR="00F22A1D" w:rsidRPr="00F22A1D" w:rsidRDefault="00F22A1D" w:rsidP="00D70059">
            <w:pPr>
              <w:pStyle w:val="ECCLetterHead"/>
            </w:pPr>
            <w:r w:rsidRPr="00B719AD">
              <w:tab/>
            </w:r>
            <w:r w:rsidRPr="00F22A1D">
              <w:t>Doc. CPG(18)</w:t>
            </w:r>
            <w:r w:rsidR="00D70059">
              <w:t>073 ANNEX IV-21A</w:t>
            </w:r>
          </w:p>
        </w:tc>
      </w:tr>
      <w:tr w:rsidR="00F22A1D" w:rsidRPr="00B719AD" w14:paraId="7127F546" w14:textId="77777777" w:rsidTr="006E7F79">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582DD3EC" w14:textId="2F151B76" w:rsidR="00F22A1D" w:rsidRPr="00F22A1D" w:rsidRDefault="00F22A1D" w:rsidP="00CB31C6">
            <w:pPr>
              <w:pStyle w:val="ECCLetterHead"/>
            </w:pPr>
            <w:r w:rsidRPr="00B719AD">
              <w:t>CP</w:t>
            </w:r>
            <w:r w:rsidR="00CB31C6">
              <w:t>G</w:t>
            </w:r>
            <w:r w:rsidRPr="00B719AD">
              <w:t>19-</w:t>
            </w:r>
            <w:r w:rsidRPr="00F22A1D">
              <w:t>7</w:t>
            </w:r>
          </w:p>
        </w:tc>
      </w:tr>
      <w:tr w:rsidR="00F22A1D" w:rsidRPr="00B719AD" w14:paraId="11792A3E" w14:textId="77777777" w:rsidTr="006E7F79">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24F977E4" w14:textId="314BA900" w:rsidR="00F22A1D" w:rsidRPr="00F22A1D" w:rsidRDefault="00F22A1D" w:rsidP="00F22A1D">
            <w:pPr>
              <w:pStyle w:val="ECCLetterHead"/>
            </w:pPr>
            <w:r w:rsidRPr="00B719AD">
              <w:t>H</w:t>
            </w:r>
            <w:r w:rsidR="00D70059">
              <w:t>ilversum, The Netherlands, 26</w:t>
            </w:r>
            <w:r w:rsidR="00D70059" w:rsidRPr="00D70059">
              <w:rPr>
                <w:vertAlign w:val="superscript"/>
              </w:rPr>
              <w:t>th</w:t>
            </w:r>
            <w:r w:rsidR="00D70059">
              <w:t xml:space="preserve"> - 30</w:t>
            </w:r>
            <w:r w:rsidR="00D70059" w:rsidRPr="00D70059">
              <w:rPr>
                <w:vertAlign w:val="superscript"/>
              </w:rPr>
              <w:t>th</w:t>
            </w:r>
            <w:r w:rsidR="00D70059">
              <w:t xml:space="preserve"> </w:t>
            </w:r>
            <w:r w:rsidRPr="00B719AD">
              <w:t>November 2018</w:t>
            </w:r>
          </w:p>
        </w:tc>
      </w:tr>
      <w:tr w:rsidR="00F22A1D" w:rsidRPr="00B719AD" w14:paraId="35F87806" w14:textId="77777777" w:rsidTr="006E7F79">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705639C7" w14:textId="77777777" w:rsidR="00F22A1D" w:rsidRPr="00B719AD" w:rsidRDefault="00F22A1D" w:rsidP="00F22A1D">
            <w:pPr>
              <w:pStyle w:val="ECCLetterHead"/>
            </w:pPr>
          </w:p>
        </w:tc>
        <w:tc>
          <w:tcPr>
            <w:tcW w:w="4996" w:type="dxa"/>
            <w:tcBorders>
              <w:top w:val="nil"/>
              <w:left w:val="nil"/>
              <w:bottom w:val="nil"/>
              <w:right w:val="nil"/>
            </w:tcBorders>
            <w:vAlign w:val="center"/>
          </w:tcPr>
          <w:p w14:paraId="36F37C68" w14:textId="77777777" w:rsidR="00F22A1D" w:rsidRPr="00B719AD" w:rsidRDefault="00F22A1D" w:rsidP="00F22A1D">
            <w:pPr>
              <w:pStyle w:val="ECCLetterHead"/>
            </w:pPr>
          </w:p>
        </w:tc>
      </w:tr>
      <w:tr w:rsidR="00F22A1D" w:rsidRPr="00B719AD" w14:paraId="3E59D3F9" w14:textId="77777777" w:rsidTr="006E7F79">
        <w:tblPrEx>
          <w:tblCellMar>
            <w:left w:w="108" w:type="dxa"/>
            <w:right w:w="108" w:type="dxa"/>
          </w:tblCellMar>
        </w:tblPrEx>
        <w:trPr>
          <w:cantSplit/>
          <w:trHeight w:val="405"/>
        </w:trPr>
        <w:tc>
          <w:tcPr>
            <w:tcW w:w="1694" w:type="dxa"/>
            <w:tcBorders>
              <w:top w:val="nil"/>
              <w:left w:val="nil"/>
              <w:bottom w:val="nil"/>
              <w:right w:val="nil"/>
            </w:tcBorders>
            <w:vAlign w:val="center"/>
          </w:tcPr>
          <w:p w14:paraId="18215AA5" w14:textId="77777777" w:rsidR="00F22A1D" w:rsidRPr="00F22A1D" w:rsidRDefault="00F22A1D" w:rsidP="00F22A1D">
            <w:pPr>
              <w:pStyle w:val="ECCLetterHead"/>
            </w:pPr>
            <w:r w:rsidRPr="00B719AD">
              <w:t xml:space="preserve">Date issued: </w:t>
            </w:r>
          </w:p>
        </w:tc>
        <w:tc>
          <w:tcPr>
            <w:tcW w:w="8087" w:type="dxa"/>
            <w:gridSpan w:val="2"/>
            <w:tcBorders>
              <w:top w:val="nil"/>
              <w:left w:val="nil"/>
              <w:bottom w:val="nil"/>
              <w:right w:val="nil"/>
            </w:tcBorders>
            <w:vAlign w:val="center"/>
          </w:tcPr>
          <w:p w14:paraId="529F24F6" w14:textId="7A85FA74" w:rsidR="00F22A1D" w:rsidRPr="00B719AD" w:rsidRDefault="00D70059" w:rsidP="00F22A1D">
            <w:pPr>
              <w:pStyle w:val="ECCLetterHead"/>
            </w:pPr>
            <w:r>
              <w:t>30</w:t>
            </w:r>
            <w:r w:rsidRPr="00D70059">
              <w:rPr>
                <w:vertAlign w:val="superscript"/>
              </w:rPr>
              <w:t>th</w:t>
            </w:r>
            <w:r>
              <w:t xml:space="preserve"> November 2018</w:t>
            </w:r>
          </w:p>
        </w:tc>
      </w:tr>
      <w:tr w:rsidR="00F22A1D" w:rsidRPr="00B719AD" w14:paraId="2F3F435C" w14:textId="77777777" w:rsidTr="006E7F79">
        <w:tblPrEx>
          <w:tblCellMar>
            <w:left w:w="108" w:type="dxa"/>
            <w:right w:w="108" w:type="dxa"/>
          </w:tblCellMar>
        </w:tblPrEx>
        <w:trPr>
          <w:cantSplit/>
          <w:trHeight w:val="405"/>
        </w:trPr>
        <w:tc>
          <w:tcPr>
            <w:tcW w:w="1694" w:type="dxa"/>
            <w:tcBorders>
              <w:top w:val="nil"/>
              <w:left w:val="nil"/>
              <w:bottom w:val="nil"/>
              <w:right w:val="nil"/>
            </w:tcBorders>
            <w:vAlign w:val="center"/>
          </w:tcPr>
          <w:p w14:paraId="1725D2CC" w14:textId="77777777" w:rsidR="00F22A1D" w:rsidRPr="00F22A1D" w:rsidRDefault="00F22A1D" w:rsidP="00F22A1D">
            <w:pPr>
              <w:pStyle w:val="ECCLetterHead"/>
            </w:pPr>
            <w:r w:rsidRPr="00B719AD">
              <w:t xml:space="preserve">Source: </w:t>
            </w:r>
          </w:p>
        </w:tc>
        <w:tc>
          <w:tcPr>
            <w:tcW w:w="8087" w:type="dxa"/>
            <w:gridSpan w:val="2"/>
            <w:tcBorders>
              <w:top w:val="nil"/>
              <w:left w:val="nil"/>
              <w:bottom w:val="nil"/>
              <w:right w:val="nil"/>
            </w:tcBorders>
            <w:vAlign w:val="center"/>
          </w:tcPr>
          <w:p w14:paraId="21149FB2" w14:textId="35AC5D54" w:rsidR="00F22A1D" w:rsidRPr="00F22A1D" w:rsidRDefault="00D70059" w:rsidP="00F22A1D">
            <w:pPr>
              <w:pStyle w:val="ECCLetterHead"/>
            </w:pPr>
            <w:r>
              <w:t>Minutes CPG19-7</w:t>
            </w:r>
          </w:p>
        </w:tc>
      </w:tr>
      <w:tr w:rsidR="00F22A1D" w:rsidRPr="00B719AD" w14:paraId="46B7C27E" w14:textId="77777777" w:rsidTr="006E7F79">
        <w:tblPrEx>
          <w:tblCellMar>
            <w:left w:w="108" w:type="dxa"/>
            <w:right w:w="108" w:type="dxa"/>
          </w:tblCellMar>
        </w:tblPrEx>
        <w:trPr>
          <w:cantSplit/>
          <w:trHeight w:val="405"/>
        </w:trPr>
        <w:tc>
          <w:tcPr>
            <w:tcW w:w="1694" w:type="dxa"/>
            <w:tcBorders>
              <w:top w:val="nil"/>
              <w:left w:val="nil"/>
              <w:bottom w:val="nil"/>
              <w:right w:val="nil"/>
            </w:tcBorders>
            <w:vAlign w:val="center"/>
          </w:tcPr>
          <w:p w14:paraId="2907F624" w14:textId="77777777" w:rsidR="00F22A1D" w:rsidRPr="00F22A1D" w:rsidRDefault="00F22A1D" w:rsidP="00F22A1D">
            <w:pPr>
              <w:pStyle w:val="ECCLetterHead"/>
            </w:pPr>
            <w:r w:rsidRPr="00B719AD">
              <w:t xml:space="preserve">Subject: </w:t>
            </w:r>
          </w:p>
        </w:tc>
        <w:tc>
          <w:tcPr>
            <w:tcW w:w="8087" w:type="dxa"/>
            <w:gridSpan w:val="2"/>
            <w:tcBorders>
              <w:top w:val="nil"/>
              <w:left w:val="nil"/>
              <w:bottom w:val="nil"/>
              <w:right w:val="nil"/>
            </w:tcBorders>
            <w:vAlign w:val="center"/>
          </w:tcPr>
          <w:p w14:paraId="317A9520" w14:textId="77777777" w:rsidR="00F22A1D" w:rsidRPr="00F22A1D" w:rsidRDefault="00F22A1D" w:rsidP="00F22A1D">
            <w:pPr>
              <w:pStyle w:val="ECCLetterHead"/>
            </w:pPr>
            <w:r w:rsidRPr="00B719AD">
              <w:t>Draft CEPT Brief on WRC-19 Agenda Item 9.1</w:t>
            </w:r>
            <w:r w:rsidRPr="00F22A1D">
              <w:t xml:space="preserve"> Issue 9.1.1</w:t>
            </w:r>
          </w:p>
        </w:tc>
      </w:tr>
      <w:tr w:rsidR="00F22A1D" w:rsidRPr="00B719AD" w14:paraId="4419792E" w14:textId="77777777" w:rsidTr="006E7F79">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12AD3BC2" w14:textId="77777777" w:rsidR="00F22A1D" w:rsidRPr="00B719AD" w:rsidRDefault="00F22A1D" w:rsidP="00F22A1D">
            <w:pPr>
              <w:rPr>
                <w:rStyle w:val="ECCParagraph"/>
              </w:rPr>
            </w:pPr>
          </w:p>
          <w:p w14:paraId="1ADA4F1B" w14:textId="77777777" w:rsidR="00F22A1D" w:rsidRPr="00B719AD" w:rsidRDefault="00F22A1D" w:rsidP="00F22A1D">
            <w:pPr>
              <w:pStyle w:val="ECCLetterHead"/>
            </w:pPr>
          </w:p>
        </w:tc>
      </w:tr>
      <w:tr w:rsidR="00F22A1D" w:rsidRPr="00B719AD" w14:paraId="69F43B21" w14:textId="77777777" w:rsidTr="00367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204AA04C" w14:textId="77777777" w:rsidR="00F22A1D" w:rsidRPr="00F22A1D" w:rsidRDefault="00F22A1D" w:rsidP="00F22A1D">
            <w:pPr>
              <w:pStyle w:val="ECCLetterHead"/>
            </w:pPr>
            <w:r w:rsidRPr="00B719AD">
              <w:t xml:space="preserve">Summary: </w:t>
            </w:r>
          </w:p>
        </w:tc>
      </w:tr>
      <w:tr w:rsidR="00F22A1D" w:rsidRPr="00B719AD" w14:paraId="1D83613F" w14:textId="77777777" w:rsidTr="00367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598D51AE" w14:textId="77777777" w:rsidR="00F22A1D" w:rsidRPr="00B719AD" w:rsidRDefault="00F22A1D" w:rsidP="00F22A1D">
            <w:pPr>
              <w:pStyle w:val="ECCTabletext"/>
            </w:pPr>
          </w:p>
        </w:tc>
      </w:tr>
      <w:tr w:rsidR="00F22A1D" w:rsidRPr="00B719AD" w14:paraId="468C8F96" w14:textId="77777777" w:rsidTr="00367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543669FA" w14:textId="77777777" w:rsidR="00F22A1D" w:rsidRPr="00F22A1D" w:rsidRDefault="00F22A1D" w:rsidP="00F22A1D">
            <w:pPr>
              <w:pStyle w:val="ECCLetterHead"/>
            </w:pPr>
            <w:r w:rsidRPr="00B719AD">
              <w:t>Proposal:</w:t>
            </w:r>
          </w:p>
        </w:tc>
      </w:tr>
      <w:tr w:rsidR="00F22A1D" w:rsidRPr="00B719AD" w14:paraId="0E3CD1BD" w14:textId="77777777" w:rsidTr="00367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196D3953" w14:textId="77777777" w:rsidR="00F22A1D" w:rsidRPr="00B719AD" w:rsidRDefault="00F22A1D" w:rsidP="00F22A1D">
            <w:pPr>
              <w:pStyle w:val="ECCTabletext"/>
            </w:pPr>
          </w:p>
        </w:tc>
      </w:tr>
    </w:tbl>
    <w:p w14:paraId="4E46F60F" w14:textId="77777777" w:rsidR="00B62374" w:rsidRPr="00B719AD" w:rsidRDefault="00AC07C3" w:rsidP="005E075A">
      <w:pPr>
        <w:pStyle w:val="ECCEditorsNote"/>
        <w:numPr>
          <w:ilvl w:val="0"/>
          <w:numId w:val="19"/>
        </w:numPr>
        <w:rPr>
          <w:rFonts w:cs="Arial"/>
          <w:b/>
          <w:bCs/>
          <w:caps/>
          <w:color w:val="D2232A"/>
          <w:kern w:val="32"/>
          <w:szCs w:val="32"/>
          <w:lang w:val="en-GB"/>
        </w:rPr>
      </w:pPr>
      <w:r w:rsidRPr="00B719AD">
        <w:rPr>
          <w:lang w:val="en-GB"/>
        </w:rPr>
        <w:t>The following pages are intended to be compiled in one CEPT Brief on AI 9</w:t>
      </w:r>
      <w:r w:rsidR="00B62374" w:rsidRPr="00B719AD">
        <w:rPr>
          <w:lang w:val="en-GB"/>
        </w:rPr>
        <w:br w:type="page"/>
      </w:r>
    </w:p>
    <w:p w14:paraId="500967F4" w14:textId="77777777" w:rsidR="00CF5DE7" w:rsidRPr="00B719AD" w:rsidRDefault="004331AC">
      <w:pPr>
        <w:pStyle w:val="ECCHeadingnonumbering"/>
        <w:rPr>
          <w:lang w:val="en-GB"/>
        </w:rPr>
      </w:pPr>
      <w:r w:rsidRPr="00B719AD">
        <w:rPr>
          <w:lang w:val="en-GB"/>
        </w:rPr>
        <w:lastRenderedPageBreak/>
        <w:t xml:space="preserve">DRAFT CEPT BRIEF ON AGENDA ITEM 9.1 Issue 9.1.1 </w:t>
      </w:r>
    </w:p>
    <w:p w14:paraId="13E5E36B" w14:textId="77777777" w:rsidR="00CF5DE7" w:rsidRPr="00B719AD" w:rsidRDefault="004331AC">
      <w:pPr>
        <w:rPr>
          <w:rStyle w:val="ECCParagraph"/>
        </w:rPr>
      </w:pPr>
      <w:r w:rsidRPr="00B719AD">
        <w:rPr>
          <w:rStyle w:val="ECCParagraph"/>
        </w:rPr>
        <w:t>9.1.1</w:t>
      </w:r>
      <w:r w:rsidRPr="00B719AD">
        <w:rPr>
          <w:rStyle w:val="ECCParagraph"/>
        </w:rPr>
        <w:tab/>
        <w:t xml:space="preserve">Resolution </w:t>
      </w:r>
      <w:r w:rsidRPr="00B719AD">
        <w:rPr>
          <w:rStyle w:val="ECCHLbold"/>
        </w:rPr>
        <w:t>212 (Rev.WRC-15)</w:t>
      </w:r>
      <w:r w:rsidRPr="00B719AD">
        <w:rPr>
          <w:rStyle w:val="ECCParagraph"/>
        </w:rPr>
        <w:t>. Implementation of International Mobile Telecommunications in the frequency bands 1 885-2 025 MHz and 2 110-2 200 MHz</w:t>
      </w:r>
    </w:p>
    <w:p w14:paraId="7552494C" w14:textId="77777777" w:rsidR="00CF5DE7" w:rsidRPr="00B719AD" w:rsidRDefault="004331AC">
      <w:pPr>
        <w:pStyle w:val="berschrift1"/>
        <w:rPr>
          <w:lang w:val="en-GB"/>
        </w:rPr>
      </w:pPr>
      <w:r w:rsidRPr="00B719AD">
        <w:rPr>
          <w:lang w:val="en-GB"/>
        </w:rPr>
        <w:t>ISSUE</w:t>
      </w:r>
    </w:p>
    <w:p w14:paraId="70D2E91C" w14:textId="15E30CDF" w:rsidR="00CF5DE7" w:rsidRPr="00B719AD" w:rsidRDefault="00855DFC">
      <w:pPr>
        <w:rPr>
          <w:rStyle w:val="ECCParagraph"/>
        </w:rPr>
      </w:pPr>
      <w:r w:rsidRPr="00B719AD">
        <w:rPr>
          <w:rStyle w:val="ECCParagraph"/>
        </w:rPr>
        <w:t xml:space="preserve">Under agenda item 9.1, issue 9.1.1 </w:t>
      </w:r>
      <w:r w:rsidR="009E3D83" w:rsidRPr="00B719AD">
        <w:rPr>
          <w:rStyle w:val="ECCParagraph"/>
        </w:rPr>
        <w:t>CEPT mem</w:t>
      </w:r>
      <w:r w:rsidRPr="00B719AD">
        <w:rPr>
          <w:rStyle w:val="ECCParagraph"/>
        </w:rPr>
        <w:t>ber states should consider</w:t>
      </w:r>
      <w:r w:rsidR="00E61CA4" w:rsidRPr="00B719AD">
        <w:rPr>
          <w:rStyle w:val="ECCParagraph"/>
        </w:rPr>
        <w:t xml:space="preserve"> </w:t>
      </w:r>
      <w:r w:rsidRPr="00B719AD">
        <w:rPr>
          <w:rStyle w:val="ECCParagraph"/>
        </w:rPr>
        <w:t>the results of the studies of</w:t>
      </w:r>
      <w:r w:rsidR="00E61CA4" w:rsidRPr="00B719AD">
        <w:rPr>
          <w:rStyle w:val="ECCParagraph"/>
        </w:rPr>
        <w:t xml:space="preserve"> </w:t>
      </w:r>
      <w:r w:rsidRPr="00B719AD">
        <w:rPr>
          <w:rStyle w:val="ECCParagraph"/>
        </w:rPr>
        <w:t>possible</w:t>
      </w:r>
      <w:r w:rsidR="004331AC" w:rsidRPr="00B719AD">
        <w:rPr>
          <w:rStyle w:val="ECCParagraph"/>
        </w:rPr>
        <w:t xml:space="preserve"> technical and operational measures to ensure the co-existence and compatibility between the satellite and terrestrial components of IMT in </w:t>
      </w:r>
      <w:r w:rsidR="00DA511B">
        <w:rPr>
          <w:rStyle w:val="ECCParagraph"/>
        </w:rPr>
        <w:t xml:space="preserve">the </w:t>
      </w:r>
      <w:r w:rsidR="004331AC" w:rsidRPr="00B719AD">
        <w:rPr>
          <w:rStyle w:val="ECCParagraph"/>
        </w:rPr>
        <w:t>1 98</w:t>
      </w:r>
      <w:r w:rsidR="00D70059">
        <w:rPr>
          <w:rStyle w:val="ECCParagraph"/>
        </w:rPr>
        <w:t xml:space="preserve">0-2 010 MHz and 2 170-2 200 MHz </w:t>
      </w:r>
      <w:r w:rsidR="00D70059">
        <w:rPr>
          <w:rStyle w:val="ECCParagraph"/>
        </w:rPr>
        <w:t xml:space="preserve">bands </w:t>
      </w:r>
      <w:r w:rsidR="004331AC" w:rsidRPr="00B719AD">
        <w:rPr>
          <w:rStyle w:val="ECCParagraph"/>
        </w:rPr>
        <w:t>in different countries.</w:t>
      </w:r>
    </w:p>
    <w:p w14:paraId="6645C4CA" w14:textId="77777777" w:rsidR="00CF5DE7" w:rsidRPr="00B719AD" w:rsidRDefault="004331AC">
      <w:pPr>
        <w:pStyle w:val="berschrift1"/>
        <w:rPr>
          <w:lang w:val="en-GB"/>
        </w:rPr>
      </w:pPr>
      <w:r w:rsidRPr="00B719AD">
        <w:rPr>
          <w:lang w:val="en-GB"/>
        </w:rPr>
        <w:t xml:space="preserve">Preliminary CEPT position </w:t>
      </w:r>
    </w:p>
    <w:p w14:paraId="26462815" w14:textId="42718188" w:rsidR="00E61CA4" w:rsidRPr="00B719AD" w:rsidRDefault="00E61CA4" w:rsidP="00103CB3">
      <w:pPr>
        <w:rPr>
          <w:rStyle w:val="ECCParagraph"/>
        </w:rPr>
      </w:pPr>
      <w:r w:rsidRPr="00B719AD">
        <w:rPr>
          <w:rStyle w:val="ECCParagraph"/>
        </w:rPr>
        <w:t xml:space="preserve">CEPT supports adequate measures </w:t>
      </w:r>
      <w:r w:rsidR="00427F22" w:rsidRPr="00B719AD">
        <w:rPr>
          <w:rStyle w:val="ECCParagraph"/>
        </w:rPr>
        <w:t xml:space="preserve">to ensure </w:t>
      </w:r>
      <w:r w:rsidRPr="00B719AD">
        <w:rPr>
          <w:rStyle w:val="ECCParagraph"/>
        </w:rPr>
        <w:t xml:space="preserve">the compatibility and co-existence of the satellite and terrestrial </w:t>
      </w:r>
      <w:r w:rsidR="005A5361" w:rsidRPr="00B719AD">
        <w:t>component</w:t>
      </w:r>
      <w:r w:rsidRPr="00B719AD">
        <w:rPr>
          <w:rStyle w:val="ECCParagraph"/>
        </w:rPr>
        <w:t>s of IMT, taking into account that the bands 1</w:t>
      </w:r>
      <w:r w:rsidR="00DA39DF">
        <w:rPr>
          <w:rStyle w:val="ECCParagraph"/>
        </w:rPr>
        <w:t> </w:t>
      </w:r>
      <w:r w:rsidRPr="00B719AD">
        <w:rPr>
          <w:rStyle w:val="ECCParagraph"/>
        </w:rPr>
        <w:t>980-2</w:t>
      </w:r>
      <w:r w:rsidR="00DA39DF">
        <w:rPr>
          <w:rStyle w:val="ECCParagraph"/>
        </w:rPr>
        <w:t> </w:t>
      </w:r>
      <w:r w:rsidRPr="00B719AD">
        <w:rPr>
          <w:rStyle w:val="ECCParagraph"/>
        </w:rPr>
        <w:t>010 MHz and 2</w:t>
      </w:r>
      <w:r w:rsidR="00DA39DF">
        <w:rPr>
          <w:rStyle w:val="ECCParagraph"/>
        </w:rPr>
        <w:t> </w:t>
      </w:r>
      <w:r w:rsidRPr="00B719AD">
        <w:rPr>
          <w:rStyle w:val="ECCParagraph"/>
        </w:rPr>
        <w:t>170-2</w:t>
      </w:r>
      <w:r w:rsidR="007B3792">
        <w:rPr>
          <w:rStyle w:val="ECCParagraph"/>
        </w:rPr>
        <w:t> </w:t>
      </w:r>
      <w:r w:rsidRPr="00B719AD">
        <w:rPr>
          <w:rStyle w:val="ECCParagraph"/>
        </w:rPr>
        <w:t xml:space="preserve">200 MHz are prioritised for MSS </w:t>
      </w:r>
      <w:r w:rsidR="00F53EAC" w:rsidRPr="00B719AD">
        <w:rPr>
          <w:rStyle w:val="ECCParagraph"/>
        </w:rPr>
        <w:t xml:space="preserve">(mobile satellite service) </w:t>
      </w:r>
      <w:r w:rsidRPr="00B719AD">
        <w:rPr>
          <w:rStyle w:val="ECCParagraph"/>
        </w:rPr>
        <w:t>use in CEPT</w:t>
      </w:r>
      <w:r w:rsidR="0075143D" w:rsidRPr="00B719AD">
        <w:rPr>
          <w:rStyle w:val="ECCParagraph"/>
        </w:rPr>
        <w:t xml:space="preserve"> </w:t>
      </w:r>
      <w:r w:rsidR="0075143D" w:rsidRPr="00B719AD">
        <w:t xml:space="preserve">(see </w:t>
      </w:r>
      <w:r w:rsidR="00D70059">
        <w:t xml:space="preserve">Decisions </w:t>
      </w:r>
      <w:r w:rsidR="0075143D" w:rsidRPr="00B719AD">
        <w:t>ECC/DEC</w:t>
      </w:r>
      <w:proofErr w:type="gramStart"/>
      <w:r w:rsidR="00DA511B">
        <w:t>/</w:t>
      </w:r>
      <w:r w:rsidR="0075143D" w:rsidRPr="00B719AD">
        <w:t>(</w:t>
      </w:r>
      <w:proofErr w:type="gramEnd"/>
      <w:r w:rsidR="0075143D" w:rsidRPr="00B719AD">
        <w:t>06)09</w:t>
      </w:r>
      <w:r w:rsidR="00D70059">
        <w:t>, ECC/DEC/(06)10,</w:t>
      </w:r>
      <w:r w:rsidR="0075143D" w:rsidRPr="00B719AD">
        <w:t xml:space="preserve"> and European Commission Decision 2007/98/EC)</w:t>
      </w:r>
      <w:r w:rsidRPr="00B719AD">
        <w:rPr>
          <w:rStyle w:val="ECCParagraph"/>
        </w:rPr>
        <w:t xml:space="preserve"> while MSS and MS</w:t>
      </w:r>
      <w:r w:rsidR="0075143D" w:rsidRPr="00B719AD">
        <w:rPr>
          <w:rStyle w:val="ECCParagraph"/>
        </w:rPr>
        <w:t xml:space="preserve"> (mobile service)</w:t>
      </w:r>
      <w:r w:rsidRPr="00B719AD">
        <w:rPr>
          <w:rStyle w:val="ECCParagraph"/>
        </w:rPr>
        <w:t xml:space="preserve"> </w:t>
      </w:r>
      <w:r w:rsidR="00856BF8" w:rsidRPr="00B719AD">
        <w:rPr>
          <w:rStyle w:val="ECCParagraph"/>
        </w:rPr>
        <w:t>have</w:t>
      </w:r>
      <w:r w:rsidRPr="00B719AD">
        <w:rPr>
          <w:rStyle w:val="ECCParagraph"/>
        </w:rPr>
        <w:t xml:space="preserve"> co-primary status </w:t>
      </w:r>
      <w:r w:rsidR="00103CB3" w:rsidRPr="00B719AD">
        <w:rPr>
          <w:rStyle w:val="ECCParagraph"/>
        </w:rPr>
        <w:t>in the RR</w:t>
      </w:r>
      <w:r w:rsidRPr="00B719AD">
        <w:rPr>
          <w:rStyle w:val="ECCParagraph"/>
        </w:rPr>
        <w:t xml:space="preserve">. </w:t>
      </w:r>
    </w:p>
    <w:p w14:paraId="62BC9836" w14:textId="053C05F4" w:rsidR="00D7743E" w:rsidRPr="00B719AD" w:rsidRDefault="00463C3F" w:rsidP="00463C3F">
      <w:pPr>
        <w:rPr>
          <w:rStyle w:val="ECCParagraph"/>
        </w:rPr>
      </w:pPr>
      <w:r w:rsidRPr="00B719AD">
        <w:rPr>
          <w:rStyle w:val="ECCParagraph"/>
        </w:rPr>
        <w:t xml:space="preserve">CEPT is of the view that protection of the MSS uplinks </w:t>
      </w:r>
      <w:r w:rsidR="00D7743E" w:rsidRPr="00B719AD">
        <w:rPr>
          <w:rStyle w:val="ECCParagraph"/>
        </w:rPr>
        <w:t xml:space="preserve">in CEPT countries </w:t>
      </w:r>
      <w:r w:rsidRPr="00B719AD">
        <w:rPr>
          <w:rStyle w:val="ECCParagraph"/>
        </w:rPr>
        <w:t>(</w:t>
      </w:r>
      <w:r w:rsidR="0022735D" w:rsidRPr="00B719AD">
        <w:rPr>
          <w:rStyle w:val="ECCParagraph"/>
        </w:rPr>
        <w:t xml:space="preserve">Interference </w:t>
      </w:r>
      <w:r w:rsidRPr="00B719AD">
        <w:rPr>
          <w:rStyle w:val="ECCParagraph"/>
        </w:rPr>
        <w:t xml:space="preserve">scenario A1) is not ensured by the current Radio Regulations </w:t>
      </w:r>
      <w:r w:rsidR="0068228A" w:rsidRPr="00B719AD">
        <w:rPr>
          <w:rStyle w:val="ECCParagraph"/>
        </w:rPr>
        <w:t>(RR)</w:t>
      </w:r>
      <w:r w:rsidR="00D7743E" w:rsidRPr="00B719AD">
        <w:rPr>
          <w:rStyle w:val="ECCParagraph"/>
        </w:rPr>
        <w:t>.</w:t>
      </w:r>
      <w:r w:rsidR="0022735D" w:rsidRPr="00B719AD">
        <w:rPr>
          <w:rStyle w:val="ECCParagraph"/>
        </w:rPr>
        <w:t xml:space="preserve"> </w:t>
      </w:r>
      <w:r w:rsidR="0004122F" w:rsidRPr="00B719AD">
        <w:rPr>
          <w:rStyle w:val="ECCParagraph"/>
        </w:rPr>
        <w:t xml:space="preserve">There is currently no provision in the RR that would prevent interference from </w:t>
      </w:r>
      <w:r w:rsidR="00EF0BFE">
        <w:rPr>
          <w:rStyle w:val="ECCParagraph"/>
        </w:rPr>
        <w:t xml:space="preserve">IMT </w:t>
      </w:r>
      <w:r w:rsidR="0004122F" w:rsidRPr="00B719AD">
        <w:rPr>
          <w:rStyle w:val="ECCParagraph"/>
        </w:rPr>
        <w:t xml:space="preserve">base stations to </w:t>
      </w:r>
      <w:r w:rsidR="00EF0BFE">
        <w:rPr>
          <w:rStyle w:val="ECCParagraph"/>
        </w:rPr>
        <w:t xml:space="preserve">IMT </w:t>
      </w:r>
      <w:r w:rsidR="0004122F" w:rsidRPr="00B719AD">
        <w:rPr>
          <w:rStyle w:val="ECCParagraph"/>
        </w:rPr>
        <w:t xml:space="preserve">space stations and there is no coordination process between the administration responsible for </w:t>
      </w:r>
      <w:r w:rsidR="00EF0BFE">
        <w:rPr>
          <w:rStyle w:val="ECCParagraph"/>
        </w:rPr>
        <w:t>MS</w:t>
      </w:r>
      <w:r w:rsidR="0004122F" w:rsidRPr="00B719AD">
        <w:rPr>
          <w:rStyle w:val="ECCParagraph"/>
        </w:rPr>
        <w:t xml:space="preserve"> and the administration responsible for </w:t>
      </w:r>
      <w:r w:rsidR="00EF0BFE">
        <w:rPr>
          <w:rStyle w:val="ECCParagraph"/>
        </w:rPr>
        <w:t>MSS</w:t>
      </w:r>
      <w:r w:rsidR="00EF0BFE" w:rsidRPr="00B719AD">
        <w:rPr>
          <w:rStyle w:val="ECCParagraph"/>
        </w:rPr>
        <w:t xml:space="preserve"> </w:t>
      </w:r>
      <w:r w:rsidR="0004122F" w:rsidRPr="00B719AD">
        <w:rPr>
          <w:rStyle w:val="ECCParagraph"/>
        </w:rPr>
        <w:t>and no process to identify the concerned administrations.</w:t>
      </w:r>
      <w:r w:rsidR="003F249E" w:rsidRPr="00B719AD">
        <w:rPr>
          <w:rStyle w:val="ECCParagraph"/>
        </w:rPr>
        <w:t xml:space="preserve"> </w:t>
      </w:r>
      <w:r w:rsidR="0004122F" w:rsidRPr="00B719AD">
        <w:rPr>
          <w:rStyle w:val="ECCParagraph"/>
        </w:rPr>
        <w:t>Therefore p</w:t>
      </w:r>
      <w:r w:rsidR="0068228A" w:rsidRPr="00B719AD">
        <w:rPr>
          <w:rStyle w:val="ECCParagraph"/>
        </w:rPr>
        <w:t xml:space="preserve">otential </w:t>
      </w:r>
      <w:r w:rsidRPr="00B719AD">
        <w:rPr>
          <w:rStyle w:val="ECCParagraph"/>
        </w:rPr>
        <w:t xml:space="preserve">revisions </w:t>
      </w:r>
      <w:r w:rsidR="0068228A" w:rsidRPr="00B719AD">
        <w:rPr>
          <w:rStyle w:val="ECCParagraph"/>
        </w:rPr>
        <w:t xml:space="preserve">to the RR </w:t>
      </w:r>
      <w:r w:rsidRPr="00B719AD">
        <w:rPr>
          <w:rStyle w:val="ECCParagraph"/>
        </w:rPr>
        <w:t>should be developed</w:t>
      </w:r>
      <w:r w:rsidR="00DA511B">
        <w:rPr>
          <w:rStyle w:val="ECCParagraph"/>
        </w:rPr>
        <w:t xml:space="preserve"> at least for Region 1 and 3</w:t>
      </w:r>
      <w:r w:rsidR="0004122F" w:rsidRPr="00B719AD">
        <w:rPr>
          <w:rStyle w:val="ECCParagraph"/>
        </w:rPr>
        <w:t>:</w:t>
      </w:r>
    </w:p>
    <w:p w14:paraId="7FD47595" w14:textId="77777777" w:rsidR="00D7743E" w:rsidRPr="00B719AD" w:rsidRDefault="00463C3F" w:rsidP="00D7743E">
      <w:pPr>
        <w:pStyle w:val="Listenabsatz"/>
        <w:numPr>
          <w:ilvl w:val="0"/>
          <w:numId w:val="38"/>
        </w:numPr>
        <w:rPr>
          <w:rStyle w:val="ECCParagraph"/>
        </w:rPr>
      </w:pPr>
      <w:r w:rsidRPr="00B719AD">
        <w:rPr>
          <w:rStyle w:val="ECCParagraph"/>
        </w:rPr>
        <w:t xml:space="preserve">to </w:t>
      </w:r>
      <w:r w:rsidR="00C90159" w:rsidRPr="00B719AD">
        <w:rPr>
          <w:rStyle w:val="ECCParagraph"/>
        </w:rPr>
        <w:t>ensure that the band 1980-2010 MHz is not used for IMT base station transmitters</w:t>
      </w:r>
      <w:r w:rsidR="00D7743E" w:rsidRPr="00B719AD">
        <w:rPr>
          <w:rStyle w:val="ECCParagraph"/>
        </w:rPr>
        <w:t xml:space="preserve"> or</w:t>
      </w:r>
    </w:p>
    <w:p w14:paraId="0F0B3331" w14:textId="7974EE33" w:rsidR="0004122F" w:rsidRPr="00B719AD" w:rsidRDefault="00D7743E" w:rsidP="0004122F">
      <w:pPr>
        <w:pStyle w:val="Listenabsatz"/>
        <w:numPr>
          <w:ilvl w:val="0"/>
          <w:numId w:val="38"/>
        </w:numPr>
      </w:pPr>
      <w:r w:rsidRPr="00B719AD">
        <w:rPr>
          <w:rStyle w:val="ECCParagraph"/>
        </w:rPr>
        <w:t xml:space="preserve">limiting the </w:t>
      </w:r>
      <w:proofErr w:type="spellStart"/>
      <w:r w:rsidRPr="00B719AD">
        <w:rPr>
          <w:rStyle w:val="ECCParagraph"/>
        </w:rPr>
        <w:t>e.i.r.p</w:t>
      </w:r>
      <w:proofErr w:type="spellEnd"/>
      <w:r w:rsidRPr="00B719AD">
        <w:rPr>
          <w:rStyle w:val="ECCParagraph"/>
        </w:rPr>
        <w:t xml:space="preserve">. of </w:t>
      </w:r>
      <w:r w:rsidR="0022735D" w:rsidRPr="00B719AD">
        <w:rPr>
          <w:rStyle w:val="ECCParagraph"/>
        </w:rPr>
        <w:t xml:space="preserve">IMT base </w:t>
      </w:r>
      <w:r w:rsidRPr="00B719AD">
        <w:rPr>
          <w:rStyle w:val="ECCParagraph"/>
        </w:rPr>
        <w:t>stations in the uplink band (1980-2010 MHz)</w:t>
      </w:r>
    </w:p>
    <w:p w14:paraId="65C4FE19" w14:textId="57FC3D73" w:rsidR="00A36251" w:rsidRPr="00B719AD" w:rsidRDefault="00A36251">
      <w:r w:rsidRPr="00B719AD">
        <w:t xml:space="preserve">CEPT is of the view that </w:t>
      </w:r>
      <w:r w:rsidR="00FF46BD" w:rsidRPr="00B719AD">
        <w:t>potential interference between the terrestrial IMT systems and MSS earth stations and vice versa (</w:t>
      </w:r>
      <w:r w:rsidR="0022735D" w:rsidRPr="00B719AD">
        <w:t>Interference s</w:t>
      </w:r>
      <w:r w:rsidR="00FF46BD" w:rsidRPr="00B719AD">
        <w:t>cenarios A2 and B1) can be managed by cross-border coordination provisions in the RR Appendix 7</w:t>
      </w:r>
      <w:r w:rsidR="009D1AE5" w:rsidRPr="00B719AD">
        <w:t xml:space="preserve"> and there is no requirement for additional regulatory measures</w:t>
      </w:r>
      <w:r w:rsidR="00FF46BD" w:rsidRPr="00B719AD">
        <w:t>.</w:t>
      </w:r>
    </w:p>
    <w:p w14:paraId="6B260C25" w14:textId="56718B81" w:rsidR="00916798" w:rsidRPr="00EB286B" w:rsidRDefault="00916798" w:rsidP="00EB286B">
      <w:r w:rsidRPr="00B719AD">
        <w:rPr>
          <w:rStyle w:val="ECCParagraph"/>
        </w:rPr>
        <w:t xml:space="preserve">CEPT is of the </w:t>
      </w:r>
      <w:r w:rsidR="009D1AE5" w:rsidRPr="00B719AD">
        <w:rPr>
          <w:rStyle w:val="ECCParagraph"/>
        </w:rPr>
        <w:t>view</w:t>
      </w:r>
      <w:r w:rsidRPr="00B719AD">
        <w:rPr>
          <w:rStyle w:val="ECCParagraph"/>
        </w:rPr>
        <w:t xml:space="preserve"> that the</w:t>
      </w:r>
      <w:r w:rsidR="00937778" w:rsidRPr="00B719AD">
        <w:rPr>
          <w:rStyle w:val="ECCParagraph"/>
        </w:rPr>
        <w:t xml:space="preserve"> protection of th</w:t>
      </w:r>
      <w:r w:rsidR="0022735D" w:rsidRPr="00B719AD">
        <w:rPr>
          <w:rStyle w:val="ECCParagraph"/>
        </w:rPr>
        <w:t>e terrestrial component of IMT (I</w:t>
      </w:r>
      <w:r w:rsidR="00937778" w:rsidRPr="00B719AD">
        <w:rPr>
          <w:rStyle w:val="ECCParagraph"/>
        </w:rPr>
        <w:t>nterference scenario B2) could be achieved by using</w:t>
      </w:r>
      <w:r w:rsidRPr="00B719AD">
        <w:rPr>
          <w:rStyle w:val="ECCParagraph"/>
        </w:rPr>
        <w:t xml:space="preserve"> </w:t>
      </w:r>
      <w:r w:rsidR="00C741D7" w:rsidRPr="00B719AD">
        <w:rPr>
          <w:rStyle w:val="ECCParagraph"/>
        </w:rPr>
        <w:t>the current</w:t>
      </w:r>
      <w:r w:rsidRPr="00B719AD">
        <w:rPr>
          <w:rStyle w:val="ECCParagraph"/>
        </w:rPr>
        <w:t xml:space="preserve"> </w:t>
      </w:r>
      <w:r w:rsidR="007235C2" w:rsidRPr="00B719AD">
        <w:rPr>
          <w:rStyle w:val="ECCParagraph"/>
        </w:rPr>
        <w:t xml:space="preserve">space </w:t>
      </w:r>
      <w:r w:rsidRPr="00B719AD">
        <w:rPr>
          <w:rStyle w:val="ECCParagraph"/>
        </w:rPr>
        <w:t xml:space="preserve">station </w:t>
      </w:r>
      <w:proofErr w:type="spellStart"/>
      <w:r w:rsidRPr="00B719AD">
        <w:rPr>
          <w:rStyle w:val="ECCParagraph"/>
        </w:rPr>
        <w:t>pfd</w:t>
      </w:r>
      <w:proofErr w:type="spellEnd"/>
      <w:r w:rsidRPr="00B719AD">
        <w:rPr>
          <w:rStyle w:val="ECCParagraph"/>
        </w:rPr>
        <w:t xml:space="preserve"> thresholds contained</w:t>
      </w:r>
      <w:r w:rsidR="00D2623E">
        <w:rPr>
          <w:rStyle w:val="ECCParagraph"/>
        </w:rPr>
        <w:t xml:space="preserve"> in Table 5-2 of Appendix </w:t>
      </w:r>
      <w:r w:rsidR="00D2623E" w:rsidRPr="00D2623E">
        <w:rPr>
          <w:rStyle w:val="ECCHLbold"/>
        </w:rPr>
        <w:t>5</w:t>
      </w:r>
      <w:r w:rsidR="00D2623E">
        <w:rPr>
          <w:rStyle w:val="ECCParagraph"/>
        </w:rPr>
        <w:t xml:space="preserve"> RR</w:t>
      </w:r>
      <w:r w:rsidR="00D2623E">
        <w:rPr>
          <w:rStyle w:val="ECCParagraph"/>
        </w:rPr>
        <w:t xml:space="preserve">, and </w:t>
      </w:r>
      <w:r w:rsidR="00D2623E" w:rsidRPr="00EB286B">
        <w:t>by removing Note 3 of this table</w:t>
      </w:r>
      <w:r w:rsidR="00BA3D72" w:rsidRPr="00EB286B">
        <w:t xml:space="preserve"> </w:t>
      </w:r>
      <w:r w:rsidR="00D2623E" w:rsidRPr="00EB286B">
        <w:t xml:space="preserve">CEPT is studying a revision of the </w:t>
      </w:r>
      <w:r w:rsidR="00FA7B06" w:rsidRPr="00EB286B">
        <w:t>threshold value</w:t>
      </w:r>
      <w:proofErr w:type="gramStart"/>
      <w:r w:rsidR="001B6B4C" w:rsidRPr="00EB286B">
        <w:t>, ,</w:t>
      </w:r>
      <w:proofErr w:type="gramEnd"/>
      <w:r w:rsidR="00FA7B06" w:rsidRPr="00EB286B">
        <w:t xml:space="preserve"> </w:t>
      </w:r>
      <w:r w:rsidR="001B6B4C" w:rsidRPr="00EB286B">
        <w:t xml:space="preserve">in order to </w:t>
      </w:r>
      <w:r w:rsidR="00FA7B06" w:rsidRPr="00EB286B">
        <w:t>avoid the need of unnecessary coordination by MSS systems with respect to countries which operate terrestrial IMT systems.</w:t>
      </w:r>
    </w:p>
    <w:p w14:paraId="1C182AD8" w14:textId="77777777" w:rsidR="00CF5DE7" w:rsidRPr="00B719AD" w:rsidRDefault="004331AC">
      <w:pPr>
        <w:pStyle w:val="berschrift1"/>
        <w:rPr>
          <w:lang w:val="en-GB"/>
        </w:rPr>
      </w:pPr>
      <w:r w:rsidRPr="00B719AD">
        <w:rPr>
          <w:lang w:val="en-GB"/>
        </w:rPr>
        <w:t xml:space="preserve">Background </w:t>
      </w:r>
    </w:p>
    <w:p w14:paraId="663062DA" w14:textId="77777777" w:rsidR="00CF5DE7" w:rsidRPr="00B719AD" w:rsidRDefault="004331AC">
      <w:pPr>
        <w:pStyle w:val="ECCTabletext"/>
        <w:rPr>
          <w:rStyle w:val="ECCParagraph"/>
        </w:rPr>
      </w:pPr>
      <w:r w:rsidRPr="00B719AD">
        <w:rPr>
          <w:rStyle w:val="ECCParagraph"/>
        </w:rPr>
        <w:t xml:space="preserve">In accordance with Resolution </w:t>
      </w:r>
      <w:r w:rsidRPr="00B719AD">
        <w:rPr>
          <w:rStyle w:val="ECCHLbold"/>
        </w:rPr>
        <w:t>212 (Rev. WRC-15)</w:t>
      </w:r>
      <w:r w:rsidRPr="00B719AD">
        <w:rPr>
          <w:rStyle w:val="ECCParagraph"/>
        </w:rPr>
        <w:t xml:space="preserve"> </w:t>
      </w:r>
      <w:r w:rsidRPr="00B719AD">
        <w:t xml:space="preserve">noting </w:t>
      </w:r>
      <w:r w:rsidRPr="00B719AD">
        <w:rPr>
          <w:rStyle w:val="Hervorhebung"/>
        </w:rPr>
        <w:t>further a) and b)</w:t>
      </w:r>
      <w:r w:rsidRPr="00B719AD">
        <w:rPr>
          <w:rStyle w:val="ECCParagraph"/>
        </w:rPr>
        <w:t>:</w:t>
      </w:r>
    </w:p>
    <w:p w14:paraId="694D42D9" w14:textId="5D01C47B" w:rsidR="00CF5DE7" w:rsidRPr="00B719AD" w:rsidRDefault="004331AC">
      <w:pPr>
        <w:pStyle w:val="ECCBulletsLv1"/>
      </w:pPr>
      <w:r w:rsidRPr="00B719AD">
        <w:rPr>
          <w:rStyle w:val="Hervorhebung"/>
        </w:rPr>
        <w:t xml:space="preserve"> </w:t>
      </w:r>
      <w:r w:rsidRPr="00B719AD">
        <w:t>co</w:t>
      </w:r>
      <w:r w:rsidRPr="00B719AD">
        <w:noBreakHyphen/>
        <w:t>coverage, co-frequency deployment of independent satellite and terrestrial IMT components is not feasible unless techniques, such as the use of an appropriate guard band or other mitigation techniques, are applied to ensure coexistence and compatibility between the terrestrial and satellite components of IMT;</w:t>
      </w:r>
    </w:p>
    <w:p w14:paraId="540A701F" w14:textId="27DB7CC0" w:rsidR="00CF5DE7" w:rsidRPr="00B719AD" w:rsidRDefault="004331AC">
      <w:pPr>
        <w:pStyle w:val="ECCBulletsLv1"/>
        <w:rPr>
          <w:rStyle w:val="ECCParagraph"/>
        </w:rPr>
      </w:pPr>
      <w:r w:rsidRPr="00B719AD">
        <w:t>when the satellite and terrestrial components of IMT are deployed in the frequency bands 1 980-2 010 MHz and 2 170-2 200 MHz in adjacent geographical areas, technical or operational measures may need to be implemented to avoid harmful interference, and further studies by ITU</w:t>
      </w:r>
      <w:r w:rsidRPr="00B719AD">
        <w:noBreakHyphen/>
        <w:t>R are required in this regard.</w:t>
      </w:r>
    </w:p>
    <w:p w14:paraId="2F7C47AE" w14:textId="77777777" w:rsidR="00CF5DE7" w:rsidRPr="00B719AD" w:rsidRDefault="004331AC">
      <w:pPr>
        <w:rPr>
          <w:rStyle w:val="ECCParagraph"/>
        </w:rPr>
      </w:pPr>
      <w:r w:rsidRPr="00B719AD">
        <w:rPr>
          <w:rStyle w:val="ECCParagraph"/>
        </w:rPr>
        <w:t>The bands 1 980-2 010 MHz and 2 170-2 200 MHz are prioritised for MSS use in CEPT.</w:t>
      </w:r>
    </w:p>
    <w:p w14:paraId="4DD69FB3" w14:textId="2A4D91F7" w:rsidR="00CF5DE7" w:rsidRPr="00B719AD" w:rsidRDefault="004331AC">
      <w:pPr>
        <w:rPr>
          <w:rStyle w:val="ECCParagraph"/>
        </w:rPr>
      </w:pPr>
      <w:r w:rsidRPr="00B719AD">
        <w:rPr>
          <w:rStyle w:val="ECCParagraph"/>
        </w:rPr>
        <w:t>In CEPT the bands 1 980-2 010 MHz and 2 170-2 200 MHz are designated to the MSS (see Decision</w:t>
      </w:r>
      <w:r w:rsidR="00D32FF7">
        <w:rPr>
          <w:rStyle w:val="ECCParagraph"/>
        </w:rPr>
        <w:t>s</w:t>
      </w:r>
      <w:r w:rsidRPr="00B719AD">
        <w:rPr>
          <w:rStyle w:val="ECCParagraph"/>
        </w:rPr>
        <w:t xml:space="preserve"> </w:t>
      </w:r>
      <w:r w:rsidR="00D32FF7">
        <w:rPr>
          <w:rStyle w:val="ECCParagraph"/>
        </w:rPr>
        <w:t>ECC/DEC</w:t>
      </w:r>
      <w:proofErr w:type="gramStart"/>
      <w:r w:rsidR="00D32FF7">
        <w:rPr>
          <w:rStyle w:val="ECCParagraph"/>
        </w:rPr>
        <w:t>/</w:t>
      </w:r>
      <w:r w:rsidRPr="00B719AD">
        <w:rPr>
          <w:rStyle w:val="ECCParagraph"/>
        </w:rPr>
        <w:t>(</w:t>
      </w:r>
      <w:proofErr w:type="gramEnd"/>
      <w:r w:rsidRPr="00B719AD">
        <w:rPr>
          <w:rStyle w:val="ECCParagraph"/>
        </w:rPr>
        <w:t>06)09</w:t>
      </w:r>
      <w:r w:rsidR="00D32FF7">
        <w:rPr>
          <w:rStyle w:val="ECCParagraph"/>
        </w:rPr>
        <w:t xml:space="preserve"> and ECC/DEC/(06)10,</w:t>
      </w:r>
      <w:r w:rsidRPr="00B719AD">
        <w:rPr>
          <w:rStyle w:val="ECCParagraph"/>
        </w:rPr>
        <w:t xml:space="preserve"> and European Commission Decision 2007/98/EC). MSS operations </w:t>
      </w:r>
      <w:r w:rsidRPr="00B719AD">
        <w:rPr>
          <w:rStyle w:val="ECCParagraph"/>
        </w:rPr>
        <w:lastRenderedPageBreak/>
        <w:t>may include a “complementary ground component”, however it is a requirement of that Decision that the ground component operates in the same direction as the satellite links (i.e. base station transmit in the MSS downlink band; base station receive in the MSS uplink band). If independent terrestrial mobile systems were to operate in the opposite direction, this would increase the risk of interference.</w:t>
      </w:r>
    </w:p>
    <w:p w14:paraId="0C9B399E" w14:textId="71416847" w:rsidR="00CF5DE7" w:rsidRPr="00B719AD" w:rsidRDefault="004331AC">
      <w:pPr>
        <w:rPr>
          <w:rStyle w:val="ECCParagraph"/>
        </w:rPr>
      </w:pPr>
      <w:r w:rsidRPr="00B719AD">
        <w:rPr>
          <w:rStyle w:val="ECCParagraph"/>
        </w:rPr>
        <w:t xml:space="preserve">ITU-R WP 4C and WP 5D have joint responsibilities for compatibility </w:t>
      </w:r>
      <w:r w:rsidR="005D2194" w:rsidRPr="00B719AD">
        <w:rPr>
          <w:rStyle w:val="ECCParagraph"/>
        </w:rPr>
        <w:t xml:space="preserve">and coexistence </w:t>
      </w:r>
      <w:r w:rsidRPr="00B719AD">
        <w:rPr>
          <w:rStyle w:val="ECCParagraph"/>
        </w:rPr>
        <w:t>s</w:t>
      </w:r>
      <w:r w:rsidR="009B074E" w:rsidRPr="00B719AD">
        <w:rPr>
          <w:rStyle w:val="ECCParagraph"/>
        </w:rPr>
        <w:t xml:space="preserve">tudies under this </w:t>
      </w:r>
      <w:r w:rsidR="00D32FF7">
        <w:rPr>
          <w:rStyle w:val="ECCParagraph"/>
        </w:rPr>
        <w:t>issue</w:t>
      </w:r>
      <w:r w:rsidR="009B074E" w:rsidRPr="00B719AD">
        <w:rPr>
          <w:rStyle w:val="ECCParagraph"/>
        </w:rPr>
        <w:t xml:space="preserve">. </w:t>
      </w:r>
      <w:r w:rsidRPr="00B719AD">
        <w:rPr>
          <w:rStyle w:val="ECCParagraph"/>
        </w:rPr>
        <w:t xml:space="preserve">WP 4C is responsible for the studies with respect to the satellite component of IMT, taking into account the technical and operational characteristics </w:t>
      </w:r>
      <w:r w:rsidR="005D2194" w:rsidRPr="00B719AD">
        <w:rPr>
          <w:rStyle w:val="ECCParagraph"/>
        </w:rPr>
        <w:t xml:space="preserve">of terrestrial component of IMT </w:t>
      </w:r>
      <w:r w:rsidRPr="00B719AD">
        <w:rPr>
          <w:rStyle w:val="ECCParagraph"/>
        </w:rPr>
        <w:t xml:space="preserve">provided by WP 5D, while WP 5D is responsible for the studies with respect to the terrestrial component of IMT, taking into account the technical and operational characteristics </w:t>
      </w:r>
      <w:r w:rsidR="005D2194" w:rsidRPr="00B719AD">
        <w:rPr>
          <w:rStyle w:val="ECCParagraph"/>
        </w:rPr>
        <w:t xml:space="preserve">of satellite component of IMT </w:t>
      </w:r>
      <w:r w:rsidRPr="00B719AD">
        <w:rPr>
          <w:rStyle w:val="ECCParagraph"/>
        </w:rPr>
        <w:t>provided by WP 4C.</w:t>
      </w:r>
    </w:p>
    <w:p w14:paraId="39FE29F5" w14:textId="63255E42" w:rsidR="00CF5DE7" w:rsidRPr="00B719AD" w:rsidRDefault="004331AC">
      <w:pPr>
        <w:rPr>
          <w:rStyle w:val="ECCParagraph"/>
        </w:rPr>
      </w:pPr>
      <w:r w:rsidRPr="00B719AD">
        <w:rPr>
          <w:rStyle w:val="ECCParagraph"/>
        </w:rPr>
        <w:t>Currently WP 4C and WP 5D are developing the Working Document towards the Preliminary Draft New Report or Recommendation ITU-R M</w:t>
      </w:r>
      <w:proofErr w:type="gramStart"/>
      <w:r w:rsidRPr="00B719AD">
        <w:rPr>
          <w:rStyle w:val="ECCParagraph"/>
        </w:rPr>
        <w:t>.[</w:t>
      </w:r>
      <w:proofErr w:type="gramEnd"/>
      <w:r w:rsidRPr="00B719AD">
        <w:rPr>
          <w:rStyle w:val="ECCParagraph"/>
        </w:rPr>
        <w:t>MSS&amp;IMT-ADVANCED SHARING].The scope of this document is to address the studies under Resolution 212 (Rev. WRC-15) and covers the satellite component of IMT and the terrestrial component of IMT-Advanced.</w:t>
      </w:r>
    </w:p>
    <w:p w14:paraId="669C6163" w14:textId="64368F37" w:rsidR="00CF5DE7" w:rsidRPr="00B719AD" w:rsidRDefault="004331AC">
      <w:pPr>
        <w:rPr>
          <w:rStyle w:val="ECCParagraph"/>
        </w:rPr>
      </w:pPr>
      <w:r w:rsidRPr="00B719AD">
        <w:rPr>
          <w:rStyle w:val="ECCParagraph"/>
        </w:rPr>
        <w:t xml:space="preserve">Considering the recommended frequency arrangements for the terrestrial component for IMT, as contained in Recommendation ITU-R M.1036, there are four interference scenarios to be considered as showed in </w:t>
      </w:r>
      <w:r w:rsidRPr="00B719AD">
        <w:rPr>
          <w:rStyle w:val="ECCParagraph"/>
        </w:rPr>
        <w:fldChar w:fldCharType="begin"/>
      </w:r>
      <w:r w:rsidRPr="00B719AD">
        <w:rPr>
          <w:rStyle w:val="ECCParagraph"/>
        </w:rPr>
        <w:instrText xml:space="preserve"> REF _Ref504137416 \h </w:instrText>
      </w:r>
      <w:r w:rsidR="007235C2" w:rsidRPr="00B719AD">
        <w:rPr>
          <w:rStyle w:val="ECCParagraph"/>
        </w:rPr>
        <w:instrText xml:space="preserve"> \* MERGEFORMAT </w:instrText>
      </w:r>
      <w:r w:rsidRPr="00B719AD">
        <w:rPr>
          <w:rStyle w:val="ECCParagraph"/>
        </w:rPr>
      </w:r>
      <w:r w:rsidRPr="00B719AD">
        <w:rPr>
          <w:rStyle w:val="ECCParagraph"/>
        </w:rPr>
        <w:fldChar w:fldCharType="separate"/>
      </w:r>
      <w:r w:rsidRPr="00B719AD">
        <w:rPr>
          <w:rStyle w:val="ECCParagraph"/>
        </w:rPr>
        <w:t>Table 1</w:t>
      </w:r>
      <w:r w:rsidRPr="00B719AD">
        <w:rPr>
          <w:rStyle w:val="ECCParagraph"/>
        </w:rPr>
        <w:fldChar w:fldCharType="end"/>
      </w:r>
      <w:r w:rsidRPr="00B719AD">
        <w:rPr>
          <w:rStyle w:val="ECCParagraph"/>
        </w:rPr>
        <w:t xml:space="preserve"> and Figure 1.</w:t>
      </w:r>
    </w:p>
    <w:p w14:paraId="1850F473" w14:textId="77777777" w:rsidR="00CF5DE7" w:rsidRPr="00B719AD" w:rsidRDefault="004331AC">
      <w:pPr>
        <w:pStyle w:val="Beschriftung"/>
        <w:rPr>
          <w:lang w:val="en-GB"/>
        </w:rPr>
      </w:pPr>
      <w:bookmarkStart w:id="0" w:name="_Ref504137416"/>
      <w:r w:rsidRPr="00B719AD">
        <w:rPr>
          <w:lang w:val="en-GB"/>
        </w:rPr>
        <w:t xml:space="preserve">Table </w:t>
      </w:r>
      <w:r w:rsidRPr="00B719AD">
        <w:rPr>
          <w:lang w:val="en-GB"/>
        </w:rPr>
        <w:fldChar w:fldCharType="begin"/>
      </w:r>
      <w:r w:rsidRPr="00B719AD">
        <w:rPr>
          <w:lang w:val="en-GB"/>
        </w:rPr>
        <w:instrText xml:space="preserve"> SEQ Table \* ARABIC </w:instrText>
      </w:r>
      <w:r w:rsidRPr="00B719AD">
        <w:rPr>
          <w:lang w:val="en-GB"/>
        </w:rPr>
        <w:fldChar w:fldCharType="separate"/>
      </w:r>
      <w:r w:rsidRPr="00B719AD">
        <w:rPr>
          <w:noProof/>
          <w:lang w:val="en-GB"/>
        </w:rPr>
        <w:t>1</w:t>
      </w:r>
      <w:r w:rsidRPr="00B719AD">
        <w:rPr>
          <w:lang w:val="en-GB"/>
        </w:rPr>
        <w:fldChar w:fldCharType="end"/>
      </w:r>
      <w:bookmarkEnd w:id="0"/>
      <w:r w:rsidRPr="00B719AD">
        <w:rPr>
          <w:lang w:val="en-GB"/>
        </w:rPr>
        <w:t>: Interference scenarios to consider (ITU-R M.1036)</w:t>
      </w:r>
    </w:p>
    <w:tbl>
      <w:tblPr>
        <w:tblStyle w:val="ECCTable-redheader"/>
        <w:tblW w:w="0" w:type="auto"/>
        <w:tblInd w:w="0" w:type="dxa"/>
        <w:tblLook w:val="04A0" w:firstRow="1" w:lastRow="0" w:firstColumn="1" w:lastColumn="0" w:noHBand="0" w:noVBand="1"/>
      </w:tblPr>
      <w:tblGrid>
        <w:gridCol w:w="1061"/>
        <w:gridCol w:w="2963"/>
        <w:gridCol w:w="3686"/>
      </w:tblGrid>
      <w:tr w:rsidR="00CF5DE7" w:rsidRPr="00B719AD" w14:paraId="7E853462" w14:textId="77777777" w:rsidTr="00CF5DE7">
        <w:trPr>
          <w:cnfStyle w:val="100000000000" w:firstRow="1" w:lastRow="0" w:firstColumn="0" w:lastColumn="0" w:oddVBand="0" w:evenVBand="0" w:oddHBand="0" w:evenHBand="0" w:firstRowFirstColumn="0" w:firstRowLastColumn="0" w:lastRowFirstColumn="0" w:lastRowLastColumn="0"/>
        </w:trPr>
        <w:tc>
          <w:tcPr>
            <w:tcW w:w="1061" w:type="dxa"/>
          </w:tcPr>
          <w:p w14:paraId="74BE9F50" w14:textId="77777777" w:rsidR="00CF5DE7" w:rsidRPr="00B719AD" w:rsidRDefault="004331AC">
            <w:pPr>
              <w:pStyle w:val="ECCTableHeaderwhitefont"/>
            </w:pPr>
            <w:r w:rsidRPr="00B719AD">
              <w:t>Scenario</w:t>
            </w:r>
          </w:p>
        </w:tc>
        <w:tc>
          <w:tcPr>
            <w:tcW w:w="2963" w:type="dxa"/>
          </w:tcPr>
          <w:p w14:paraId="4FF2C177" w14:textId="77777777" w:rsidR="00CF5DE7" w:rsidRPr="00B719AD" w:rsidRDefault="004331AC">
            <w:pPr>
              <w:pStyle w:val="ECCTableHeaderwhitefont"/>
            </w:pPr>
            <w:r w:rsidRPr="00B719AD">
              <w:t>From</w:t>
            </w:r>
          </w:p>
        </w:tc>
        <w:tc>
          <w:tcPr>
            <w:tcW w:w="3686" w:type="dxa"/>
          </w:tcPr>
          <w:p w14:paraId="2EF4C062" w14:textId="77777777" w:rsidR="00CF5DE7" w:rsidRPr="00B719AD" w:rsidRDefault="004331AC">
            <w:pPr>
              <w:pStyle w:val="ECCTableHeaderwhitefont"/>
            </w:pPr>
            <w:r w:rsidRPr="00B719AD">
              <w:t>To</w:t>
            </w:r>
          </w:p>
        </w:tc>
      </w:tr>
      <w:tr w:rsidR="00CF5DE7" w:rsidRPr="00B719AD" w14:paraId="320BBE28" w14:textId="77777777" w:rsidTr="00CF5DE7">
        <w:tc>
          <w:tcPr>
            <w:tcW w:w="1061" w:type="dxa"/>
          </w:tcPr>
          <w:p w14:paraId="57378A10" w14:textId="77777777" w:rsidR="00CF5DE7" w:rsidRPr="00B719AD" w:rsidRDefault="004331AC">
            <w:pPr>
              <w:pStyle w:val="ECCTabletext"/>
            </w:pPr>
            <w:r w:rsidRPr="00B719AD">
              <w:t>A1</w:t>
            </w:r>
          </w:p>
        </w:tc>
        <w:tc>
          <w:tcPr>
            <w:tcW w:w="2963" w:type="dxa"/>
          </w:tcPr>
          <w:p w14:paraId="08B86866" w14:textId="77777777" w:rsidR="00CF5DE7" w:rsidRPr="00B719AD" w:rsidRDefault="004331AC">
            <w:pPr>
              <w:pStyle w:val="ECCTabletext"/>
            </w:pPr>
            <w:r w:rsidRPr="00B719AD">
              <w:t>Terrestrial IMT base station or mobile station</w:t>
            </w:r>
          </w:p>
        </w:tc>
        <w:tc>
          <w:tcPr>
            <w:tcW w:w="3686" w:type="dxa"/>
          </w:tcPr>
          <w:p w14:paraId="2589C9B4" w14:textId="77777777" w:rsidR="00CF5DE7" w:rsidRPr="00B719AD" w:rsidRDefault="004331AC">
            <w:pPr>
              <w:pStyle w:val="ECCTabletext"/>
            </w:pPr>
            <w:r w:rsidRPr="00B719AD">
              <w:t>Satellite IMT space station</w:t>
            </w:r>
          </w:p>
        </w:tc>
      </w:tr>
      <w:tr w:rsidR="00CF5DE7" w:rsidRPr="00B719AD" w14:paraId="6A3ACF74" w14:textId="77777777" w:rsidTr="00CF5DE7">
        <w:tc>
          <w:tcPr>
            <w:tcW w:w="1061" w:type="dxa"/>
          </w:tcPr>
          <w:p w14:paraId="078ACE1D" w14:textId="77777777" w:rsidR="00CF5DE7" w:rsidRPr="00B719AD" w:rsidRDefault="004331AC">
            <w:pPr>
              <w:pStyle w:val="ECCTabletext"/>
            </w:pPr>
            <w:r w:rsidRPr="00B719AD">
              <w:t>A2</w:t>
            </w:r>
          </w:p>
        </w:tc>
        <w:tc>
          <w:tcPr>
            <w:tcW w:w="2963" w:type="dxa"/>
          </w:tcPr>
          <w:p w14:paraId="7311F03F" w14:textId="77777777" w:rsidR="00CF5DE7" w:rsidRPr="00B719AD" w:rsidRDefault="004331AC">
            <w:pPr>
              <w:pStyle w:val="ECCTabletext"/>
            </w:pPr>
            <w:r w:rsidRPr="00B719AD">
              <w:t>Terrestrial IMT base station</w:t>
            </w:r>
          </w:p>
        </w:tc>
        <w:tc>
          <w:tcPr>
            <w:tcW w:w="3686" w:type="dxa"/>
          </w:tcPr>
          <w:p w14:paraId="123A8631" w14:textId="77777777" w:rsidR="00CF5DE7" w:rsidRPr="00B719AD" w:rsidRDefault="004331AC">
            <w:pPr>
              <w:pStyle w:val="ECCTabletext"/>
            </w:pPr>
            <w:r w:rsidRPr="00B719AD">
              <w:t>Satellite IMT MES</w:t>
            </w:r>
          </w:p>
        </w:tc>
      </w:tr>
      <w:tr w:rsidR="00CF5DE7" w:rsidRPr="00B719AD" w14:paraId="192D07C2" w14:textId="77777777" w:rsidTr="00CF5DE7">
        <w:tc>
          <w:tcPr>
            <w:tcW w:w="1061" w:type="dxa"/>
          </w:tcPr>
          <w:p w14:paraId="6D35842F" w14:textId="77777777" w:rsidR="00CF5DE7" w:rsidRPr="00B719AD" w:rsidRDefault="004331AC">
            <w:pPr>
              <w:pStyle w:val="ECCTabletext"/>
            </w:pPr>
            <w:r w:rsidRPr="00B719AD">
              <w:t>B1</w:t>
            </w:r>
          </w:p>
        </w:tc>
        <w:tc>
          <w:tcPr>
            <w:tcW w:w="2963" w:type="dxa"/>
          </w:tcPr>
          <w:p w14:paraId="391CE042" w14:textId="77777777" w:rsidR="00CF5DE7" w:rsidRPr="00B719AD" w:rsidRDefault="004331AC">
            <w:pPr>
              <w:pStyle w:val="ECCTabletext"/>
            </w:pPr>
            <w:r w:rsidRPr="00B719AD">
              <w:t>Satellite IMT MES</w:t>
            </w:r>
          </w:p>
        </w:tc>
        <w:tc>
          <w:tcPr>
            <w:tcW w:w="3686" w:type="dxa"/>
          </w:tcPr>
          <w:p w14:paraId="23D40E15" w14:textId="77777777" w:rsidR="00CF5DE7" w:rsidRPr="00B719AD" w:rsidRDefault="004331AC">
            <w:pPr>
              <w:pStyle w:val="ECCTabletext"/>
            </w:pPr>
            <w:r w:rsidRPr="00B719AD">
              <w:t>Terrestrial IMT base station or UE</w:t>
            </w:r>
          </w:p>
        </w:tc>
      </w:tr>
      <w:tr w:rsidR="00CF5DE7" w:rsidRPr="00B719AD" w14:paraId="3FD1E8F5" w14:textId="77777777" w:rsidTr="00CF5DE7">
        <w:tc>
          <w:tcPr>
            <w:tcW w:w="1061" w:type="dxa"/>
          </w:tcPr>
          <w:p w14:paraId="6F8F65EE" w14:textId="77777777" w:rsidR="00CF5DE7" w:rsidRPr="00B719AD" w:rsidRDefault="004331AC">
            <w:pPr>
              <w:pStyle w:val="ECCTabletext"/>
            </w:pPr>
            <w:r w:rsidRPr="00B719AD">
              <w:t>B2</w:t>
            </w:r>
          </w:p>
        </w:tc>
        <w:tc>
          <w:tcPr>
            <w:tcW w:w="2963" w:type="dxa"/>
          </w:tcPr>
          <w:p w14:paraId="6B464E19" w14:textId="77777777" w:rsidR="00CF5DE7" w:rsidRPr="00B719AD" w:rsidRDefault="004331AC">
            <w:pPr>
              <w:pStyle w:val="ECCTabletext"/>
            </w:pPr>
            <w:r w:rsidRPr="00B719AD">
              <w:t>Satellite IMT space station</w:t>
            </w:r>
          </w:p>
        </w:tc>
        <w:tc>
          <w:tcPr>
            <w:tcW w:w="3686" w:type="dxa"/>
          </w:tcPr>
          <w:p w14:paraId="032F11FE" w14:textId="77777777" w:rsidR="00CF5DE7" w:rsidRPr="00B719AD" w:rsidRDefault="004331AC">
            <w:pPr>
              <w:pStyle w:val="ECCTabletext"/>
            </w:pPr>
            <w:r w:rsidRPr="00B719AD">
              <w:t>Terrestrial IMT UE</w:t>
            </w:r>
          </w:p>
        </w:tc>
      </w:tr>
    </w:tbl>
    <w:p w14:paraId="030D6600" w14:textId="7055410E" w:rsidR="00CF5DE7" w:rsidRDefault="004331AC" w:rsidP="00D70059">
      <w:pPr>
        <w:pStyle w:val="ECCFigure"/>
      </w:pPr>
      <w:r w:rsidRPr="00B719AD">
        <w:rPr>
          <w:noProof/>
          <w:lang w:val="de-DE" w:eastAsia="de-DE"/>
        </w:rPr>
        <w:drawing>
          <wp:inline distT="0" distB="0" distL="0" distR="0" wp14:anchorId="18F4DF08" wp14:editId="529E9AED">
            <wp:extent cx="4857750" cy="211455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398" r="7942" b="9440"/>
                    <a:stretch/>
                  </pic:blipFill>
                  <pic:spPr bwMode="auto">
                    <a:xfrm>
                      <a:off x="0" y="0"/>
                      <a:ext cx="4857750" cy="2114550"/>
                    </a:xfrm>
                    <a:prstGeom prst="rect">
                      <a:avLst/>
                    </a:prstGeom>
                    <a:noFill/>
                    <a:ln>
                      <a:noFill/>
                    </a:ln>
                    <a:extLst>
                      <a:ext uri="{53640926-AAD7-44D8-BBD7-CCE9431645EC}">
                        <a14:shadowObscured xmlns:a14="http://schemas.microsoft.com/office/drawing/2010/main"/>
                      </a:ext>
                    </a:extLst>
                  </pic:spPr>
                </pic:pic>
              </a:graphicData>
            </a:graphic>
          </wp:inline>
        </w:drawing>
      </w:r>
    </w:p>
    <w:p w14:paraId="75A56FAD" w14:textId="77777777" w:rsidR="00EB286B" w:rsidRPr="00D70059" w:rsidRDefault="00EB286B" w:rsidP="00EB286B">
      <w:pPr>
        <w:pStyle w:val="Beschriftung"/>
      </w:pPr>
      <w:r w:rsidRPr="00D70059">
        <w:t xml:space="preserve">Figure </w:t>
      </w:r>
      <w:r>
        <w:fldChar w:fldCharType="begin"/>
      </w:r>
      <w:r>
        <w:instrText xml:space="preserve"> SEQ Figure \* ARABIC </w:instrText>
      </w:r>
      <w:r>
        <w:fldChar w:fldCharType="separate"/>
      </w:r>
      <w:r w:rsidRPr="00D70059">
        <w:t>1</w:t>
      </w:r>
      <w:r>
        <w:fldChar w:fldCharType="end"/>
      </w:r>
      <w:r w:rsidRPr="00D70059">
        <w:t>: Interference scenarios between the satellite and terrestrial components of IMT</w:t>
      </w:r>
    </w:p>
    <w:p w14:paraId="340ED28F" w14:textId="12226EEE" w:rsidR="00CF5DE7" w:rsidRPr="00B719AD" w:rsidRDefault="004331AC">
      <w:pPr>
        <w:rPr>
          <w:rStyle w:val="ECCParagraph"/>
        </w:rPr>
      </w:pPr>
      <w:r w:rsidRPr="00B719AD">
        <w:rPr>
          <w:rStyle w:val="ECCParagraph"/>
        </w:rPr>
        <w:t>There is potential for harmful interference from the terrestrial component of IMT to the space stations in the satellite component of IMT (Scenario A1), including interference arising from a different country. Studies show that interference levels from transmitting IMT UEs</w:t>
      </w:r>
      <w:r w:rsidR="002230EA" w:rsidRPr="00B719AD">
        <w:rPr>
          <w:rStyle w:val="ECCParagraph"/>
        </w:rPr>
        <w:t xml:space="preserve"> into space stations</w:t>
      </w:r>
      <w:r w:rsidRPr="00B719AD">
        <w:rPr>
          <w:rStyle w:val="ECCParagraph"/>
        </w:rPr>
        <w:t xml:space="preserve"> in the band 1</w:t>
      </w:r>
      <w:r w:rsidR="007B3792">
        <w:rPr>
          <w:rStyle w:val="ECCParagraph"/>
        </w:rPr>
        <w:t> </w:t>
      </w:r>
      <w:r w:rsidRPr="00B719AD">
        <w:rPr>
          <w:rStyle w:val="ECCParagraph"/>
        </w:rPr>
        <w:t>980-2</w:t>
      </w:r>
      <w:r w:rsidR="007B3792">
        <w:rPr>
          <w:rStyle w:val="ECCParagraph"/>
        </w:rPr>
        <w:t> </w:t>
      </w:r>
      <w:r w:rsidRPr="00B719AD">
        <w:rPr>
          <w:rStyle w:val="ECCParagraph"/>
        </w:rPr>
        <w:t xml:space="preserve">010 MHz is generally acceptable, but </w:t>
      </w:r>
      <w:r w:rsidR="002230EA" w:rsidRPr="00B719AD">
        <w:rPr>
          <w:rStyle w:val="ECCParagraph"/>
        </w:rPr>
        <w:t xml:space="preserve">interference levels from </w:t>
      </w:r>
      <w:r w:rsidRPr="00B719AD">
        <w:rPr>
          <w:rStyle w:val="ECCParagraph"/>
        </w:rPr>
        <w:t xml:space="preserve">transmitting IMT base stations </w:t>
      </w:r>
      <w:r w:rsidR="002230EA" w:rsidRPr="00B719AD">
        <w:rPr>
          <w:rStyle w:val="ECCParagraph"/>
        </w:rPr>
        <w:t xml:space="preserve">into space stations </w:t>
      </w:r>
      <w:r w:rsidRPr="00B719AD">
        <w:rPr>
          <w:rStyle w:val="ECCParagraph"/>
        </w:rPr>
        <w:t xml:space="preserve">in that band could lead to interference levels exceeding the criterion by up to 52 </w:t>
      </w:r>
      <w:proofErr w:type="spellStart"/>
      <w:r w:rsidRPr="00B719AD">
        <w:rPr>
          <w:rStyle w:val="ECCParagraph"/>
        </w:rPr>
        <w:t>dB.</w:t>
      </w:r>
      <w:proofErr w:type="spellEnd"/>
      <w:r w:rsidRPr="00B719AD">
        <w:rPr>
          <w:rStyle w:val="ECCParagraph"/>
        </w:rPr>
        <w:t xml:space="preserve"> By avoiding base station transmission in the band 1</w:t>
      </w:r>
      <w:r w:rsidR="007B3792">
        <w:rPr>
          <w:rStyle w:val="ECCParagraph"/>
        </w:rPr>
        <w:t> </w:t>
      </w:r>
      <w:r w:rsidRPr="00B719AD">
        <w:rPr>
          <w:rStyle w:val="ECCParagraph"/>
        </w:rPr>
        <w:t>980-2</w:t>
      </w:r>
      <w:r w:rsidR="007B3792">
        <w:rPr>
          <w:rStyle w:val="ECCParagraph"/>
        </w:rPr>
        <w:t> </w:t>
      </w:r>
      <w:r w:rsidRPr="00B719AD">
        <w:rPr>
          <w:rStyle w:val="ECCParagraph"/>
        </w:rPr>
        <w:t xml:space="preserve">010 MHz, this situation is prevented. </w:t>
      </w:r>
    </w:p>
    <w:p w14:paraId="37B09982" w14:textId="66783135" w:rsidR="00CF5DE7" w:rsidRPr="00B719AD" w:rsidRDefault="004331AC">
      <w:pPr>
        <w:rPr>
          <w:rStyle w:val="ECCParagraph"/>
        </w:rPr>
      </w:pPr>
      <w:r w:rsidRPr="00B719AD">
        <w:rPr>
          <w:rStyle w:val="ECCParagraph"/>
        </w:rPr>
        <w:t xml:space="preserve">While </w:t>
      </w:r>
      <w:r w:rsidR="002230EA" w:rsidRPr="00B719AD">
        <w:rPr>
          <w:rStyle w:val="ECCParagraph"/>
        </w:rPr>
        <w:t>avoiding base stations transmitting in the band 1980-2010 MHz</w:t>
      </w:r>
      <w:r w:rsidR="00601E5F" w:rsidRPr="00B719AD">
        <w:rPr>
          <w:rStyle w:val="ECCParagraph"/>
        </w:rPr>
        <w:t xml:space="preserve"> </w:t>
      </w:r>
      <w:r w:rsidRPr="00B719AD">
        <w:rPr>
          <w:rStyle w:val="ECCParagraph"/>
        </w:rPr>
        <w:t xml:space="preserve">is consistent with some of the recommended frequency arrangements for terrestrial IMT (frequency arrangements “B1”, “B6” and “B7” in Table 4 in Recommendation ITU-R M.1036), there are other recommended frequency arrangements for </w:t>
      </w:r>
      <w:r w:rsidRPr="00B719AD">
        <w:rPr>
          <w:rStyle w:val="ECCParagraph"/>
        </w:rPr>
        <w:lastRenderedPageBreak/>
        <w:t>terrestrial IMT that would place the base station transmitter in part of the MSS uplink band (frequency arrangements “B3” and “B5” in Table 4 in Recommendation ITU-R M.1036). The use of either of these two frequency arrangements could cause harmful interference to MSS space stations in the satellite component of IMT.</w:t>
      </w:r>
    </w:p>
    <w:p w14:paraId="0CFDEDBE" w14:textId="361E9CF6" w:rsidR="00DB0547" w:rsidRDefault="00463C3F" w:rsidP="00E61CA4">
      <w:pPr>
        <w:rPr>
          <w:rStyle w:val="ECCParagraph"/>
        </w:rPr>
      </w:pPr>
      <w:r w:rsidRPr="00B719AD">
        <w:rPr>
          <w:rStyle w:val="ECCParagraph"/>
        </w:rPr>
        <w:t>For scenario A1, t</w:t>
      </w:r>
      <w:r w:rsidR="00DB0547" w:rsidRPr="00B719AD">
        <w:rPr>
          <w:rStyle w:val="ECCParagraph"/>
        </w:rPr>
        <w:t xml:space="preserve">here is currently no provision in the RR that would prevent interference from </w:t>
      </w:r>
      <w:r w:rsidR="00EF0BFE">
        <w:rPr>
          <w:rStyle w:val="ECCParagraph"/>
        </w:rPr>
        <w:t xml:space="preserve">IMT </w:t>
      </w:r>
      <w:r w:rsidR="00DB0547" w:rsidRPr="00B719AD">
        <w:rPr>
          <w:rStyle w:val="ECCParagraph"/>
        </w:rPr>
        <w:t xml:space="preserve">base stations to </w:t>
      </w:r>
      <w:r w:rsidR="00775207">
        <w:rPr>
          <w:rStyle w:val="ECCParagraph"/>
        </w:rPr>
        <w:t>IMT</w:t>
      </w:r>
      <w:r w:rsidR="00775207" w:rsidRPr="00B719AD">
        <w:rPr>
          <w:rStyle w:val="ECCParagraph"/>
        </w:rPr>
        <w:t xml:space="preserve"> </w:t>
      </w:r>
      <w:r w:rsidR="00DB0547" w:rsidRPr="00B719AD">
        <w:rPr>
          <w:rStyle w:val="ECCParagraph"/>
        </w:rPr>
        <w:t>space stations. There is no coordination process between the administration</w:t>
      </w:r>
      <w:r w:rsidRPr="00B719AD">
        <w:rPr>
          <w:rStyle w:val="ECCParagraph"/>
        </w:rPr>
        <w:t xml:space="preserve"> responsible for </w:t>
      </w:r>
      <w:r w:rsidR="00775207">
        <w:rPr>
          <w:rStyle w:val="ECCParagraph"/>
        </w:rPr>
        <w:t>MS</w:t>
      </w:r>
      <w:r w:rsidRPr="00B719AD">
        <w:rPr>
          <w:rStyle w:val="ECCParagraph"/>
        </w:rPr>
        <w:t xml:space="preserve"> and the administration responsible for </w:t>
      </w:r>
      <w:r w:rsidR="00775207">
        <w:rPr>
          <w:rStyle w:val="ECCParagraph"/>
        </w:rPr>
        <w:t>MSS</w:t>
      </w:r>
      <w:r w:rsidRPr="00B719AD">
        <w:rPr>
          <w:rStyle w:val="ECCParagraph"/>
        </w:rPr>
        <w:t xml:space="preserve">; </w:t>
      </w:r>
      <w:r w:rsidR="00DB0547" w:rsidRPr="00B719AD">
        <w:rPr>
          <w:rStyle w:val="ECCParagraph"/>
        </w:rPr>
        <w:t xml:space="preserve">and </w:t>
      </w:r>
      <w:r w:rsidRPr="00B719AD">
        <w:rPr>
          <w:rStyle w:val="ECCParagraph"/>
        </w:rPr>
        <w:t xml:space="preserve">there is </w:t>
      </w:r>
      <w:r w:rsidR="00DB0547" w:rsidRPr="00B719AD">
        <w:rPr>
          <w:rStyle w:val="ECCParagraph"/>
        </w:rPr>
        <w:t xml:space="preserve">no process to identify the concerned administrations. There are </w:t>
      </w:r>
      <w:proofErr w:type="spellStart"/>
      <w:r w:rsidR="00DA39DF">
        <w:rPr>
          <w:rStyle w:val="ECCParagraph"/>
        </w:rPr>
        <w:t>e.i.r.p</w:t>
      </w:r>
      <w:proofErr w:type="spellEnd"/>
      <w:r w:rsidR="00DA39DF">
        <w:rPr>
          <w:rStyle w:val="ECCParagraph"/>
        </w:rPr>
        <w:t>.</w:t>
      </w:r>
      <w:r w:rsidR="00DB0547" w:rsidRPr="00B719AD">
        <w:rPr>
          <w:rStyle w:val="ECCParagraph"/>
        </w:rPr>
        <w:t xml:space="preserve"> limits for terrestrial stations defined in Article 21, which in </w:t>
      </w:r>
      <w:r w:rsidR="00923856" w:rsidRPr="00B719AD">
        <w:rPr>
          <w:rStyle w:val="ECCParagraph"/>
        </w:rPr>
        <w:t>the band 1</w:t>
      </w:r>
      <w:r w:rsidR="007B3792">
        <w:rPr>
          <w:rStyle w:val="ECCParagraph"/>
        </w:rPr>
        <w:t> </w:t>
      </w:r>
      <w:r w:rsidR="00923856" w:rsidRPr="00B719AD">
        <w:rPr>
          <w:rStyle w:val="ECCParagraph"/>
        </w:rPr>
        <w:t>980-2</w:t>
      </w:r>
      <w:r w:rsidR="007B3792">
        <w:rPr>
          <w:rStyle w:val="ECCParagraph"/>
        </w:rPr>
        <w:t> </w:t>
      </w:r>
      <w:r w:rsidR="00923856" w:rsidRPr="00B719AD">
        <w:rPr>
          <w:rStyle w:val="ECCParagraph"/>
        </w:rPr>
        <w:t xml:space="preserve">010 MHz </w:t>
      </w:r>
      <w:r w:rsidRPr="00B719AD">
        <w:rPr>
          <w:rStyle w:val="ECCParagraph"/>
        </w:rPr>
        <w:t xml:space="preserve">is </w:t>
      </w:r>
      <w:r w:rsidR="00DB0547" w:rsidRPr="00B719AD">
        <w:rPr>
          <w:rStyle w:val="ECCParagraph"/>
        </w:rPr>
        <w:t xml:space="preserve">+47 </w:t>
      </w:r>
      <w:proofErr w:type="spellStart"/>
      <w:r w:rsidR="00DB0547" w:rsidRPr="00B719AD">
        <w:rPr>
          <w:rStyle w:val="ECCParagraph"/>
        </w:rPr>
        <w:t>dBW</w:t>
      </w:r>
      <w:proofErr w:type="spellEnd"/>
      <w:r w:rsidR="00DB0547" w:rsidRPr="00B719AD">
        <w:rPr>
          <w:rStyle w:val="ECCParagraph"/>
        </w:rPr>
        <w:t xml:space="preserve"> </w:t>
      </w:r>
      <w:r w:rsidR="00103CB3" w:rsidRPr="00B719AD">
        <w:rPr>
          <w:rStyle w:val="ECCParagraph"/>
        </w:rPr>
        <w:t xml:space="preserve">(+77 </w:t>
      </w:r>
      <w:proofErr w:type="spellStart"/>
      <w:r w:rsidR="00103CB3" w:rsidRPr="00B719AD">
        <w:rPr>
          <w:rStyle w:val="ECCParagraph"/>
        </w:rPr>
        <w:t>dBm</w:t>
      </w:r>
      <w:proofErr w:type="spellEnd"/>
      <w:r w:rsidR="00103CB3" w:rsidRPr="00B719AD">
        <w:rPr>
          <w:rStyle w:val="ECCParagraph"/>
        </w:rPr>
        <w:t xml:space="preserve">) </w:t>
      </w:r>
      <w:r w:rsidR="00DB0547" w:rsidRPr="00B719AD">
        <w:rPr>
          <w:rStyle w:val="ECCParagraph"/>
        </w:rPr>
        <w:t xml:space="preserve">in any direction within 0.5° of the geostationary-satellite orbit. This is 16 dB higher than </w:t>
      </w:r>
      <w:r w:rsidR="00B3791F" w:rsidRPr="00B719AD">
        <w:rPr>
          <w:rStyle w:val="ECCParagraph"/>
        </w:rPr>
        <w:t xml:space="preserve">the value assumed </w:t>
      </w:r>
      <w:r w:rsidR="00103CB3" w:rsidRPr="00B719AD">
        <w:rPr>
          <w:rStyle w:val="ECCParagraph"/>
        </w:rPr>
        <w:t xml:space="preserve">in the studies </w:t>
      </w:r>
      <w:r w:rsidR="00B3791F" w:rsidRPr="00B719AD">
        <w:rPr>
          <w:rStyle w:val="ECCParagraph"/>
        </w:rPr>
        <w:t xml:space="preserve">for </w:t>
      </w:r>
      <w:r w:rsidR="00775207">
        <w:rPr>
          <w:rStyle w:val="ECCParagraph"/>
        </w:rPr>
        <w:t>IMT</w:t>
      </w:r>
      <w:r w:rsidR="00B3791F" w:rsidRPr="00B719AD">
        <w:rPr>
          <w:rStyle w:val="ECCParagraph"/>
        </w:rPr>
        <w:t xml:space="preserve"> base stations</w:t>
      </w:r>
      <w:r w:rsidR="00103CB3" w:rsidRPr="00B719AD">
        <w:rPr>
          <w:rStyle w:val="ECCParagraph"/>
        </w:rPr>
        <w:t>, which would anyway cause excessive interference,</w:t>
      </w:r>
      <w:r w:rsidR="00B3791F" w:rsidRPr="00B719AD">
        <w:rPr>
          <w:rStyle w:val="ECCParagraph"/>
        </w:rPr>
        <w:t xml:space="preserve"> and hence </w:t>
      </w:r>
      <w:r w:rsidRPr="00B719AD">
        <w:rPr>
          <w:rStyle w:val="ECCParagraph"/>
        </w:rPr>
        <w:t xml:space="preserve">the Article 21 limits do </w:t>
      </w:r>
      <w:r w:rsidR="00B3791F" w:rsidRPr="00B719AD">
        <w:rPr>
          <w:rStyle w:val="ECCParagraph"/>
        </w:rPr>
        <w:t>not provide effective protection against interference from terrestrial IMT systems.</w:t>
      </w:r>
    </w:p>
    <w:p w14:paraId="2FB62914" w14:textId="622A406A" w:rsidR="00D70059" w:rsidRPr="00D32FF7" w:rsidRDefault="00D32FF7" w:rsidP="00E61CA4">
      <w:pPr>
        <w:rPr>
          <w:rStyle w:val="ECCHLyellow"/>
        </w:rPr>
      </w:pPr>
      <w:r w:rsidRPr="00D32FF7">
        <w:rPr>
          <w:rStyle w:val="ECCHLyellow"/>
        </w:rPr>
        <w:t>[</w:t>
      </w:r>
      <w:r w:rsidR="00D70059" w:rsidRPr="00D32FF7">
        <w:rPr>
          <w:rStyle w:val="ECCHLyellow"/>
        </w:rPr>
        <w:t>It should be noted that the above</w:t>
      </w:r>
      <w:r w:rsidR="00C06EB5">
        <w:rPr>
          <w:rStyle w:val="ECCHLyellow"/>
        </w:rPr>
        <w:t xml:space="preserve"> </w:t>
      </w:r>
      <w:r w:rsidR="00D70059" w:rsidRPr="00D32FF7">
        <w:rPr>
          <w:rStyle w:val="ECCHLyellow"/>
        </w:rPr>
        <w:t>mentioned EIRP limits in Article 21 cover both the MS and FS stations. The stations in FS, to which 1980-2010 MHz and 2170-2200 MHz bands are allocated on a co-primary basis, are currently operating in some countries in order to meet particular user demand and other national considerations. However, the consideration by the WRC-19 of potential revisions to the RR cannot impose any constraints on FS, because this issue is obviously out of scope of Agenda Item 9.1, issue 9.1.1.</w:t>
      </w:r>
      <w:r w:rsidRPr="00D32FF7">
        <w:rPr>
          <w:rStyle w:val="ECCHLyellow"/>
        </w:rPr>
        <w:t>]</w:t>
      </w:r>
    </w:p>
    <w:p w14:paraId="4F9E6FDE" w14:textId="59BC0BD4" w:rsidR="00CF5DE7" w:rsidRPr="00B719AD" w:rsidRDefault="004331AC" w:rsidP="00427F22">
      <w:pPr>
        <w:rPr>
          <w:rStyle w:val="ECCParagraph"/>
        </w:rPr>
      </w:pPr>
      <w:r w:rsidRPr="00B719AD">
        <w:rPr>
          <w:rStyle w:val="ECCParagraph"/>
        </w:rPr>
        <w:t xml:space="preserve">To address the potential interference to MSS space stations, </w:t>
      </w:r>
      <w:r w:rsidR="00B3791F" w:rsidRPr="00B719AD">
        <w:rPr>
          <w:rStyle w:val="ECCParagraph"/>
        </w:rPr>
        <w:t xml:space="preserve">one </w:t>
      </w:r>
      <w:r w:rsidRPr="00B719AD">
        <w:rPr>
          <w:rStyle w:val="ECCParagraph"/>
        </w:rPr>
        <w:t>option</w:t>
      </w:r>
      <w:r w:rsidR="00B3791F" w:rsidRPr="00B719AD">
        <w:rPr>
          <w:rStyle w:val="ECCParagraph"/>
        </w:rPr>
        <w:t xml:space="preserve"> i</w:t>
      </w:r>
      <w:r w:rsidRPr="00B719AD">
        <w:rPr>
          <w:rStyle w:val="ECCParagraph"/>
        </w:rPr>
        <w:t>s</w:t>
      </w:r>
      <w:r w:rsidR="00B3791F" w:rsidRPr="00B719AD">
        <w:rPr>
          <w:rStyle w:val="ECCParagraph"/>
        </w:rPr>
        <w:t xml:space="preserve"> to </w:t>
      </w:r>
      <w:r w:rsidRPr="00B719AD">
        <w:rPr>
          <w:rStyle w:val="ECCParagraph"/>
        </w:rPr>
        <w:t xml:space="preserve">recommend limits on </w:t>
      </w:r>
      <w:r w:rsidR="00775207">
        <w:rPr>
          <w:rStyle w:val="ECCParagraph"/>
        </w:rPr>
        <w:t>MS</w:t>
      </w:r>
      <w:r w:rsidRPr="00B719AD">
        <w:rPr>
          <w:rStyle w:val="ECCParagraph"/>
        </w:rPr>
        <w:t xml:space="preserve"> stations to ensure that the band is </w:t>
      </w:r>
      <w:r w:rsidR="006B6E9D" w:rsidRPr="00B719AD">
        <w:rPr>
          <w:rStyle w:val="ECCParagraph"/>
        </w:rPr>
        <w:t xml:space="preserve">not used </w:t>
      </w:r>
      <w:r w:rsidRPr="00B719AD">
        <w:rPr>
          <w:rStyle w:val="ECCParagraph"/>
        </w:rPr>
        <w:t>for terrestrial IMT downlinks</w:t>
      </w:r>
      <w:r w:rsidR="00B3791F" w:rsidRPr="00B719AD">
        <w:rPr>
          <w:rStyle w:val="ECCParagraph"/>
        </w:rPr>
        <w:t xml:space="preserve">. </w:t>
      </w:r>
      <w:r w:rsidR="00463C3F" w:rsidRPr="00B719AD">
        <w:rPr>
          <w:rStyle w:val="ECCParagraph"/>
        </w:rPr>
        <w:t>Alternatively, i</w:t>
      </w:r>
      <w:r w:rsidRPr="00B719AD">
        <w:rPr>
          <w:rStyle w:val="ECCParagraph"/>
        </w:rPr>
        <w:t xml:space="preserve">nclusion </w:t>
      </w:r>
      <w:r w:rsidR="00463C3F" w:rsidRPr="00B719AD">
        <w:rPr>
          <w:rStyle w:val="ECCParagraph"/>
        </w:rPr>
        <w:t xml:space="preserve">in the RR </w:t>
      </w:r>
      <w:r w:rsidRPr="00B719AD">
        <w:rPr>
          <w:rStyle w:val="ECCParagraph"/>
        </w:rPr>
        <w:t xml:space="preserve">of a 20dBm/5MHz </w:t>
      </w:r>
      <w:r w:rsidRPr="00B719AD">
        <w:rPr>
          <w:rStyle w:val="ECCParagraph"/>
          <w:noProof/>
        </w:rPr>
        <w:t>e.i.r.p.</w:t>
      </w:r>
      <w:r w:rsidRPr="00B719AD">
        <w:rPr>
          <w:rStyle w:val="ECCParagraph"/>
        </w:rPr>
        <w:t xml:space="preserve"> limit (Report ITU-R M. 2292 specifies an "output power" of 23 </w:t>
      </w:r>
      <w:proofErr w:type="spellStart"/>
      <w:r w:rsidRPr="00B719AD">
        <w:rPr>
          <w:rStyle w:val="ECCParagraph"/>
        </w:rPr>
        <w:t>dBm</w:t>
      </w:r>
      <w:proofErr w:type="spellEnd"/>
      <w:r w:rsidRPr="00B719AD">
        <w:rPr>
          <w:rStyle w:val="ECCParagraph"/>
        </w:rPr>
        <w:t>, that with a -3dB antenna gain) ±2dB tolerance in 1</w:t>
      </w:r>
      <w:r w:rsidR="007B3792">
        <w:rPr>
          <w:rStyle w:val="ECCParagraph"/>
        </w:rPr>
        <w:t> </w:t>
      </w:r>
      <w:r w:rsidRPr="00B719AD">
        <w:rPr>
          <w:rStyle w:val="ECCParagraph"/>
        </w:rPr>
        <w:t>980-2</w:t>
      </w:r>
      <w:r w:rsidR="007B3792">
        <w:rPr>
          <w:rStyle w:val="ECCParagraph"/>
        </w:rPr>
        <w:t> </w:t>
      </w:r>
      <w:r w:rsidRPr="00B719AD">
        <w:rPr>
          <w:rStyle w:val="ECCParagraph"/>
        </w:rPr>
        <w:t>010 MHz, to limit terrestrial IMT emissions towards an MSS satellite</w:t>
      </w:r>
      <w:r w:rsidR="00B3791F" w:rsidRPr="00B719AD">
        <w:rPr>
          <w:rStyle w:val="ECCParagraph"/>
        </w:rPr>
        <w:t xml:space="preserve"> would effectively limit use of the band to </w:t>
      </w:r>
      <w:r w:rsidR="002230EA" w:rsidRPr="00B719AD">
        <w:rPr>
          <w:rStyle w:val="ECCParagraph"/>
        </w:rPr>
        <w:t>IMT</w:t>
      </w:r>
      <w:r w:rsidR="00B3791F" w:rsidRPr="00B719AD">
        <w:rPr>
          <w:rStyle w:val="ECCParagraph"/>
        </w:rPr>
        <w:t xml:space="preserve"> UTs</w:t>
      </w:r>
      <w:r w:rsidR="00463C3F" w:rsidRPr="00B719AD">
        <w:rPr>
          <w:rStyle w:val="ECCParagraph"/>
        </w:rPr>
        <w:t xml:space="preserve"> and provide adequate protection to MSS uplinks</w:t>
      </w:r>
      <w:r w:rsidRPr="00B719AD">
        <w:rPr>
          <w:rStyle w:val="ECCParagraph"/>
        </w:rPr>
        <w:t>. An exception could be made</w:t>
      </w:r>
      <w:r w:rsidR="00775207">
        <w:rPr>
          <w:rStyle w:val="ECCParagraph"/>
        </w:rPr>
        <w:t xml:space="preserve"> for MS</w:t>
      </w:r>
      <w:r w:rsidRPr="00B719AD">
        <w:rPr>
          <w:rStyle w:val="ECCParagraph"/>
        </w:rPr>
        <w:t xml:space="preserve"> in the 1</w:t>
      </w:r>
      <w:r w:rsidR="007B3792">
        <w:rPr>
          <w:rStyle w:val="ECCParagraph"/>
        </w:rPr>
        <w:t> </w:t>
      </w:r>
      <w:r w:rsidRPr="00B719AD">
        <w:rPr>
          <w:rStyle w:val="ECCParagraph"/>
        </w:rPr>
        <w:t>980-1</w:t>
      </w:r>
      <w:r w:rsidR="007B3792">
        <w:rPr>
          <w:rStyle w:val="ECCParagraph"/>
        </w:rPr>
        <w:t> </w:t>
      </w:r>
      <w:r w:rsidRPr="00B719AD">
        <w:rPr>
          <w:rStyle w:val="ECCParagraph"/>
        </w:rPr>
        <w:t xml:space="preserve">990 MHz band for those countries listed in RR No. 5.389B where terrestrial systems have already been </w:t>
      </w:r>
      <w:proofErr w:type="spellStart"/>
      <w:r w:rsidRPr="00B719AD">
        <w:rPr>
          <w:rStyle w:val="ECCParagraph"/>
        </w:rPr>
        <w:t>authorised.</w:t>
      </w:r>
      <w:r w:rsidR="00E61CA4" w:rsidRPr="00B719AD">
        <w:rPr>
          <w:rStyle w:val="ECCParagraph"/>
        </w:rPr>
        <w:t>As</w:t>
      </w:r>
      <w:proofErr w:type="spellEnd"/>
      <w:r w:rsidR="00E61CA4" w:rsidRPr="00B719AD">
        <w:rPr>
          <w:rStyle w:val="ECCParagraph"/>
        </w:rPr>
        <w:t xml:space="preserve"> part of the studies, several technical and operational measures have been identified to </w:t>
      </w:r>
      <w:r w:rsidR="00923856" w:rsidRPr="00B719AD">
        <w:rPr>
          <w:rStyle w:val="ECCParagraph"/>
        </w:rPr>
        <w:t>improve</w:t>
      </w:r>
      <w:r w:rsidR="00E61CA4" w:rsidRPr="00B719AD">
        <w:rPr>
          <w:rStyle w:val="ECCParagraph"/>
        </w:rPr>
        <w:t xml:space="preserve"> the compatibility between the terrestrial and satellite components of IMT. The studies show that </w:t>
      </w:r>
      <w:r w:rsidR="00923856" w:rsidRPr="00B719AD">
        <w:rPr>
          <w:rStyle w:val="ECCParagraph"/>
        </w:rPr>
        <w:t>if</w:t>
      </w:r>
      <w:r w:rsidR="00E61CA4" w:rsidRPr="00B719AD">
        <w:rPr>
          <w:rStyle w:val="ECCParagraph"/>
        </w:rPr>
        <w:t xml:space="preserve"> some of them are used along with the actual system characteristics, the interference level may not exceed </w:t>
      </w:r>
      <w:r w:rsidR="00AE28B7" w:rsidRPr="00B719AD">
        <w:rPr>
          <w:rStyle w:val="ECCParagraph"/>
        </w:rPr>
        <w:t>the criterion</w:t>
      </w:r>
      <w:r w:rsidR="00103CB3" w:rsidRPr="00B719AD">
        <w:rPr>
          <w:rStyle w:val="ECCParagraph"/>
        </w:rPr>
        <w:t xml:space="preserve"> in some cases</w:t>
      </w:r>
      <w:r w:rsidR="00AE28B7" w:rsidRPr="00B719AD">
        <w:rPr>
          <w:rStyle w:val="ECCParagraph"/>
        </w:rPr>
        <w:t xml:space="preserve">. However there is no assurance that mitigation measures would be implemented by terrestrial </w:t>
      </w:r>
      <w:r w:rsidR="00923856" w:rsidRPr="00B719AD">
        <w:rPr>
          <w:rStyle w:val="ECCParagraph"/>
        </w:rPr>
        <w:t>IMT</w:t>
      </w:r>
      <w:r w:rsidR="00AE28B7" w:rsidRPr="00B719AD">
        <w:rPr>
          <w:rStyle w:val="ECCParagraph"/>
        </w:rPr>
        <w:t xml:space="preserve"> operators. The proposed mitigation measures </w:t>
      </w:r>
      <w:r w:rsidR="00055EA6" w:rsidRPr="00B719AD">
        <w:rPr>
          <w:rStyle w:val="ECCParagraph"/>
        </w:rPr>
        <w:t>include</w:t>
      </w:r>
      <w:r w:rsidR="00AE28B7" w:rsidRPr="00B719AD">
        <w:rPr>
          <w:rStyle w:val="ECCParagraph"/>
        </w:rPr>
        <w:t xml:space="preserve"> requiring the </w:t>
      </w:r>
      <w:r w:rsidR="004617F6" w:rsidRPr="00B719AD">
        <w:rPr>
          <w:rStyle w:val="ECCParagraph"/>
        </w:rPr>
        <w:t>use of high performance base station antenna</w:t>
      </w:r>
      <w:r w:rsidR="00923856" w:rsidRPr="00B719AD">
        <w:rPr>
          <w:rStyle w:val="ECCParagraph"/>
        </w:rPr>
        <w:t>s</w:t>
      </w:r>
      <w:r w:rsidR="004617F6" w:rsidRPr="00B719AD">
        <w:rPr>
          <w:rStyle w:val="ECCParagraph"/>
        </w:rPr>
        <w:t xml:space="preserve">, the </w:t>
      </w:r>
      <w:r w:rsidR="00AE28B7" w:rsidRPr="00B719AD">
        <w:rPr>
          <w:rStyle w:val="ECCParagraph"/>
        </w:rPr>
        <w:t>repointing of all base station antennas</w:t>
      </w:r>
      <w:r w:rsidR="004617F6" w:rsidRPr="00B719AD">
        <w:rPr>
          <w:rStyle w:val="ECCParagraph"/>
        </w:rPr>
        <w:t>, and</w:t>
      </w:r>
      <w:r w:rsidR="00923856" w:rsidRPr="00B719AD">
        <w:rPr>
          <w:rStyle w:val="ECCParagraph"/>
        </w:rPr>
        <w:t>/or</w:t>
      </w:r>
      <w:r w:rsidR="00AE28B7" w:rsidRPr="00B719AD">
        <w:rPr>
          <w:rStyle w:val="ECCParagraph"/>
        </w:rPr>
        <w:t xml:space="preserve"> the operation of the network at reduced capacity</w:t>
      </w:r>
      <w:r w:rsidR="004617F6" w:rsidRPr="00B719AD">
        <w:rPr>
          <w:rStyle w:val="ECCParagraph"/>
        </w:rPr>
        <w:t xml:space="preserve">. Such mitigations </w:t>
      </w:r>
      <w:r w:rsidR="00AE28B7" w:rsidRPr="00B719AD">
        <w:rPr>
          <w:rStyle w:val="ECCParagraph"/>
        </w:rPr>
        <w:t>would not normally be implemented unilaterally.</w:t>
      </w:r>
      <w:r w:rsidR="007F74C3" w:rsidRPr="00B719AD">
        <w:rPr>
          <w:rStyle w:val="ECCParagraph"/>
        </w:rPr>
        <w:t xml:space="preserve"> There is currently no requirement in the RR for administrations to require their mobile operators to implement such mitigations.</w:t>
      </w:r>
      <w:r w:rsidR="00103CB3" w:rsidRPr="00B719AD">
        <w:rPr>
          <w:rStyle w:val="ECCParagraph"/>
        </w:rPr>
        <w:t xml:space="preserve"> In some cases, interference would exceed the criterion even if all analysed mitigations are taken into account.</w:t>
      </w:r>
      <w:r w:rsidR="00AE28B7" w:rsidRPr="00B719AD">
        <w:rPr>
          <w:rStyle w:val="ECCParagraph"/>
        </w:rPr>
        <w:t xml:space="preserve">   </w:t>
      </w:r>
      <w:r w:rsidR="00E61CA4" w:rsidRPr="00B719AD">
        <w:rPr>
          <w:rStyle w:val="ECCParagraph"/>
        </w:rPr>
        <w:t xml:space="preserve">  </w:t>
      </w:r>
    </w:p>
    <w:p w14:paraId="2072F129" w14:textId="4E0FEA70" w:rsidR="00CF5DE7" w:rsidRPr="00B719AD" w:rsidRDefault="004331AC">
      <w:pPr>
        <w:rPr>
          <w:rStyle w:val="ECCParagraph"/>
        </w:rPr>
      </w:pPr>
      <w:r w:rsidRPr="00B719AD">
        <w:rPr>
          <w:rStyle w:val="ECCParagraph"/>
        </w:rPr>
        <w:t>Potential interference between the terrestrial IMT systems and MSS earth stations (Scenarios A2 and B1) can be managed by the current cross-border coordination provisions in the RR. Appendix 7 of the RR contains parameter values to allow coordination distances to be established.</w:t>
      </w:r>
    </w:p>
    <w:p w14:paraId="749A7B79" w14:textId="1E1EA892" w:rsidR="00B57AE2" w:rsidRPr="00B719AD" w:rsidRDefault="009B6097" w:rsidP="00427F22">
      <w:pPr>
        <w:rPr>
          <w:rStyle w:val="ECCParagraph"/>
        </w:rPr>
      </w:pPr>
      <w:r w:rsidRPr="00B719AD">
        <w:rPr>
          <w:rStyle w:val="ECCParagraph"/>
        </w:rPr>
        <w:t>The studies</w:t>
      </w:r>
      <w:r w:rsidR="00B57AE2" w:rsidRPr="00B719AD">
        <w:rPr>
          <w:rStyle w:val="ECCParagraph"/>
        </w:rPr>
        <w:t xml:space="preserve"> for Scenario B2 </w:t>
      </w:r>
      <w:r w:rsidRPr="00B719AD">
        <w:rPr>
          <w:rStyle w:val="ECCParagraph"/>
        </w:rPr>
        <w:t xml:space="preserve">show that transmissions from some IMT space stations could cause interference levels into the IMT UEs to exceed the criterion by </w:t>
      </w:r>
      <w:r w:rsidR="00B57AE2" w:rsidRPr="00B719AD">
        <w:rPr>
          <w:rStyle w:val="ECCParagraph"/>
        </w:rPr>
        <w:t>8.9 to</w:t>
      </w:r>
      <w:r w:rsidRPr="00B719AD">
        <w:rPr>
          <w:rStyle w:val="ECCParagraph"/>
        </w:rPr>
        <w:t xml:space="preserve"> 22.9 </w:t>
      </w:r>
      <w:proofErr w:type="spellStart"/>
      <w:r w:rsidRPr="00B719AD">
        <w:rPr>
          <w:rStyle w:val="ECCParagraph"/>
        </w:rPr>
        <w:t>dB.</w:t>
      </w:r>
      <w:proofErr w:type="spellEnd"/>
      <w:r w:rsidRPr="00B719AD">
        <w:rPr>
          <w:rStyle w:val="ECCParagraph"/>
        </w:rPr>
        <w:t xml:space="preserve"> Some IMT UEs </w:t>
      </w:r>
      <w:r w:rsidR="00923856" w:rsidRPr="00B719AD">
        <w:rPr>
          <w:rStyle w:val="ECCParagraph"/>
        </w:rPr>
        <w:t>which are</w:t>
      </w:r>
      <w:r w:rsidRPr="00B719AD">
        <w:rPr>
          <w:rStyle w:val="ECCParagraph"/>
        </w:rPr>
        <w:t xml:space="preserve"> used for machine type communications are more sensitive to interference than standard mobile phones</w:t>
      </w:r>
      <w:r w:rsidR="00D32FF7">
        <w:rPr>
          <w:rStyle w:val="ECCParagraph"/>
        </w:rPr>
        <w:t>,</w:t>
      </w:r>
      <w:r w:rsidRPr="00B719AD">
        <w:rPr>
          <w:rStyle w:val="ECCParagraph"/>
        </w:rPr>
        <w:t xml:space="preserve"> which lead to the larger interference excess. </w:t>
      </w:r>
      <w:r w:rsidR="004331AC" w:rsidRPr="00B719AD">
        <w:rPr>
          <w:rStyle w:val="ECCParagraph"/>
        </w:rPr>
        <w:t xml:space="preserve">Potential interference from MSS satellites to terrestrial IMT systems can be managed by the establishment of </w:t>
      </w:r>
      <w:proofErr w:type="spellStart"/>
      <w:r w:rsidR="004331AC" w:rsidRPr="00B719AD">
        <w:rPr>
          <w:rStyle w:val="ECCParagraph"/>
        </w:rPr>
        <w:t>pfd</w:t>
      </w:r>
      <w:proofErr w:type="spellEnd"/>
      <w:r w:rsidR="004331AC" w:rsidRPr="00B719AD">
        <w:rPr>
          <w:rStyle w:val="ECCParagraph"/>
        </w:rPr>
        <w:t xml:space="preserve"> threshold values in the RR. The </w:t>
      </w:r>
      <w:proofErr w:type="spellStart"/>
      <w:r w:rsidR="004331AC" w:rsidRPr="00B719AD">
        <w:rPr>
          <w:rStyle w:val="ECCParagraph"/>
        </w:rPr>
        <w:t>pfd</w:t>
      </w:r>
      <w:proofErr w:type="spellEnd"/>
      <w:r w:rsidR="004331AC" w:rsidRPr="00B719AD">
        <w:rPr>
          <w:rStyle w:val="ECCParagraph"/>
        </w:rPr>
        <w:t xml:space="preserve"> thresholds </w:t>
      </w:r>
      <w:r w:rsidR="00923856" w:rsidRPr="00B719AD">
        <w:rPr>
          <w:rStyle w:val="ECCParagraph"/>
        </w:rPr>
        <w:t xml:space="preserve">currently </w:t>
      </w:r>
      <w:r w:rsidR="004331AC" w:rsidRPr="00B719AD">
        <w:rPr>
          <w:rStyle w:val="ECCParagraph"/>
        </w:rPr>
        <w:t xml:space="preserve">contained in Table 5-2 of Appendix 5 </w:t>
      </w:r>
      <w:r w:rsidR="00B57AE2" w:rsidRPr="00B719AD">
        <w:rPr>
          <w:rStyle w:val="ECCParagraph"/>
        </w:rPr>
        <w:t>for this band</w:t>
      </w:r>
      <w:r w:rsidR="004331AC" w:rsidRPr="00B719AD">
        <w:rPr>
          <w:rStyle w:val="ECCParagraph"/>
        </w:rPr>
        <w:t xml:space="preserve"> </w:t>
      </w:r>
      <w:r w:rsidRPr="00B719AD">
        <w:rPr>
          <w:rStyle w:val="ECCParagraph"/>
        </w:rPr>
        <w:t>(</w:t>
      </w:r>
      <w:r w:rsidR="00B57AE2" w:rsidRPr="00B719AD">
        <w:rPr>
          <w:rStyle w:val="ECCParagraph"/>
        </w:rPr>
        <w:t>i.e. -128/-118 dB(W/m</w:t>
      </w:r>
      <w:r w:rsidR="00B57AE2" w:rsidRPr="00DD1F0C">
        <w:rPr>
          <w:rStyle w:val="ECCHLsuperscript"/>
        </w:rPr>
        <w:t>2</w:t>
      </w:r>
      <w:r w:rsidR="00B57AE2" w:rsidRPr="00B719AD">
        <w:rPr>
          <w:rStyle w:val="ECCParagraph"/>
        </w:rPr>
        <w:t>) for GSO MSS, -123/-113 dB(W/m</w:t>
      </w:r>
      <w:r w:rsidR="00B57AE2" w:rsidRPr="00DD1F0C">
        <w:rPr>
          <w:rStyle w:val="ECCHLsuperscript"/>
        </w:rPr>
        <w:t>2</w:t>
      </w:r>
      <w:r w:rsidR="00B57AE2" w:rsidRPr="00B719AD">
        <w:rPr>
          <w:rStyle w:val="ECCParagraph"/>
        </w:rPr>
        <w:t xml:space="preserve">) for non-GSO MSS) </w:t>
      </w:r>
      <w:r w:rsidR="004331AC" w:rsidRPr="00B719AD">
        <w:rPr>
          <w:rStyle w:val="ECCParagraph"/>
        </w:rPr>
        <w:t>would provide protection to the terrestrial component of IMT and other terrestrial services that may use the band 2</w:t>
      </w:r>
      <w:r w:rsidR="00DA39DF">
        <w:rPr>
          <w:rStyle w:val="ECCParagraph"/>
        </w:rPr>
        <w:t> </w:t>
      </w:r>
      <w:r w:rsidR="004331AC" w:rsidRPr="00B719AD">
        <w:rPr>
          <w:rStyle w:val="ECCParagraph"/>
        </w:rPr>
        <w:t>170-2</w:t>
      </w:r>
      <w:r w:rsidR="00DA39DF">
        <w:rPr>
          <w:rStyle w:val="ECCParagraph"/>
        </w:rPr>
        <w:t> </w:t>
      </w:r>
      <w:r w:rsidR="004331AC" w:rsidRPr="00B719AD">
        <w:rPr>
          <w:rStyle w:val="ECCParagraph"/>
        </w:rPr>
        <w:t xml:space="preserve">200 </w:t>
      </w:r>
      <w:proofErr w:type="spellStart"/>
      <w:r w:rsidR="004331AC" w:rsidRPr="00B719AD">
        <w:rPr>
          <w:rStyle w:val="ECCParagraph"/>
        </w:rPr>
        <w:t>MHz</w:t>
      </w:r>
      <w:r w:rsidR="00B57AE2" w:rsidRPr="00B719AD">
        <w:rPr>
          <w:rStyle w:val="ECCParagraph"/>
        </w:rPr>
        <w:t>.</w:t>
      </w:r>
      <w:proofErr w:type="spellEnd"/>
      <w:r w:rsidR="00B57AE2" w:rsidRPr="00B719AD">
        <w:rPr>
          <w:rStyle w:val="ECCParagraph"/>
        </w:rPr>
        <w:t xml:space="preserve"> Some MSS systems could exceed these threshold values in some areas </w:t>
      </w:r>
      <w:r w:rsidR="00923856" w:rsidRPr="00B719AD">
        <w:rPr>
          <w:rStyle w:val="ECCParagraph"/>
        </w:rPr>
        <w:t xml:space="preserve">in which case </w:t>
      </w:r>
      <w:r w:rsidR="00B57AE2" w:rsidRPr="00B719AD">
        <w:rPr>
          <w:rStyle w:val="ECCParagraph"/>
        </w:rPr>
        <w:t>coordination of the MSS downlink would be needed with the relevant administrations</w:t>
      </w:r>
      <w:r w:rsidR="004331AC" w:rsidRPr="00B719AD">
        <w:rPr>
          <w:rStyle w:val="ECCParagraph"/>
        </w:rPr>
        <w:t>.</w:t>
      </w:r>
      <w:r w:rsidR="002B1CBB" w:rsidRPr="00B719AD">
        <w:rPr>
          <w:rStyle w:val="ECCParagraph"/>
        </w:rPr>
        <w:t xml:space="preserve"> </w:t>
      </w:r>
      <w:r w:rsidR="002C266A" w:rsidRPr="00B719AD">
        <w:rPr>
          <w:rStyle w:val="ECCParagraph"/>
        </w:rPr>
        <w:t>[</w:t>
      </w:r>
      <w:r w:rsidR="00163525" w:rsidRPr="00B719AD">
        <w:rPr>
          <w:rStyle w:val="ECCHLyellow"/>
        </w:rPr>
        <w:t xml:space="preserve">It is </w:t>
      </w:r>
      <w:r w:rsidR="00B57AE2" w:rsidRPr="00B719AD">
        <w:rPr>
          <w:rStyle w:val="ECCHLyellow"/>
        </w:rPr>
        <w:t xml:space="preserve">also </w:t>
      </w:r>
      <w:r w:rsidR="00163525" w:rsidRPr="00B719AD">
        <w:rPr>
          <w:rStyle w:val="ECCHLyellow"/>
        </w:rPr>
        <w:t xml:space="preserve">proposed to </w:t>
      </w:r>
      <w:r w:rsidR="00C741D7" w:rsidRPr="00B719AD">
        <w:rPr>
          <w:rStyle w:val="ECCHLyellow"/>
        </w:rPr>
        <w:t xml:space="preserve">add an additional </w:t>
      </w:r>
      <w:proofErr w:type="spellStart"/>
      <w:r w:rsidR="00163525" w:rsidRPr="00B719AD">
        <w:rPr>
          <w:rStyle w:val="ECCHLyellow"/>
        </w:rPr>
        <w:t>pfd</w:t>
      </w:r>
      <w:proofErr w:type="spellEnd"/>
      <w:r w:rsidR="00163525" w:rsidRPr="00B719AD">
        <w:rPr>
          <w:rStyle w:val="ECCHLyellow"/>
        </w:rPr>
        <w:t xml:space="preserve"> coordination threshold value of </w:t>
      </w:r>
      <w:r w:rsidR="00163525" w:rsidRPr="00B719AD">
        <w:rPr>
          <w:rStyle w:val="ECCHLyellow"/>
        </w:rPr>
        <w:noBreakHyphen/>
        <w:t xml:space="preserve">105.8 </w:t>
      </w:r>
      <w:proofErr w:type="gramStart"/>
      <w:r w:rsidR="00163525" w:rsidRPr="00B719AD">
        <w:rPr>
          <w:rStyle w:val="ECCHLyellow"/>
        </w:rPr>
        <w:t>dB(</w:t>
      </w:r>
      <w:proofErr w:type="gramEnd"/>
      <w:r w:rsidR="00163525" w:rsidRPr="00B719AD">
        <w:rPr>
          <w:rStyle w:val="ECCHLyellow"/>
        </w:rPr>
        <w:t>W/m</w:t>
      </w:r>
      <w:r w:rsidR="00163525" w:rsidRPr="00DD1F0C">
        <w:rPr>
          <w:rStyle w:val="ECCHLsuperscript"/>
        </w:rPr>
        <w:t>2</w:t>
      </w:r>
      <w:r w:rsidR="00163525" w:rsidRPr="00B719AD">
        <w:rPr>
          <w:rStyle w:val="ECCHLyellow"/>
        </w:rPr>
        <w:t xml:space="preserve">) in 1 MHz in Table 5-2 of Appendix 5 RR in the band 2 170-2 200 MHz for protection </w:t>
      </w:r>
      <w:r w:rsidR="00C741D7" w:rsidRPr="00B719AD">
        <w:rPr>
          <w:rStyle w:val="ECCHLyellow"/>
        </w:rPr>
        <w:t xml:space="preserve">of </w:t>
      </w:r>
      <w:r w:rsidR="00163525" w:rsidRPr="00B719AD">
        <w:rPr>
          <w:rStyle w:val="ECCHLyellow"/>
        </w:rPr>
        <w:t>terrestrial stations of IMT systems, together with creating new Note 11 “The coordination thresholds in the band 2 170-2 200 MHz (all Regions) apply to protect terrestrial stations of IMT systems”.</w:t>
      </w:r>
      <w:r w:rsidR="002C266A" w:rsidRPr="00B719AD">
        <w:rPr>
          <w:rStyle w:val="ECCParagraph"/>
        </w:rPr>
        <w:t>]</w:t>
      </w:r>
    </w:p>
    <w:p w14:paraId="657FB908" w14:textId="1F678EB0" w:rsidR="002B1CBB" w:rsidRPr="00B719AD" w:rsidRDefault="00937778" w:rsidP="00427F22">
      <w:r w:rsidRPr="00B719AD">
        <w:t>[</w:t>
      </w:r>
      <w:r w:rsidRPr="00B719AD">
        <w:rPr>
          <w:rStyle w:val="ECCHLyellow"/>
        </w:rPr>
        <w:t>The</w:t>
      </w:r>
      <w:r w:rsidR="004331AC" w:rsidRPr="00B719AD">
        <w:rPr>
          <w:rStyle w:val="ECCHLyellow"/>
        </w:rPr>
        <w:t xml:space="preserve">re is some ambiguity about the effectiveness of the current threshold values, given Note 3 of Table 5-2 of Appendix 5: “The coordination thresholds in the band 2 160-2 170 MHz (Region 2) and 2 170-2 200 MHz (all Regions) to protect other terrestrial services do not apply to International Mobile Telecommunications (IMT) systems, as the satellite and the terrestrial components are not intended to operate in the same area </w:t>
      </w:r>
      <w:r w:rsidR="004331AC" w:rsidRPr="00B719AD">
        <w:rPr>
          <w:rStyle w:val="ECCHLyellow"/>
        </w:rPr>
        <w:lastRenderedPageBreak/>
        <w:t>or on common frequencies within these bands.” This footnote may be considered for deletion in order to remove the ambiguity.</w:t>
      </w:r>
      <w:r w:rsidR="00FA7B06" w:rsidRPr="00B719AD">
        <w:t>]</w:t>
      </w:r>
      <w:r w:rsidR="004331AC" w:rsidRPr="00B719AD">
        <w:t xml:space="preserve"> </w:t>
      </w:r>
    </w:p>
    <w:p w14:paraId="2972FB8F" w14:textId="77777777" w:rsidR="00CF5DE7" w:rsidRPr="00B719AD" w:rsidRDefault="004331AC">
      <w:pPr>
        <w:pStyle w:val="berschrift1"/>
        <w:rPr>
          <w:lang w:val="en-GB"/>
        </w:rPr>
      </w:pPr>
      <w:r w:rsidRPr="00B719AD">
        <w:rPr>
          <w:lang w:val="en-GB"/>
        </w:rPr>
        <w:t>List o</w:t>
      </w:r>
      <w:bookmarkStart w:id="1" w:name="_GoBack"/>
      <w:bookmarkEnd w:id="1"/>
      <w:r w:rsidRPr="00B719AD">
        <w:rPr>
          <w:lang w:val="en-GB"/>
        </w:rPr>
        <w:t>f relevant documents</w:t>
      </w:r>
    </w:p>
    <w:p w14:paraId="3B296375" w14:textId="77777777" w:rsidR="00CF5DE7" w:rsidRPr="00BA3D72" w:rsidRDefault="004331AC">
      <w:pPr>
        <w:pStyle w:val="ECCBreak"/>
        <w:rPr>
          <w:lang w:val="fr-FR"/>
        </w:rPr>
      </w:pPr>
      <w:r w:rsidRPr="00BA3D72">
        <w:rPr>
          <w:lang w:val="fr-FR"/>
        </w:rPr>
        <w:t>ITU-Documentation (</w:t>
      </w:r>
      <w:proofErr w:type="spellStart"/>
      <w:r w:rsidRPr="00BA3D72">
        <w:rPr>
          <w:lang w:val="fr-FR"/>
        </w:rPr>
        <w:t>Recommendations</w:t>
      </w:r>
      <w:proofErr w:type="spellEnd"/>
      <w:r w:rsidRPr="00BA3D72">
        <w:rPr>
          <w:lang w:val="fr-FR"/>
        </w:rPr>
        <w:t xml:space="preserve">, Reports, </w:t>
      </w:r>
      <w:proofErr w:type="spellStart"/>
      <w:r w:rsidRPr="00BA3D72">
        <w:rPr>
          <w:lang w:val="fr-FR"/>
        </w:rPr>
        <w:t>other</w:t>
      </w:r>
      <w:proofErr w:type="spellEnd"/>
      <w:r w:rsidRPr="00BA3D72">
        <w:rPr>
          <w:lang w:val="fr-FR"/>
        </w:rPr>
        <w:t>)</w:t>
      </w:r>
    </w:p>
    <w:p w14:paraId="3DD9566C" w14:textId="3D235330" w:rsidR="00CF5DE7" w:rsidRPr="00B719AD" w:rsidRDefault="004331AC">
      <w:pPr>
        <w:pStyle w:val="ECCBulletsLv1"/>
        <w:rPr>
          <w:rStyle w:val="ECCParagraph"/>
        </w:rPr>
      </w:pPr>
      <w:r w:rsidRPr="00B719AD">
        <w:rPr>
          <w:rStyle w:val="ECCParagraph"/>
        </w:rPr>
        <w:t xml:space="preserve">Annex </w:t>
      </w:r>
      <w:r w:rsidRPr="00B719AD">
        <w:rPr>
          <w:rStyle w:val="ECCParagraph"/>
        </w:rPr>
        <w:t>8</w:t>
      </w:r>
      <w:r w:rsidRPr="00B719AD">
        <w:rPr>
          <w:rStyle w:val="ECCParagraph"/>
        </w:rPr>
        <w:t xml:space="preserve"> to Working Party 4C Chairman’s Report (4C/</w:t>
      </w:r>
      <w:r w:rsidRPr="00B719AD">
        <w:rPr>
          <w:rStyle w:val="ECCParagraph"/>
        </w:rPr>
        <w:t>343</w:t>
      </w:r>
      <w:r w:rsidRPr="00B719AD">
        <w:rPr>
          <w:rStyle w:val="ECCParagraph"/>
        </w:rPr>
        <w:t>) WORKING DOCUMENT TOWARDS A PRELIMINARY DRAFT NEW [RECOMMENDATION OR REPORT] ITU-R M.[MSS&amp;IMT-ADVANCED SHARING] Coexistence and compatibility study between mobile satellite systems and terrestrial IMT-Advanced systems in the IMT-2 GHz bands in different countries.</w:t>
      </w:r>
    </w:p>
    <w:p w14:paraId="55D53BAF" w14:textId="77777777" w:rsidR="00CF5DE7" w:rsidRPr="00B719AD" w:rsidRDefault="004331AC">
      <w:pPr>
        <w:pStyle w:val="ECCBreak"/>
        <w:rPr>
          <w:lang w:val="en-GB"/>
        </w:rPr>
      </w:pPr>
      <w:r w:rsidRPr="00B719AD">
        <w:rPr>
          <w:lang w:val="en-GB"/>
        </w:rPr>
        <w:t>CEPT and/or ECC Documentation (Decisions, Recommendations, Reports)</w:t>
      </w:r>
    </w:p>
    <w:p w14:paraId="705F893B" w14:textId="77777777" w:rsidR="00CF5DE7" w:rsidRDefault="004331AC">
      <w:pPr>
        <w:pStyle w:val="ECCBulletsLv1"/>
        <w:rPr>
          <w:rStyle w:val="ECCParagraph"/>
        </w:rPr>
      </w:pPr>
      <w:r w:rsidRPr="00B719AD">
        <w:rPr>
          <w:rStyle w:val="ECCParagraph"/>
        </w:rPr>
        <w:t>ECC/DEC/(06)09</w:t>
      </w:r>
    </w:p>
    <w:p w14:paraId="430DA66B" w14:textId="7DB6417E" w:rsidR="00D32FF7" w:rsidRPr="00B719AD" w:rsidRDefault="00D32FF7">
      <w:pPr>
        <w:pStyle w:val="ECCBulletsLv1"/>
        <w:rPr>
          <w:rStyle w:val="ECCParagraph"/>
        </w:rPr>
      </w:pPr>
      <w:r>
        <w:rPr>
          <w:rStyle w:val="ECCParagraph"/>
        </w:rPr>
        <w:t>ECC/DEC/(06)10</w:t>
      </w:r>
    </w:p>
    <w:p w14:paraId="1C20826A" w14:textId="77777777" w:rsidR="00CF5DE7" w:rsidRPr="00B719AD" w:rsidRDefault="004331AC">
      <w:pPr>
        <w:pStyle w:val="ECCBreak"/>
        <w:rPr>
          <w:lang w:val="en-GB"/>
        </w:rPr>
      </w:pPr>
      <w:r w:rsidRPr="00B719AD">
        <w:rPr>
          <w:lang w:val="en-GB"/>
        </w:rPr>
        <w:t>EU Documentation (Directives, Decisions, Recommendations, other), if applicable</w:t>
      </w:r>
    </w:p>
    <w:p w14:paraId="2637D83A" w14:textId="77777777" w:rsidR="00CF5DE7" w:rsidRPr="00B719AD" w:rsidRDefault="004331AC">
      <w:pPr>
        <w:pStyle w:val="ECCBulletsLv1"/>
        <w:rPr>
          <w:rStyle w:val="ECCParagraph"/>
        </w:rPr>
      </w:pPr>
      <w:r w:rsidRPr="00B719AD">
        <w:rPr>
          <w:rStyle w:val="ECCParagraph"/>
        </w:rPr>
        <w:t>Commission Decision of 14 February 2007 on the harmonised use of radio spectrum in the 2 GHz frequency bands for the implementation of systems providing mobile satellite services: (2007/98/EC)</w:t>
      </w:r>
    </w:p>
    <w:p w14:paraId="476EF9FE" w14:textId="77777777" w:rsidR="00CF5DE7" w:rsidRPr="00B719AD" w:rsidRDefault="004331AC">
      <w:pPr>
        <w:pStyle w:val="ECCBulletsLv1"/>
        <w:rPr>
          <w:rStyle w:val="ECCParagraph"/>
        </w:rPr>
      </w:pPr>
      <w:r w:rsidRPr="00B719AD">
        <w:rPr>
          <w:rStyle w:val="ECCParagraph"/>
        </w:rPr>
        <w:t>Commission Decision of 13 May 2009 on the selection of operators of pan-European systems providing mobile satellite services (MSS): (2009/449/EC).</w:t>
      </w:r>
    </w:p>
    <w:p w14:paraId="4470B8CB" w14:textId="77777777" w:rsidR="00EB286B" w:rsidRPr="00EB286B" w:rsidRDefault="004331AC" w:rsidP="00EB286B">
      <w:pPr>
        <w:pStyle w:val="ECCBulletsLv1"/>
      </w:pPr>
      <w:r w:rsidRPr="00B719AD">
        <w:rPr>
          <w:rStyle w:val="ECCParagraph"/>
        </w:rPr>
        <w:t>Commission Implementing Decision of 05 November 2012 on the harmonisation of the frequency bands 1</w:t>
      </w:r>
      <w:r w:rsidR="00DA39DF">
        <w:rPr>
          <w:rStyle w:val="ECCParagraph"/>
        </w:rPr>
        <w:t> </w:t>
      </w:r>
      <w:r w:rsidRPr="00B719AD">
        <w:rPr>
          <w:rStyle w:val="ECCParagraph"/>
        </w:rPr>
        <w:t>920-1</w:t>
      </w:r>
      <w:r w:rsidR="00DA39DF">
        <w:rPr>
          <w:rStyle w:val="ECCParagraph"/>
        </w:rPr>
        <w:t> </w:t>
      </w:r>
      <w:r w:rsidRPr="00B719AD">
        <w:rPr>
          <w:rStyle w:val="ECCParagraph"/>
        </w:rPr>
        <w:t>980 MHz and 2</w:t>
      </w:r>
      <w:r w:rsidR="00DA39DF">
        <w:rPr>
          <w:rStyle w:val="ECCParagraph"/>
        </w:rPr>
        <w:t> </w:t>
      </w:r>
      <w:r w:rsidRPr="00B719AD">
        <w:rPr>
          <w:rStyle w:val="ECCParagraph"/>
        </w:rPr>
        <w:t>110-2</w:t>
      </w:r>
      <w:r w:rsidR="00DA39DF">
        <w:rPr>
          <w:rStyle w:val="ECCParagraph"/>
        </w:rPr>
        <w:t> </w:t>
      </w:r>
      <w:r w:rsidRPr="00B719AD">
        <w:rPr>
          <w:rStyle w:val="ECCParagraph"/>
        </w:rPr>
        <w:t xml:space="preserve">170 MHz for terrestrial systems capable of providing electronic communications services in the Union: </w:t>
      </w:r>
      <w:r w:rsidRPr="00B719AD">
        <w:t>(2012/688/EU)</w:t>
      </w:r>
    </w:p>
    <w:p w14:paraId="3F300A06" w14:textId="336E2D3F" w:rsidR="00CF5DE7" w:rsidRPr="00B719AD" w:rsidRDefault="004331AC">
      <w:pPr>
        <w:pStyle w:val="berschrift1"/>
        <w:rPr>
          <w:lang w:val="en-GB"/>
        </w:rPr>
      </w:pPr>
      <w:r w:rsidRPr="00B719AD">
        <w:rPr>
          <w:lang w:val="en-GB"/>
        </w:rPr>
        <w:t>Actions to be taken</w:t>
      </w:r>
    </w:p>
    <w:p w14:paraId="55D64169" w14:textId="17983502" w:rsidR="00D32FF7" w:rsidRDefault="00D32FF7">
      <w:pPr>
        <w:pStyle w:val="ECCBulletsLv2"/>
        <w:rPr>
          <w:rStyle w:val="ECCParagraph"/>
        </w:rPr>
      </w:pPr>
      <w:r>
        <w:rPr>
          <w:rStyle w:val="ECCParagraph"/>
        </w:rPr>
        <w:t>Study a revision of the threshold value for scenario B2</w:t>
      </w:r>
    </w:p>
    <w:p w14:paraId="737A5FAA" w14:textId="129A4C60" w:rsidR="00D32FF7" w:rsidRPr="00B719AD" w:rsidRDefault="00D32FF7">
      <w:pPr>
        <w:pStyle w:val="ECCBulletsLv2"/>
        <w:rPr>
          <w:rStyle w:val="ECCParagraph"/>
        </w:rPr>
      </w:pPr>
      <w:r>
        <w:rPr>
          <w:rStyle w:val="ECCParagraph"/>
        </w:rPr>
        <w:t>Develop a draft ECP on the issue</w:t>
      </w:r>
    </w:p>
    <w:p w14:paraId="0119A8D9" w14:textId="77777777" w:rsidR="00CF5DE7" w:rsidRPr="00B719AD" w:rsidRDefault="004331AC">
      <w:pPr>
        <w:pStyle w:val="berschrift1"/>
        <w:rPr>
          <w:lang w:val="en-GB"/>
        </w:rPr>
      </w:pPr>
      <w:r w:rsidRPr="00B719AD">
        <w:rPr>
          <w:lang w:val="en-GB"/>
        </w:rPr>
        <w:t>Relevant information from outside CEPT (examples of these are below)</w:t>
      </w:r>
    </w:p>
    <w:p w14:paraId="506F4E9E" w14:textId="77777777" w:rsidR="00CF5DE7" w:rsidRPr="00B719AD" w:rsidRDefault="004331AC">
      <w:pPr>
        <w:pStyle w:val="berschrift2"/>
        <w:rPr>
          <w:lang w:val="en-GB"/>
        </w:rPr>
      </w:pPr>
      <w:r w:rsidRPr="00B719AD">
        <w:rPr>
          <w:lang w:val="en-GB"/>
        </w:rPr>
        <w:t>European Union (date of proposal)</w:t>
      </w:r>
    </w:p>
    <w:p w14:paraId="5927EFAB" w14:textId="77777777" w:rsidR="00CF5DE7" w:rsidRPr="00B719AD" w:rsidRDefault="00CF5DE7">
      <w:pPr>
        <w:rPr>
          <w:rStyle w:val="ECCParagraph"/>
        </w:rPr>
      </w:pPr>
    </w:p>
    <w:p w14:paraId="6C226A7B" w14:textId="77777777" w:rsidR="00CF5DE7" w:rsidRPr="00B719AD" w:rsidRDefault="004331AC">
      <w:pPr>
        <w:pStyle w:val="berschrift2"/>
        <w:rPr>
          <w:lang w:val="en-GB"/>
        </w:rPr>
      </w:pPr>
      <w:r w:rsidRPr="00B719AD">
        <w:rPr>
          <w:lang w:val="en-GB"/>
        </w:rPr>
        <w:t>Regional telecommunication organisations</w:t>
      </w:r>
    </w:p>
    <w:p w14:paraId="7F5BD815" w14:textId="6B390706" w:rsidR="00CF5DE7" w:rsidRPr="00B719AD" w:rsidRDefault="004331AC">
      <w:pPr>
        <w:pStyle w:val="ECCBreak"/>
        <w:rPr>
          <w:lang w:val="en-GB"/>
        </w:rPr>
      </w:pPr>
      <w:r w:rsidRPr="00B719AD">
        <w:rPr>
          <w:lang w:val="en-GB"/>
        </w:rPr>
        <w:t>APT (</w:t>
      </w:r>
      <w:r w:rsidR="00CB31C6">
        <w:t>June</w:t>
      </w:r>
      <w:r w:rsidR="00CB31C6" w:rsidRPr="00B719AD">
        <w:rPr>
          <w:lang w:val="en-GB"/>
        </w:rPr>
        <w:t xml:space="preserve"> </w:t>
      </w:r>
      <w:r w:rsidRPr="00B719AD">
        <w:rPr>
          <w:lang w:val="en-GB"/>
        </w:rPr>
        <w:t>2018)</w:t>
      </w:r>
    </w:p>
    <w:p w14:paraId="017D90F3" w14:textId="77777777" w:rsidR="00CF5DE7" w:rsidRPr="00B719AD" w:rsidRDefault="004331AC">
      <w:pPr>
        <w:rPr>
          <w:rStyle w:val="ECCHLunderlined"/>
        </w:rPr>
      </w:pPr>
      <w:r w:rsidRPr="00B719AD">
        <w:rPr>
          <w:rStyle w:val="ECCHLunderlined"/>
        </w:rPr>
        <w:t>Preliminary view</w:t>
      </w:r>
    </w:p>
    <w:p w14:paraId="747E6A70" w14:textId="77777777" w:rsidR="002363CF" w:rsidRDefault="004331AC" w:rsidP="00CB31C6">
      <w:r w:rsidRPr="00B719AD">
        <w:t xml:space="preserve">APT Members supports conducting ITU-R studies on possible technical and operational measures to ensure coexistence and compatibility between the terrestrial component of IMT and the satellite component of IMT in the frequency bands 1 980–2 010 MHz and 2 170–2 200 MHz in different countries, in accordance with Resolution 212 (Rev.WRC-15). </w:t>
      </w:r>
    </w:p>
    <w:p w14:paraId="492E5C5F" w14:textId="30C6499E" w:rsidR="00CF5DE7" w:rsidRPr="00B719AD" w:rsidRDefault="004331AC" w:rsidP="00CB31C6">
      <w:pPr>
        <w:rPr>
          <w:rStyle w:val="ECCHLunderlined"/>
        </w:rPr>
      </w:pPr>
      <w:r w:rsidRPr="00B719AD">
        <w:rPr>
          <w:rStyle w:val="ECCHLunderlined"/>
        </w:rPr>
        <w:t>Other views</w:t>
      </w:r>
    </w:p>
    <w:p w14:paraId="129A74CB" w14:textId="0ACAB56C" w:rsidR="00CF5DE7" w:rsidRPr="00B719AD" w:rsidRDefault="004331AC" w:rsidP="00CB31C6">
      <w:r w:rsidRPr="00B719AD">
        <w:t xml:space="preserve">Some APT Members have a view that since the Radio Regulations did not establish priority neither between terrestrial and satellite components of IMT, nor between mobile and mobile-satellite services in the bands </w:t>
      </w:r>
      <w:r w:rsidRPr="00B719AD">
        <w:lastRenderedPageBreak/>
        <w:t>1 980-2 010 MHz and 2 170-2 200 </w:t>
      </w:r>
      <w:proofErr w:type="spellStart"/>
      <w:r w:rsidRPr="00B719AD">
        <w:t>MHz.</w:t>
      </w:r>
      <w:proofErr w:type="spellEnd"/>
      <w:r w:rsidRPr="00B719AD">
        <w:t xml:space="preserve"> Implementation of these technical and operational measures could be considered for new services to be deployed after a specific future date decided by WRC-19 while existing services already deployed before this date would not be constrained by these measures.</w:t>
      </w:r>
    </w:p>
    <w:p w14:paraId="4A7F4B3D" w14:textId="6AB90640" w:rsidR="00CF5DE7" w:rsidRPr="00B719AD" w:rsidRDefault="004331AC" w:rsidP="00CB31C6">
      <w:r w:rsidRPr="00B719AD">
        <w:t>Some APT Members expressed the view that studies should be conducted with a view of protecting terrestrial IMT systems operating in the adjacent frequency bands 1 920 – 1 980 MHz and 2 110–2 170 </w:t>
      </w:r>
      <w:proofErr w:type="spellStart"/>
      <w:r w:rsidRPr="00B719AD">
        <w:t>MHz.</w:t>
      </w:r>
      <w:proofErr w:type="spellEnd"/>
    </w:p>
    <w:p w14:paraId="1076458B" w14:textId="39EDB6A3" w:rsidR="00CF5DE7" w:rsidRPr="00B719AD" w:rsidRDefault="004331AC" w:rsidP="00CB31C6">
      <w:r w:rsidRPr="00B719AD">
        <w:t>Some APT Members expressed the view that preliminary results of sharing study show that potential harmful interference would occur from terrestrial IMT BSs into satellites in the band 1 980-2 010 MHz and also from satellites into terrestrial IMT UEs in the band 2 170-2 200 </w:t>
      </w:r>
      <w:proofErr w:type="spellStart"/>
      <w:r w:rsidRPr="00B719AD">
        <w:t>MHz.</w:t>
      </w:r>
      <w:proofErr w:type="spellEnd"/>
      <w:r w:rsidRPr="00B719AD">
        <w:t xml:space="preserve"> Therefore, it should be taken measures by both terrestrial IMT and satellite IMT systems to ensure coexistence and compatibility, as appropriate. The ITU-R studies regarding this issue have not been completed yet.</w:t>
      </w:r>
    </w:p>
    <w:p w14:paraId="2456ABEE" w14:textId="463C6F37" w:rsidR="00CF5DE7" w:rsidRPr="00B719AD" w:rsidRDefault="004331AC" w:rsidP="00CB31C6">
      <w:r w:rsidRPr="00B719AD">
        <w:t>Some APT Members are of the view that the compatibility between stations in terrestrial component of IMT and earth stations in satellite component of IMT can be ensured by application of the current coordination procedure specified in the provisions of RR Article 9.</w:t>
      </w:r>
    </w:p>
    <w:p w14:paraId="2C0E9969" w14:textId="05CF5D01" w:rsidR="00CF5DE7" w:rsidRPr="00B719AD" w:rsidRDefault="004331AC">
      <w:pPr>
        <w:pStyle w:val="ECCBreak"/>
        <w:rPr>
          <w:lang w:val="en-GB"/>
        </w:rPr>
      </w:pPr>
      <w:r w:rsidRPr="00B719AD">
        <w:rPr>
          <w:lang w:val="en-GB"/>
        </w:rPr>
        <w:t>ATU (</w:t>
      </w:r>
      <w:r w:rsidR="002363CF">
        <w:t>October 2018</w:t>
      </w:r>
      <w:r w:rsidRPr="00B719AD">
        <w:rPr>
          <w:lang w:val="en-GB"/>
        </w:rPr>
        <w:t>)</w:t>
      </w:r>
    </w:p>
    <w:p w14:paraId="472023B7" w14:textId="6E3E826B" w:rsidR="00CF5DE7" w:rsidRPr="00B719AD" w:rsidRDefault="002363CF">
      <w:pPr>
        <w:rPr>
          <w:rStyle w:val="ECCParagraph"/>
        </w:rPr>
      </w:pPr>
      <w:r>
        <w:rPr>
          <w:rStyle w:val="ECCParagraph"/>
        </w:rPr>
        <w:t>To be developed</w:t>
      </w:r>
    </w:p>
    <w:p w14:paraId="370703C4" w14:textId="256B13B0" w:rsidR="00CF5DE7" w:rsidRPr="00B719AD" w:rsidRDefault="002363CF">
      <w:pPr>
        <w:pStyle w:val="ECCBreak"/>
        <w:rPr>
          <w:lang w:val="en-GB"/>
        </w:rPr>
      </w:pPr>
      <w:r>
        <w:t xml:space="preserve">ASMG </w:t>
      </w:r>
      <w:r w:rsidR="004331AC" w:rsidRPr="00B719AD">
        <w:rPr>
          <w:lang w:val="en-GB"/>
        </w:rPr>
        <w:t>Arab Group (7-11 April 2018)</w:t>
      </w:r>
    </w:p>
    <w:p w14:paraId="23283957" w14:textId="38F02208" w:rsidR="00CF5DE7" w:rsidRPr="00B719AD" w:rsidRDefault="004331AC">
      <w:r w:rsidRPr="00B719AD">
        <w:t>Follow up the studies on this issue in the ITU Radio Sector Working Groups and support technical, operational and procedural measures for IMT systems to ensure compatibility between the terrestrial and satellite components of IMT systems in the frequency bands 1</w:t>
      </w:r>
      <w:r w:rsidR="00DA39DF">
        <w:t> </w:t>
      </w:r>
      <w:r w:rsidRPr="00B719AD">
        <w:t>980 -2</w:t>
      </w:r>
      <w:r w:rsidR="00DA39DF">
        <w:t> </w:t>
      </w:r>
      <w:r w:rsidRPr="00B719AD">
        <w:t>010 MHz and 2</w:t>
      </w:r>
      <w:r w:rsidR="00DA39DF">
        <w:t> </w:t>
      </w:r>
      <w:r w:rsidRPr="00B719AD">
        <w:t>170-2</w:t>
      </w:r>
      <w:r w:rsidR="00DA39DF">
        <w:t> </w:t>
      </w:r>
      <w:r w:rsidRPr="00B719AD">
        <w:t>200MHz.</w:t>
      </w:r>
    </w:p>
    <w:p w14:paraId="592C8EDA" w14:textId="0C19445B" w:rsidR="00CF5DE7" w:rsidRPr="00B719AD" w:rsidRDefault="004331AC">
      <w:pPr>
        <w:rPr>
          <w:rStyle w:val="ECCParagraph"/>
        </w:rPr>
      </w:pPr>
      <w:proofErr w:type="gramStart"/>
      <w:r w:rsidRPr="00B719AD">
        <w:t>Preference for using the terrestrial component of IMT in these bands.</w:t>
      </w:r>
      <w:proofErr w:type="gramEnd"/>
    </w:p>
    <w:p w14:paraId="1D712FA4" w14:textId="7F2FB185" w:rsidR="00CF5DE7" w:rsidRPr="00B719AD" w:rsidRDefault="004331AC">
      <w:pPr>
        <w:pStyle w:val="ECCBreak"/>
        <w:rPr>
          <w:lang w:val="en-GB"/>
        </w:rPr>
      </w:pPr>
      <w:r w:rsidRPr="00B719AD">
        <w:rPr>
          <w:lang w:val="en-GB"/>
        </w:rPr>
        <w:t>CITEL (</w:t>
      </w:r>
      <w:r w:rsidR="002363CF">
        <w:t>June 2018</w:t>
      </w:r>
      <w:r w:rsidRPr="00B719AD">
        <w:rPr>
          <w:lang w:val="en-GB"/>
        </w:rPr>
        <w:t>)</w:t>
      </w:r>
    </w:p>
    <w:p w14:paraId="4CBFAFAD" w14:textId="0F3AFECC" w:rsidR="002363CF" w:rsidRDefault="004331AC" w:rsidP="002363CF">
      <w:pPr>
        <w:rPr>
          <w:rStyle w:val="ECCHLunderlined"/>
        </w:rPr>
      </w:pPr>
      <w:r w:rsidRPr="00B719AD">
        <w:rPr>
          <w:rStyle w:val="ECCHLunderlined"/>
        </w:rPr>
        <w:t>Preliminary Views</w:t>
      </w:r>
      <w:r w:rsidR="002363CF" w:rsidRPr="002363CF">
        <w:rPr>
          <w:rStyle w:val="ECCHLunderlined"/>
        </w:rPr>
        <w:t xml:space="preserve"> </w:t>
      </w:r>
      <w:r w:rsidR="002363CF">
        <w:rPr>
          <w:rStyle w:val="ECCHLunderlined"/>
        </w:rPr>
        <w:t>from several countries supporting studies</w:t>
      </w:r>
    </w:p>
    <w:p w14:paraId="5098C01D" w14:textId="22461D01" w:rsidR="002363CF" w:rsidRDefault="002363CF" w:rsidP="002363CF">
      <w:pPr>
        <w:rPr>
          <w:rStyle w:val="ECCHLunderlined"/>
        </w:rPr>
      </w:pPr>
      <w:r>
        <w:rPr>
          <w:rStyle w:val="ECCHLunderlined"/>
        </w:rPr>
        <w:t>Need to ensure compatibility of both IMT components in neighbouring countries without undue constraints</w:t>
      </w:r>
      <w:r w:rsidR="006E300F">
        <w:rPr>
          <w:rStyle w:val="ECCHLunderlined"/>
        </w:rPr>
        <w:t>.</w:t>
      </w:r>
    </w:p>
    <w:p w14:paraId="76D385E7" w14:textId="4040F53E" w:rsidR="006E300F" w:rsidRPr="00D32FF7" w:rsidRDefault="004331AC" w:rsidP="00D32FF7">
      <w:pPr>
        <w:pStyle w:val="ECCBreak"/>
        <w:rPr>
          <w:lang w:val="en-GB"/>
        </w:rPr>
      </w:pPr>
      <w:r w:rsidRPr="00B719AD">
        <w:rPr>
          <w:lang w:val="en-GB"/>
        </w:rPr>
        <w:t>RCC (</w:t>
      </w:r>
      <w:r w:rsidR="00087464">
        <w:t>October</w:t>
      </w:r>
      <w:r w:rsidRPr="00B719AD">
        <w:rPr>
          <w:lang w:val="en-GB"/>
        </w:rPr>
        <w:t xml:space="preserve"> 2018)</w:t>
      </w:r>
    </w:p>
    <w:p w14:paraId="7DF604F3" w14:textId="2BC4E741" w:rsidR="00087464" w:rsidRPr="00087464" w:rsidRDefault="00087464" w:rsidP="00087464">
      <w:r w:rsidRPr="00087464">
        <w:t>To facilitate compatibility between IMT terrestrial component (in mobile service) and IMT satellite component (in mobile-satellite service) in the frequency bands 1 980-2 010 MHz and 2 170-2 200 MHz, the RCC Administrations support adoption of relevant ITU-R Recommendations and Reports and also relevant  regulatory provisions facilitating such compatibility.</w:t>
      </w:r>
    </w:p>
    <w:p w14:paraId="6228D5A4" w14:textId="77777777" w:rsidR="00087464" w:rsidRPr="00087464" w:rsidRDefault="00087464" w:rsidP="00087464">
      <w:r w:rsidRPr="00087464">
        <w:t xml:space="preserve">The RCC Administrations </w:t>
      </w:r>
      <w:r w:rsidRPr="00041907">
        <w:t>are</w:t>
      </w:r>
      <w:r w:rsidRPr="00087464">
        <w:t xml:space="preserve"> </w:t>
      </w:r>
      <w:r w:rsidRPr="00041907">
        <w:t>of</w:t>
      </w:r>
      <w:r w:rsidRPr="00087464">
        <w:t xml:space="preserve"> </w:t>
      </w:r>
      <w:r w:rsidRPr="00041907">
        <w:t>view</w:t>
      </w:r>
      <w:r w:rsidRPr="00087464">
        <w:t xml:space="preserve"> </w:t>
      </w:r>
      <w:r w:rsidRPr="00041907">
        <w:t>that</w:t>
      </w:r>
      <w:r w:rsidRPr="00087464">
        <w:t xml:space="preserve"> compatibility between IMT terrestrial component (in mobile service) and IMT satellite component (in mobile-satellite service) may be achieved through application of existing provisions of RR Article 9 and introduction of appropriate modifications to RR Appendices 5 and 70 to identify</w:t>
      </w:r>
      <w:r w:rsidRPr="00AC4D32">
        <w:t xml:space="preserve"> coordination thresholds between stations in mobile and mobile-satellite services in the frequency bands under consideration</w:t>
      </w:r>
      <w:r w:rsidRPr="00087464">
        <w:t>.</w:t>
      </w:r>
    </w:p>
    <w:p w14:paraId="0261D35B" w14:textId="6DF8316E" w:rsidR="00087464" w:rsidRPr="00B719AD" w:rsidRDefault="00087464">
      <w:pPr>
        <w:rPr>
          <w:rStyle w:val="ECCParagraph"/>
        </w:rPr>
      </w:pPr>
      <w:r w:rsidRPr="00087464">
        <w:t xml:space="preserve">The RCC Administrations </w:t>
      </w:r>
      <w:r w:rsidRPr="00AC4D32">
        <w:t xml:space="preserve">support adoption of relevant modifications of RR Appendices </w:t>
      </w:r>
      <w:r w:rsidRPr="00087464">
        <w:t>5 and 7, based on the materials of Report ITU-R M.2292.</w:t>
      </w:r>
    </w:p>
    <w:p w14:paraId="6A3B8B08" w14:textId="77777777" w:rsidR="00CF5DE7" w:rsidRPr="00B719AD" w:rsidRDefault="004331AC">
      <w:pPr>
        <w:pStyle w:val="berschrift2"/>
        <w:rPr>
          <w:lang w:val="en-GB"/>
        </w:rPr>
      </w:pPr>
      <w:r w:rsidRPr="00B719AD">
        <w:rPr>
          <w:lang w:val="en-GB"/>
        </w:rPr>
        <w:t>International organisations</w:t>
      </w:r>
    </w:p>
    <w:p w14:paraId="0951A66C" w14:textId="77777777" w:rsidR="00CF5DE7" w:rsidRPr="00B719AD" w:rsidRDefault="004331AC">
      <w:pPr>
        <w:pStyle w:val="ECCBreak"/>
        <w:rPr>
          <w:lang w:val="en-GB"/>
        </w:rPr>
      </w:pPr>
      <w:r w:rsidRPr="00B719AD">
        <w:rPr>
          <w:lang w:val="en-GB"/>
        </w:rPr>
        <w:t>IATA (date of proposal)</w:t>
      </w:r>
    </w:p>
    <w:p w14:paraId="1C6A4205" w14:textId="77777777" w:rsidR="00CF5DE7" w:rsidRPr="00B719AD" w:rsidRDefault="00CF5DE7">
      <w:pPr>
        <w:rPr>
          <w:rStyle w:val="ECCParagraph"/>
        </w:rPr>
      </w:pPr>
    </w:p>
    <w:p w14:paraId="337389EA" w14:textId="77777777" w:rsidR="00CF5DE7" w:rsidRPr="00B719AD" w:rsidRDefault="004331AC">
      <w:pPr>
        <w:pStyle w:val="ECCBreak"/>
        <w:rPr>
          <w:lang w:val="en-GB"/>
        </w:rPr>
      </w:pPr>
      <w:r w:rsidRPr="00B719AD">
        <w:rPr>
          <w:lang w:val="en-GB"/>
        </w:rPr>
        <w:lastRenderedPageBreak/>
        <w:t>ICAO (date of proposal)</w:t>
      </w:r>
    </w:p>
    <w:p w14:paraId="727EB683" w14:textId="77777777" w:rsidR="00CF5DE7" w:rsidRPr="00B719AD" w:rsidRDefault="00CF5DE7">
      <w:pPr>
        <w:rPr>
          <w:rStyle w:val="ECCParagraph"/>
        </w:rPr>
      </w:pPr>
    </w:p>
    <w:p w14:paraId="022CBDFF" w14:textId="77777777" w:rsidR="00CF5DE7" w:rsidRPr="00B719AD" w:rsidRDefault="004331AC">
      <w:pPr>
        <w:pStyle w:val="ECCBreak"/>
        <w:rPr>
          <w:lang w:val="en-GB"/>
        </w:rPr>
      </w:pPr>
      <w:r w:rsidRPr="00B719AD">
        <w:rPr>
          <w:lang w:val="en-GB"/>
        </w:rPr>
        <w:t>IMO (date of proposal)</w:t>
      </w:r>
    </w:p>
    <w:p w14:paraId="0981A39A" w14:textId="77777777" w:rsidR="00CF5DE7" w:rsidRPr="00B719AD" w:rsidRDefault="00CF5DE7">
      <w:pPr>
        <w:rPr>
          <w:rStyle w:val="ECCParagraph"/>
        </w:rPr>
      </w:pPr>
    </w:p>
    <w:p w14:paraId="4D6DF4C2" w14:textId="77777777" w:rsidR="00CF5DE7" w:rsidRPr="00B719AD" w:rsidRDefault="004331AC">
      <w:pPr>
        <w:pStyle w:val="ECCBreak"/>
        <w:rPr>
          <w:rStyle w:val="ECCParagraph"/>
        </w:rPr>
      </w:pPr>
      <w:r w:rsidRPr="00B719AD">
        <w:rPr>
          <w:rStyle w:val="ECCParagraph"/>
        </w:rPr>
        <w:t>NATO (23 June 2017)</w:t>
      </w:r>
    </w:p>
    <w:p w14:paraId="0E538E96" w14:textId="77777777" w:rsidR="00CF5DE7" w:rsidRPr="00B719AD" w:rsidRDefault="004331AC">
      <w:pPr>
        <w:rPr>
          <w:rStyle w:val="ECCParagraph"/>
        </w:rPr>
      </w:pPr>
      <w:r w:rsidRPr="00B719AD">
        <w:rPr>
          <w:rStyle w:val="ECCParagraph"/>
        </w:rPr>
        <w:t>This NATO military assessment summary is a common military assessment of the NATO Nations on the potential impacts and benefits of Agenda Item 9.1, Issue 9.1.1. It does not constitute a common position of the NATO Nations.</w:t>
      </w:r>
    </w:p>
    <w:p w14:paraId="3691CC10" w14:textId="77777777" w:rsidR="00CF5DE7" w:rsidRPr="00B719AD" w:rsidRDefault="004331AC">
      <w:pPr>
        <w:rPr>
          <w:rStyle w:val="ECCParagraph"/>
        </w:rPr>
      </w:pPr>
      <w:r w:rsidRPr="00B719AD">
        <w:rPr>
          <w:rStyle w:val="ECCParagraph"/>
        </w:rPr>
        <w:t>From a military perspective, studies under this issue present a limited risk on NATO military usage in adjacent bands.</w:t>
      </w:r>
    </w:p>
    <w:p w14:paraId="124E44CD" w14:textId="191D556D" w:rsidR="00CF5DE7" w:rsidRPr="00B719AD" w:rsidRDefault="004331AC">
      <w:pPr>
        <w:pStyle w:val="ECCBreak"/>
        <w:rPr>
          <w:lang w:val="en-GB"/>
        </w:rPr>
      </w:pPr>
      <w:r w:rsidRPr="00B719AD">
        <w:rPr>
          <w:lang w:val="en-GB"/>
        </w:rPr>
        <w:t>SFCG (</w:t>
      </w:r>
      <w:r w:rsidR="004C2DCD">
        <w:t>October 2018</w:t>
      </w:r>
      <w:r w:rsidRPr="00B719AD">
        <w:rPr>
          <w:lang w:val="en-GB"/>
        </w:rPr>
        <w:t>)</w:t>
      </w:r>
    </w:p>
    <w:p w14:paraId="67B8C8AB" w14:textId="707C3FF6" w:rsidR="004C2DCD" w:rsidRPr="004C2DCD" w:rsidRDefault="004C2DCD" w:rsidP="004C2DCD">
      <w:r w:rsidRPr="004D1269">
        <w:t xml:space="preserve">SFCG should continue to monitor the developments of this </w:t>
      </w:r>
      <w:r w:rsidRPr="004C2DCD">
        <w:t xml:space="preserve">issue in WPs 4C and 5D for any potential outcomes that could degrade the use of the 2200-2290 MHz and 2025-2110 MHz bands by the space science services. It is to be noted that unwanted emissions by SRS/EESS/SOS (Earth-to-space) may in turn interfere with terrestrial IMT and satellite-based IMT (MSS) in the 1885-2025 MHz band.  </w:t>
      </w:r>
    </w:p>
    <w:p w14:paraId="51B9A558" w14:textId="77777777" w:rsidR="00CF5DE7" w:rsidRPr="00B719AD" w:rsidRDefault="004331AC">
      <w:pPr>
        <w:pStyle w:val="ECCBreak"/>
        <w:rPr>
          <w:lang w:val="en-GB"/>
        </w:rPr>
      </w:pPr>
      <w:r w:rsidRPr="00B719AD">
        <w:rPr>
          <w:lang w:val="en-GB"/>
        </w:rPr>
        <w:t>WMO and EUMETNET (date of proposal)</w:t>
      </w:r>
    </w:p>
    <w:p w14:paraId="5A08F004" w14:textId="77777777" w:rsidR="00CF5DE7" w:rsidRPr="00B719AD" w:rsidRDefault="00CF5DE7">
      <w:pPr>
        <w:rPr>
          <w:rStyle w:val="ECCParagraph"/>
        </w:rPr>
      </w:pPr>
    </w:p>
    <w:p w14:paraId="23ECBB7F" w14:textId="77777777" w:rsidR="00CF5DE7" w:rsidRPr="00B719AD" w:rsidRDefault="004331AC">
      <w:pPr>
        <w:pStyle w:val="berschrift2"/>
        <w:rPr>
          <w:lang w:val="en-GB"/>
        </w:rPr>
      </w:pPr>
      <w:r w:rsidRPr="00B719AD">
        <w:rPr>
          <w:lang w:val="en-GB"/>
        </w:rPr>
        <w:t>Regional organisations</w:t>
      </w:r>
    </w:p>
    <w:p w14:paraId="4BE1BC25" w14:textId="77777777" w:rsidR="00CF5DE7" w:rsidRPr="00B719AD" w:rsidRDefault="004331AC">
      <w:pPr>
        <w:pStyle w:val="ECCBreak"/>
        <w:rPr>
          <w:lang w:val="en-GB"/>
        </w:rPr>
      </w:pPr>
      <w:r w:rsidRPr="00B719AD">
        <w:rPr>
          <w:lang w:val="en-GB"/>
        </w:rPr>
        <w:t>ESA (date of proposal)</w:t>
      </w:r>
    </w:p>
    <w:p w14:paraId="2DFBBC72" w14:textId="77777777" w:rsidR="00CF5DE7" w:rsidRPr="00B719AD" w:rsidRDefault="00CF5DE7">
      <w:pPr>
        <w:rPr>
          <w:rStyle w:val="ECCParagraph"/>
        </w:rPr>
      </w:pPr>
    </w:p>
    <w:p w14:paraId="2D79358F" w14:textId="77777777" w:rsidR="00CF5DE7" w:rsidRPr="00B719AD" w:rsidRDefault="004331AC">
      <w:pPr>
        <w:pStyle w:val="ECCBreak"/>
        <w:rPr>
          <w:lang w:val="en-GB"/>
        </w:rPr>
      </w:pPr>
      <w:proofErr w:type="spellStart"/>
      <w:r w:rsidRPr="00B719AD">
        <w:rPr>
          <w:lang w:val="en-GB"/>
        </w:rPr>
        <w:t>Eurocontrol</w:t>
      </w:r>
      <w:proofErr w:type="spellEnd"/>
      <w:r w:rsidRPr="00B719AD">
        <w:rPr>
          <w:lang w:val="en-GB"/>
        </w:rPr>
        <w:t xml:space="preserve"> (date of proposal)</w:t>
      </w:r>
    </w:p>
    <w:p w14:paraId="1E08881E" w14:textId="77777777" w:rsidR="00CF5DE7" w:rsidRPr="00B719AD" w:rsidRDefault="00CF5DE7">
      <w:pPr>
        <w:rPr>
          <w:rStyle w:val="ECCParagraph"/>
        </w:rPr>
      </w:pPr>
    </w:p>
    <w:p w14:paraId="485AA038" w14:textId="77777777" w:rsidR="00CF5DE7" w:rsidRPr="00B719AD" w:rsidRDefault="004331AC">
      <w:pPr>
        <w:pStyle w:val="berschrift2"/>
        <w:rPr>
          <w:lang w:val="en-GB"/>
        </w:rPr>
      </w:pPr>
      <w:r w:rsidRPr="00B719AD">
        <w:rPr>
          <w:lang w:val="en-GB"/>
        </w:rPr>
        <w:t>OTHER INTERNATIONAL AND REGIONAL ORGANISATIONS</w:t>
      </w:r>
    </w:p>
    <w:p w14:paraId="57C15C75" w14:textId="77777777" w:rsidR="00CF5DE7" w:rsidRPr="00B719AD" w:rsidRDefault="004331AC">
      <w:pPr>
        <w:pStyle w:val="ECCBreak"/>
        <w:rPr>
          <w:lang w:val="en-GB"/>
        </w:rPr>
      </w:pPr>
      <w:r w:rsidRPr="00B719AD">
        <w:rPr>
          <w:lang w:val="en-GB"/>
        </w:rPr>
        <w:t>EBU (date of proposal)</w:t>
      </w:r>
    </w:p>
    <w:p w14:paraId="3004E5B9" w14:textId="77777777" w:rsidR="00CF5DE7" w:rsidRPr="00B719AD" w:rsidRDefault="00CF5DE7">
      <w:pPr>
        <w:rPr>
          <w:rStyle w:val="ECCParagraph"/>
        </w:rPr>
      </w:pPr>
    </w:p>
    <w:p w14:paraId="46EDAF4A" w14:textId="77777777" w:rsidR="00CF5DE7" w:rsidRPr="00B719AD" w:rsidRDefault="004331AC">
      <w:pPr>
        <w:pStyle w:val="ECCBreak"/>
        <w:rPr>
          <w:lang w:val="en-GB"/>
        </w:rPr>
      </w:pPr>
      <w:r w:rsidRPr="00B719AD">
        <w:rPr>
          <w:lang w:val="en-GB"/>
        </w:rPr>
        <w:t>GSMA (date of proposal)</w:t>
      </w:r>
    </w:p>
    <w:p w14:paraId="276A95DB" w14:textId="77777777" w:rsidR="00CF5DE7" w:rsidRPr="00B719AD" w:rsidRDefault="00CF5DE7">
      <w:pPr>
        <w:rPr>
          <w:rStyle w:val="ECCParagraph"/>
        </w:rPr>
      </w:pPr>
    </w:p>
    <w:p w14:paraId="3F03C295" w14:textId="77777777" w:rsidR="00CF5DE7" w:rsidRPr="00B719AD" w:rsidRDefault="004331AC">
      <w:pPr>
        <w:pStyle w:val="ECCBreak"/>
        <w:rPr>
          <w:rStyle w:val="ECCParagraph"/>
        </w:rPr>
      </w:pPr>
      <w:r w:rsidRPr="00B719AD">
        <w:rPr>
          <w:lang w:val="en-GB"/>
        </w:rPr>
        <w:t>CRAF (date of proposal)</w:t>
      </w:r>
    </w:p>
    <w:sectPr w:rsidR="00CF5DE7" w:rsidRPr="00B719AD">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C53EA" w14:textId="77777777" w:rsidR="00152DB9" w:rsidRDefault="00152DB9">
      <w:r>
        <w:separator/>
      </w:r>
    </w:p>
    <w:p w14:paraId="00BC1B11" w14:textId="77777777" w:rsidR="00152DB9" w:rsidRDefault="00152DB9"/>
    <w:p w14:paraId="4B671399" w14:textId="77777777" w:rsidR="00152DB9" w:rsidRDefault="00152DB9"/>
  </w:endnote>
  <w:endnote w:type="continuationSeparator" w:id="0">
    <w:p w14:paraId="3F50B13E" w14:textId="77777777" w:rsidR="00152DB9" w:rsidRDefault="00152DB9">
      <w:r>
        <w:continuationSeparator/>
      </w:r>
    </w:p>
    <w:p w14:paraId="15AC7676" w14:textId="77777777" w:rsidR="00152DB9" w:rsidRDefault="00152DB9"/>
    <w:p w14:paraId="144945AA" w14:textId="77777777" w:rsidR="00152DB9" w:rsidRDefault="00152DB9"/>
  </w:endnote>
  <w:endnote w:type="continuationNotice" w:id="1">
    <w:p w14:paraId="27086835" w14:textId="77777777" w:rsidR="00152DB9" w:rsidRDefault="00152DB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22553" w14:textId="77777777" w:rsidR="00CF5DE7" w:rsidRDefault="00CF5DE7">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1294" w14:textId="77777777" w:rsidR="00CF5DE7" w:rsidRDefault="00CF5DE7">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152E6" w14:textId="77777777" w:rsidR="00CF5DE7" w:rsidRDefault="00CF5DE7">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590FD" w14:textId="77777777" w:rsidR="00152DB9" w:rsidRDefault="00152DB9">
      <w:pPr>
        <w:pStyle w:val="Funotentext"/>
      </w:pPr>
      <w:r>
        <w:separator/>
      </w:r>
    </w:p>
  </w:footnote>
  <w:footnote w:type="continuationSeparator" w:id="0">
    <w:p w14:paraId="46F2447C" w14:textId="77777777" w:rsidR="00152DB9" w:rsidRDefault="00152DB9">
      <w:pPr>
        <w:pStyle w:val="Funotentext"/>
      </w:pPr>
      <w:r>
        <w:continuationSeparator/>
      </w:r>
    </w:p>
  </w:footnote>
  <w:footnote w:type="continuationNotice" w:id="1">
    <w:p w14:paraId="6B8FF930" w14:textId="77777777" w:rsidR="00152DB9" w:rsidRDefault="00152DB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85EA" w14:textId="77777777" w:rsidR="00CF5DE7" w:rsidRDefault="004331AC">
    <w:pPr>
      <w:pStyle w:val="ECCpageHeader"/>
      <w:rPr>
        <w:lang w:val="en-US"/>
      </w:rPr>
    </w:pPr>
    <w:r>
      <w:rPr>
        <w:lang w:val="en-US"/>
      </w:rPr>
      <w:t xml:space="preserve">Draft CEPT Brief on AI 9.1 Issue 9.1.1 - Page </w:t>
    </w:r>
    <w:r>
      <w:fldChar w:fldCharType="begin"/>
    </w:r>
    <w:r>
      <w:rPr>
        <w:lang w:val="en-US"/>
      </w:rPr>
      <w:instrText xml:space="preserve"> PAGE  \* Arabic  \* MERGEFORMAT </w:instrText>
    </w:r>
    <w:r>
      <w:fldChar w:fldCharType="separate"/>
    </w:r>
    <w:r w:rsidR="00EB286B">
      <w:rPr>
        <w:noProof/>
        <w:lang w:val="en-US"/>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04A1B" w14:textId="77777777" w:rsidR="00CF5DE7" w:rsidRDefault="004331AC">
    <w:pPr>
      <w:pStyle w:val="ECCpageHeader"/>
      <w:rPr>
        <w:lang w:val="en-US"/>
      </w:rPr>
    </w:pPr>
    <w:r>
      <w:tab/>
    </w:r>
    <w:r>
      <w:tab/>
    </w:r>
    <w:r>
      <w:rPr>
        <w:lang w:val="en-US"/>
      </w:rPr>
      <w:t xml:space="preserve">Draft CEPT Brief on AI 9.1 Issue 9.1.1 - Page </w:t>
    </w:r>
    <w:r>
      <w:fldChar w:fldCharType="begin"/>
    </w:r>
    <w:r>
      <w:rPr>
        <w:lang w:val="en-US"/>
      </w:rPr>
      <w:instrText xml:space="preserve"> PAGE  \* Arabic  \* MERGEFORMAT </w:instrText>
    </w:r>
    <w:r>
      <w:fldChar w:fldCharType="separate"/>
    </w:r>
    <w:r w:rsidR="00EB286B">
      <w:rPr>
        <w:noProof/>
        <w:lang w:val="en-US"/>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09A33" w14:textId="77777777" w:rsidR="006360AE" w:rsidRDefault="006360AE" w:rsidP="006360AE">
    <w:pPr>
      <w:pStyle w:val="ECCpageHeader"/>
    </w:pPr>
    <w:r w:rsidRPr="006360AE">
      <w:rPr>
        <w:noProof/>
        <w:lang w:val="de-DE" w:eastAsia="de-DE"/>
      </w:rPr>
      <w:drawing>
        <wp:inline distT="0" distB="0" distL="0" distR="0" wp14:anchorId="7DB84834" wp14:editId="21B6DD24">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6360AE">
      <w:rPr>
        <w:noProof/>
        <w:lang w:val="de-DE" w:eastAsia="de-DE"/>
      </w:rPr>
      <w:drawing>
        <wp:inline distT="0" distB="0" distL="0" distR="0" wp14:anchorId="7F4E7748" wp14:editId="0042F0C2">
          <wp:extent cx="1461770" cy="546100"/>
          <wp:effectExtent l="0" t="0" r="5080" b="6350"/>
          <wp:docPr id="4"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6B1D4D58" w14:textId="77777777" w:rsidR="00053DC9" w:rsidRDefault="00053DC9">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401408"/>
    <w:multiLevelType w:val="hybridMultilevel"/>
    <w:tmpl w:val="C5E2E3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nsid w:val="79D82EEE"/>
    <w:multiLevelType w:val="hybridMultilevel"/>
    <w:tmpl w:val="4528693E"/>
    <w:lvl w:ilvl="0" w:tplc="5CF474C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8"/>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8"/>
  </w:num>
  <w:num w:numId="32">
    <w:abstractNumId w:val="14"/>
  </w:num>
  <w:num w:numId="33">
    <w:abstractNumId w:val="16"/>
  </w:num>
  <w:num w:numId="34">
    <w:abstractNumId w:val="15"/>
  </w:num>
  <w:num w:numId="35">
    <w:abstractNumId w:val="15"/>
  </w:num>
  <w:num w:numId="36">
    <w:abstractNumId w:val="15"/>
  </w:num>
  <w:num w:numId="37">
    <w:abstractNumId w:val="17"/>
  </w:num>
  <w:num w:numId="38">
    <w:abstractNumId w:val="1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PT1">
    <w15:presenceInfo w15:providerId="None" w15:userId="ECC PT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E7"/>
    <w:rsid w:val="0000577D"/>
    <w:rsid w:val="000221A4"/>
    <w:rsid w:val="00032720"/>
    <w:rsid w:val="0004122F"/>
    <w:rsid w:val="00041A18"/>
    <w:rsid w:val="00047BD4"/>
    <w:rsid w:val="00052CAE"/>
    <w:rsid w:val="00053DC9"/>
    <w:rsid w:val="00055EA6"/>
    <w:rsid w:val="000611F2"/>
    <w:rsid w:val="00061762"/>
    <w:rsid w:val="00062C99"/>
    <w:rsid w:val="00062CB1"/>
    <w:rsid w:val="000660F5"/>
    <w:rsid w:val="00067793"/>
    <w:rsid w:val="000701A5"/>
    <w:rsid w:val="00080D4D"/>
    <w:rsid w:val="00082DD7"/>
    <w:rsid w:val="000848D6"/>
    <w:rsid w:val="00087464"/>
    <w:rsid w:val="0008763A"/>
    <w:rsid w:val="00095620"/>
    <w:rsid w:val="00097D7A"/>
    <w:rsid w:val="000A29BC"/>
    <w:rsid w:val="000A3940"/>
    <w:rsid w:val="000A6285"/>
    <w:rsid w:val="000B11CD"/>
    <w:rsid w:val="000B2156"/>
    <w:rsid w:val="000B5026"/>
    <w:rsid w:val="000C028F"/>
    <w:rsid w:val="000C0D76"/>
    <w:rsid w:val="000C5CB6"/>
    <w:rsid w:val="000D1710"/>
    <w:rsid w:val="000D7A37"/>
    <w:rsid w:val="000E42F5"/>
    <w:rsid w:val="000E4820"/>
    <w:rsid w:val="000E7AFE"/>
    <w:rsid w:val="000F0594"/>
    <w:rsid w:val="000F1620"/>
    <w:rsid w:val="000F24F5"/>
    <w:rsid w:val="000F3F0B"/>
    <w:rsid w:val="001006CA"/>
    <w:rsid w:val="00100F8B"/>
    <w:rsid w:val="00103CB3"/>
    <w:rsid w:val="00104947"/>
    <w:rsid w:val="0012130A"/>
    <w:rsid w:val="0012228C"/>
    <w:rsid w:val="00152DB9"/>
    <w:rsid w:val="001552C2"/>
    <w:rsid w:val="00163525"/>
    <w:rsid w:val="0017456E"/>
    <w:rsid w:val="00183FE0"/>
    <w:rsid w:val="0018553F"/>
    <w:rsid w:val="001B109F"/>
    <w:rsid w:val="001B6B4C"/>
    <w:rsid w:val="001C2471"/>
    <w:rsid w:val="001D15AA"/>
    <w:rsid w:val="001D334F"/>
    <w:rsid w:val="001D671F"/>
    <w:rsid w:val="001E280F"/>
    <w:rsid w:val="001F09AC"/>
    <w:rsid w:val="001F11F9"/>
    <w:rsid w:val="0020079A"/>
    <w:rsid w:val="0020250F"/>
    <w:rsid w:val="002164BD"/>
    <w:rsid w:val="00220194"/>
    <w:rsid w:val="002230EA"/>
    <w:rsid w:val="00226070"/>
    <w:rsid w:val="0022735D"/>
    <w:rsid w:val="00235592"/>
    <w:rsid w:val="002363CF"/>
    <w:rsid w:val="00236978"/>
    <w:rsid w:val="0025552F"/>
    <w:rsid w:val="002620A2"/>
    <w:rsid w:val="00273354"/>
    <w:rsid w:val="00274F84"/>
    <w:rsid w:val="0028060B"/>
    <w:rsid w:val="0028120C"/>
    <w:rsid w:val="00293920"/>
    <w:rsid w:val="00295827"/>
    <w:rsid w:val="00295F16"/>
    <w:rsid w:val="002A1607"/>
    <w:rsid w:val="002A4AC9"/>
    <w:rsid w:val="002B1CBB"/>
    <w:rsid w:val="002C266A"/>
    <w:rsid w:val="002C5C63"/>
    <w:rsid w:val="002C62EE"/>
    <w:rsid w:val="002D1FA9"/>
    <w:rsid w:val="002D2240"/>
    <w:rsid w:val="002D50A3"/>
    <w:rsid w:val="002D6680"/>
    <w:rsid w:val="002E786C"/>
    <w:rsid w:val="002F1E6A"/>
    <w:rsid w:val="0030153A"/>
    <w:rsid w:val="003031DA"/>
    <w:rsid w:val="00307A79"/>
    <w:rsid w:val="0031367B"/>
    <w:rsid w:val="00322E6A"/>
    <w:rsid w:val="003314A0"/>
    <w:rsid w:val="003419EF"/>
    <w:rsid w:val="00356B5E"/>
    <w:rsid w:val="00361E54"/>
    <w:rsid w:val="00362AFC"/>
    <w:rsid w:val="003636A3"/>
    <w:rsid w:val="00370A0C"/>
    <w:rsid w:val="0037347B"/>
    <w:rsid w:val="003771D5"/>
    <w:rsid w:val="00380863"/>
    <w:rsid w:val="0038190E"/>
    <w:rsid w:val="0038358E"/>
    <w:rsid w:val="0039102A"/>
    <w:rsid w:val="00391A01"/>
    <w:rsid w:val="003A2374"/>
    <w:rsid w:val="003A5711"/>
    <w:rsid w:val="003A5C27"/>
    <w:rsid w:val="003A68D5"/>
    <w:rsid w:val="003B3AD2"/>
    <w:rsid w:val="003B7070"/>
    <w:rsid w:val="003C64D9"/>
    <w:rsid w:val="003E70E0"/>
    <w:rsid w:val="003F249E"/>
    <w:rsid w:val="00403CE6"/>
    <w:rsid w:val="004074CC"/>
    <w:rsid w:val="004110CA"/>
    <w:rsid w:val="00412BDF"/>
    <w:rsid w:val="004160C6"/>
    <w:rsid w:val="004209B3"/>
    <w:rsid w:val="0042509E"/>
    <w:rsid w:val="00427F22"/>
    <w:rsid w:val="004312CC"/>
    <w:rsid w:val="004331AC"/>
    <w:rsid w:val="004415CA"/>
    <w:rsid w:val="00443482"/>
    <w:rsid w:val="00443912"/>
    <w:rsid w:val="00446E3E"/>
    <w:rsid w:val="00450308"/>
    <w:rsid w:val="00457AD1"/>
    <w:rsid w:val="004617F6"/>
    <w:rsid w:val="00463C3F"/>
    <w:rsid w:val="0046427F"/>
    <w:rsid w:val="00470D4B"/>
    <w:rsid w:val="00474DC4"/>
    <w:rsid w:val="00485307"/>
    <w:rsid w:val="00491977"/>
    <w:rsid w:val="0049475F"/>
    <w:rsid w:val="0049491B"/>
    <w:rsid w:val="004A1329"/>
    <w:rsid w:val="004A352F"/>
    <w:rsid w:val="004A511D"/>
    <w:rsid w:val="004C2DCD"/>
    <w:rsid w:val="004C4A2E"/>
    <w:rsid w:val="004D5EA3"/>
    <w:rsid w:val="004E44C8"/>
    <w:rsid w:val="004E53BE"/>
    <w:rsid w:val="004F16F4"/>
    <w:rsid w:val="004F3F81"/>
    <w:rsid w:val="004F6CA7"/>
    <w:rsid w:val="00501911"/>
    <w:rsid w:val="005028D4"/>
    <w:rsid w:val="0051082C"/>
    <w:rsid w:val="00535050"/>
    <w:rsid w:val="00536F3C"/>
    <w:rsid w:val="0054260E"/>
    <w:rsid w:val="00550D79"/>
    <w:rsid w:val="005559AC"/>
    <w:rsid w:val="00557B5A"/>
    <w:rsid w:val="005611D0"/>
    <w:rsid w:val="00571A40"/>
    <w:rsid w:val="005736B2"/>
    <w:rsid w:val="0057797A"/>
    <w:rsid w:val="005817E4"/>
    <w:rsid w:val="00594186"/>
    <w:rsid w:val="005A5361"/>
    <w:rsid w:val="005A53B8"/>
    <w:rsid w:val="005A5C01"/>
    <w:rsid w:val="005B12CB"/>
    <w:rsid w:val="005B4A37"/>
    <w:rsid w:val="005C10EB"/>
    <w:rsid w:val="005D2194"/>
    <w:rsid w:val="005D371D"/>
    <w:rsid w:val="005E075A"/>
    <w:rsid w:val="005E7495"/>
    <w:rsid w:val="00601E5F"/>
    <w:rsid w:val="006104BA"/>
    <w:rsid w:val="00621C12"/>
    <w:rsid w:val="00635A22"/>
    <w:rsid w:val="006360AE"/>
    <w:rsid w:val="00642083"/>
    <w:rsid w:val="0065550D"/>
    <w:rsid w:val="00662AA8"/>
    <w:rsid w:val="00665364"/>
    <w:rsid w:val="00673DCB"/>
    <w:rsid w:val="0068085F"/>
    <w:rsid w:val="0068228A"/>
    <w:rsid w:val="006876A8"/>
    <w:rsid w:val="00687B43"/>
    <w:rsid w:val="00695187"/>
    <w:rsid w:val="006A17EF"/>
    <w:rsid w:val="006A49E3"/>
    <w:rsid w:val="006B1EFD"/>
    <w:rsid w:val="006B6E9D"/>
    <w:rsid w:val="006C454C"/>
    <w:rsid w:val="006C5C1C"/>
    <w:rsid w:val="006E300F"/>
    <w:rsid w:val="006E4888"/>
    <w:rsid w:val="006E7F79"/>
    <w:rsid w:val="006F0442"/>
    <w:rsid w:val="007023A3"/>
    <w:rsid w:val="00703FC0"/>
    <w:rsid w:val="00710594"/>
    <w:rsid w:val="00715D96"/>
    <w:rsid w:val="007160BE"/>
    <w:rsid w:val="00721539"/>
    <w:rsid w:val="00722F65"/>
    <w:rsid w:val="0072310B"/>
    <w:rsid w:val="007235C2"/>
    <w:rsid w:val="00725F89"/>
    <w:rsid w:val="00726836"/>
    <w:rsid w:val="007275CC"/>
    <w:rsid w:val="00734A4F"/>
    <w:rsid w:val="00744782"/>
    <w:rsid w:val="0075143D"/>
    <w:rsid w:val="007523B9"/>
    <w:rsid w:val="007540A5"/>
    <w:rsid w:val="00762BCC"/>
    <w:rsid w:val="00763BA3"/>
    <w:rsid w:val="00765B66"/>
    <w:rsid w:val="00767BB2"/>
    <w:rsid w:val="00775207"/>
    <w:rsid w:val="00780376"/>
    <w:rsid w:val="00791AAC"/>
    <w:rsid w:val="0079294E"/>
    <w:rsid w:val="0079410C"/>
    <w:rsid w:val="007956FF"/>
    <w:rsid w:val="007959E8"/>
    <w:rsid w:val="00797D4C"/>
    <w:rsid w:val="007A6498"/>
    <w:rsid w:val="007B3792"/>
    <w:rsid w:val="007B52C8"/>
    <w:rsid w:val="007C0E7E"/>
    <w:rsid w:val="007C5A3B"/>
    <w:rsid w:val="007D17C5"/>
    <w:rsid w:val="007D52EC"/>
    <w:rsid w:val="007F1CEE"/>
    <w:rsid w:val="007F74C3"/>
    <w:rsid w:val="00802067"/>
    <w:rsid w:val="008062AC"/>
    <w:rsid w:val="00817826"/>
    <w:rsid w:val="00837537"/>
    <w:rsid w:val="00855DFC"/>
    <w:rsid w:val="00856BF8"/>
    <w:rsid w:val="00857A46"/>
    <w:rsid w:val="0086094D"/>
    <w:rsid w:val="00872382"/>
    <w:rsid w:val="008742E3"/>
    <w:rsid w:val="00876CF8"/>
    <w:rsid w:val="008A1315"/>
    <w:rsid w:val="008A38A9"/>
    <w:rsid w:val="008A3C3C"/>
    <w:rsid w:val="008A54FC"/>
    <w:rsid w:val="008B70CD"/>
    <w:rsid w:val="008B7CE5"/>
    <w:rsid w:val="008C46C6"/>
    <w:rsid w:val="008C52D7"/>
    <w:rsid w:val="008D1E88"/>
    <w:rsid w:val="008E6109"/>
    <w:rsid w:val="008E69E5"/>
    <w:rsid w:val="008F3ABC"/>
    <w:rsid w:val="008F4357"/>
    <w:rsid w:val="008F46F5"/>
    <w:rsid w:val="00902876"/>
    <w:rsid w:val="00916798"/>
    <w:rsid w:val="009170EA"/>
    <w:rsid w:val="00917D1C"/>
    <w:rsid w:val="0092076F"/>
    <w:rsid w:val="00923856"/>
    <w:rsid w:val="00925275"/>
    <w:rsid w:val="00925F07"/>
    <w:rsid w:val="00927833"/>
    <w:rsid w:val="00930439"/>
    <w:rsid w:val="00930BDF"/>
    <w:rsid w:val="009311B9"/>
    <w:rsid w:val="00937778"/>
    <w:rsid w:val="00937FE5"/>
    <w:rsid w:val="009434C3"/>
    <w:rsid w:val="00947A5A"/>
    <w:rsid w:val="00971AE4"/>
    <w:rsid w:val="009770CA"/>
    <w:rsid w:val="00986677"/>
    <w:rsid w:val="00991B78"/>
    <w:rsid w:val="0099421C"/>
    <w:rsid w:val="009B0080"/>
    <w:rsid w:val="009B074E"/>
    <w:rsid w:val="009B0A78"/>
    <w:rsid w:val="009B6097"/>
    <w:rsid w:val="009D1AE5"/>
    <w:rsid w:val="009D3496"/>
    <w:rsid w:val="009D4BA1"/>
    <w:rsid w:val="009D7D5A"/>
    <w:rsid w:val="009E3D83"/>
    <w:rsid w:val="009E47EB"/>
    <w:rsid w:val="009E6DC3"/>
    <w:rsid w:val="009F0B56"/>
    <w:rsid w:val="009F16E3"/>
    <w:rsid w:val="009F3A37"/>
    <w:rsid w:val="00A02090"/>
    <w:rsid w:val="00A076B5"/>
    <w:rsid w:val="00A23870"/>
    <w:rsid w:val="00A31525"/>
    <w:rsid w:val="00A36251"/>
    <w:rsid w:val="00A43BD3"/>
    <w:rsid w:val="00A70B23"/>
    <w:rsid w:val="00A73298"/>
    <w:rsid w:val="00A83A76"/>
    <w:rsid w:val="00A901BE"/>
    <w:rsid w:val="00A95ACB"/>
    <w:rsid w:val="00A95DD6"/>
    <w:rsid w:val="00A97942"/>
    <w:rsid w:val="00AA079B"/>
    <w:rsid w:val="00AA086A"/>
    <w:rsid w:val="00AA2D7A"/>
    <w:rsid w:val="00AA3E59"/>
    <w:rsid w:val="00AB1C16"/>
    <w:rsid w:val="00AB2EA8"/>
    <w:rsid w:val="00AB3C46"/>
    <w:rsid w:val="00AC07C3"/>
    <w:rsid w:val="00AD7257"/>
    <w:rsid w:val="00AE28B7"/>
    <w:rsid w:val="00AE372A"/>
    <w:rsid w:val="00AF2D0C"/>
    <w:rsid w:val="00B003F0"/>
    <w:rsid w:val="00B1268E"/>
    <w:rsid w:val="00B2563E"/>
    <w:rsid w:val="00B3042F"/>
    <w:rsid w:val="00B30D3B"/>
    <w:rsid w:val="00B338E8"/>
    <w:rsid w:val="00B3555A"/>
    <w:rsid w:val="00B3791F"/>
    <w:rsid w:val="00B432D4"/>
    <w:rsid w:val="00B453ED"/>
    <w:rsid w:val="00B460E4"/>
    <w:rsid w:val="00B54194"/>
    <w:rsid w:val="00B576D7"/>
    <w:rsid w:val="00B57AE2"/>
    <w:rsid w:val="00B62374"/>
    <w:rsid w:val="00B6590F"/>
    <w:rsid w:val="00B719AD"/>
    <w:rsid w:val="00B7332A"/>
    <w:rsid w:val="00B80892"/>
    <w:rsid w:val="00B82735"/>
    <w:rsid w:val="00B92861"/>
    <w:rsid w:val="00BA2E30"/>
    <w:rsid w:val="00BA3D72"/>
    <w:rsid w:val="00BA524C"/>
    <w:rsid w:val="00BA7A69"/>
    <w:rsid w:val="00BB0931"/>
    <w:rsid w:val="00BB0DFA"/>
    <w:rsid w:val="00BC3CA5"/>
    <w:rsid w:val="00BC7658"/>
    <w:rsid w:val="00BD28DF"/>
    <w:rsid w:val="00BD4E12"/>
    <w:rsid w:val="00BD7669"/>
    <w:rsid w:val="00BE2864"/>
    <w:rsid w:val="00BE4B48"/>
    <w:rsid w:val="00BE72F3"/>
    <w:rsid w:val="00BE7A80"/>
    <w:rsid w:val="00BF3831"/>
    <w:rsid w:val="00C0323C"/>
    <w:rsid w:val="00C0561A"/>
    <w:rsid w:val="00C06EB5"/>
    <w:rsid w:val="00C076BF"/>
    <w:rsid w:val="00C10C10"/>
    <w:rsid w:val="00C27F02"/>
    <w:rsid w:val="00C32C7A"/>
    <w:rsid w:val="00C33A7C"/>
    <w:rsid w:val="00C44519"/>
    <w:rsid w:val="00C504F4"/>
    <w:rsid w:val="00C57E85"/>
    <w:rsid w:val="00C65BB4"/>
    <w:rsid w:val="00C7174C"/>
    <w:rsid w:val="00C741D7"/>
    <w:rsid w:val="00C77ABB"/>
    <w:rsid w:val="00C8071C"/>
    <w:rsid w:val="00C816CB"/>
    <w:rsid w:val="00C82461"/>
    <w:rsid w:val="00C90159"/>
    <w:rsid w:val="00C954C9"/>
    <w:rsid w:val="00CA07CC"/>
    <w:rsid w:val="00CA4FCE"/>
    <w:rsid w:val="00CA5F8F"/>
    <w:rsid w:val="00CB2BA4"/>
    <w:rsid w:val="00CB31C6"/>
    <w:rsid w:val="00CC5A5A"/>
    <w:rsid w:val="00CC5A6F"/>
    <w:rsid w:val="00CD188B"/>
    <w:rsid w:val="00CE271A"/>
    <w:rsid w:val="00CE6FF5"/>
    <w:rsid w:val="00CF2EC7"/>
    <w:rsid w:val="00CF5245"/>
    <w:rsid w:val="00CF5DE7"/>
    <w:rsid w:val="00D0121B"/>
    <w:rsid w:val="00D04BA8"/>
    <w:rsid w:val="00D06479"/>
    <w:rsid w:val="00D06CA9"/>
    <w:rsid w:val="00D076EE"/>
    <w:rsid w:val="00D07B1A"/>
    <w:rsid w:val="00D24CD0"/>
    <w:rsid w:val="00D2623E"/>
    <w:rsid w:val="00D30E46"/>
    <w:rsid w:val="00D32FF7"/>
    <w:rsid w:val="00D50AC8"/>
    <w:rsid w:val="00D53EEF"/>
    <w:rsid w:val="00D66C14"/>
    <w:rsid w:val="00D6752C"/>
    <w:rsid w:val="00D70059"/>
    <w:rsid w:val="00D7743E"/>
    <w:rsid w:val="00D904D5"/>
    <w:rsid w:val="00DA0026"/>
    <w:rsid w:val="00DA3672"/>
    <w:rsid w:val="00DA39DF"/>
    <w:rsid w:val="00DA444C"/>
    <w:rsid w:val="00DA511B"/>
    <w:rsid w:val="00DB0547"/>
    <w:rsid w:val="00DC19C0"/>
    <w:rsid w:val="00DD1F0C"/>
    <w:rsid w:val="00DD4E93"/>
    <w:rsid w:val="00DD6CE9"/>
    <w:rsid w:val="00DE3FC2"/>
    <w:rsid w:val="00DF1677"/>
    <w:rsid w:val="00DF2C67"/>
    <w:rsid w:val="00DF3AE2"/>
    <w:rsid w:val="00DF7D21"/>
    <w:rsid w:val="00E059C5"/>
    <w:rsid w:val="00E06B29"/>
    <w:rsid w:val="00E06C22"/>
    <w:rsid w:val="00E15C6A"/>
    <w:rsid w:val="00E26BAC"/>
    <w:rsid w:val="00E301B5"/>
    <w:rsid w:val="00E4781B"/>
    <w:rsid w:val="00E51F8B"/>
    <w:rsid w:val="00E60351"/>
    <w:rsid w:val="00E61CA4"/>
    <w:rsid w:val="00E63CB7"/>
    <w:rsid w:val="00E71AE7"/>
    <w:rsid w:val="00E752E6"/>
    <w:rsid w:val="00E81460"/>
    <w:rsid w:val="00E97060"/>
    <w:rsid w:val="00EA6088"/>
    <w:rsid w:val="00EB286B"/>
    <w:rsid w:val="00EC1A2C"/>
    <w:rsid w:val="00EF0BFE"/>
    <w:rsid w:val="00EF21FB"/>
    <w:rsid w:val="00EF2A1E"/>
    <w:rsid w:val="00F10E1F"/>
    <w:rsid w:val="00F212EB"/>
    <w:rsid w:val="00F216FF"/>
    <w:rsid w:val="00F22A1D"/>
    <w:rsid w:val="00F268C0"/>
    <w:rsid w:val="00F465D3"/>
    <w:rsid w:val="00F53EAC"/>
    <w:rsid w:val="00F569C9"/>
    <w:rsid w:val="00F56F06"/>
    <w:rsid w:val="00F73815"/>
    <w:rsid w:val="00F7770D"/>
    <w:rsid w:val="00F85984"/>
    <w:rsid w:val="00F868C9"/>
    <w:rsid w:val="00F9080B"/>
    <w:rsid w:val="00F93115"/>
    <w:rsid w:val="00F964B1"/>
    <w:rsid w:val="00F97DAD"/>
    <w:rsid w:val="00FA49C1"/>
    <w:rsid w:val="00FA4E1B"/>
    <w:rsid w:val="00FA5792"/>
    <w:rsid w:val="00FA5B5D"/>
    <w:rsid w:val="00FA63DC"/>
    <w:rsid w:val="00FA7B06"/>
    <w:rsid w:val="00FB200D"/>
    <w:rsid w:val="00FB30CA"/>
    <w:rsid w:val="00FE4074"/>
    <w:rsid w:val="00FE538A"/>
    <w:rsid w:val="00FE7EEC"/>
    <w:rsid w:val="00FF22E1"/>
    <w:rsid w:val="00FF46BD"/>
    <w:rsid w:val="00FF718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321B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Pr>
      <w:rFonts w:eastAsia="Calibri"/>
      <w:szCs w:val="22"/>
      <w:lang w:val="en-GB"/>
    </w:rPr>
  </w:style>
  <w:style w:type="paragraph" w:styleId="berschrift1">
    <w:name w:val="heading 1"/>
    <w:aliases w:val="ECC Heading 1"/>
    <w:next w:val="Standard"/>
    <w:qFormat/>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pPr>
      <w:numPr>
        <w:ilvl w:val="4"/>
        <w:numId w:val="36"/>
      </w:numPr>
      <w:outlineLvl w:val="4"/>
    </w:pPr>
    <w:rPr>
      <w:b/>
      <w:bCs/>
      <w:i/>
      <w:iCs/>
      <w:sz w:val="26"/>
      <w:szCs w:val="26"/>
    </w:rPr>
  </w:style>
  <w:style w:type="paragraph" w:styleId="berschrift6">
    <w:name w:val="heading 6"/>
    <w:basedOn w:val="Standard"/>
    <w:next w:val="Standard"/>
    <w:semiHidden/>
    <w:qFormat/>
    <w:locked/>
    <w:pPr>
      <w:numPr>
        <w:ilvl w:val="5"/>
        <w:numId w:val="36"/>
      </w:numPr>
      <w:outlineLvl w:val="5"/>
    </w:pPr>
    <w:rPr>
      <w:b/>
      <w:bCs/>
      <w:sz w:val="22"/>
    </w:rPr>
  </w:style>
  <w:style w:type="paragraph" w:styleId="berschrift7">
    <w:name w:val="heading 7"/>
    <w:basedOn w:val="Standard"/>
    <w:next w:val="Standard"/>
    <w:semiHidden/>
    <w:qFormat/>
    <w:locked/>
    <w:pPr>
      <w:numPr>
        <w:ilvl w:val="6"/>
        <w:numId w:val="36"/>
      </w:numPr>
      <w:outlineLvl w:val="6"/>
    </w:pPr>
    <w:rPr>
      <w:sz w:val="24"/>
    </w:rPr>
  </w:style>
  <w:style w:type="paragraph" w:styleId="berschrift8">
    <w:name w:val="heading 8"/>
    <w:basedOn w:val="Standard"/>
    <w:next w:val="Standard"/>
    <w:semiHidden/>
    <w:qFormat/>
    <w:locked/>
    <w:pPr>
      <w:numPr>
        <w:ilvl w:val="7"/>
        <w:numId w:val="36"/>
      </w:numPr>
      <w:outlineLvl w:val="7"/>
    </w:pPr>
    <w:rPr>
      <w:i/>
      <w:iCs/>
      <w:sz w:val="24"/>
    </w:rPr>
  </w:style>
  <w:style w:type="paragraph" w:styleId="berschrift9">
    <w:name w:val="heading 9"/>
    <w:basedOn w:val="Standard"/>
    <w:next w:val="Standard"/>
    <w:semiHidden/>
    <w:qFormat/>
    <w:locked/>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pPr>
      <w:numPr>
        <w:numId w:val="28"/>
      </w:numPr>
      <w:tabs>
        <w:tab w:val="left" w:pos="340"/>
      </w:tabs>
      <w:spacing w:before="60" w:after="0"/>
    </w:pPr>
  </w:style>
  <w:style w:type="paragraph" w:customStyle="1" w:styleId="ECCHeadingnonumbering">
    <w:name w:val="ECC Heading no numbering"/>
    <w:basedOn w:val="berschrift1"/>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pPr>
      <w:spacing w:before="0" w:after="0"/>
    </w:pPr>
    <w:rPr>
      <w:rFonts w:ascii="Tahoma" w:hAnsi="Tahoma" w:cs="Tahoma"/>
      <w:sz w:val="16"/>
      <w:szCs w:val="16"/>
    </w:rPr>
  </w:style>
  <w:style w:type="paragraph" w:customStyle="1" w:styleId="ECCAnnexheading1">
    <w:name w:val="ECC Annex heading1"/>
    <w:next w:val="Standard"/>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Pr>
      <w:rFonts w:eastAsia="Calibri"/>
      <w:sz w:val="16"/>
      <w:szCs w:val="16"/>
      <w14:cntxtAlts/>
    </w:rPr>
  </w:style>
  <w:style w:type="character" w:styleId="Funotenzeichen">
    <w:name w:val="footnote reference"/>
    <w:aliases w:val="ECC Footnote number"/>
    <w:basedOn w:val="Absatz-Standardschriftart"/>
    <w:rPr>
      <w:rFonts w:ascii="Arial" w:hAnsi="Arial"/>
      <w:sz w:val="20"/>
      <w:vertAlign w:val="superscript"/>
    </w:rPr>
  </w:style>
  <w:style w:type="paragraph" w:customStyle="1" w:styleId="ECCTablenote">
    <w:name w:val="ECC Table note"/>
    <w:qFormat/>
    <w:pPr>
      <w:spacing w:before="0" w:after="0"/>
      <w:ind w:left="284" w:hanging="284"/>
    </w:pPr>
    <w:rPr>
      <w:rFonts w:eastAsia="Calibri"/>
      <w:sz w:val="16"/>
      <w:szCs w:val="16"/>
      <w:lang w:val="en-GB"/>
    </w:rPr>
  </w:style>
  <w:style w:type="paragraph" w:customStyle="1" w:styleId="ECCBulletsLv2">
    <w:name w:val="ECC Bullets Lv2"/>
    <w:basedOn w:val="ECCBulletsLv1"/>
    <w:pPr>
      <w:ind w:left="680" w:hanging="340"/>
    </w:pPr>
  </w:style>
  <w:style w:type="paragraph" w:customStyle="1" w:styleId="ECCAnnexheading2">
    <w:name w:val="ECC Annex heading2"/>
    <w:next w:val="Standard"/>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pPr>
      <w:tabs>
        <w:tab w:val="clear" w:pos="340"/>
        <w:tab w:val="left" w:pos="680"/>
      </w:tabs>
      <w:ind w:left="1020" w:hanging="340"/>
    </w:pPr>
  </w:style>
  <w:style w:type="table" w:customStyle="1" w:styleId="ECCTable-clean">
    <w:name w:val="ECC Table - clean"/>
    <w:uiPriority w:val="99"/>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pPr>
      <w:numPr>
        <w:ilvl w:val="1"/>
        <w:numId w:val="31"/>
      </w:numPr>
      <w:spacing w:after="0"/>
      <w:jc w:val="left"/>
    </w:pPr>
    <w:rPr>
      <w:rFonts w:eastAsia="Calibri"/>
    </w:rPr>
  </w:style>
  <w:style w:type="paragraph" w:customStyle="1" w:styleId="ECCNumberedList">
    <w:name w:val="ECC Numbered List"/>
    <w:basedOn w:val="Standard"/>
    <w:pPr>
      <w:numPr>
        <w:numId w:val="32"/>
      </w:numPr>
      <w:spacing w:after="0"/>
    </w:pPr>
    <w:rPr>
      <w:szCs w:val="20"/>
    </w:rPr>
  </w:style>
  <w:style w:type="paragraph" w:customStyle="1" w:styleId="ECCReference">
    <w:name w:val="ECC Reference"/>
    <w:basedOn w:val="Standard"/>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pPr>
      <w:numPr>
        <w:numId w:val="29"/>
      </w:numPr>
      <w:shd w:val="solid" w:color="FFFF00" w:fill="auto"/>
      <w:spacing w:before="120"/>
    </w:pPr>
    <w:rPr>
      <w:rFonts w:eastAsia="Calibri"/>
      <w:szCs w:val="22"/>
      <w:lang w:eastAsia="de-DE"/>
    </w:rPr>
  </w:style>
  <w:style w:type="paragraph" w:customStyle="1" w:styleId="ECCFigure">
    <w:name w:val="ECC Figure"/>
    <w:next w:val="Standard"/>
    <w:pPr>
      <w:spacing w:after="240"/>
      <w:jc w:val="center"/>
    </w:pPr>
    <w:rPr>
      <w14:cntxtAlts/>
    </w:rPr>
  </w:style>
  <w:style w:type="table" w:customStyle="1" w:styleId="ECCTable-whiteheader">
    <w:name w:val="ECC Table - white header"/>
    <w:basedOn w:val="ECCTable-clean"/>
    <w:uiPriority w:val="99"/>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pPr>
      <w:tabs>
        <w:tab w:val="right" w:pos="4750"/>
      </w:tabs>
      <w:spacing w:before="60"/>
    </w:pPr>
    <w:rPr>
      <w:b/>
      <w:sz w:val="22"/>
      <w:szCs w:val="20"/>
    </w:rPr>
  </w:style>
  <w:style w:type="character" w:customStyle="1" w:styleId="ECCHLyellow">
    <w:name w:val="ECC HL yellow"/>
    <w:basedOn w:val="Absatz-Standardschriftart"/>
    <w:uiPriority w:val="1"/>
    <w:qFormat/>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Pr>
      <w:b/>
      <w:bCs/>
    </w:rPr>
  </w:style>
  <w:style w:type="paragraph" w:customStyle="1" w:styleId="ECCTabletext">
    <w:name w:val="ECC Table text"/>
    <w:basedOn w:val="Standard"/>
    <w:qFormat/>
    <w:pPr>
      <w:spacing w:before="0"/>
    </w:pPr>
  </w:style>
  <w:style w:type="paragraph" w:styleId="Unterschrift">
    <w:name w:val="Signature"/>
    <w:basedOn w:val="Standard"/>
    <w:link w:val="UnterschriftZchn"/>
    <w:uiPriority w:val="99"/>
    <w:semiHidden/>
    <w:unhideWhenUsed/>
    <w:locked/>
    <w:pPr>
      <w:spacing w:before="0" w:after="0"/>
      <w:ind w:left="4252"/>
    </w:pPr>
  </w:style>
  <w:style w:type="character" w:customStyle="1" w:styleId="UnterschriftZchn">
    <w:name w:val="Unterschrift Zchn"/>
    <w:basedOn w:val="Absatz-Standardschriftart"/>
    <w:link w:val="Unterschrift"/>
    <w:uiPriority w:val="99"/>
    <w:semiHidden/>
  </w:style>
  <w:style w:type="character" w:styleId="Hervorhebung">
    <w:name w:val="Emphasis"/>
    <w:aliases w:val="ECC HL italics"/>
    <w:uiPriority w:val="1"/>
    <w:qFormat/>
    <w:rPr>
      <w:i/>
    </w:rPr>
  </w:style>
  <w:style w:type="character" w:customStyle="1" w:styleId="ECCHLunderlined">
    <w:name w:val="ECC HL underlined"/>
    <w:uiPriority w:val="1"/>
    <w:qFormat/>
    <w:rPr>
      <w:u w:val="single"/>
    </w:rPr>
  </w:style>
  <w:style w:type="character" w:customStyle="1" w:styleId="Verzeichnis1Zchn">
    <w:name w:val="Verzeichnis 1 Zchn"/>
    <w:aliases w:val="ECC Index 1 Zchn"/>
    <w:basedOn w:val="Absatz-Standardschriftart"/>
    <w:link w:val="Verzeichnis1"/>
    <w:uiPriority w:val="39"/>
    <w:semiHidden/>
    <w:rPr>
      <w:rFonts w:eastAsia="Calibri"/>
      <w:b/>
      <w:noProof/>
    </w:rPr>
  </w:style>
  <w:style w:type="character" w:customStyle="1" w:styleId="ECCHLcyan">
    <w:name w:val="ECC HL cyan"/>
    <w:basedOn w:val="Absatz-Standardschriftart"/>
    <w:uiPriority w:val="1"/>
    <w:qFormat/>
    <w:rPr>
      <w:iCs w:val="0"/>
      <w:bdr w:val="none" w:sz="0" w:space="0" w:color="auto"/>
      <w:shd w:val="solid" w:color="00FFFF" w:fill="auto"/>
      <w:lang w:val="en-GB"/>
    </w:rPr>
  </w:style>
  <w:style w:type="character" w:customStyle="1" w:styleId="ECCHLorange">
    <w:name w:val="ECC HL orange"/>
    <w:basedOn w:val="Absatz-Standardschriftart"/>
    <w:uiPriority w:val="1"/>
    <w:qFormat/>
    <w:rPr>
      <w:bdr w:val="none" w:sz="0" w:space="0" w:color="auto"/>
      <w:shd w:val="solid" w:color="FFC000" w:fill="auto"/>
    </w:rPr>
  </w:style>
  <w:style w:type="character" w:customStyle="1" w:styleId="ECCHLblue">
    <w:name w:val="ECC HL blue"/>
    <w:basedOn w:val="Absatz-Standardschriftart"/>
    <w:uiPriority w:val="1"/>
    <w:qFormat/>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Pr>
      <w:rFonts w:eastAsia="Calibri"/>
      <w:b/>
      <w:sz w:val="22"/>
      <w:lang w:val="en-GB"/>
    </w:rPr>
  </w:style>
  <w:style w:type="character" w:customStyle="1" w:styleId="ECCHLmagenta">
    <w:name w:val="ECC HL magenta"/>
    <w:basedOn w:val="Absatz-Standardschriftart"/>
    <w:uiPriority w:val="1"/>
    <w:qFormat/>
    <w:rPr>
      <w:color w:val="auto"/>
      <w:bdr w:val="none" w:sz="0" w:space="0" w:color="auto"/>
      <w:shd w:val="solid" w:color="FF3399" w:fill="auto"/>
      <w:lang w:val="en-GB"/>
    </w:rPr>
  </w:style>
  <w:style w:type="character" w:customStyle="1" w:styleId="ECCHLbrown">
    <w:name w:val="ECC HL brown"/>
    <w:basedOn w:val="Absatz-Standardschriftart"/>
    <w:uiPriority w:val="1"/>
    <w:qFormat/>
    <w:rPr>
      <w:color w:val="D9D9D9" w:themeColor="background1" w:themeShade="D9"/>
      <w:bdr w:val="none" w:sz="0" w:space="0" w:color="auto"/>
      <w:shd w:val="solid" w:color="B95807" w:fill="auto"/>
    </w:rPr>
  </w:style>
  <w:style w:type="paragraph" w:customStyle="1" w:styleId="ECCBreak">
    <w:name w:val="ECC Break"/>
    <w:next w:val="Standard"/>
    <w:link w:val="ECCBreakZchn"/>
    <w:pPr>
      <w:spacing w:before="360"/>
      <w:jc w:val="left"/>
    </w:pPr>
    <w:rPr>
      <w:b/>
      <w:bCs/>
      <w:iCs/>
      <w:szCs w:val="28"/>
    </w:rPr>
  </w:style>
  <w:style w:type="character" w:customStyle="1" w:styleId="ECCBreakZchn">
    <w:name w:val="ECC Break Zchn"/>
    <w:basedOn w:val="Absatz-Standardschriftart"/>
    <w:link w:val="ECCBreak"/>
    <w:rPr>
      <w:b/>
      <w:bCs/>
      <w:iCs/>
      <w:szCs w:val="28"/>
    </w:rPr>
  </w:style>
  <w:style w:type="character" w:styleId="Hyperlink">
    <w:name w:val="Hyperlink"/>
    <w:aliases w:val="ECC Hyperlink"/>
    <w:basedOn w:val="Absatz-Standardschriftart"/>
    <w:uiPriority w:val="99"/>
    <w:rPr>
      <w:color w:val="0000FF" w:themeColor="hyperlink"/>
      <w:u w:val="single"/>
    </w:rPr>
  </w:style>
  <w:style w:type="paragraph" w:styleId="Beschriftung">
    <w:name w:val="caption"/>
    <w:aliases w:val="ECC Caption"/>
    <w:next w:val="Standard"/>
    <w:qFormat/>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pPr>
      <w:spacing w:before="120" w:after="120"/>
      <w:jc w:val="left"/>
    </w:pPr>
    <w:rPr>
      <w:rFonts w:eastAsia="Calibri"/>
      <w:bCs/>
      <w:color w:val="D2232A"/>
      <w:lang w:val="en-GB" w:eastAsia="de-DE"/>
    </w:rPr>
  </w:style>
  <w:style w:type="paragraph" w:customStyle="1" w:styleId="ECCpageFooter">
    <w:name w:val="ECC page Footer"/>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Pr>
      <w:color w:val="808080"/>
    </w:rPr>
  </w:style>
  <w:style w:type="character" w:customStyle="1" w:styleId="ECCHLgrey">
    <w:name w:val="ECC HL grey"/>
    <w:uiPriority w:val="1"/>
    <w:qFormat/>
    <w:rPr>
      <w:bdr w:val="none" w:sz="0" w:space="0" w:color="auto"/>
      <w:shd w:val="solid" w:color="BFBFBF" w:themeColor="background1" w:themeShade="BF" w:fill="auto"/>
    </w:rPr>
  </w:style>
  <w:style w:type="character" w:customStyle="1" w:styleId="ECCHLsubscript">
    <w:name w:val="ECC HL subscript"/>
    <w:uiPriority w:val="1"/>
    <w:rPr>
      <w:vertAlign w:val="subscript"/>
    </w:rPr>
  </w:style>
  <w:style w:type="character" w:customStyle="1" w:styleId="ECCHLsuperscript">
    <w:name w:val="ECC HL superscript"/>
    <w:uiPriority w:val="1"/>
    <w:rPr>
      <w:vertAlign w:val="superscript"/>
    </w:rPr>
  </w:style>
  <w:style w:type="paragraph" w:customStyle="1" w:styleId="ECCTableHeaderwhitefont">
    <w:name w:val="ECC Table Header white font"/>
    <w:qFormat/>
    <w:pPr>
      <w:jc w:val="center"/>
    </w:pPr>
    <w:rPr>
      <w:rFonts w:eastAsia="Calibri"/>
      <w:bCs/>
      <w:color w:val="FFFFFF" w:themeColor="background1"/>
      <w:lang w:val="en-GB" w:eastAsia="de-DE"/>
    </w:rPr>
  </w:style>
  <w:style w:type="table" w:styleId="Tabellenraster">
    <w:name w:val="Table Grid"/>
    <w:basedOn w:val="NormaleTabelle"/>
    <w:lock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Pr>
      <w:rFonts w:ascii="Arial" w:hAnsi="Arial"/>
      <w:noProof w:val="0"/>
      <w:sz w:val="20"/>
      <w:bdr w:val="none" w:sz="0" w:space="0" w:color="auto"/>
      <w:lang w:val="en-GB"/>
    </w:rPr>
  </w:style>
  <w:style w:type="paragraph" w:customStyle="1" w:styleId="ECCFiguregraphcentered">
    <w:name w:val="ECC Figure/graph centered"/>
    <w:next w:val="Standard"/>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pPr>
      <w:tabs>
        <w:tab w:val="center" w:pos="4513"/>
        <w:tab w:val="right" w:pos="9026"/>
      </w:tabs>
      <w:spacing w:before="0" w:after="0"/>
    </w:pPr>
  </w:style>
  <w:style w:type="character" w:customStyle="1" w:styleId="FuzeileZchn">
    <w:name w:val="Fußzeile Zchn"/>
    <w:basedOn w:val="Absatz-Standardschriftart"/>
    <w:link w:val="Fuzeile"/>
    <w:uiPriority w:val="99"/>
    <w:semiHidden/>
    <w:rPr>
      <w:rFonts w:eastAsia="Calibri"/>
      <w:szCs w:val="22"/>
      <w:lang w:val="en-GB"/>
    </w:rPr>
  </w:style>
  <w:style w:type="character" w:styleId="SchwacheHervorhebung">
    <w:name w:val="Subtle Emphasis"/>
    <w:basedOn w:val="Absatz-Standardschriftart"/>
    <w:uiPriority w:val="19"/>
    <w:qFormat/>
    <w:rPr>
      <w:i/>
      <w:iCs/>
      <w:color w:val="808080" w:themeColor="text1" w:themeTint="7F"/>
    </w:rPr>
  </w:style>
  <w:style w:type="table" w:customStyle="1" w:styleId="GridTable1Light1">
    <w:name w:val="Grid Table 1 Light1"/>
    <w:basedOn w:val="NormaleTabelle"/>
    <w:uiPriority w:val="4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locked/>
    <w:rPr>
      <w:sz w:val="16"/>
      <w:szCs w:val="16"/>
    </w:rPr>
  </w:style>
  <w:style w:type="paragraph" w:styleId="Kommentartext">
    <w:name w:val="annotation text"/>
    <w:basedOn w:val="Standard"/>
    <w:link w:val="KommentartextZchn"/>
    <w:uiPriority w:val="99"/>
    <w:semiHidden/>
    <w:unhideWhenUsed/>
    <w:locked/>
    <w:rPr>
      <w:szCs w:val="20"/>
    </w:rPr>
  </w:style>
  <w:style w:type="character" w:customStyle="1" w:styleId="KommentartextZchn">
    <w:name w:val="Kommentartext Zchn"/>
    <w:basedOn w:val="Absatz-Standardschriftart"/>
    <w:link w:val="Kommentartext"/>
    <w:uiPriority w:val="99"/>
    <w:semiHidden/>
    <w:rPr>
      <w:rFonts w:eastAsia="Calibri"/>
      <w:lang w:val="en-GB"/>
    </w:rPr>
  </w:style>
  <w:style w:type="paragraph" w:styleId="Kommentarthema">
    <w:name w:val="annotation subject"/>
    <w:basedOn w:val="Kommentartext"/>
    <w:next w:val="Kommentartext"/>
    <w:link w:val="KommentarthemaZchn"/>
    <w:uiPriority w:val="99"/>
    <w:semiHidden/>
    <w:unhideWhenUsed/>
    <w:locked/>
    <w:rPr>
      <w:b/>
      <w:bCs/>
    </w:rPr>
  </w:style>
  <w:style w:type="character" w:customStyle="1" w:styleId="KommentarthemaZchn">
    <w:name w:val="Kommentarthema Zchn"/>
    <w:basedOn w:val="KommentartextZchn"/>
    <w:link w:val="Kommentarthema"/>
    <w:uiPriority w:val="99"/>
    <w:semiHidden/>
    <w:rPr>
      <w:rFonts w:eastAsia="Calibri"/>
      <w:b/>
      <w:bCs/>
      <w:lang w:val="en-GB"/>
    </w:rPr>
  </w:style>
  <w:style w:type="paragraph" w:styleId="Listenabsatz">
    <w:name w:val="List Paragraph"/>
    <w:basedOn w:val="Standard"/>
    <w:uiPriority w:val="34"/>
    <w:qFormat/>
    <w:locked/>
    <w:rsid w:val="00CC5A5A"/>
    <w:pPr>
      <w:ind w:left="720"/>
      <w:contextualSpacing/>
    </w:pPr>
  </w:style>
  <w:style w:type="paragraph" w:styleId="berarbeitung">
    <w:name w:val="Revision"/>
    <w:hidden/>
    <w:uiPriority w:val="99"/>
    <w:semiHidden/>
    <w:rsid w:val="00925275"/>
    <w:pPr>
      <w:spacing w:before="0" w:after="0"/>
      <w:jc w:val="left"/>
    </w:pPr>
    <w:rPr>
      <w:rFonts w:eastAsia="Calibri"/>
      <w:szCs w:val="22"/>
      <w:lang w:val="en-GB"/>
    </w:rPr>
  </w:style>
  <w:style w:type="paragraph" w:styleId="Kopfzeile">
    <w:name w:val="header"/>
    <w:basedOn w:val="Standard"/>
    <w:link w:val="KopfzeileZchn"/>
    <w:uiPriority w:val="99"/>
    <w:semiHidden/>
    <w:unhideWhenUsed/>
    <w:locked/>
    <w:rsid w:val="00F22A1D"/>
    <w:pPr>
      <w:tabs>
        <w:tab w:val="center" w:pos="4513"/>
        <w:tab w:val="right" w:pos="9026"/>
      </w:tabs>
      <w:spacing w:before="0" w:after="0"/>
    </w:pPr>
  </w:style>
  <w:style w:type="character" w:customStyle="1" w:styleId="KopfzeileZchn">
    <w:name w:val="Kopfzeile Zchn"/>
    <w:basedOn w:val="Absatz-Standardschriftart"/>
    <w:link w:val="Kopfzeile"/>
    <w:uiPriority w:val="99"/>
    <w:semiHidden/>
    <w:rsid w:val="00F22A1D"/>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Pr>
      <w:rFonts w:eastAsia="Calibri"/>
      <w:szCs w:val="22"/>
      <w:lang w:val="en-GB"/>
    </w:rPr>
  </w:style>
  <w:style w:type="paragraph" w:styleId="berschrift1">
    <w:name w:val="heading 1"/>
    <w:aliases w:val="ECC Heading 1"/>
    <w:next w:val="Standard"/>
    <w:qFormat/>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pPr>
      <w:numPr>
        <w:ilvl w:val="4"/>
        <w:numId w:val="36"/>
      </w:numPr>
      <w:outlineLvl w:val="4"/>
    </w:pPr>
    <w:rPr>
      <w:b/>
      <w:bCs/>
      <w:i/>
      <w:iCs/>
      <w:sz w:val="26"/>
      <w:szCs w:val="26"/>
    </w:rPr>
  </w:style>
  <w:style w:type="paragraph" w:styleId="berschrift6">
    <w:name w:val="heading 6"/>
    <w:basedOn w:val="Standard"/>
    <w:next w:val="Standard"/>
    <w:semiHidden/>
    <w:qFormat/>
    <w:locked/>
    <w:pPr>
      <w:numPr>
        <w:ilvl w:val="5"/>
        <w:numId w:val="36"/>
      </w:numPr>
      <w:outlineLvl w:val="5"/>
    </w:pPr>
    <w:rPr>
      <w:b/>
      <w:bCs/>
      <w:sz w:val="22"/>
    </w:rPr>
  </w:style>
  <w:style w:type="paragraph" w:styleId="berschrift7">
    <w:name w:val="heading 7"/>
    <w:basedOn w:val="Standard"/>
    <w:next w:val="Standard"/>
    <w:semiHidden/>
    <w:qFormat/>
    <w:locked/>
    <w:pPr>
      <w:numPr>
        <w:ilvl w:val="6"/>
        <w:numId w:val="36"/>
      </w:numPr>
      <w:outlineLvl w:val="6"/>
    </w:pPr>
    <w:rPr>
      <w:sz w:val="24"/>
    </w:rPr>
  </w:style>
  <w:style w:type="paragraph" w:styleId="berschrift8">
    <w:name w:val="heading 8"/>
    <w:basedOn w:val="Standard"/>
    <w:next w:val="Standard"/>
    <w:semiHidden/>
    <w:qFormat/>
    <w:locked/>
    <w:pPr>
      <w:numPr>
        <w:ilvl w:val="7"/>
        <w:numId w:val="36"/>
      </w:numPr>
      <w:outlineLvl w:val="7"/>
    </w:pPr>
    <w:rPr>
      <w:i/>
      <w:iCs/>
      <w:sz w:val="24"/>
    </w:rPr>
  </w:style>
  <w:style w:type="paragraph" w:styleId="berschrift9">
    <w:name w:val="heading 9"/>
    <w:basedOn w:val="Standard"/>
    <w:next w:val="Standard"/>
    <w:semiHidden/>
    <w:qFormat/>
    <w:locked/>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pPr>
      <w:numPr>
        <w:numId w:val="28"/>
      </w:numPr>
      <w:tabs>
        <w:tab w:val="left" w:pos="340"/>
      </w:tabs>
      <w:spacing w:before="60" w:after="0"/>
    </w:pPr>
  </w:style>
  <w:style w:type="paragraph" w:customStyle="1" w:styleId="ECCHeadingnonumbering">
    <w:name w:val="ECC Heading no numbering"/>
    <w:basedOn w:val="berschrift1"/>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pPr>
      <w:spacing w:before="0" w:after="0"/>
    </w:pPr>
    <w:rPr>
      <w:rFonts w:ascii="Tahoma" w:hAnsi="Tahoma" w:cs="Tahoma"/>
      <w:sz w:val="16"/>
      <w:szCs w:val="16"/>
    </w:rPr>
  </w:style>
  <w:style w:type="paragraph" w:customStyle="1" w:styleId="ECCAnnexheading1">
    <w:name w:val="ECC Annex heading1"/>
    <w:next w:val="Standard"/>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Pr>
      <w:rFonts w:eastAsia="Calibri"/>
      <w:sz w:val="16"/>
      <w:szCs w:val="16"/>
      <w14:cntxtAlts/>
    </w:rPr>
  </w:style>
  <w:style w:type="character" w:styleId="Funotenzeichen">
    <w:name w:val="footnote reference"/>
    <w:aliases w:val="ECC Footnote number"/>
    <w:basedOn w:val="Absatz-Standardschriftart"/>
    <w:rPr>
      <w:rFonts w:ascii="Arial" w:hAnsi="Arial"/>
      <w:sz w:val="20"/>
      <w:vertAlign w:val="superscript"/>
    </w:rPr>
  </w:style>
  <w:style w:type="paragraph" w:customStyle="1" w:styleId="ECCTablenote">
    <w:name w:val="ECC Table note"/>
    <w:qFormat/>
    <w:pPr>
      <w:spacing w:before="0" w:after="0"/>
      <w:ind w:left="284" w:hanging="284"/>
    </w:pPr>
    <w:rPr>
      <w:rFonts w:eastAsia="Calibri"/>
      <w:sz w:val="16"/>
      <w:szCs w:val="16"/>
      <w:lang w:val="en-GB"/>
    </w:rPr>
  </w:style>
  <w:style w:type="paragraph" w:customStyle="1" w:styleId="ECCBulletsLv2">
    <w:name w:val="ECC Bullets Lv2"/>
    <w:basedOn w:val="ECCBulletsLv1"/>
    <w:pPr>
      <w:ind w:left="680" w:hanging="340"/>
    </w:pPr>
  </w:style>
  <w:style w:type="paragraph" w:customStyle="1" w:styleId="ECCAnnexheading2">
    <w:name w:val="ECC Annex heading2"/>
    <w:next w:val="Standard"/>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pPr>
      <w:tabs>
        <w:tab w:val="clear" w:pos="340"/>
        <w:tab w:val="left" w:pos="680"/>
      </w:tabs>
      <w:ind w:left="1020" w:hanging="340"/>
    </w:pPr>
  </w:style>
  <w:style w:type="table" w:customStyle="1" w:styleId="ECCTable-clean">
    <w:name w:val="ECC Table - clean"/>
    <w:uiPriority w:val="99"/>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pPr>
      <w:numPr>
        <w:ilvl w:val="1"/>
        <w:numId w:val="31"/>
      </w:numPr>
      <w:spacing w:after="0"/>
      <w:jc w:val="left"/>
    </w:pPr>
    <w:rPr>
      <w:rFonts w:eastAsia="Calibri"/>
    </w:rPr>
  </w:style>
  <w:style w:type="paragraph" w:customStyle="1" w:styleId="ECCNumberedList">
    <w:name w:val="ECC Numbered List"/>
    <w:basedOn w:val="Standard"/>
    <w:pPr>
      <w:numPr>
        <w:numId w:val="32"/>
      </w:numPr>
      <w:spacing w:after="0"/>
    </w:pPr>
    <w:rPr>
      <w:szCs w:val="20"/>
    </w:rPr>
  </w:style>
  <w:style w:type="paragraph" w:customStyle="1" w:styleId="ECCReference">
    <w:name w:val="ECC Reference"/>
    <w:basedOn w:val="Standard"/>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pPr>
      <w:numPr>
        <w:numId w:val="29"/>
      </w:numPr>
      <w:shd w:val="solid" w:color="FFFF00" w:fill="auto"/>
      <w:spacing w:before="120"/>
    </w:pPr>
    <w:rPr>
      <w:rFonts w:eastAsia="Calibri"/>
      <w:szCs w:val="22"/>
      <w:lang w:eastAsia="de-DE"/>
    </w:rPr>
  </w:style>
  <w:style w:type="paragraph" w:customStyle="1" w:styleId="ECCFigure">
    <w:name w:val="ECC Figure"/>
    <w:next w:val="Standard"/>
    <w:pPr>
      <w:spacing w:after="240"/>
      <w:jc w:val="center"/>
    </w:pPr>
    <w:rPr>
      <w14:cntxtAlts/>
    </w:rPr>
  </w:style>
  <w:style w:type="table" w:customStyle="1" w:styleId="ECCTable-whiteheader">
    <w:name w:val="ECC Table - white header"/>
    <w:basedOn w:val="ECCTable-clean"/>
    <w:uiPriority w:val="99"/>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pPr>
      <w:tabs>
        <w:tab w:val="right" w:pos="4750"/>
      </w:tabs>
      <w:spacing w:before="60"/>
    </w:pPr>
    <w:rPr>
      <w:b/>
      <w:sz w:val="22"/>
      <w:szCs w:val="20"/>
    </w:rPr>
  </w:style>
  <w:style w:type="character" w:customStyle="1" w:styleId="ECCHLyellow">
    <w:name w:val="ECC HL yellow"/>
    <w:basedOn w:val="Absatz-Standardschriftart"/>
    <w:uiPriority w:val="1"/>
    <w:qFormat/>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Pr>
      <w:b/>
      <w:bCs/>
    </w:rPr>
  </w:style>
  <w:style w:type="paragraph" w:customStyle="1" w:styleId="ECCTabletext">
    <w:name w:val="ECC Table text"/>
    <w:basedOn w:val="Standard"/>
    <w:qFormat/>
    <w:pPr>
      <w:spacing w:before="0"/>
    </w:pPr>
  </w:style>
  <w:style w:type="paragraph" w:styleId="Unterschrift">
    <w:name w:val="Signature"/>
    <w:basedOn w:val="Standard"/>
    <w:link w:val="UnterschriftZchn"/>
    <w:uiPriority w:val="99"/>
    <w:semiHidden/>
    <w:unhideWhenUsed/>
    <w:locked/>
    <w:pPr>
      <w:spacing w:before="0" w:after="0"/>
      <w:ind w:left="4252"/>
    </w:pPr>
  </w:style>
  <w:style w:type="character" w:customStyle="1" w:styleId="UnterschriftZchn">
    <w:name w:val="Unterschrift Zchn"/>
    <w:basedOn w:val="Absatz-Standardschriftart"/>
    <w:link w:val="Unterschrift"/>
    <w:uiPriority w:val="99"/>
    <w:semiHidden/>
  </w:style>
  <w:style w:type="character" w:styleId="Hervorhebung">
    <w:name w:val="Emphasis"/>
    <w:aliases w:val="ECC HL italics"/>
    <w:uiPriority w:val="1"/>
    <w:qFormat/>
    <w:rPr>
      <w:i/>
    </w:rPr>
  </w:style>
  <w:style w:type="character" w:customStyle="1" w:styleId="ECCHLunderlined">
    <w:name w:val="ECC HL underlined"/>
    <w:uiPriority w:val="1"/>
    <w:qFormat/>
    <w:rPr>
      <w:u w:val="single"/>
    </w:rPr>
  </w:style>
  <w:style w:type="character" w:customStyle="1" w:styleId="Verzeichnis1Zchn">
    <w:name w:val="Verzeichnis 1 Zchn"/>
    <w:aliases w:val="ECC Index 1 Zchn"/>
    <w:basedOn w:val="Absatz-Standardschriftart"/>
    <w:link w:val="Verzeichnis1"/>
    <w:uiPriority w:val="39"/>
    <w:semiHidden/>
    <w:rPr>
      <w:rFonts w:eastAsia="Calibri"/>
      <w:b/>
      <w:noProof/>
    </w:rPr>
  </w:style>
  <w:style w:type="character" w:customStyle="1" w:styleId="ECCHLcyan">
    <w:name w:val="ECC HL cyan"/>
    <w:basedOn w:val="Absatz-Standardschriftart"/>
    <w:uiPriority w:val="1"/>
    <w:qFormat/>
    <w:rPr>
      <w:iCs w:val="0"/>
      <w:bdr w:val="none" w:sz="0" w:space="0" w:color="auto"/>
      <w:shd w:val="solid" w:color="00FFFF" w:fill="auto"/>
      <w:lang w:val="en-GB"/>
    </w:rPr>
  </w:style>
  <w:style w:type="character" w:customStyle="1" w:styleId="ECCHLorange">
    <w:name w:val="ECC HL orange"/>
    <w:basedOn w:val="Absatz-Standardschriftart"/>
    <w:uiPriority w:val="1"/>
    <w:qFormat/>
    <w:rPr>
      <w:bdr w:val="none" w:sz="0" w:space="0" w:color="auto"/>
      <w:shd w:val="solid" w:color="FFC000" w:fill="auto"/>
    </w:rPr>
  </w:style>
  <w:style w:type="character" w:customStyle="1" w:styleId="ECCHLblue">
    <w:name w:val="ECC HL blue"/>
    <w:basedOn w:val="Absatz-Standardschriftart"/>
    <w:uiPriority w:val="1"/>
    <w:qFormat/>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Pr>
      <w:rFonts w:eastAsia="Calibri"/>
      <w:b/>
      <w:sz w:val="22"/>
      <w:lang w:val="en-GB"/>
    </w:rPr>
  </w:style>
  <w:style w:type="character" w:customStyle="1" w:styleId="ECCHLmagenta">
    <w:name w:val="ECC HL magenta"/>
    <w:basedOn w:val="Absatz-Standardschriftart"/>
    <w:uiPriority w:val="1"/>
    <w:qFormat/>
    <w:rPr>
      <w:color w:val="auto"/>
      <w:bdr w:val="none" w:sz="0" w:space="0" w:color="auto"/>
      <w:shd w:val="solid" w:color="FF3399" w:fill="auto"/>
      <w:lang w:val="en-GB"/>
    </w:rPr>
  </w:style>
  <w:style w:type="character" w:customStyle="1" w:styleId="ECCHLbrown">
    <w:name w:val="ECC HL brown"/>
    <w:basedOn w:val="Absatz-Standardschriftart"/>
    <w:uiPriority w:val="1"/>
    <w:qFormat/>
    <w:rPr>
      <w:color w:val="D9D9D9" w:themeColor="background1" w:themeShade="D9"/>
      <w:bdr w:val="none" w:sz="0" w:space="0" w:color="auto"/>
      <w:shd w:val="solid" w:color="B95807" w:fill="auto"/>
    </w:rPr>
  </w:style>
  <w:style w:type="paragraph" w:customStyle="1" w:styleId="ECCBreak">
    <w:name w:val="ECC Break"/>
    <w:next w:val="Standard"/>
    <w:link w:val="ECCBreakZchn"/>
    <w:pPr>
      <w:spacing w:before="360"/>
      <w:jc w:val="left"/>
    </w:pPr>
    <w:rPr>
      <w:b/>
      <w:bCs/>
      <w:iCs/>
      <w:szCs w:val="28"/>
    </w:rPr>
  </w:style>
  <w:style w:type="character" w:customStyle="1" w:styleId="ECCBreakZchn">
    <w:name w:val="ECC Break Zchn"/>
    <w:basedOn w:val="Absatz-Standardschriftart"/>
    <w:link w:val="ECCBreak"/>
    <w:rPr>
      <w:b/>
      <w:bCs/>
      <w:iCs/>
      <w:szCs w:val="28"/>
    </w:rPr>
  </w:style>
  <w:style w:type="character" w:styleId="Hyperlink">
    <w:name w:val="Hyperlink"/>
    <w:aliases w:val="ECC Hyperlink"/>
    <w:basedOn w:val="Absatz-Standardschriftart"/>
    <w:uiPriority w:val="99"/>
    <w:rPr>
      <w:color w:val="0000FF" w:themeColor="hyperlink"/>
      <w:u w:val="single"/>
    </w:rPr>
  </w:style>
  <w:style w:type="paragraph" w:styleId="Beschriftung">
    <w:name w:val="caption"/>
    <w:aliases w:val="ECC Caption"/>
    <w:next w:val="Standard"/>
    <w:qFormat/>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pPr>
      <w:spacing w:before="120" w:after="120"/>
      <w:jc w:val="left"/>
    </w:pPr>
    <w:rPr>
      <w:rFonts w:eastAsia="Calibri"/>
      <w:bCs/>
      <w:color w:val="D2232A"/>
      <w:lang w:val="en-GB" w:eastAsia="de-DE"/>
    </w:rPr>
  </w:style>
  <w:style w:type="paragraph" w:customStyle="1" w:styleId="ECCpageFooter">
    <w:name w:val="ECC page Footer"/>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Pr>
      <w:color w:val="808080"/>
    </w:rPr>
  </w:style>
  <w:style w:type="character" w:customStyle="1" w:styleId="ECCHLgrey">
    <w:name w:val="ECC HL grey"/>
    <w:uiPriority w:val="1"/>
    <w:qFormat/>
    <w:rPr>
      <w:bdr w:val="none" w:sz="0" w:space="0" w:color="auto"/>
      <w:shd w:val="solid" w:color="BFBFBF" w:themeColor="background1" w:themeShade="BF" w:fill="auto"/>
    </w:rPr>
  </w:style>
  <w:style w:type="character" w:customStyle="1" w:styleId="ECCHLsubscript">
    <w:name w:val="ECC HL subscript"/>
    <w:uiPriority w:val="1"/>
    <w:rPr>
      <w:vertAlign w:val="subscript"/>
    </w:rPr>
  </w:style>
  <w:style w:type="character" w:customStyle="1" w:styleId="ECCHLsuperscript">
    <w:name w:val="ECC HL superscript"/>
    <w:uiPriority w:val="1"/>
    <w:rPr>
      <w:vertAlign w:val="superscript"/>
    </w:rPr>
  </w:style>
  <w:style w:type="paragraph" w:customStyle="1" w:styleId="ECCTableHeaderwhitefont">
    <w:name w:val="ECC Table Header white font"/>
    <w:qFormat/>
    <w:pPr>
      <w:jc w:val="center"/>
    </w:pPr>
    <w:rPr>
      <w:rFonts w:eastAsia="Calibri"/>
      <w:bCs/>
      <w:color w:val="FFFFFF" w:themeColor="background1"/>
      <w:lang w:val="en-GB" w:eastAsia="de-DE"/>
    </w:rPr>
  </w:style>
  <w:style w:type="table" w:styleId="Tabellenraster">
    <w:name w:val="Table Grid"/>
    <w:basedOn w:val="NormaleTabelle"/>
    <w:lock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Pr>
      <w:rFonts w:ascii="Arial" w:hAnsi="Arial"/>
      <w:noProof w:val="0"/>
      <w:sz w:val="20"/>
      <w:bdr w:val="none" w:sz="0" w:space="0" w:color="auto"/>
      <w:lang w:val="en-GB"/>
    </w:rPr>
  </w:style>
  <w:style w:type="paragraph" w:customStyle="1" w:styleId="ECCFiguregraphcentered">
    <w:name w:val="ECC Figure/graph centered"/>
    <w:next w:val="Standard"/>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pPr>
      <w:tabs>
        <w:tab w:val="center" w:pos="4513"/>
        <w:tab w:val="right" w:pos="9026"/>
      </w:tabs>
      <w:spacing w:before="0" w:after="0"/>
    </w:pPr>
  </w:style>
  <w:style w:type="character" w:customStyle="1" w:styleId="FuzeileZchn">
    <w:name w:val="Fußzeile Zchn"/>
    <w:basedOn w:val="Absatz-Standardschriftart"/>
    <w:link w:val="Fuzeile"/>
    <w:uiPriority w:val="99"/>
    <w:semiHidden/>
    <w:rPr>
      <w:rFonts w:eastAsia="Calibri"/>
      <w:szCs w:val="22"/>
      <w:lang w:val="en-GB"/>
    </w:rPr>
  </w:style>
  <w:style w:type="character" w:styleId="SchwacheHervorhebung">
    <w:name w:val="Subtle Emphasis"/>
    <w:basedOn w:val="Absatz-Standardschriftart"/>
    <w:uiPriority w:val="19"/>
    <w:qFormat/>
    <w:rPr>
      <w:i/>
      <w:iCs/>
      <w:color w:val="808080" w:themeColor="text1" w:themeTint="7F"/>
    </w:rPr>
  </w:style>
  <w:style w:type="table" w:customStyle="1" w:styleId="GridTable1Light1">
    <w:name w:val="Grid Table 1 Light1"/>
    <w:basedOn w:val="NormaleTabelle"/>
    <w:uiPriority w:val="4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locked/>
    <w:rPr>
      <w:sz w:val="16"/>
      <w:szCs w:val="16"/>
    </w:rPr>
  </w:style>
  <w:style w:type="paragraph" w:styleId="Kommentartext">
    <w:name w:val="annotation text"/>
    <w:basedOn w:val="Standard"/>
    <w:link w:val="KommentartextZchn"/>
    <w:uiPriority w:val="99"/>
    <w:semiHidden/>
    <w:unhideWhenUsed/>
    <w:locked/>
    <w:rPr>
      <w:szCs w:val="20"/>
    </w:rPr>
  </w:style>
  <w:style w:type="character" w:customStyle="1" w:styleId="KommentartextZchn">
    <w:name w:val="Kommentartext Zchn"/>
    <w:basedOn w:val="Absatz-Standardschriftart"/>
    <w:link w:val="Kommentartext"/>
    <w:uiPriority w:val="99"/>
    <w:semiHidden/>
    <w:rPr>
      <w:rFonts w:eastAsia="Calibri"/>
      <w:lang w:val="en-GB"/>
    </w:rPr>
  </w:style>
  <w:style w:type="paragraph" w:styleId="Kommentarthema">
    <w:name w:val="annotation subject"/>
    <w:basedOn w:val="Kommentartext"/>
    <w:next w:val="Kommentartext"/>
    <w:link w:val="KommentarthemaZchn"/>
    <w:uiPriority w:val="99"/>
    <w:semiHidden/>
    <w:unhideWhenUsed/>
    <w:locked/>
    <w:rPr>
      <w:b/>
      <w:bCs/>
    </w:rPr>
  </w:style>
  <w:style w:type="character" w:customStyle="1" w:styleId="KommentarthemaZchn">
    <w:name w:val="Kommentarthema Zchn"/>
    <w:basedOn w:val="KommentartextZchn"/>
    <w:link w:val="Kommentarthema"/>
    <w:uiPriority w:val="99"/>
    <w:semiHidden/>
    <w:rPr>
      <w:rFonts w:eastAsia="Calibri"/>
      <w:b/>
      <w:bCs/>
      <w:lang w:val="en-GB"/>
    </w:rPr>
  </w:style>
  <w:style w:type="paragraph" w:styleId="Listenabsatz">
    <w:name w:val="List Paragraph"/>
    <w:basedOn w:val="Standard"/>
    <w:uiPriority w:val="34"/>
    <w:qFormat/>
    <w:locked/>
    <w:rsid w:val="00CC5A5A"/>
    <w:pPr>
      <w:ind w:left="720"/>
      <w:contextualSpacing/>
    </w:pPr>
  </w:style>
  <w:style w:type="paragraph" w:styleId="berarbeitung">
    <w:name w:val="Revision"/>
    <w:hidden/>
    <w:uiPriority w:val="99"/>
    <w:semiHidden/>
    <w:rsid w:val="00925275"/>
    <w:pPr>
      <w:spacing w:before="0" w:after="0"/>
      <w:jc w:val="left"/>
    </w:pPr>
    <w:rPr>
      <w:rFonts w:eastAsia="Calibri"/>
      <w:szCs w:val="22"/>
      <w:lang w:val="en-GB"/>
    </w:rPr>
  </w:style>
  <w:style w:type="paragraph" w:styleId="Kopfzeile">
    <w:name w:val="header"/>
    <w:basedOn w:val="Standard"/>
    <w:link w:val="KopfzeileZchn"/>
    <w:uiPriority w:val="99"/>
    <w:semiHidden/>
    <w:unhideWhenUsed/>
    <w:locked/>
    <w:rsid w:val="00F22A1D"/>
    <w:pPr>
      <w:tabs>
        <w:tab w:val="center" w:pos="4513"/>
        <w:tab w:val="right" w:pos="9026"/>
      </w:tabs>
      <w:spacing w:before="0" w:after="0"/>
    </w:pPr>
  </w:style>
  <w:style w:type="character" w:customStyle="1" w:styleId="KopfzeileZchn">
    <w:name w:val="Kopfzeile Zchn"/>
    <w:basedOn w:val="Absatz-Standardschriftart"/>
    <w:link w:val="Kopfzeile"/>
    <w:uiPriority w:val="99"/>
    <w:semiHidden/>
    <w:rsid w:val="00F22A1D"/>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318198">
      <w:bodyDiv w:val="1"/>
      <w:marLeft w:val="0"/>
      <w:marRight w:val="0"/>
      <w:marTop w:val="0"/>
      <w:marBottom w:val="0"/>
      <w:divBdr>
        <w:top w:val="none" w:sz="0" w:space="0" w:color="auto"/>
        <w:left w:val="none" w:sz="0" w:space="0" w:color="auto"/>
        <w:bottom w:val="none" w:sz="0" w:space="0" w:color="auto"/>
        <w:right w:val="none" w:sz="0" w:space="0" w:color="auto"/>
      </w:divBdr>
    </w:div>
    <w:div w:id="1084768401">
      <w:bodyDiv w:val="1"/>
      <w:marLeft w:val="0"/>
      <w:marRight w:val="0"/>
      <w:marTop w:val="0"/>
      <w:marBottom w:val="0"/>
      <w:divBdr>
        <w:top w:val="none" w:sz="0" w:space="0" w:color="auto"/>
        <w:left w:val="none" w:sz="0" w:space="0" w:color="auto"/>
        <w:bottom w:val="none" w:sz="0" w:space="0" w:color="auto"/>
        <w:right w:val="none" w:sz="0" w:space="0" w:color="auto"/>
      </w:divBdr>
    </w:div>
    <w:div w:id="207134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1F76-7C5A-407D-B165-C8F152C6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2463</Words>
  <Characters>15521</Characters>
  <Application>Microsoft Office Word</Application>
  <DocSecurity>0</DocSecurity>
  <Lines>129</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Bundesnetzagentur</Company>
  <LinksUpToDate>false</LinksUpToDate>
  <CharactersWithSpaces>17949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EML, Slovenia</dc:creator>
  <cp:lastModifiedBy>CPG</cp:lastModifiedBy>
  <cp:revision>2</cp:revision>
  <dcterms:created xsi:type="dcterms:W3CDTF">2018-12-04T12:43:00Z</dcterms:created>
  <dcterms:modified xsi:type="dcterms:W3CDTF">2018-12-04T12:43:00Z</dcterms:modified>
</cp:coreProperties>
</file>