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002C1F" w:rsidRPr="00235592" w14:paraId="46C0417D" w14:textId="77777777" w:rsidTr="009A3407">
        <w:trPr>
          <w:cantSplit/>
          <w:trHeight w:val="1240"/>
        </w:trPr>
        <w:tc>
          <w:tcPr>
            <w:tcW w:w="4785" w:type="dxa"/>
            <w:gridSpan w:val="2"/>
            <w:tcBorders>
              <w:top w:val="nil"/>
              <w:left w:val="nil"/>
              <w:bottom w:val="nil"/>
              <w:right w:val="nil"/>
            </w:tcBorders>
          </w:tcPr>
          <w:p w14:paraId="45ADAFAF" w14:textId="77777777" w:rsidR="00002C1F" w:rsidRPr="00235592" w:rsidRDefault="00002C1F" w:rsidP="00002C1F">
            <w:pPr>
              <w:pStyle w:val="ECCLetterHead"/>
            </w:pPr>
          </w:p>
        </w:tc>
        <w:tc>
          <w:tcPr>
            <w:tcW w:w="4996" w:type="dxa"/>
            <w:tcBorders>
              <w:top w:val="nil"/>
              <w:left w:val="nil"/>
              <w:bottom w:val="nil"/>
              <w:right w:val="nil"/>
            </w:tcBorders>
          </w:tcPr>
          <w:p w14:paraId="3339AD75" w14:textId="3DB817C8" w:rsidR="00002C1F" w:rsidRPr="00002C1F" w:rsidRDefault="00002C1F" w:rsidP="005A69A1">
            <w:pPr>
              <w:pStyle w:val="ECCLetterHead"/>
            </w:pPr>
            <w:r w:rsidRPr="00235592">
              <w:tab/>
            </w:r>
            <w:r w:rsidRPr="00002C1F">
              <w:t xml:space="preserve">Doc. </w:t>
            </w:r>
            <w:r w:rsidR="00306373">
              <w:t>CPG(18)0</w:t>
            </w:r>
            <w:r w:rsidR="005A69A1">
              <w:t>73</w:t>
            </w:r>
            <w:r w:rsidRPr="00002C1F">
              <w:t xml:space="preserve"> ANNEX IV-21</w:t>
            </w:r>
            <w:r w:rsidR="0012264E">
              <w:t>B</w:t>
            </w:r>
          </w:p>
        </w:tc>
      </w:tr>
      <w:tr w:rsidR="00002C1F" w:rsidRPr="00235592" w14:paraId="1FC90801" w14:textId="77777777" w:rsidTr="009A3407">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14:paraId="589D2609" w14:textId="50BC8E3F" w:rsidR="00002C1F" w:rsidRPr="00002C1F" w:rsidRDefault="00002C1F" w:rsidP="001D3BBA">
            <w:pPr>
              <w:pStyle w:val="ECCLetterHead"/>
            </w:pPr>
            <w:r>
              <w:t>CP</w:t>
            </w:r>
            <w:r w:rsidR="001D3BBA">
              <w:t>G</w:t>
            </w:r>
            <w:r>
              <w:t>19-</w:t>
            </w:r>
            <w:r w:rsidR="00EF6F8C">
              <w:t>7</w:t>
            </w:r>
          </w:p>
        </w:tc>
      </w:tr>
      <w:tr w:rsidR="00002C1F" w:rsidRPr="00235592" w14:paraId="31AA25CD" w14:textId="77777777" w:rsidTr="009A3407">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7E44D4F1" w14:textId="20CAE83C" w:rsidR="00002C1F" w:rsidRPr="00002C1F" w:rsidRDefault="00EF6F8C" w:rsidP="001D3BBA">
            <w:pPr>
              <w:pStyle w:val="ECCLetterHead"/>
            </w:pPr>
            <w:r w:rsidRPr="00B719AD">
              <w:t>Hilversum, The Netherlands, 26</w:t>
            </w:r>
            <w:r w:rsidRPr="001D3BBA">
              <w:rPr>
                <w:vertAlign w:val="superscript"/>
              </w:rPr>
              <w:t>th</w:t>
            </w:r>
            <w:r w:rsidR="001D3BBA">
              <w:t xml:space="preserve"> </w:t>
            </w:r>
            <w:r w:rsidRPr="00B719AD">
              <w:t>- 30</w:t>
            </w:r>
            <w:r w:rsidRPr="001D3BBA">
              <w:rPr>
                <w:vertAlign w:val="superscript"/>
              </w:rPr>
              <w:t>th</w:t>
            </w:r>
            <w:r w:rsidR="001D3BBA">
              <w:t xml:space="preserve"> </w:t>
            </w:r>
            <w:r w:rsidRPr="00B719AD">
              <w:t>November 2018</w:t>
            </w:r>
          </w:p>
        </w:tc>
      </w:tr>
      <w:tr w:rsidR="00002C1F" w:rsidRPr="00235592" w14:paraId="37510136" w14:textId="77777777" w:rsidTr="009A3407">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14:paraId="6778F3E0" w14:textId="77777777" w:rsidR="00002C1F" w:rsidRPr="00235592" w:rsidRDefault="00002C1F" w:rsidP="00002C1F">
            <w:pPr>
              <w:pStyle w:val="ECCLetterHead"/>
            </w:pPr>
          </w:p>
        </w:tc>
        <w:tc>
          <w:tcPr>
            <w:tcW w:w="4996" w:type="dxa"/>
            <w:tcBorders>
              <w:top w:val="nil"/>
              <w:left w:val="nil"/>
              <w:bottom w:val="nil"/>
              <w:right w:val="nil"/>
            </w:tcBorders>
            <w:vAlign w:val="center"/>
          </w:tcPr>
          <w:p w14:paraId="2630C061" w14:textId="77777777" w:rsidR="00002C1F" w:rsidRPr="00235592" w:rsidRDefault="00002C1F" w:rsidP="00002C1F">
            <w:pPr>
              <w:pStyle w:val="ECCLetterHead"/>
            </w:pPr>
          </w:p>
        </w:tc>
      </w:tr>
      <w:tr w:rsidR="00002C1F" w:rsidRPr="00235592" w14:paraId="54E8EF57" w14:textId="77777777" w:rsidTr="009A3407">
        <w:tblPrEx>
          <w:tblCellMar>
            <w:left w:w="108" w:type="dxa"/>
            <w:right w:w="108" w:type="dxa"/>
          </w:tblCellMar>
        </w:tblPrEx>
        <w:trPr>
          <w:cantSplit/>
          <w:trHeight w:val="405"/>
        </w:trPr>
        <w:tc>
          <w:tcPr>
            <w:tcW w:w="1694" w:type="dxa"/>
            <w:tcBorders>
              <w:top w:val="nil"/>
              <w:left w:val="nil"/>
              <w:bottom w:val="nil"/>
              <w:right w:val="nil"/>
            </w:tcBorders>
            <w:vAlign w:val="center"/>
          </w:tcPr>
          <w:p w14:paraId="39A84265" w14:textId="77777777" w:rsidR="00002C1F" w:rsidRPr="00002C1F" w:rsidRDefault="00002C1F" w:rsidP="00002C1F">
            <w:pPr>
              <w:pStyle w:val="ECCLetterHead"/>
            </w:pPr>
            <w:r w:rsidRPr="00235592">
              <w:t xml:space="preserve">Date issued: </w:t>
            </w:r>
          </w:p>
        </w:tc>
        <w:tc>
          <w:tcPr>
            <w:tcW w:w="8087" w:type="dxa"/>
            <w:gridSpan w:val="2"/>
            <w:tcBorders>
              <w:top w:val="nil"/>
              <w:left w:val="nil"/>
              <w:bottom w:val="nil"/>
              <w:right w:val="nil"/>
            </w:tcBorders>
            <w:vAlign w:val="center"/>
          </w:tcPr>
          <w:p w14:paraId="0707E500" w14:textId="1EB8C7BD" w:rsidR="00002C1F" w:rsidRPr="00AC07C3" w:rsidRDefault="005A69A1" w:rsidP="00002C1F">
            <w:pPr>
              <w:pStyle w:val="ECCLetterHead"/>
            </w:pPr>
            <w:r>
              <w:t>30</w:t>
            </w:r>
            <w:r w:rsidRPr="005A69A1">
              <w:rPr>
                <w:vertAlign w:val="superscript"/>
              </w:rPr>
              <w:t>th</w:t>
            </w:r>
            <w:r>
              <w:t xml:space="preserve"> November 2018</w:t>
            </w:r>
          </w:p>
        </w:tc>
      </w:tr>
      <w:tr w:rsidR="00002C1F" w:rsidRPr="00235592" w14:paraId="58006F62" w14:textId="77777777" w:rsidTr="009A3407">
        <w:tblPrEx>
          <w:tblCellMar>
            <w:left w:w="108" w:type="dxa"/>
            <w:right w:w="108" w:type="dxa"/>
          </w:tblCellMar>
        </w:tblPrEx>
        <w:trPr>
          <w:cantSplit/>
          <w:trHeight w:val="405"/>
        </w:trPr>
        <w:tc>
          <w:tcPr>
            <w:tcW w:w="1694" w:type="dxa"/>
            <w:tcBorders>
              <w:top w:val="nil"/>
              <w:left w:val="nil"/>
              <w:bottom w:val="nil"/>
              <w:right w:val="nil"/>
            </w:tcBorders>
            <w:vAlign w:val="center"/>
          </w:tcPr>
          <w:p w14:paraId="0732BB3E" w14:textId="77777777" w:rsidR="00002C1F" w:rsidRPr="00002C1F" w:rsidRDefault="00002C1F" w:rsidP="00002C1F">
            <w:pPr>
              <w:pStyle w:val="ECCLetterHead"/>
            </w:pPr>
            <w:r w:rsidRPr="00235592">
              <w:t xml:space="preserve">Source: </w:t>
            </w:r>
          </w:p>
        </w:tc>
        <w:tc>
          <w:tcPr>
            <w:tcW w:w="8087" w:type="dxa"/>
            <w:gridSpan w:val="2"/>
            <w:tcBorders>
              <w:top w:val="nil"/>
              <w:left w:val="nil"/>
              <w:bottom w:val="nil"/>
              <w:right w:val="nil"/>
            </w:tcBorders>
            <w:vAlign w:val="center"/>
          </w:tcPr>
          <w:p w14:paraId="4045FCCF" w14:textId="790C134E" w:rsidR="00002C1F" w:rsidRPr="00002C1F" w:rsidRDefault="005A69A1" w:rsidP="00002C1F">
            <w:pPr>
              <w:pStyle w:val="ECCLetterHead"/>
            </w:pPr>
            <w:r>
              <w:t>Minutes CPG19-7</w:t>
            </w:r>
          </w:p>
        </w:tc>
      </w:tr>
      <w:tr w:rsidR="00002C1F" w:rsidRPr="00235592" w14:paraId="52574E8E" w14:textId="77777777" w:rsidTr="009A3407">
        <w:tblPrEx>
          <w:tblCellMar>
            <w:left w:w="108" w:type="dxa"/>
            <w:right w:w="108" w:type="dxa"/>
          </w:tblCellMar>
        </w:tblPrEx>
        <w:trPr>
          <w:cantSplit/>
          <w:trHeight w:val="405"/>
        </w:trPr>
        <w:tc>
          <w:tcPr>
            <w:tcW w:w="1694" w:type="dxa"/>
            <w:tcBorders>
              <w:top w:val="nil"/>
              <w:left w:val="nil"/>
              <w:bottom w:val="nil"/>
              <w:right w:val="nil"/>
            </w:tcBorders>
            <w:vAlign w:val="center"/>
          </w:tcPr>
          <w:p w14:paraId="23BDE8CE" w14:textId="77777777" w:rsidR="00002C1F" w:rsidRPr="00002C1F" w:rsidRDefault="00002C1F" w:rsidP="00002C1F">
            <w:pPr>
              <w:pStyle w:val="ECCLetterHead"/>
            </w:pPr>
            <w:r w:rsidRPr="00235592">
              <w:t xml:space="preserve">Subject: </w:t>
            </w:r>
          </w:p>
        </w:tc>
        <w:tc>
          <w:tcPr>
            <w:tcW w:w="8087" w:type="dxa"/>
            <w:gridSpan w:val="2"/>
            <w:tcBorders>
              <w:top w:val="nil"/>
              <w:left w:val="nil"/>
              <w:bottom w:val="nil"/>
              <w:right w:val="nil"/>
            </w:tcBorders>
            <w:vAlign w:val="center"/>
          </w:tcPr>
          <w:p w14:paraId="4798F762" w14:textId="77777777" w:rsidR="00002C1F" w:rsidRPr="00002C1F" w:rsidRDefault="00002C1F" w:rsidP="00002C1F">
            <w:pPr>
              <w:pStyle w:val="ECCLetterHead"/>
            </w:pPr>
            <w:r w:rsidRPr="00002C1F">
              <w:t>Draft CEPT Brief on WRC-19 Agenda Item 9.1 Issue 9.1.</w:t>
            </w:r>
            <w:r w:rsidR="0012264E">
              <w:t>2</w:t>
            </w:r>
          </w:p>
        </w:tc>
      </w:tr>
      <w:tr w:rsidR="00002C1F" w:rsidRPr="00235592" w14:paraId="11BB252F" w14:textId="77777777" w:rsidTr="009A3407">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14:paraId="7A6D8343" w14:textId="77777777" w:rsidR="00002C1F" w:rsidRPr="00235592" w:rsidRDefault="00002C1F" w:rsidP="00002C1F">
            <w:pPr>
              <w:rPr>
                <w:rStyle w:val="ECCParagraph"/>
              </w:rPr>
            </w:pPr>
          </w:p>
          <w:p w14:paraId="56518DD6" w14:textId="77777777" w:rsidR="00002C1F" w:rsidRPr="00235592" w:rsidRDefault="00002C1F" w:rsidP="00002C1F">
            <w:pPr>
              <w:pStyle w:val="ECCLetterHead"/>
            </w:pPr>
          </w:p>
        </w:tc>
      </w:tr>
      <w:tr w:rsidR="00002C1F" w:rsidRPr="00235592" w14:paraId="122495FE" w14:textId="77777777" w:rsidTr="009A3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538E38C4" w14:textId="77777777" w:rsidR="00002C1F" w:rsidRPr="00002C1F" w:rsidRDefault="00002C1F" w:rsidP="00002C1F">
            <w:pPr>
              <w:pStyle w:val="ECCLetterHead"/>
            </w:pPr>
            <w:r w:rsidRPr="00235592">
              <w:t xml:space="preserve">Summary: </w:t>
            </w:r>
          </w:p>
        </w:tc>
      </w:tr>
      <w:tr w:rsidR="00002C1F" w:rsidRPr="00235592" w14:paraId="6FFBDA4B" w14:textId="77777777" w:rsidTr="009A3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209ADC22" w14:textId="77777777" w:rsidR="00002C1F" w:rsidRPr="00235592" w:rsidRDefault="00002C1F" w:rsidP="00002C1F">
            <w:pPr>
              <w:pStyle w:val="ECCTabletext"/>
            </w:pPr>
          </w:p>
        </w:tc>
      </w:tr>
      <w:tr w:rsidR="00002C1F" w:rsidRPr="00235592" w14:paraId="0AE1AC2F" w14:textId="77777777" w:rsidTr="009A3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2BF25633" w14:textId="77777777" w:rsidR="00002C1F" w:rsidRPr="00002C1F" w:rsidRDefault="00002C1F" w:rsidP="00002C1F">
            <w:pPr>
              <w:pStyle w:val="ECCLetterHead"/>
            </w:pPr>
            <w:r w:rsidRPr="00235592">
              <w:t>Proposal:</w:t>
            </w:r>
          </w:p>
        </w:tc>
      </w:tr>
      <w:tr w:rsidR="00002C1F" w:rsidRPr="00235592" w14:paraId="5DDB804B" w14:textId="77777777" w:rsidTr="009A3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14:paraId="0E974FC2" w14:textId="77777777" w:rsidR="00002C1F" w:rsidRPr="00235592" w:rsidRDefault="00002C1F" w:rsidP="00002C1F">
            <w:pPr>
              <w:pStyle w:val="ECCTabletext"/>
            </w:pPr>
          </w:p>
        </w:tc>
      </w:tr>
    </w:tbl>
    <w:p w14:paraId="48D5ADA3" w14:textId="77777777" w:rsidR="00002C1F" w:rsidRPr="00235592" w:rsidRDefault="00002C1F" w:rsidP="00002C1F">
      <w:pPr>
        <w:pStyle w:val="ECCEditorsNote"/>
        <w:numPr>
          <w:ilvl w:val="0"/>
          <w:numId w:val="19"/>
        </w:numPr>
        <w:rPr>
          <w:rStyle w:val="ECCParagraph"/>
        </w:rPr>
      </w:pPr>
      <w:r w:rsidRPr="00C47A59">
        <w:rPr>
          <w:lang w:val="en-US"/>
        </w:rPr>
        <w:t>The following pages are intended to be compiled in one CEPT Brief on AI 9</w:t>
      </w:r>
      <w:r w:rsidRPr="00235592">
        <w:rPr>
          <w:rStyle w:val="ECCParagraph"/>
        </w:rPr>
        <w:br w:type="page"/>
      </w:r>
    </w:p>
    <w:p w14:paraId="11796B13" w14:textId="77777777" w:rsidR="002547C7" w:rsidRPr="00C20425" w:rsidRDefault="002547C7" w:rsidP="002547C7">
      <w:pPr>
        <w:pStyle w:val="ECCHeadingnonumbering"/>
        <w:rPr>
          <w:lang w:val="en-GB"/>
        </w:rPr>
      </w:pPr>
      <w:r w:rsidRPr="00C20425">
        <w:rPr>
          <w:lang w:val="en-GB"/>
        </w:rPr>
        <w:lastRenderedPageBreak/>
        <w:t xml:space="preserve">DRAFT CEPT BRIEF ON AGENDA ITEM 9.1 Issue 9.1.2 </w:t>
      </w:r>
    </w:p>
    <w:p w14:paraId="7A0D6C33" w14:textId="77777777" w:rsidR="002547C7" w:rsidRPr="00C20425" w:rsidRDefault="002547C7" w:rsidP="002547C7">
      <w:pPr>
        <w:rPr>
          <w:rStyle w:val="ECCParagraph"/>
        </w:rPr>
      </w:pPr>
      <w:r w:rsidRPr="00C20425">
        <w:rPr>
          <w:rStyle w:val="ECCParagraph"/>
        </w:rPr>
        <w:t>9.1.2</w:t>
      </w:r>
      <w:r w:rsidRPr="00C20425">
        <w:rPr>
          <w:rStyle w:val="ECCParagraph"/>
        </w:rPr>
        <w:tab/>
        <w:t xml:space="preserve">Resolution </w:t>
      </w:r>
      <w:r w:rsidRPr="00C20425">
        <w:rPr>
          <w:rStyle w:val="ECCHLbold"/>
        </w:rPr>
        <w:t>761 (WRC-15)</w:t>
      </w:r>
      <w:r w:rsidRPr="00C20425">
        <w:rPr>
          <w:rStyle w:val="ECCParagraph"/>
        </w:rPr>
        <w:t>. Compatibility of International Mobile Telecommunications and broadcasting-satellite service (sound) in the frequency band 1 452-1 492 MHz in Regions 1 and 3</w:t>
      </w:r>
    </w:p>
    <w:p w14:paraId="6FFCD87C" w14:textId="77777777" w:rsidR="002547C7" w:rsidRPr="00C20425" w:rsidRDefault="002547C7" w:rsidP="002547C7">
      <w:pPr>
        <w:pStyle w:val="berschrift1"/>
        <w:rPr>
          <w:lang w:val="en-GB"/>
        </w:rPr>
      </w:pPr>
      <w:r w:rsidRPr="00C20425">
        <w:rPr>
          <w:lang w:val="en-GB"/>
        </w:rPr>
        <w:t>ISSUE</w:t>
      </w:r>
    </w:p>
    <w:p w14:paraId="5DA3C89E" w14:textId="74661358" w:rsidR="004D5D64" w:rsidRPr="00C20425" w:rsidRDefault="004D5D64" w:rsidP="002547C7">
      <w:pPr>
        <w:rPr>
          <w:rStyle w:val="ECCParagraph"/>
        </w:rPr>
      </w:pPr>
      <w:r>
        <w:rPr>
          <w:rStyle w:val="ECCParagraph"/>
        </w:rPr>
        <w:t>Under</w:t>
      </w:r>
      <w:r w:rsidRPr="00C20425">
        <w:rPr>
          <w:rStyle w:val="ECCParagraph"/>
        </w:rPr>
        <w:t xml:space="preserve"> </w:t>
      </w:r>
      <w:r w:rsidR="00AA1AC2">
        <w:rPr>
          <w:rStyle w:val="ECCParagraph"/>
        </w:rPr>
        <w:t>this</w:t>
      </w:r>
      <w:r>
        <w:rPr>
          <w:rStyle w:val="ECCParagraph"/>
        </w:rPr>
        <w:t xml:space="preserve"> issue, the ITU is to </w:t>
      </w:r>
      <w:r w:rsidRPr="004910BB">
        <w:t xml:space="preserve">conduct the appropriate regulatory and technical studies, with a view to ensuring the compatibility of IMT and BSS (sound) in the frequency band </w:t>
      </w:r>
      <w:r w:rsidR="00EB5332">
        <w:rPr>
          <w:rStyle w:val="ECCParagraph"/>
        </w:rPr>
        <w:t>1 </w:t>
      </w:r>
      <w:r w:rsidR="002547C7" w:rsidRPr="00C20425">
        <w:rPr>
          <w:rStyle w:val="ECCParagraph"/>
        </w:rPr>
        <w:t>452</w:t>
      </w:r>
      <w:r w:rsidRPr="004910BB">
        <w:t>-</w:t>
      </w:r>
      <w:r w:rsidR="00EB5332">
        <w:rPr>
          <w:rStyle w:val="ECCParagraph"/>
        </w:rPr>
        <w:t>1 </w:t>
      </w:r>
      <w:r w:rsidR="002547C7" w:rsidRPr="00C20425">
        <w:rPr>
          <w:rStyle w:val="ECCParagraph"/>
        </w:rPr>
        <w:t>492 </w:t>
      </w:r>
      <w:r w:rsidRPr="004910BB">
        <w:t>MHz in Regions 1 and 3, taking into account IMT and BSS (sound) operational requirements</w:t>
      </w:r>
      <w:r>
        <w:t xml:space="preserve"> and to </w:t>
      </w:r>
      <w:r w:rsidRPr="004910BB">
        <w:t>prepare, inter alia, regulatory action that could be taken, based on the studies, in order to facilitate long-term stability of IMT and BSS (sound) in the frequency ba</w:t>
      </w:r>
      <w:r w:rsidR="00EB5332">
        <w:t>nd 1 452-1 </w:t>
      </w:r>
      <w:r w:rsidRPr="004910BB">
        <w:t>492</w:t>
      </w:r>
      <w:r w:rsidR="00EB5332">
        <w:t> </w:t>
      </w:r>
      <w:r w:rsidRPr="004910BB">
        <w:t>MHz</w:t>
      </w:r>
      <w:r>
        <w:t xml:space="preserve"> in Regions 1 and 3</w:t>
      </w:r>
      <w:r w:rsidR="00EF165F">
        <w:t xml:space="preserve"> (see Resolution </w:t>
      </w:r>
      <w:r w:rsidR="00EF165F" w:rsidRPr="00EB5332">
        <w:rPr>
          <w:rStyle w:val="ECCHLbold"/>
        </w:rPr>
        <w:t>761 (WRC-15)</w:t>
      </w:r>
      <w:r w:rsidR="00EF165F">
        <w:t>)</w:t>
      </w:r>
      <w:r>
        <w:t>.</w:t>
      </w:r>
    </w:p>
    <w:p w14:paraId="65916EAB" w14:textId="77777777" w:rsidR="002547C7" w:rsidRPr="00C20425" w:rsidRDefault="002547C7" w:rsidP="002547C7">
      <w:pPr>
        <w:pStyle w:val="berschrift1"/>
        <w:rPr>
          <w:lang w:val="en-GB"/>
        </w:rPr>
      </w:pPr>
      <w:r w:rsidRPr="00C20425">
        <w:rPr>
          <w:lang w:val="en-GB"/>
        </w:rPr>
        <w:t xml:space="preserve">Preliminary CEPT position </w:t>
      </w:r>
    </w:p>
    <w:p w14:paraId="174F8AB6" w14:textId="62593AEC" w:rsidR="002547C7" w:rsidRPr="00C20425" w:rsidRDefault="002547C7" w:rsidP="002547C7">
      <w:pPr>
        <w:rPr>
          <w:rStyle w:val="ECCParagraph"/>
        </w:rPr>
      </w:pPr>
      <w:r w:rsidRPr="00C20425">
        <w:rPr>
          <w:rStyle w:val="ECCParagraph"/>
        </w:rPr>
        <w:t>CEPT has harmonis</w:t>
      </w:r>
      <w:r w:rsidR="00EB5332">
        <w:rPr>
          <w:rStyle w:val="ECCParagraph"/>
        </w:rPr>
        <w:t>ed the frequency band 1 </w:t>
      </w:r>
      <w:r w:rsidRPr="00C20425">
        <w:rPr>
          <w:rStyle w:val="ECCParagraph"/>
        </w:rPr>
        <w:t>452-1</w:t>
      </w:r>
      <w:r w:rsidR="00EB5332">
        <w:rPr>
          <w:rStyle w:val="ECCParagraph"/>
        </w:rPr>
        <w:t> </w:t>
      </w:r>
      <w:r w:rsidRPr="00C20425">
        <w:rPr>
          <w:rStyle w:val="ECCParagraph"/>
        </w:rPr>
        <w:t>492</w:t>
      </w:r>
      <w:r w:rsidR="00EB5332">
        <w:rPr>
          <w:rStyle w:val="ECCParagraph"/>
        </w:rPr>
        <w:t> </w:t>
      </w:r>
      <w:r w:rsidRPr="00C20425">
        <w:rPr>
          <w:rStyle w:val="ECCParagraph"/>
        </w:rPr>
        <w:t xml:space="preserve">MHz for supplemental downlink under the mobile service. </w:t>
      </w:r>
      <w:r w:rsidR="008B26E3">
        <w:rPr>
          <w:rStyle w:val="ECCParagraph"/>
        </w:rPr>
        <w:t xml:space="preserve">Therefore </w:t>
      </w:r>
      <w:r w:rsidRPr="00C20425">
        <w:rPr>
          <w:rStyle w:val="ECCParagraph"/>
        </w:rPr>
        <w:t>CEPT supports the protection of this application from BSS (sound).</w:t>
      </w:r>
      <w:r w:rsidRPr="00C20425">
        <w:t xml:space="preserve"> </w:t>
      </w:r>
      <w:r w:rsidR="00AA1AC2">
        <w:t xml:space="preserve">CEPT is of the view that </w:t>
      </w:r>
      <w:r w:rsidR="00EF165F">
        <w:t xml:space="preserve">the new </w:t>
      </w:r>
      <w:r w:rsidR="00AA1AC2">
        <w:t xml:space="preserve">harmonized solution in the addressed Regions </w:t>
      </w:r>
      <w:r w:rsidR="00EF165F">
        <w:t>is</w:t>
      </w:r>
      <w:r w:rsidR="00A156CA">
        <w:t xml:space="preserve"> </w:t>
      </w:r>
      <w:r w:rsidR="00AA1AC2">
        <w:t>necessary</w:t>
      </w:r>
      <w:r w:rsidR="00FE1F25">
        <w:t xml:space="preserve"> to be developed</w:t>
      </w:r>
      <w:r w:rsidR="00EF165F">
        <w:t>.</w:t>
      </w:r>
    </w:p>
    <w:p w14:paraId="618933DE" w14:textId="2C8CAB49" w:rsidR="002547C7" w:rsidRPr="00C20425" w:rsidRDefault="002547C7" w:rsidP="002547C7">
      <w:pPr>
        <w:rPr>
          <w:rStyle w:val="ECCParagraph"/>
        </w:rPr>
      </w:pPr>
      <w:r w:rsidRPr="00C20425">
        <w:rPr>
          <w:rStyle w:val="ECCParagraph"/>
        </w:rPr>
        <w:t>In order to facilitate coexistence be</w:t>
      </w:r>
      <w:r w:rsidR="00EB5332">
        <w:rPr>
          <w:rStyle w:val="ECCParagraph"/>
        </w:rPr>
        <w:t>tween IMT and BSS in the band 1 </w:t>
      </w:r>
      <w:r w:rsidRPr="00C20425">
        <w:rPr>
          <w:rStyle w:val="ECCParagraph"/>
        </w:rPr>
        <w:t>452-1</w:t>
      </w:r>
      <w:r w:rsidR="00EB5332">
        <w:rPr>
          <w:rStyle w:val="ECCParagraph"/>
        </w:rPr>
        <w:t> </w:t>
      </w:r>
      <w:r w:rsidRPr="00C20425">
        <w:rPr>
          <w:rStyle w:val="ECCParagraph"/>
        </w:rPr>
        <w:t>492</w:t>
      </w:r>
      <w:r w:rsidR="00EB5332">
        <w:rPr>
          <w:rStyle w:val="ECCParagraph"/>
        </w:rPr>
        <w:t> </w:t>
      </w:r>
      <w:r w:rsidRPr="00C20425">
        <w:rPr>
          <w:rStyle w:val="ECCParagraph"/>
        </w:rPr>
        <w:t xml:space="preserve">MHz, the current regulatory procedures governing the relation between BSS and terrestrial services </w:t>
      </w:r>
      <w:r w:rsidR="002503F7" w:rsidRPr="00C20425">
        <w:rPr>
          <w:rStyle w:val="ECCParagraph"/>
        </w:rPr>
        <w:t xml:space="preserve">need to </w:t>
      </w:r>
      <w:r w:rsidRPr="00C20425">
        <w:rPr>
          <w:rStyle w:val="ECCParagraph"/>
        </w:rPr>
        <w:t xml:space="preserve">be modified by inserting a </w:t>
      </w:r>
      <w:proofErr w:type="spellStart"/>
      <w:r w:rsidRPr="00C20425">
        <w:rPr>
          <w:rStyle w:val="ECCParagraph"/>
        </w:rPr>
        <w:t>pfd</w:t>
      </w:r>
      <w:proofErr w:type="spellEnd"/>
      <w:r w:rsidRPr="00C20425">
        <w:rPr>
          <w:rStyle w:val="ECCParagraph"/>
        </w:rPr>
        <w:t xml:space="preserve"> value of -</w:t>
      </w:r>
      <w:r w:rsidR="003A58EA">
        <w:rPr>
          <w:rStyle w:val="ECCParagraph"/>
        </w:rPr>
        <w:t>112</w:t>
      </w:r>
      <w:r w:rsidRPr="00C20425">
        <w:rPr>
          <w:rStyle w:val="ECCParagraph"/>
        </w:rPr>
        <w:t xml:space="preserve"> </w:t>
      </w:r>
      <w:proofErr w:type="spellStart"/>
      <w:r w:rsidRPr="00C20425">
        <w:rPr>
          <w:rStyle w:val="ECCParagraph"/>
        </w:rPr>
        <w:t>dBW</w:t>
      </w:r>
      <w:proofErr w:type="spellEnd"/>
      <w:r w:rsidRPr="00C20425">
        <w:rPr>
          <w:rStyle w:val="ECCParagraph"/>
        </w:rPr>
        <w:t xml:space="preserve">/m²/MHz </w:t>
      </w:r>
      <w:r w:rsidR="003A58EA">
        <w:rPr>
          <w:rStyle w:val="ECCParagraph"/>
        </w:rPr>
        <w:t xml:space="preserve">for Regions 1 and 3 </w:t>
      </w:r>
      <w:r w:rsidRPr="00C20425">
        <w:rPr>
          <w:rStyle w:val="ECCParagraph"/>
        </w:rPr>
        <w:t xml:space="preserve">in Article </w:t>
      </w:r>
      <w:r w:rsidRPr="00EB5332">
        <w:rPr>
          <w:rStyle w:val="ECCHLbold"/>
        </w:rPr>
        <w:t>21</w:t>
      </w:r>
      <w:r w:rsidRPr="00C20425">
        <w:rPr>
          <w:rStyle w:val="ECCParagraph"/>
        </w:rPr>
        <w:t xml:space="preserve"> </w:t>
      </w:r>
      <w:r w:rsidR="000C02BB">
        <w:rPr>
          <w:rStyle w:val="ECCParagraph"/>
        </w:rPr>
        <w:t xml:space="preserve">RR </w:t>
      </w:r>
      <w:r w:rsidRPr="00C20425">
        <w:rPr>
          <w:rStyle w:val="ECCParagraph"/>
        </w:rPr>
        <w:t xml:space="preserve">with the view to provide a more stable (long-term) situation to IMT. </w:t>
      </w:r>
    </w:p>
    <w:p w14:paraId="6797BDFD" w14:textId="546D52CD" w:rsidR="002547C7" w:rsidRPr="00C20425" w:rsidRDefault="002547C7" w:rsidP="002547C7">
      <w:pPr>
        <w:rPr>
          <w:rStyle w:val="ECCParagraph"/>
        </w:rPr>
      </w:pPr>
      <w:r w:rsidRPr="00C20425">
        <w:rPr>
          <w:rStyle w:val="ECCParagraph"/>
        </w:rPr>
        <w:t xml:space="preserve">RR Appendix 5 </w:t>
      </w:r>
      <w:r w:rsidR="002503F7" w:rsidRPr="00C20425">
        <w:rPr>
          <w:rStyle w:val="ECCParagraph"/>
        </w:rPr>
        <w:t>need</w:t>
      </w:r>
      <w:r w:rsidR="006F0977" w:rsidRPr="00C20425">
        <w:rPr>
          <w:rStyle w:val="ECCParagraph"/>
        </w:rPr>
        <w:t>s</w:t>
      </w:r>
      <w:r w:rsidR="002503F7" w:rsidRPr="00C20425">
        <w:rPr>
          <w:rStyle w:val="ECCParagraph"/>
        </w:rPr>
        <w:t xml:space="preserve"> to </w:t>
      </w:r>
      <w:r w:rsidRPr="00C20425">
        <w:rPr>
          <w:rStyle w:val="ECCParagraph"/>
        </w:rPr>
        <w:t>be modified so as to enable countries</w:t>
      </w:r>
      <w:r w:rsidR="003A58EA">
        <w:rPr>
          <w:rStyle w:val="ECCParagraph"/>
        </w:rPr>
        <w:t xml:space="preserve"> </w:t>
      </w:r>
      <w:r w:rsidR="00AA1AC2">
        <w:rPr>
          <w:rStyle w:val="ECCParagraph"/>
        </w:rPr>
        <w:t>of</w:t>
      </w:r>
      <w:r w:rsidR="003A58EA">
        <w:rPr>
          <w:rStyle w:val="ECCParagraph"/>
        </w:rPr>
        <w:t xml:space="preserve"> Regions 1 and 3 that</w:t>
      </w:r>
      <w:r w:rsidRPr="00C20425">
        <w:rPr>
          <w:rStyle w:val="ECCParagraph"/>
        </w:rPr>
        <w:t xml:space="preserve"> wish</w:t>
      </w:r>
      <w:r w:rsidR="00A156CA">
        <w:rPr>
          <w:rStyle w:val="ECCParagraph"/>
        </w:rPr>
        <w:t xml:space="preserve"> </w:t>
      </w:r>
      <w:r w:rsidR="003A58EA">
        <w:rPr>
          <w:rStyle w:val="ECCParagraph"/>
        </w:rPr>
        <w:t>to do so</w:t>
      </w:r>
      <w:r w:rsidRPr="00C20425">
        <w:rPr>
          <w:rStyle w:val="ECCParagraph"/>
        </w:rPr>
        <w:t xml:space="preserve"> to continue to apply coordination under RR No. 9.11. Therefore a </w:t>
      </w:r>
      <w:proofErr w:type="spellStart"/>
      <w:r w:rsidRPr="00C20425">
        <w:rPr>
          <w:rStyle w:val="ECCParagraph"/>
        </w:rPr>
        <w:t>pfd</w:t>
      </w:r>
      <w:proofErr w:type="spellEnd"/>
      <w:r w:rsidRPr="00C20425">
        <w:rPr>
          <w:rStyle w:val="ECCParagraph"/>
        </w:rPr>
        <w:t xml:space="preserve"> limit will apply to BSS </w:t>
      </w:r>
      <w:r w:rsidR="003A58EA">
        <w:rPr>
          <w:rStyle w:val="ECCParagraph"/>
        </w:rPr>
        <w:t>in Regions 1 and 3</w:t>
      </w:r>
      <w:r w:rsidR="003A58EA" w:rsidRPr="00C20425">
        <w:rPr>
          <w:rStyle w:val="ECCParagraph"/>
        </w:rPr>
        <w:t xml:space="preserve"> </w:t>
      </w:r>
      <w:r w:rsidRPr="00C20425">
        <w:rPr>
          <w:rStyle w:val="ECCParagraph"/>
        </w:rPr>
        <w:t xml:space="preserve">with respect to all terrestrial services except for countries wishing to continue to apply RR No. </w:t>
      </w:r>
      <w:r w:rsidRPr="00EB5332">
        <w:rPr>
          <w:rStyle w:val="ECCHLbold"/>
        </w:rPr>
        <w:t>9.11</w:t>
      </w:r>
      <w:r w:rsidRPr="00C20425">
        <w:rPr>
          <w:rStyle w:val="ECCParagraph"/>
        </w:rPr>
        <w:t>, because of more stringent protection requirement (e.g. in order to protect</w:t>
      </w:r>
      <w:r w:rsidR="00A156CA">
        <w:rPr>
          <w:rStyle w:val="ECCParagraph"/>
        </w:rPr>
        <w:t xml:space="preserve"> aeronautical </w:t>
      </w:r>
      <w:r w:rsidRPr="00C20425">
        <w:rPr>
          <w:rStyle w:val="ECCParagraph"/>
        </w:rPr>
        <w:t>telemetry systems</w:t>
      </w:r>
      <w:r w:rsidR="00A156CA">
        <w:rPr>
          <w:rStyle w:val="ECCParagraph"/>
        </w:rPr>
        <w:t xml:space="preserve"> (ATS)</w:t>
      </w:r>
      <w:r w:rsidRPr="00C20425">
        <w:rPr>
          <w:rStyle w:val="ECCParagraph"/>
        </w:rPr>
        <w:t>).</w:t>
      </w:r>
    </w:p>
    <w:p w14:paraId="436073CB" w14:textId="77777777" w:rsidR="002547C7" w:rsidRPr="00C20425" w:rsidRDefault="002547C7" w:rsidP="002547C7">
      <w:pPr>
        <w:pStyle w:val="berschrift1"/>
        <w:rPr>
          <w:lang w:val="en-GB"/>
        </w:rPr>
      </w:pPr>
      <w:r w:rsidRPr="00C20425">
        <w:rPr>
          <w:lang w:val="en-GB"/>
        </w:rPr>
        <w:t xml:space="preserve">Background </w:t>
      </w:r>
    </w:p>
    <w:p w14:paraId="7CBA274D" w14:textId="5874C649" w:rsidR="00B6244D" w:rsidRDefault="00AA1AC2" w:rsidP="002547C7">
      <w:r>
        <w:t>T</w:t>
      </w:r>
      <w:r w:rsidR="00E21DE5" w:rsidRPr="00E21DE5">
        <w:t xml:space="preserve">he frequency band 1 452-1 492 MHz is allocated to the fixed service (FS), mobile service (MS), broadcasting service (BS) and broadcasting-satellite service (BSS). </w:t>
      </w:r>
      <w:r w:rsidR="00BA6C8D" w:rsidRPr="00BA6C8D">
        <w:t>Based on the outcome of WRC</w:t>
      </w:r>
      <w:r>
        <w:t>-</w:t>
      </w:r>
      <w:r w:rsidR="00BA6C8D" w:rsidRPr="00BA6C8D">
        <w:t xml:space="preserve">15, the frequency band 1 452-1 492 MHz is identified </w:t>
      </w:r>
      <w:r w:rsidR="00951AF4">
        <w:t xml:space="preserve">by a country footnote </w:t>
      </w:r>
      <w:r w:rsidR="00BA6C8D" w:rsidRPr="00BA6C8D">
        <w:t>for use by Region 1</w:t>
      </w:r>
      <w:r w:rsidR="00954C79">
        <w:t xml:space="preserve"> (</w:t>
      </w:r>
      <w:r w:rsidR="00954C79" w:rsidRPr="00BA6C8D">
        <w:t xml:space="preserve">see RR Nos. </w:t>
      </w:r>
      <w:r w:rsidR="00954C79" w:rsidRPr="00EB5332">
        <w:rPr>
          <w:rStyle w:val="ECCHLbold"/>
        </w:rPr>
        <w:t>5.346</w:t>
      </w:r>
      <w:r w:rsidR="00306F59">
        <w:t>, no countries in Europe</w:t>
      </w:r>
      <w:r w:rsidR="00954C79">
        <w:t xml:space="preserve">) </w:t>
      </w:r>
      <w:r w:rsidR="00BA6C8D" w:rsidRPr="00BA6C8D">
        <w:t xml:space="preserve">and </w:t>
      </w:r>
      <w:r w:rsidR="00954C79">
        <w:t xml:space="preserve">Region </w:t>
      </w:r>
      <w:r w:rsidR="00BA6C8D" w:rsidRPr="00BA6C8D">
        <w:t xml:space="preserve">3 administrations </w:t>
      </w:r>
      <w:r w:rsidR="00954C79" w:rsidRPr="00BA6C8D">
        <w:t>(</w:t>
      </w:r>
      <w:r w:rsidR="00954C79">
        <w:t>see RR</w:t>
      </w:r>
      <w:r w:rsidR="00E63AA9">
        <w:t xml:space="preserve"> </w:t>
      </w:r>
      <w:r w:rsidR="00954C79">
        <w:t>Nos.</w:t>
      </w:r>
      <w:r w:rsidR="00954C79" w:rsidRPr="00BA6C8D">
        <w:t xml:space="preserve"> </w:t>
      </w:r>
      <w:r w:rsidR="00954C79" w:rsidRPr="00EB5332">
        <w:rPr>
          <w:rStyle w:val="ECCHLbold"/>
        </w:rPr>
        <w:t>5.346A</w:t>
      </w:r>
      <w:r w:rsidR="00954C79" w:rsidRPr="00BA6C8D">
        <w:t>)</w:t>
      </w:r>
      <w:r w:rsidR="00954C79">
        <w:t xml:space="preserve"> </w:t>
      </w:r>
      <w:r w:rsidR="00BA6C8D" w:rsidRPr="00BA6C8D">
        <w:t xml:space="preserve">wishing to implement IMT in accordance with Resolution </w:t>
      </w:r>
      <w:r w:rsidR="00BA6C8D" w:rsidRPr="00EB5332">
        <w:rPr>
          <w:rStyle w:val="ECCHLbold"/>
        </w:rPr>
        <w:t>223 (Rev.WRC-15)</w:t>
      </w:r>
      <w:r w:rsidR="00BA6C8D" w:rsidRPr="00BA6C8D">
        <w:t xml:space="preserve"> and Resolution </w:t>
      </w:r>
      <w:r w:rsidR="00BA6C8D" w:rsidRPr="00EB5332">
        <w:rPr>
          <w:rStyle w:val="ECCHLbold"/>
        </w:rPr>
        <w:t>761 (WRC-15)</w:t>
      </w:r>
      <w:r w:rsidR="00BA6C8D" w:rsidRPr="00BA6C8D">
        <w:t>.</w:t>
      </w:r>
      <w:r w:rsidR="00B6244D">
        <w:t xml:space="preserve"> </w:t>
      </w:r>
    </w:p>
    <w:p w14:paraId="269F1E7F" w14:textId="77777777" w:rsidR="006A28C8" w:rsidRDefault="006A28C8" w:rsidP="006A28C8">
      <w:pPr>
        <w:rPr>
          <w:rStyle w:val="ECCParagraph"/>
        </w:rPr>
      </w:pPr>
      <w:r w:rsidRPr="00C20425">
        <w:rPr>
          <w:rStyle w:val="ECCParagraph"/>
        </w:rPr>
        <w:t>In CEPT the frequency band 1 452-1 492 MHz is harmonised for terrestrial mobile/fixed communications networks supplemental downlink (see ECC Decision (13)03). This band has remained almost unused in a large part of the world although some BS, BSS, and AMT systems have been introduced in some countries.</w:t>
      </w:r>
    </w:p>
    <w:p w14:paraId="7BB0296B" w14:textId="77777777" w:rsidR="00A156CA" w:rsidRDefault="00E21DE5" w:rsidP="002547C7">
      <w:r w:rsidRPr="00E21DE5">
        <w:t xml:space="preserve">Currently RR No. </w:t>
      </w:r>
      <w:r w:rsidRPr="00EB5332">
        <w:rPr>
          <w:rStyle w:val="ECCHLbold"/>
        </w:rPr>
        <w:t>9.11</w:t>
      </w:r>
      <w:r w:rsidRPr="00E21DE5">
        <w:t xml:space="preserve"> applies with respect to the coordination for potential interference from a BSS (sound) space station into IMT receivers</w:t>
      </w:r>
      <w:r w:rsidR="00434502">
        <w:t xml:space="preserve"> but</w:t>
      </w:r>
      <w:r w:rsidR="00434502" w:rsidRPr="00434502">
        <w:t xml:space="preserve"> </w:t>
      </w:r>
      <w:r w:rsidR="00434502" w:rsidRPr="00D24566">
        <w:t xml:space="preserve">does not provide long-term stability for the operation of IMT due to the fact that only IMT systems that would come into operation within the next three years </w:t>
      </w:r>
      <w:r w:rsidR="00AA1AC2">
        <w:t>after successful coordination would be protected</w:t>
      </w:r>
      <w:r w:rsidR="00434502" w:rsidRPr="00D24566">
        <w:t xml:space="preserve"> and only for those three years. </w:t>
      </w:r>
      <w:r w:rsidR="00434502" w:rsidRPr="00434502">
        <w:t>This situation implies that IMT systems may not be protected appropriately in those countries planning to deploy them in future, if the territory of those countries were covered by a satellite network service area provided by another country’s BSS (sound) system(s).</w:t>
      </w:r>
    </w:p>
    <w:p w14:paraId="544ACE69" w14:textId="2CCF9C57" w:rsidR="002547C7" w:rsidRPr="00C20425" w:rsidRDefault="002547C7" w:rsidP="002547C7">
      <w:pPr>
        <w:rPr>
          <w:rStyle w:val="ECCParagraph"/>
        </w:rPr>
      </w:pPr>
      <w:r w:rsidRPr="00C20425">
        <w:rPr>
          <w:rStyle w:val="ECCParagraph"/>
        </w:rPr>
        <w:t>ITU-R WP 4A and WP 5D joint</w:t>
      </w:r>
      <w:r w:rsidR="0023672D">
        <w:rPr>
          <w:rStyle w:val="ECCParagraph"/>
        </w:rPr>
        <w:t>ly</w:t>
      </w:r>
      <w:r w:rsidRPr="00C20425">
        <w:rPr>
          <w:rStyle w:val="ECCParagraph"/>
        </w:rPr>
        <w:t xml:space="preserve"> </w:t>
      </w:r>
      <w:r w:rsidR="0023672D">
        <w:rPr>
          <w:rStyle w:val="ECCParagraph"/>
        </w:rPr>
        <w:t>developed relevant</w:t>
      </w:r>
      <w:r w:rsidRPr="00C20425">
        <w:rPr>
          <w:rStyle w:val="ECCParagraph"/>
        </w:rPr>
        <w:t xml:space="preserve"> studies</w:t>
      </w:r>
      <w:r w:rsidR="0023672D">
        <w:rPr>
          <w:rStyle w:val="ECCParagraph"/>
        </w:rPr>
        <w:t xml:space="preserve"> and Draft CPM text</w:t>
      </w:r>
      <w:r w:rsidRPr="00C20425">
        <w:rPr>
          <w:rStyle w:val="ECCParagraph"/>
        </w:rPr>
        <w:t xml:space="preserve"> under this </w:t>
      </w:r>
      <w:r w:rsidR="0023672D">
        <w:rPr>
          <w:rStyle w:val="ECCParagraph"/>
        </w:rPr>
        <w:t>issue</w:t>
      </w:r>
      <w:r w:rsidRPr="00C20425">
        <w:rPr>
          <w:rStyle w:val="ECCParagraph"/>
        </w:rPr>
        <w:t>.</w:t>
      </w:r>
      <w:r w:rsidR="00A156CA">
        <w:rPr>
          <w:rStyle w:val="ECCParagraph"/>
        </w:rPr>
        <w:t xml:space="preserve"> </w:t>
      </w:r>
      <w:r w:rsidRPr="00C20425">
        <w:rPr>
          <w:rStyle w:val="ECCParagraph"/>
        </w:rPr>
        <w:t xml:space="preserve">WP 4A </w:t>
      </w:r>
      <w:r w:rsidR="0015480D">
        <w:rPr>
          <w:rStyle w:val="ECCParagraph"/>
        </w:rPr>
        <w:t>was</w:t>
      </w:r>
      <w:r w:rsidRPr="00C20425">
        <w:rPr>
          <w:rStyle w:val="ECCParagraph"/>
        </w:rPr>
        <w:t xml:space="preserve"> responsible for the studies requested in the resolves to invite ITU-R with respect to the BSS (sound) service, taking into account the technical and operational characteristics provided by WP 5D.</w:t>
      </w:r>
      <w:r w:rsidR="00731145">
        <w:rPr>
          <w:rStyle w:val="ECCParagraph"/>
        </w:rPr>
        <w:t xml:space="preserve"> </w:t>
      </w:r>
      <w:r w:rsidRPr="00C20425">
        <w:rPr>
          <w:rStyle w:val="ECCParagraph"/>
        </w:rPr>
        <w:t xml:space="preserve">WP 5D </w:t>
      </w:r>
      <w:r w:rsidR="0015480D">
        <w:rPr>
          <w:rStyle w:val="ECCParagraph"/>
        </w:rPr>
        <w:t>was</w:t>
      </w:r>
      <w:r w:rsidRPr="00C20425">
        <w:rPr>
          <w:rStyle w:val="ECCParagraph"/>
        </w:rPr>
        <w:t xml:space="preserve"> responsible for the studies requested in the resolves to invites ITU-R with respect to IMT, taking into account the technical and operational characteristics provided by WP 4A.</w:t>
      </w:r>
    </w:p>
    <w:p w14:paraId="4D8A33F6" w14:textId="77777777" w:rsidR="002547C7" w:rsidRPr="00C20425" w:rsidRDefault="002547C7" w:rsidP="002547C7">
      <w:pPr>
        <w:pStyle w:val="berschrift1"/>
        <w:rPr>
          <w:lang w:val="en-GB"/>
        </w:rPr>
      </w:pPr>
      <w:r w:rsidRPr="00C20425">
        <w:rPr>
          <w:lang w:val="en-GB"/>
        </w:rPr>
        <w:lastRenderedPageBreak/>
        <w:t>List of relevant documents</w:t>
      </w:r>
    </w:p>
    <w:p w14:paraId="49F83584" w14:textId="77777777" w:rsidR="002547C7" w:rsidRPr="00C20425" w:rsidRDefault="002547C7" w:rsidP="002547C7">
      <w:pPr>
        <w:pStyle w:val="ECCBreak"/>
        <w:rPr>
          <w:lang w:val="en-GB"/>
        </w:rPr>
      </w:pPr>
      <w:r w:rsidRPr="00C20425">
        <w:rPr>
          <w:lang w:val="en-GB"/>
        </w:rPr>
        <w:t>ITU-Documentation (Recommendations, Reports, other)</w:t>
      </w:r>
    </w:p>
    <w:p w14:paraId="381B1FA2" w14:textId="3CD28F14" w:rsidR="00B6244D" w:rsidRPr="00B6244D" w:rsidRDefault="00B6244D" w:rsidP="00B6244D">
      <w:r w:rsidRPr="00B6244D">
        <w:t xml:space="preserve">Recommendations: </w:t>
      </w:r>
      <w:hyperlink r:id="rId9" w:history="1">
        <w:r w:rsidRPr="00B6244D">
          <w:rPr>
            <w:rStyle w:val="Hyperlink"/>
          </w:rPr>
          <w:t>ITU-R BO.789</w:t>
        </w:r>
      </w:hyperlink>
      <w:r w:rsidRPr="00B6244D">
        <w:t xml:space="preserve">, </w:t>
      </w:r>
      <w:hyperlink r:id="rId10" w:history="1">
        <w:r w:rsidRPr="00B6244D">
          <w:rPr>
            <w:rStyle w:val="Hyperlink"/>
          </w:rPr>
          <w:t>ITU-R BO.1130</w:t>
        </w:r>
      </w:hyperlink>
      <w:r w:rsidRPr="00B6244D">
        <w:t xml:space="preserve">, </w:t>
      </w:r>
      <w:hyperlink r:id="rId11" w:history="1">
        <w:r w:rsidRPr="00B6244D">
          <w:rPr>
            <w:rStyle w:val="Hyperlink"/>
          </w:rPr>
          <w:t>ITU-R P.452</w:t>
        </w:r>
      </w:hyperlink>
      <w:r w:rsidRPr="00B6244D">
        <w:t xml:space="preserve">, </w:t>
      </w:r>
      <w:hyperlink r:id="rId12" w:history="1">
        <w:r w:rsidRPr="00B6244D">
          <w:rPr>
            <w:rStyle w:val="Hyperlink"/>
          </w:rPr>
          <w:t>ITU-R P.1546</w:t>
        </w:r>
      </w:hyperlink>
      <w:r w:rsidRPr="00B6244D">
        <w:t xml:space="preserve">, </w:t>
      </w:r>
      <w:hyperlink r:id="rId13" w:history="1">
        <w:r w:rsidRPr="00B6244D">
          <w:rPr>
            <w:rStyle w:val="Hyperlink"/>
          </w:rPr>
          <w:t>ITU-R P.2001</w:t>
        </w:r>
      </w:hyperlink>
      <w:r w:rsidRPr="00B6244D">
        <w:t xml:space="preserve">, </w:t>
      </w:r>
      <w:hyperlink r:id="rId14" w:history="1">
        <w:r w:rsidRPr="00B6244D">
          <w:rPr>
            <w:rStyle w:val="Hyperlink"/>
          </w:rPr>
          <w:t>ITU-R M.2101</w:t>
        </w:r>
      </w:hyperlink>
    </w:p>
    <w:p w14:paraId="0399565B" w14:textId="77777777" w:rsidR="00B6244D" w:rsidRDefault="00B6244D" w:rsidP="00B6244D">
      <w:pPr>
        <w:rPr>
          <w:rStyle w:val="Hyperlink"/>
        </w:rPr>
      </w:pPr>
      <w:r w:rsidRPr="00B6244D">
        <w:t xml:space="preserve">Reports: </w:t>
      </w:r>
      <w:hyperlink r:id="rId15" w:history="1">
        <w:r w:rsidRPr="00D24566">
          <w:rPr>
            <w:rStyle w:val="Hyperlink"/>
          </w:rPr>
          <w:t>ITU-R M.2292</w:t>
        </w:r>
      </w:hyperlink>
    </w:p>
    <w:p w14:paraId="2C92A5FE" w14:textId="77777777" w:rsidR="00B6244D" w:rsidRPr="00D24566" w:rsidRDefault="00B6244D" w:rsidP="00B6244D">
      <w:r w:rsidRPr="009B5259">
        <w:t>ITU-</w:t>
      </w:r>
      <w:r w:rsidRPr="00950A8C">
        <w:t xml:space="preserve">R WD </w:t>
      </w:r>
      <w:r>
        <w:t>t</w:t>
      </w:r>
      <w:r w:rsidRPr="00950A8C">
        <w:t>owards a PDN</w:t>
      </w:r>
      <w:r w:rsidRPr="009B5259">
        <w:t xml:space="preserve"> Report </w:t>
      </w:r>
      <w:r>
        <w:t xml:space="preserve">ITU-R </w:t>
      </w:r>
      <w:r w:rsidRPr="009B5259">
        <w:t>M</w:t>
      </w:r>
      <w:proofErr w:type="gramStart"/>
      <w:r w:rsidRPr="009B5259">
        <w:t>.[</w:t>
      </w:r>
      <w:proofErr w:type="gramEnd"/>
      <w:r w:rsidRPr="009B5259">
        <w:t>IMT&amp;BSS COMPATIBILITY]</w:t>
      </w:r>
    </w:p>
    <w:p w14:paraId="10F6DF50" w14:textId="77777777" w:rsidR="00B6244D" w:rsidRPr="00D24566" w:rsidRDefault="00B6244D" w:rsidP="00B6244D">
      <w:r w:rsidRPr="00D24566">
        <w:t xml:space="preserve">ITU-R Handbook: </w:t>
      </w:r>
      <w:hyperlink r:id="rId16" w:history="1">
        <w:r w:rsidRPr="00D24566">
          <w:rPr>
            <w:rStyle w:val="Hyperlink"/>
          </w:rPr>
          <w:t>DSB Handbook − Terrestrial and satellite digital sound broadcasting to vehicular, portable and fixed receivers in the VHF/UHF bands</w:t>
        </w:r>
      </w:hyperlink>
    </w:p>
    <w:p w14:paraId="69E1B1F6" w14:textId="77777777" w:rsidR="00B6244D" w:rsidRPr="00D24566" w:rsidRDefault="00B6244D" w:rsidP="00B6244D">
      <w:r w:rsidRPr="00B6244D">
        <w:t xml:space="preserve">Recommendation </w:t>
      </w:r>
      <w:hyperlink r:id="rId17" w:history="1">
        <w:r w:rsidRPr="00B6244D">
          <w:rPr>
            <w:rStyle w:val="Hyperlink"/>
          </w:rPr>
          <w:t>ITU-R P.452</w:t>
        </w:r>
      </w:hyperlink>
      <w:r w:rsidRPr="00B6244D">
        <w:t xml:space="preserve"> is a path specific interference prediction method which requires a terrain profile. Recommendation </w:t>
      </w:r>
      <w:hyperlink r:id="rId18" w:history="1">
        <w:r w:rsidRPr="00B6244D">
          <w:rPr>
            <w:rStyle w:val="Hyperlink"/>
          </w:rPr>
          <w:t>ITU-R P.1546</w:t>
        </w:r>
      </w:hyperlink>
      <w:r w:rsidRPr="00B6244D">
        <w:t xml:space="preserve"> is a path general terrestrial model derived from measurements over gently rolling terrain.</w:t>
      </w:r>
    </w:p>
    <w:p w14:paraId="2A4D8A2C" w14:textId="77777777" w:rsidR="002547C7" w:rsidRPr="00C20425" w:rsidRDefault="002547C7" w:rsidP="002547C7">
      <w:pPr>
        <w:pStyle w:val="ECCBreak"/>
        <w:rPr>
          <w:lang w:val="en-GB"/>
        </w:rPr>
      </w:pPr>
      <w:bookmarkStart w:id="0" w:name="_GoBack"/>
      <w:bookmarkEnd w:id="0"/>
      <w:r w:rsidRPr="00C20425">
        <w:rPr>
          <w:lang w:val="en-GB"/>
        </w:rPr>
        <w:t>CEPT and/or ECC Documentation (Decisions, Recommendations, Reports)</w:t>
      </w:r>
    </w:p>
    <w:p w14:paraId="7BBA831C" w14:textId="77777777" w:rsidR="002547C7" w:rsidRPr="00C20425" w:rsidRDefault="002547C7" w:rsidP="002547C7">
      <w:pPr>
        <w:pStyle w:val="ECCBulletsLv1"/>
        <w:rPr>
          <w:rStyle w:val="ECCParagraph"/>
        </w:rPr>
      </w:pPr>
      <w:r w:rsidRPr="00C20425">
        <w:rPr>
          <w:rStyle w:val="ECCParagraph"/>
        </w:rPr>
        <w:t>ECC/DEC/(13)03</w:t>
      </w:r>
    </w:p>
    <w:p w14:paraId="3D44D42A" w14:textId="77777777" w:rsidR="002547C7" w:rsidRPr="00C20425" w:rsidRDefault="002547C7" w:rsidP="002547C7">
      <w:pPr>
        <w:pStyle w:val="ECCBreak"/>
        <w:rPr>
          <w:lang w:val="en-GB"/>
        </w:rPr>
      </w:pPr>
      <w:r w:rsidRPr="00C20425">
        <w:rPr>
          <w:lang w:val="en-GB"/>
        </w:rPr>
        <w:t>EU Documentation (Directives, Decisions, Recommendations, other), if applicable</w:t>
      </w:r>
    </w:p>
    <w:p w14:paraId="148C2700" w14:textId="77777777" w:rsidR="002547C7" w:rsidRPr="00C20425" w:rsidRDefault="002547C7" w:rsidP="002547C7">
      <w:pPr>
        <w:pStyle w:val="ECCBulletsLv1"/>
        <w:rPr>
          <w:rStyle w:val="ECCParagraph"/>
        </w:rPr>
      </w:pPr>
      <w:r w:rsidRPr="00C20425">
        <w:rPr>
          <w:rStyle w:val="ECCParagraph"/>
        </w:rPr>
        <w:t>Commission Implementing Decision (EU) 2015/750 of 8 May 2015 on the harmonisation of the 1 452-1 492 MHz frequency band for terrestrial systems capable of providing electronic communications services in the Union</w:t>
      </w:r>
    </w:p>
    <w:p w14:paraId="5FC0F960" w14:textId="77777777" w:rsidR="002547C7" w:rsidRPr="00C20425" w:rsidRDefault="002547C7" w:rsidP="002547C7">
      <w:pPr>
        <w:pStyle w:val="berschrift1"/>
        <w:rPr>
          <w:lang w:val="en-GB"/>
        </w:rPr>
      </w:pPr>
      <w:r w:rsidRPr="00C20425">
        <w:rPr>
          <w:lang w:val="en-GB"/>
        </w:rPr>
        <w:t>Actions to be taken</w:t>
      </w:r>
    </w:p>
    <w:p w14:paraId="092BB191" w14:textId="6A4642D6" w:rsidR="002547C7" w:rsidRPr="00C20425" w:rsidRDefault="001E21C0" w:rsidP="00CD4D17">
      <w:pPr>
        <w:rPr>
          <w:rStyle w:val="ECCParagraph"/>
          <w:rFonts w:cs="Arial"/>
          <w:b/>
          <w:bCs/>
          <w:caps/>
          <w:color w:val="D2232A"/>
          <w:kern w:val="32"/>
          <w:szCs w:val="32"/>
        </w:rPr>
      </w:pPr>
      <w:r>
        <w:rPr>
          <w:rStyle w:val="ECCParagraph"/>
        </w:rPr>
        <w:t>S</w:t>
      </w:r>
      <w:r w:rsidRPr="001E21C0">
        <w:rPr>
          <w:rStyle w:val="ECCParagraph"/>
        </w:rPr>
        <w:t>upport/Finalise</w:t>
      </w:r>
      <w:r w:rsidR="008B26E3">
        <w:rPr>
          <w:rStyle w:val="ECCParagraph"/>
        </w:rPr>
        <w:t xml:space="preserve"> </w:t>
      </w:r>
      <w:r w:rsidR="008B26E3" w:rsidRPr="009B5259">
        <w:t>ITU-</w:t>
      </w:r>
      <w:r w:rsidR="008B26E3" w:rsidRPr="00950A8C">
        <w:t xml:space="preserve">R WD </w:t>
      </w:r>
      <w:r w:rsidR="008B26E3">
        <w:t>t</w:t>
      </w:r>
      <w:r w:rsidR="008B26E3" w:rsidRPr="00950A8C">
        <w:t>owards a PDN</w:t>
      </w:r>
      <w:r w:rsidR="008B26E3" w:rsidRPr="009B5259">
        <w:t xml:space="preserve"> Report </w:t>
      </w:r>
      <w:r w:rsidR="008B26E3">
        <w:t xml:space="preserve">ITU-R </w:t>
      </w:r>
      <w:r w:rsidR="008B26E3" w:rsidRPr="009B5259">
        <w:t>M</w:t>
      </w:r>
      <w:proofErr w:type="gramStart"/>
      <w:r w:rsidR="008B26E3" w:rsidRPr="009B5259">
        <w:t>.[</w:t>
      </w:r>
      <w:proofErr w:type="gramEnd"/>
      <w:r w:rsidR="008B26E3" w:rsidRPr="009B5259">
        <w:t>IMT&amp;BSS COMPATIBILITY]</w:t>
      </w:r>
    </w:p>
    <w:p w14:paraId="4C3063DC" w14:textId="77777777" w:rsidR="00475FD8" w:rsidRPr="00C20425" w:rsidRDefault="00475FD8" w:rsidP="00475FD8">
      <w:pPr>
        <w:pStyle w:val="berschrift1"/>
        <w:rPr>
          <w:lang w:val="en-GB"/>
        </w:rPr>
      </w:pPr>
      <w:r w:rsidRPr="00C20425">
        <w:rPr>
          <w:lang w:val="en-GB"/>
        </w:rPr>
        <w:t>Relevant information from outside CEPT (examples of these are below)</w:t>
      </w:r>
    </w:p>
    <w:p w14:paraId="7773BA39" w14:textId="77777777" w:rsidR="00475FD8" w:rsidRPr="00C20425" w:rsidRDefault="00475FD8" w:rsidP="00475FD8">
      <w:pPr>
        <w:pStyle w:val="berschrift2"/>
        <w:rPr>
          <w:lang w:val="en-GB"/>
        </w:rPr>
      </w:pPr>
      <w:r w:rsidRPr="00C20425">
        <w:rPr>
          <w:lang w:val="en-GB"/>
        </w:rPr>
        <w:t>European Union (date of proposal)</w:t>
      </w:r>
    </w:p>
    <w:p w14:paraId="2DBC0B9A" w14:textId="77777777" w:rsidR="00475FD8" w:rsidRPr="00C20425" w:rsidRDefault="00475FD8" w:rsidP="00475FD8">
      <w:pPr>
        <w:rPr>
          <w:rStyle w:val="ECCParagraph"/>
        </w:rPr>
      </w:pPr>
    </w:p>
    <w:p w14:paraId="1FCD1EF0" w14:textId="77777777" w:rsidR="0076034F" w:rsidRPr="0076034F" w:rsidRDefault="0076034F" w:rsidP="0076034F">
      <w:pPr>
        <w:pStyle w:val="berschrift2"/>
      </w:pPr>
      <w:r w:rsidRPr="0076034F">
        <w:t>Regional telecommunication organisations</w:t>
      </w:r>
    </w:p>
    <w:p w14:paraId="1B28B30F" w14:textId="49069B85" w:rsidR="0076034F" w:rsidRPr="0076034F" w:rsidRDefault="0076034F" w:rsidP="0076034F">
      <w:pPr>
        <w:pStyle w:val="ECCBreak"/>
      </w:pPr>
      <w:r w:rsidRPr="0076034F">
        <w:t>APT (</w:t>
      </w:r>
      <w:r w:rsidR="00731145">
        <w:t>June</w:t>
      </w:r>
      <w:r w:rsidRPr="0076034F">
        <w:t xml:space="preserve"> 2018)</w:t>
      </w:r>
    </w:p>
    <w:p w14:paraId="036A0013" w14:textId="77777777" w:rsidR="0076034F" w:rsidRPr="0076034F" w:rsidRDefault="0076034F" w:rsidP="0076034F">
      <w:pPr>
        <w:rPr>
          <w:rStyle w:val="ECCHLunderlined"/>
        </w:rPr>
      </w:pPr>
      <w:r w:rsidRPr="0076034F">
        <w:rPr>
          <w:rStyle w:val="ECCHLunderlined"/>
        </w:rPr>
        <w:t>Preliminary view</w:t>
      </w:r>
    </w:p>
    <w:p w14:paraId="1491802B" w14:textId="77777777" w:rsidR="0076034F" w:rsidRPr="0076034F" w:rsidRDefault="0076034F" w:rsidP="0076034F">
      <w:r w:rsidRPr="0076034F">
        <w:rPr>
          <w:rFonts w:hint="eastAsia"/>
        </w:rPr>
        <w:t xml:space="preserve">APT </w:t>
      </w:r>
      <w:r w:rsidRPr="0076034F">
        <w:t>M</w:t>
      </w:r>
      <w:r w:rsidRPr="0076034F">
        <w:rPr>
          <w:rFonts w:hint="eastAsia"/>
        </w:rPr>
        <w:t xml:space="preserve">embers </w:t>
      </w:r>
      <w:r w:rsidRPr="0076034F">
        <w:t xml:space="preserve">support </w:t>
      </w:r>
      <w:r w:rsidRPr="0076034F">
        <w:rPr>
          <w:rFonts w:hint="eastAsia"/>
        </w:rPr>
        <w:t xml:space="preserve">the </w:t>
      </w:r>
      <w:r w:rsidRPr="0076034F">
        <w:t>regulatory and technical studies</w:t>
      </w:r>
      <w:r w:rsidRPr="0076034F">
        <w:rPr>
          <w:rFonts w:hint="eastAsia"/>
        </w:rPr>
        <w:t xml:space="preserve"> being </w:t>
      </w:r>
      <w:r w:rsidRPr="0076034F">
        <w:t>conducted</w:t>
      </w:r>
      <w:r w:rsidRPr="0076034F">
        <w:rPr>
          <w:rFonts w:hint="eastAsia"/>
        </w:rPr>
        <w:t xml:space="preserve"> by ITU-R in order to achieve</w:t>
      </w:r>
      <w:r w:rsidRPr="0076034F">
        <w:t xml:space="preserve"> compatibility of IMT and BSS (sound) in the frequency band 1 452</w:t>
      </w:r>
      <w:r w:rsidRPr="0076034F">
        <w:rPr>
          <w:rFonts w:hint="eastAsia"/>
        </w:rPr>
        <w:t>-</w:t>
      </w:r>
      <w:r w:rsidRPr="0076034F">
        <w:t>1 492 MHz in Regions 1 and 3</w:t>
      </w:r>
      <w:r w:rsidRPr="0076034F">
        <w:rPr>
          <w:rFonts w:hint="eastAsia"/>
        </w:rPr>
        <w:t xml:space="preserve"> in accordance with </w:t>
      </w:r>
      <w:r w:rsidRPr="0076034F">
        <w:t>Resolution 761 (WRC-15</w:t>
      </w:r>
      <w:r w:rsidRPr="0076034F">
        <w:rPr>
          <w:rFonts w:hint="eastAsia"/>
        </w:rPr>
        <w:t>).</w:t>
      </w:r>
    </w:p>
    <w:p w14:paraId="2CEEABFE" w14:textId="77777777" w:rsidR="0076034F" w:rsidRPr="0076034F" w:rsidRDefault="0076034F" w:rsidP="0076034F">
      <w:r w:rsidRPr="0076034F">
        <w:rPr>
          <w:rFonts w:hint="eastAsia"/>
        </w:rPr>
        <w:t xml:space="preserve">APT </w:t>
      </w:r>
      <w:r w:rsidRPr="0076034F">
        <w:t>M</w:t>
      </w:r>
      <w:r w:rsidRPr="0076034F">
        <w:rPr>
          <w:rFonts w:hint="eastAsia"/>
        </w:rPr>
        <w:t xml:space="preserve">embers are of view that </w:t>
      </w:r>
      <w:r w:rsidRPr="0076034F">
        <w:t>appropriate</w:t>
      </w:r>
      <w:r w:rsidRPr="0076034F">
        <w:rPr>
          <w:rFonts w:hint="eastAsia"/>
        </w:rPr>
        <w:t xml:space="preserve"> regulatory and </w:t>
      </w:r>
      <w:r w:rsidRPr="0076034F">
        <w:t xml:space="preserve">technical measures </w:t>
      </w:r>
      <w:r w:rsidRPr="0076034F">
        <w:rPr>
          <w:rFonts w:hint="eastAsia"/>
        </w:rPr>
        <w:t xml:space="preserve">should be developed </w:t>
      </w:r>
      <w:r w:rsidRPr="0076034F">
        <w:t>to ensure coexistence and compatibility between IMT and BSS (Sound) in the frequency bands 1</w:t>
      </w:r>
      <w:r w:rsidRPr="0076034F">
        <w:rPr>
          <w:rFonts w:hint="eastAsia"/>
        </w:rPr>
        <w:t xml:space="preserve"> </w:t>
      </w:r>
      <w:r w:rsidRPr="0076034F">
        <w:t>452 – 1</w:t>
      </w:r>
      <w:r w:rsidRPr="0076034F">
        <w:rPr>
          <w:rFonts w:hint="eastAsia"/>
        </w:rPr>
        <w:t xml:space="preserve"> </w:t>
      </w:r>
      <w:r w:rsidRPr="0076034F">
        <w:t>492 MHz</w:t>
      </w:r>
      <w:r w:rsidRPr="0076034F">
        <w:rPr>
          <w:rFonts w:hint="eastAsia"/>
        </w:rPr>
        <w:t xml:space="preserve"> taking into account the results of ITU-R studies</w:t>
      </w:r>
      <w:r w:rsidRPr="0076034F">
        <w:t xml:space="preserve">. </w:t>
      </w:r>
    </w:p>
    <w:p w14:paraId="5B48F5DB" w14:textId="77777777" w:rsidR="0076034F" w:rsidRPr="0076034F" w:rsidRDefault="0076034F" w:rsidP="0076034F">
      <w:pPr>
        <w:rPr>
          <w:rStyle w:val="ECCHLunderlined"/>
        </w:rPr>
      </w:pPr>
      <w:r w:rsidRPr="0076034F">
        <w:rPr>
          <w:rStyle w:val="ECCHLunderlined"/>
        </w:rPr>
        <w:t>Other views</w:t>
      </w:r>
    </w:p>
    <w:p w14:paraId="190CB072" w14:textId="77777777" w:rsidR="0076034F" w:rsidRPr="0076034F" w:rsidRDefault="0076034F" w:rsidP="0076034F">
      <w:r w:rsidRPr="0076034F">
        <w:rPr>
          <w:rFonts w:hint="eastAsia"/>
        </w:rPr>
        <w:lastRenderedPageBreak/>
        <w:t xml:space="preserve">Some APT Members have a view that the </w:t>
      </w:r>
      <w:proofErr w:type="spellStart"/>
      <w:r w:rsidRPr="0076034F">
        <w:rPr>
          <w:rFonts w:hint="eastAsia"/>
        </w:rPr>
        <w:t>pfd</w:t>
      </w:r>
      <w:proofErr w:type="spellEnd"/>
      <w:r w:rsidRPr="0076034F">
        <w:rPr>
          <w:rFonts w:hint="eastAsia"/>
        </w:rPr>
        <w:t xml:space="preserve"> limit for BSS (sound) should be established in the Table21-4 of Article 21 in the Radio Regulations to ensure the protection of IMT</w:t>
      </w:r>
    </w:p>
    <w:p w14:paraId="16D9CFBF" w14:textId="77777777" w:rsidR="0076034F" w:rsidRPr="0076034F" w:rsidRDefault="0076034F" w:rsidP="0076034F">
      <w:pPr>
        <w:rPr>
          <w:rStyle w:val="ECCParagraph"/>
        </w:rPr>
      </w:pPr>
      <w:r w:rsidRPr="0076034F">
        <w:rPr>
          <w:rFonts w:hint="eastAsia"/>
        </w:rPr>
        <w:t xml:space="preserve">Some other APT </w:t>
      </w:r>
      <w:r w:rsidRPr="0076034F">
        <w:t>M</w:t>
      </w:r>
      <w:r w:rsidRPr="0076034F">
        <w:rPr>
          <w:rFonts w:hint="eastAsia"/>
        </w:rPr>
        <w:t xml:space="preserve">embers have a </w:t>
      </w:r>
      <w:r w:rsidRPr="0076034F">
        <w:t>view</w:t>
      </w:r>
      <w:r w:rsidRPr="0076034F">
        <w:rPr>
          <w:rFonts w:hint="eastAsia"/>
        </w:rPr>
        <w:t xml:space="preserve"> that </w:t>
      </w:r>
      <w:r w:rsidRPr="0076034F">
        <w:t xml:space="preserve">the current coordination </w:t>
      </w:r>
      <w:r w:rsidRPr="0076034F">
        <w:rPr>
          <w:rFonts w:hint="eastAsia"/>
        </w:rPr>
        <w:t>me</w:t>
      </w:r>
      <w:r w:rsidRPr="0076034F">
        <w:t>chanism could reach long-term coexistence between IMT and BSS (sound) systems</w:t>
      </w:r>
      <w:r w:rsidRPr="0076034F">
        <w:rPr>
          <w:rFonts w:hint="eastAsia"/>
        </w:rPr>
        <w:t xml:space="preserve"> without the </w:t>
      </w:r>
      <w:proofErr w:type="spellStart"/>
      <w:r w:rsidRPr="0076034F">
        <w:t>pfd</w:t>
      </w:r>
      <w:proofErr w:type="spellEnd"/>
      <w:r w:rsidRPr="0076034F">
        <w:t xml:space="preserve"> mandatory limitation</w:t>
      </w:r>
      <w:r w:rsidRPr="0076034F">
        <w:rPr>
          <w:rFonts w:hint="eastAsia"/>
        </w:rPr>
        <w:t>.</w:t>
      </w:r>
    </w:p>
    <w:p w14:paraId="3D038D0E" w14:textId="1D890AA5" w:rsidR="0076034F" w:rsidRPr="0076034F" w:rsidRDefault="0076034F" w:rsidP="0076034F">
      <w:pPr>
        <w:pStyle w:val="ECCBreak"/>
      </w:pPr>
      <w:r w:rsidRPr="0076034F">
        <w:t>ATU (</w:t>
      </w:r>
      <w:r w:rsidR="00731145">
        <w:t>October 2018</w:t>
      </w:r>
      <w:r w:rsidRPr="0076034F">
        <w:t>)</w:t>
      </w:r>
    </w:p>
    <w:p w14:paraId="4C47348B" w14:textId="2E55FEB7" w:rsidR="0076034F" w:rsidRPr="0076034F" w:rsidRDefault="00731145" w:rsidP="0076034F">
      <w:pPr>
        <w:rPr>
          <w:rStyle w:val="ECCParagraph"/>
        </w:rPr>
      </w:pPr>
      <w:r>
        <w:rPr>
          <w:rStyle w:val="ECCParagraph"/>
        </w:rPr>
        <w:t>No information</w:t>
      </w:r>
    </w:p>
    <w:p w14:paraId="62B785E5" w14:textId="34197FA8" w:rsidR="0076034F" w:rsidRPr="0076034F" w:rsidRDefault="00731145" w:rsidP="0076034F">
      <w:pPr>
        <w:pStyle w:val="ECCBreak"/>
      </w:pPr>
      <w:r>
        <w:t xml:space="preserve">ASMG </w:t>
      </w:r>
      <w:r w:rsidR="0076034F" w:rsidRPr="0076034F">
        <w:t>Arab Group (7-11 April 2018)</w:t>
      </w:r>
    </w:p>
    <w:p w14:paraId="3981468C" w14:textId="77777777" w:rsidR="0076034F" w:rsidRPr="0076034F" w:rsidRDefault="0076034F" w:rsidP="0076034F">
      <w:r w:rsidRPr="0076034F">
        <w:t>No restrictions on the use of IMT applications for the frequency band 1452-1492 MHz.</w:t>
      </w:r>
    </w:p>
    <w:p w14:paraId="2F7C459F" w14:textId="77777777" w:rsidR="0076034F" w:rsidRPr="0076034F" w:rsidRDefault="0076034F" w:rsidP="0076034F">
      <w:r w:rsidRPr="0076034F">
        <w:t>No change to the ITU RR for protection for Broadcasting Satellite Service with proposing setting PFD limits on BSS in Article 21 of the RR or to 5.345 AA of RR to ensure IMT protection</w:t>
      </w:r>
    </w:p>
    <w:p w14:paraId="6AEA3426" w14:textId="51432D51" w:rsidR="0076034F" w:rsidRPr="0076034F" w:rsidRDefault="0076034F" w:rsidP="0076034F">
      <w:pPr>
        <w:pStyle w:val="ECCBreak"/>
      </w:pPr>
      <w:r w:rsidRPr="0076034F">
        <w:t>CITEL (December 2017)</w:t>
      </w:r>
    </w:p>
    <w:p w14:paraId="35DF9901" w14:textId="77777777" w:rsidR="0076034F" w:rsidRPr="0076034F" w:rsidRDefault="0076034F" w:rsidP="0076034F">
      <w:pPr>
        <w:rPr>
          <w:rStyle w:val="ECCHLunderlined"/>
        </w:rPr>
      </w:pPr>
      <w:r w:rsidRPr="0076034F">
        <w:rPr>
          <w:rStyle w:val="ECCHLunderlined"/>
        </w:rPr>
        <w:t>IAP</w:t>
      </w:r>
    </w:p>
    <w:p w14:paraId="5DFD974C" w14:textId="77777777" w:rsidR="0076034F" w:rsidRPr="0076034F" w:rsidRDefault="0076034F" w:rsidP="0076034F">
      <w:r w:rsidRPr="0076034F">
        <w:t>Argentina, Brazil, Canada, Colombia, Ecuador, United States of America, Guatemala, Uruguay</w:t>
      </w:r>
    </w:p>
    <w:p w14:paraId="64A239F0" w14:textId="77777777" w:rsidR="0076034F" w:rsidRPr="0076034F" w:rsidRDefault="0076034F" w:rsidP="0076034F">
      <w:r w:rsidRPr="0076034F">
        <w:rPr>
          <w:rStyle w:val="ECCHLunderlined"/>
        </w:rPr>
        <w:t>NOC</w:t>
      </w:r>
      <w:r w:rsidRPr="0076034F">
        <w:t xml:space="preserve"> to Article 5 – Section IV – Table of Frequency Allocations</w:t>
      </w:r>
    </w:p>
    <w:p w14:paraId="3E95ABA4" w14:textId="77777777" w:rsidR="0076034F" w:rsidRPr="0076034F" w:rsidRDefault="0076034F" w:rsidP="0076034F">
      <w:r w:rsidRPr="0076034F">
        <w:t xml:space="preserve">Reasons: WRC-19 issue 9.1.2 is limited to technical and regulatory studies of the mobile (IMT) and broadcasting satellite (sound) services in the band 1452-1492 MHz in Regions 1 and 3 only. Therefore, there is no basis for any changes to the Radio Regulations that would impact the services in the frequency band1452-1492 MHz in Region 2 under this issue. Therefore, NOC is proposed with respect to any change to Article 5 that could impact Region 2 services in the frequency band 1452-1492 MHz. </w:t>
      </w:r>
    </w:p>
    <w:p w14:paraId="23389787" w14:textId="2D6A20CD" w:rsidR="0076034F" w:rsidRPr="0076034F" w:rsidRDefault="0076034F" w:rsidP="0076034F">
      <w:pPr>
        <w:pStyle w:val="ECCBreak"/>
      </w:pPr>
      <w:r w:rsidRPr="0076034F">
        <w:t>RCC (</w:t>
      </w:r>
      <w:r w:rsidR="00731145">
        <w:t>October</w:t>
      </w:r>
      <w:r w:rsidRPr="0076034F">
        <w:t xml:space="preserve"> 2018)</w:t>
      </w:r>
    </w:p>
    <w:p w14:paraId="46A20C19" w14:textId="77777777" w:rsidR="00731145" w:rsidRPr="00E817E3" w:rsidRDefault="00731145" w:rsidP="00731145">
      <w:r w:rsidRPr="00E817E3">
        <w:t xml:space="preserve">The RCC Administrations do not oppose the development of relevant regulatory and technical conditions in order to provide compatibility between IMT and broadcasting-satellite service (sound) in the frequency band 1 452-1 492 MHz in Regions 1 and 3. These conditions shall only be applied in the territory of countries where this band is identified for IMT. </w:t>
      </w:r>
    </w:p>
    <w:p w14:paraId="747F6084" w14:textId="77777777" w:rsidR="0076034F" w:rsidRPr="0076034F" w:rsidRDefault="0076034F" w:rsidP="0076034F">
      <w:pPr>
        <w:rPr>
          <w:rStyle w:val="ECCParagraph"/>
        </w:rPr>
      </w:pPr>
      <w:r w:rsidRPr="0076034F">
        <w:rPr>
          <w:rStyle w:val="ECCParagraph"/>
        </w:rPr>
        <w:t>The RCC Administrations consider that technical conditions and regulatory provisions developed within the framework of conducted studies should also take into account the need to protect aeronautical telemetry systems in aeronautical mobile service.</w:t>
      </w:r>
    </w:p>
    <w:p w14:paraId="55A69C77" w14:textId="77777777" w:rsidR="0076034F" w:rsidRPr="0076034F" w:rsidRDefault="0076034F" w:rsidP="0076034F">
      <w:pPr>
        <w:pStyle w:val="berschrift2"/>
      </w:pPr>
      <w:r w:rsidRPr="0076034F">
        <w:t>International organisations</w:t>
      </w:r>
    </w:p>
    <w:p w14:paraId="73CD6C73" w14:textId="77777777" w:rsidR="0076034F" w:rsidRPr="0076034F" w:rsidRDefault="0076034F" w:rsidP="0076034F">
      <w:pPr>
        <w:pStyle w:val="ECCBreak"/>
      </w:pPr>
      <w:r w:rsidRPr="0076034F">
        <w:t>IATA (date of proposal)</w:t>
      </w:r>
    </w:p>
    <w:p w14:paraId="2AC67535" w14:textId="77777777" w:rsidR="0076034F" w:rsidRPr="0076034F" w:rsidRDefault="0076034F" w:rsidP="0076034F">
      <w:pPr>
        <w:rPr>
          <w:rStyle w:val="ECCParagraph"/>
        </w:rPr>
      </w:pPr>
    </w:p>
    <w:p w14:paraId="1A8B4ECB" w14:textId="77777777" w:rsidR="0076034F" w:rsidRPr="0076034F" w:rsidRDefault="0076034F" w:rsidP="0076034F">
      <w:pPr>
        <w:pStyle w:val="ECCBreak"/>
      </w:pPr>
      <w:r w:rsidRPr="0076034F">
        <w:t>ICAO (date of proposal)</w:t>
      </w:r>
    </w:p>
    <w:p w14:paraId="6D5A81BB" w14:textId="77777777" w:rsidR="0076034F" w:rsidRPr="0076034F" w:rsidRDefault="0076034F" w:rsidP="0076034F">
      <w:pPr>
        <w:rPr>
          <w:rStyle w:val="ECCParagraph"/>
        </w:rPr>
      </w:pPr>
    </w:p>
    <w:p w14:paraId="442FE7C8" w14:textId="77777777" w:rsidR="0076034F" w:rsidRPr="0076034F" w:rsidRDefault="0076034F" w:rsidP="0076034F">
      <w:pPr>
        <w:pStyle w:val="ECCBreak"/>
      </w:pPr>
      <w:r w:rsidRPr="0076034F">
        <w:t>IMO (date of proposal)</w:t>
      </w:r>
    </w:p>
    <w:p w14:paraId="7CDBBF71" w14:textId="77777777" w:rsidR="0076034F" w:rsidRPr="0076034F" w:rsidRDefault="0076034F" w:rsidP="0076034F">
      <w:pPr>
        <w:rPr>
          <w:rStyle w:val="ECCParagraph"/>
        </w:rPr>
      </w:pPr>
    </w:p>
    <w:p w14:paraId="154C3F73" w14:textId="77777777" w:rsidR="0076034F" w:rsidRPr="0076034F" w:rsidRDefault="0076034F" w:rsidP="0076034F">
      <w:pPr>
        <w:pStyle w:val="ECCBreak"/>
        <w:rPr>
          <w:rStyle w:val="ECCParagraph"/>
        </w:rPr>
      </w:pPr>
      <w:r w:rsidRPr="0076034F">
        <w:rPr>
          <w:rStyle w:val="ECCParagraph"/>
        </w:rPr>
        <w:lastRenderedPageBreak/>
        <w:t>NATO (23 June 2017)</w:t>
      </w:r>
    </w:p>
    <w:p w14:paraId="292AD9BF" w14:textId="77777777" w:rsidR="0076034F" w:rsidRPr="0076034F" w:rsidRDefault="0076034F" w:rsidP="0076034F">
      <w:pPr>
        <w:rPr>
          <w:rStyle w:val="Hervorhebung"/>
        </w:rPr>
      </w:pPr>
      <w:r w:rsidRPr="0076034F">
        <w:rPr>
          <w:rStyle w:val="ECCParagraph"/>
        </w:rPr>
        <w:t>This NATO military assessment summary is a common military assessment of the NATO Nations on the potential impacts and benefits of Agenda Item 9.1, Issue 9.1.2. It does not constitute a common position of the NATO Nations</w:t>
      </w:r>
      <w:r w:rsidRPr="0076034F">
        <w:rPr>
          <w:rStyle w:val="Hervorhebung"/>
        </w:rPr>
        <w:t>.</w:t>
      </w:r>
    </w:p>
    <w:p w14:paraId="6BF04C5A" w14:textId="77777777" w:rsidR="0076034F" w:rsidRPr="0076034F" w:rsidRDefault="0076034F" w:rsidP="0076034F">
      <w:pPr>
        <w:rPr>
          <w:rStyle w:val="ECCParagraph"/>
        </w:rPr>
      </w:pPr>
      <w:r w:rsidRPr="0076034F">
        <w:rPr>
          <w:rStyle w:val="ECCParagraph"/>
        </w:rPr>
        <w:t>From a military perspective, studies under this issue present a limited risk on NATO military usage in adjacent bands.</w:t>
      </w:r>
    </w:p>
    <w:p w14:paraId="7CADFBF9" w14:textId="77777777" w:rsidR="0076034F" w:rsidRPr="0076034F" w:rsidRDefault="0076034F" w:rsidP="0076034F">
      <w:pPr>
        <w:pStyle w:val="ECCBreak"/>
      </w:pPr>
      <w:r w:rsidRPr="0076034F">
        <w:t>SFCG (date of proposal)</w:t>
      </w:r>
    </w:p>
    <w:p w14:paraId="39A87339" w14:textId="77777777" w:rsidR="0076034F" w:rsidRPr="0076034F" w:rsidRDefault="0076034F" w:rsidP="0076034F">
      <w:pPr>
        <w:rPr>
          <w:rStyle w:val="ECCParagraph"/>
        </w:rPr>
      </w:pPr>
    </w:p>
    <w:p w14:paraId="0E591D9D" w14:textId="77777777" w:rsidR="0076034F" w:rsidRPr="0076034F" w:rsidRDefault="0076034F" w:rsidP="0076034F">
      <w:pPr>
        <w:pStyle w:val="ECCBreak"/>
      </w:pPr>
      <w:r w:rsidRPr="0076034F">
        <w:t>WMO and EUMETNET (date of proposal)</w:t>
      </w:r>
    </w:p>
    <w:p w14:paraId="0BD1C397" w14:textId="77777777" w:rsidR="0076034F" w:rsidRPr="0076034F" w:rsidRDefault="0076034F" w:rsidP="0076034F">
      <w:pPr>
        <w:rPr>
          <w:rStyle w:val="ECCParagraph"/>
        </w:rPr>
      </w:pPr>
    </w:p>
    <w:p w14:paraId="09492A23" w14:textId="77777777" w:rsidR="0076034F" w:rsidRPr="0076034F" w:rsidRDefault="0076034F" w:rsidP="0076034F">
      <w:pPr>
        <w:pStyle w:val="berschrift2"/>
      </w:pPr>
      <w:r w:rsidRPr="0076034F">
        <w:t>Regional organisations</w:t>
      </w:r>
    </w:p>
    <w:p w14:paraId="56E22F9E" w14:textId="77777777" w:rsidR="0076034F" w:rsidRPr="0076034F" w:rsidRDefault="0076034F" w:rsidP="0076034F">
      <w:pPr>
        <w:pStyle w:val="ECCBreak"/>
      </w:pPr>
      <w:r w:rsidRPr="0076034F">
        <w:t>ESA (date of proposal)</w:t>
      </w:r>
    </w:p>
    <w:p w14:paraId="3E49B55D" w14:textId="77777777" w:rsidR="0076034F" w:rsidRPr="0076034F" w:rsidRDefault="0076034F" w:rsidP="0076034F">
      <w:pPr>
        <w:rPr>
          <w:rStyle w:val="ECCParagraph"/>
        </w:rPr>
      </w:pPr>
    </w:p>
    <w:p w14:paraId="2CBF7904" w14:textId="77777777" w:rsidR="0076034F" w:rsidRPr="0076034F" w:rsidRDefault="0076034F" w:rsidP="0076034F">
      <w:pPr>
        <w:pStyle w:val="ECCBreak"/>
      </w:pPr>
      <w:r w:rsidRPr="0076034F">
        <w:t>Eurocontrol (date of proposal)</w:t>
      </w:r>
    </w:p>
    <w:p w14:paraId="48926C30" w14:textId="77777777" w:rsidR="0076034F" w:rsidRPr="0076034F" w:rsidRDefault="0076034F" w:rsidP="0076034F">
      <w:pPr>
        <w:rPr>
          <w:rStyle w:val="ECCParagraph"/>
        </w:rPr>
      </w:pPr>
    </w:p>
    <w:p w14:paraId="344D5032" w14:textId="77777777" w:rsidR="0076034F" w:rsidRPr="0076034F" w:rsidRDefault="0076034F" w:rsidP="0076034F">
      <w:pPr>
        <w:pStyle w:val="berschrift2"/>
      </w:pPr>
      <w:r w:rsidRPr="0076034F">
        <w:t>OTHER INTERNATIONAL AND REGIONAL ORGANISATIONS</w:t>
      </w:r>
    </w:p>
    <w:p w14:paraId="150A5114" w14:textId="77777777" w:rsidR="0076034F" w:rsidRPr="0076034F" w:rsidRDefault="0076034F" w:rsidP="0076034F">
      <w:pPr>
        <w:pStyle w:val="ECCBreak"/>
      </w:pPr>
      <w:r w:rsidRPr="0076034F">
        <w:t>EBU (date of proposal)</w:t>
      </w:r>
    </w:p>
    <w:p w14:paraId="47D5279C" w14:textId="77777777" w:rsidR="0076034F" w:rsidRPr="0076034F" w:rsidRDefault="0076034F" w:rsidP="0076034F">
      <w:pPr>
        <w:rPr>
          <w:rStyle w:val="ECCParagraph"/>
        </w:rPr>
      </w:pPr>
    </w:p>
    <w:p w14:paraId="575D601D" w14:textId="77777777" w:rsidR="0076034F" w:rsidRPr="0076034F" w:rsidRDefault="0076034F" w:rsidP="0076034F">
      <w:pPr>
        <w:pStyle w:val="ECCBreak"/>
      </w:pPr>
      <w:r w:rsidRPr="0076034F">
        <w:t>GSMA (date of proposal)</w:t>
      </w:r>
    </w:p>
    <w:p w14:paraId="343D2D93" w14:textId="77777777" w:rsidR="0076034F" w:rsidRPr="0076034F" w:rsidRDefault="0076034F" w:rsidP="0076034F">
      <w:pPr>
        <w:rPr>
          <w:rStyle w:val="ECCParagraph"/>
        </w:rPr>
      </w:pPr>
    </w:p>
    <w:p w14:paraId="2A0A2F9A" w14:textId="77777777" w:rsidR="0076034F" w:rsidRPr="0076034F" w:rsidRDefault="0076034F" w:rsidP="0076034F">
      <w:pPr>
        <w:pStyle w:val="ECCBreak"/>
      </w:pPr>
      <w:r w:rsidRPr="0076034F">
        <w:t>CRAF (date of proposal)</w:t>
      </w:r>
    </w:p>
    <w:p w14:paraId="59D5C4F2" w14:textId="77777777" w:rsidR="002547C7" w:rsidRPr="00C20425" w:rsidRDefault="002547C7" w:rsidP="002547C7">
      <w:pPr>
        <w:rPr>
          <w:rStyle w:val="ECCParagraph"/>
        </w:rPr>
      </w:pPr>
    </w:p>
    <w:sectPr w:rsidR="002547C7" w:rsidRPr="00C20425" w:rsidSect="003771D5">
      <w:headerReference w:type="even" r:id="rId19"/>
      <w:headerReference w:type="default" r:id="rId20"/>
      <w:footerReference w:type="even" r:id="rId21"/>
      <w:footerReference w:type="default" r:id="rId22"/>
      <w:headerReference w:type="first" r:id="rId23"/>
      <w:footerReference w:type="first" r:id="rId2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0068F" w14:textId="77777777" w:rsidR="00EB56A4" w:rsidRDefault="00EB56A4" w:rsidP="00D0121B">
      <w:r>
        <w:separator/>
      </w:r>
    </w:p>
    <w:p w14:paraId="19F87A96" w14:textId="77777777" w:rsidR="00EB56A4" w:rsidRDefault="00EB56A4"/>
    <w:p w14:paraId="6C838FC7" w14:textId="77777777" w:rsidR="00EB56A4" w:rsidRDefault="00EB56A4"/>
  </w:endnote>
  <w:endnote w:type="continuationSeparator" w:id="0">
    <w:p w14:paraId="549F6599" w14:textId="77777777" w:rsidR="00EB56A4" w:rsidRDefault="00EB56A4" w:rsidP="00D0121B">
      <w:r>
        <w:continuationSeparator/>
      </w:r>
    </w:p>
    <w:p w14:paraId="0209761A" w14:textId="77777777" w:rsidR="00EB56A4" w:rsidRDefault="00EB56A4"/>
    <w:p w14:paraId="40047CEA" w14:textId="77777777" w:rsidR="00EB56A4" w:rsidRDefault="00EB56A4"/>
  </w:endnote>
  <w:endnote w:type="continuationNotice" w:id="1">
    <w:p w14:paraId="3137566E" w14:textId="77777777" w:rsidR="00EB56A4" w:rsidRDefault="00EB56A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43293" w14:textId="77777777" w:rsidR="00F216FF" w:rsidRDefault="00F216FF">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6C9C6" w14:textId="77777777" w:rsidR="00F216FF" w:rsidRDefault="00F216FF">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215DC" w14:textId="77777777" w:rsidR="00F216FF" w:rsidRDefault="00F216FF">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F7DC5" w14:textId="77777777" w:rsidR="00EB56A4" w:rsidRPr="00C77ABB" w:rsidRDefault="00EB56A4" w:rsidP="00C77ABB">
      <w:pPr>
        <w:pStyle w:val="Funotentext"/>
      </w:pPr>
      <w:r w:rsidRPr="00C77ABB">
        <w:separator/>
      </w:r>
    </w:p>
  </w:footnote>
  <w:footnote w:type="continuationSeparator" w:id="0">
    <w:p w14:paraId="594CEA18" w14:textId="77777777" w:rsidR="00EB56A4" w:rsidRPr="00C77ABB" w:rsidRDefault="00EB56A4" w:rsidP="00C77ABB">
      <w:pPr>
        <w:pStyle w:val="Funotentext"/>
      </w:pPr>
      <w:r w:rsidRPr="00C77ABB">
        <w:continuationSeparator/>
      </w:r>
    </w:p>
  </w:footnote>
  <w:footnote w:type="continuationNotice" w:id="1">
    <w:p w14:paraId="5DD9DBDC" w14:textId="77777777" w:rsidR="00EB56A4" w:rsidRDefault="00EB56A4">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D609A" w14:textId="6178A341" w:rsidR="00E06B29" w:rsidRPr="00CF2EC7" w:rsidRDefault="002547C7" w:rsidP="003A68D5">
    <w:pPr>
      <w:pStyle w:val="ECCpageHeader"/>
      <w:rPr>
        <w:lang w:val="en-US"/>
      </w:rPr>
    </w:pPr>
    <w:r>
      <w:rPr>
        <w:lang w:val="en-US"/>
      </w:rPr>
      <w:t xml:space="preserve">Draft CEPT Brief on AI </w:t>
    </w:r>
    <w:r w:rsidRPr="00CD301F">
      <w:rPr>
        <w:lang w:val="en-US"/>
      </w:rPr>
      <w:t>9.1 Issue 9.1.2</w:t>
    </w:r>
    <w:r w:rsidR="003771D5"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C308B5">
      <w:rPr>
        <w:noProof/>
        <w:lang w:val="en-US"/>
      </w:rPr>
      <w:t>4</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6B650" w14:textId="26142B9E" w:rsidR="00E06B29" w:rsidRPr="00CF2EC7" w:rsidRDefault="00D904D5" w:rsidP="003A68D5">
    <w:pPr>
      <w:pStyle w:val="ECCpageHeader"/>
      <w:rPr>
        <w:lang w:val="en-US"/>
      </w:rPr>
    </w:pPr>
    <w:r>
      <w:tab/>
    </w:r>
    <w:r>
      <w:tab/>
    </w:r>
    <w:r w:rsidR="002547C7">
      <w:rPr>
        <w:lang w:val="en-US"/>
      </w:rPr>
      <w:t xml:space="preserve">Draft CEPT Brief on AI </w:t>
    </w:r>
    <w:r w:rsidR="002547C7" w:rsidRPr="00CD301F">
      <w:rPr>
        <w:lang w:val="en-US"/>
      </w:rPr>
      <w:t>9.1 Issue 9.1.2</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C308B5">
      <w:rPr>
        <w:noProof/>
        <w:lang w:val="en-US"/>
      </w:rPr>
      <w:t>5</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97FAE" w14:textId="77777777" w:rsidR="008552AE" w:rsidRDefault="008552AE" w:rsidP="008552AE">
    <w:pPr>
      <w:pStyle w:val="ECCpageHeader"/>
    </w:pPr>
    <w:r w:rsidRPr="008552AE">
      <w:rPr>
        <w:noProof/>
        <w:lang w:val="de-DE" w:eastAsia="de-DE"/>
      </w:rPr>
      <w:drawing>
        <wp:inline distT="0" distB="0" distL="0" distR="0" wp14:anchorId="69E43344" wp14:editId="728F979C">
          <wp:extent cx="889000" cy="889000"/>
          <wp:effectExtent l="0" t="0" r="6350" b="6350"/>
          <wp:docPr id="3"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552AE">
      <w:rPr>
        <w:noProof/>
        <w:lang w:val="de-DE" w:eastAsia="de-DE"/>
      </w:rPr>
      <w:drawing>
        <wp:inline distT="0" distB="0" distL="0" distR="0" wp14:anchorId="09B828B2" wp14:editId="78FDF33A">
          <wp:extent cx="1461770" cy="546100"/>
          <wp:effectExtent l="0" t="0" r="5080" b="6350"/>
          <wp:docPr id="4"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06B83E45" w14:textId="77777777" w:rsidR="008552AE" w:rsidRDefault="008552AE">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7"/>
  </w:num>
  <w:num w:numId="5">
    <w:abstractNumId w:val="14"/>
  </w:num>
  <w:num w:numId="6">
    <w:abstractNumId w:val="16"/>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7"/>
  </w:num>
  <w:num w:numId="32">
    <w:abstractNumId w:val="14"/>
  </w:num>
  <w:num w:numId="33">
    <w:abstractNumId w:val="16"/>
  </w:num>
  <w:num w:numId="34">
    <w:abstractNumId w:val="15"/>
  </w:num>
  <w:num w:numId="35">
    <w:abstractNumId w:val="15"/>
  </w:num>
  <w:num w:numId="36">
    <w:abstractNumId w:val="1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CC PT1">
    <w15:presenceInfo w15:providerId="None" w15:userId="ECC PT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doNotDisplayPageBoundarie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FF"/>
    <w:rsid w:val="00002C1F"/>
    <w:rsid w:val="00041A18"/>
    <w:rsid w:val="00052CAE"/>
    <w:rsid w:val="000611F2"/>
    <w:rsid w:val="00061762"/>
    <w:rsid w:val="00062CB1"/>
    <w:rsid w:val="00065C58"/>
    <w:rsid w:val="000660F5"/>
    <w:rsid w:val="00067793"/>
    <w:rsid w:val="000701A5"/>
    <w:rsid w:val="00072D54"/>
    <w:rsid w:val="00080D4D"/>
    <w:rsid w:val="00082DD7"/>
    <w:rsid w:val="00095620"/>
    <w:rsid w:val="00097D7A"/>
    <w:rsid w:val="000A02B1"/>
    <w:rsid w:val="000A29BC"/>
    <w:rsid w:val="000A3940"/>
    <w:rsid w:val="000A6285"/>
    <w:rsid w:val="000B1AB8"/>
    <w:rsid w:val="000B2156"/>
    <w:rsid w:val="000B26F1"/>
    <w:rsid w:val="000B5026"/>
    <w:rsid w:val="000C028F"/>
    <w:rsid w:val="000C02BB"/>
    <w:rsid w:val="000C5CB6"/>
    <w:rsid w:val="000D1710"/>
    <w:rsid w:val="000D7A37"/>
    <w:rsid w:val="000E42F5"/>
    <w:rsid w:val="000E4820"/>
    <w:rsid w:val="000F0594"/>
    <w:rsid w:val="000F1620"/>
    <w:rsid w:val="000F24F5"/>
    <w:rsid w:val="000F3F0B"/>
    <w:rsid w:val="000F409B"/>
    <w:rsid w:val="001006CA"/>
    <w:rsid w:val="00100F8B"/>
    <w:rsid w:val="0011082E"/>
    <w:rsid w:val="0012264E"/>
    <w:rsid w:val="00142149"/>
    <w:rsid w:val="00153578"/>
    <w:rsid w:val="0015480D"/>
    <w:rsid w:val="00170463"/>
    <w:rsid w:val="0017456E"/>
    <w:rsid w:val="00183FE0"/>
    <w:rsid w:val="0018553F"/>
    <w:rsid w:val="001D15AA"/>
    <w:rsid w:val="001D334F"/>
    <w:rsid w:val="001D3BBA"/>
    <w:rsid w:val="001E057E"/>
    <w:rsid w:val="001E21C0"/>
    <w:rsid w:val="0020079A"/>
    <w:rsid w:val="0020250F"/>
    <w:rsid w:val="00220194"/>
    <w:rsid w:val="00226070"/>
    <w:rsid w:val="002338A0"/>
    <w:rsid w:val="00235592"/>
    <w:rsid w:val="0023672D"/>
    <w:rsid w:val="00236978"/>
    <w:rsid w:val="002503F7"/>
    <w:rsid w:val="002547C7"/>
    <w:rsid w:val="002620A2"/>
    <w:rsid w:val="00273354"/>
    <w:rsid w:val="00274F84"/>
    <w:rsid w:val="0028060B"/>
    <w:rsid w:val="0028120C"/>
    <w:rsid w:val="00293920"/>
    <w:rsid w:val="00295827"/>
    <w:rsid w:val="00295F16"/>
    <w:rsid w:val="002C1487"/>
    <w:rsid w:val="002C5C63"/>
    <w:rsid w:val="002D1FA9"/>
    <w:rsid w:val="002D50A3"/>
    <w:rsid w:val="002D6680"/>
    <w:rsid w:val="002E786C"/>
    <w:rsid w:val="002F1E6A"/>
    <w:rsid w:val="003031DA"/>
    <w:rsid w:val="00306373"/>
    <w:rsid w:val="00306F59"/>
    <w:rsid w:val="00307A79"/>
    <w:rsid w:val="00322E6A"/>
    <w:rsid w:val="003314A0"/>
    <w:rsid w:val="003419EF"/>
    <w:rsid w:val="00347DA6"/>
    <w:rsid w:val="00361E54"/>
    <w:rsid w:val="00370A0C"/>
    <w:rsid w:val="003771D5"/>
    <w:rsid w:val="00380829"/>
    <w:rsid w:val="0038358E"/>
    <w:rsid w:val="0038646A"/>
    <w:rsid w:val="00387897"/>
    <w:rsid w:val="00391A01"/>
    <w:rsid w:val="003A5711"/>
    <w:rsid w:val="003A58EA"/>
    <w:rsid w:val="003A68D5"/>
    <w:rsid w:val="003B7070"/>
    <w:rsid w:val="003C64D9"/>
    <w:rsid w:val="003D53CF"/>
    <w:rsid w:val="003E70E0"/>
    <w:rsid w:val="00403CE6"/>
    <w:rsid w:val="004074CC"/>
    <w:rsid w:val="004110CA"/>
    <w:rsid w:val="0042509E"/>
    <w:rsid w:val="00434502"/>
    <w:rsid w:val="00443482"/>
    <w:rsid w:val="00443912"/>
    <w:rsid w:val="00446E3E"/>
    <w:rsid w:val="00450308"/>
    <w:rsid w:val="00457AD1"/>
    <w:rsid w:val="0046427F"/>
    <w:rsid w:val="00470D4B"/>
    <w:rsid w:val="00474DC4"/>
    <w:rsid w:val="00475FD8"/>
    <w:rsid w:val="004830C0"/>
    <w:rsid w:val="00485307"/>
    <w:rsid w:val="0049153E"/>
    <w:rsid w:val="00491977"/>
    <w:rsid w:val="0049491B"/>
    <w:rsid w:val="004A1329"/>
    <w:rsid w:val="004A4509"/>
    <w:rsid w:val="004A511D"/>
    <w:rsid w:val="004C16C4"/>
    <w:rsid w:val="004C4A2E"/>
    <w:rsid w:val="004D5D64"/>
    <w:rsid w:val="004D5EA3"/>
    <w:rsid w:val="004E2665"/>
    <w:rsid w:val="004E44C8"/>
    <w:rsid w:val="004E53BE"/>
    <w:rsid w:val="004F16F4"/>
    <w:rsid w:val="004F3F81"/>
    <w:rsid w:val="004F6CA7"/>
    <w:rsid w:val="005028D4"/>
    <w:rsid w:val="00514F38"/>
    <w:rsid w:val="00535050"/>
    <w:rsid w:val="00536F3C"/>
    <w:rsid w:val="00537EBE"/>
    <w:rsid w:val="005400DC"/>
    <w:rsid w:val="0054260E"/>
    <w:rsid w:val="00550D79"/>
    <w:rsid w:val="005559AC"/>
    <w:rsid w:val="00557B5A"/>
    <w:rsid w:val="005611D0"/>
    <w:rsid w:val="00565E27"/>
    <w:rsid w:val="00571A40"/>
    <w:rsid w:val="005736B2"/>
    <w:rsid w:val="0057797A"/>
    <w:rsid w:val="005817E4"/>
    <w:rsid w:val="00594186"/>
    <w:rsid w:val="0059526C"/>
    <w:rsid w:val="005A53B8"/>
    <w:rsid w:val="005A69A1"/>
    <w:rsid w:val="005B12CB"/>
    <w:rsid w:val="005C10EB"/>
    <w:rsid w:val="005C7E3A"/>
    <w:rsid w:val="005D371D"/>
    <w:rsid w:val="005E423A"/>
    <w:rsid w:val="005E7495"/>
    <w:rsid w:val="00621C12"/>
    <w:rsid w:val="00635A22"/>
    <w:rsid w:val="00642083"/>
    <w:rsid w:val="00644623"/>
    <w:rsid w:val="0065550D"/>
    <w:rsid w:val="00665364"/>
    <w:rsid w:val="0068085F"/>
    <w:rsid w:val="006854EB"/>
    <w:rsid w:val="006876A8"/>
    <w:rsid w:val="00687B43"/>
    <w:rsid w:val="006940BB"/>
    <w:rsid w:val="006A28C8"/>
    <w:rsid w:val="006A36AE"/>
    <w:rsid w:val="006A49E3"/>
    <w:rsid w:val="006B1EFD"/>
    <w:rsid w:val="006B250B"/>
    <w:rsid w:val="006C454C"/>
    <w:rsid w:val="006C5C1C"/>
    <w:rsid w:val="006D485C"/>
    <w:rsid w:val="006E4888"/>
    <w:rsid w:val="006F0442"/>
    <w:rsid w:val="006F0461"/>
    <w:rsid w:val="006F0977"/>
    <w:rsid w:val="007023A3"/>
    <w:rsid w:val="00703FC0"/>
    <w:rsid w:val="00710E35"/>
    <w:rsid w:val="007160BE"/>
    <w:rsid w:val="00721539"/>
    <w:rsid w:val="00722F65"/>
    <w:rsid w:val="00726836"/>
    <w:rsid w:val="00730C67"/>
    <w:rsid w:val="00731145"/>
    <w:rsid w:val="00734A4F"/>
    <w:rsid w:val="0076034F"/>
    <w:rsid w:val="00762BCC"/>
    <w:rsid w:val="00763BA3"/>
    <w:rsid w:val="00765B66"/>
    <w:rsid w:val="00767BB2"/>
    <w:rsid w:val="00780376"/>
    <w:rsid w:val="00791AAC"/>
    <w:rsid w:val="0079410C"/>
    <w:rsid w:val="007959E8"/>
    <w:rsid w:val="00797D4C"/>
    <w:rsid w:val="007B52C8"/>
    <w:rsid w:val="007C0E7E"/>
    <w:rsid w:val="007C5A3B"/>
    <w:rsid w:val="007D17C5"/>
    <w:rsid w:val="007D52EC"/>
    <w:rsid w:val="007F1CEE"/>
    <w:rsid w:val="008062AC"/>
    <w:rsid w:val="00817826"/>
    <w:rsid w:val="00837537"/>
    <w:rsid w:val="008552AE"/>
    <w:rsid w:val="0086094D"/>
    <w:rsid w:val="00872382"/>
    <w:rsid w:val="008742E3"/>
    <w:rsid w:val="008A1315"/>
    <w:rsid w:val="008A1A01"/>
    <w:rsid w:val="008A38A9"/>
    <w:rsid w:val="008A42BE"/>
    <w:rsid w:val="008A54FC"/>
    <w:rsid w:val="008B26E3"/>
    <w:rsid w:val="008B2826"/>
    <w:rsid w:val="008B70CD"/>
    <w:rsid w:val="008B7CE5"/>
    <w:rsid w:val="008E6109"/>
    <w:rsid w:val="009170EA"/>
    <w:rsid w:val="00917D1C"/>
    <w:rsid w:val="0092076F"/>
    <w:rsid w:val="00927833"/>
    <w:rsid w:val="00930439"/>
    <w:rsid w:val="00930BDF"/>
    <w:rsid w:val="00937FE5"/>
    <w:rsid w:val="009434C3"/>
    <w:rsid w:val="00947A5A"/>
    <w:rsid w:val="00951AF4"/>
    <w:rsid w:val="00954C79"/>
    <w:rsid w:val="009770CA"/>
    <w:rsid w:val="00986677"/>
    <w:rsid w:val="00990675"/>
    <w:rsid w:val="0099421C"/>
    <w:rsid w:val="009B0A78"/>
    <w:rsid w:val="009C175B"/>
    <w:rsid w:val="009C366E"/>
    <w:rsid w:val="009C6B53"/>
    <w:rsid w:val="009D3496"/>
    <w:rsid w:val="009D4BA1"/>
    <w:rsid w:val="009D7D5A"/>
    <w:rsid w:val="009E47EB"/>
    <w:rsid w:val="009E6DC3"/>
    <w:rsid w:val="009F0B56"/>
    <w:rsid w:val="009F3A37"/>
    <w:rsid w:val="00A02090"/>
    <w:rsid w:val="00A076B5"/>
    <w:rsid w:val="00A156CA"/>
    <w:rsid w:val="00A23870"/>
    <w:rsid w:val="00A31525"/>
    <w:rsid w:val="00A43BD3"/>
    <w:rsid w:val="00A70475"/>
    <w:rsid w:val="00A72255"/>
    <w:rsid w:val="00A73298"/>
    <w:rsid w:val="00A95ACB"/>
    <w:rsid w:val="00A95DD6"/>
    <w:rsid w:val="00A97942"/>
    <w:rsid w:val="00AA079B"/>
    <w:rsid w:val="00AA086A"/>
    <w:rsid w:val="00AA1AC2"/>
    <w:rsid w:val="00AB1C16"/>
    <w:rsid w:val="00AB2EA8"/>
    <w:rsid w:val="00AB3C46"/>
    <w:rsid w:val="00AB6E42"/>
    <w:rsid w:val="00AD7257"/>
    <w:rsid w:val="00AE372A"/>
    <w:rsid w:val="00AF2D0C"/>
    <w:rsid w:val="00B2563E"/>
    <w:rsid w:val="00B3042F"/>
    <w:rsid w:val="00B30D3B"/>
    <w:rsid w:val="00B432D4"/>
    <w:rsid w:val="00B453ED"/>
    <w:rsid w:val="00B460E4"/>
    <w:rsid w:val="00B576D7"/>
    <w:rsid w:val="00B6244D"/>
    <w:rsid w:val="00B80892"/>
    <w:rsid w:val="00B81A0C"/>
    <w:rsid w:val="00B82735"/>
    <w:rsid w:val="00B92861"/>
    <w:rsid w:val="00BA2E30"/>
    <w:rsid w:val="00BA524C"/>
    <w:rsid w:val="00BA6C8D"/>
    <w:rsid w:val="00BA7A69"/>
    <w:rsid w:val="00BC3CA5"/>
    <w:rsid w:val="00BD28DF"/>
    <w:rsid w:val="00BD4E12"/>
    <w:rsid w:val="00BD7669"/>
    <w:rsid w:val="00BE2864"/>
    <w:rsid w:val="00BF3831"/>
    <w:rsid w:val="00C0561A"/>
    <w:rsid w:val="00C076BF"/>
    <w:rsid w:val="00C10C10"/>
    <w:rsid w:val="00C20425"/>
    <w:rsid w:val="00C24486"/>
    <w:rsid w:val="00C27F02"/>
    <w:rsid w:val="00C308B5"/>
    <w:rsid w:val="00C33A7C"/>
    <w:rsid w:val="00C44519"/>
    <w:rsid w:val="00C47A59"/>
    <w:rsid w:val="00C504F4"/>
    <w:rsid w:val="00C57E85"/>
    <w:rsid w:val="00C65BB4"/>
    <w:rsid w:val="00C77ABB"/>
    <w:rsid w:val="00C8071C"/>
    <w:rsid w:val="00C816CB"/>
    <w:rsid w:val="00C82461"/>
    <w:rsid w:val="00CA07CC"/>
    <w:rsid w:val="00CA24A4"/>
    <w:rsid w:val="00CA4FCE"/>
    <w:rsid w:val="00CA5F8F"/>
    <w:rsid w:val="00CC5A6F"/>
    <w:rsid w:val="00CD301F"/>
    <w:rsid w:val="00CD4D17"/>
    <w:rsid w:val="00CD5687"/>
    <w:rsid w:val="00CE271A"/>
    <w:rsid w:val="00CE6FF5"/>
    <w:rsid w:val="00CF2EC7"/>
    <w:rsid w:val="00CF5245"/>
    <w:rsid w:val="00D0121B"/>
    <w:rsid w:val="00D04BA8"/>
    <w:rsid w:val="00D06479"/>
    <w:rsid w:val="00D06CA9"/>
    <w:rsid w:val="00D076EE"/>
    <w:rsid w:val="00D07B1A"/>
    <w:rsid w:val="00D24CD0"/>
    <w:rsid w:val="00D30E46"/>
    <w:rsid w:val="00D421CD"/>
    <w:rsid w:val="00D50AC8"/>
    <w:rsid w:val="00D53EEF"/>
    <w:rsid w:val="00D71C0E"/>
    <w:rsid w:val="00D80896"/>
    <w:rsid w:val="00D904D5"/>
    <w:rsid w:val="00DA0026"/>
    <w:rsid w:val="00DA444C"/>
    <w:rsid w:val="00DA53C2"/>
    <w:rsid w:val="00DD6CE9"/>
    <w:rsid w:val="00DF2C67"/>
    <w:rsid w:val="00DF3AE2"/>
    <w:rsid w:val="00DF7D21"/>
    <w:rsid w:val="00E059C5"/>
    <w:rsid w:val="00E06B29"/>
    <w:rsid w:val="00E06C22"/>
    <w:rsid w:val="00E21DE5"/>
    <w:rsid w:val="00E251E6"/>
    <w:rsid w:val="00E26BAC"/>
    <w:rsid w:val="00E35738"/>
    <w:rsid w:val="00E4781B"/>
    <w:rsid w:val="00E51F8B"/>
    <w:rsid w:val="00E60351"/>
    <w:rsid w:val="00E629FE"/>
    <w:rsid w:val="00E63AA9"/>
    <w:rsid w:val="00E71AE7"/>
    <w:rsid w:val="00E752E6"/>
    <w:rsid w:val="00E97060"/>
    <w:rsid w:val="00EA6088"/>
    <w:rsid w:val="00EB5332"/>
    <w:rsid w:val="00EB56A4"/>
    <w:rsid w:val="00EC1A2C"/>
    <w:rsid w:val="00EC7F6C"/>
    <w:rsid w:val="00EF165F"/>
    <w:rsid w:val="00EF6F8C"/>
    <w:rsid w:val="00F10E1F"/>
    <w:rsid w:val="00F212EB"/>
    <w:rsid w:val="00F216FF"/>
    <w:rsid w:val="00F268C0"/>
    <w:rsid w:val="00F43D61"/>
    <w:rsid w:val="00F465D3"/>
    <w:rsid w:val="00F55AFB"/>
    <w:rsid w:val="00F569C9"/>
    <w:rsid w:val="00F56F06"/>
    <w:rsid w:val="00F73815"/>
    <w:rsid w:val="00F7770D"/>
    <w:rsid w:val="00F85984"/>
    <w:rsid w:val="00F868C9"/>
    <w:rsid w:val="00F93115"/>
    <w:rsid w:val="00F97DAD"/>
    <w:rsid w:val="00FA5792"/>
    <w:rsid w:val="00FA5B5D"/>
    <w:rsid w:val="00FA63DC"/>
    <w:rsid w:val="00FB200D"/>
    <w:rsid w:val="00FB27C7"/>
    <w:rsid w:val="00FE1A2B"/>
    <w:rsid w:val="00FE1F25"/>
    <w:rsid w:val="00FE538A"/>
    <w:rsid w:val="00FE7EEC"/>
    <w:rsid w:val="00FF56D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2982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uiPriority="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CEO_Hyperlink"/>
    <w:basedOn w:val="Absatz-Standardschriftart"/>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F216FF"/>
    <w:pPr>
      <w:tabs>
        <w:tab w:val="center" w:pos="4513"/>
        <w:tab w:val="right" w:pos="9026"/>
      </w:tabs>
      <w:spacing w:before="0" w:after="0"/>
    </w:pPr>
  </w:style>
  <w:style w:type="character" w:customStyle="1" w:styleId="FuzeileZchn">
    <w:name w:val="Fußzeile Zchn"/>
    <w:basedOn w:val="Absatz-Standardschriftart"/>
    <w:link w:val="Fuzeile"/>
    <w:uiPriority w:val="99"/>
    <w:semiHidden/>
    <w:rsid w:val="00F216FF"/>
    <w:rPr>
      <w:rFonts w:eastAsia="Calibri"/>
      <w:szCs w:val="22"/>
      <w:lang w:val="en-GB"/>
    </w:rPr>
  </w:style>
  <w:style w:type="character" w:styleId="Kommentarzeichen">
    <w:name w:val="annotation reference"/>
    <w:basedOn w:val="Absatz-Standardschriftart"/>
    <w:uiPriority w:val="99"/>
    <w:semiHidden/>
    <w:unhideWhenUsed/>
    <w:locked/>
    <w:rsid w:val="008B26E3"/>
    <w:rPr>
      <w:sz w:val="16"/>
      <w:szCs w:val="16"/>
    </w:rPr>
  </w:style>
  <w:style w:type="paragraph" w:styleId="Kommentartext">
    <w:name w:val="annotation text"/>
    <w:basedOn w:val="Standard"/>
    <w:link w:val="KommentartextZchn"/>
    <w:uiPriority w:val="99"/>
    <w:semiHidden/>
    <w:unhideWhenUsed/>
    <w:locked/>
    <w:rsid w:val="008B26E3"/>
    <w:rPr>
      <w:szCs w:val="20"/>
    </w:rPr>
  </w:style>
  <w:style w:type="character" w:customStyle="1" w:styleId="KommentartextZchn">
    <w:name w:val="Kommentartext Zchn"/>
    <w:basedOn w:val="Absatz-Standardschriftart"/>
    <w:link w:val="Kommentartext"/>
    <w:uiPriority w:val="99"/>
    <w:semiHidden/>
    <w:rsid w:val="008B26E3"/>
    <w:rPr>
      <w:rFonts w:eastAsia="Calibri"/>
      <w:lang w:val="en-GB"/>
    </w:rPr>
  </w:style>
  <w:style w:type="paragraph" w:styleId="Kommentarthema">
    <w:name w:val="annotation subject"/>
    <w:basedOn w:val="Kommentartext"/>
    <w:next w:val="Kommentartext"/>
    <w:link w:val="KommentarthemaZchn"/>
    <w:uiPriority w:val="99"/>
    <w:semiHidden/>
    <w:unhideWhenUsed/>
    <w:locked/>
    <w:rsid w:val="008B26E3"/>
    <w:rPr>
      <w:b/>
      <w:bCs/>
    </w:rPr>
  </w:style>
  <w:style w:type="character" w:customStyle="1" w:styleId="KommentarthemaZchn">
    <w:name w:val="Kommentarthema Zchn"/>
    <w:basedOn w:val="KommentartextZchn"/>
    <w:link w:val="Kommentarthema"/>
    <w:uiPriority w:val="99"/>
    <w:semiHidden/>
    <w:rsid w:val="008B26E3"/>
    <w:rPr>
      <w:rFonts w:eastAsia="Calibri"/>
      <w:b/>
      <w:bCs/>
      <w:lang w:val="en-GB"/>
    </w:rPr>
  </w:style>
  <w:style w:type="paragraph" w:styleId="Kopfzeile">
    <w:name w:val="header"/>
    <w:basedOn w:val="Standard"/>
    <w:link w:val="KopfzeileZchn"/>
    <w:uiPriority w:val="99"/>
    <w:semiHidden/>
    <w:unhideWhenUsed/>
    <w:locked/>
    <w:rsid w:val="00EF6F8C"/>
    <w:pPr>
      <w:tabs>
        <w:tab w:val="center" w:pos="4513"/>
        <w:tab w:val="right" w:pos="9026"/>
      </w:tabs>
      <w:spacing w:before="0" w:after="0"/>
    </w:pPr>
  </w:style>
  <w:style w:type="character" w:customStyle="1" w:styleId="KopfzeileZchn">
    <w:name w:val="Kopfzeile Zchn"/>
    <w:basedOn w:val="Absatz-Standardschriftart"/>
    <w:link w:val="Kopfzeile"/>
    <w:uiPriority w:val="99"/>
    <w:semiHidden/>
    <w:rsid w:val="00EF6F8C"/>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uiPriority="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CEO_Hyperlink"/>
    <w:basedOn w:val="Absatz-Standardschriftart"/>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F216FF"/>
    <w:pPr>
      <w:tabs>
        <w:tab w:val="center" w:pos="4513"/>
        <w:tab w:val="right" w:pos="9026"/>
      </w:tabs>
      <w:spacing w:before="0" w:after="0"/>
    </w:pPr>
  </w:style>
  <w:style w:type="character" w:customStyle="1" w:styleId="FuzeileZchn">
    <w:name w:val="Fußzeile Zchn"/>
    <w:basedOn w:val="Absatz-Standardschriftart"/>
    <w:link w:val="Fuzeile"/>
    <w:uiPriority w:val="99"/>
    <w:semiHidden/>
    <w:rsid w:val="00F216FF"/>
    <w:rPr>
      <w:rFonts w:eastAsia="Calibri"/>
      <w:szCs w:val="22"/>
      <w:lang w:val="en-GB"/>
    </w:rPr>
  </w:style>
  <w:style w:type="character" w:styleId="Kommentarzeichen">
    <w:name w:val="annotation reference"/>
    <w:basedOn w:val="Absatz-Standardschriftart"/>
    <w:uiPriority w:val="99"/>
    <w:semiHidden/>
    <w:unhideWhenUsed/>
    <w:locked/>
    <w:rsid w:val="008B26E3"/>
    <w:rPr>
      <w:sz w:val="16"/>
      <w:szCs w:val="16"/>
    </w:rPr>
  </w:style>
  <w:style w:type="paragraph" w:styleId="Kommentartext">
    <w:name w:val="annotation text"/>
    <w:basedOn w:val="Standard"/>
    <w:link w:val="KommentartextZchn"/>
    <w:uiPriority w:val="99"/>
    <w:semiHidden/>
    <w:unhideWhenUsed/>
    <w:locked/>
    <w:rsid w:val="008B26E3"/>
    <w:rPr>
      <w:szCs w:val="20"/>
    </w:rPr>
  </w:style>
  <w:style w:type="character" w:customStyle="1" w:styleId="KommentartextZchn">
    <w:name w:val="Kommentartext Zchn"/>
    <w:basedOn w:val="Absatz-Standardschriftart"/>
    <w:link w:val="Kommentartext"/>
    <w:uiPriority w:val="99"/>
    <w:semiHidden/>
    <w:rsid w:val="008B26E3"/>
    <w:rPr>
      <w:rFonts w:eastAsia="Calibri"/>
      <w:lang w:val="en-GB"/>
    </w:rPr>
  </w:style>
  <w:style w:type="paragraph" w:styleId="Kommentarthema">
    <w:name w:val="annotation subject"/>
    <w:basedOn w:val="Kommentartext"/>
    <w:next w:val="Kommentartext"/>
    <w:link w:val="KommentarthemaZchn"/>
    <w:uiPriority w:val="99"/>
    <w:semiHidden/>
    <w:unhideWhenUsed/>
    <w:locked/>
    <w:rsid w:val="008B26E3"/>
    <w:rPr>
      <w:b/>
      <w:bCs/>
    </w:rPr>
  </w:style>
  <w:style w:type="character" w:customStyle="1" w:styleId="KommentarthemaZchn">
    <w:name w:val="Kommentarthema Zchn"/>
    <w:basedOn w:val="KommentartextZchn"/>
    <w:link w:val="Kommentarthema"/>
    <w:uiPriority w:val="99"/>
    <w:semiHidden/>
    <w:rsid w:val="008B26E3"/>
    <w:rPr>
      <w:rFonts w:eastAsia="Calibri"/>
      <w:b/>
      <w:bCs/>
      <w:lang w:val="en-GB"/>
    </w:rPr>
  </w:style>
  <w:style w:type="paragraph" w:styleId="Kopfzeile">
    <w:name w:val="header"/>
    <w:basedOn w:val="Standard"/>
    <w:link w:val="KopfzeileZchn"/>
    <w:uiPriority w:val="99"/>
    <w:semiHidden/>
    <w:unhideWhenUsed/>
    <w:locked/>
    <w:rsid w:val="00EF6F8C"/>
    <w:pPr>
      <w:tabs>
        <w:tab w:val="center" w:pos="4513"/>
        <w:tab w:val="right" w:pos="9026"/>
      </w:tabs>
      <w:spacing w:before="0" w:after="0"/>
    </w:pPr>
  </w:style>
  <w:style w:type="character" w:customStyle="1" w:styleId="KopfzeileZchn">
    <w:name w:val="Kopfzeile Zchn"/>
    <w:basedOn w:val="Absatz-Standardschriftart"/>
    <w:link w:val="Kopfzeile"/>
    <w:uiPriority w:val="99"/>
    <w:semiHidden/>
    <w:rsid w:val="00EF6F8C"/>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180478">
      <w:bodyDiv w:val="1"/>
      <w:marLeft w:val="0"/>
      <w:marRight w:val="0"/>
      <w:marTop w:val="0"/>
      <w:marBottom w:val="0"/>
      <w:divBdr>
        <w:top w:val="none" w:sz="0" w:space="0" w:color="auto"/>
        <w:left w:val="none" w:sz="0" w:space="0" w:color="auto"/>
        <w:bottom w:val="none" w:sz="0" w:space="0" w:color="auto"/>
        <w:right w:val="none" w:sz="0" w:space="0" w:color="auto"/>
      </w:divBdr>
    </w:div>
    <w:div w:id="18365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tu.int/rec/R-REC-P.2001/en" TargetMode="External"/><Relationship Id="rId18" Type="http://schemas.openxmlformats.org/officeDocument/2006/relationships/hyperlink" Target="https://www.itu.int/rec/R-REC-P.1546/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itu.int/rec/R-REC-P.1546/en" TargetMode="External"/><Relationship Id="rId17" Type="http://schemas.openxmlformats.org/officeDocument/2006/relationships/hyperlink" Target="https://www.itu.int/rec/R-REC-P.452/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pub/R-HDB-20/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tu.int/rec/R-REC-P.452/en"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itu.int/pub/R-REP-M.2292" TargetMode="External"/><Relationship Id="rId23" Type="http://schemas.openxmlformats.org/officeDocument/2006/relationships/header" Target="header3.xml"/><Relationship Id="rId10" Type="http://schemas.openxmlformats.org/officeDocument/2006/relationships/hyperlink" Target="https://www.itu.int/rec/R-REC-BO.1130/e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itu.int/rec/R-REC-BO.789/en" TargetMode="External"/><Relationship Id="rId14" Type="http://schemas.openxmlformats.org/officeDocument/2006/relationships/hyperlink" Target="https://www.itu.int/rec/R-REC-M.2101/en" TargetMode="External"/><Relationship Id="rId22" Type="http://schemas.openxmlformats.org/officeDocument/2006/relationships/footer" Target="footer2.xml"/><Relationship Id="rId27"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C3CD9-7216-4C3F-AFDC-F7E2E74FC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7945</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Bundesnetzagentur</Company>
  <LinksUpToDate>false</LinksUpToDate>
  <CharactersWithSpaces>9188</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Green</dc:creator>
  <cp:lastModifiedBy>CPG</cp:lastModifiedBy>
  <cp:revision>2</cp:revision>
  <dcterms:created xsi:type="dcterms:W3CDTF">2018-12-05T17:16:00Z</dcterms:created>
  <dcterms:modified xsi:type="dcterms:W3CDTF">2018-12-05T17:16:00Z</dcterms:modified>
</cp:coreProperties>
</file>