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917EC1" w:rsidRPr="008D4628" w14:paraId="161457DB" w14:textId="77777777" w:rsidTr="002B397F">
        <w:trPr>
          <w:cantSplit/>
          <w:trHeight w:val="1240"/>
        </w:trPr>
        <w:tc>
          <w:tcPr>
            <w:tcW w:w="4785" w:type="dxa"/>
            <w:gridSpan w:val="2"/>
            <w:tcBorders>
              <w:top w:val="nil"/>
              <w:left w:val="nil"/>
              <w:bottom w:val="nil"/>
              <w:right w:val="nil"/>
            </w:tcBorders>
          </w:tcPr>
          <w:p w14:paraId="161457D9" w14:textId="15CA7EE1" w:rsidR="00917EC1" w:rsidRPr="008D4628" w:rsidRDefault="00917EC1" w:rsidP="000B290B">
            <w:pPr>
              <w:pStyle w:val="ECCLetterHead"/>
            </w:pPr>
          </w:p>
        </w:tc>
        <w:tc>
          <w:tcPr>
            <w:tcW w:w="4996" w:type="dxa"/>
            <w:tcBorders>
              <w:top w:val="nil"/>
              <w:left w:val="nil"/>
              <w:bottom w:val="nil"/>
              <w:right w:val="nil"/>
            </w:tcBorders>
          </w:tcPr>
          <w:p w14:paraId="161457DA" w14:textId="40AB3A78" w:rsidR="00917EC1" w:rsidRPr="008D4628" w:rsidRDefault="00023EE4" w:rsidP="00AD6E2C">
            <w:pPr>
              <w:pStyle w:val="ECCLetterHead"/>
            </w:pPr>
            <w:r w:rsidRPr="008D4628">
              <w:tab/>
              <w:t xml:space="preserve">Doc. </w:t>
            </w:r>
            <w:r w:rsidR="00810D80">
              <w:t>CPG</w:t>
            </w:r>
            <w:r w:rsidR="00336A9B">
              <w:t>(18)0</w:t>
            </w:r>
            <w:r w:rsidR="00AD6E2C">
              <w:t>73</w:t>
            </w:r>
            <w:r w:rsidR="00A94827">
              <w:t xml:space="preserve"> ANNEX IV-21C</w:t>
            </w:r>
          </w:p>
        </w:tc>
      </w:tr>
      <w:tr w:rsidR="001F2F75" w:rsidRPr="008D4628" w14:paraId="161457DD" w14:textId="77777777" w:rsidTr="002E4667">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14:paraId="161457DC" w14:textId="3E05EDA6" w:rsidR="001F2F75" w:rsidRPr="008D4628" w:rsidRDefault="00AD6E2C" w:rsidP="007E20E5">
            <w:pPr>
              <w:pStyle w:val="ECCLetterHead"/>
              <w:rPr>
                <w:rStyle w:val="ECCHLyellow"/>
              </w:rPr>
            </w:pPr>
            <w:r>
              <w:t>CPG19-7</w:t>
            </w:r>
          </w:p>
        </w:tc>
      </w:tr>
      <w:tr w:rsidR="001F2F75" w:rsidRPr="008D4628" w14:paraId="161457DF" w14:textId="77777777" w:rsidTr="002E4667">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161457DE" w14:textId="396C8A7B" w:rsidR="001F2F75" w:rsidRPr="008D4628" w:rsidRDefault="00810D80" w:rsidP="001F2F75">
            <w:pPr>
              <w:pStyle w:val="ECCLetterHead"/>
            </w:pPr>
            <w:r w:rsidRPr="00810D80">
              <w:t xml:space="preserve">Hilversum, </w:t>
            </w:r>
            <w:r w:rsidR="005B09A9">
              <w:t xml:space="preserve">The </w:t>
            </w:r>
            <w:r w:rsidRPr="00810D80">
              <w:t>Netherlands, 27t</w:t>
            </w:r>
            <w:r w:rsidR="005B09A9">
              <w:t xml:space="preserve">h - </w:t>
            </w:r>
            <w:r w:rsidR="00AD6E2C">
              <w:t xml:space="preserve">30th </w:t>
            </w:r>
            <w:r w:rsidRPr="00810D80">
              <w:t>November 2018</w:t>
            </w:r>
          </w:p>
        </w:tc>
      </w:tr>
      <w:tr w:rsidR="001F2F75" w:rsidRPr="008D4628" w14:paraId="161457E2" w14:textId="77777777" w:rsidTr="002E4667">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14:paraId="161457E0" w14:textId="77777777" w:rsidR="001F2F75" w:rsidRPr="008D4628" w:rsidRDefault="001F2F75" w:rsidP="001F2F75">
            <w:pPr>
              <w:pStyle w:val="ECCLetterHead"/>
            </w:pPr>
          </w:p>
        </w:tc>
        <w:tc>
          <w:tcPr>
            <w:tcW w:w="4996" w:type="dxa"/>
            <w:tcBorders>
              <w:top w:val="nil"/>
              <w:left w:val="nil"/>
              <w:bottom w:val="nil"/>
              <w:right w:val="nil"/>
            </w:tcBorders>
            <w:vAlign w:val="center"/>
          </w:tcPr>
          <w:p w14:paraId="161457E1" w14:textId="77777777" w:rsidR="001F2F75" w:rsidRPr="008D4628" w:rsidRDefault="001F2F75" w:rsidP="001F2F75">
            <w:pPr>
              <w:pStyle w:val="ECCLetterHead"/>
            </w:pPr>
          </w:p>
        </w:tc>
      </w:tr>
      <w:tr w:rsidR="001F2F75" w:rsidRPr="008D4628" w14:paraId="161457E5" w14:textId="77777777" w:rsidTr="002E4667">
        <w:tblPrEx>
          <w:tblCellMar>
            <w:left w:w="108" w:type="dxa"/>
            <w:right w:w="108" w:type="dxa"/>
          </w:tblCellMar>
        </w:tblPrEx>
        <w:trPr>
          <w:cantSplit/>
          <w:trHeight w:val="405"/>
        </w:trPr>
        <w:tc>
          <w:tcPr>
            <w:tcW w:w="1694" w:type="dxa"/>
            <w:tcBorders>
              <w:top w:val="nil"/>
              <w:left w:val="nil"/>
              <w:bottom w:val="nil"/>
              <w:right w:val="nil"/>
            </w:tcBorders>
            <w:vAlign w:val="center"/>
          </w:tcPr>
          <w:p w14:paraId="161457E3" w14:textId="1D837DAC" w:rsidR="001F2F75" w:rsidRPr="008D4628" w:rsidRDefault="00810D80" w:rsidP="001F2F75">
            <w:pPr>
              <w:pStyle w:val="ECCLetterHead"/>
            </w:pPr>
            <w:r w:rsidRPr="00810D80">
              <w:t>Date issued:</w:t>
            </w:r>
          </w:p>
        </w:tc>
        <w:tc>
          <w:tcPr>
            <w:tcW w:w="8087" w:type="dxa"/>
            <w:gridSpan w:val="2"/>
            <w:tcBorders>
              <w:top w:val="nil"/>
              <w:left w:val="nil"/>
              <w:bottom w:val="nil"/>
              <w:right w:val="nil"/>
            </w:tcBorders>
            <w:vAlign w:val="center"/>
          </w:tcPr>
          <w:p w14:paraId="161457E4" w14:textId="64500F90" w:rsidR="001F2F75" w:rsidRPr="008D4628" w:rsidRDefault="00AD6E2C" w:rsidP="001F2F75">
            <w:pPr>
              <w:pStyle w:val="ECCLetterHead"/>
            </w:pPr>
            <w:r w:rsidRPr="00AD6E2C">
              <w:t>30th November</w:t>
            </w:r>
            <w:r>
              <w:t xml:space="preserve"> 2018</w:t>
            </w:r>
          </w:p>
        </w:tc>
      </w:tr>
      <w:tr w:rsidR="00810D80" w:rsidRPr="008D4628" w14:paraId="799E055F" w14:textId="77777777" w:rsidTr="002E4667">
        <w:tblPrEx>
          <w:tblCellMar>
            <w:left w:w="108" w:type="dxa"/>
            <w:right w:w="108" w:type="dxa"/>
          </w:tblCellMar>
        </w:tblPrEx>
        <w:trPr>
          <w:cantSplit/>
          <w:trHeight w:val="405"/>
        </w:trPr>
        <w:tc>
          <w:tcPr>
            <w:tcW w:w="1694" w:type="dxa"/>
            <w:tcBorders>
              <w:top w:val="nil"/>
              <w:left w:val="nil"/>
              <w:bottom w:val="nil"/>
              <w:right w:val="nil"/>
            </w:tcBorders>
            <w:vAlign w:val="center"/>
          </w:tcPr>
          <w:p w14:paraId="14EBB51E" w14:textId="4F8F1222" w:rsidR="00810D80" w:rsidRPr="008D4628" w:rsidRDefault="00810D80" w:rsidP="001F2F75">
            <w:pPr>
              <w:pStyle w:val="ECCLetterHead"/>
            </w:pPr>
            <w:r w:rsidRPr="00810D80">
              <w:t>Source:</w:t>
            </w:r>
          </w:p>
        </w:tc>
        <w:tc>
          <w:tcPr>
            <w:tcW w:w="8087" w:type="dxa"/>
            <w:gridSpan w:val="2"/>
            <w:tcBorders>
              <w:top w:val="nil"/>
              <w:left w:val="nil"/>
              <w:bottom w:val="nil"/>
              <w:right w:val="nil"/>
            </w:tcBorders>
            <w:vAlign w:val="center"/>
          </w:tcPr>
          <w:p w14:paraId="318FEDAE" w14:textId="2310B8BF" w:rsidR="00810D80" w:rsidRPr="008D4628" w:rsidRDefault="00810D80" w:rsidP="001F2F75">
            <w:pPr>
              <w:pStyle w:val="ECCLetterHead"/>
            </w:pPr>
            <w:r w:rsidRPr="00810D80">
              <w:t>Minutes</w:t>
            </w:r>
            <w:r w:rsidR="00AD6E2C">
              <w:t xml:space="preserve"> CPG19-7</w:t>
            </w:r>
          </w:p>
        </w:tc>
      </w:tr>
      <w:tr w:rsidR="00917EC1" w:rsidRPr="008D4628" w14:paraId="161457E8" w14:textId="77777777" w:rsidTr="003A270E">
        <w:tblPrEx>
          <w:tblCellMar>
            <w:left w:w="108" w:type="dxa"/>
            <w:right w:w="108" w:type="dxa"/>
          </w:tblCellMar>
        </w:tblPrEx>
        <w:trPr>
          <w:cantSplit/>
          <w:trHeight w:val="405"/>
        </w:trPr>
        <w:tc>
          <w:tcPr>
            <w:tcW w:w="1694" w:type="dxa"/>
            <w:tcBorders>
              <w:top w:val="nil"/>
              <w:left w:val="nil"/>
              <w:bottom w:val="nil"/>
              <w:right w:val="nil"/>
            </w:tcBorders>
            <w:vAlign w:val="center"/>
          </w:tcPr>
          <w:p w14:paraId="161457E6" w14:textId="6DA23090" w:rsidR="00917EC1" w:rsidRPr="008D4628" w:rsidRDefault="00810D80">
            <w:pPr>
              <w:pStyle w:val="ECCLetterHead"/>
            </w:pPr>
            <w:r w:rsidRPr="00810D80">
              <w:t>Subject:</w:t>
            </w:r>
          </w:p>
        </w:tc>
        <w:tc>
          <w:tcPr>
            <w:tcW w:w="8087" w:type="dxa"/>
            <w:gridSpan w:val="2"/>
            <w:tcBorders>
              <w:top w:val="nil"/>
              <w:left w:val="nil"/>
              <w:bottom w:val="nil"/>
              <w:right w:val="nil"/>
            </w:tcBorders>
            <w:vAlign w:val="center"/>
          </w:tcPr>
          <w:p w14:paraId="161457E7" w14:textId="38BFF51B" w:rsidR="00917EC1" w:rsidRPr="008D4628" w:rsidRDefault="00810D80" w:rsidP="00EE794B">
            <w:pPr>
              <w:pStyle w:val="ECCLetterHead"/>
            </w:pPr>
            <w:r w:rsidRPr="00810D80">
              <w:t xml:space="preserve">Draft CEPT Brief on WRC-19 Agenda Item </w:t>
            </w:r>
            <w:r>
              <w:t>9.1 Issue 9.1.3</w:t>
            </w:r>
          </w:p>
        </w:tc>
      </w:tr>
      <w:tr w:rsidR="00917EC1" w:rsidRPr="008D4628" w14:paraId="161457EB" w14:textId="77777777" w:rsidTr="003A270E">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14:paraId="161457E9" w14:textId="77777777" w:rsidR="00917EC1" w:rsidRPr="008D4628" w:rsidRDefault="00917EC1">
            <w:pPr>
              <w:rPr>
                <w:rStyle w:val="ECCParagraph"/>
              </w:rPr>
            </w:pPr>
          </w:p>
          <w:p w14:paraId="161457EA" w14:textId="77777777" w:rsidR="00917EC1" w:rsidRPr="008D4628" w:rsidRDefault="00917EC1">
            <w:pPr>
              <w:pStyle w:val="ECCLetterHead"/>
            </w:pPr>
          </w:p>
        </w:tc>
      </w:tr>
      <w:tr w:rsidR="00917EC1" w:rsidRPr="008D4628" w14:paraId="161457ED" w14:textId="77777777" w:rsidTr="002B3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161457EC" w14:textId="77777777" w:rsidR="00917EC1" w:rsidRPr="008D4628" w:rsidRDefault="00E448AC">
            <w:pPr>
              <w:pStyle w:val="ECCLetterHead"/>
            </w:pPr>
            <w:r w:rsidRPr="008D4628">
              <w:t xml:space="preserve">Summary: </w:t>
            </w:r>
          </w:p>
        </w:tc>
      </w:tr>
      <w:tr w:rsidR="00917EC1" w:rsidRPr="008D4628" w14:paraId="161457EF" w14:textId="77777777" w:rsidTr="002B3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161457EE" w14:textId="77777777" w:rsidR="00D07AAF" w:rsidRPr="008D4628" w:rsidRDefault="00165EB8" w:rsidP="000B290B">
            <w:pPr>
              <w:pStyle w:val="ECCTabletext"/>
            </w:pPr>
            <w:r w:rsidRPr="008D4628">
              <w:t>.</w:t>
            </w:r>
          </w:p>
        </w:tc>
      </w:tr>
      <w:tr w:rsidR="00917EC1" w:rsidRPr="008D4628" w14:paraId="161457F1" w14:textId="77777777" w:rsidTr="002B3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161457F0" w14:textId="77777777" w:rsidR="00917EC1" w:rsidRPr="008D4628" w:rsidRDefault="00E448AC">
            <w:pPr>
              <w:pStyle w:val="ECCLetterHead"/>
            </w:pPr>
            <w:r w:rsidRPr="008D4628">
              <w:t>Proposal:</w:t>
            </w:r>
          </w:p>
        </w:tc>
      </w:tr>
      <w:tr w:rsidR="00917EC1" w:rsidRPr="008D4628" w14:paraId="161457F3" w14:textId="77777777" w:rsidTr="002B3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14:paraId="161457F2" w14:textId="77777777" w:rsidR="00917EC1" w:rsidRPr="008D4628" w:rsidRDefault="00917EC1">
            <w:pPr>
              <w:pStyle w:val="ECCTabletext"/>
            </w:pPr>
          </w:p>
        </w:tc>
      </w:tr>
    </w:tbl>
    <w:p w14:paraId="161457F4" w14:textId="77777777" w:rsidR="00917EC1" w:rsidRPr="008D4628" w:rsidRDefault="000B0383" w:rsidP="00534BD5">
      <w:pPr>
        <w:pStyle w:val="ECCEditorsNote"/>
        <w:rPr>
          <w:rStyle w:val="ECCParagraph"/>
        </w:rPr>
      </w:pPr>
      <w:r w:rsidRPr="008D4628">
        <w:rPr>
          <w:lang w:val="en-GB"/>
        </w:rPr>
        <w:t>The following pages are intended to be compiled in one CEPT Brief on AI 9</w:t>
      </w:r>
      <w:r w:rsidR="00E448AC" w:rsidRPr="008D4628">
        <w:rPr>
          <w:rStyle w:val="ECCParagraph"/>
        </w:rPr>
        <w:br w:type="page"/>
      </w:r>
    </w:p>
    <w:p w14:paraId="161457F5" w14:textId="77777777" w:rsidR="00942135" w:rsidRPr="008D4628" w:rsidRDefault="00F34E91" w:rsidP="00F81D84">
      <w:pPr>
        <w:pStyle w:val="ECCHeadingnonumbering"/>
        <w:rPr>
          <w:lang w:val="en-GB"/>
        </w:rPr>
      </w:pPr>
      <w:r w:rsidRPr="008D4628">
        <w:rPr>
          <w:lang w:val="en-GB"/>
        </w:rPr>
        <w:lastRenderedPageBreak/>
        <w:t>DRAFT CEPT BRIEF ON AGENDA ITEM 9.1 Issue 9.1.3</w:t>
      </w:r>
    </w:p>
    <w:p w14:paraId="161457F6" w14:textId="77777777" w:rsidR="000457A7" w:rsidRPr="008D4628" w:rsidRDefault="000457A7" w:rsidP="000457A7">
      <w:r w:rsidRPr="008D4628">
        <w:t>9</w:t>
      </w:r>
      <w:r w:rsidRPr="008D4628">
        <w:tab/>
        <w:t>to consider and approve the Report of the Director of the Radiocommunication Bureau, in accordance with Article 7 of the Convention:</w:t>
      </w:r>
    </w:p>
    <w:p w14:paraId="161457F7" w14:textId="77777777" w:rsidR="000457A7" w:rsidRPr="008D4628" w:rsidRDefault="000457A7" w:rsidP="000457A7">
      <w:r w:rsidRPr="008D4628">
        <w:t>9.1</w:t>
      </w:r>
      <w:r w:rsidRPr="008D4628">
        <w:tab/>
        <w:t>on the activities of the Radiocommunication Sector since WRC</w:t>
      </w:r>
      <w:r w:rsidRPr="008D4628">
        <w:noBreakHyphen/>
        <w:t>15.</w:t>
      </w:r>
    </w:p>
    <w:p w14:paraId="161457F8" w14:textId="77777777" w:rsidR="000457A7" w:rsidRPr="008D4628" w:rsidRDefault="000457A7" w:rsidP="000457A7">
      <w:pPr>
        <w:pStyle w:val="berschrift1"/>
        <w:rPr>
          <w:lang w:val="en-GB"/>
        </w:rPr>
      </w:pPr>
      <w:r w:rsidRPr="008D4628">
        <w:rPr>
          <w:lang w:val="en-GB"/>
        </w:rPr>
        <w:t>ISSUE</w:t>
      </w:r>
    </w:p>
    <w:p w14:paraId="161457F9" w14:textId="77777777" w:rsidR="000457A7" w:rsidRPr="008D4628" w:rsidRDefault="000457A7" w:rsidP="000457A7">
      <w:r w:rsidRPr="008D4628">
        <w:rPr>
          <w:rStyle w:val="ECCHLbold"/>
        </w:rPr>
        <w:t>Resolution 157 (WRC</w:t>
      </w:r>
      <w:r w:rsidRPr="008D4628">
        <w:rPr>
          <w:rStyle w:val="ECCHLbold"/>
        </w:rPr>
        <w:noBreakHyphen/>
        <w:t>15)</w:t>
      </w:r>
      <w:r w:rsidRPr="008D4628">
        <w:t xml:space="preserve"> “Study of technical and operational issues and regulatory provisions for new non-geostationary-satellite orbit systems in the 3</w:t>
      </w:r>
      <w:r w:rsidR="00BA2B7C" w:rsidRPr="008D4628">
        <w:t xml:space="preserve"> </w:t>
      </w:r>
      <w:r w:rsidRPr="008D4628">
        <w:t>700-4</w:t>
      </w:r>
      <w:r w:rsidR="00BA2B7C" w:rsidRPr="008D4628">
        <w:t xml:space="preserve"> </w:t>
      </w:r>
      <w:r w:rsidRPr="008D4628">
        <w:t>200 MHz, 4</w:t>
      </w:r>
      <w:r w:rsidR="00BA2B7C" w:rsidRPr="008D4628">
        <w:t xml:space="preserve"> </w:t>
      </w:r>
      <w:r w:rsidRPr="008D4628">
        <w:t>500-4</w:t>
      </w:r>
      <w:r w:rsidR="00BA2B7C" w:rsidRPr="008D4628">
        <w:t xml:space="preserve"> </w:t>
      </w:r>
      <w:r w:rsidRPr="008D4628">
        <w:t>800 MHz, 5</w:t>
      </w:r>
      <w:r w:rsidR="00BA2B7C" w:rsidRPr="008D4628">
        <w:t xml:space="preserve"> </w:t>
      </w:r>
      <w:r w:rsidRPr="008D4628">
        <w:t>925-6</w:t>
      </w:r>
      <w:r w:rsidR="00BA2B7C" w:rsidRPr="008D4628">
        <w:t xml:space="preserve"> </w:t>
      </w:r>
      <w:r w:rsidRPr="008D4628">
        <w:t>425 MHz and 6</w:t>
      </w:r>
      <w:r w:rsidR="00BA2B7C" w:rsidRPr="008D4628">
        <w:t xml:space="preserve"> </w:t>
      </w:r>
      <w:r w:rsidRPr="008D4628">
        <w:t>725-7</w:t>
      </w:r>
      <w:r w:rsidR="00BA2B7C" w:rsidRPr="008D4628">
        <w:t xml:space="preserve"> </w:t>
      </w:r>
      <w:r w:rsidRPr="008D4628">
        <w:t>025 MHz frequency bands allocated to the fixed-satellite service”</w:t>
      </w:r>
    </w:p>
    <w:p w14:paraId="161457FA" w14:textId="77777777" w:rsidR="000457A7" w:rsidRPr="008D4628" w:rsidRDefault="000457A7" w:rsidP="000457A7">
      <w:pPr>
        <w:rPr>
          <w:rStyle w:val="Hervorhebung"/>
        </w:rPr>
      </w:pPr>
      <w:r w:rsidRPr="008D4628">
        <w:rPr>
          <w:rStyle w:val="Hervorhebung"/>
        </w:rPr>
        <w:t>resolves to invite the ITU Radiocommunication Sector</w:t>
      </w:r>
    </w:p>
    <w:p w14:paraId="161457FB" w14:textId="77777777" w:rsidR="000457A7" w:rsidRPr="008D4628" w:rsidRDefault="000457A7" w:rsidP="000457A7">
      <w:r w:rsidRPr="008D4628">
        <w:t xml:space="preserve">to study the following issues relating to non-GSO systems in the following frequency bands allocated to the FSS: </w:t>
      </w:r>
    </w:p>
    <w:p w14:paraId="161457FC" w14:textId="77777777" w:rsidR="000457A7" w:rsidRPr="008D4628" w:rsidRDefault="000457A7" w:rsidP="000457A7">
      <w:pPr>
        <w:pStyle w:val="ECCLetteredList"/>
        <w:rPr>
          <w:lang w:val="en-GB"/>
        </w:rPr>
      </w:pPr>
      <w:r w:rsidRPr="008D4628">
        <w:rPr>
          <w:lang w:val="en-GB"/>
        </w:rPr>
        <w:t xml:space="preserve">in the frequency band 3 700-4 200 MHz (space-to-Earth), identification of possible revision of Article </w:t>
      </w:r>
      <w:r w:rsidRPr="008D4628">
        <w:rPr>
          <w:rStyle w:val="ECCHLbold"/>
          <w:lang w:val="en-GB"/>
        </w:rPr>
        <w:t>21</w:t>
      </w:r>
      <w:r w:rsidRPr="008D4628">
        <w:rPr>
          <w:lang w:val="en-GB"/>
        </w:rPr>
        <w:t xml:space="preserve">, Table </w:t>
      </w:r>
      <w:r w:rsidRPr="008D4628">
        <w:rPr>
          <w:rStyle w:val="ECCHLbold"/>
          <w:lang w:val="en-GB"/>
        </w:rPr>
        <w:t>21-4</w:t>
      </w:r>
      <w:r w:rsidRPr="008D4628">
        <w:rPr>
          <w:lang w:val="en-GB"/>
        </w:rPr>
        <w:t xml:space="preserve"> for non-GSO FSS satellites, with a view to enabling new non-GSO systems to operate in these FSS frequency bands, while ensuring that existing primary services, i.e. the mobile service and fixed service, are protected and maintaining the existing Article </w:t>
      </w:r>
      <w:r w:rsidRPr="008D4628">
        <w:rPr>
          <w:rStyle w:val="ECCHLbold"/>
          <w:lang w:val="en-GB"/>
        </w:rPr>
        <w:t>21</w:t>
      </w:r>
      <w:r w:rsidRPr="008D4628">
        <w:rPr>
          <w:lang w:val="en-GB"/>
        </w:rPr>
        <w:t xml:space="preserve"> </w:t>
      </w:r>
      <w:proofErr w:type="spellStart"/>
      <w:r w:rsidRPr="008D4628">
        <w:rPr>
          <w:lang w:val="en-GB"/>
        </w:rPr>
        <w:t>pfd</w:t>
      </w:r>
      <w:proofErr w:type="spellEnd"/>
      <w:r w:rsidRPr="008D4628">
        <w:rPr>
          <w:lang w:val="en-GB"/>
        </w:rPr>
        <w:t xml:space="preserve"> limits for GSO networks;</w:t>
      </w:r>
    </w:p>
    <w:p w14:paraId="161457FD" w14:textId="77777777" w:rsidR="000457A7" w:rsidRPr="008D4628" w:rsidRDefault="000457A7" w:rsidP="000457A7">
      <w:pPr>
        <w:pStyle w:val="ECCLetteredList"/>
        <w:rPr>
          <w:lang w:val="en-GB"/>
        </w:rPr>
      </w:pPr>
      <w:r w:rsidRPr="008D4628">
        <w:rPr>
          <w:lang w:val="en-GB"/>
        </w:rPr>
        <w:t>in the frequency bands 3 700-4 200 MHz (space-to-Earth) and 5 925-6 425 MHz (Earth</w:t>
      </w:r>
      <w:r w:rsidRPr="008D4628">
        <w:rPr>
          <w:lang w:val="en-GB"/>
        </w:rPr>
        <w:noBreakHyphen/>
        <w:t>to</w:t>
      </w:r>
      <w:r w:rsidRPr="008D4628">
        <w:rPr>
          <w:lang w:val="en-GB"/>
        </w:rPr>
        <w:noBreakHyphen/>
        <w:t xml:space="preserve">space), the Article 22 </w:t>
      </w:r>
      <w:proofErr w:type="spellStart"/>
      <w:r w:rsidRPr="008D4628">
        <w:rPr>
          <w:lang w:val="en-GB"/>
        </w:rPr>
        <w:t>epfd</w:t>
      </w:r>
      <w:proofErr w:type="spellEnd"/>
      <w:r w:rsidRPr="008D4628">
        <w:rPr>
          <w:lang w:val="en-GB"/>
        </w:rPr>
        <w:t xml:space="preserve">↓ limits and </w:t>
      </w:r>
      <w:proofErr w:type="spellStart"/>
      <w:r w:rsidRPr="008D4628">
        <w:rPr>
          <w:lang w:val="en-GB"/>
        </w:rPr>
        <w:t>epfd</w:t>
      </w:r>
      <w:proofErr w:type="spellEnd"/>
      <w:r w:rsidRPr="008D4628">
        <w:rPr>
          <w:lang w:val="en-GB"/>
        </w:rPr>
        <w:t>↑ limits applicable to non-GSO systems with a view to enabling additional non-GSO systems to operate in these frequency bands, while ensuring that GSO networks are protected from unaccepta</w:t>
      </w:r>
      <w:r w:rsidR="00BA2B7C" w:rsidRPr="008D4628">
        <w:rPr>
          <w:lang w:val="en-GB"/>
        </w:rPr>
        <w:t>ble interference pursuant to No</w:t>
      </w:r>
      <w:r w:rsidRPr="008D4628">
        <w:rPr>
          <w:lang w:val="en-GB"/>
        </w:rPr>
        <w:t xml:space="preserve"> </w:t>
      </w:r>
      <w:r w:rsidRPr="008D4628">
        <w:rPr>
          <w:rStyle w:val="ECCHLbold"/>
          <w:lang w:val="en-GB"/>
        </w:rPr>
        <w:t>22.2</w:t>
      </w:r>
      <w:r w:rsidRPr="008D4628">
        <w:rPr>
          <w:lang w:val="en-GB"/>
        </w:rPr>
        <w:t xml:space="preserve"> and existing protection criteria;</w:t>
      </w:r>
    </w:p>
    <w:p w14:paraId="161457FE" w14:textId="77777777" w:rsidR="000457A7" w:rsidRPr="008D4628" w:rsidRDefault="000457A7" w:rsidP="000457A7">
      <w:pPr>
        <w:pStyle w:val="ECCLetteredList"/>
        <w:rPr>
          <w:lang w:val="en-GB"/>
        </w:rPr>
      </w:pPr>
      <w:r w:rsidRPr="008D4628">
        <w:rPr>
          <w:lang w:val="en-GB"/>
        </w:rPr>
        <w:t>in the frequency bands 4 500-4 800 MHz (space-to-Earth) and 6 725-7 025 MHz (Earth</w:t>
      </w:r>
      <w:r w:rsidRPr="008D4628">
        <w:rPr>
          <w:lang w:val="en-GB"/>
        </w:rPr>
        <w:noBreakHyphen/>
        <w:t>to</w:t>
      </w:r>
      <w:r w:rsidRPr="008D4628">
        <w:rPr>
          <w:lang w:val="en-GB"/>
        </w:rPr>
        <w:noBreakHyphen/>
        <w:t xml:space="preserve">space), the possible development of Article 22 </w:t>
      </w:r>
      <w:proofErr w:type="spellStart"/>
      <w:r w:rsidRPr="008D4628">
        <w:rPr>
          <w:lang w:val="en-GB"/>
        </w:rPr>
        <w:t>epfd</w:t>
      </w:r>
      <w:proofErr w:type="spellEnd"/>
      <w:r w:rsidRPr="008D4628">
        <w:rPr>
          <w:lang w:val="en-GB"/>
        </w:rPr>
        <w:t xml:space="preserve">↓ and </w:t>
      </w:r>
      <w:proofErr w:type="spellStart"/>
      <w:r w:rsidRPr="008D4628">
        <w:rPr>
          <w:lang w:val="en-GB"/>
        </w:rPr>
        <w:t>epfd</w:t>
      </w:r>
      <w:proofErr w:type="spellEnd"/>
      <w:r w:rsidRPr="008D4628">
        <w:rPr>
          <w:lang w:val="en-GB"/>
        </w:rPr>
        <w:t>↑ limits similar to those in other FSS frequency bands with a view to enabling non-GSO systems to operate in these frequency bands, while ensuring that GSO networks are protected from unacceptab</w:t>
      </w:r>
      <w:r w:rsidR="00BA2B7C" w:rsidRPr="008D4628">
        <w:rPr>
          <w:lang w:val="en-GB"/>
        </w:rPr>
        <w:t xml:space="preserve">le interference pursuant to No </w:t>
      </w:r>
      <w:r w:rsidRPr="008D4628">
        <w:rPr>
          <w:rStyle w:val="ECCHLbold"/>
          <w:lang w:val="en-GB"/>
        </w:rPr>
        <w:t>22.2</w:t>
      </w:r>
      <w:r w:rsidRPr="008D4628">
        <w:rPr>
          <w:lang w:val="en-GB"/>
        </w:rPr>
        <w:t xml:space="preserve"> and existing protection criteria;</w:t>
      </w:r>
    </w:p>
    <w:p w14:paraId="161457FF" w14:textId="77777777" w:rsidR="000457A7" w:rsidRPr="008D4628" w:rsidRDefault="000457A7" w:rsidP="000457A7">
      <w:pPr>
        <w:pStyle w:val="ECCLetteredList"/>
        <w:rPr>
          <w:lang w:val="en-GB"/>
        </w:rPr>
      </w:pPr>
      <w:r w:rsidRPr="008D4628">
        <w:rPr>
          <w:lang w:val="en-GB"/>
        </w:rPr>
        <w:t>in the frequency band 6 700-7 025 MHz, the protection of feeder links for MSS systems operating in the space-to-Earth direction from unacceptable interference, pursuant to existing criteria, from non-GSO FSS system earth stations operating in the Earth-to-space direction;</w:t>
      </w:r>
    </w:p>
    <w:p w14:paraId="16145800" w14:textId="77777777" w:rsidR="000457A7" w:rsidRPr="008D4628" w:rsidRDefault="000457A7" w:rsidP="000457A7">
      <w:pPr>
        <w:pStyle w:val="ECCLetteredList"/>
        <w:rPr>
          <w:lang w:val="en-GB"/>
        </w:rPr>
      </w:pPr>
      <w:r w:rsidRPr="008D4628">
        <w:rPr>
          <w:lang w:val="en-GB"/>
        </w:rPr>
        <w:t>in the frequency band 4 500-4 800 MHz (space-to-Earth), the development of appropriate regulatory provisions for non-GSO FSS systems to protect terrestrial services;</w:t>
      </w:r>
    </w:p>
    <w:p w14:paraId="16145801" w14:textId="77777777" w:rsidR="000457A7" w:rsidRPr="008D4628" w:rsidRDefault="000457A7" w:rsidP="000457A7">
      <w:pPr>
        <w:pStyle w:val="ECCLetteredList"/>
        <w:rPr>
          <w:lang w:val="en-GB"/>
        </w:rPr>
      </w:pPr>
      <w:r w:rsidRPr="008D4628">
        <w:rPr>
          <w:lang w:val="en-GB"/>
        </w:rPr>
        <w:t>in the frequency bands 4 500-4 800 MHz (space-to-Earth) and 5 925-6 425 MHz (Earth</w:t>
      </w:r>
      <w:r w:rsidRPr="008D4628">
        <w:rPr>
          <w:lang w:val="en-GB"/>
        </w:rPr>
        <w:noBreakHyphen/>
        <w:t>to</w:t>
      </w:r>
      <w:r w:rsidRPr="008D4628">
        <w:rPr>
          <w:lang w:val="en-GB"/>
        </w:rPr>
        <w:noBreakHyphen/>
        <w:t>space), the development of regulatory</w:t>
      </w:r>
      <w:r w:rsidR="00BA2B7C" w:rsidRPr="008D4628">
        <w:rPr>
          <w:lang w:val="en-GB"/>
        </w:rPr>
        <w:t xml:space="preserve"> provisions to clarify that Nos</w:t>
      </w:r>
      <w:r w:rsidRPr="008D4628">
        <w:rPr>
          <w:lang w:val="en-GB"/>
        </w:rPr>
        <w:t xml:space="preserve"> </w:t>
      </w:r>
      <w:r w:rsidRPr="008D4628">
        <w:rPr>
          <w:rStyle w:val="ECCHLbold"/>
          <w:lang w:val="en-GB"/>
        </w:rPr>
        <w:t xml:space="preserve">5.440A </w:t>
      </w:r>
      <w:r w:rsidRPr="008D4628">
        <w:rPr>
          <w:lang w:val="en-GB"/>
        </w:rPr>
        <w:t xml:space="preserve">and </w:t>
      </w:r>
      <w:r w:rsidRPr="008D4628">
        <w:rPr>
          <w:rStyle w:val="ECCHLbold"/>
          <w:lang w:val="en-GB"/>
        </w:rPr>
        <w:t>5.457C</w:t>
      </w:r>
      <w:r w:rsidRPr="008D4628">
        <w:rPr>
          <w:lang w:val="en-GB"/>
        </w:rPr>
        <w:t xml:space="preserve"> would apply in a </w:t>
      </w:r>
      <w:r w:rsidRPr="008D4628">
        <w:rPr>
          <w:rStyle w:val="ECCParagraph"/>
        </w:rPr>
        <w:t>manner to ensure that non-GSO FSS systems do not cause harmful interference to, or claim protection from, AMT (aeronautical mobile telemetry) for</w:t>
      </w:r>
      <w:r w:rsidRPr="008D4628">
        <w:rPr>
          <w:lang w:val="en-GB"/>
        </w:rPr>
        <w:t xml:space="preserve"> flight testing by aircraft stations,</w:t>
      </w:r>
    </w:p>
    <w:p w14:paraId="16145802" w14:textId="77777777" w:rsidR="000457A7" w:rsidRPr="008D4628" w:rsidRDefault="000457A7" w:rsidP="000457A7">
      <w:pPr>
        <w:rPr>
          <w:rStyle w:val="Hervorhebung"/>
        </w:rPr>
      </w:pPr>
      <w:r w:rsidRPr="008D4628">
        <w:rPr>
          <w:rStyle w:val="Hervorhebung"/>
        </w:rPr>
        <w:t xml:space="preserve">further resolves </w:t>
      </w:r>
    </w:p>
    <w:p w14:paraId="16145803" w14:textId="77777777" w:rsidR="000457A7" w:rsidRPr="008D4628" w:rsidRDefault="000457A7" w:rsidP="000457A7">
      <w:pPr>
        <w:pStyle w:val="ECCNumberedList"/>
      </w:pPr>
      <w:r w:rsidRPr="008D4628">
        <w:t>that the results of studies referred to in the resolves above shall:</w:t>
      </w:r>
    </w:p>
    <w:p w14:paraId="16145804" w14:textId="77777777" w:rsidR="000457A7" w:rsidRPr="008D4628" w:rsidRDefault="000457A7" w:rsidP="000457A7">
      <w:pPr>
        <w:pStyle w:val="ECCBulletsLv2"/>
      </w:pPr>
      <w:r w:rsidRPr="008D4628">
        <w:t>in no way change the protection criteria and protection levels defined in those criteria for the GSO FSS, the fixed service and the mobile service;</w:t>
      </w:r>
    </w:p>
    <w:p w14:paraId="16145805" w14:textId="77777777" w:rsidR="000457A7" w:rsidRPr="008D4628" w:rsidRDefault="000457A7" w:rsidP="000457A7">
      <w:pPr>
        <w:pStyle w:val="ECCBulletsLv2"/>
      </w:pPr>
      <w:r w:rsidRPr="008D4628">
        <w:t>ensure protection of the existing non-GSO FSS systems with highly-elliptical orbits,</w:t>
      </w:r>
    </w:p>
    <w:p w14:paraId="16145806" w14:textId="77777777" w:rsidR="000457A7" w:rsidRPr="008D4628" w:rsidRDefault="000457A7" w:rsidP="000457A7">
      <w:pPr>
        <w:pStyle w:val="ECCNumberedList"/>
      </w:pPr>
      <w:r w:rsidRPr="008D4628">
        <w:t>that new non-GSO systems that operate in FSS bands subject to the provisions of Appendix </w:t>
      </w:r>
      <w:r w:rsidRPr="008D4628">
        <w:rPr>
          <w:rStyle w:val="ECCHLbold"/>
        </w:rPr>
        <w:t>30B</w:t>
      </w:r>
      <w:r w:rsidRPr="008D4628">
        <w:t xml:space="preserve"> shall ensure that the allotments appearing in the Plan and the assignments of the List of Appendix </w:t>
      </w:r>
      <w:r w:rsidRPr="008D4628">
        <w:rPr>
          <w:rStyle w:val="ECCHLbold"/>
        </w:rPr>
        <w:t>30B</w:t>
      </w:r>
      <w:r w:rsidRPr="008D4628">
        <w:t xml:space="preserve"> will be fully protected,</w:t>
      </w:r>
    </w:p>
    <w:p w14:paraId="16145807" w14:textId="77777777" w:rsidR="000457A7" w:rsidRPr="008D4628" w:rsidRDefault="000457A7" w:rsidP="000457A7">
      <w:pPr>
        <w:pStyle w:val="berschrift1"/>
        <w:rPr>
          <w:lang w:val="en-GB"/>
        </w:rPr>
      </w:pPr>
      <w:r w:rsidRPr="008D4628">
        <w:rPr>
          <w:lang w:val="en-GB"/>
        </w:rPr>
        <w:lastRenderedPageBreak/>
        <w:t xml:space="preserve">Preliminary CEPT position </w:t>
      </w:r>
    </w:p>
    <w:p w14:paraId="16145808" w14:textId="77777777" w:rsidR="00B60639" w:rsidRPr="008D4628" w:rsidRDefault="00B60639" w:rsidP="00B60639">
      <w:r w:rsidRPr="008D4628">
        <w:t xml:space="preserve">CEPT supports no changes to the provisions of RR Article </w:t>
      </w:r>
      <w:r w:rsidRPr="008D4628">
        <w:rPr>
          <w:rStyle w:val="ECCHLbold"/>
        </w:rPr>
        <w:t>21</w:t>
      </w:r>
      <w:r w:rsidRPr="008D4628">
        <w:t xml:space="preserve"> and Article </w:t>
      </w:r>
      <w:r w:rsidRPr="008D4628">
        <w:rPr>
          <w:rStyle w:val="ECCHLbold"/>
        </w:rPr>
        <w:t>22</w:t>
      </w:r>
      <w:r w:rsidRPr="008D4628">
        <w:t xml:space="preserve"> in the frequency bands 3 700 </w:t>
      </w:r>
      <w:r w:rsidR="001F2F75" w:rsidRPr="008D4628">
        <w:t xml:space="preserve">- </w:t>
      </w:r>
      <w:r w:rsidRPr="008D4628">
        <w:t>4</w:t>
      </w:r>
      <w:r w:rsidR="001F2F75" w:rsidRPr="008D4628">
        <w:t> </w:t>
      </w:r>
      <w:r w:rsidRPr="008D4628">
        <w:t xml:space="preserve">200 MHz, 4 500-4 800 MHz, 5 925-6 425 MHz and 6 725-7 025 </w:t>
      </w:r>
      <w:proofErr w:type="spellStart"/>
      <w:r w:rsidRPr="008D4628">
        <w:t>MHz.</w:t>
      </w:r>
      <w:proofErr w:type="spellEnd"/>
    </w:p>
    <w:p w14:paraId="16145809" w14:textId="77777777" w:rsidR="00B60639" w:rsidRPr="008D4628" w:rsidRDefault="00B60639" w:rsidP="00B60639">
      <w:pPr>
        <w:rPr>
          <w:rStyle w:val="ECCParagraph"/>
        </w:rPr>
      </w:pPr>
      <w:r w:rsidRPr="008D4628">
        <w:t xml:space="preserve">CEPT is </w:t>
      </w:r>
      <w:r w:rsidR="00926FBB" w:rsidRPr="008D4628">
        <w:t>considering the introduction of a</w:t>
      </w:r>
      <w:r w:rsidRPr="008D4628">
        <w:t xml:space="preserve"> coordination procedure under RR No. </w:t>
      </w:r>
      <w:r w:rsidRPr="008D4628">
        <w:rPr>
          <w:rStyle w:val="ECCHLbold"/>
        </w:rPr>
        <w:t>9.12</w:t>
      </w:r>
      <w:r w:rsidRPr="008D4628">
        <w:t xml:space="preserve"> in order to address coordination between non-GSO FSS systems in the frequency bands 3 700−4 200 MHz and 5 925−6 425 </w:t>
      </w:r>
      <w:proofErr w:type="spellStart"/>
      <w:r w:rsidRPr="008D4628">
        <w:t>MHz.</w:t>
      </w:r>
      <w:proofErr w:type="spellEnd"/>
    </w:p>
    <w:p w14:paraId="1614580A" w14:textId="77777777" w:rsidR="000457A7" w:rsidRPr="008D4628" w:rsidRDefault="000457A7" w:rsidP="000457A7">
      <w:pPr>
        <w:pStyle w:val="berschrift1"/>
        <w:rPr>
          <w:lang w:val="en-GB"/>
        </w:rPr>
      </w:pPr>
      <w:r w:rsidRPr="008D4628">
        <w:rPr>
          <w:lang w:val="en-GB"/>
        </w:rPr>
        <w:t>Background</w:t>
      </w:r>
    </w:p>
    <w:p w14:paraId="1614580B" w14:textId="77777777" w:rsidR="000457A7" w:rsidRPr="008D4628" w:rsidRDefault="000457A7" w:rsidP="000457A7">
      <w:pPr>
        <w:rPr>
          <w:rStyle w:val="ECCParagraph"/>
        </w:rPr>
      </w:pPr>
      <w:r w:rsidRPr="008D4628">
        <w:rPr>
          <w:rStyle w:val="ECCParagraph"/>
        </w:rPr>
        <w:t xml:space="preserve">Article </w:t>
      </w:r>
      <w:r w:rsidRPr="008D4628">
        <w:rPr>
          <w:rStyle w:val="ECCHLbold"/>
        </w:rPr>
        <w:t>21</w:t>
      </w:r>
      <w:r w:rsidRPr="008D4628">
        <w:rPr>
          <w:rStyle w:val="ECCParagraph"/>
        </w:rPr>
        <w:t xml:space="preserve"> power flux-density (</w:t>
      </w:r>
      <w:proofErr w:type="spellStart"/>
      <w:r w:rsidRPr="008D4628">
        <w:rPr>
          <w:rStyle w:val="ECCParagraph"/>
        </w:rPr>
        <w:t>pfd</w:t>
      </w:r>
      <w:proofErr w:type="spellEnd"/>
      <w:r w:rsidRPr="008D4628">
        <w:rPr>
          <w:rStyle w:val="ECCParagraph"/>
        </w:rPr>
        <w:t>) limits and Article</w:t>
      </w:r>
      <w:r w:rsidRPr="008D4628">
        <w:rPr>
          <w:rStyle w:val="ECCHLbold"/>
        </w:rPr>
        <w:t xml:space="preserve"> 22</w:t>
      </w:r>
      <w:r w:rsidRPr="008D4628">
        <w:rPr>
          <w:rStyle w:val="ECCParagraph"/>
        </w:rPr>
        <w:t xml:space="preserve"> equivalent power flux-density (</w:t>
      </w:r>
      <w:proofErr w:type="spellStart"/>
      <w:r w:rsidRPr="008D4628">
        <w:rPr>
          <w:rStyle w:val="ECCParagraph"/>
        </w:rPr>
        <w:t>epfd</w:t>
      </w:r>
      <w:proofErr w:type="spellEnd"/>
      <w:r w:rsidRPr="008D4628">
        <w:rPr>
          <w:rStyle w:val="ECCParagraph"/>
        </w:rPr>
        <w:t xml:space="preserve">↓) limits in the frequency band 3 700-4 200 MHz (space-to-Earth) and the Article </w:t>
      </w:r>
      <w:r w:rsidRPr="008D4628">
        <w:rPr>
          <w:rStyle w:val="ECCHLbold"/>
        </w:rPr>
        <w:t>22</w:t>
      </w:r>
      <w:r w:rsidRPr="008D4628">
        <w:rPr>
          <w:rStyle w:val="ECCParagraph"/>
        </w:rPr>
        <w:t xml:space="preserve"> </w:t>
      </w:r>
      <w:proofErr w:type="spellStart"/>
      <w:r w:rsidRPr="008D4628">
        <w:rPr>
          <w:rStyle w:val="ECCParagraph"/>
        </w:rPr>
        <w:t>epfd</w:t>
      </w:r>
      <w:proofErr w:type="spellEnd"/>
      <w:r w:rsidRPr="008D4628">
        <w:rPr>
          <w:rStyle w:val="ECCParagraph"/>
        </w:rPr>
        <w:t>↑ limits in the frequency band 5 925-6 725 MHz (Earth-to-space) were developed at WRC-03.</w:t>
      </w:r>
    </w:p>
    <w:p w14:paraId="1614580C" w14:textId="77777777" w:rsidR="000457A7" w:rsidRPr="008D4628" w:rsidRDefault="000457A7" w:rsidP="000457A7">
      <w:pPr>
        <w:rPr>
          <w:rStyle w:val="ECCParagraph"/>
        </w:rPr>
      </w:pPr>
      <w:r w:rsidRPr="008D4628">
        <w:rPr>
          <w:rStyle w:val="ECCParagraph"/>
        </w:rPr>
        <w:t xml:space="preserve">Article </w:t>
      </w:r>
      <w:r w:rsidRPr="008D4628">
        <w:rPr>
          <w:rStyle w:val="ECCHLbold"/>
        </w:rPr>
        <w:t>22</w:t>
      </w:r>
      <w:r w:rsidRPr="008D4628">
        <w:rPr>
          <w:rStyle w:val="ECCParagraph"/>
        </w:rPr>
        <w:t xml:space="preserve"> does not contain </w:t>
      </w:r>
      <w:proofErr w:type="spellStart"/>
      <w:r w:rsidRPr="008D4628">
        <w:rPr>
          <w:rStyle w:val="ECCParagraph"/>
        </w:rPr>
        <w:t>epfd</w:t>
      </w:r>
      <w:proofErr w:type="spellEnd"/>
      <w:r w:rsidRPr="008D4628">
        <w:rPr>
          <w:rStyle w:val="ECCParagraph"/>
        </w:rPr>
        <w:t xml:space="preserve">↓ and </w:t>
      </w:r>
      <w:proofErr w:type="spellStart"/>
      <w:r w:rsidRPr="008D4628">
        <w:rPr>
          <w:rStyle w:val="ECCParagraph"/>
        </w:rPr>
        <w:t>epfd</w:t>
      </w:r>
      <w:proofErr w:type="spellEnd"/>
      <w:r w:rsidRPr="008D4628">
        <w:rPr>
          <w:rStyle w:val="ECCParagraph"/>
        </w:rPr>
        <w:t xml:space="preserve">↑ limits for non-GSO systems in the frequency bands 4 500-4 800 MHz (space-to-Earth) and 6 725-7 025 MHz (Earth-to-space) allocated to the FSS, the use of which is subject to the provisions of Appendix </w:t>
      </w:r>
      <w:r w:rsidRPr="008D4628">
        <w:rPr>
          <w:rStyle w:val="ECCHLbold"/>
        </w:rPr>
        <w:t>30B</w:t>
      </w:r>
      <w:r w:rsidRPr="008D4628">
        <w:rPr>
          <w:rStyle w:val="ECCParagraph"/>
        </w:rPr>
        <w:t>.</w:t>
      </w:r>
    </w:p>
    <w:p w14:paraId="1614580D" w14:textId="77777777" w:rsidR="000457A7" w:rsidRPr="008D4628" w:rsidRDefault="000457A7" w:rsidP="000457A7">
      <w:pPr>
        <w:rPr>
          <w:rStyle w:val="ECCParagraph"/>
        </w:rPr>
      </w:pPr>
      <w:r w:rsidRPr="008D4628">
        <w:rPr>
          <w:rStyle w:val="ECCParagraph"/>
        </w:rPr>
        <w:t>Working Party 4A has been identified by the Conference Preparatory Meeting as the responsible ITU-R group for the stud</w:t>
      </w:r>
      <w:r w:rsidR="00BA2B7C" w:rsidRPr="008D4628">
        <w:rPr>
          <w:rStyle w:val="ECCParagraph"/>
        </w:rPr>
        <w:t>ies on WRC-15 Agenda item 9.1, i</w:t>
      </w:r>
      <w:r w:rsidRPr="008D4628">
        <w:rPr>
          <w:rStyle w:val="ECCParagraph"/>
        </w:rPr>
        <w:t>ssue 9.1.3. At the first meeting, the group sent liaison statements to gather technical characteristics and protection criteria needed to perform the appropriate sharing studies with existing services. WP 4A also established work plans for the studies as well as for the development of the draft CPM text and started the development of working documents.</w:t>
      </w:r>
    </w:p>
    <w:p w14:paraId="1614580E" w14:textId="77777777" w:rsidR="000457A7" w:rsidRPr="008D4628" w:rsidRDefault="000457A7" w:rsidP="000457A7">
      <w:pPr>
        <w:pStyle w:val="berschrift3"/>
        <w:rPr>
          <w:lang w:val="en-GB"/>
        </w:rPr>
      </w:pPr>
      <w:r w:rsidRPr="008D4628">
        <w:rPr>
          <w:lang w:val="en-GB"/>
        </w:rPr>
        <w:t>Sha</w:t>
      </w:r>
      <w:r w:rsidR="00BA2B7C" w:rsidRPr="008D4628">
        <w:rPr>
          <w:lang w:val="en-GB"/>
        </w:rPr>
        <w:t>ring with FS in the bands 3 700-</w:t>
      </w:r>
      <w:r w:rsidRPr="008D4628">
        <w:rPr>
          <w:lang w:val="en-GB"/>
        </w:rPr>
        <w:t>4 200 MHz and 5 925-6 425 MHz</w:t>
      </w:r>
    </w:p>
    <w:p w14:paraId="1614580F" w14:textId="77777777" w:rsidR="000457A7" w:rsidRPr="008D4628" w:rsidRDefault="00BA2B7C" w:rsidP="000457A7">
      <w:r w:rsidRPr="008D4628">
        <w:t>[</w:t>
      </w:r>
      <w:r w:rsidR="000457A7" w:rsidRPr="008D4628">
        <w:t>TBD</w:t>
      </w:r>
      <w:r w:rsidRPr="008D4628">
        <w:t>]</w:t>
      </w:r>
    </w:p>
    <w:p w14:paraId="16145810" w14:textId="77777777" w:rsidR="000457A7" w:rsidRPr="008D4628" w:rsidRDefault="000457A7" w:rsidP="000457A7">
      <w:pPr>
        <w:pStyle w:val="berschrift3"/>
        <w:rPr>
          <w:lang w:val="en-GB"/>
        </w:rPr>
      </w:pPr>
      <w:r w:rsidRPr="008D4628">
        <w:rPr>
          <w:lang w:val="en-GB"/>
        </w:rPr>
        <w:t>Shari</w:t>
      </w:r>
      <w:r w:rsidR="00BA2B7C" w:rsidRPr="008D4628">
        <w:rPr>
          <w:lang w:val="en-GB"/>
        </w:rPr>
        <w:t>ng with MS in the bands 3 700-</w:t>
      </w:r>
      <w:r w:rsidRPr="008D4628">
        <w:rPr>
          <w:lang w:val="en-GB"/>
        </w:rPr>
        <w:t>4 200 MHz and 5 925-6 425 MHz</w:t>
      </w:r>
    </w:p>
    <w:p w14:paraId="16145811" w14:textId="77777777" w:rsidR="000457A7" w:rsidRPr="008D4628" w:rsidRDefault="000457A7" w:rsidP="000457A7">
      <w:pPr>
        <w:rPr>
          <w:rStyle w:val="ECCParagraph"/>
        </w:rPr>
      </w:pPr>
      <w:r w:rsidRPr="008D4628">
        <w:rPr>
          <w:rStyle w:val="ECCParagraph"/>
        </w:rPr>
        <w:t xml:space="preserve">It should be noted that in accordance with resolves a) of the </w:t>
      </w:r>
      <w:r w:rsidRPr="008D4628">
        <w:rPr>
          <w:rStyle w:val="ECCHLbold"/>
        </w:rPr>
        <w:t>Resolution 157 (WRC</w:t>
      </w:r>
      <w:r w:rsidRPr="008D4628">
        <w:rPr>
          <w:rStyle w:val="ECCHLbold"/>
        </w:rPr>
        <w:noBreakHyphen/>
        <w:t>15)</w:t>
      </w:r>
      <w:r w:rsidRPr="008D4628">
        <w:rPr>
          <w:rStyle w:val="ECCParagraph"/>
        </w:rPr>
        <w:t xml:space="preserve"> possible revision of Article </w:t>
      </w:r>
      <w:r w:rsidRPr="008D4628">
        <w:rPr>
          <w:rStyle w:val="ECCHLbold"/>
        </w:rPr>
        <w:t>21</w:t>
      </w:r>
      <w:r w:rsidRPr="008D4628">
        <w:rPr>
          <w:rStyle w:val="ECCParagraph"/>
        </w:rPr>
        <w:t xml:space="preserve">, Table </w:t>
      </w:r>
      <w:r w:rsidRPr="008D4628">
        <w:rPr>
          <w:rStyle w:val="ECCHLbold"/>
        </w:rPr>
        <w:t>21-4</w:t>
      </w:r>
      <w:r w:rsidRPr="008D4628">
        <w:rPr>
          <w:rStyle w:val="ECCParagraph"/>
        </w:rPr>
        <w:t xml:space="preserve"> in the frequency band 3 700-4 200 MHz (space-to-Earth) should ensure the protection of the existing primary services.</w:t>
      </w:r>
    </w:p>
    <w:p w14:paraId="16145812" w14:textId="77777777" w:rsidR="000457A7" w:rsidRPr="008D4628" w:rsidRDefault="000457A7" w:rsidP="000457A7">
      <w:pPr>
        <w:pStyle w:val="berschrift3"/>
        <w:rPr>
          <w:lang w:val="en-GB"/>
        </w:rPr>
      </w:pPr>
      <w:r w:rsidRPr="008D4628">
        <w:rPr>
          <w:lang w:val="en-GB"/>
        </w:rPr>
        <w:t>Shar</w:t>
      </w:r>
      <w:r w:rsidR="00BA2B7C" w:rsidRPr="008D4628">
        <w:rPr>
          <w:lang w:val="en-GB"/>
        </w:rPr>
        <w:t>ing with FSS in the bands 3 700</w:t>
      </w:r>
      <w:r w:rsidR="00B855E1" w:rsidRPr="008D4628">
        <w:rPr>
          <w:lang w:val="en-GB"/>
        </w:rPr>
        <w:t>-</w:t>
      </w:r>
      <w:r w:rsidRPr="008D4628">
        <w:rPr>
          <w:lang w:val="en-GB"/>
        </w:rPr>
        <w:t>4 200 MHz and 5 925-6 425 MHz</w:t>
      </w:r>
    </w:p>
    <w:p w14:paraId="16145813" w14:textId="77777777" w:rsidR="000457A7" w:rsidRPr="008D4628" w:rsidRDefault="000457A7" w:rsidP="00BA2B7C">
      <w:pPr>
        <w:pStyle w:val="ECCBreak"/>
        <w:rPr>
          <w:rStyle w:val="ECCParagraph"/>
        </w:rPr>
      </w:pPr>
      <w:r w:rsidRPr="008D4628">
        <w:rPr>
          <w:rStyle w:val="ECCParagraph"/>
        </w:rPr>
        <w:t xml:space="preserve">Sharing with GSO FSS </w:t>
      </w:r>
    </w:p>
    <w:p w14:paraId="16145814" w14:textId="77777777" w:rsidR="00D917EE" w:rsidRPr="008D4628" w:rsidRDefault="00930464" w:rsidP="008E1923">
      <w:r w:rsidRPr="008D4628">
        <w:t>One study (see Annex 17</w:t>
      </w:r>
      <w:r w:rsidR="009E31A9" w:rsidRPr="008D4628">
        <w:t xml:space="preserve"> to Document 4A/364) indicated</w:t>
      </w:r>
      <w:r w:rsidRPr="008D4628">
        <w:t xml:space="preserve"> that </w:t>
      </w:r>
      <w:r w:rsidR="009E31A9" w:rsidRPr="008D4628">
        <w:t xml:space="preserve">operations of a </w:t>
      </w:r>
      <w:r w:rsidRPr="008D4628">
        <w:t xml:space="preserve">circular-orbit non-GSO FSS </w:t>
      </w:r>
      <w:r w:rsidR="009E31A9" w:rsidRPr="008D4628">
        <w:t xml:space="preserve">system </w:t>
      </w:r>
      <w:r w:rsidR="00A95BEE" w:rsidRPr="008D4628">
        <w:t xml:space="preserve">intended to provide </w:t>
      </w:r>
      <w:r w:rsidR="009E31A9" w:rsidRPr="008D4628">
        <w:t xml:space="preserve">global broadband </w:t>
      </w:r>
      <w:r w:rsidR="00A95BEE" w:rsidRPr="008D4628">
        <w:t>services</w:t>
      </w:r>
      <w:r w:rsidR="009E31A9" w:rsidRPr="008D4628">
        <w:t xml:space="preserve"> </w:t>
      </w:r>
      <w:r w:rsidRPr="008D4628">
        <w:t xml:space="preserve">in the 6/4 GHz band could result in large exceedances as much as 40 dB of the GSO protection criteria and concluded that it would be very difficult to operate </w:t>
      </w:r>
      <w:r w:rsidR="00A95BEE" w:rsidRPr="008D4628">
        <w:t>a system for such purposes</w:t>
      </w:r>
      <w:r w:rsidR="009E31A9" w:rsidRPr="008D4628">
        <w:t>.</w:t>
      </w:r>
      <w:r w:rsidRPr="008D4628">
        <w:t xml:space="preserve"> The application of mitigation techniques considered in the study did little to prevent the exceedance of the protection criteria.</w:t>
      </w:r>
      <w:r w:rsidR="001F2F75" w:rsidRPr="008D4628">
        <w:t xml:space="preserve"> </w:t>
      </w:r>
      <w:r w:rsidR="008E1923" w:rsidRPr="008D4628">
        <w:t xml:space="preserve">Another study </w:t>
      </w:r>
      <w:r w:rsidR="001E11E5" w:rsidRPr="008D4628">
        <w:t xml:space="preserve">(Document 4A/487) </w:t>
      </w:r>
      <w:r w:rsidR="008E1923" w:rsidRPr="008D4628">
        <w:t>presented to WP</w:t>
      </w:r>
      <w:r w:rsidR="00F34E91" w:rsidRPr="008D4628">
        <w:t xml:space="preserve"> </w:t>
      </w:r>
      <w:r w:rsidR="008E1923" w:rsidRPr="008D4628">
        <w:t xml:space="preserve">4A </w:t>
      </w:r>
      <w:r w:rsidR="00152CCD" w:rsidRPr="008D4628">
        <w:t>suggested</w:t>
      </w:r>
      <w:r w:rsidR="00CC2386" w:rsidRPr="008D4628">
        <w:t xml:space="preserve"> a regulatory approach by which the current limits of Article 21 and 22</w:t>
      </w:r>
      <w:r w:rsidR="00C2668D" w:rsidRPr="008D4628">
        <w:t>, which are specifi</w:t>
      </w:r>
      <w:r w:rsidR="00CC2386" w:rsidRPr="008D4628">
        <w:t>ed as single-entry values</w:t>
      </w:r>
      <w:r w:rsidR="00152CCD" w:rsidRPr="008D4628">
        <w:t>,</w:t>
      </w:r>
      <w:r w:rsidR="00F0001D" w:rsidRPr="008D4628">
        <w:t xml:space="preserve"> would not be reviewed as such</w:t>
      </w:r>
      <w:r w:rsidR="00CC2386" w:rsidRPr="008D4628">
        <w:t xml:space="preserve">. </w:t>
      </w:r>
      <w:r w:rsidR="00F0001D" w:rsidRPr="008D4628">
        <w:t>Rather, t</w:t>
      </w:r>
      <w:r w:rsidR="00CC2386" w:rsidRPr="008D4628">
        <w:t xml:space="preserve">his approach would </w:t>
      </w:r>
      <w:r w:rsidR="008E1923" w:rsidRPr="008D4628">
        <w:t>envisage the establishment of</w:t>
      </w:r>
      <w:r w:rsidR="00CC2386" w:rsidRPr="008D4628">
        <w:t xml:space="preserve"> corresponding</w:t>
      </w:r>
      <w:r w:rsidR="008E1923" w:rsidRPr="008D4628">
        <w:t xml:space="preserve"> aggregate </w:t>
      </w:r>
      <w:proofErr w:type="spellStart"/>
      <w:r w:rsidR="008E1923" w:rsidRPr="008D4628">
        <w:t>epfd</w:t>
      </w:r>
      <w:proofErr w:type="spellEnd"/>
      <w:r w:rsidR="008E1923" w:rsidRPr="008D4628">
        <w:t xml:space="preserve"> limits</w:t>
      </w:r>
      <w:r w:rsidR="00152CCD" w:rsidRPr="008D4628">
        <w:t xml:space="preserve"> to be collectively </w:t>
      </w:r>
      <w:r w:rsidR="00AD041B" w:rsidRPr="008D4628">
        <w:t>met</w:t>
      </w:r>
      <w:r w:rsidR="00152CCD" w:rsidRPr="008D4628">
        <w:t xml:space="preserve"> </w:t>
      </w:r>
      <w:r w:rsidR="00AD041B" w:rsidRPr="008D4628">
        <w:t>by</w:t>
      </w:r>
      <w:r w:rsidR="00152CCD" w:rsidRPr="008D4628">
        <w:t xml:space="preserve"> the non-GSO FSS network operators and</w:t>
      </w:r>
      <w:r w:rsidR="00CC2386" w:rsidRPr="008D4628">
        <w:t xml:space="preserve"> which would be </w:t>
      </w:r>
      <w:r w:rsidR="008E1923" w:rsidRPr="008D4628">
        <w:t>verifie</w:t>
      </w:r>
      <w:r w:rsidR="00CC2386" w:rsidRPr="008D4628">
        <w:t>d through</w:t>
      </w:r>
      <w:r w:rsidR="00BB7C79" w:rsidRPr="008D4628">
        <w:t xml:space="preserve"> </w:t>
      </w:r>
      <w:r w:rsidR="00CC2386" w:rsidRPr="008D4628">
        <w:t>multilateral meetings.</w:t>
      </w:r>
    </w:p>
    <w:p w14:paraId="16145815" w14:textId="77777777" w:rsidR="008E1923" w:rsidRPr="008D4628" w:rsidRDefault="001E11E5" w:rsidP="008E1923">
      <w:pPr>
        <w:rPr>
          <w:rStyle w:val="ECCParagraph"/>
        </w:rPr>
      </w:pPr>
      <w:r w:rsidRPr="008D4628">
        <w:rPr>
          <w:rStyle w:val="ECCParagraph"/>
        </w:rPr>
        <w:t>The latter study on the regulatory approach was not discussed in substance at the WP</w:t>
      </w:r>
      <w:r w:rsidR="00F34E91" w:rsidRPr="008D4628">
        <w:rPr>
          <w:rStyle w:val="ECCParagraph"/>
        </w:rPr>
        <w:t xml:space="preserve"> </w:t>
      </w:r>
      <w:r w:rsidRPr="008D4628">
        <w:rPr>
          <w:rStyle w:val="ECCParagraph"/>
        </w:rPr>
        <w:t>4A meeting of 17 - 27 October 2017</w:t>
      </w:r>
      <w:r w:rsidR="002A0E07" w:rsidRPr="008D4628">
        <w:rPr>
          <w:rStyle w:val="ECCParagraph"/>
        </w:rPr>
        <w:t>. I</w:t>
      </w:r>
      <w:r w:rsidRPr="008D4628">
        <w:rPr>
          <w:rStyle w:val="ECCParagraph"/>
        </w:rPr>
        <w:t>t</w:t>
      </w:r>
      <w:r w:rsidR="00D917EE" w:rsidRPr="008D4628">
        <w:rPr>
          <w:rStyle w:val="ECCParagraph"/>
        </w:rPr>
        <w:t xml:space="preserve"> </w:t>
      </w:r>
      <w:r w:rsidR="002A0E07" w:rsidRPr="008D4628">
        <w:rPr>
          <w:rStyle w:val="ECCParagraph"/>
        </w:rPr>
        <w:t>considered</w:t>
      </w:r>
      <w:r w:rsidR="00D917EE" w:rsidRPr="008D4628">
        <w:rPr>
          <w:rStyle w:val="ECCParagraph"/>
        </w:rPr>
        <w:t xml:space="preserve"> </w:t>
      </w:r>
      <w:r w:rsidRPr="008D4628">
        <w:rPr>
          <w:rStyle w:val="ECCParagraph"/>
        </w:rPr>
        <w:t>that further studies would be required to demonstrate the feasibility</w:t>
      </w:r>
      <w:r w:rsidR="002A0E07" w:rsidRPr="008D4628">
        <w:rPr>
          <w:rStyle w:val="ECCParagraph"/>
        </w:rPr>
        <w:t xml:space="preserve"> of the </w:t>
      </w:r>
      <w:r w:rsidR="006D193F" w:rsidRPr="008D4628">
        <w:rPr>
          <w:rStyle w:val="ECCParagraph"/>
        </w:rPr>
        <w:t>non- GSO</w:t>
      </w:r>
      <w:r w:rsidR="002A0E07" w:rsidRPr="008D4628">
        <w:rPr>
          <w:rStyle w:val="ECCParagraph"/>
        </w:rPr>
        <w:t xml:space="preserve"> systems being able to take advantage</w:t>
      </w:r>
      <w:r w:rsidRPr="008D4628">
        <w:rPr>
          <w:rStyle w:val="ECCParagraph"/>
        </w:rPr>
        <w:t xml:space="preserve"> of th</w:t>
      </w:r>
      <w:r w:rsidR="002A0E07" w:rsidRPr="008D4628">
        <w:rPr>
          <w:rStyle w:val="ECCParagraph"/>
        </w:rPr>
        <w:t>is</w:t>
      </w:r>
      <w:r w:rsidRPr="008D4628">
        <w:rPr>
          <w:rStyle w:val="ECCParagraph"/>
        </w:rPr>
        <w:t xml:space="preserve"> approach</w:t>
      </w:r>
      <w:r w:rsidR="002A0E07" w:rsidRPr="008D4628">
        <w:rPr>
          <w:rStyle w:val="ECCParagraph"/>
        </w:rPr>
        <w:t>.</w:t>
      </w:r>
    </w:p>
    <w:p w14:paraId="16145816" w14:textId="77777777" w:rsidR="00091C3A" w:rsidRPr="008D4628" w:rsidRDefault="00091C3A" w:rsidP="00091C3A">
      <w:r w:rsidRPr="008D4628">
        <w:rPr>
          <w:rStyle w:val="ECCParagraph"/>
        </w:rPr>
        <w:t>At the WP</w:t>
      </w:r>
      <w:r w:rsidR="001F2F75" w:rsidRPr="008D4628">
        <w:t xml:space="preserve"> </w:t>
      </w:r>
      <w:r w:rsidRPr="008D4628">
        <w:rPr>
          <w:rStyle w:val="ECCParagraph"/>
        </w:rPr>
        <w:t>4A meeting of 13 February - 2 March 2018, s</w:t>
      </w:r>
      <w:r w:rsidRPr="008D4628">
        <w:t xml:space="preserve">ome administrations expressed the view that further studies are needed on whether the transformation of the compliance with the single entry </w:t>
      </w:r>
      <w:proofErr w:type="spellStart"/>
      <w:r w:rsidR="001F2F75" w:rsidRPr="008D4628">
        <w:t>epfd</w:t>
      </w:r>
      <w:proofErr w:type="spellEnd"/>
      <w:r w:rsidRPr="008D4628">
        <w:t xml:space="preserve"> limits into a </w:t>
      </w:r>
      <w:r w:rsidRPr="008D4628">
        <w:lastRenderedPageBreak/>
        <w:t xml:space="preserve">compliance with aggregate of </w:t>
      </w:r>
      <w:proofErr w:type="spellStart"/>
      <w:r w:rsidR="001F2F75" w:rsidRPr="008D4628">
        <w:t>epfd</w:t>
      </w:r>
      <w:proofErr w:type="spellEnd"/>
      <w:r w:rsidRPr="008D4628">
        <w:t xml:space="preserve"> limits (the aggregate values would be 8.5 dB higher than single entry levels) is workable to protect GSO satellite networks.</w:t>
      </w:r>
    </w:p>
    <w:p w14:paraId="16145817" w14:textId="77777777" w:rsidR="00091C3A" w:rsidRDefault="00091C3A" w:rsidP="008E1923">
      <w:r w:rsidRPr="008D4628">
        <w:t xml:space="preserve">It was also expressed by some administrations </w:t>
      </w:r>
      <w:r w:rsidR="002172DC">
        <w:t xml:space="preserve">at </w:t>
      </w:r>
      <w:r w:rsidR="00A369B7">
        <w:t>t</w:t>
      </w:r>
      <w:r w:rsidR="002172DC">
        <w:t xml:space="preserve">his meeting </w:t>
      </w:r>
      <w:r w:rsidRPr="008D4628">
        <w:t xml:space="preserve">that it is not clear how the resulted interference could adequately protect the services to which the bands are currently allocated. To respond on this, some other administrations explained that the services to which the bands are currently allocated would be equally protected as they are now in that the current limits in Article 22 are basis for deriving </w:t>
      </w:r>
      <w:proofErr w:type="spellStart"/>
      <w:r w:rsidR="001F2F75" w:rsidRPr="008D4628">
        <w:t>epfd</w:t>
      </w:r>
      <w:proofErr w:type="spellEnd"/>
      <w:r w:rsidR="001F2F75" w:rsidRPr="008D4628">
        <w:t xml:space="preserve"> </w:t>
      </w:r>
      <w:r w:rsidRPr="008D4628">
        <w:t>limits as per the study.</w:t>
      </w:r>
    </w:p>
    <w:p w14:paraId="16145818" w14:textId="77777777" w:rsidR="00A3653B" w:rsidRDefault="00A3653B" w:rsidP="008E1923">
      <w:r>
        <w:t xml:space="preserve">The WP4A meeting of 3-14 July 2018 produced draft CPM text (Annex </w:t>
      </w:r>
      <w:r w:rsidRPr="00F403FC">
        <w:t>44 to Document 4A/</w:t>
      </w:r>
      <w:r>
        <w:t>826)</w:t>
      </w:r>
      <w:r w:rsidRPr="00F403FC">
        <w:t xml:space="preserve"> </w:t>
      </w:r>
      <w:r>
        <w:t>which reflects a reduction in the number of options to satisfy the agenda item.  The draft CPM text summarises two studies.</w:t>
      </w:r>
      <w:r w:rsidRPr="00A3653B">
        <w:t xml:space="preserve"> </w:t>
      </w:r>
      <w:r>
        <w:t xml:space="preserve"> </w:t>
      </w:r>
      <w:r w:rsidRPr="00ED38CD">
        <w:t xml:space="preserve">One study indicates that circular-orbit non-GSO FSS </w:t>
      </w:r>
      <w:r>
        <w:t xml:space="preserve">systems </w:t>
      </w:r>
      <w:r w:rsidRPr="00ED38CD">
        <w:t>could result in large exceedances of the GSO protection criteria and conclude</w:t>
      </w:r>
      <w:r>
        <w:t>s</w:t>
      </w:r>
      <w:r w:rsidRPr="00ED38CD">
        <w:t xml:space="preserve"> that it would be very difficult to operate a non-GSO circular-orbit system for the purposes of a global broadband network in the 6/4 GHz frequency bands.</w:t>
      </w:r>
      <w:r>
        <w:t xml:space="preserve"> A s</w:t>
      </w:r>
      <w:r w:rsidRPr="00ED38CD">
        <w:t xml:space="preserve">econd study offers to establish coordination procedure between non-GSO FSS systems under RR No. </w:t>
      </w:r>
      <w:r w:rsidRPr="002172DC">
        <w:t>9.12</w:t>
      </w:r>
      <w:r w:rsidRPr="00ED38CD">
        <w:t xml:space="preserve">. This study finds that there is no need to review the values of the existing limits presented in Article </w:t>
      </w:r>
      <w:r w:rsidRPr="002172DC">
        <w:t>22</w:t>
      </w:r>
      <w:r w:rsidRPr="00ED38CD">
        <w:t xml:space="preserve"> </w:t>
      </w:r>
      <w:r>
        <w:t>(</w:t>
      </w:r>
      <w:proofErr w:type="spellStart"/>
      <w:r w:rsidRPr="00ED38CD">
        <w:t>epfd</w:t>
      </w:r>
      <w:proofErr w:type="spellEnd"/>
      <w:r>
        <w:t>)</w:t>
      </w:r>
      <w:r w:rsidRPr="00ED38CD">
        <w:t xml:space="preserve"> and Article </w:t>
      </w:r>
      <w:r w:rsidRPr="002172DC">
        <w:t>21</w:t>
      </w:r>
      <w:r w:rsidRPr="00ED38CD">
        <w:t xml:space="preserve"> </w:t>
      </w:r>
      <w:r>
        <w:t>(</w:t>
      </w:r>
      <w:proofErr w:type="spellStart"/>
      <w:r w:rsidRPr="00ED38CD">
        <w:t>pfd</w:t>
      </w:r>
      <w:proofErr w:type="spellEnd"/>
      <w:r>
        <w:t>)</w:t>
      </w:r>
      <w:r w:rsidRPr="00ED38CD">
        <w:t xml:space="preserve"> of the Radio Regulations for the 3 700-4 200 MHz, 4 500-4 800 MHz, 5 925-6 425 MHz, and 6 725-7 025 MHz frequency</w:t>
      </w:r>
      <w:r w:rsidRPr="002172DC">
        <w:t xml:space="preserve"> </w:t>
      </w:r>
      <w:r w:rsidRPr="00ED38CD">
        <w:t>bands.</w:t>
      </w:r>
      <w:r>
        <w:t xml:space="preserve">  </w:t>
      </w:r>
    </w:p>
    <w:p w14:paraId="16145819" w14:textId="77777777" w:rsidR="000457A7" w:rsidRPr="008D4628" w:rsidRDefault="000457A7" w:rsidP="00BA2B7C">
      <w:pPr>
        <w:pStyle w:val="ECCBreak"/>
        <w:rPr>
          <w:rStyle w:val="ECCParagraph"/>
        </w:rPr>
      </w:pPr>
      <w:r w:rsidRPr="008D4628">
        <w:rPr>
          <w:rStyle w:val="ECCParagraph"/>
        </w:rPr>
        <w:t xml:space="preserve">Sharing with </w:t>
      </w:r>
      <w:r w:rsidR="006D193F" w:rsidRPr="008D4628">
        <w:rPr>
          <w:rStyle w:val="ECCParagraph"/>
        </w:rPr>
        <w:t>non- GSO</w:t>
      </w:r>
      <w:r w:rsidRPr="008D4628">
        <w:rPr>
          <w:rStyle w:val="ECCParagraph"/>
        </w:rPr>
        <w:t xml:space="preserve"> FSS </w:t>
      </w:r>
    </w:p>
    <w:p w14:paraId="1614581A" w14:textId="77777777" w:rsidR="000457A7" w:rsidRPr="008D4628" w:rsidRDefault="000457A7" w:rsidP="000457A7">
      <w:pPr>
        <w:rPr>
          <w:rStyle w:val="ECCParagraph"/>
        </w:rPr>
      </w:pPr>
      <w:r w:rsidRPr="008D4628">
        <w:rPr>
          <w:rStyle w:val="ECCParagraph"/>
        </w:rPr>
        <w:t>In the frequency bands 3</w:t>
      </w:r>
      <w:r w:rsidR="00BA2B7C" w:rsidRPr="008D4628">
        <w:rPr>
          <w:rStyle w:val="ECCParagraph"/>
        </w:rPr>
        <w:t xml:space="preserve"> </w:t>
      </w:r>
      <w:r w:rsidRPr="008D4628">
        <w:rPr>
          <w:rStyle w:val="ECCParagraph"/>
        </w:rPr>
        <w:t>700-4</w:t>
      </w:r>
      <w:r w:rsidR="00BA2B7C" w:rsidRPr="008D4628">
        <w:rPr>
          <w:rStyle w:val="ECCParagraph"/>
        </w:rPr>
        <w:t xml:space="preserve"> </w:t>
      </w:r>
      <w:r w:rsidRPr="008D4628">
        <w:rPr>
          <w:rStyle w:val="ECCParagraph"/>
        </w:rPr>
        <w:t>200 MHz and 5</w:t>
      </w:r>
      <w:r w:rsidR="00BA2B7C" w:rsidRPr="008D4628">
        <w:rPr>
          <w:rStyle w:val="ECCParagraph"/>
        </w:rPr>
        <w:t xml:space="preserve"> </w:t>
      </w:r>
      <w:r w:rsidRPr="008D4628">
        <w:rPr>
          <w:rStyle w:val="ECCParagraph"/>
        </w:rPr>
        <w:t>925-6</w:t>
      </w:r>
      <w:r w:rsidR="00BA2B7C" w:rsidRPr="008D4628">
        <w:rPr>
          <w:rStyle w:val="ECCParagraph"/>
        </w:rPr>
        <w:t xml:space="preserve"> </w:t>
      </w:r>
      <w:r w:rsidRPr="008D4628">
        <w:rPr>
          <w:rStyle w:val="ECCParagraph"/>
        </w:rPr>
        <w:t xml:space="preserve">425 MHz there are no coordination procedures on operation of the non-GSO FSS systems in the case of sharing with other services. The hard limits are intended to protect the GSO FSS and terrestrial services. </w:t>
      </w:r>
    </w:p>
    <w:p w14:paraId="1614581B" w14:textId="77777777" w:rsidR="000457A7" w:rsidRPr="008D4628" w:rsidRDefault="000457A7" w:rsidP="000457A7">
      <w:pPr>
        <w:rPr>
          <w:rStyle w:val="ECCParagraph"/>
        </w:rPr>
      </w:pPr>
      <w:r w:rsidRPr="008D4628">
        <w:rPr>
          <w:rStyle w:val="ECCParagraph"/>
        </w:rPr>
        <w:t>There are no regulatory procedures for shared operation of non-GSO FSS systems in the considered bands.</w:t>
      </w:r>
    </w:p>
    <w:p w14:paraId="1614581C" w14:textId="77777777" w:rsidR="000457A7" w:rsidRPr="008D4628" w:rsidRDefault="000457A7" w:rsidP="000457A7">
      <w:pPr>
        <w:rPr>
          <w:rStyle w:val="ECCParagraph"/>
        </w:rPr>
      </w:pPr>
      <w:r w:rsidRPr="008D4628">
        <w:rPr>
          <w:rStyle w:val="ECCParagraph"/>
        </w:rPr>
        <w:t>Regarding the protection of the HEO systems, direct simulation of the two systems (a victim HEO system and interfered new LEO system with a circular orbit) is one of the approaches to estimate compatibility and the operational limits for such compatibility.</w:t>
      </w:r>
    </w:p>
    <w:p w14:paraId="1614581D" w14:textId="77777777" w:rsidR="000457A7" w:rsidRPr="008D4628" w:rsidRDefault="000457A7" w:rsidP="000457A7">
      <w:pPr>
        <w:rPr>
          <w:rStyle w:val="ECCParagraph"/>
        </w:rPr>
      </w:pPr>
      <w:r w:rsidRPr="008D4628">
        <w:rPr>
          <w:rStyle w:val="ECCParagraph"/>
        </w:rPr>
        <w:t xml:space="preserve">However, for a number of objective reasons this approach cannot be applied by </w:t>
      </w:r>
      <w:r w:rsidR="00F34E91" w:rsidRPr="008D4628">
        <w:rPr>
          <w:rStyle w:val="ECCParagraph"/>
        </w:rPr>
        <w:t xml:space="preserve">the </w:t>
      </w:r>
      <w:r w:rsidRPr="008D4628">
        <w:rPr>
          <w:rStyle w:val="ECCParagraph"/>
        </w:rPr>
        <w:t>Bureau at the stage of the filing examination.</w:t>
      </w:r>
    </w:p>
    <w:p w14:paraId="1614581E" w14:textId="77777777" w:rsidR="000457A7" w:rsidRPr="008D4628" w:rsidRDefault="000457A7" w:rsidP="000457A7">
      <w:pPr>
        <w:rPr>
          <w:rStyle w:val="ECCParagraph"/>
        </w:rPr>
      </w:pPr>
      <w:r w:rsidRPr="008D4628">
        <w:rPr>
          <w:rStyle w:val="ECCParagraph"/>
        </w:rPr>
        <w:t>At the same time, such an approach can be applied</w:t>
      </w:r>
      <w:r w:rsidR="003B7598" w:rsidRPr="008D4628">
        <w:rPr>
          <w:rStyle w:val="ECCParagraph"/>
        </w:rPr>
        <w:t xml:space="preserve"> for coordination subject to No</w:t>
      </w:r>
      <w:r w:rsidRPr="008D4628">
        <w:rPr>
          <w:rStyle w:val="ECCParagraph"/>
        </w:rPr>
        <w:t xml:space="preserve"> </w:t>
      </w:r>
      <w:r w:rsidRPr="008D4628">
        <w:rPr>
          <w:rStyle w:val="ECCHLbold"/>
        </w:rPr>
        <w:t>9.12</w:t>
      </w:r>
      <w:r w:rsidRPr="008D4628">
        <w:rPr>
          <w:rStyle w:val="ECCParagraph"/>
        </w:rPr>
        <w:t>. In this case, Administrations can provide the detailed chara</w:t>
      </w:r>
      <w:r w:rsidR="00E36929" w:rsidRPr="008D4628">
        <w:rPr>
          <w:rStyle w:val="ECCParagraph"/>
        </w:rPr>
        <w:t xml:space="preserve">cteristics of the systems, and </w:t>
      </w:r>
      <w:r w:rsidRPr="008D4628">
        <w:rPr>
          <w:rStyle w:val="ECCParagraph"/>
        </w:rPr>
        <w:t>conduct joint calculations.</w:t>
      </w:r>
    </w:p>
    <w:p w14:paraId="1614581F" w14:textId="77777777" w:rsidR="000457A7" w:rsidRPr="008D4628" w:rsidRDefault="000457A7" w:rsidP="000457A7">
      <w:pPr>
        <w:rPr>
          <w:rStyle w:val="ECCParagraph"/>
        </w:rPr>
      </w:pPr>
      <w:r w:rsidRPr="008D4628">
        <w:rPr>
          <w:rStyle w:val="ECCParagraph"/>
        </w:rPr>
        <w:t>However, the studies carried out in ITU-R (WRC-2000) have shown that there are no coordination criteria and protection mitigation techniques between non-GSO FSS systems with high elliptical and circular orbits.</w:t>
      </w:r>
    </w:p>
    <w:p w14:paraId="16145820" w14:textId="77777777" w:rsidR="000457A7" w:rsidRPr="008D4628" w:rsidRDefault="000457A7" w:rsidP="000457A7">
      <w:pPr>
        <w:rPr>
          <w:rStyle w:val="ECCParagraph"/>
        </w:rPr>
      </w:pPr>
      <w:r w:rsidRPr="008D4628">
        <w:rPr>
          <w:rStyle w:val="ECCParagraph"/>
        </w:rPr>
        <w:t>Therefore, during the current study period it is required to define the approaches for providing shared operation, to determine the coordination criteria and interference mitigation technics for the non-GSO FSS systems to ensure that non-GSO FSS systems with highly-elliptical orbits will be protected.</w:t>
      </w:r>
    </w:p>
    <w:p w14:paraId="16145821" w14:textId="77777777" w:rsidR="00091C3A" w:rsidRPr="008D4628" w:rsidRDefault="00091C3A" w:rsidP="000457A7">
      <w:pPr>
        <w:rPr>
          <w:rStyle w:val="ECCParagraph"/>
        </w:rPr>
      </w:pPr>
      <w:r w:rsidRPr="008D4628">
        <w:rPr>
          <w:rStyle w:val="ECCParagraph"/>
        </w:rPr>
        <w:t>At the WP</w:t>
      </w:r>
      <w:r w:rsidR="001F2F75" w:rsidRPr="008D4628">
        <w:rPr>
          <w:rStyle w:val="ECCParagraph"/>
        </w:rPr>
        <w:t xml:space="preserve"> </w:t>
      </w:r>
      <w:r w:rsidRPr="008D4628">
        <w:rPr>
          <w:rStyle w:val="ECCParagraph"/>
        </w:rPr>
        <w:t xml:space="preserve">4A meeting of 13 February - 2 March 2018, one </w:t>
      </w:r>
      <w:r w:rsidRPr="008D4628">
        <w:t xml:space="preserve">study (document 4A/569) suggested to establish coordination procedure in the frequency bands 3 700−4 200 MHz and 5 925−6 425 MHz between non-GSO FSS systems under RR No. 9.12. This study finds that there is no need to review the values of the existing limits presented in Article 22 </w:t>
      </w:r>
      <w:proofErr w:type="spellStart"/>
      <w:r w:rsidRPr="008D4628">
        <w:t>epfd</w:t>
      </w:r>
      <w:proofErr w:type="spellEnd"/>
      <w:r w:rsidRPr="008D4628">
        <w:t xml:space="preserve"> and Article 21 </w:t>
      </w:r>
      <w:proofErr w:type="spellStart"/>
      <w:r w:rsidRPr="008D4628">
        <w:t>pfd</w:t>
      </w:r>
      <w:proofErr w:type="spellEnd"/>
      <w:r w:rsidRPr="008D4628">
        <w:t xml:space="preserve"> of the Radio Regulations for the 3 700</w:t>
      </w:r>
      <w:r w:rsidRPr="008D4628">
        <w:noBreakHyphen/>
        <w:t>4 200 MHz, 4 500-4 800 MHz, 5 925-6 425 MHz, and 6 725-7 025 MHz frequency bands.</w:t>
      </w:r>
    </w:p>
    <w:p w14:paraId="16145822" w14:textId="77777777" w:rsidR="000457A7" w:rsidRPr="008D4628" w:rsidRDefault="000457A7" w:rsidP="000457A7">
      <w:pPr>
        <w:pStyle w:val="berschrift3"/>
        <w:rPr>
          <w:lang w:val="en-GB"/>
        </w:rPr>
      </w:pPr>
      <w:r w:rsidRPr="008D4628">
        <w:rPr>
          <w:lang w:val="en-GB"/>
        </w:rPr>
        <w:t>Shari</w:t>
      </w:r>
      <w:r w:rsidR="00BA2B7C" w:rsidRPr="008D4628">
        <w:rPr>
          <w:lang w:val="en-GB"/>
        </w:rPr>
        <w:t>ng with FS in the bands 4 500-</w:t>
      </w:r>
      <w:r w:rsidRPr="008D4628">
        <w:rPr>
          <w:lang w:val="en-GB"/>
        </w:rPr>
        <w:t>4 800 MHz and 6 725-7 025 MHz</w:t>
      </w:r>
    </w:p>
    <w:p w14:paraId="16145823" w14:textId="77777777" w:rsidR="000457A7" w:rsidRPr="008D4628" w:rsidRDefault="003B7598" w:rsidP="000457A7">
      <w:r w:rsidRPr="008D4628">
        <w:t>[</w:t>
      </w:r>
      <w:r w:rsidR="000457A7" w:rsidRPr="008D4628">
        <w:t>TBD</w:t>
      </w:r>
      <w:r w:rsidRPr="008D4628">
        <w:t>]</w:t>
      </w:r>
    </w:p>
    <w:p w14:paraId="16145824" w14:textId="77777777" w:rsidR="000457A7" w:rsidRPr="008D4628" w:rsidRDefault="000457A7" w:rsidP="000457A7">
      <w:pPr>
        <w:pStyle w:val="berschrift3"/>
        <w:rPr>
          <w:lang w:val="en-GB"/>
        </w:rPr>
      </w:pPr>
      <w:r w:rsidRPr="008D4628">
        <w:rPr>
          <w:lang w:val="en-GB"/>
        </w:rPr>
        <w:t>Shari</w:t>
      </w:r>
      <w:r w:rsidR="00BA2B7C" w:rsidRPr="008D4628">
        <w:rPr>
          <w:lang w:val="en-GB"/>
        </w:rPr>
        <w:t>ng with MS in the bands 4 500-</w:t>
      </w:r>
      <w:r w:rsidRPr="008D4628">
        <w:rPr>
          <w:lang w:val="en-GB"/>
        </w:rPr>
        <w:t>4 800 MHz and 6 725-7 025 MHz</w:t>
      </w:r>
    </w:p>
    <w:p w14:paraId="16145825" w14:textId="77777777" w:rsidR="000457A7" w:rsidRPr="008D4628" w:rsidRDefault="003B7598" w:rsidP="000457A7">
      <w:r w:rsidRPr="008D4628">
        <w:t>[</w:t>
      </w:r>
      <w:r w:rsidR="000457A7" w:rsidRPr="008D4628">
        <w:t>TBD</w:t>
      </w:r>
      <w:r w:rsidRPr="008D4628">
        <w:t>]</w:t>
      </w:r>
    </w:p>
    <w:p w14:paraId="16145826" w14:textId="77777777" w:rsidR="000457A7" w:rsidRPr="008D4628" w:rsidRDefault="000457A7" w:rsidP="000457A7">
      <w:pPr>
        <w:pStyle w:val="berschrift3"/>
        <w:rPr>
          <w:lang w:val="en-GB"/>
        </w:rPr>
      </w:pPr>
      <w:r w:rsidRPr="008D4628">
        <w:rPr>
          <w:lang w:val="en-GB"/>
        </w:rPr>
        <w:lastRenderedPageBreak/>
        <w:t>Sharing with FSS in the bands 4 500 – 4 800 MHz and 6 725-7 025 MHz</w:t>
      </w:r>
    </w:p>
    <w:p w14:paraId="16145827" w14:textId="77777777" w:rsidR="000457A7" w:rsidRPr="008D4628" w:rsidRDefault="000457A7" w:rsidP="000457A7">
      <w:pPr>
        <w:rPr>
          <w:rStyle w:val="ECCParagraph"/>
        </w:rPr>
      </w:pPr>
      <w:r w:rsidRPr="008D4628">
        <w:rPr>
          <w:rStyle w:val="ECCParagraph"/>
        </w:rPr>
        <w:t xml:space="preserve">Sharing with FSS, the use of which is subject to the provisions of Appendix </w:t>
      </w:r>
      <w:r w:rsidRPr="008D4628">
        <w:rPr>
          <w:rStyle w:val="ECCHLbold"/>
        </w:rPr>
        <w:t>30B</w:t>
      </w:r>
    </w:p>
    <w:p w14:paraId="16145828" w14:textId="2D31C3C7" w:rsidR="000457A7" w:rsidRPr="008D4628" w:rsidRDefault="000457A7" w:rsidP="00D00487">
      <w:pPr>
        <w:pStyle w:val="ECCEditorsNote"/>
        <w:rPr>
          <w:rStyle w:val="ECCParagraph"/>
        </w:rPr>
      </w:pPr>
      <w:r w:rsidRPr="008D4628">
        <w:rPr>
          <w:rStyle w:val="ECCParagraph"/>
        </w:rPr>
        <w:t>It shoul</w:t>
      </w:r>
      <w:r w:rsidR="000B290B" w:rsidRPr="008D4628">
        <w:rPr>
          <w:rStyle w:val="ECCParagraph"/>
        </w:rPr>
        <w:t>d be noted that according to No</w:t>
      </w:r>
      <w:r w:rsidR="00C65E1D">
        <w:rPr>
          <w:rStyle w:val="ECCParagraph"/>
        </w:rPr>
        <w:t xml:space="preserve"> 5.441</w:t>
      </w:r>
      <w:r w:rsidRPr="008D4628">
        <w:rPr>
          <w:rStyle w:val="ECCParagraph"/>
        </w:rPr>
        <w:t>, the use of the bands 4 500</w:t>
      </w:r>
      <w:r w:rsidRPr="008D4628">
        <w:rPr>
          <w:rStyle w:val="ECCParagraph"/>
        </w:rPr>
        <w:noBreakHyphen/>
        <w:t>4 800 MHz (space-to-Earth) and 6 725-7 025</w:t>
      </w:r>
      <w:r w:rsidR="00993F62" w:rsidRPr="008D4628">
        <w:rPr>
          <w:rStyle w:val="ECCParagraph"/>
        </w:rPr>
        <w:tab/>
      </w:r>
      <w:r w:rsidRPr="008D4628">
        <w:rPr>
          <w:rStyle w:val="ECCParagraph"/>
        </w:rPr>
        <w:t xml:space="preserve"> MHz (Earth-to-space) by the fixed satellite service shall be in accordance with the provisions of Appendix 30B, which is limited to the geostationary-satellite of the fixed-satellite service.</w:t>
      </w:r>
    </w:p>
    <w:p w14:paraId="16145829" w14:textId="77777777" w:rsidR="000457A7" w:rsidRPr="008D4628" w:rsidRDefault="003B7598" w:rsidP="000457A7">
      <w:pPr>
        <w:rPr>
          <w:rStyle w:val="ECCParagraph"/>
        </w:rPr>
      </w:pPr>
      <w:r w:rsidRPr="008D4628">
        <w:rPr>
          <w:rStyle w:val="ECCParagraph"/>
        </w:rPr>
        <w:t>[</w:t>
      </w:r>
      <w:r w:rsidR="000457A7" w:rsidRPr="008D4628">
        <w:rPr>
          <w:rStyle w:val="ECCParagraph"/>
        </w:rPr>
        <w:t>TBD</w:t>
      </w:r>
      <w:r w:rsidRPr="008D4628">
        <w:rPr>
          <w:rStyle w:val="ECCParagraph"/>
        </w:rPr>
        <w:t>]</w:t>
      </w:r>
    </w:p>
    <w:p w14:paraId="1614582A" w14:textId="77777777" w:rsidR="000457A7" w:rsidRPr="008D4628" w:rsidRDefault="000457A7" w:rsidP="000457A7">
      <w:pPr>
        <w:pStyle w:val="berschrift3"/>
        <w:rPr>
          <w:lang w:val="en-GB"/>
        </w:rPr>
      </w:pPr>
      <w:r w:rsidRPr="008D4628">
        <w:rPr>
          <w:lang w:val="en-GB"/>
        </w:rPr>
        <w:t>Sharing with FSS (s-E), the use of which is limited to feeder links for non-geostationary satellite systems of the mobile-satellite service</w:t>
      </w:r>
    </w:p>
    <w:p w14:paraId="1614582B" w14:textId="77777777" w:rsidR="000457A7" w:rsidRPr="008D4628" w:rsidRDefault="000457A7" w:rsidP="003B7598">
      <w:pPr>
        <w:pStyle w:val="ECCBreak"/>
        <w:rPr>
          <w:rStyle w:val="ECCParagraph"/>
        </w:rPr>
      </w:pPr>
      <w:r w:rsidRPr="008D4628">
        <w:rPr>
          <w:rStyle w:val="ECCParagraph"/>
        </w:rPr>
        <w:t>Spacecraft-to-spacecraft interference</w:t>
      </w:r>
    </w:p>
    <w:p w14:paraId="1614582C" w14:textId="77777777" w:rsidR="000457A7" w:rsidRPr="008D4628" w:rsidRDefault="003B7598" w:rsidP="000457A7">
      <w:pPr>
        <w:rPr>
          <w:rStyle w:val="ECCParagraph"/>
        </w:rPr>
      </w:pPr>
      <w:r w:rsidRPr="008D4628">
        <w:rPr>
          <w:rStyle w:val="ECCParagraph"/>
        </w:rPr>
        <w:t>[</w:t>
      </w:r>
      <w:r w:rsidR="000457A7" w:rsidRPr="008D4628">
        <w:rPr>
          <w:rStyle w:val="ECCParagraph"/>
        </w:rPr>
        <w:t>TBD</w:t>
      </w:r>
      <w:r w:rsidRPr="008D4628">
        <w:rPr>
          <w:rStyle w:val="ECCParagraph"/>
        </w:rPr>
        <w:t>]</w:t>
      </w:r>
    </w:p>
    <w:p w14:paraId="1614582D" w14:textId="77777777" w:rsidR="000457A7" w:rsidRPr="008D4628" w:rsidRDefault="000457A7" w:rsidP="003B7598">
      <w:pPr>
        <w:pStyle w:val="ECCBreak"/>
        <w:rPr>
          <w:rStyle w:val="ECCParagraph"/>
        </w:rPr>
      </w:pPr>
      <w:r w:rsidRPr="008D4628">
        <w:rPr>
          <w:rStyle w:val="ECCParagraph"/>
        </w:rPr>
        <w:t>Earth station-to-earth station interference</w:t>
      </w:r>
    </w:p>
    <w:p w14:paraId="1614582E" w14:textId="77777777" w:rsidR="000457A7" w:rsidRPr="008D4628" w:rsidRDefault="000457A7" w:rsidP="000457A7">
      <w:pPr>
        <w:rPr>
          <w:rStyle w:val="ECCParagraph"/>
        </w:rPr>
      </w:pPr>
      <w:r w:rsidRPr="008D4628">
        <w:rPr>
          <w:rStyle w:val="ECCParagraph"/>
        </w:rPr>
        <w:t>The long-term and short-term analysis were made to estimate distances required for ensuring shared operation of FSS transmitting ES and receiving ES limited to feeder links of MSS systems in the frequency band 6</w:t>
      </w:r>
      <w:r w:rsidR="003B7598" w:rsidRPr="008D4628">
        <w:rPr>
          <w:rStyle w:val="ECCParagraph"/>
        </w:rPr>
        <w:t xml:space="preserve"> </w:t>
      </w:r>
      <w:r w:rsidRPr="008D4628">
        <w:rPr>
          <w:rStyle w:val="ECCParagraph"/>
        </w:rPr>
        <w:t>725-7</w:t>
      </w:r>
      <w:r w:rsidR="003B7598" w:rsidRPr="008D4628">
        <w:rPr>
          <w:rStyle w:val="ECCParagraph"/>
        </w:rPr>
        <w:t xml:space="preserve"> </w:t>
      </w:r>
      <w:r w:rsidRPr="008D4628">
        <w:rPr>
          <w:rStyle w:val="ECCParagraph"/>
        </w:rPr>
        <w:t>025 </w:t>
      </w:r>
      <w:proofErr w:type="spellStart"/>
      <w:r w:rsidRPr="008D4628">
        <w:rPr>
          <w:rStyle w:val="ECCParagraph"/>
        </w:rPr>
        <w:t>MHz.</w:t>
      </w:r>
      <w:proofErr w:type="spellEnd"/>
    </w:p>
    <w:p w14:paraId="1614582F" w14:textId="3B4A977C" w:rsidR="000457A7" w:rsidRPr="008D4628" w:rsidRDefault="000457A7" w:rsidP="000457A7">
      <w:pPr>
        <w:rPr>
          <w:rStyle w:val="ECCParagraph"/>
        </w:rPr>
      </w:pPr>
      <w:r w:rsidRPr="008D4628">
        <w:rPr>
          <w:rStyle w:val="ECCParagraph"/>
        </w:rPr>
        <w:t>For long-term analysis, Lb (20%) the separation distance for protection of gateway ES can range from [26 km to 53.2 km] depending on the FSS ES interfering transmitter power.</w:t>
      </w:r>
    </w:p>
    <w:p w14:paraId="16145830" w14:textId="77777777" w:rsidR="000457A7" w:rsidRPr="008D4628" w:rsidRDefault="000457A7" w:rsidP="000457A7">
      <w:pPr>
        <w:rPr>
          <w:rStyle w:val="ECCParagraph"/>
        </w:rPr>
      </w:pPr>
      <w:r w:rsidRPr="008D4628">
        <w:rPr>
          <w:rStyle w:val="ECCParagraph"/>
        </w:rPr>
        <w:t>For short term analysis, Lb (0.0017%) the coordination distances range from 169 km up to 389 km when flat terrain is used and depending on the FSS ES interfering transmitter power.</w:t>
      </w:r>
    </w:p>
    <w:p w14:paraId="16145831" w14:textId="77777777" w:rsidR="000457A7" w:rsidRPr="008D4628" w:rsidRDefault="000457A7" w:rsidP="000457A7">
      <w:pPr>
        <w:rPr>
          <w:rStyle w:val="ECCParagraph"/>
        </w:rPr>
      </w:pPr>
      <w:r w:rsidRPr="008D4628">
        <w:rPr>
          <w:rStyle w:val="ECCParagraph"/>
        </w:rPr>
        <w:t xml:space="preserve">Annex </w:t>
      </w:r>
      <w:r w:rsidRPr="008D4628">
        <w:rPr>
          <w:rStyle w:val="ECCHLbold"/>
        </w:rPr>
        <w:t xml:space="preserve">7 </w:t>
      </w:r>
      <w:r w:rsidRPr="008D4628">
        <w:rPr>
          <w:rStyle w:val="ECCParagraph"/>
        </w:rPr>
        <w:t xml:space="preserve">of Appendix </w:t>
      </w:r>
      <w:r w:rsidRPr="008D4628">
        <w:rPr>
          <w:rStyle w:val="ECCHLbold"/>
        </w:rPr>
        <w:t>7</w:t>
      </w:r>
      <w:r w:rsidRPr="008D4628">
        <w:rPr>
          <w:rStyle w:val="ECCParagraph"/>
        </w:rPr>
        <w:t xml:space="preserve"> provides information on the parameters required for the determination of coordination distances for transmitting earth stations in bands shared directionally with receiving earth stations.</w:t>
      </w:r>
    </w:p>
    <w:p w14:paraId="16145832" w14:textId="77777777" w:rsidR="000457A7" w:rsidRPr="008D4628" w:rsidRDefault="000457A7" w:rsidP="000457A7">
      <w:pPr>
        <w:pStyle w:val="berschrift1"/>
        <w:rPr>
          <w:lang w:val="en-GB"/>
        </w:rPr>
      </w:pPr>
      <w:r w:rsidRPr="008D4628">
        <w:rPr>
          <w:lang w:val="en-GB"/>
        </w:rPr>
        <w:t>List of relevant documents</w:t>
      </w:r>
    </w:p>
    <w:p w14:paraId="16145833" w14:textId="77777777" w:rsidR="000457A7" w:rsidRPr="008D4628" w:rsidRDefault="000457A7" w:rsidP="000457A7">
      <w:pPr>
        <w:pStyle w:val="ECCBreak"/>
        <w:rPr>
          <w:lang w:val="en-GB"/>
        </w:rPr>
      </w:pPr>
      <w:r w:rsidRPr="008D4628">
        <w:rPr>
          <w:lang w:val="en-GB"/>
        </w:rPr>
        <w:t>ITU-Documentation</w:t>
      </w:r>
    </w:p>
    <w:p w14:paraId="16145834" w14:textId="77777777" w:rsidR="00EE794B" w:rsidRDefault="00EE794B" w:rsidP="00A24DC7">
      <w:pPr>
        <w:pStyle w:val="ECCBulletsLv1"/>
      </w:pPr>
      <w:r>
        <w:t xml:space="preserve">Annex </w:t>
      </w:r>
      <w:r w:rsidRPr="00F403FC">
        <w:t>44 to Document 4A/</w:t>
      </w:r>
      <w:r>
        <w:t>826</w:t>
      </w:r>
      <w:r w:rsidRPr="00F403FC">
        <w:t xml:space="preserve"> - Draft CPM text for WRC-19 agenda item 9.1, issue 9.</w:t>
      </w:r>
      <w:r>
        <w:t>1.3</w:t>
      </w:r>
    </w:p>
    <w:p w14:paraId="16145835" w14:textId="77777777" w:rsidR="00A24DC7" w:rsidRPr="008D4628" w:rsidRDefault="00A24DC7" w:rsidP="00A24DC7">
      <w:pPr>
        <w:pStyle w:val="ECCBulletsLv1"/>
      </w:pPr>
      <w:r w:rsidRPr="008D4628">
        <w:t xml:space="preserve">Annex </w:t>
      </w:r>
      <w:r w:rsidR="00BF68F9" w:rsidRPr="008D4628">
        <w:t xml:space="preserve">50 </w:t>
      </w:r>
      <w:r w:rsidRPr="008D4628">
        <w:t>to Document 4A/</w:t>
      </w:r>
      <w:r w:rsidR="00BF68F9" w:rsidRPr="008D4628">
        <w:t xml:space="preserve">675 </w:t>
      </w:r>
      <w:r w:rsidRPr="008D4628">
        <w:t>- Working document towards draft CPM Text for WRC-19 agenda item 9.1, issue 9.1.3</w:t>
      </w:r>
    </w:p>
    <w:p w14:paraId="16145836" w14:textId="77777777" w:rsidR="00A24DC7" w:rsidRPr="008D4628" w:rsidRDefault="00A24DC7" w:rsidP="00A24DC7">
      <w:pPr>
        <w:pStyle w:val="ECCBulletsLv1"/>
      </w:pPr>
      <w:r w:rsidRPr="008D4628">
        <w:t xml:space="preserve">Annex </w:t>
      </w:r>
      <w:r w:rsidR="00BF68F9" w:rsidRPr="008D4628">
        <w:t xml:space="preserve">49 </w:t>
      </w:r>
      <w:r w:rsidRPr="008D4628">
        <w:t>to Document 4A/</w:t>
      </w:r>
      <w:r w:rsidR="00BF68F9" w:rsidRPr="008D4628">
        <w:t xml:space="preserve">675 </w:t>
      </w:r>
      <w:r w:rsidRPr="008D4628">
        <w:t>- Work plan for WRC-19 agenda item 9.1, issue 9.1.3</w:t>
      </w:r>
    </w:p>
    <w:p w14:paraId="16145837" w14:textId="28EACE5F" w:rsidR="00D917EE" w:rsidRPr="008D4628" w:rsidRDefault="00D917EE" w:rsidP="00D917EE">
      <w:pPr>
        <w:pStyle w:val="ECCBulletsLv1"/>
      </w:pPr>
      <w:r w:rsidRPr="008D4628">
        <w:t xml:space="preserve">Annex </w:t>
      </w:r>
      <w:r w:rsidR="00EE794B">
        <w:t>20</w:t>
      </w:r>
      <w:r w:rsidRPr="008D4628">
        <w:t xml:space="preserve"> to Document 4A/</w:t>
      </w:r>
      <w:r w:rsidR="00EE794B">
        <w:t>675</w:t>
      </w:r>
      <w:r w:rsidRPr="008D4628">
        <w:t xml:space="preserve"> – Working document [towards a Preliminary Draft New Report ITU-R S.[NGSO_6/4-GHz] - Technical and Regulatory Studies for 6/4 GHz Non-GSO FSS sharing</w:t>
      </w:r>
    </w:p>
    <w:p w14:paraId="16145838" w14:textId="77777777" w:rsidR="00D917EE" w:rsidRPr="008D4628" w:rsidRDefault="00D917EE" w:rsidP="00D917EE">
      <w:pPr>
        <w:pStyle w:val="ECCBulletsLv1"/>
      </w:pPr>
      <w:r w:rsidRPr="008D4628">
        <w:t>Annex 16 to Document 4A/364 – Working document towards a Preliminary Draft New Report ITU-R S.[NGSO FSS 6/4 GHz SHARING]</w:t>
      </w:r>
    </w:p>
    <w:p w14:paraId="16145839" w14:textId="77777777" w:rsidR="000457A7" w:rsidRPr="008D4628" w:rsidRDefault="000457A7" w:rsidP="000457A7">
      <w:pPr>
        <w:pStyle w:val="ECCBulletsLv1"/>
      </w:pPr>
      <w:r w:rsidRPr="008D4628">
        <w:t>Recommendation ITU-R S.1323 – Maximum permissible levels of interference in a satellite network (GSO/FSS; non-GSO/FSS; non-GSO/MSS feeder links) in the fixed-satellite service caused by other codirectional FSS networks below 30 GHz</w:t>
      </w:r>
    </w:p>
    <w:p w14:paraId="1614583A" w14:textId="77777777" w:rsidR="000457A7" w:rsidRPr="008D4628" w:rsidRDefault="000457A7" w:rsidP="000457A7">
      <w:pPr>
        <w:pStyle w:val="ECCBulletsLv1"/>
      </w:pPr>
      <w:r w:rsidRPr="008D4628">
        <w:t>Recommendation ITU-R S.672-4 – Satellite antenna radiation pattern for use as a design objective in the fixed-satellite service employing geostationary satellites</w:t>
      </w:r>
    </w:p>
    <w:p w14:paraId="1614583B" w14:textId="77777777" w:rsidR="000457A7" w:rsidRPr="008D4628" w:rsidRDefault="000457A7" w:rsidP="000457A7">
      <w:pPr>
        <w:pStyle w:val="ECCBulletsLv1"/>
      </w:pPr>
      <w:r w:rsidRPr="008D4628">
        <w:t>Recommendation ITU-R S.1328 – Satellite system characteristics to be considered in frequency sharing analyses within the fixed-satellite service</w:t>
      </w:r>
    </w:p>
    <w:p w14:paraId="1614583C" w14:textId="77777777" w:rsidR="000457A7" w:rsidRPr="008D4628" w:rsidRDefault="000457A7" w:rsidP="000457A7">
      <w:pPr>
        <w:pStyle w:val="ECCBulletsLv1"/>
      </w:pPr>
      <w:r w:rsidRPr="008D4628">
        <w:t>Recommendation ITU-R F.1108 – Determination of the criteria to protect fixed service receivers from the emissions of space stations operating in non-geostationary orbits in shared frequency bands</w:t>
      </w:r>
    </w:p>
    <w:p w14:paraId="1614583D" w14:textId="77777777" w:rsidR="000457A7" w:rsidRPr="008D4628" w:rsidRDefault="000457A7" w:rsidP="000457A7">
      <w:pPr>
        <w:pStyle w:val="ECCBulletsLv1"/>
      </w:pPr>
      <w:r w:rsidRPr="008D4628">
        <w:lastRenderedPageBreak/>
        <w:t>Recommendation ITU-R F.758 – System parameters and considerations in the development of criteria for sharing or compatibility between digital fixed wireless systems in the fixed service and systems in other services and other sources of interference</w:t>
      </w:r>
    </w:p>
    <w:p w14:paraId="1614583E" w14:textId="77777777" w:rsidR="000457A7" w:rsidRPr="008D4628" w:rsidRDefault="000457A7" w:rsidP="000457A7">
      <w:pPr>
        <w:pStyle w:val="ECCBulletsLv1"/>
      </w:pPr>
      <w:r w:rsidRPr="008D4628">
        <w:t>Recommendation ITU-R F.1336 – Reference radiation patterns of omnidirectional, sectoral and other antennas in point-to-multipoint systems for use in sharing studies in the frequency range from 1 GHz to about 70 GHz</w:t>
      </w:r>
    </w:p>
    <w:p w14:paraId="1614583F" w14:textId="77777777" w:rsidR="000457A7" w:rsidRPr="008D4628" w:rsidRDefault="000457A7" w:rsidP="000457A7">
      <w:pPr>
        <w:pStyle w:val="ECCBulletsLv1"/>
      </w:pPr>
      <w:r w:rsidRPr="008D4628">
        <w:t>Recommendation ITU-R M.1459 – Protection criteria for telemetry systems in the aeronautical mobile service and mitigation techniques to facilitate sharing with geostationary broadcasting-satellite and mobile-satellite services in the frequency bands 1 452-1 525 MHz and 2 310</w:t>
      </w:r>
      <w:r w:rsidRPr="008D4628">
        <w:noBreakHyphen/>
        <w:t>2 360 MHz</w:t>
      </w:r>
    </w:p>
    <w:p w14:paraId="16145840" w14:textId="77777777" w:rsidR="000457A7" w:rsidRPr="008D4628" w:rsidRDefault="000457A7" w:rsidP="000457A7">
      <w:pPr>
        <w:pStyle w:val="ECCBulletsLv1"/>
      </w:pPr>
      <w:r w:rsidRPr="008D4628">
        <w:t>Annex 13 to Document 5B/71 – WDPDN Rec. ITU-R M.[AMS 4.4-5GHz] – Technical characteristics of, and protection criteria for aeronautical mobile systems operating in the frequency band 4 400-4 990 MHz</w:t>
      </w:r>
    </w:p>
    <w:p w14:paraId="16145841" w14:textId="77777777" w:rsidR="000457A7" w:rsidRPr="008D4628" w:rsidRDefault="000457A7" w:rsidP="000457A7">
      <w:pPr>
        <w:pStyle w:val="ECCBulletsLv1"/>
      </w:pPr>
      <w:r w:rsidRPr="008D4628">
        <w:rPr>
          <w:rStyle w:val="ECCParagraph"/>
        </w:rPr>
        <w:t xml:space="preserve">Report </w:t>
      </w:r>
      <w:r w:rsidRPr="008D4628">
        <w:t>ITU-R M.2119 – Sharing between aeronautical mobile telemetry systems for flight testing and other systems operating in the 4 400-4 940 and 5 925-6 700 MHz bands</w:t>
      </w:r>
    </w:p>
    <w:p w14:paraId="16145842" w14:textId="77777777" w:rsidR="000457A7" w:rsidRPr="008D4628" w:rsidRDefault="000457A7" w:rsidP="000457A7">
      <w:pPr>
        <w:pStyle w:val="ECCBulletsLv1"/>
      </w:pPr>
      <w:r w:rsidRPr="008D4628">
        <w:t>Report ITU-R M.2109 – Sharing studies between IMT</w:t>
      </w:r>
      <w:r w:rsidRPr="008D4628">
        <w:noBreakHyphen/>
        <w:t>Advanced systems and geostationary satellite networks in the fixed-satellite service in the 3 400-4 200 and 4 500-4 800 MHz frequency bands</w:t>
      </w:r>
    </w:p>
    <w:p w14:paraId="16145843" w14:textId="77777777" w:rsidR="000457A7" w:rsidRPr="008D4628" w:rsidRDefault="000457A7" w:rsidP="000457A7">
      <w:pPr>
        <w:pStyle w:val="ECCBulletsLv1"/>
      </w:pPr>
      <w:r w:rsidRPr="008D4628">
        <w:t>Report ITU-R S.2368 – Sharing studies between International Mobile Telecommunication-Advanced systems and geostationary satellite networks in the fixed-satellite service in the 3 400-4 200 MHz and 4 500-4 800 MHz frequency bands in the WRC study cycle leading to WRC-15</w:t>
      </w:r>
    </w:p>
    <w:p w14:paraId="16145844" w14:textId="77777777" w:rsidR="000457A7" w:rsidRPr="008D4628" w:rsidRDefault="000457A7" w:rsidP="000457A7">
      <w:pPr>
        <w:pStyle w:val="ECCBreak"/>
        <w:rPr>
          <w:lang w:val="en-GB"/>
        </w:rPr>
      </w:pPr>
      <w:r w:rsidRPr="008D4628">
        <w:rPr>
          <w:lang w:val="en-GB"/>
        </w:rPr>
        <w:t>CEPT and/or ECC Documentation (Decisions, Recommendations, Reports)</w:t>
      </w:r>
    </w:p>
    <w:p w14:paraId="16145845" w14:textId="77777777" w:rsidR="000457A7" w:rsidRPr="008D4628" w:rsidRDefault="00104E18" w:rsidP="000457A7">
      <w:pPr>
        <w:pStyle w:val="ECCBulletsLv1"/>
        <w:rPr>
          <w:rStyle w:val="ECCParagraph"/>
        </w:rPr>
      </w:pPr>
      <w:hyperlink r:id="rId9" w:tgtFrame="_blank" w:history="1">
        <w:r w:rsidR="000457A7" w:rsidRPr="008D4628">
          <w:rPr>
            <w:rStyle w:val="ECCParagraph"/>
          </w:rPr>
          <w:t>ECC/DEC/(05)09 The free circulation and use of Earth Stations on board Vessels operating in Fixed Satellite service networks in the frequency bands 5925-6425 MHz (Earth-to-space) and 3700-4200 MHz (space-to-Earth)</w:t>
        </w:r>
      </w:hyperlink>
    </w:p>
    <w:p w14:paraId="16145846" w14:textId="77777777" w:rsidR="000457A7" w:rsidRPr="008D4628" w:rsidRDefault="00104E18" w:rsidP="000457A7">
      <w:pPr>
        <w:pStyle w:val="ECCBulletsLv1"/>
        <w:rPr>
          <w:rStyle w:val="ECCParagraph"/>
        </w:rPr>
      </w:pPr>
      <w:hyperlink r:id="rId10" w:tgtFrame="_blank" w:history="1">
        <w:r w:rsidR="000457A7" w:rsidRPr="008D4628">
          <w:rPr>
            <w:rStyle w:val="ECCParagraph"/>
          </w:rPr>
          <w:t>Commission Decision 2008/411/EC on the harmonisation of the 3400-3800 MHz frequency band for terrestrial systems</w:t>
        </w:r>
      </w:hyperlink>
    </w:p>
    <w:p w14:paraId="16145847" w14:textId="77777777" w:rsidR="000457A7" w:rsidRPr="008D4628" w:rsidRDefault="00104E18" w:rsidP="000457A7">
      <w:pPr>
        <w:pStyle w:val="ECCBulletsLv1"/>
        <w:rPr>
          <w:rStyle w:val="ECCParagraph"/>
        </w:rPr>
      </w:pPr>
      <w:hyperlink r:id="rId11" w:tgtFrame="_blank" w:history="1">
        <w:r w:rsidR="000457A7" w:rsidRPr="008D4628">
          <w:rPr>
            <w:rStyle w:val="ECCParagraph"/>
          </w:rPr>
          <w:t>ECC/DEC/(11)06 Harmonised frequency arrangements for mobile/fixed communications networks (MFCN) operating in the bands 3400-3600 MHz and 3600-3800 MHz</w:t>
        </w:r>
      </w:hyperlink>
    </w:p>
    <w:p w14:paraId="16145848" w14:textId="77777777" w:rsidR="000457A7" w:rsidRPr="008D4628" w:rsidRDefault="00104E18" w:rsidP="000457A7">
      <w:pPr>
        <w:pStyle w:val="ECCBulletsLv1"/>
        <w:rPr>
          <w:rStyle w:val="ECCParagraph"/>
        </w:rPr>
      </w:pPr>
      <w:hyperlink r:id="rId12" w:tgtFrame="_blank" w:history="1">
        <w:r w:rsidR="000457A7" w:rsidRPr="008D4628">
          <w:rPr>
            <w:rStyle w:val="ECCParagraph"/>
          </w:rPr>
          <w:t>CEPT Report 49: Technical conditions regarding spectrum harmonisation for terrestrial wireless systems in the 3400-3800 MHz frequency band</w:t>
        </w:r>
      </w:hyperlink>
    </w:p>
    <w:p w14:paraId="4EDE22D0" w14:textId="55249E39" w:rsidR="00A94827" w:rsidRDefault="00A94827" w:rsidP="000457A7">
      <w:pPr>
        <w:pStyle w:val="ECCBulletsLv1"/>
        <w:rPr>
          <w:rStyle w:val="ECCParagraph"/>
        </w:rPr>
      </w:pPr>
      <w:r>
        <w:t xml:space="preserve">ECC/DEC/(18)06 on the </w:t>
      </w:r>
      <w:r w:rsidRPr="00A94827">
        <w:t xml:space="preserve">withdrawal of </w:t>
      </w:r>
      <w:hyperlink r:id="rId13" w:history="1">
        <w:r w:rsidRPr="00A94827">
          <w:rPr>
            <w:rStyle w:val="Hyperlink"/>
          </w:rPr>
          <w:t>ECC Decision (07)02</w:t>
        </w:r>
      </w:hyperlink>
      <w:r w:rsidRPr="00A94827">
        <w:t xml:space="preserve"> on availability of frequency bands between 3400-3800 MHz for the harmonised implementation of Broadband Wireless Access systems (BWA)</w:t>
      </w:r>
    </w:p>
    <w:p w14:paraId="1614584A" w14:textId="77777777" w:rsidR="000457A7" w:rsidRPr="008D4628" w:rsidRDefault="00104E18" w:rsidP="000457A7">
      <w:pPr>
        <w:pStyle w:val="ECCBulletsLv1"/>
        <w:rPr>
          <w:rStyle w:val="ECCParagraph"/>
        </w:rPr>
      </w:pPr>
      <w:hyperlink r:id="rId14" w:tgtFrame="_blank" w:history="1">
        <w:r w:rsidR="000457A7" w:rsidRPr="008D4628">
          <w:rPr>
            <w:rStyle w:val="ECCParagraph"/>
          </w:rPr>
          <w:t>ECC Report 100 on Compatibility studies in the band 3400-3800 MHz between BWA systems and other services</w:t>
        </w:r>
      </w:hyperlink>
    </w:p>
    <w:p w14:paraId="1614584B" w14:textId="77777777" w:rsidR="000457A7" w:rsidRPr="008D4628" w:rsidRDefault="00104E18" w:rsidP="000457A7">
      <w:pPr>
        <w:pStyle w:val="ECCBulletsLv1"/>
        <w:rPr>
          <w:rStyle w:val="ECCParagraph"/>
        </w:rPr>
      </w:pPr>
      <w:hyperlink r:id="rId15" w:tgtFrame="_blank" w:history="1">
        <w:r w:rsidR="000457A7" w:rsidRPr="008D4628">
          <w:rPr>
            <w:rStyle w:val="ECCParagraph"/>
          </w:rPr>
          <w:t>ERC/REC 12-08 Harmonised radio frequency channel arrangements and block allocations for low, medium and high capacity systems in the band 3600 MHz to 4200 MHz</w:t>
        </w:r>
      </w:hyperlink>
    </w:p>
    <w:p w14:paraId="4CED6CA2" w14:textId="09E38B4E" w:rsidR="002E4667" w:rsidRDefault="00104E18" w:rsidP="000457A7">
      <w:pPr>
        <w:pStyle w:val="ECCBulletsLv1"/>
        <w:rPr>
          <w:rStyle w:val="ECCParagraph"/>
        </w:rPr>
      </w:pPr>
      <w:hyperlink r:id="rId16" w:tgtFrame="_blank" w:history="1">
        <w:r w:rsidR="000457A7" w:rsidRPr="008D4628">
          <w:rPr>
            <w:rStyle w:val="ECCParagraph"/>
          </w:rPr>
          <w:t>EN 302 217 Characteristics and requirements for point-to-point equipment and antennas</w:t>
        </w:r>
      </w:hyperlink>
    </w:p>
    <w:p w14:paraId="0F159DE6" w14:textId="77777777" w:rsidR="00A94827" w:rsidRPr="00A94827" w:rsidRDefault="00A94827" w:rsidP="00A94827">
      <w:pPr>
        <w:pStyle w:val="ECCBulletsLv1"/>
        <w:rPr>
          <w:rStyle w:val="ECCParagraph"/>
        </w:rPr>
      </w:pPr>
      <w:r w:rsidRPr="00A94827">
        <w:rPr>
          <w:rStyle w:val="ECCParagraph"/>
        </w:rPr>
        <w:t xml:space="preserve">CEPT Report 67 on the </w:t>
      </w:r>
      <w:r w:rsidRPr="00A94827">
        <w:t xml:space="preserve">Review of the harmonised technical conditions applicable to the 3.4-3.8 GHz ('3.6 GHz') frequency band, to develop harmonised technical conditions for spectrum use in support of the introduction of next-generation (5G) terrestrial wireless systems in the Union </w:t>
      </w:r>
    </w:p>
    <w:p w14:paraId="1614584D" w14:textId="77777777" w:rsidR="000457A7" w:rsidRPr="008D4628" w:rsidRDefault="000457A7" w:rsidP="008D4628">
      <w:pPr>
        <w:pStyle w:val="berschrift1"/>
        <w:rPr>
          <w:lang w:val="en-GB"/>
        </w:rPr>
      </w:pPr>
      <w:r w:rsidRPr="008D4628">
        <w:rPr>
          <w:lang w:val="en-GB"/>
        </w:rPr>
        <w:t>Actions to be taken</w:t>
      </w:r>
    </w:p>
    <w:p w14:paraId="54D94284" w14:textId="04E723BE" w:rsidR="007A3880" w:rsidRPr="007A3880" w:rsidRDefault="007A3880" w:rsidP="007A3880">
      <w:pPr>
        <w:pStyle w:val="ECCBulletsLv2"/>
      </w:pPr>
      <w:r w:rsidRPr="007A3880">
        <w:t>Explore further the development of a coo</w:t>
      </w:r>
      <w:r w:rsidR="00C65E1D">
        <w:t>rdination procedure under RR No</w:t>
      </w:r>
      <w:bookmarkStart w:id="0" w:name="_GoBack"/>
      <w:bookmarkEnd w:id="0"/>
      <w:r w:rsidRPr="007A3880">
        <w:t xml:space="preserve"> </w:t>
      </w:r>
      <w:r w:rsidRPr="007A3880">
        <w:rPr>
          <w:rStyle w:val="ECCHLbold"/>
        </w:rPr>
        <w:t>9.12</w:t>
      </w:r>
      <w:r w:rsidRPr="007A3880">
        <w:t xml:space="preserve"> in order to address coordination between non-GSO FSS systems in the frequency bands 3 700−4 200 MHz and 5 925−6 425 </w:t>
      </w:r>
      <w:proofErr w:type="spellStart"/>
      <w:r w:rsidRPr="007A3880">
        <w:t>MHz.</w:t>
      </w:r>
      <w:proofErr w:type="spellEnd"/>
    </w:p>
    <w:p w14:paraId="2DD99FEA" w14:textId="2C8D9F97" w:rsidR="007A3880" w:rsidRPr="007A3880" w:rsidRDefault="007A3880" w:rsidP="007A3880">
      <w:pPr>
        <w:pStyle w:val="ECCBulletsLv2"/>
      </w:pPr>
      <w:r w:rsidRPr="007A3880">
        <w:t xml:space="preserve">To develop a draft ECP, noting that from a regulatory provision standpoint, the ECP would be NOC as regards to RR Articles </w:t>
      </w:r>
      <w:r w:rsidRPr="007A3880">
        <w:rPr>
          <w:rStyle w:val="ECCHLbold"/>
        </w:rPr>
        <w:t>21</w:t>
      </w:r>
      <w:r w:rsidRPr="007A3880">
        <w:t xml:space="preserve"> and </w:t>
      </w:r>
      <w:r w:rsidRPr="007A3880">
        <w:rPr>
          <w:rStyle w:val="ECCHLbold"/>
        </w:rPr>
        <w:t>22</w:t>
      </w:r>
      <w:r w:rsidRPr="007A3880">
        <w:t>.</w:t>
      </w:r>
    </w:p>
    <w:p w14:paraId="16145850" w14:textId="77777777" w:rsidR="000457A7" w:rsidRPr="008D4628" w:rsidRDefault="000457A7" w:rsidP="000457A7">
      <w:pPr>
        <w:pStyle w:val="berschrift1"/>
        <w:rPr>
          <w:lang w:val="en-GB"/>
        </w:rPr>
      </w:pPr>
      <w:r w:rsidRPr="008D4628">
        <w:rPr>
          <w:lang w:val="en-GB"/>
        </w:rPr>
        <w:lastRenderedPageBreak/>
        <w:t>Relevant information from outside CEPT</w:t>
      </w:r>
    </w:p>
    <w:p w14:paraId="16145851" w14:textId="77777777" w:rsidR="000457A7" w:rsidRPr="008D4628" w:rsidRDefault="000457A7" w:rsidP="000457A7">
      <w:pPr>
        <w:pStyle w:val="berschrift2"/>
        <w:rPr>
          <w:lang w:val="en-GB"/>
        </w:rPr>
      </w:pPr>
      <w:r w:rsidRPr="008D4628">
        <w:rPr>
          <w:lang w:val="en-GB"/>
        </w:rPr>
        <w:t>European Union (date of proposal)</w:t>
      </w:r>
    </w:p>
    <w:p w14:paraId="16145852" w14:textId="77777777" w:rsidR="000457A7" w:rsidRPr="008D4628" w:rsidRDefault="000457A7" w:rsidP="000457A7">
      <w:pPr>
        <w:rPr>
          <w:rStyle w:val="ECCParagraph"/>
        </w:rPr>
      </w:pPr>
    </w:p>
    <w:p w14:paraId="16145853" w14:textId="77777777" w:rsidR="00382506" w:rsidRPr="00382506" w:rsidRDefault="00382506" w:rsidP="00382506">
      <w:pPr>
        <w:pStyle w:val="berschrift2"/>
      </w:pPr>
      <w:r w:rsidRPr="00382506">
        <w:t>Regional telecommunication organisations</w:t>
      </w:r>
    </w:p>
    <w:p w14:paraId="16145854" w14:textId="77777777" w:rsidR="00382506" w:rsidRPr="00382506" w:rsidRDefault="00382506" w:rsidP="00382506">
      <w:pPr>
        <w:pStyle w:val="ECCBreak"/>
      </w:pPr>
      <w:r w:rsidRPr="00382506">
        <w:t>APT (March 2018)</w:t>
      </w:r>
    </w:p>
    <w:p w14:paraId="16145855" w14:textId="77777777" w:rsidR="00382506" w:rsidRPr="00382506" w:rsidRDefault="00382506" w:rsidP="00382506">
      <w:pPr>
        <w:rPr>
          <w:rStyle w:val="Hervorhebung"/>
        </w:rPr>
      </w:pPr>
      <w:r w:rsidRPr="00382506">
        <w:rPr>
          <w:rStyle w:val="Hervorhebung"/>
        </w:rPr>
        <w:t>APT Preliminary View(s)</w:t>
      </w:r>
    </w:p>
    <w:p w14:paraId="16145856" w14:textId="77777777" w:rsidR="00382506" w:rsidRPr="00382506" w:rsidRDefault="00382506" w:rsidP="00382506">
      <w:pPr>
        <w:rPr>
          <w:rStyle w:val="ECCParagraph"/>
        </w:rPr>
      </w:pPr>
      <w:r w:rsidRPr="00382506">
        <w:t>APT Members support no change (NOC) to the Radio Regulations to satisfy agenda item 9.1, issue 9.1.3 based on study progress of ITU-R for new non-GSO systems in the 3 700-4 200 MHz, 4 500-4 800 MHz, 5 925-6 425 MHz and 6 725-7 025 MHz frequency bands under the terms of Resolution 157 (WRC-15).</w:t>
      </w:r>
    </w:p>
    <w:p w14:paraId="16145857" w14:textId="77777777" w:rsidR="00382506" w:rsidRPr="00382506" w:rsidRDefault="00382506" w:rsidP="00382506">
      <w:pPr>
        <w:pStyle w:val="ECCBreak"/>
        <w:rPr>
          <w:lang w:val="en-US"/>
        </w:rPr>
      </w:pPr>
      <w:r w:rsidRPr="00382506">
        <w:rPr>
          <w:lang w:val="en-US"/>
        </w:rPr>
        <w:t>ATU (September, 2017)</w:t>
      </w:r>
    </w:p>
    <w:p w14:paraId="16145858" w14:textId="77777777" w:rsidR="00382506" w:rsidRPr="00382506" w:rsidRDefault="00382506" w:rsidP="00382506">
      <w:pPr>
        <w:rPr>
          <w:rStyle w:val="ECCParagraph"/>
        </w:rPr>
      </w:pPr>
      <w:r w:rsidRPr="00382506">
        <w:rPr>
          <w:rStyle w:val="ECCParagraph"/>
        </w:rPr>
        <w:t>The APM19-2 agreed to:</w:t>
      </w:r>
    </w:p>
    <w:p w14:paraId="16145859" w14:textId="77777777" w:rsidR="00382506" w:rsidRPr="00382506" w:rsidRDefault="00382506" w:rsidP="00382506">
      <w:pPr>
        <w:rPr>
          <w:rStyle w:val="ECCParagraph"/>
        </w:rPr>
      </w:pPr>
      <w:r w:rsidRPr="00382506">
        <w:rPr>
          <w:rStyle w:val="ECCParagraph"/>
        </w:rPr>
        <w:t>1. Note that ITU-R studies so far show that it would be difficult to operate non-GSO circular orbit system for the purposes of global broadband network in the 6/4 GHz frequency bands.</w:t>
      </w:r>
    </w:p>
    <w:p w14:paraId="1614585A" w14:textId="77777777" w:rsidR="00382506" w:rsidRPr="00382506" w:rsidRDefault="00382506" w:rsidP="00382506">
      <w:pPr>
        <w:rPr>
          <w:rStyle w:val="ECCParagraph"/>
        </w:rPr>
      </w:pPr>
      <w:r w:rsidRPr="00382506">
        <w:rPr>
          <w:rStyle w:val="ECCParagraph"/>
        </w:rPr>
        <w:t>2. Encourage administrations to review studies conducted on the issue in time, and make proposals during the next ITU-R Study Group 4 approval process of the studies.</w:t>
      </w:r>
    </w:p>
    <w:p w14:paraId="1614585B" w14:textId="77777777" w:rsidR="00382506" w:rsidRPr="00382506" w:rsidRDefault="00382506" w:rsidP="00382506">
      <w:pPr>
        <w:pStyle w:val="ECCBreak"/>
        <w:rPr>
          <w:lang w:val="en-US"/>
        </w:rPr>
      </w:pPr>
      <w:r w:rsidRPr="00382506">
        <w:rPr>
          <w:lang w:val="en-US"/>
        </w:rPr>
        <w:t>Arab Group (April 2018)</w:t>
      </w:r>
    </w:p>
    <w:p w14:paraId="1614585C" w14:textId="77777777" w:rsidR="00382506" w:rsidRPr="00382506" w:rsidRDefault="00382506" w:rsidP="00382506">
      <w:r w:rsidRPr="00382506">
        <w:rPr>
          <w:rStyle w:val="Hervorhebung"/>
        </w:rPr>
        <w:t>ASMG Preliminary Position</w:t>
      </w:r>
    </w:p>
    <w:p w14:paraId="1614585D" w14:textId="77777777" w:rsidR="00382506" w:rsidRPr="00382506" w:rsidRDefault="00382506" w:rsidP="00382506">
      <w:r w:rsidRPr="00382506">
        <w:t>The preliminary position agreed at the 7-11 April 2018 meeting of the ASMG is to support no change to Radio Regulations</w:t>
      </w:r>
      <w:r>
        <w:t>.</w:t>
      </w:r>
    </w:p>
    <w:p w14:paraId="1614585E" w14:textId="503022CB" w:rsidR="00382506" w:rsidRPr="00EE794B" w:rsidRDefault="00382506" w:rsidP="00382506">
      <w:pPr>
        <w:pStyle w:val="ECCBreak"/>
        <w:rPr>
          <w:lang w:val="pt-BR"/>
        </w:rPr>
      </w:pPr>
      <w:r w:rsidRPr="00EE794B">
        <w:rPr>
          <w:lang w:val="pt-BR"/>
        </w:rPr>
        <w:t>CITEL (</w:t>
      </w:r>
      <w:r w:rsidR="00EE794B" w:rsidRPr="002E4667">
        <w:rPr>
          <w:lang w:val="en-US"/>
        </w:rPr>
        <w:t>July 2018</w:t>
      </w:r>
      <w:r w:rsidRPr="00EE794B">
        <w:rPr>
          <w:lang w:val="pt-BR"/>
        </w:rPr>
        <w:t>)</w:t>
      </w:r>
    </w:p>
    <w:p w14:paraId="1614585F" w14:textId="77777777" w:rsidR="00382506" w:rsidRPr="00EE794B" w:rsidRDefault="00382506" w:rsidP="00382506">
      <w:pPr>
        <w:rPr>
          <w:rStyle w:val="Hervorhebung"/>
          <w:lang w:val="pt-BR"/>
        </w:rPr>
      </w:pPr>
      <w:r w:rsidRPr="00EE794B">
        <w:rPr>
          <w:rStyle w:val="Hervorhebung"/>
          <w:lang w:val="pt-BR"/>
        </w:rPr>
        <w:t xml:space="preserve">Inter-American Proposal </w:t>
      </w:r>
    </w:p>
    <w:p w14:paraId="16145860" w14:textId="77777777" w:rsidR="00BF5B5E" w:rsidRPr="00EE794B" w:rsidRDefault="00382506" w:rsidP="00382506">
      <w:pPr>
        <w:rPr>
          <w:rStyle w:val="Hervorhebung"/>
          <w:lang w:val="pt-BR"/>
        </w:rPr>
      </w:pPr>
      <w:r w:rsidRPr="00EE794B">
        <w:rPr>
          <w:rStyle w:val="Hervorhebung"/>
          <w:lang w:val="pt-BR"/>
        </w:rPr>
        <w:t>Brazil, Canada, Guatemala, Nicaragua, Uruguay, USA:</w:t>
      </w:r>
    </w:p>
    <w:p w14:paraId="16145861" w14:textId="77777777" w:rsidR="00382506" w:rsidRPr="00382506" w:rsidRDefault="00382506" w:rsidP="00382506">
      <w:r w:rsidRPr="00382506">
        <w:t>No change to Articles 21 and 22 of the Radio Regulations and suppression of Resolution 157 (WRC-15)</w:t>
      </w:r>
    </w:p>
    <w:p w14:paraId="16145862" w14:textId="77777777" w:rsidR="00382506" w:rsidRPr="00382506" w:rsidRDefault="00382506" w:rsidP="00382506">
      <w:r w:rsidRPr="00382506">
        <w:t xml:space="preserve">Reason:  ITU-R studies show that it would be very difficult to operate a non-GSO circular-orbit system for the purposes of a global broadband network in the 6/4 GHz frequency bands. Therefore, CITEL Administrations support  no revision to Article 21, Table 21-4 for non-GSO FSS satellites in the frequency band 3700-4200 MHz (space-to-Earth) and no modifications to Article 22 </w:t>
      </w:r>
      <w:proofErr w:type="spellStart"/>
      <w:r w:rsidRPr="00382506">
        <w:t>epfd</w:t>
      </w:r>
      <w:proofErr w:type="spellEnd"/>
      <w:r w:rsidRPr="00382506">
        <w:t xml:space="preserve"> limits applicable to non-GSO systems in the bands 3700-4200 MHz (space-to-Earth) and 5925-6425 MHz (Earth-to-Space).  Similarly, CITEL Administrations propose no change to the bands 4500-4800 MHz (space-to-Earth) and 6725-7025 MHz (Earth-to-space).</w:t>
      </w:r>
    </w:p>
    <w:p w14:paraId="16145863" w14:textId="77777777" w:rsidR="00382506" w:rsidRPr="002E4667" w:rsidRDefault="00382506" w:rsidP="00382506">
      <w:pPr>
        <w:pStyle w:val="ECCBreak"/>
        <w:rPr>
          <w:lang w:val="en-US"/>
        </w:rPr>
      </w:pPr>
      <w:r w:rsidRPr="002E4667">
        <w:rPr>
          <w:lang w:val="en-US"/>
        </w:rPr>
        <w:t>RCC (</w:t>
      </w:r>
      <w:r w:rsidRPr="00382506">
        <w:rPr>
          <w:lang w:val="en-US"/>
        </w:rPr>
        <w:t>March 2018</w:t>
      </w:r>
      <w:r w:rsidRPr="002E4667">
        <w:rPr>
          <w:lang w:val="en-US"/>
        </w:rPr>
        <w:t>)</w:t>
      </w:r>
    </w:p>
    <w:p w14:paraId="16145864" w14:textId="77777777" w:rsidR="00382506" w:rsidRPr="00382506" w:rsidRDefault="00382506" w:rsidP="00382506">
      <w:pPr>
        <w:rPr>
          <w:rStyle w:val="ECCParagraph"/>
        </w:rPr>
      </w:pPr>
      <w:r w:rsidRPr="00382506">
        <w:rPr>
          <w:rStyle w:val="ECCParagraph"/>
        </w:rPr>
        <w:t xml:space="preserve">The RCC Administrations do not oppose possible revision of Article 21, Table 21-4 for non-GSO FSS satellites, with a view to enabling new non-GSO systems to operate in these FSS frequency bands, while ensuring that existing primary services, including the mobile and fixed services, are protected, and subject to </w:t>
      </w:r>
      <w:r w:rsidRPr="00382506">
        <w:rPr>
          <w:rStyle w:val="ECCParagraph"/>
        </w:rPr>
        <w:lastRenderedPageBreak/>
        <w:t xml:space="preserve">maintaining the existing Article 21 </w:t>
      </w:r>
      <w:proofErr w:type="spellStart"/>
      <w:r w:rsidRPr="00382506">
        <w:rPr>
          <w:rStyle w:val="ECCParagraph"/>
        </w:rPr>
        <w:t>pfd</w:t>
      </w:r>
      <w:proofErr w:type="spellEnd"/>
      <w:r w:rsidRPr="00382506">
        <w:rPr>
          <w:rStyle w:val="ECCParagraph"/>
        </w:rPr>
        <w:t xml:space="preserve"> limits </w:t>
      </w:r>
      <w:r w:rsidRPr="00382506">
        <w:t xml:space="preserve">for GSO networks </w:t>
      </w:r>
      <w:r w:rsidRPr="00382506">
        <w:rPr>
          <w:rStyle w:val="ECCParagraph"/>
        </w:rPr>
        <w:t xml:space="preserve">in the frequency bands 3700−4200 MHz </w:t>
      </w:r>
      <w:r w:rsidRPr="00382506">
        <w:t>and 4500−4800 MHz</w:t>
      </w:r>
      <w:r w:rsidRPr="00382506">
        <w:rPr>
          <w:rStyle w:val="ECCParagraph"/>
        </w:rPr>
        <w:t xml:space="preserve"> (space-to-Earth).</w:t>
      </w:r>
    </w:p>
    <w:p w14:paraId="16145865" w14:textId="77777777" w:rsidR="00382506" w:rsidRPr="00382506" w:rsidRDefault="00382506" w:rsidP="00382506">
      <w:pPr>
        <w:rPr>
          <w:rStyle w:val="ECCParagraph"/>
        </w:rPr>
      </w:pPr>
      <w:r w:rsidRPr="00382506">
        <w:rPr>
          <w:rStyle w:val="ECCParagraph"/>
        </w:rPr>
        <w:t xml:space="preserve">The RCC Administrations consider that when reviewing RR Article 22 </w:t>
      </w:r>
      <w:proofErr w:type="spellStart"/>
      <w:r w:rsidRPr="00382506">
        <w:rPr>
          <w:rStyle w:val="ECCParagraph"/>
        </w:rPr>
        <w:t>epfd</w:t>
      </w:r>
      <w:proofErr w:type="spellEnd"/>
      <w:r w:rsidRPr="00382506">
        <w:rPr>
          <w:rStyle w:val="ECCParagraph"/>
        </w:rPr>
        <w:t xml:space="preserve">↓ and </w:t>
      </w:r>
      <w:proofErr w:type="spellStart"/>
      <w:r w:rsidRPr="00382506">
        <w:rPr>
          <w:rStyle w:val="ECCParagraph"/>
        </w:rPr>
        <w:t>epfd</w:t>
      </w:r>
      <w:proofErr w:type="spellEnd"/>
      <w:r w:rsidRPr="00382506">
        <w:rPr>
          <w:rStyle w:val="ECCParagraph"/>
        </w:rPr>
        <w:t>↑ limits for new non-GSO systems in the frequency bands 3700−4200 MHz (space-to-Earth), 5925−6425 MHz (Earth-to-space), 4500−4800 MHz (space-to-Earth) and 6725−7025 MHz (Earth-to-space), it is necessary to ensure protection of GSO FSS networks, including allotments in the Plan and assignments in the Appendix 30В List, without modification of their protection criteria.</w:t>
      </w:r>
    </w:p>
    <w:p w14:paraId="16145866" w14:textId="77777777" w:rsidR="00382506" w:rsidRPr="00382506" w:rsidRDefault="00382506" w:rsidP="00382506">
      <w:pPr>
        <w:rPr>
          <w:rStyle w:val="ECCParagraph"/>
        </w:rPr>
      </w:pPr>
      <w:r w:rsidRPr="00382506">
        <w:rPr>
          <w:rStyle w:val="ECCParagraph"/>
        </w:rPr>
        <w:t xml:space="preserve">The RCC Administrations consider that when determining operation conditions for new non-GSO FSS systems in the frequency bands: </w:t>
      </w:r>
    </w:p>
    <w:p w14:paraId="16145867" w14:textId="77777777" w:rsidR="00382506" w:rsidRPr="00382506" w:rsidRDefault="00382506" w:rsidP="00382506">
      <w:pPr>
        <w:pStyle w:val="ECCBulletsLv1"/>
        <w:rPr>
          <w:rStyle w:val="ECCParagraph"/>
        </w:rPr>
      </w:pPr>
      <w:r w:rsidRPr="00382506">
        <w:rPr>
          <w:rStyle w:val="ECCParagraph"/>
        </w:rPr>
        <w:t>3700−4200 MHz (space-to-Earth), 5925−6425 MHz (Earth-to-space), it is necessary to protect existing non-GSO FSS systems in highly elliptical orbits.</w:t>
      </w:r>
    </w:p>
    <w:p w14:paraId="16145868" w14:textId="77777777" w:rsidR="00382506" w:rsidRPr="00382506" w:rsidRDefault="00382506" w:rsidP="00382506">
      <w:pPr>
        <w:pStyle w:val="ECCBulletsLv1"/>
        <w:rPr>
          <w:rStyle w:val="ECCParagraph"/>
        </w:rPr>
      </w:pPr>
      <w:r w:rsidRPr="00382506">
        <w:rPr>
          <w:rStyle w:val="ECCParagraph"/>
        </w:rPr>
        <w:t>4 500−4 800 MHz (space-to-Earth), 5 925−6 425 MHz (Earth-to-space) and 6 725 7 075 MHz (Earth-to-space), it is necessary to protect existing terrestrial services.</w:t>
      </w:r>
    </w:p>
    <w:p w14:paraId="16145869" w14:textId="77777777" w:rsidR="00382506" w:rsidRPr="00382506" w:rsidRDefault="00382506" w:rsidP="00382506">
      <w:pPr>
        <w:pStyle w:val="berschrift2"/>
      </w:pPr>
      <w:r w:rsidRPr="00382506">
        <w:t>International organisations</w:t>
      </w:r>
    </w:p>
    <w:p w14:paraId="1614586A" w14:textId="77777777" w:rsidR="00382506" w:rsidRPr="00382506" w:rsidRDefault="00382506" w:rsidP="00382506">
      <w:pPr>
        <w:pStyle w:val="ECCBreak"/>
      </w:pPr>
      <w:r w:rsidRPr="00382506">
        <w:t>IATA (date of proposal)</w:t>
      </w:r>
    </w:p>
    <w:p w14:paraId="1614586B" w14:textId="77777777" w:rsidR="00382506" w:rsidRPr="00382506" w:rsidRDefault="00382506" w:rsidP="00382506">
      <w:pPr>
        <w:rPr>
          <w:rStyle w:val="ECCParagraph"/>
        </w:rPr>
      </w:pPr>
    </w:p>
    <w:p w14:paraId="1614586C" w14:textId="77777777" w:rsidR="00382506" w:rsidRPr="00382506" w:rsidRDefault="00382506" w:rsidP="00382506">
      <w:pPr>
        <w:pStyle w:val="ECCBreak"/>
      </w:pPr>
      <w:r w:rsidRPr="00382506">
        <w:t>ICAO (July, 2017)</w:t>
      </w:r>
    </w:p>
    <w:p w14:paraId="1614586D" w14:textId="77777777" w:rsidR="00382506" w:rsidRPr="00382506" w:rsidRDefault="00382506" w:rsidP="00382506">
      <w:pPr>
        <w:rPr>
          <w:rStyle w:val="ECCParagraph"/>
        </w:rPr>
      </w:pPr>
      <w:r w:rsidRPr="00382506">
        <w:rPr>
          <w:rStyle w:val="ECCParagraph"/>
        </w:rPr>
        <w:t xml:space="preserve">To oppose any new or changes to existing regulatory provisions in Article 21 of the ITU Radio Regulations for the frequency bands 3 700 – 4 200 MHz and 5 925-6 425 MHz unless it has been demonstrated through agreed ITU-R studies that there will be no impact from the potential introduction of new non-geostationary-satellites on aviation use in those bands.  </w:t>
      </w:r>
    </w:p>
    <w:p w14:paraId="1614586E" w14:textId="77777777" w:rsidR="00382506" w:rsidRPr="00382506" w:rsidRDefault="00382506" w:rsidP="00382506">
      <w:pPr>
        <w:rPr>
          <w:rStyle w:val="ECCParagraph"/>
        </w:rPr>
      </w:pPr>
      <w:r w:rsidRPr="00382506">
        <w:rPr>
          <w:rStyle w:val="ECCParagraph"/>
        </w:rPr>
        <w:t xml:space="preserve">To oppose introduction of new non-geostationary-satellites in frequency bands near to the frequency band 4 200 – 4 400 MHz unless aviation use of that band is ensured through agreed ITU-R studies. </w:t>
      </w:r>
    </w:p>
    <w:p w14:paraId="1614586F" w14:textId="77777777" w:rsidR="00382506" w:rsidRPr="00382506" w:rsidRDefault="00382506" w:rsidP="00382506">
      <w:pPr>
        <w:pStyle w:val="ECCBreak"/>
        <w:rPr>
          <w:lang w:val="en-US"/>
        </w:rPr>
      </w:pPr>
      <w:r w:rsidRPr="00382506">
        <w:rPr>
          <w:lang w:val="en-US"/>
        </w:rPr>
        <w:t>IMO (25 August, 2016)</w:t>
      </w:r>
    </w:p>
    <w:p w14:paraId="16145870" w14:textId="77777777" w:rsidR="00382506" w:rsidRPr="00382506" w:rsidRDefault="00382506" w:rsidP="00382506">
      <w:pPr>
        <w:rPr>
          <w:rStyle w:val="ECCParagraph"/>
        </w:rPr>
      </w:pPr>
      <w:r w:rsidRPr="00382506">
        <w:rPr>
          <w:rStyle w:val="ECCParagraph"/>
        </w:rPr>
        <w:t xml:space="preserve">Non-GSO systems shall not cause harmful interference to or claim protection from GSO FSS networks. </w:t>
      </w:r>
    </w:p>
    <w:p w14:paraId="16145871" w14:textId="77777777" w:rsidR="00382506" w:rsidRPr="00382506" w:rsidRDefault="00382506" w:rsidP="00382506">
      <w:pPr>
        <w:pStyle w:val="ECCBreak"/>
        <w:rPr>
          <w:lang w:val="en-US"/>
        </w:rPr>
      </w:pPr>
      <w:r w:rsidRPr="00382506">
        <w:rPr>
          <w:lang w:val="en-US"/>
        </w:rPr>
        <w:t>SFCG (date of proposal)</w:t>
      </w:r>
    </w:p>
    <w:p w14:paraId="16145872" w14:textId="77777777" w:rsidR="00382506" w:rsidRPr="00382506" w:rsidRDefault="00382506" w:rsidP="00382506">
      <w:pPr>
        <w:rPr>
          <w:rStyle w:val="ECCParagraph"/>
        </w:rPr>
      </w:pPr>
    </w:p>
    <w:p w14:paraId="16145873" w14:textId="77777777" w:rsidR="00382506" w:rsidRPr="00382506" w:rsidRDefault="00382506" w:rsidP="00382506">
      <w:pPr>
        <w:pStyle w:val="ECCBreak"/>
        <w:rPr>
          <w:lang w:val="en-US"/>
        </w:rPr>
      </w:pPr>
      <w:r w:rsidRPr="00382506">
        <w:rPr>
          <w:lang w:val="en-US"/>
        </w:rPr>
        <w:t>WMO and EUMETNET (date of proposal)</w:t>
      </w:r>
    </w:p>
    <w:p w14:paraId="16145874" w14:textId="77777777" w:rsidR="00382506" w:rsidRPr="00382506" w:rsidRDefault="00382506" w:rsidP="00382506">
      <w:pPr>
        <w:rPr>
          <w:rStyle w:val="ECCParagraph"/>
        </w:rPr>
      </w:pPr>
    </w:p>
    <w:p w14:paraId="16145875" w14:textId="77777777" w:rsidR="00382506" w:rsidRPr="00382506" w:rsidRDefault="00382506" w:rsidP="00382506">
      <w:pPr>
        <w:pStyle w:val="berschrift2"/>
      </w:pPr>
      <w:r w:rsidRPr="00382506">
        <w:t>Regional organisations</w:t>
      </w:r>
    </w:p>
    <w:p w14:paraId="16145876" w14:textId="77777777" w:rsidR="00382506" w:rsidRPr="00382506" w:rsidRDefault="00382506" w:rsidP="00382506">
      <w:pPr>
        <w:pStyle w:val="ECCBreak"/>
      </w:pPr>
      <w:r w:rsidRPr="00382506">
        <w:t>ESA (date of proposal)</w:t>
      </w:r>
    </w:p>
    <w:p w14:paraId="16145877" w14:textId="77777777" w:rsidR="00382506" w:rsidRPr="00382506" w:rsidRDefault="00382506" w:rsidP="00382506">
      <w:pPr>
        <w:rPr>
          <w:rStyle w:val="ECCParagraph"/>
        </w:rPr>
      </w:pPr>
    </w:p>
    <w:p w14:paraId="16145878" w14:textId="77777777" w:rsidR="00382506" w:rsidRPr="00382506" w:rsidRDefault="00382506" w:rsidP="00382506">
      <w:pPr>
        <w:pStyle w:val="ECCBreak"/>
      </w:pPr>
      <w:r w:rsidRPr="00382506">
        <w:t>Eurocontrol (date of proposal)</w:t>
      </w:r>
    </w:p>
    <w:p w14:paraId="16145879" w14:textId="77777777" w:rsidR="00382506" w:rsidRPr="00382506" w:rsidRDefault="00382506" w:rsidP="00382506"/>
    <w:p w14:paraId="1614587A" w14:textId="77777777" w:rsidR="00382506" w:rsidRPr="00382506" w:rsidRDefault="00382506" w:rsidP="00382506">
      <w:pPr>
        <w:pStyle w:val="ECCBreak"/>
      </w:pPr>
      <w:r w:rsidRPr="00382506">
        <w:lastRenderedPageBreak/>
        <w:t>NATO (June 2018)</w:t>
      </w:r>
    </w:p>
    <w:p w14:paraId="1614587B" w14:textId="77777777" w:rsidR="00382506" w:rsidRPr="00382506" w:rsidRDefault="00382506" w:rsidP="00382506">
      <w:r w:rsidRPr="00382506">
        <w:t>NATO military assessment</w:t>
      </w:r>
    </w:p>
    <w:p w14:paraId="1614587C" w14:textId="77777777" w:rsidR="00382506" w:rsidRPr="00382506" w:rsidRDefault="00382506" w:rsidP="00382506">
      <w:r w:rsidRPr="00382506">
        <w:t xml:space="preserve">At the moment, it is not clear if NATO could benefit from non-GSO systems to operate in these bands allocated to FSS. But the existing military applications are relying on large portions of the bands under study. The risk that possible changes to the RR could downgrade military capabilities is high at the moment. Furthermore consistency in C-band (4 - 8 GHz) </w:t>
      </w:r>
      <w:proofErr w:type="spellStart"/>
      <w:r w:rsidRPr="00382506">
        <w:t>epfd</w:t>
      </w:r>
      <w:proofErr w:type="spellEnd"/>
      <w:r w:rsidRPr="00382506">
        <w:t xml:space="preserve"> requirements and limits with respect to Ku (12 - 18 GHz) and Ka (26.5 - 40 GHz) bands should be ensured.</w:t>
      </w:r>
    </w:p>
    <w:p w14:paraId="1614587D" w14:textId="77777777" w:rsidR="00382506" w:rsidRPr="00382506" w:rsidRDefault="00382506" w:rsidP="00382506">
      <w:r w:rsidRPr="00382506">
        <w:rPr>
          <w:rStyle w:val="Hervorhebung"/>
        </w:rPr>
        <w:t>NATO preliminary position</w:t>
      </w:r>
    </w:p>
    <w:p w14:paraId="1614587E" w14:textId="77777777" w:rsidR="00382506" w:rsidRPr="00382506" w:rsidRDefault="00382506" w:rsidP="00382506">
      <w:r w:rsidRPr="00382506">
        <w:t xml:space="preserve">NATO will not oppose the update of conditions applicable to NGSO systems in the FSS bands under consideration, if studies clearly demonstrate, that there is no impact to existing services in the NJFA bands, in particular 4.5-4.8 GHz, and no additional constraints are applied to existing users of these bands. </w:t>
      </w:r>
    </w:p>
    <w:p w14:paraId="1614587F" w14:textId="77777777" w:rsidR="00382506" w:rsidRPr="00382506" w:rsidRDefault="00382506" w:rsidP="00382506"/>
    <w:p w14:paraId="16145880" w14:textId="77777777" w:rsidR="000457A7" w:rsidRPr="008D4628" w:rsidRDefault="000457A7" w:rsidP="000457A7">
      <w:pPr>
        <w:pStyle w:val="berschrift2"/>
        <w:rPr>
          <w:lang w:val="en-GB"/>
        </w:rPr>
      </w:pPr>
      <w:r w:rsidRPr="008D4628">
        <w:rPr>
          <w:lang w:val="en-GB"/>
        </w:rPr>
        <w:t>OTHER INTERNATIONAL AND REGIONAL ORGANISATIONS</w:t>
      </w:r>
    </w:p>
    <w:p w14:paraId="16145881" w14:textId="77777777" w:rsidR="000457A7" w:rsidRPr="008D4628" w:rsidRDefault="000457A7" w:rsidP="000457A7">
      <w:pPr>
        <w:pStyle w:val="ECCBreak"/>
        <w:rPr>
          <w:lang w:val="en-GB"/>
        </w:rPr>
      </w:pPr>
      <w:r w:rsidRPr="008D4628">
        <w:rPr>
          <w:lang w:val="en-GB"/>
        </w:rPr>
        <w:t>EBU (date of proposal)</w:t>
      </w:r>
    </w:p>
    <w:p w14:paraId="16145882" w14:textId="77777777" w:rsidR="000457A7" w:rsidRPr="008D4628" w:rsidRDefault="000457A7" w:rsidP="000457A7">
      <w:pPr>
        <w:rPr>
          <w:rStyle w:val="ECCParagraph"/>
        </w:rPr>
      </w:pPr>
    </w:p>
    <w:p w14:paraId="16145883" w14:textId="77777777" w:rsidR="000457A7" w:rsidRPr="008D4628" w:rsidRDefault="000457A7" w:rsidP="000457A7">
      <w:pPr>
        <w:pStyle w:val="ECCBreak"/>
        <w:rPr>
          <w:lang w:val="en-GB"/>
        </w:rPr>
      </w:pPr>
      <w:r w:rsidRPr="008D4628">
        <w:rPr>
          <w:lang w:val="en-GB"/>
        </w:rPr>
        <w:t>GSMA (date of proposal)</w:t>
      </w:r>
    </w:p>
    <w:p w14:paraId="16145884" w14:textId="77777777" w:rsidR="000457A7" w:rsidRPr="008D4628" w:rsidRDefault="000457A7" w:rsidP="000457A7">
      <w:pPr>
        <w:rPr>
          <w:rStyle w:val="ECCParagraph"/>
        </w:rPr>
      </w:pPr>
    </w:p>
    <w:p w14:paraId="16145885" w14:textId="77777777" w:rsidR="000457A7" w:rsidRPr="008D4628" w:rsidRDefault="000457A7" w:rsidP="000457A7">
      <w:pPr>
        <w:pStyle w:val="ECCBreak"/>
        <w:rPr>
          <w:lang w:val="en-GB"/>
        </w:rPr>
      </w:pPr>
      <w:r w:rsidRPr="008D4628">
        <w:rPr>
          <w:lang w:val="en-GB"/>
        </w:rPr>
        <w:t>CRAF (date of proposal)</w:t>
      </w:r>
    </w:p>
    <w:p w14:paraId="16145886" w14:textId="77777777" w:rsidR="00917EC1" w:rsidRPr="008D4628" w:rsidRDefault="00917EC1">
      <w:pPr>
        <w:rPr>
          <w:rStyle w:val="ECCParagraph"/>
        </w:rPr>
      </w:pPr>
    </w:p>
    <w:sectPr w:rsidR="00917EC1" w:rsidRPr="008D4628" w:rsidSect="00C173D4">
      <w:headerReference w:type="even" r:id="rId17"/>
      <w:headerReference w:type="default" r:id="rId18"/>
      <w:footerReference w:type="even" r:id="rId19"/>
      <w:footerReference w:type="default" r:id="rId20"/>
      <w:headerReference w:type="first" r:id="rId21"/>
      <w:footerReference w:type="first" r:id="rId2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616F1" w14:textId="77777777" w:rsidR="00104E18" w:rsidRDefault="00104E18">
      <w:r>
        <w:separator/>
      </w:r>
    </w:p>
    <w:p w14:paraId="37FAD4DF" w14:textId="77777777" w:rsidR="00104E18" w:rsidRDefault="00104E18"/>
    <w:p w14:paraId="2CC54721" w14:textId="77777777" w:rsidR="00104E18" w:rsidRDefault="00104E18"/>
  </w:endnote>
  <w:endnote w:type="continuationSeparator" w:id="0">
    <w:p w14:paraId="57D62E8D" w14:textId="77777777" w:rsidR="00104E18" w:rsidRDefault="00104E18">
      <w:r>
        <w:continuationSeparator/>
      </w:r>
    </w:p>
    <w:p w14:paraId="4EC4C332" w14:textId="77777777" w:rsidR="00104E18" w:rsidRDefault="00104E18"/>
    <w:p w14:paraId="6D81252F" w14:textId="77777777" w:rsidR="00104E18" w:rsidRDefault="00104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45895" w14:textId="77777777" w:rsidR="002E4667" w:rsidRDefault="002E4667">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45896" w14:textId="77777777" w:rsidR="002E4667" w:rsidRDefault="002E4667">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45899" w14:textId="77777777" w:rsidR="002E4667" w:rsidRDefault="002E4667">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51321" w14:textId="77777777" w:rsidR="00104E18" w:rsidRDefault="00104E18">
      <w:r>
        <w:separator/>
      </w:r>
    </w:p>
    <w:p w14:paraId="759BA629" w14:textId="77777777" w:rsidR="00104E18" w:rsidRDefault="00104E18"/>
    <w:p w14:paraId="6F42768A" w14:textId="77777777" w:rsidR="00104E18" w:rsidRDefault="00104E18"/>
  </w:footnote>
  <w:footnote w:type="continuationSeparator" w:id="0">
    <w:p w14:paraId="6D4B476B" w14:textId="77777777" w:rsidR="00104E18" w:rsidRDefault="00104E18">
      <w:r>
        <w:continuationSeparator/>
      </w:r>
    </w:p>
    <w:p w14:paraId="7BFFB62C" w14:textId="77777777" w:rsidR="00104E18" w:rsidRDefault="00104E18"/>
    <w:p w14:paraId="1BFCC22E" w14:textId="77777777" w:rsidR="00104E18" w:rsidRDefault="00104E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45893" w14:textId="77777777" w:rsidR="002E4667" w:rsidRDefault="002E4667">
    <w:pPr>
      <w:pStyle w:val="ECCpageHeader"/>
      <w:rPr>
        <w:lang w:val="en-US"/>
      </w:rPr>
    </w:pPr>
    <w:r>
      <w:rPr>
        <w:lang w:val="en-US"/>
      </w:rPr>
      <w:t>Draft CEPT Brief on AI</w:t>
    </w:r>
    <w:r>
      <w:rPr>
        <w:lang w:val="en-GB"/>
      </w:rPr>
      <w:t xml:space="preserve"> 9.1 </w:t>
    </w:r>
    <w:r w:rsidRPr="000C24BD">
      <w:rPr>
        <w:lang w:val="en-US"/>
      </w:rPr>
      <w:t>issue</w:t>
    </w:r>
    <w:r w:rsidRPr="00E36929">
      <w:rPr>
        <w:lang w:val="en-GB"/>
      </w:rPr>
      <w:t xml:space="preserve"> 9.1.3</w:t>
    </w:r>
    <w:r>
      <w:rPr>
        <w:lang w:val="en-US"/>
      </w:rPr>
      <w:t xml:space="preserve"> - Page </w:t>
    </w:r>
    <w:r>
      <w:fldChar w:fldCharType="begin"/>
    </w:r>
    <w:r>
      <w:rPr>
        <w:lang w:val="en-US"/>
      </w:rPr>
      <w:instrText xml:space="preserve"> PAGE  \* Arabic  \* MERGEFORMAT </w:instrText>
    </w:r>
    <w:r>
      <w:fldChar w:fldCharType="separate"/>
    </w:r>
    <w:r w:rsidR="00C65E1D">
      <w:rPr>
        <w:noProof/>
        <w:lang w:val="en-US"/>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45894" w14:textId="77777777" w:rsidR="002E4667" w:rsidRDefault="002E4667">
    <w:pPr>
      <w:pStyle w:val="ECCpageHeader"/>
      <w:rPr>
        <w:lang w:val="en-US"/>
      </w:rPr>
    </w:pPr>
    <w:r>
      <w:tab/>
    </w:r>
    <w:r>
      <w:tab/>
    </w:r>
    <w:r>
      <w:rPr>
        <w:lang w:val="en-US"/>
      </w:rPr>
      <w:t xml:space="preserve">Draft CEPT Brief on AI </w:t>
    </w:r>
    <w:r w:rsidRPr="00E36929">
      <w:rPr>
        <w:lang w:val="en-GB"/>
      </w:rPr>
      <w:t>9.1</w:t>
    </w:r>
    <w:r>
      <w:rPr>
        <w:lang w:val="en-GB"/>
      </w:rPr>
      <w:t xml:space="preserve"> </w:t>
    </w:r>
    <w:r w:rsidRPr="000C24BD">
      <w:rPr>
        <w:lang w:val="en-US"/>
      </w:rPr>
      <w:t>issue</w:t>
    </w:r>
    <w:r w:rsidRPr="00E36929">
      <w:rPr>
        <w:lang w:val="en-GB"/>
      </w:rPr>
      <w:t xml:space="preserve"> 9.1.3</w:t>
    </w:r>
    <w:r>
      <w:rPr>
        <w:lang w:val="en-US"/>
      </w:rPr>
      <w:t xml:space="preserve"> - Page </w:t>
    </w:r>
    <w:r>
      <w:fldChar w:fldCharType="begin"/>
    </w:r>
    <w:r>
      <w:rPr>
        <w:lang w:val="en-US"/>
      </w:rPr>
      <w:instrText xml:space="preserve"> PAGE  \* Arabic  \* MERGEFORMAT </w:instrText>
    </w:r>
    <w:r>
      <w:fldChar w:fldCharType="separate"/>
    </w:r>
    <w:r w:rsidR="00C65E1D">
      <w:rPr>
        <w:noProof/>
        <w:lang w:val="en-US"/>
      </w:rP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45898" w14:textId="047AD71E" w:rsidR="002E4667" w:rsidRDefault="002E4667" w:rsidP="00AD6E2C">
    <w:pPr>
      <w:pStyle w:val="ECCpageHeader"/>
    </w:pPr>
    <w:r>
      <w:rPr>
        <w:noProof/>
        <w:lang w:val="de-DE" w:eastAsia="de-DE"/>
      </w:rPr>
      <w:drawing>
        <wp:inline distT="0" distB="0" distL="0" distR="0" wp14:anchorId="1614589A" wp14:editId="1614589B">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Pr>
        <w:noProof/>
        <w:lang w:val="de-DE" w:eastAsia="de-DE"/>
      </w:rPr>
      <w:drawing>
        <wp:inline distT="0" distB="0" distL="0" distR="0" wp14:anchorId="1614589C" wp14:editId="1614589D">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779B5D42" w14:textId="77777777" w:rsidR="00AD6E2C" w:rsidRDefault="00AD6E2C" w:rsidP="00AD6E2C">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3F87DFC"/>
    <w:multiLevelType w:val="hybridMultilevel"/>
    <w:tmpl w:val="F7A03EC6"/>
    <w:lvl w:ilvl="0" w:tplc="9EEC39D8">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1144CC2"/>
    <w:multiLevelType w:val="multilevel"/>
    <w:tmpl w:val="0EEE0F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4">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C1C66B9"/>
    <w:multiLevelType w:val="hybridMultilevel"/>
    <w:tmpl w:val="2894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8">
    <w:nsid w:val="3BBE1A4D"/>
    <w:multiLevelType w:val="hybridMultilevel"/>
    <w:tmpl w:val="8DB00EA8"/>
    <w:lvl w:ilvl="0" w:tplc="A114EBFA">
      <w:start w:val="1"/>
      <w:numFmt w:val="bullet"/>
      <w:lvlText w:val="-"/>
      <w:lvlJc w:val="left"/>
      <w:pPr>
        <w:ind w:left="3338" w:hanging="360"/>
      </w:pPr>
      <w:rPr>
        <w:rFonts w:ascii="Malgun Gothic" w:eastAsia="Malgun Gothic" w:hAnsi="Malgun Gothic" w:cstheme="minorBidi" w:hint="eastAsia"/>
      </w:rPr>
    </w:lvl>
    <w:lvl w:ilvl="1" w:tplc="04090003" w:tentative="1">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9">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3"/>
  </w:num>
  <w:num w:numId="2">
    <w:abstractNumId w:val="14"/>
  </w:num>
  <w:num w:numId="3">
    <w:abstractNumId w:val="13"/>
  </w:num>
  <w:num w:numId="4">
    <w:abstractNumId w:val="21"/>
  </w:num>
  <w:num w:numId="5">
    <w:abstractNumId w:val="17"/>
  </w:num>
  <w:num w:numId="6">
    <w:abstractNumId w:val="20"/>
  </w:num>
  <w:num w:numId="7">
    <w:abstractNumId w:val="19"/>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num>
  <w:num w:numId="21">
    <w:abstractNumId w:val="11"/>
  </w:num>
  <w:num w:numId="22">
    <w:abstractNumId w:val="14"/>
  </w:num>
  <w:num w:numId="23">
    <w:abstractNumId w:val="14"/>
  </w:num>
  <w:num w:numId="24">
    <w:abstractNumId w:val="14"/>
  </w:num>
  <w:num w:numId="25">
    <w:abstractNumId w:val="14"/>
  </w:num>
  <w:num w:numId="26">
    <w:abstractNumId w:val="11"/>
  </w:num>
  <w:num w:numId="27">
    <w:abstractNumId w:val="11"/>
  </w:num>
  <w:num w:numId="28">
    <w:abstractNumId w:val="11"/>
  </w:num>
  <w:num w:numId="29">
    <w:abstractNumId w:val="15"/>
  </w:num>
  <w:num w:numId="30">
    <w:abstractNumId w:val="19"/>
  </w:num>
  <w:num w:numId="31">
    <w:abstractNumId w:val="21"/>
  </w:num>
  <w:num w:numId="32">
    <w:abstractNumId w:val="17"/>
  </w:num>
  <w:num w:numId="33">
    <w:abstractNumId w:val="20"/>
  </w:num>
  <w:num w:numId="34">
    <w:abstractNumId w:val="19"/>
  </w:num>
  <w:num w:numId="35">
    <w:abstractNumId w:val="19"/>
  </w:num>
  <w:num w:numId="36">
    <w:abstractNumId w:val="19"/>
  </w:num>
  <w:num w:numId="37">
    <w:abstractNumId w:val="12"/>
  </w:num>
  <w:num w:numId="38">
    <w:abstractNumId w:val="10"/>
  </w:num>
  <w:num w:numId="39">
    <w:abstractNumId w:val="11"/>
  </w:num>
  <w:num w:numId="40">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styleLockTheme/>
  <w:styleLockQFSet/>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yNzE3MjA2NTAwMDJX0lEKTi0uzszPAykwMqgFAKYv72EtAAAA"/>
  </w:docVars>
  <w:rsids>
    <w:rsidRoot w:val="00917EC1"/>
    <w:rsid w:val="00003A32"/>
    <w:rsid w:val="00007370"/>
    <w:rsid w:val="000121C0"/>
    <w:rsid w:val="000170E0"/>
    <w:rsid w:val="00023607"/>
    <w:rsid w:val="00023EE4"/>
    <w:rsid w:val="00025F14"/>
    <w:rsid w:val="00044D7D"/>
    <w:rsid w:val="000457A7"/>
    <w:rsid w:val="00053908"/>
    <w:rsid w:val="00053A8D"/>
    <w:rsid w:val="00057875"/>
    <w:rsid w:val="00057BC8"/>
    <w:rsid w:val="00064D7C"/>
    <w:rsid w:val="00075478"/>
    <w:rsid w:val="00083FB1"/>
    <w:rsid w:val="00084BFE"/>
    <w:rsid w:val="00091C3A"/>
    <w:rsid w:val="000B026A"/>
    <w:rsid w:val="000B0383"/>
    <w:rsid w:val="000B290B"/>
    <w:rsid w:val="000B40FD"/>
    <w:rsid w:val="000C24BD"/>
    <w:rsid w:val="000D64F9"/>
    <w:rsid w:val="000F6561"/>
    <w:rsid w:val="00104E18"/>
    <w:rsid w:val="00111173"/>
    <w:rsid w:val="00123CE2"/>
    <w:rsid w:val="001359FF"/>
    <w:rsid w:val="001466C7"/>
    <w:rsid w:val="00151ACD"/>
    <w:rsid w:val="00152160"/>
    <w:rsid w:val="00152CCD"/>
    <w:rsid w:val="001622BB"/>
    <w:rsid w:val="001653B3"/>
    <w:rsid w:val="00165EB8"/>
    <w:rsid w:val="001736D7"/>
    <w:rsid w:val="0018136E"/>
    <w:rsid w:val="00184481"/>
    <w:rsid w:val="00185A53"/>
    <w:rsid w:val="001876CC"/>
    <w:rsid w:val="001903E3"/>
    <w:rsid w:val="001A023F"/>
    <w:rsid w:val="001A2A8D"/>
    <w:rsid w:val="001D3652"/>
    <w:rsid w:val="001D69C7"/>
    <w:rsid w:val="001E11E5"/>
    <w:rsid w:val="001F2F75"/>
    <w:rsid w:val="001F3942"/>
    <w:rsid w:val="002172DC"/>
    <w:rsid w:val="00222630"/>
    <w:rsid w:val="002259E9"/>
    <w:rsid w:val="00226CD0"/>
    <w:rsid w:val="0023195D"/>
    <w:rsid w:val="0023309D"/>
    <w:rsid w:val="00242450"/>
    <w:rsid w:val="0025300E"/>
    <w:rsid w:val="00267810"/>
    <w:rsid w:val="002739C4"/>
    <w:rsid w:val="00277AC2"/>
    <w:rsid w:val="0028762B"/>
    <w:rsid w:val="002926B6"/>
    <w:rsid w:val="00297DAC"/>
    <w:rsid w:val="002A0E07"/>
    <w:rsid w:val="002B397F"/>
    <w:rsid w:val="002C1389"/>
    <w:rsid w:val="002C2418"/>
    <w:rsid w:val="002C749B"/>
    <w:rsid w:val="002E4667"/>
    <w:rsid w:val="002E518D"/>
    <w:rsid w:val="0030756F"/>
    <w:rsid w:val="00310619"/>
    <w:rsid w:val="003150FC"/>
    <w:rsid w:val="00320A91"/>
    <w:rsid w:val="00336833"/>
    <w:rsid w:val="00336A9B"/>
    <w:rsid w:val="00346A6A"/>
    <w:rsid w:val="00350EE6"/>
    <w:rsid w:val="00354979"/>
    <w:rsid w:val="003573A9"/>
    <w:rsid w:val="00364FB0"/>
    <w:rsid w:val="0037339F"/>
    <w:rsid w:val="0037615D"/>
    <w:rsid w:val="003779B5"/>
    <w:rsid w:val="00380790"/>
    <w:rsid w:val="00382506"/>
    <w:rsid w:val="003A270E"/>
    <w:rsid w:val="003B027F"/>
    <w:rsid w:val="003B131C"/>
    <w:rsid w:val="003B7598"/>
    <w:rsid w:val="003C69DC"/>
    <w:rsid w:val="003D38C4"/>
    <w:rsid w:val="003D3D3E"/>
    <w:rsid w:val="003F1556"/>
    <w:rsid w:val="0040564E"/>
    <w:rsid w:val="00417C3C"/>
    <w:rsid w:val="00423BFE"/>
    <w:rsid w:val="0042544D"/>
    <w:rsid w:val="00431C12"/>
    <w:rsid w:val="00444227"/>
    <w:rsid w:val="00464E16"/>
    <w:rsid w:val="004708C2"/>
    <w:rsid w:val="0047379F"/>
    <w:rsid w:val="00482ED2"/>
    <w:rsid w:val="00484C1B"/>
    <w:rsid w:val="004C57E3"/>
    <w:rsid w:val="004C7432"/>
    <w:rsid w:val="004E722A"/>
    <w:rsid w:val="004F34D7"/>
    <w:rsid w:val="004F6CFB"/>
    <w:rsid w:val="00530DF4"/>
    <w:rsid w:val="00534BD5"/>
    <w:rsid w:val="00540778"/>
    <w:rsid w:val="00541FB3"/>
    <w:rsid w:val="00546EBD"/>
    <w:rsid w:val="00551799"/>
    <w:rsid w:val="0055288D"/>
    <w:rsid w:val="005644A4"/>
    <w:rsid w:val="00595C0E"/>
    <w:rsid w:val="005968EA"/>
    <w:rsid w:val="005B09A9"/>
    <w:rsid w:val="005B6094"/>
    <w:rsid w:val="005D4AB2"/>
    <w:rsid w:val="005F2DC0"/>
    <w:rsid w:val="005F30E1"/>
    <w:rsid w:val="005F3102"/>
    <w:rsid w:val="006171A5"/>
    <w:rsid w:val="00633F76"/>
    <w:rsid w:val="00645E8F"/>
    <w:rsid w:val="00647F74"/>
    <w:rsid w:val="00656EBE"/>
    <w:rsid w:val="00657C6D"/>
    <w:rsid w:val="00660666"/>
    <w:rsid w:val="006758F2"/>
    <w:rsid w:val="0068257D"/>
    <w:rsid w:val="00691F89"/>
    <w:rsid w:val="00694E17"/>
    <w:rsid w:val="00697641"/>
    <w:rsid w:val="006A1278"/>
    <w:rsid w:val="006A6A1A"/>
    <w:rsid w:val="006C17C9"/>
    <w:rsid w:val="006C6724"/>
    <w:rsid w:val="006D193F"/>
    <w:rsid w:val="006D3BC7"/>
    <w:rsid w:val="0073126C"/>
    <w:rsid w:val="00737DEF"/>
    <w:rsid w:val="007406AD"/>
    <w:rsid w:val="00741C11"/>
    <w:rsid w:val="007539D8"/>
    <w:rsid w:val="00753A8A"/>
    <w:rsid w:val="00767A9A"/>
    <w:rsid w:val="00774D0F"/>
    <w:rsid w:val="00780761"/>
    <w:rsid w:val="00790C78"/>
    <w:rsid w:val="007A3880"/>
    <w:rsid w:val="007B4DC0"/>
    <w:rsid w:val="007C02AE"/>
    <w:rsid w:val="007D0DFE"/>
    <w:rsid w:val="007D3757"/>
    <w:rsid w:val="007E1184"/>
    <w:rsid w:val="007E20E5"/>
    <w:rsid w:val="00810D80"/>
    <w:rsid w:val="00817675"/>
    <w:rsid w:val="0084213F"/>
    <w:rsid w:val="0085222D"/>
    <w:rsid w:val="0085391D"/>
    <w:rsid w:val="008644FD"/>
    <w:rsid w:val="00870B12"/>
    <w:rsid w:val="00872FE1"/>
    <w:rsid w:val="0088291D"/>
    <w:rsid w:val="008873F7"/>
    <w:rsid w:val="00890B6B"/>
    <w:rsid w:val="00897939"/>
    <w:rsid w:val="008B3592"/>
    <w:rsid w:val="008B4DB9"/>
    <w:rsid w:val="008C4EB3"/>
    <w:rsid w:val="008D4628"/>
    <w:rsid w:val="008E1923"/>
    <w:rsid w:val="008F14CF"/>
    <w:rsid w:val="0091670D"/>
    <w:rsid w:val="00917EC1"/>
    <w:rsid w:val="00924594"/>
    <w:rsid w:val="00926FBB"/>
    <w:rsid w:val="00930464"/>
    <w:rsid w:val="00942135"/>
    <w:rsid w:val="0094602F"/>
    <w:rsid w:val="0094692A"/>
    <w:rsid w:val="0095281B"/>
    <w:rsid w:val="00956DD0"/>
    <w:rsid w:val="00961B4E"/>
    <w:rsid w:val="00974D4B"/>
    <w:rsid w:val="009836A8"/>
    <w:rsid w:val="00993C96"/>
    <w:rsid w:val="00993F62"/>
    <w:rsid w:val="009A03D7"/>
    <w:rsid w:val="009B4F02"/>
    <w:rsid w:val="009C6E71"/>
    <w:rsid w:val="009D2DF3"/>
    <w:rsid w:val="009D4FAD"/>
    <w:rsid w:val="009E1FEA"/>
    <w:rsid w:val="009E31A9"/>
    <w:rsid w:val="009E5620"/>
    <w:rsid w:val="009F0039"/>
    <w:rsid w:val="00A23BC1"/>
    <w:rsid w:val="00A24DC7"/>
    <w:rsid w:val="00A3653B"/>
    <w:rsid w:val="00A369B7"/>
    <w:rsid w:val="00A51B78"/>
    <w:rsid w:val="00A51BD0"/>
    <w:rsid w:val="00A52F63"/>
    <w:rsid w:val="00A6114F"/>
    <w:rsid w:val="00A77EA6"/>
    <w:rsid w:val="00A8159A"/>
    <w:rsid w:val="00A827D7"/>
    <w:rsid w:val="00A84EA3"/>
    <w:rsid w:val="00A94827"/>
    <w:rsid w:val="00A95BEE"/>
    <w:rsid w:val="00AA62D5"/>
    <w:rsid w:val="00AC2137"/>
    <w:rsid w:val="00AD041B"/>
    <w:rsid w:val="00AD4011"/>
    <w:rsid w:val="00AD6E2C"/>
    <w:rsid w:val="00AE512C"/>
    <w:rsid w:val="00B20285"/>
    <w:rsid w:val="00B302A8"/>
    <w:rsid w:val="00B43171"/>
    <w:rsid w:val="00B470A6"/>
    <w:rsid w:val="00B54E2D"/>
    <w:rsid w:val="00B60639"/>
    <w:rsid w:val="00B855E1"/>
    <w:rsid w:val="00B90DD6"/>
    <w:rsid w:val="00BA2B7C"/>
    <w:rsid w:val="00BB0EA6"/>
    <w:rsid w:val="00BB53EF"/>
    <w:rsid w:val="00BB79B3"/>
    <w:rsid w:val="00BB7C79"/>
    <w:rsid w:val="00BC4168"/>
    <w:rsid w:val="00BC504F"/>
    <w:rsid w:val="00BD016A"/>
    <w:rsid w:val="00BD4514"/>
    <w:rsid w:val="00BD7BDC"/>
    <w:rsid w:val="00BE7E27"/>
    <w:rsid w:val="00BF5B5E"/>
    <w:rsid w:val="00BF68F9"/>
    <w:rsid w:val="00BF7582"/>
    <w:rsid w:val="00C0197D"/>
    <w:rsid w:val="00C076F9"/>
    <w:rsid w:val="00C07FF1"/>
    <w:rsid w:val="00C173D4"/>
    <w:rsid w:val="00C2668D"/>
    <w:rsid w:val="00C32419"/>
    <w:rsid w:val="00C35635"/>
    <w:rsid w:val="00C43A4C"/>
    <w:rsid w:val="00C65E1D"/>
    <w:rsid w:val="00C96B19"/>
    <w:rsid w:val="00CB1E11"/>
    <w:rsid w:val="00CB3522"/>
    <w:rsid w:val="00CC2386"/>
    <w:rsid w:val="00CC3B7C"/>
    <w:rsid w:val="00CD1C16"/>
    <w:rsid w:val="00CD226C"/>
    <w:rsid w:val="00CD2C93"/>
    <w:rsid w:val="00CD488E"/>
    <w:rsid w:val="00CD50A5"/>
    <w:rsid w:val="00CF37A3"/>
    <w:rsid w:val="00CF649F"/>
    <w:rsid w:val="00CF7165"/>
    <w:rsid w:val="00D00487"/>
    <w:rsid w:val="00D00F91"/>
    <w:rsid w:val="00D07AAF"/>
    <w:rsid w:val="00D11C78"/>
    <w:rsid w:val="00D31D7C"/>
    <w:rsid w:val="00D51CED"/>
    <w:rsid w:val="00D60782"/>
    <w:rsid w:val="00D61E8A"/>
    <w:rsid w:val="00D71055"/>
    <w:rsid w:val="00D917EE"/>
    <w:rsid w:val="00DA3B90"/>
    <w:rsid w:val="00DA47DC"/>
    <w:rsid w:val="00DB74A8"/>
    <w:rsid w:val="00DD33AB"/>
    <w:rsid w:val="00DD49C3"/>
    <w:rsid w:val="00DD51BA"/>
    <w:rsid w:val="00DE04A8"/>
    <w:rsid w:val="00DF053F"/>
    <w:rsid w:val="00E030A8"/>
    <w:rsid w:val="00E141FB"/>
    <w:rsid w:val="00E325DB"/>
    <w:rsid w:val="00E36929"/>
    <w:rsid w:val="00E448AC"/>
    <w:rsid w:val="00E44CF2"/>
    <w:rsid w:val="00E47F2F"/>
    <w:rsid w:val="00E50ACA"/>
    <w:rsid w:val="00E5542F"/>
    <w:rsid w:val="00E61076"/>
    <w:rsid w:val="00E67F1E"/>
    <w:rsid w:val="00EA3BC2"/>
    <w:rsid w:val="00EC2236"/>
    <w:rsid w:val="00EC2B07"/>
    <w:rsid w:val="00EC3FD2"/>
    <w:rsid w:val="00ED18B5"/>
    <w:rsid w:val="00ED2BF3"/>
    <w:rsid w:val="00EE3BCB"/>
    <w:rsid w:val="00EE794B"/>
    <w:rsid w:val="00EF38E1"/>
    <w:rsid w:val="00F0001D"/>
    <w:rsid w:val="00F07553"/>
    <w:rsid w:val="00F10136"/>
    <w:rsid w:val="00F330C9"/>
    <w:rsid w:val="00F34E91"/>
    <w:rsid w:val="00F44C60"/>
    <w:rsid w:val="00F65B85"/>
    <w:rsid w:val="00F81D84"/>
    <w:rsid w:val="00F82A0B"/>
    <w:rsid w:val="00F8327D"/>
    <w:rsid w:val="00F90719"/>
    <w:rsid w:val="00FB1B72"/>
    <w:rsid w:val="00FC3C1A"/>
    <w:rsid w:val="00FD6B7F"/>
    <w:rsid w:val="00FD7D3D"/>
    <w:rsid w:val="00FE2E0F"/>
    <w:rsid w:val="00FF647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4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C173D4"/>
    <w:rPr>
      <w:rFonts w:eastAsia="Calibri"/>
      <w:szCs w:val="22"/>
      <w:lang w:val="en-GB"/>
    </w:rPr>
  </w:style>
  <w:style w:type="paragraph" w:styleId="berschrift1">
    <w:name w:val="heading 1"/>
    <w:aliases w:val="ECC Heading 1"/>
    <w:next w:val="Standard"/>
    <w:qFormat/>
    <w:rsid w:val="00C173D4"/>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C173D4"/>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C173D4"/>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C173D4"/>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C173D4"/>
    <w:pPr>
      <w:numPr>
        <w:ilvl w:val="4"/>
        <w:numId w:val="36"/>
      </w:numPr>
      <w:outlineLvl w:val="4"/>
    </w:pPr>
    <w:rPr>
      <w:b/>
      <w:bCs/>
      <w:i/>
      <w:iCs/>
      <w:sz w:val="26"/>
      <w:szCs w:val="26"/>
    </w:rPr>
  </w:style>
  <w:style w:type="paragraph" w:styleId="berschrift6">
    <w:name w:val="heading 6"/>
    <w:basedOn w:val="Standard"/>
    <w:next w:val="Standard"/>
    <w:semiHidden/>
    <w:qFormat/>
    <w:locked/>
    <w:rsid w:val="00C173D4"/>
    <w:pPr>
      <w:numPr>
        <w:ilvl w:val="5"/>
        <w:numId w:val="36"/>
      </w:numPr>
      <w:outlineLvl w:val="5"/>
    </w:pPr>
    <w:rPr>
      <w:b/>
      <w:bCs/>
      <w:sz w:val="22"/>
    </w:rPr>
  </w:style>
  <w:style w:type="paragraph" w:styleId="berschrift7">
    <w:name w:val="heading 7"/>
    <w:basedOn w:val="Standard"/>
    <w:next w:val="Standard"/>
    <w:semiHidden/>
    <w:qFormat/>
    <w:locked/>
    <w:rsid w:val="00C173D4"/>
    <w:pPr>
      <w:numPr>
        <w:ilvl w:val="6"/>
        <w:numId w:val="36"/>
      </w:numPr>
      <w:outlineLvl w:val="6"/>
    </w:pPr>
    <w:rPr>
      <w:sz w:val="24"/>
    </w:rPr>
  </w:style>
  <w:style w:type="paragraph" w:styleId="berschrift8">
    <w:name w:val="heading 8"/>
    <w:basedOn w:val="Standard"/>
    <w:next w:val="Standard"/>
    <w:semiHidden/>
    <w:qFormat/>
    <w:locked/>
    <w:rsid w:val="00C173D4"/>
    <w:pPr>
      <w:numPr>
        <w:ilvl w:val="7"/>
        <w:numId w:val="36"/>
      </w:numPr>
      <w:outlineLvl w:val="7"/>
    </w:pPr>
    <w:rPr>
      <w:i/>
      <w:iCs/>
      <w:sz w:val="24"/>
    </w:rPr>
  </w:style>
  <w:style w:type="paragraph" w:styleId="berschrift9">
    <w:name w:val="heading 9"/>
    <w:basedOn w:val="Standard"/>
    <w:next w:val="Standard"/>
    <w:semiHidden/>
    <w:qFormat/>
    <w:locked/>
    <w:rsid w:val="00C173D4"/>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C173D4"/>
    <w:pPr>
      <w:numPr>
        <w:numId w:val="28"/>
      </w:numPr>
      <w:tabs>
        <w:tab w:val="left" w:pos="340"/>
      </w:tabs>
      <w:spacing w:before="60" w:after="0"/>
    </w:pPr>
  </w:style>
  <w:style w:type="paragraph" w:customStyle="1" w:styleId="ECCHeadingnonumbering">
    <w:name w:val="ECC Heading no numbering"/>
    <w:basedOn w:val="berschrift1"/>
    <w:rsid w:val="00C173D4"/>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C173D4"/>
    <w:pPr>
      <w:spacing w:before="0" w:after="0"/>
    </w:pPr>
    <w:rPr>
      <w:rFonts w:ascii="Tahoma" w:hAnsi="Tahoma" w:cs="Tahoma"/>
      <w:sz w:val="16"/>
      <w:szCs w:val="16"/>
    </w:rPr>
  </w:style>
  <w:style w:type="paragraph" w:customStyle="1" w:styleId="ECCAnnexheading1">
    <w:name w:val="ECC Annex heading1"/>
    <w:next w:val="Standard"/>
    <w:rsid w:val="00C173D4"/>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C173D4"/>
    <w:pPr>
      <w:tabs>
        <w:tab w:val="left" w:pos="425"/>
        <w:tab w:val="right" w:leader="dot" w:pos="9639"/>
      </w:tabs>
      <w:spacing w:after="0"/>
      <w:ind w:left="425" w:hanging="425"/>
    </w:pPr>
    <w:rPr>
      <w:b/>
      <w:noProof/>
      <w:szCs w:val="20"/>
      <w:lang w:val="da-DK"/>
    </w:rPr>
  </w:style>
  <w:style w:type="paragraph" w:styleId="Funotentext">
    <w:name w:val="footnote text"/>
    <w:aliases w:val="ECC Footnote,footnote text,ALTS FOOTNOTE,Footnote Text Char1,Footnote Text Char Char1,Footnote Text Char4 Char Char,Footnote Text Char1 Char1 Char1 Char,Footnote Text Char Char1 Char1 Char Char"/>
    <w:basedOn w:val="Standard"/>
    <w:link w:val="FunotentextZchn"/>
    <w:qFormat/>
    <w:rsid w:val="00C173D4"/>
    <w:pPr>
      <w:widowControl w:val="0"/>
      <w:tabs>
        <w:tab w:val="left" w:pos="284"/>
      </w:tabs>
      <w:spacing w:after="0"/>
      <w:ind w:left="284" w:hanging="284"/>
    </w:pPr>
    <w:rPr>
      <w:sz w:val="16"/>
      <w:szCs w:val="16"/>
      <w:lang w:val="da-DK"/>
    </w:rPr>
  </w:style>
  <w:style w:type="paragraph" w:styleId="Verzeichnis2">
    <w:name w:val="toc 2"/>
    <w:aliases w:val="ECC Index 2"/>
    <w:basedOn w:val="Standard"/>
    <w:uiPriority w:val="39"/>
    <w:semiHidden/>
    <w:qFormat/>
    <w:locked/>
    <w:rsid w:val="00C173D4"/>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C173D4"/>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C173D4"/>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C173D4"/>
    <w:rPr>
      <w:bdr w:val="none" w:sz="0" w:space="0" w:color="auto"/>
      <w:shd w:val="solid" w:color="92D050" w:fill="auto"/>
      <w:lang w:val="en-GB"/>
    </w:rPr>
  </w:style>
  <w:style w:type="character" w:customStyle="1" w:styleId="FunotentextZchn">
    <w:name w:val="Fußnotentext Zchn"/>
    <w:aliases w:val="ECC Footnote Zchn,footnote text Zchn,ALTS FOOTNOTE Zchn,Footnote Text Char1 Zchn,Footnote Text Char Char1 Zchn,Footnote Text Char4 Char Char Zchn,Footnote Text Char1 Char1 Char1 Char Zchn,Footnote Text Char Char1 Char1 Char Char Zchn"/>
    <w:basedOn w:val="Absatz-Standardschriftart"/>
    <w:link w:val="Funotentext"/>
    <w:rsid w:val="00C173D4"/>
    <w:rPr>
      <w:rFonts w:eastAsia="Calibri"/>
      <w:sz w:val="16"/>
      <w:szCs w:val="16"/>
    </w:rPr>
  </w:style>
  <w:style w:type="character" w:styleId="Funotenzeichen">
    <w:name w:val="footnote reference"/>
    <w:aliases w:val="ECC Footnote number,Appel note de bas de p,Footnote Reference/,Footnote symbol,Style 12,(NECG) Footnote Reference,Style 124,Appel note de bas de p + 11 pt,Italic,Appel note de bas de p1,Appel note de bas de p2,Appel note de bas de p3"/>
    <w:basedOn w:val="Absatz-Standardschriftart"/>
    <w:rsid w:val="00C173D4"/>
    <w:rPr>
      <w:rFonts w:ascii="Arial" w:hAnsi="Arial"/>
      <w:sz w:val="20"/>
      <w:vertAlign w:val="superscript"/>
    </w:rPr>
  </w:style>
  <w:style w:type="paragraph" w:customStyle="1" w:styleId="ECCTablenote">
    <w:name w:val="ECC Table note"/>
    <w:qFormat/>
    <w:rsid w:val="00C173D4"/>
    <w:pPr>
      <w:spacing w:before="0" w:after="0"/>
      <w:ind w:left="284" w:hanging="284"/>
    </w:pPr>
    <w:rPr>
      <w:rFonts w:eastAsia="Calibri"/>
      <w:sz w:val="16"/>
      <w:szCs w:val="16"/>
      <w:lang w:val="en-GB"/>
    </w:rPr>
  </w:style>
  <w:style w:type="paragraph" w:customStyle="1" w:styleId="ECCBulletsLv2">
    <w:name w:val="ECC Bullets Lv2"/>
    <w:basedOn w:val="ECCBulletsLv1"/>
    <w:rsid w:val="00C173D4"/>
    <w:pPr>
      <w:ind w:left="680" w:hanging="340"/>
    </w:pPr>
  </w:style>
  <w:style w:type="paragraph" w:customStyle="1" w:styleId="ECCAnnexheading2">
    <w:name w:val="ECC Annex heading2"/>
    <w:next w:val="Standard"/>
    <w:rsid w:val="00C173D4"/>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C173D4"/>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C173D4"/>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C173D4"/>
    <w:pPr>
      <w:tabs>
        <w:tab w:val="clear" w:pos="340"/>
        <w:tab w:val="left" w:pos="680"/>
      </w:tabs>
      <w:ind w:left="1020" w:hanging="340"/>
    </w:pPr>
  </w:style>
  <w:style w:type="table" w:customStyle="1" w:styleId="ECCTable-clean">
    <w:name w:val="ECC Table - clean"/>
    <w:uiPriority w:val="99"/>
    <w:rsid w:val="00C173D4"/>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C173D4"/>
    <w:pPr>
      <w:numPr>
        <w:ilvl w:val="1"/>
        <w:numId w:val="31"/>
      </w:numPr>
      <w:spacing w:after="0"/>
      <w:jc w:val="left"/>
    </w:pPr>
    <w:rPr>
      <w:rFonts w:eastAsia="Calibri"/>
    </w:rPr>
  </w:style>
  <w:style w:type="paragraph" w:customStyle="1" w:styleId="ECCNumberedList">
    <w:name w:val="ECC Numbered List"/>
    <w:basedOn w:val="Standard"/>
    <w:rsid w:val="00C173D4"/>
    <w:pPr>
      <w:numPr>
        <w:numId w:val="32"/>
      </w:numPr>
      <w:spacing w:after="0"/>
    </w:pPr>
    <w:rPr>
      <w:szCs w:val="20"/>
    </w:rPr>
  </w:style>
  <w:style w:type="paragraph" w:customStyle="1" w:styleId="ECCReference">
    <w:name w:val="ECC Reference"/>
    <w:basedOn w:val="Standard"/>
    <w:rsid w:val="00C173D4"/>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C173D4"/>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C173D4"/>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C173D4"/>
    <w:pPr>
      <w:numPr>
        <w:numId w:val="29"/>
      </w:numPr>
      <w:shd w:val="solid" w:color="FFFF00" w:fill="auto"/>
      <w:spacing w:before="120"/>
    </w:pPr>
    <w:rPr>
      <w:rFonts w:eastAsia="Calibri"/>
      <w:szCs w:val="22"/>
      <w:lang w:eastAsia="de-DE"/>
    </w:rPr>
  </w:style>
  <w:style w:type="paragraph" w:customStyle="1" w:styleId="ECCFigure">
    <w:name w:val="ECC Figure"/>
    <w:next w:val="Standard"/>
    <w:rsid w:val="00C173D4"/>
    <w:pPr>
      <w:spacing w:after="240"/>
      <w:jc w:val="center"/>
    </w:pPr>
  </w:style>
  <w:style w:type="table" w:customStyle="1" w:styleId="ECCTable-whiteheader">
    <w:name w:val="ECC Table - white header"/>
    <w:basedOn w:val="ECCTable-clean"/>
    <w:uiPriority w:val="99"/>
    <w:rsid w:val="00C173D4"/>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C173D4"/>
    <w:pPr>
      <w:tabs>
        <w:tab w:val="right" w:pos="4750"/>
      </w:tabs>
      <w:spacing w:before="60"/>
    </w:pPr>
    <w:rPr>
      <w:b/>
      <w:sz w:val="22"/>
      <w:szCs w:val="20"/>
    </w:rPr>
  </w:style>
  <w:style w:type="character" w:customStyle="1" w:styleId="ECCHLyellow">
    <w:name w:val="ECC HL yellow"/>
    <w:basedOn w:val="Absatz-Standardschriftart"/>
    <w:uiPriority w:val="1"/>
    <w:qFormat/>
    <w:rsid w:val="00C173D4"/>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C173D4"/>
    <w:rPr>
      <w:b/>
      <w:bCs/>
    </w:rPr>
  </w:style>
  <w:style w:type="paragraph" w:customStyle="1" w:styleId="ECCTabletext">
    <w:name w:val="ECC Table text"/>
    <w:basedOn w:val="Standard"/>
    <w:qFormat/>
    <w:rsid w:val="00C173D4"/>
    <w:pPr>
      <w:spacing w:before="0"/>
    </w:pPr>
  </w:style>
  <w:style w:type="paragraph" w:styleId="Unterschrift">
    <w:name w:val="Signature"/>
    <w:basedOn w:val="Standard"/>
    <w:link w:val="UnterschriftZchn"/>
    <w:uiPriority w:val="99"/>
    <w:semiHidden/>
    <w:unhideWhenUsed/>
    <w:locked/>
    <w:rsid w:val="00C173D4"/>
    <w:pPr>
      <w:spacing w:before="0" w:after="0"/>
      <w:ind w:left="4252"/>
    </w:pPr>
  </w:style>
  <w:style w:type="character" w:customStyle="1" w:styleId="UnterschriftZchn">
    <w:name w:val="Unterschrift Zchn"/>
    <w:basedOn w:val="Absatz-Standardschriftart"/>
    <w:link w:val="Unterschrift"/>
    <w:uiPriority w:val="99"/>
    <w:semiHidden/>
    <w:rsid w:val="00C173D4"/>
  </w:style>
  <w:style w:type="character" w:styleId="Hervorhebung">
    <w:name w:val="Emphasis"/>
    <w:aliases w:val="ECC HL italics"/>
    <w:uiPriority w:val="1"/>
    <w:qFormat/>
    <w:rsid w:val="00C173D4"/>
    <w:rPr>
      <w:i/>
    </w:rPr>
  </w:style>
  <w:style w:type="character" w:customStyle="1" w:styleId="ECCHLunderlined">
    <w:name w:val="ECC HL underlined"/>
    <w:uiPriority w:val="1"/>
    <w:qFormat/>
    <w:rsid w:val="00C173D4"/>
    <w:rPr>
      <w:u w:val="single"/>
    </w:rPr>
  </w:style>
  <w:style w:type="character" w:customStyle="1" w:styleId="Verzeichnis1Zchn">
    <w:name w:val="Verzeichnis 1 Zchn"/>
    <w:aliases w:val="ECC Index 1 Zchn"/>
    <w:basedOn w:val="Absatz-Standardschriftart"/>
    <w:link w:val="Verzeichnis1"/>
    <w:uiPriority w:val="39"/>
    <w:semiHidden/>
    <w:rsid w:val="00C173D4"/>
    <w:rPr>
      <w:rFonts w:eastAsia="Calibri"/>
      <w:b/>
      <w:noProof/>
    </w:rPr>
  </w:style>
  <w:style w:type="character" w:customStyle="1" w:styleId="ECCHLcyan">
    <w:name w:val="ECC HL cyan"/>
    <w:basedOn w:val="Absatz-Standardschriftart"/>
    <w:uiPriority w:val="1"/>
    <w:qFormat/>
    <w:rsid w:val="00C173D4"/>
    <w:rPr>
      <w:iCs w:val="0"/>
      <w:bdr w:val="none" w:sz="0" w:space="0" w:color="auto"/>
      <w:shd w:val="solid" w:color="00FFFF" w:fill="auto"/>
      <w:lang w:val="en-GB"/>
    </w:rPr>
  </w:style>
  <w:style w:type="character" w:customStyle="1" w:styleId="ECCHLorange">
    <w:name w:val="ECC HL orange"/>
    <w:basedOn w:val="Absatz-Standardschriftart"/>
    <w:uiPriority w:val="1"/>
    <w:qFormat/>
    <w:rsid w:val="00C173D4"/>
    <w:rPr>
      <w:bdr w:val="none" w:sz="0" w:space="0" w:color="auto"/>
      <w:shd w:val="solid" w:color="FFC000" w:fill="auto"/>
    </w:rPr>
  </w:style>
  <w:style w:type="character" w:customStyle="1" w:styleId="ECCHLblue">
    <w:name w:val="ECC HL blue"/>
    <w:basedOn w:val="Absatz-Standardschriftart"/>
    <w:uiPriority w:val="1"/>
    <w:qFormat/>
    <w:rsid w:val="00C173D4"/>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C173D4"/>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C173D4"/>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C173D4"/>
    <w:rPr>
      <w:rFonts w:eastAsia="Calibri"/>
      <w:b/>
      <w:sz w:val="22"/>
      <w:lang w:val="en-GB"/>
    </w:rPr>
  </w:style>
  <w:style w:type="character" w:customStyle="1" w:styleId="ECCHLmagenta">
    <w:name w:val="ECC HL magenta"/>
    <w:basedOn w:val="Absatz-Standardschriftart"/>
    <w:uiPriority w:val="1"/>
    <w:qFormat/>
    <w:rsid w:val="00C173D4"/>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C173D4"/>
    <w:rPr>
      <w:color w:val="D9D9D9" w:themeColor="background1" w:themeShade="D9"/>
      <w:bdr w:val="none" w:sz="0" w:space="0" w:color="auto"/>
      <w:shd w:val="solid" w:color="B95807" w:fill="auto"/>
    </w:rPr>
  </w:style>
  <w:style w:type="paragraph" w:customStyle="1" w:styleId="ECCBreak">
    <w:name w:val="ECC Break"/>
    <w:next w:val="Standard"/>
    <w:link w:val="ECCBreakZchn"/>
    <w:rsid w:val="00C173D4"/>
    <w:pPr>
      <w:spacing w:before="360"/>
      <w:jc w:val="left"/>
    </w:pPr>
    <w:rPr>
      <w:b/>
      <w:bCs/>
      <w:iCs/>
      <w:szCs w:val="28"/>
    </w:rPr>
  </w:style>
  <w:style w:type="character" w:customStyle="1" w:styleId="ECCBreakZchn">
    <w:name w:val="ECC Break Zchn"/>
    <w:basedOn w:val="Absatz-Standardschriftart"/>
    <w:link w:val="ECCBreak"/>
    <w:rsid w:val="00C173D4"/>
    <w:rPr>
      <w:b/>
      <w:bCs/>
      <w:iCs/>
      <w:szCs w:val="28"/>
    </w:rPr>
  </w:style>
  <w:style w:type="character" w:styleId="Hyperlink">
    <w:name w:val="Hyperlink"/>
    <w:aliases w:val="ECC Hyperlink"/>
    <w:basedOn w:val="Absatz-Standardschriftart"/>
    <w:uiPriority w:val="99"/>
    <w:rsid w:val="00C173D4"/>
    <w:rPr>
      <w:color w:val="0000FF" w:themeColor="hyperlink"/>
      <w:u w:val="single"/>
    </w:rPr>
  </w:style>
  <w:style w:type="paragraph" w:styleId="Beschriftung">
    <w:name w:val="caption"/>
    <w:aliases w:val="ECC Caption"/>
    <w:next w:val="Standard"/>
    <w:qFormat/>
    <w:rsid w:val="00C173D4"/>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C173D4"/>
    <w:pPr>
      <w:spacing w:before="120" w:after="120"/>
      <w:jc w:val="left"/>
    </w:pPr>
    <w:rPr>
      <w:rFonts w:eastAsia="Calibri"/>
      <w:bCs/>
      <w:color w:val="D2232A"/>
      <w:lang w:val="en-GB" w:eastAsia="de-DE"/>
    </w:rPr>
  </w:style>
  <w:style w:type="paragraph" w:customStyle="1" w:styleId="ECCpageFooter">
    <w:name w:val="ECC page Footer"/>
    <w:rsid w:val="00C173D4"/>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C173D4"/>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C173D4"/>
    <w:rPr>
      <w:color w:val="808080"/>
    </w:rPr>
  </w:style>
  <w:style w:type="character" w:customStyle="1" w:styleId="ECCHLgrey">
    <w:name w:val="ECC HL grey"/>
    <w:uiPriority w:val="1"/>
    <w:qFormat/>
    <w:rsid w:val="00C173D4"/>
    <w:rPr>
      <w:bdr w:val="none" w:sz="0" w:space="0" w:color="auto"/>
      <w:shd w:val="solid" w:color="BFBFBF" w:themeColor="background1" w:themeShade="BF" w:fill="auto"/>
    </w:rPr>
  </w:style>
  <w:style w:type="character" w:customStyle="1" w:styleId="ECCHLsubscript">
    <w:name w:val="ECC HL subscript"/>
    <w:uiPriority w:val="1"/>
    <w:rsid w:val="00C173D4"/>
    <w:rPr>
      <w:vertAlign w:val="subscript"/>
    </w:rPr>
  </w:style>
  <w:style w:type="character" w:customStyle="1" w:styleId="ECCHLsuperscript">
    <w:name w:val="ECC HL superscript"/>
    <w:uiPriority w:val="1"/>
    <w:rsid w:val="00C173D4"/>
    <w:rPr>
      <w:vertAlign w:val="superscript"/>
    </w:rPr>
  </w:style>
  <w:style w:type="paragraph" w:customStyle="1" w:styleId="ECCTableHeaderwhitefont">
    <w:name w:val="ECC Table Header white font"/>
    <w:qFormat/>
    <w:rsid w:val="00C173D4"/>
    <w:pPr>
      <w:jc w:val="center"/>
    </w:pPr>
    <w:rPr>
      <w:rFonts w:eastAsia="Calibri"/>
      <w:bCs/>
      <w:color w:val="FFFFFF" w:themeColor="background1"/>
      <w:lang w:val="en-GB" w:eastAsia="de-DE"/>
    </w:rPr>
  </w:style>
  <w:style w:type="table" w:styleId="Tabellenraster">
    <w:name w:val="Table Grid"/>
    <w:basedOn w:val="NormaleTabelle"/>
    <w:locked/>
    <w:rsid w:val="00C173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C173D4"/>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C173D4"/>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C173D4"/>
    <w:rPr>
      <w:rFonts w:ascii="Arial" w:hAnsi="Arial"/>
      <w:noProof w:val="0"/>
      <w:sz w:val="20"/>
      <w:bdr w:val="none" w:sz="0" w:space="0" w:color="auto"/>
      <w:lang w:val="en-GB"/>
    </w:rPr>
  </w:style>
  <w:style w:type="paragraph" w:customStyle="1" w:styleId="ECCFiguregraphcentered">
    <w:name w:val="ECC Figure/graph centered"/>
    <w:next w:val="Standard"/>
    <w:rsid w:val="00C173D4"/>
    <w:pPr>
      <w:spacing w:after="240"/>
      <w:jc w:val="center"/>
    </w:pPr>
    <w:rPr>
      <w:rFonts w:eastAsia="Calibri"/>
      <w:noProof/>
      <w:lang w:val="de-DE" w:eastAsia="de-DE"/>
    </w:rPr>
  </w:style>
  <w:style w:type="paragraph" w:styleId="Fuzeile">
    <w:name w:val="footer"/>
    <w:basedOn w:val="Standard"/>
    <w:link w:val="FuzeileZchn"/>
    <w:uiPriority w:val="99"/>
    <w:semiHidden/>
    <w:unhideWhenUsed/>
    <w:locked/>
    <w:rsid w:val="00C173D4"/>
    <w:pPr>
      <w:tabs>
        <w:tab w:val="center" w:pos="4677"/>
        <w:tab w:val="right" w:pos="9355"/>
      </w:tabs>
      <w:spacing w:before="0" w:after="0"/>
    </w:pPr>
  </w:style>
  <w:style w:type="character" w:customStyle="1" w:styleId="FuzeileZchn">
    <w:name w:val="Fußzeile Zchn"/>
    <w:basedOn w:val="Absatz-Standardschriftart"/>
    <w:link w:val="Fuzeile"/>
    <w:uiPriority w:val="99"/>
    <w:semiHidden/>
    <w:rsid w:val="00C173D4"/>
    <w:rPr>
      <w:rFonts w:eastAsia="Calibri"/>
      <w:szCs w:val="22"/>
      <w:lang w:val="en-GB"/>
    </w:rPr>
  </w:style>
  <w:style w:type="paragraph" w:styleId="StandardWeb">
    <w:name w:val="Normal (Web)"/>
    <w:basedOn w:val="Standard"/>
    <w:uiPriority w:val="99"/>
    <w:semiHidden/>
    <w:unhideWhenUsed/>
    <w:locked/>
    <w:rsid w:val="00C173D4"/>
    <w:rPr>
      <w:rFonts w:ascii="Times New Roman" w:hAnsi="Times New Roman"/>
      <w:sz w:val="24"/>
      <w:szCs w:val="24"/>
    </w:rPr>
  </w:style>
  <w:style w:type="paragraph" w:styleId="Listenabsatz">
    <w:name w:val="List Paragraph"/>
    <w:basedOn w:val="Standard"/>
    <w:uiPriority w:val="34"/>
    <w:semiHidden/>
    <w:qFormat/>
    <w:locked/>
    <w:rsid w:val="00277AC2"/>
    <w:pPr>
      <w:ind w:left="720"/>
      <w:contextualSpacing/>
    </w:pPr>
  </w:style>
  <w:style w:type="character" w:styleId="Kommentarzeichen">
    <w:name w:val="annotation reference"/>
    <w:basedOn w:val="Absatz-Standardschriftart"/>
    <w:uiPriority w:val="99"/>
    <w:semiHidden/>
    <w:unhideWhenUsed/>
    <w:locked/>
    <w:rsid w:val="00AD4011"/>
    <w:rPr>
      <w:sz w:val="16"/>
      <w:szCs w:val="16"/>
    </w:rPr>
  </w:style>
  <w:style w:type="paragraph" w:styleId="Kommentartext">
    <w:name w:val="annotation text"/>
    <w:basedOn w:val="Standard"/>
    <w:link w:val="KommentartextZchn"/>
    <w:uiPriority w:val="99"/>
    <w:semiHidden/>
    <w:unhideWhenUsed/>
    <w:locked/>
    <w:rsid w:val="00AD4011"/>
    <w:rPr>
      <w:szCs w:val="20"/>
    </w:rPr>
  </w:style>
  <w:style w:type="character" w:customStyle="1" w:styleId="KommentartextZchn">
    <w:name w:val="Kommentartext Zchn"/>
    <w:basedOn w:val="Absatz-Standardschriftart"/>
    <w:link w:val="Kommentartext"/>
    <w:uiPriority w:val="99"/>
    <w:semiHidden/>
    <w:rsid w:val="00AD4011"/>
    <w:rPr>
      <w:rFonts w:eastAsia="Calibri"/>
      <w:lang w:val="en-GB"/>
    </w:rPr>
  </w:style>
  <w:style w:type="paragraph" w:styleId="Kommentarthema">
    <w:name w:val="annotation subject"/>
    <w:basedOn w:val="Kommentartext"/>
    <w:next w:val="Kommentartext"/>
    <w:link w:val="KommentarthemaZchn"/>
    <w:uiPriority w:val="99"/>
    <w:semiHidden/>
    <w:unhideWhenUsed/>
    <w:locked/>
    <w:rsid w:val="00AD4011"/>
    <w:rPr>
      <w:b/>
      <w:bCs/>
    </w:rPr>
  </w:style>
  <w:style w:type="character" w:customStyle="1" w:styleId="KommentarthemaZchn">
    <w:name w:val="Kommentarthema Zchn"/>
    <w:basedOn w:val="KommentartextZchn"/>
    <w:link w:val="Kommentarthema"/>
    <w:uiPriority w:val="99"/>
    <w:semiHidden/>
    <w:rsid w:val="00AD4011"/>
    <w:rPr>
      <w:rFonts w:eastAsia="Calibri"/>
      <w:b/>
      <w:bCs/>
      <w:lang w:val="en-GB"/>
    </w:rPr>
  </w:style>
  <w:style w:type="paragraph" w:styleId="berarbeitung">
    <w:name w:val="Revision"/>
    <w:hidden/>
    <w:uiPriority w:val="99"/>
    <w:semiHidden/>
    <w:rsid w:val="00364FB0"/>
    <w:pPr>
      <w:spacing w:before="0" w:after="0"/>
      <w:jc w:val="left"/>
    </w:pPr>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C173D4"/>
    <w:rPr>
      <w:rFonts w:eastAsia="Calibri"/>
      <w:szCs w:val="22"/>
      <w:lang w:val="en-GB"/>
    </w:rPr>
  </w:style>
  <w:style w:type="paragraph" w:styleId="berschrift1">
    <w:name w:val="heading 1"/>
    <w:aliases w:val="ECC Heading 1"/>
    <w:next w:val="Standard"/>
    <w:qFormat/>
    <w:rsid w:val="00C173D4"/>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C173D4"/>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C173D4"/>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C173D4"/>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C173D4"/>
    <w:pPr>
      <w:numPr>
        <w:ilvl w:val="4"/>
        <w:numId w:val="36"/>
      </w:numPr>
      <w:outlineLvl w:val="4"/>
    </w:pPr>
    <w:rPr>
      <w:b/>
      <w:bCs/>
      <w:i/>
      <w:iCs/>
      <w:sz w:val="26"/>
      <w:szCs w:val="26"/>
    </w:rPr>
  </w:style>
  <w:style w:type="paragraph" w:styleId="berschrift6">
    <w:name w:val="heading 6"/>
    <w:basedOn w:val="Standard"/>
    <w:next w:val="Standard"/>
    <w:semiHidden/>
    <w:qFormat/>
    <w:locked/>
    <w:rsid w:val="00C173D4"/>
    <w:pPr>
      <w:numPr>
        <w:ilvl w:val="5"/>
        <w:numId w:val="36"/>
      </w:numPr>
      <w:outlineLvl w:val="5"/>
    </w:pPr>
    <w:rPr>
      <w:b/>
      <w:bCs/>
      <w:sz w:val="22"/>
    </w:rPr>
  </w:style>
  <w:style w:type="paragraph" w:styleId="berschrift7">
    <w:name w:val="heading 7"/>
    <w:basedOn w:val="Standard"/>
    <w:next w:val="Standard"/>
    <w:semiHidden/>
    <w:qFormat/>
    <w:locked/>
    <w:rsid w:val="00C173D4"/>
    <w:pPr>
      <w:numPr>
        <w:ilvl w:val="6"/>
        <w:numId w:val="36"/>
      </w:numPr>
      <w:outlineLvl w:val="6"/>
    </w:pPr>
    <w:rPr>
      <w:sz w:val="24"/>
    </w:rPr>
  </w:style>
  <w:style w:type="paragraph" w:styleId="berschrift8">
    <w:name w:val="heading 8"/>
    <w:basedOn w:val="Standard"/>
    <w:next w:val="Standard"/>
    <w:semiHidden/>
    <w:qFormat/>
    <w:locked/>
    <w:rsid w:val="00C173D4"/>
    <w:pPr>
      <w:numPr>
        <w:ilvl w:val="7"/>
        <w:numId w:val="36"/>
      </w:numPr>
      <w:outlineLvl w:val="7"/>
    </w:pPr>
    <w:rPr>
      <w:i/>
      <w:iCs/>
      <w:sz w:val="24"/>
    </w:rPr>
  </w:style>
  <w:style w:type="paragraph" w:styleId="berschrift9">
    <w:name w:val="heading 9"/>
    <w:basedOn w:val="Standard"/>
    <w:next w:val="Standard"/>
    <w:semiHidden/>
    <w:qFormat/>
    <w:locked/>
    <w:rsid w:val="00C173D4"/>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C173D4"/>
    <w:pPr>
      <w:numPr>
        <w:numId w:val="28"/>
      </w:numPr>
      <w:tabs>
        <w:tab w:val="left" w:pos="340"/>
      </w:tabs>
      <w:spacing w:before="60" w:after="0"/>
    </w:pPr>
  </w:style>
  <w:style w:type="paragraph" w:customStyle="1" w:styleId="ECCHeadingnonumbering">
    <w:name w:val="ECC Heading no numbering"/>
    <w:basedOn w:val="berschrift1"/>
    <w:rsid w:val="00C173D4"/>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C173D4"/>
    <w:pPr>
      <w:spacing w:before="0" w:after="0"/>
    </w:pPr>
    <w:rPr>
      <w:rFonts w:ascii="Tahoma" w:hAnsi="Tahoma" w:cs="Tahoma"/>
      <w:sz w:val="16"/>
      <w:szCs w:val="16"/>
    </w:rPr>
  </w:style>
  <w:style w:type="paragraph" w:customStyle="1" w:styleId="ECCAnnexheading1">
    <w:name w:val="ECC Annex heading1"/>
    <w:next w:val="Standard"/>
    <w:rsid w:val="00C173D4"/>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C173D4"/>
    <w:pPr>
      <w:tabs>
        <w:tab w:val="left" w:pos="425"/>
        <w:tab w:val="right" w:leader="dot" w:pos="9639"/>
      </w:tabs>
      <w:spacing w:after="0"/>
      <w:ind w:left="425" w:hanging="425"/>
    </w:pPr>
    <w:rPr>
      <w:b/>
      <w:noProof/>
      <w:szCs w:val="20"/>
      <w:lang w:val="da-DK"/>
    </w:rPr>
  </w:style>
  <w:style w:type="paragraph" w:styleId="Funotentext">
    <w:name w:val="footnote text"/>
    <w:aliases w:val="ECC Footnote,footnote text,ALTS FOOTNOTE,Footnote Text Char1,Footnote Text Char Char1,Footnote Text Char4 Char Char,Footnote Text Char1 Char1 Char1 Char,Footnote Text Char Char1 Char1 Char Char"/>
    <w:basedOn w:val="Standard"/>
    <w:link w:val="FunotentextZchn"/>
    <w:qFormat/>
    <w:rsid w:val="00C173D4"/>
    <w:pPr>
      <w:widowControl w:val="0"/>
      <w:tabs>
        <w:tab w:val="left" w:pos="284"/>
      </w:tabs>
      <w:spacing w:after="0"/>
      <w:ind w:left="284" w:hanging="284"/>
    </w:pPr>
    <w:rPr>
      <w:sz w:val="16"/>
      <w:szCs w:val="16"/>
      <w:lang w:val="da-DK"/>
    </w:rPr>
  </w:style>
  <w:style w:type="paragraph" w:styleId="Verzeichnis2">
    <w:name w:val="toc 2"/>
    <w:aliases w:val="ECC Index 2"/>
    <w:basedOn w:val="Standard"/>
    <w:uiPriority w:val="39"/>
    <w:semiHidden/>
    <w:qFormat/>
    <w:locked/>
    <w:rsid w:val="00C173D4"/>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C173D4"/>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C173D4"/>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C173D4"/>
    <w:rPr>
      <w:bdr w:val="none" w:sz="0" w:space="0" w:color="auto"/>
      <w:shd w:val="solid" w:color="92D050" w:fill="auto"/>
      <w:lang w:val="en-GB"/>
    </w:rPr>
  </w:style>
  <w:style w:type="character" w:customStyle="1" w:styleId="FunotentextZchn">
    <w:name w:val="Fußnotentext Zchn"/>
    <w:aliases w:val="ECC Footnote Zchn,footnote text Zchn,ALTS FOOTNOTE Zchn,Footnote Text Char1 Zchn,Footnote Text Char Char1 Zchn,Footnote Text Char4 Char Char Zchn,Footnote Text Char1 Char1 Char1 Char Zchn,Footnote Text Char Char1 Char1 Char Char Zchn"/>
    <w:basedOn w:val="Absatz-Standardschriftart"/>
    <w:link w:val="Funotentext"/>
    <w:rsid w:val="00C173D4"/>
    <w:rPr>
      <w:rFonts w:eastAsia="Calibri"/>
      <w:sz w:val="16"/>
      <w:szCs w:val="16"/>
    </w:rPr>
  </w:style>
  <w:style w:type="character" w:styleId="Funotenzeichen">
    <w:name w:val="footnote reference"/>
    <w:aliases w:val="ECC Footnote number,Appel note de bas de p,Footnote Reference/,Footnote symbol,Style 12,(NECG) Footnote Reference,Style 124,Appel note de bas de p + 11 pt,Italic,Appel note de bas de p1,Appel note de bas de p2,Appel note de bas de p3"/>
    <w:basedOn w:val="Absatz-Standardschriftart"/>
    <w:rsid w:val="00C173D4"/>
    <w:rPr>
      <w:rFonts w:ascii="Arial" w:hAnsi="Arial"/>
      <w:sz w:val="20"/>
      <w:vertAlign w:val="superscript"/>
    </w:rPr>
  </w:style>
  <w:style w:type="paragraph" w:customStyle="1" w:styleId="ECCTablenote">
    <w:name w:val="ECC Table note"/>
    <w:qFormat/>
    <w:rsid w:val="00C173D4"/>
    <w:pPr>
      <w:spacing w:before="0" w:after="0"/>
      <w:ind w:left="284" w:hanging="284"/>
    </w:pPr>
    <w:rPr>
      <w:rFonts w:eastAsia="Calibri"/>
      <w:sz w:val="16"/>
      <w:szCs w:val="16"/>
      <w:lang w:val="en-GB"/>
    </w:rPr>
  </w:style>
  <w:style w:type="paragraph" w:customStyle="1" w:styleId="ECCBulletsLv2">
    <w:name w:val="ECC Bullets Lv2"/>
    <w:basedOn w:val="ECCBulletsLv1"/>
    <w:rsid w:val="00C173D4"/>
    <w:pPr>
      <w:ind w:left="680" w:hanging="340"/>
    </w:pPr>
  </w:style>
  <w:style w:type="paragraph" w:customStyle="1" w:styleId="ECCAnnexheading2">
    <w:name w:val="ECC Annex heading2"/>
    <w:next w:val="Standard"/>
    <w:rsid w:val="00C173D4"/>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C173D4"/>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C173D4"/>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C173D4"/>
    <w:pPr>
      <w:tabs>
        <w:tab w:val="clear" w:pos="340"/>
        <w:tab w:val="left" w:pos="680"/>
      </w:tabs>
      <w:ind w:left="1020" w:hanging="340"/>
    </w:pPr>
  </w:style>
  <w:style w:type="table" w:customStyle="1" w:styleId="ECCTable-clean">
    <w:name w:val="ECC Table - clean"/>
    <w:uiPriority w:val="99"/>
    <w:rsid w:val="00C173D4"/>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C173D4"/>
    <w:pPr>
      <w:numPr>
        <w:ilvl w:val="1"/>
        <w:numId w:val="31"/>
      </w:numPr>
      <w:spacing w:after="0"/>
      <w:jc w:val="left"/>
    </w:pPr>
    <w:rPr>
      <w:rFonts w:eastAsia="Calibri"/>
    </w:rPr>
  </w:style>
  <w:style w:type="paragraph" w:customStyle="1" w:styleId="ECCNumberedList">
    <w:name w:val="ECC Numbered List"/>
    <w:basedOn w:val="Standard"/>
    <w:rsid w:val="00C173D4"/>
    <w:pPr>
      <w:numPr>
        <w:numId w:val="32"/>
      </w:numPr>
      <w:spacing w:after="0"/>
    </w:pPr>
    <w:rPr>
      <w:szCs w:val="20"/>
    </w:rPr>
  </w:style>
  <w:style w:type="paragraph" w:customStyle="1" w:styleId="ECCReference">
    <w:name w:val="ECC Reference"/>
    <w:basedOn w:val="Standard"/>
    <w:rsid w:val="00C173D4"/>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C173D4"/>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C173D4"/>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C173D4"/>
    <w:pPr>
      <w:numPr>
        <w:numId w:val="29"/>
      </w:numPr>
      <w:shd w:val="solid" w:color="FFFF00" w:fill="auto"/>
      <w:spacing w:before="120"/>
    </w:pPr>
    <w:rPr>
      <w:rFonts w:eastAsia="Calibri"/>
      <w:szCs w:val="22"/>
      <w:lang w:eastAsia="de-DE"/>
    </w:rPr>
  </w:style>
  <w:style w:type="paragraph" w:customStyle="1" w:styleId="ECCFigure">
    <w:name w:val="ECC Figure"/>
    <w:next w:val="Standard"/>
    <w:rsid w:val="00C173D4"/>
    <w:pPr>
      <w:spacing w:after="240"/>
      <w:jc w:val="center"/>
    </w:pPr>
  </w:style>
  <w:style w:type="table" w:customStyle="1" w:styleId="ECCTable-whiteheader">
    <w:name w:val="ECC Table - white header"/>
    <w:basedOn w:val="ECCTable-clean"/>
    <w:uiPriority w:val="99"/>
    <w:rsid w:val="00C173D4"/>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C173D4"/>
    <w:pPr>
      <w:tabs>
        <w:tab w:val="right" w:pos="4750"/>
      </w:tabs>
      <w:spacing w:before="60"/>
    </w:pPr>
    <w:rPr>
      <w:b/>
      <w:sz w:val="22"/>
      <w:szCs w:val="20"/>
    </w:rPr>
  </w:style>
  <w:style w:type="character" w:customStyle="1" w:styleId="ECCHLyellow">
    <w:name w:val="ECC HL yellow"/>
    <w:basedOn w:val="Absatz-Standardschriftart"/>
    <w:uiPriority w:val="1"/>
    <w:qFormat/>
    <w:rsid w:val="00C173D4"/>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C173D4"/>
    <w:rPr>
      <w:b/>
      <w:bCs/>
    </w:rPr>
  </w:style>
  <w:style w:type="paragraph" w:customStyle="1" w:styleId="ECCTabletext">
    <w:name w:val="ECC Table text"/>
    <w:basedOn w:val="Standard"/>
    <w:qFormat/>
    <w:rsid w:val="00C173D4"/>
    <w:pPr>
      <w:spacing w:before="0"/>
    </w:pPr>
  </w:style>
  <w:style w:type="paragraph" w:styleId="Unterschrift">
    <w:name w:val="Signature"/>
    <w:basedOn w:val="Standard"/>
    <w:link w:val="UnterschriftZchn"/>
    <w:uiPriority w:val="99"/>
    <w:semiHidden/>
    <w:unhideWhenUsed/>
    <w:locked/>
    <w:rsid w:val="00C173D4"/>
    <w:pPr>
      <w:spacing w:before="0" w:after="0"/>
      <w:ind w:left="4252"/>
    </w:pPr>
  </w:style>
  <w:style w:type="character" w:customStyle="1" w:styleId="UnterschriftZchn">
    <w:name w:val="Unterschrift Zchn"/>
    <w:basedOn w:val="Absatz-Standardschriftart"/>
    <w:link w:val="Unterschrift"/>
    <w:uiPriority w:val="99"/>
    <w:semiHidden/>
    <w:rsid w:val="00C173D4"/>
  </w:style>
  <w:style w:type="character" w:styleId="Hervorhebung">
    <w:name w:val="Emphasis"/>
    <w:aliases w:val="ECC HL italics"/>
    <w:uiPriority w:val="1"/>
    <w:qFormat/>
    <w:rsid w:val="00C173D4"/>
    <w:rPr>
      <w:i/>
    </w:rPr>
  </w:style>
  <w:style w:type="character" w:customStyle="1" w:styleId="ECCHLunderlined">
    <w:name w:val="ECC HL underlined"/>
    <w:uiPriority w:val="1"/>
    <w:qFormat/>
    <w:rsid w:val="00C173D4"/>
    <w:rPr>
      <w:u w:val="single"/>
    </w:rPr>
  </w:style>
  <w:style w:type="character" w:customStyle="1" w:styleId="Verzeichnis1Zchn">
    <w:name w:val="Verzeichnis 1 Zchn"/>
    <w:aliases w:val="ECC Index 1 Zchn"/>
    <w:basedOn w:val="Absatz-Standardschriftart"/>
    <w:link w:val="Verzeichnis1"/>
    <w:uiPriority w:val="39"/>
    <w:semiHidden/>
    <w:rsid w:val="00C173D4"/>
    <w:rPr>
      <w:rFonts w:eastAsia="Calibri"/>
      <w:b/>
      <w:noProof/>
    </w:rPr>
  </w:style>
  <w:style w:type="character" w:customStyle="1" w:styleId="ECCHLcyan">
    <w:name w:val="ECC HL cyan"/>
    <w:basedOn w:val="Absatz-Standardschriftart"/>
    <w:uiPriority w:val="1"/>
    <w:qFormat/>
    <w:rsid w:val="00C173D4"/>
    <w:rPr>
      <w:iCs w:val="0"/>
      <w:bdr w:val="none" w:sz="0" w:space="0" w:color="auto"/>
      <w:shd w:val="solid" w:color="00FFFF" w:fill="auto"/>
      <w:lang w:val="en-GB"/>
    </w:rPr>
  </w:style>
  <w:style w:type="character" w:customStyle="1" w:styleId="ECCHLorange">
    <w:name w:val="ECC HL orange"/>
    <w:basedOn w:val="Absatz-Standardschriftart"/>
    <w:uiPriority w:val="1"/>
    <w:qFormat/>
    <w:rsid w:val="00C173D4"/>
    <w:rPr>
      <w:bdr w:val="none" w:sz="0" w:space="0" w:color="auto"/>
      <w:shd w:val="solid" w:color="FFC000" w:fill="auto"/>
    </w:rPr>
  </w:style>
  <w:style w:type="character" w:customStyle="1" w:styleId="ECCHLblue">
    <w:name w:val="ECC HL blue"/>
    <w:basedOn w:val="Absatz-Standardschriftart"/>
    <w:uiPriority w:val="1"/>
    <w:qFormat/>
    <w:rsid w:val="00C173D4"/>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C173D4"/>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C173D4"/>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C173D4"/>
    <w:rPr>
      <w:rFonts w:eastAsia="Calibri"/>
      <w:b/>
      <w:sz w:val="22"/>
      <w:lang w:val="en-GB"/>
    </w:rPr>
  </w:style>
  <w:style w:type="character" w:customStyle="1" w:styleId="ECCHLmagenta">
    <w:name w:val="ECC HL magenta"/>
    <w:basedOn w:val="Absatz-Standardschriftart"/>
    <w:uiPriority w:val="1"/>
    <w:qFormat/>
    <w:rsid w:val="00C173D4"/>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C173D4"/>
    <w:rPr>
      <w:color w:val="D9D9D9" w:themeColor="background1" w:themeShade="D9"/>
      <w:bdr w:val="none" w:sz="0" w:space="0" w:color="auto"/>
      <w:shd w:val="solid" w:color="B95807" w:fill="auto"/>
    </w:rPr>
  </w:style>
  <w:style w:type="paragraph" w:customStyle="1" w:styleId="ECCBreak">
    <w:name w:val="ECC Break"/>
    <w:next w:val="Standard"/>
    <w:link w:val="ECCBreakZchn"/>
    <w:rsid w:val="00C173D4"/>
    <w:pPr>
      <w:spacing w:before="360"/>
      <w:jc w:val="left"/>
    </w:pPr>
    <w:rPr>
      <w:b/>
      <w:bCs/>
      <w:iCs/>
      <w:szCs w:val="28"/>
    </w:rPr>
  </w:style>
  <w:style w:type="character" w:customStyle="1" w:styleId="ECCBreakZchn">
    <w:name w:val="ECC Break Zchn"/>
    <w:basedOn w:val="Absatz-Standardschriftart"/>
    <w:link w:val="ECCBreak"/>
    <w:rsid w:val="00C173D4"/>
    <w:rPr>
      <w:b/>
      <w:bCs/>
      <w:iCs/>
      <w:szCs w:val="28"/>
    </w:rPr>
  </w:style>
  <w:style w:type="character" w:styleId="Hyperlink">
    <w:name w:val="Hyperlink"/>
    <w:aliases w:val="ECC Hyperlink"/>
    <w:basedOn w:val="Absatz-Standardschriftart"/>
    <w:uiPriority w:val="99"/>
    <w:rsid w:val="00C173D4"/>
    <w:rPr>
      <w:color w:val="0000FF" w:themeColor="hyperlink"/>
      <w:u w:val="single"/>
    </w:rPr>
  </w:style>
  <w:style w:type="paragraph" w:styleId="Beschriftung">
    <w:name w:val="caption"/>
    <w:aliases w:val="ECC Caption"/>
    <w:next w:val="Standard"/>
    <w:qFormat/>
    <w:rsid w:val="00C173D4"/>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C173D4"/>
    <w:pPr>
      <w:spacing w:before="120" w:after="120"/>
      <w:jc w:val="left"/>
    </w:pPr>
    <w:rPr>
      <w:rFonts w:eastAsia="Calibri"/>
      <w:bCs/>
      <w:color w:val="D2232A"/>
      <w:lang w:val="en-GB" w:eastAsia="de-DE"/>
    </w:rPr>
  </w:style>
  <w:style w:type="paragraph" w:customStyle="1" w:styleId="ECCpageFooter">
    <w:name w:val="ECC page Footer"/>
    <w:rsid w:val="00C173D4"/>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C173D4"/>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C173D4"/>
    <w:rPr>
      <w:color w:val="808080"/>
    </w:rPr>
  </w:style>
  <w:style w:type="character" w:customStyle="1" w:styleId="ECCHLgrey">
    <w:name w:val="ECC HL grey"/>
    <w:uiPriority w:val="1"/>
    <w:qFormat/>
    <w:rsid w:val="00C173D4"/>
    <w:rPr>
      <w:bdr w:val="none" w:sz="0" w:space="0" w:color="auto"/>
      <w:shd w:val="solid" w:color="BFBFBF" w:themeColor="background1" w:themeShade="BF" w:fill="auto"/>
    </w:rPr>
  </w:style>
  <w:style w:type="character" w:customStyle="1" w:styleId="ECCHLsubscript">
    <w:name w:val="ECC HL subscript"/>
    <w:uiPriority w:val="1"/>
    <w:rsid w:val="00C173D4"/>
    <w:rPr>
      <w:vertAlign w:val="subscript"/>
    </w:rPr>
  </w:style>
  <w:style w:type="character" w:customStyle="1" w:styleId="ECCHLsuperscript">
    <w:name w:val="ECC HL superscript"/>
    <w:uiPriority w:val="1"/>
    <w:rsid w:val="00C173D4"/>
    <w:rPr>
      <w:vertAlign w:val="superscript"/>
    </w:rPr>
  </w:style>
  <w:style w:type="paragraph" w:customStyle="1" w:styleId="ECCTableHeaderwhitefont">
    <w:name w:val="ECC Table Header white font"/>
    <w:qFormat/>
    <w:rsid w:val="00C173D4"/>
    <w:pPr>
      <w:jc w:val="center"/>
    </w:pPr>
    <w:rPr>
      <w:rFonts w:eastAsia="Calibri"/>
      <w:bCs/>
      <w:color w:val="FFFFFF" w:themeColor="background1"/>
      <w:lang w:val="en-GB" w:eastAsia="de-DE"/>
    </w:rPr>
  </w:style>
  <w:style w:type="table" w:styleId="Tabellenraster">
    <w:name w:val="Table Grid"/>
    <w:basedOn w:val="NormaleTabelle"/>
    <w:locked/>
    <w:rsid w:val="00C173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C173D4"/>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C173D4"/>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C173D4"/>
    <w:rPr>
      <w:rFonts w:ascii="Arial" w:hAnsi="Arial"/>
      <w:noProof w:val="0"/>
      <w:sz w:val="20"/>
      <w:bdr w:val="none" w:sz="0" w:space="0" w:color="auto"/>
      <w:lang w:val="en-GB"/>
    </w:rPr>
  </w:style>
  <w:style w:type="paragraph" w:customStyle="1" w:styleId="ECCFiguregraphcentered">
    <w:name w:val="ECC Figure/graph centered"/>
    <w:next w:val="Standard"/>
    <w:rsid w:val="00C173D4"/>
    <w:pPr>
      <w:spacing w:after="240"/>
      <w:jc w:val="center"/>
    </w:pPr>
    <w:rPr>
      <w:rFonts w:eastAsia="Calibri"/>
      <w:noProof/>
      <w:lang w:val="de-DE" w:eastAsia="de-DE"/>
    </w:rPr>
  </w:style>
  <w:style w:type="paragraph" w:styleId="Fuzeile">
    <w:name w:val="footer"/>
    <w:basedOn w:val="Standard"/>
    <w:link w:val="FuzeileZchn"/>
    <w:uiPriority w:val="99"/>
    <w:semiHidden/>
    <w:unhideWhenUsed/>
    <w:locked/>
    <w:rsid w:val="00C173D4"/>
    <w:pPr>
      <w:tabs>
        <w:tab w:val="center" w:pos="4677"/>
        <w:tab w:val="right" w:pos="9355"/>
      </w:tabs>
      <w:spacing w:before="0" w:after="0"/>
    </w:pPr>
  </w:style>
  <w:style w:type="character" w:customStyle="1" w:styleId="FuzeileZchn">
    <w:name w:val="Fußzeile Zchn"/>
    <w:basedOn w:val="Absatz-Standardschriftart"/>
    <w:link w:val="Fuzeile"/>
    <w:uiPriority w:val="99"/>
    <w:semiHidden/>
    <w:rsid w:val="00C173D4"/>
    <w:rPr>
      <w:rFonts w:eastAsia="Calibri"/>
      <w:szCs w:val="22"/>
      <w:lang w:val="en-GB"/>
    </w:rPr>
  </w:style>
  <w:style w:type="paragraph" w:styleId="StandardWeb">
    <w:name w:val="Normal (Web)"/>
    <w:basedOn w:val="Standard"/>
    <w:uiPriority w:val="99"/>
    <w:semiHidden/>
    <w:unhideWhenUsed/>
    <w:locked/>
    <w:rsid w:val="00C173D4"/>
    <w:rPr>
      <w:rFonts w:ascii="Times New Roman" w:hAnsi="Times New Roman"/>
      <w:sz w:val="24"/>
      <w:szCs w:val="24"/>
    </w:rPr>
  </w:style>
  <w:style w:type="paragraph" w:styleId="Listenabsatz">
    <w:name w:val="List Paragraph"/>
    <w:basedOn w:val="Standard"/>
    <w:uiPriority w:val="34"/>
    <w:semiHidden/>
    <w:qFormat/>
    <w:locked/>
    <w:rsid w:val="00277AC2"/>
    <w:pPr>
      <w:ind w:left="720"/>
      <w:contextualSpacing/>
    </w:pPr>
  </w:style>
  <w:style w:type="character" w:styleId="Kommentarzeichen">
    <w:name w:val="annotation reference"/>
    <w:basedOn w:val="Absatz-Standardschriftart"/>
    <w:uiPriority w:val="99"/>
    <w:semiHidden/>
    <w:unhideWhenUsed/>
    <w:locked/>
    <w:rsid w:val="00AD4011"/>
    <w:rPr>
      <w:sz w:val="16"/>
      <w:szCs w:val="16"/>
    </w:rPr>
  </w:style>
  <w:style w:type="paragraph" w:styleId="Kommentartext">
    <w:name w:val="annotation text"/>
    <w:basedOn w:val="Standard"/>
    <w:link w:val="KommentartextZchn"/>
    <w:uiPriority w:val="99"/>
    <w:semiHidden/>
    <w:unhideWhenUsed/>
    <w:locked/>
    <w:rsid w:val="00AD4011"/>
    <w:rPr>
      <w:szCs w:val="20"/>
    </w:rPr>
  </w:style>
  <w:style w:type="character" w:customStyle="1" w:styleId="KommentartextZchn">
    <w:name w:val="Kommentartext Zchn"/>
    <w:basedOn w:val="Absatz-Standardschriftart"/>
    <w:link w:val="Kommentartext"/>
    <w:uiPriority w:val="99"/>
    <w:semiHidden/>
    <w:rsid w:val="00AD4011"/>
    <w:rPr>
      <w:rFonts w:eastAsia="Calibri"/>
      <w:lang w:val="en-GB"/>
    </w:rPr>
  </w:style>
  <w:style w:type="paragraph" w:styleId="Kommentarthema">
    <w:name w:val="annotation subject"/>
    <w:basedOn w:val="Kommentartext"/>
    <w:next w:val="Kommentartext"/>
    <w:link w:val="KommentarthemaZchn"/>
    <w:uiPriority w:val="99"/>
    <w:semiHidden/>
    <w:unhideWhenUsed/>
    <w:locked/>
    <w:rsid w:val="00AD4011"/>
    <w:rPr>
      <w:b/>
      <w:bCs/>
    </w:rPr>
  </w:style>
  <w:style w:type="character" w:customStyle="1" w:styleId="KommentarthemaZchn">
    <w:name w:val="Kommentarthema Zchn"/>
    <w:basedOn w:val="KommentartextZchn"/>
    <w:link w:val="Kommentarthema"/>
    <w:uiPriority w:val="99"/>
    <w:semiHidden/>
    <w:rsid w:val="00AD4011"/>
    <w:rPr>
      <w:rFonts w:eastAsia="Calibri"/>
      <w:b/>
      <w:bCs/>
      <w:lang w:val="en-GB"/>
    </w:rPr>
  </w:style>
  <w:style w:type="paragraph" w:styleId="berarbeitung">
    <w:name w:val="Revision"/>
    <w:hidden/>
    <w:uiPriority w:val="99"/>
    <w:semiHidden/>
    <w:rsid w:val="00364FB0"/>
    <w:pPr>
      <w:spacing w:before="0" w:after="0"/>
      <w:jc w:val="left"/>
    </w:pPr>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809">
      <w:bodyDiv w:val="1"/>
      <w:marLeft w:val="0"/>
      <w:marRight w:val="0"/>
      <w:marTop w:val="0"/>
      <w:marBottom w:val="0"/>
      <w:divBdr>
        <w:top w:val="none" w:sz="0" w:space="0" w:color="auto"/>
        <w:left w:val="none" w:sz="0" w:space="0" w:color="auto"/>
        <w:bottom w:val="none" w:sz="0" w:space="0" w:color="auto"/>
        <w:right w:val="none" w:sz="0" w:space="0" w:color="auto"/>
      </w:divBdr>
    </w:div>
    <w:div w:id="308023146">
      <w:bodyDiv w:val="1"/>
      <w:marLeft w:val="0"/>
      <w:marRight w:val="0"/>
      <w:marTop w:val="0"/>
      <w:marBottom w:val="0"/>
      <w:divBdr>
        <w:top w:val="none" w:sz="0" w:space="0" w:color="auto"/>
        <w:left w:val="none" w:sz="0" w:space="0" w:color="auto"/>
        <w:bottom w:val="none" w:sz="0" w:space="0" w:color="auto"/>
        <w:right w:val="none" w:sz="0" w:space="0" w:color="auto"/>
      </w:divBdr>
    </w:div>
    <w:div w:id="376978142">
      <w:bodyDiv w:val="1"/>
      <w:marLeft w:val="0"/>
      <w:marRight w:val="0"/>
      <w:marTop w:val="0"/>
      <w:marBottom w:val="0"/>
      <w:divBdr>
        <w:top w:val="none" w:sz="0" w:space="0" w:color="auto"/>
        <w:left w:val="none" w:sz="0" w:space="0" w:color="auto"/>
        <w:bottom w:val="none" w:sz="0" w:space="0" w:color="auto"/>
        <w:right w:val="none" w:sz="0" w:space="0" w:color="auto"/>
      </w:divBdr>
    </w:div>
    <w:div w:id="407265089">
      <w:bodyDiv w:val="1"/>
      <w:marLeft w:val="0"/>
      <w:marRight w:val="0"/>
      <w:marTop w:val="0"/>
      <w:marBottom w:val="0"/>
      <w:divBdr>
        <w:top w:val="none" w:sz="0" w:space="0" w:color="auto"/>
        <w:left w:val="none" w:sz="0" w:space="0" w:color="auto"/>
        <w:bottom w:val="none" w:sz="0" w:space="0" w:color="auto"/>
        <w:right w:val="none" w:sz="0" w:space="0" w:color="auto"/>
      </w:divBdr>
    </w:div>
    <w:div w:id="705368622">
      <w:bodyDiv w:val="1"/>
      <w:marLeft w:val="0"/>
      <w:marRight w:val="0"/>
      <w:marTop w:val="0"/>
      <w:marBottom w:val="0"/>
      <w:divBdr>
        <w:top w:val="none" w:sz="0" w:space="0" w:color="auto"/>
        <w:left w:val="none" w:sz="0" w:space="0" w:color="auto"/>
        <w:bottom w:val="none" w:sz="0" w:space="0" w:color="auto"/>
        <w:right w:val="none" w:sz="0" w:space="0" w:color="auto"/>
      </w:divBdr>
    </w:div>
    <w:div w:id="1028482011">
      <w:bodyDiv w:val="1"/>
      <w:marLeft w:val="0"/>
      <w:marRight w:val="0"/>
      <w:marTop w:val="0"/>
      <w:marBottom w:val="0"/>
      <w:divBdr>
        <w:top w:val="none" w:sz="0" w:space="0" w:color="auto"/>
        <w:left w:val="none" w:sz="0" w:space="0" w:color="auto"/>
        <w:bottom w:val="none" w:sz="0" w:space="0" w:color="auto"/>
        <w:right w:val="none" w:sz="0" w:space="0" w:color="auto"/>
      </w:divBdr>
    </w:div>
    <w:div w:id="1052465321">
      <w:bodyDiv w:val="1"/>
      <w:marLeft w:val="0"/>
      <w:marRight w:val="0"/>
      <w:marTop w:val="0"/>
      <w:marBottom w:val="0"/>
      <w:divBdr>
        <w:top w:val="none" w:sz="0" w:space="0" w:color="auto"/>
        <w:left w:val="none" w:sz="0" w:space="0" w:color="auto"/>
        <w:bottom w:val="none" w:sz="0" w:space="0" w:color="auto"/>
        <w:right w:val="none" w:sz="0" w:space="0" w:color="auto"/>
      </w:divBdr>
    </w:div>
    <w:div w:id="1116565092">
      <w:bodyDiv w:val="1"/>
      <w:marLeft w:val="0"/>
      <w:marRight w:val="0"/>
      <w:marTop w:val="0"/>
      <w:marBottom w:val="0"/>
      <w:divBdr>
        <w:top w:val="none" w:sz="0" w:space="0" w:color="auto"/>
        <w:left w:val="none" w:sz="0" w:space="0" w:color="auto"/>
        <w:bottom w:val="none" w:sz="0" w:space="0" w:color="auto"/>
        <w:right w:val="none" w:sz="0" w:space="0" w:color="auto"/>
      </w:divBdr>
    </w:div>
    <w:div w:id="1272786491">
      <w:bodyDiv w:val="1"/>
      <w:marLeft w:val="0"/>
      <w:marRight w:val="0"/>
      <w:marTop w:val="0"/>
      <w:marBottom w:val="0"/>
      <w:divBdr>
        <w:top w:val="none" w:sz="0" w:space="0" w:color="auto"/>
        <w:left w:val="none" w:sz="0" w:space="0" w:color="auto"/>
        <w:bottom w:val="none" w:sz="0" w:space="0" w:color="auto"/>
        <w:right w:val="none" w:sz="0" w:space="0" w:color="auto"/>
      </w:divBdr>
    </w:div>
    <w:div w:id="1469586609">
      <w:bodyDiv w:val="1"/>
      <w:marLeft w:val="0"/>
      <w:marRight w:val="0"/>
      <w:marTop w:val="0"/>
      <w:marBottom w:val="0"/>
      <w:divBdr>
        <w:top w:val="none" w:sz="0" w:space="0" w:color="auto"/>
        <w:left w:val="none" w:sz="0" w:space="0" w:color="auto"/>
        <w:bottom w:val="none" w:sz="0" w:space="0" w:color="auto"/>
        <w:right w:val="none" w:sz="0" w:space="0" w:color="auto"/>
      </w:divBdr>
    </w:div>
    <w:div w:id="1582177373">
      <w:bodyDiv w:val="1"/>
      <w:marLeft w:val="0"/>
      <w:marRight w:val="0"/>
      <w:marTop w:val="0"/>
      <w:marBottom w:val="0"/>
      <w:divBdr>
        <w:top w:val="none" w:sz="0" w:space="0" w:color="auto"/>
        <w:left w:val="none" w:sz="0" w:space="0" w:color="auto"/>
        <w:bottom w:val="none" w:sz="0" w:space="0" w:color="auto"/>
        <w:right w:val="none" w:sz="0" w:space="0" w:color="auto"/>
      </w:divBdr>
    </w:div>
    <w:div w:id="1663046557">
      <w:bodyDiv w:val="1"/>
      <w:marLeft w:val="0"/>
      <w:marRight w:val="0"/>
      <w:marTop w:val="0"/>
      <w:marBottom w:val="0"/>
      <w:divBdr>
        <w:top w:val="none" w:sz="0" w:space="0" w:color="auto"/>
        <w:left w:val="none" w:sz="0" w:space="0" w:color="auto"/>
        <w:bottom w:val="none" w:sz="0" w:space="0" w:color="auto"/>
        <w:right w:val="none" w:sz="0" w:space="0" w:color="auto"/>
      </w:divBdr>
    </w:div>
    <w:div w:id="1677492098">
      <w:bodyDiv w:val="1"/>
      <w:marLeft w:val="0"/>
      <w:marRight w:val="0"/>
      <w:marTop w:val="0"/>
      <w:marBottom w:val="0"/>
      <w:divBdr>
        <w:top w:val="none" w:sz="0" w:space="0" w:color="auto"/>
        <w:left w:val="none" w:sz="0" w:space="0" w:color="auto"/>
        <w:bottom w:val="none" w:sz="0" w:space="0" w:color="auto"/>
        <w:right w:val="none" w:sz="0" w:space="0" w:color="auto"/>
      </w:divBdr>
    </w:div>
    <w:div w:id="1677731752">
      <w:bodyDiv w:val="1"/>
      <w:marLeft w:val="0"/>
      <w:marRight w:val="0"/>
      <w:marTop w:val="0"/>
      <w:marBottom w:val="0"/>
      <w:divBdr>
        <w:top w:val="none" w:sz="0" w:space="0" w:color="auto"/>
        <w:left w:val="none" w:sz="0" w:space="0" w:color="auto"/>
        <w:bottom w:val="none" w:sz="0" w:space="0" w:color="auto"/>
        <w:right w:val="none" w:sz="0" w:space="0" w:color="auto"/>
      </w:divBdr>
    </w:div>
    <w:div w:id="2021344876">
      <w:bodyDiv w:val="1"/>
      <w:marLeft w:val="0"/>
      <w:marRight w:val="0"/>
      <w:marTop w:val="0"/>
      <w:marBottom w:val="0"/>
      <w:divBdr>
        <w:top w:val="none" w:sz="0" w:space="0" w:color="auto"/>
        <w:left w:val="none" w:sz="0" w:space="0" w:color="auto"/>
        <w:bottom w:val="none" w:sz="0" w:space="0" w:color="auto"/>
        <w:right w:val="none" w:sz="0" w:space="0" w:color="auto"/>
      </w:divBdr>
    </w:div>
    <w:div w:id="212542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codocdb.dk/document/40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efis.dk/documents/3802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fis.dk/documents/1467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is.dk/documents/1463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fis.dk/documents/3289" TargetMode="External"/><Relationship Id="rId23" Type="http://schemas.openxmlformats.org/officeDocument/2006/relationships/fontTable" Target="fontTable.xml"/><Relationship Id="rId10" Type="http://schemas.openxmlformats.org/officeDocument/2006/relationships/hyperlink" Target="http://www.efis.dk/documents/1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fis.dk/documents/240" TargetMode="External"/><Relationship Id="rId14" Type="http://schemas.openxmlformats.org/officeDocument/2006/relationships/hyperlink" Target="http://www.efis.dk/documents/11399"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Data=-\ECC\PT_B\1M\draft%20briefs_PTB\CPG%20PTB(16)xyz%20-%20Template%20for%20CEPT%20Brief%20on%20AI%20XX%20(WRC-19).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0B8B6-1BBC-410D-930C-EBDA9419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CPG PTB(16)xyz - Template for CEPT Brief on AI XX (WRC-19)</Template>
  <TotalTime>0</TotalTime>
  <Pages>9</Pages>
  <Words>3057</Words>
  <Characters>19260</Characters>
  <Application>Microsoft Office Word</Application>
  <DocSecurity>0</DocSecurity>
  <Lines>160</Lines>
  <Paragraphs>44</Paragraphs>
  <ScaleCrop>false</ScaleCrop>
  <HeadingPairs>
    <vt:vector size="8" baseType="variant">
      <vt:variant>
        <vt:lpstr>Titel</vt:lpstr>
      </vt:variant>
      <vt:variant>
        <vt:i4>1</vt:i4>
      </vt:variant>
      <vt:variant>
        <vt:lpstr>Title</vt:lpstr>
      </vt:variant>
      <vt:variant>
        <vt:i4>1</vt:i4>
      </vt:variant>
      <vt:variant>
        <vt:lpstr>Название</vt:lpstr>
      </vt:variant>
      <vt:variant>
        <vt:i4>1</vt:i4>
      </vt:variant>
      <vt:variant>
        <vt:lpstr>Заголовки</vt:lpstr>
      </vt:variant>
      <vt:variant>
        <vt:i4>19</vt:i4>
      </vt:variant>
    </vt:vector>
  </HeadingPairs>
  <TitlesOfParts>
    <vt:vector size="22" baseType="lpstr">
      <vt:lpstr>Draft CEPT Brief on AI XX</vt:lpstr>
      <vt:lpstr>Draft CEPT Brief on AI XX</vt:lpstr>
      <vt:lpstr>Draft CEPT Brief on AI XX</vt:lpstr>
      <vt:lpstr>DRAFT CEPT BRIEF ON AGENDA ITEM 9.1 Issue 9.1.3</vt:lpstr>
      <vt:lpstr>ISSUE</vt:lpstr>
      <vt:lpstr>Preliminary CEPT position </vt:lpstr>
      <vt:lpstr>Background</vt:lpstr>
      <vt:lpstr>        Sharing with FS in the bands 3 700-4 200 MHz and 5 925-6 425 MHz</vt:lpstr>
      <vt:lpstr>        Sharing with MS in the bands 3 700-4 200 MHz and 5 925-6 425 MHz</vt:lpstr>
      <vt:lpstr>        Sharing with FSS in the bands 3 700-4 200 MHz and 5 925-6 425 MHz</vt:lpstr>
      <vt:lpstr>        Sharing with FS in the bands 4 500-4 800 MHz and 6 725-7 025 MHz</vt:lpstr>
      <vt:lpstr>        Sharing with MS in the bands 4 500-4 800 MHz and 6 725-7 025 MHz</vt:lpstr>
      <vt:lpstr>        Sharing with FSS in the bands 4 500 – 4 800 MHz and 6 725-7 025 MHz</vt:lpstr>
      <vt:lpstr>        Sharing with FSS (s-E), the use of which is limited to feeder links for non-geos</vt:lpstr>
      <vt:lpstr>List of relevant documents</vt:lpstr>
      <vt:lpstr>Actions to be taken</vt:lpstr>
      <vt:lpstr>Relevant information from outside CEPT</vt:lpstr>
      <vt:lpstr>    European Union (date of proposal)</vt:lpstr>
      <vt:lpstr>    Regional telecommunication organisations</vt:lpstr>
      <vt:lpstr>    International organisations</vt:lpstr>
      <vt:lpstr>    Regional organisations</vt:lpstr>
      <vt:lpstr>    OTHER INTERNATIONAL AND REGIONAL ORGANISATIONS</vt:lpstr>
    </vt:vector>
  </TitlesOfParts>
  <Manager>stella.lyubchenko@eco.cept.org</Manager>
  <Company>ECO</Company>
  <LinksUpToDate>false</LinksUpToDate>
  <CharactersWithSpaces>22273</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Draft CEPT Brief</dc:subject>
  <dc:creator>sts</dc:creator>
  <cp:keywords>CEPT Brief</cp:keywords>
  <dc:description>Output CPG19-6</dc:description>
  <cp:lastModifiedBy>CPG</cp:lastModifiedBy>
  <cp:revision>2</cp:revision>
  <cp:lastPrinted>2018-09-12T13:45:00Z</cp:lastPrinted>
  <dcterms:created xsi:type="dcterms:W3CDTF">2018-12-05T14:01:00Z</dcterms:created>
  <dcterms:modified xsi:type="dcterms:W3CDTF">2018-12-05T14:01:00Z</dcterms:modified>
  <cp:category>protected templates</cp:category>
  <cp:contentStatus>Draft</cp:contentStatus>
</cp:coreProperties>
</file>