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126"/>
        <w:gridCol w:w="4961"/>
      </w:tblGrid>
      <w:tr w:rsidR="002F3A7E" w:rsidRPr="00497DD0" w:rsidTr="00052EFB">
        <w:trPr>
          <w:cantSplit/>
          <w:trHeight w:val="1240"/>
        </w:trPr>
        <w:tc>
          <w:tcPr>
            <w:tcW w:w="4820" w:type="dxa"/>
            <w:gridSpan w:val="2"/>
            <w:tcBorders>
              <w:top w:val="nil"/>
              <w:left w:val="nil"/>
              <w:bottom w:val="nil"/>
              <w:right w:val="nil"/>
            </w:tcBorders>
          </w:tcPr>
          <w:p w:rsidR="002F3A7E" w:rsidRPr="00BC2F90" w:rsidRDefault="002F3A7E" w:rsidP="00385D1E">
            <w:pPr>
              <w:pStyle w:val="ECCLetterHead"/>
            </w:pPr>
          </w:p>
        </w:tc>
        <w:tc>
          <w:tcPr>
            <w:tcW w:w="4961" w:type="dxa"/>
            <w:tcBorders>
              <w:top w:val="nil"/>
              <w:left w:val="nil"/>
              <w:bottom w:val="nil"/>
              <w:right w:val="nil"/>
            </w:tcBorders>
          </w:tcPr>
          <w:p w:rsidR="002F3A7E" w:rsidRPr="00497DD0" w:rsidRDefault="002F3A7E" w:rsidP="007653B1">
            <w:pPr>
              <w:pStyle w:val="ECCLetterHead"/>
              <w:rPr>
                <w:rStyle w:val="ECCHLbold"/>
                <w:lang w:val="en-US"/>
              </w:rPr>
            </w:pPr>
            <w:r w:rsidRPr="008E39BF">
              <w:tab/>
            </w:r>
            <w:r w:rsidR="00E84C7B">
              <w:rPr>
                <w:lang w:val="en-US"/>
              </w:rPr>
              <w:t>Doc. C</w:t>
            </w:r>
            <w:r w:rsidR="00E84C7B">
              <w:t>PG</w:t>
            </w:r>
            <w:r w:rsidR="004F279C" w:rsidRPr="00497DD0">
              <w:rPr>
                <w:lang w:val="en-US"/>
              </w:rPr>
              <w:t>(18)</w:t>
            </w:r>
            <w:r w:rsidR="00091D06" w:rsidRPr="00091D06">
              <w:t>0</w:t>
            </w:r>
            <w:r w:rsidR="007653B1">
              <w:t>73</w:t>
            </w:r>
            <w:r w:rsidR="004F279C" w:rsidRPr="00497DD0">
              <w:rPr>
                <w:lang w:val="en-US"/>
              </w:rPr>
              <w:t xml:space="preserve"> </w:t>
            </w:r>
            <w:r w:rsidR="009D44A7">
              <w:rPr>
                <w:lang w:val="en-US"/>
              </w:rPr>
              <w:t>ANNEX IV-21F</w:t>
            </w:r>
          </w:p>
        </w:tc>
      </w:tr>
      <w:tr w:rsidR="002F3A7E" w:rsidRPr="00BC2F90" w:rsidTr="002F3A7E">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2F3A7E" w:rsidRPr="00734360" w:rsidRDefault="00EB3FA7" w:rsidP="008E39BF">
            <w:pPr>
              <w:pStyle w:val="ECCLetterHead"/>
            </w:pPr>
            <w:r>
              <w:t>CPG19-7</w:t>
            </w:r>
          </w:p>
        </w:tc>
      </w:tr>
      <w:tr w:rsidR="00934E88" w:rsidRPr="00BC2F90" w:rsidTr="002F3A7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934E88" w:rsidRPr="00934E88" w:rsidRDefault="00EB3FA7" w:rsidP="00EB3FA7">
            <w:pPr>
              <w:pStyle w:val="ECCLetterHead"/>
            </w:pPr>
            <w:r>
              <w:t>Hilversum, The Netherlands, 27</w:t>
            </w:r>
            <w:r w:rsidRPr="00EB3FA7">
              <w:rPr>
                <w:vertAlign w:val="superscript"/>
              </w:rPr>
              <w:t>th</w:t>
            </w:r>
            <w:r>
              <w:t xml:space="preserve"> - 30</w:t>
            </w:r>
            <w:r w:rsidRPr="00EB3FA7">
              <w:rPr>
                <w:vertAlign w:val="superscript"/>
              </w:rPr>
              <w:t>th</w:t>
            </w:r>
            <w:r>
              <w:t xml:space="preserve"> November</w:t>
            </w:r>
            <w:r w:rsidR="004F279C" w:rsidRPr="004C595F">
              <w:t xml:space="preserve"> 2018</w:t>
            </w:r>
          </w:p>
        </w:tc>
      </w:tr>
      <w:tr w:rsidR="00934E88" w:rsidRPr="00BC2F90" w:rsidTr="00052EFB">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934E88" w:rsidRPr="00934E88" w:rsidRDefault="00934E88" w:rsidP="00934E88">
            <w:pPr>
              <w:pStyle w:val="ECCLetterHead"/>
            </w:pPr>
            <w:r w:rsidRPr="00934E88">
              <w:t>6th meeting of CPG Project team D</w:t>
            </w:r>
          </w:p>
        </w:tc>
        <w:tc>
          <w:tcPr>
            <w:tcW w:w="4961" w:type="dxa"/>
            <w:tcBorders>
              <w:top w:val="nil"/>
              <w:left w:val="nil"/>
              <w:bottom w:val="nil"/>
              <w:right w:val="nil"/>
            </w:tcBorders>
            <w:vAlign w:val="center"/>
          </w:tcPr>
          <w:p w:rsidR="00934E88" w:rsidRPr="00934E88" w:rsidRDefault="00934E88" w:rsidP="00934E88">
            <w:pPr>
              <w:pStyle w:val="ECCLetterHead"/>
            </w:pPr>
          </w:p>
        </w:tc>
      </w:tr>
      <w:tr w:rsidR="00934E88" w:rsidRPr="00BC2F90" w:rsidTr="002F3A7E">
        <w:tblPrEx>
          <w:tblCellMar>
            <w:left w:w="108" w:type="dxa"/>
            <w:right w:w="108" w:type="dxa"/>
          </w:tblCellMar>
        </w:tblPrEx>
        <w:trPr>
          <w:cantSplit/>
          <w:trHeight w:val="405"/>
        </w:trPr>
        <w:tc>
          <w:tcPr>
            <w:tcW w:w="1694" w:type="dxa"/>
            <w:tcBorders>
              <w:top w:val="nil"/>
              <w:left w:val="nil"/>
              <w:bottom w:val="nil"/>
              <w:right w:val="nil"/>
            </w:tcBorders>
            <w:vAlign w:val="center"/>
          </w:tcPr>
          <w:p w:rsidR="00934E88" w:rsidRPr="00934E88" w:rsidRDefault="00934E88" w:rsidP="00934E88">
            <w:pPr>
              <w:pStyle w:val="ECCLetterHead"/>
            </w:pPr>
            <w:r w:rsidRPr="00934E88">
              <w:t>Date issued:</w:t>
            </w:r>
          </w:p>
        </w:tc>
        <w:tc>
          <w:tcPr>
            <w:tcW w:w="8087" w:type="dxa"/>
            <w:gridSpan w:val="2"/>
            <w:tcBorders>
              <w:top w:val="nil"/>
              <w:left w:val="nil"/>
              <w:bottom w:val="nil"/>
              <w:right w:val="nil"/>
            </w:tcBorders>
            <w:vAlign w:val="center"/>
          </w:tcPr>
          <w:p w:rsidR="00934E88" w:rsidRPr="00934E88" w:rsidRDefault="007653B1" w:rsidP="007653B1">
            <w:pPr>
              <w:pStyle w:val="ECCLetterHead"/>
            </w:pPr>
            <w:r>
              <w:t>30</w:t>
            </w:r>
            <w:r w:rsidR="00EB3FA7" w:rsidRPr="00EB3FA7">
              <w:rPr>
                <w:vertAlign w:val="superscript"/>
              </w:rPr>
              <w:t>th</w:t>
            </w:r>
            <w:r w:rsidR="00EB3FA7">
              <w:t xml:space="preserve"> </w:t>
            </w:r>
            <w:r>
              <w:t xml:space="preserve">November </w:t>
            </w:r>
            <w:r w:rsidR="004F279C" w:rsidRPr="004F279C">
              <w:t>2018</w:t>
            </w:r>
          </w:p>
        </w:tc>
      </w:tr>
      <w:tr w:rsidR="00934E88" w:rsidRPr="00BC2F90" w:rsidTr="002F3A7E">
        <w:tblPrEx>
          <w:tblCellMar>
            <w:left w:w="108" w:type="dxa"/>
            <w:right w:w="108" w:type="dxa"/>
          </w:tblCellMar>
        </w:tblPrEx>
        <w:trPr>
          <w:cantSplit/>
          <w:trHeight w:val="405"/>
        </w:trPr>
        <w:tc>
          <w:tcPr>
            <w:tcW w:w="1694" w:type="dxa"/>
            <w:tcBorders>
              <w:top w:val="nil"/>
              <w:left w:val="nil"/>
              <w:bottom w:val="nil"/>
              <w:right w:val="nil"/>
            </w:tcBorders>
            <w:vAlign w:val="center"/>
          </w:tcPr>
          <w:p w:rsidR="00934E88" w:rsidRPr="00934E88" w:rsidRDefault="00934E88" w:rsidP="00934E88">
            <w:pPr>
              <w:pStyle w:val="ECCLetterHead"/>
            </w:pPr>
            <w:r w:rsidRPr="00934E88">
              <w:t xml:space="preserve">Source: </w:t>
            </w:r>
          </w:p>
        </w:tc>
        <w:tc>
          <w:tcPr>
            <w:tcW w:w="8087" w:type="dxa"/>
            <w:gridSpan w:val="2"/>
            <w:tcBorders>
              <w:top w:val="nil"/>
              <w:left w:val="nil"/>
              <w:bottom w:val="nil"/>
              <w:right w:val="nil"/>
            </w:tcBorders>
            <w:vAlign w:val="center"/>
          </w:tcPr>
          <w:p w:rsidR="00934E88" w:rsidRPr="00934E88" w:rsidRDefault="007653B1" w:rsidP="00934E88">
            <w:pPr>
              <w:pStyle w:val="ECCLetterHead"/>
            </w:pPr>
            <w:r>
              <w:t>CPG19-7</w:t>
            </w:r>
          </w:p>
        </w:tc>
      </w:tr>
      <w:tr w:rsidR="00934E88" w:rsidRPr="00BC2F90" w:rsidTr="002F3A7E">
        <w:tblPrEx>
          <w:tblCellMar>
            <w:left w:w="108" w:type="dxa"/>
            <w:right w:w="108" w:type="dxa"/>
          </w:tblCellMar>
        </w:tblPrEx>
        <w:trPr>
          <w:cantSplit/>
          <w:trHeight w:val="405"/>
        </w:trPr>
        <w:tc>
          <w:tcPr>
            <w:tcW w:w="1694" w:type="dxa"/>
            <w:tcBorders>
              <w:top w:val="nil"/>
              <w:left w:val="nil"/>
              <w:bottom w:val="nil"/>
              <w:right w:val="nil"/>
            </w:tcBorders>
            <w:vAlign w:val="center"/>
          </w:tcPr>
          <w:p w:rsidR="00934E88" w:rsidRPr="00934E88" w:rsidRDefault="00934E88" w:rsidP="00934E88">
            <w:pPr>
              <w:pStyle w:val="ECCLetterHead"/>
            </w:pPr>
            <w:r w:rsidRPr="00934E88">
              <w:t xml:space="preserve">Subject: </w:t>
            </w:r>
          </w:p>
        </w:tc>
        <w:tc>
          <w:tcPr>
            <w:tcW w:w="8087" w:type="dxa"/>
            <w:gridSpan w:val="2"/>
            <w:tcBorders>
              <w:top w:val="nil"/>
              <w:left w:val="nil"/>
              <w:bottom w:val="nil"/>
              <w:right w:val="nil"/>
            </w:tcBorders>
            <w:vAlign w:val="center"/>
          </w:tcPr>
          <w:p w:rsidR="00934E88" w:rsidRPr="00934E88" w:rsidRDefault="00934E88" w:rsidP="00934E88">
            <w:pPr>
              <w:pStyle w:val="ECCLetterHead"/>
            </w:pPr>
            <w:r w:rsidRPr="00934E88">
              <w:t>Draft CEPT Brief on WRC-19 Agenda item 9.1, Issue 9.1.6</w:t>
            </w:r>
          </w:p>
        </w:tc>
      </w:tr>
      <w:tr w:rsidR="00385D1E" w:rsidRPr="00BC2F90" w:rsidTr="00052EFB">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85D1E" w:rsidRPr="00385D1E" w:rsidRDefault="00385D1E" w:rsidP="00385D1E">
            <w:pPr>
              <w:pStyle w:val="ECCLetterHead"/>
            </w:pPr>
            <w:r w:rsidRPr="00934E88">
              <w:t>6th meeting of CPG Project team D</w:t>
            </w:r>
          </w:p>
        </w:tc>
        <w:tc>
          <w:tcPr>
            <w:tcW w:w="4961" w:type="dxa"/>
            <w:tcBorders>
              <w:top w:val="nil"/>
              <w:left w:val="nil"/>
              <w:bottom w:val="nil"/>
              <w:right w:val="nil"/>
            </w:tcBorders>
            <w:vAlign w:val="center"/>
          </w:tcPr>
          <w:p w:rsidR="00385D1E" w:rsidRPr="00934E88" w:rsidRDefault="00385D1E" w:rsidP="00385D1E">
            <w:pPr>
              <w:pStyle w:val="ECCLetterHead"/>
            </w:pPr>
          </w:p>
        </w:tc>
      </w:tr>
      <w:tr w:rsidR="00934E88"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934E88" w:rsidRPr="00934E88" w:rsidRDefault="00934E88" w:rsidP="00934E88">
            <w:pPr>
              <w:pStyle w:val="ECCLetterHead"/>
              <w:rPr>
                <w:rStyle w:val="ECCHLbold"/>
              </w:rPr>
            </w:pPr>
            <w:r w:rsidRPr="00934E88">
              <w:t xml:space="preserve">Summary: </w:t>
            </w:r>
          </w:p>
        </w:tc>
      </w:tr>
      <w:tr w:rsidR="00934E88"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934E88" w:rsidRPr="00934E88" w:rsidRDefault="00934E88" w:rsidP="00934E88">
            <w:pPr>
              <w:pStyle w:val="ECCTabletext"/>
            </w:pPr>
          </w:p>
        </w:tc>
      </w:tr>
      <w:tr w:rsidR="00934E88"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934E88" w:rsidRPr="00934E88" w:rsidRDefault="00934E88" w:rsidP="00934E88">
            <w:pPr>
              <w:pStyle w:val="ECCLetterHead"/>
            </w:pPr>
            <w:r w:rsidRPr="00934E88">
              <w:t>Proposal:</w:t>
            </w:r>
          </w:p>
        </w:tc>
      </w:tr>
      <w:tr w:rsidR="00934E88" w:rsidRPr="00BC2F90" w:rsidTr="002F3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934E88" w:rsidRPr="00934E88" w:rsidRDefault="00934E88" w:rsidP="00934E88">
            <w:pPr>
              <w:pStyle w:val="ECCTabletext"/>
              <w:rPr>
                <w:rStyle w:val="ECCParagraph"/>
              </w:rPr>
            </w:pPr>
          </w:p>
        </w:tc>
      </w:tr>
    </w:tbl>
    <w:p w:rsidR="00385D1E" w:rsidRPr="00C9448B" w:rsidRDefault="00E32F80" w:rsidP="00052EFB">
      <w:pPr>
        <w:pStyle w:val="ECCEditorsNote"/>
        <w:rPr>
          <w:rFonts w:cs="Arial"/>
          <w:b/>
          <w:bCs/>
          <w:caps/>
          <w:color w:val="D2232A"/>
          <w:kern w:val="32"/>
          <w:szCs w:val="32"/>
          <w:lang w:val="en-GB"/>
        </w:rPr>
      </w:pPr>
      <w:r w:rsidRPr="007368D1">
        <w:rPr>
          <w:lang w:val="en-GB"/>
        </w:rPr>
        <w:t>The following pages are intended to be compiled in one CEPT Brief on AI 9</w:t>
      </w:r>
      <w:r w:rsidR="00385D1E" w:rsidRPr="00C9448B">
        <w:rPr>
          <w:lang w:val="en-GB"/>
        </w:rPr>
        <w:br w:type="page"/>
      </w:r>
    </w:p>
    <w:p w:rsidR="003771D5" w:rsidRPr="00BC2F90" w:rsidRDefault="00F737A4" w:rsidP="003A68D5">
      <w:pPr>
        <w:pStyle w:val="ECCHeadingnonumbering"/>
        <w:rPr>
          <w:lang w:val="en-GB"/>
        </w:rPr>
      </w:pPr>
      <w:r w:rsidRPr="007368D1">
        <w:rPr>
          <w:lang w:val="en-GB"/>
        </w:rPr>
        <w:lastRenderedPageBreak/>
        <w:t>D</w:t>
      </w:r>
      <w:r w:rsidR="003771D5" w:rsidRPr="00BC2F90">
        <w:rPr>
          <w:lang w:val="en-GB"/>
        </w:rPr>
        <w:t xml:space="preserve">RAFT CEPT BRIEF ON AGENDA ITEM </w:t>
      </w:r>
      <w:r w:rsidR="008D7748" w:rsidRPr="00BC2F90">
        <w:rPr>
          <w:lang w:val="en-GB"/>
        </w:rPr>
        <w:t>9</w:t>
      </w:r>
      <w:r w:rsidR="00C0624A" w:rsidRPr="00BC2F90">
        <w:rPr>
          <w:lang w:val="en-GB"/>
        </w:rPr>
        <w:t>.1 – Issue 9.1</w:t>
      </w:r>
      <w:r w:rsidR="008D7748" w:rsidRPr="00BC2F90">
        <w:rPr>
          <w:lang w:val="en-GB"/>
        </w:rPr>
        <w:t>.6</w:t>
      </w:r>
      <w:r w:rsidR="003771D5" w:rsidRPr="00BC2F90">
        <w:rPr>
          <w:lang w:val="en-GB"/>
        </w:rPr>
        <w:t xml:space="preserve"> </w:t>
      </w:r>
      <w:r w:rsidR="00C0624A" w:rsidRPr="00BC2F90">
        <w:rPr>
          <w:lang w:val="en-GB"/>
        </w:rPr>
        <w:t xml:space="preserve">– </w:t>
      </w:r>
      <w:r w:rsidR="008750DA" w:rsidRPr="00BC2F90">
        <w:rPr>
          <w:lang w:val="en-GB"/>
        </w:rPr>
        <w:t>Resolutio</w:t>
      </w:r>
      <w:r w:rsidR="008750DA" w:rsidRPr="00A65BDD">
        <w:rPr>
          <w:lang w:val="en-US"/>
        </w:rPr>
        <w:t>N</w:t>
      </w:r>
      <w:r w:rsidR="008750DA" w:rsidRPr="00BC2F90">
        <w:rPr>
          <w:lang w:val="en-GB"/>
        </w:rPr>
        <w:t xml:space="preserve"> </w:t>
      </w:r>
      <w:r w:rsidR="00C0624A" w:rsidRPr="00BC2F90">
        <w:rPr>
          <w:lang w:val="en-GB"/>
        </w:rPr>
        <w:t xml:space="preserve">958 (WRC-15) </w:t>
      </w:r>
    </w:p>
    <w:p w:rsidR="003771D5" w:rsidRPr="004F51A8" w:rsidRDefault="008D7748" w:rsidP="00BD4E12">
      <w:pPr>
        <w:rPr>
          <w:rStyle w:val="ECCParagraph"/>
        </w:rPr>
      </w:pPr>
      <w:r w:rsidRPr="004F51A8">
        <w:rPr>
          <w:rStyle w:val="ECCParagraph"/>
        </w:rPr>
        <w:t>Resolution </w:t>
      </w:r>
      <w:r w:rsidRPr="00FF4D38">
        <w:rPr>
          <w:rStyle w:val="ECCHLbold"/>
        </w:rPr>
        <w:t>958 (WRC-15)</w:t>
      </w:r>
      <w:r w:rsidRPr="004F51A8">
        <w:rPr>
          <w:rStyle w:val="ECCParagraph"/>
        </w:rPr>
        <w:t> - Urgent studies required in preparation for WRC-19 - Studies concerning Wireless Power Transmission for electric vehicles</w:t>
      </w:r>
    </w:p>
    <w:p w:rsidR="003771D5" w:rsidRPr="00BC2F90" w:rsidRDefault="003771D5" w:rsidP="00BD4E12">
      <w:pPr>
        <w:pStyle w:val="berschrift1"/>
        <w:rPr>
          <w:lang w:val="en-GB"/>
        </w:rPr>
      </w:pPr>
      <w:r w:rsidRPr="00BC2F90">
        <w:rPr>
          <w:lang w:val="en-GB"/>
        </w:rPr>
        <w:t>ISSUE</w:t>
      </w:r>
    </w:p>
    <w:p w:rsidR="00AF246F" w:rsidRPr="004F51A8" w:rsidRDefault="00AF246F" w:rsidP="00BD4E12">
      <w:pPr>
        <w:rPr>
          <w:rStyle w:val="ECCParagraph"/>
        </w:rPr>
      </w:pPr>
      <w:r w:rsidRPr="004F51A8">
        <w:rPr>
          <w:rStyle w:val="ECCParagraph"/>
        </w:rPr>
        <w:t xml:space="preserve">Resolution </w:t>
      </w:r>
      <w:r w:rsidRPr="002627B2">
        <w:rPr>
          <w:rStyle w:val="ECCHLbold"/>
        </w:rPr>
        <w:t>958 (WRC-15)</w:t>
      </w:r>
      <w:r w:rsidRPr="004F51A8">
        <w:rPr>
          <w:rStyle w:val="ECCParagraph"/>
        </w:rPr>
        <w:t xml:space="preserve"> </w:t>
      </w:r>
      <w:r w:rsidR="006200D7" w:rsidRPr="004F51A8">
        <w:rPr>
          <w:rStyle w:val="ECCParagraph"/>
        </w:rPr>
        <w:t>calls</w:t>
      </w:r>
      <w:r w:rsidRPr="004F51A8">
        <w:rPr>
          <w:rStyle w:val="ECCParagraph"/>
        </w:rPr>
        <w:t xml:space="preserve"> to complete </w:t>
      </w:r>
      <w:r w:rsidR="005E3DA3" w:rsidRPr="004F51A8">
        <w:rPr>
          <w:rStyle w:val="ECCParagraph"/>
        </w:rPr>
        <w:t xml:space="preserve">ITU-R </w:t>
      </w:r>
      <w:r w:rsidRPr="004F51A8">
        <w:rPr>
          <w:rStyle w:val="ECCParagraph"/>
        </w:rPr>
        <w:t>studies concern</w:t>
      </w:r>
      <w:r w:rsidR="00693735" w:rsidRPr="004F51A8">
        <w:rPr>
          <w:rStyle w:val="ECCParagraph"/>
        </w:rPr>
        <w:t>ing Wireless Power Transmission (WPT) for electric</w:t>
      </w:r>
      <w:r w:rsidRPr="004F51A8">
        <w:rPr>
          <w:rStyle w:val="ECCParagraph"/>
        </w:rPr>
        <w:t xml:space="preserve"> vehicles</w:t>
      </w:r>
      <w:r w:rsidR="00362E1A">
        <w:rPr>
          <w:rStyle w:val="ECCParagraph"/>
        </w:rPr>
        <w:t xml:space="preserve"> (EV)</w:t>
      </w:r>
      <w:r w:rsidR="00C42218" w:rsidRPr="004F51A8">
        <w:rPr>
          <w:rStyle w:val="ECCParagraph"/>
        </w:rPr>
        <w:t>:</w:t>
      </w:r>
    </w:p>
    <w:p w:rsidR="00AF246F" w:rsidRPr="008A0F37" w:rsidRDefault="00AF246F" w:rsidP="004F51A8">
      <w:pPr>
        <w:pStyle w:val="ECCLetteredList"/>
        <w:rPr>
          <w:lang w:val="en-GB"/>
        </w:rPr>
      </w:pPr>
      <w:r w:rsidRPr="008A0F37">
        <w:rPr>
          <w:lang w:val="en-GB"/>
        </w:rPr>
        <w:t xml:space="preserve">to assess the impact of WPT for electric vehicles on </w:t>
      </w:r>
      <w:proofErr w:type="spellStart"/>
      <w:r w:rsidRPr="008A0F37">
        <w:rPr>
          <w:lang w:val="en-GB"/>
        </w:rPr>
        <w:t>radiocommunication</w:t>
      </w:r>
      <w:proofErr w:type="spellEnd"/>
      <w:r w:rsidRPr="008A0F37">
        <w:rPr>
          <w:lang w:val="en-GB"/>
        </w:rPr>
        <w:t xml:space="preserve"> services;</w:t>
      </w:r>
    </w:p>
    <w:p w:rsidR="00D0121B" w:rsidRPr="008A0F37" w:rsidRDefault="00AF246F" w:rsidP="004F51A8">
      <w:pPr>
        <w:pStyle w:val="ECCLetteredList"/>
        <w:rPr>
          <w:lang w:val="en-GB"/>
        </w:rPr>
      </w:pPr>
      <w:proofErr w:type="gramStart"/>
      <w:r w:rsidRPr="008A0F37">
        <w:rPr>
          <w:lang w:val="en-GB"/>
        </w:rPr>
        <w:t>to</w:t>
      </w:r>
      <w:proofErr w:type="gramEnd"/>
      <w:r w:rsidRPr="008A0F37">
        <w:rPr>
          <w:lang w:val="en-GB"/>
        </w:rPr>
        <w:t xml:space="preserve"> study suitable harmonized frequency ranges which would minimize the impact on </w:t>
      </w:r>
      <w:proofErr w:type="spellStart"/>
      <w:r w:rsidRPr="008A0F37">
        <w:rPr>
          <w:lang w:val="en-GB"/>
        </w:rPr>
        <w:t>radiocommunication</w:t>
      </w:r>
      <w:proofErr w:type="spellEnd"/>
      <w:r w:rsidRPr="008A0F37">
        <w:rPr>
          <w:lang w:val="en-GB"/>
        </w:rPr>
        <w:t xml:space="preserve"> services from WPT for electrical vehicles.</w:t>
      </w:r>
    </w:p>
    <w:p w:rsidR="003771D5" w:rsidRPr="00BC2F90" w:rsidRDefault="003771D5" w:rsidP="00BD4E12">
      <w:pPr>
        <w:pStyle w:val="berschrift1"/>
        <w:rPr>
          <w:lang w:val="en-GB"/>
        </w:rPr>
      </w:pPr>
      <w:r w:rsidRPr="00BC2F90">
        <w:rPr>
          <w:lang w:val="en-GB"/>
        </w:rPr>
        <w:t xml:space="preserve">Preliminary CEPT position </w:t>
      </w:r>
    </w:p>
    <w:p w:rsidR="006F57C2" w:rsidRDefault="008C514C" w:rsidP="004349BB">
      <w:pPr>
        <w:rPr>
          <w:rStyle w:val="ECCParagraph"/>
        </w:rPr>
      </w:pPr>
      <w:r>
        <w:rPr>
          <w:rStyle w:val="ECCParagraph"/>
        </w:rPr>
        <w:t>CEPT is of the view that no regulatory action to the RR will be required in order to resolve AI 9.1, issue 9.1.6. ITU-R Report</w:t>
      </w:r>
      <w:r w:rsidR="009914F8">
        <w:rPr>
          <w:rStyle w:val="ECCParagraph"/>
        </w:rPr>
        <w:t xml:space="preserve"> </w:t>
      </w:r>
      <w:r w:rsidR="009914F8" w:rsidRPr="009914F8">
        <w:t>SM.[WPT.SPEC.MNGM]</w:t>
      </w:r>
      <w:r>
        <w:rPr>
          <w:rStyle w:val="ECCParagraph"/>
        </w:rPr>
        <w:t xml:space="preserve"> and Recommendation</w:t>
      </w:r>
      <w:r w:rsidR="00B7019A">
        <w:rPr>
          <w:rStyle w:val="ECCParagraph"/>
        </w:rPr>
        <w:t>s</w:t>
      </w:r>
      <w:r w:rsidR="009914F8">
        <w:rPr>
          <w:rStyle w:val="ECCParagraph"/>
        </w:rPr>
        <w:t xml:space="preserve"> ITU-R SM.2110 and ITU-R SM.[WPT-UNWANTED]</w:t>
      </w:r>
      <w:r>
        <w:rPr>
          <w:rStyle w:val="ECCParagraph"/>
        </w:rPr>
        <w:t>, are considered sufficient to specify suitable frequency bands and limits on unwanted emissions for WPT-EV</w:t>
      </w:r>
      <w:r w:rsidR="00C9448B">
        <w:rPr>
          <w:rStyle w:val="ECCParagraph"/>
        </w:rPr>
        <w:t xml:space="preserve">, </w:t>
      </w:r>
      <w:r w:rsidR="00AE50C3">
        <w:rPr>
          <w:rStyle w:val="ECCParagraph"/>
        </w:rPr>
        <w:t>along with</w:t>
      </w:r>
      <w:r w:rsidR="00C9448B">
        <w:rPr>
          <w:rStyle w:val="ECCParagraph"/>
        </w:rPr>
        <w:t xml:space="preserve"> </w:t>
      </w:r>
      <w:r w:rsidR="00AE50C3" w:rsidRPr="00AE50C3">
        <w:t>determination of the related centre frequencies</w:t>
      </w:r>
      <w:r>
        <w:rPr>
          <w:rStyle w:val="ECCParagraph"/>
        </w:rPr>
        <w:t>.</w:t>
      </w:r>
    </w:p>
    <w:p w:rsidR="0015700A" w:rsidRDefault="004349BB" w:rsidP="004349BB">
      <w:pPr>
        <w:rPr>
          <w:rStyle w:val="ECCParagraph"/>
        </w:rPr>
      </w:pPr>
      <w:r>
        <w:rPr>
          <w:rStyle w:val="ECCParagraph"/>
        </w:rPr>
        <w:t xml:space="preserve">CEPT </w:t>
      </w:r>
      <w:r w:rsidR="007368D1">
        <w:rPr>
          <w:rStyle w:val="ECCParagraph"/>
        </w:rPr>
        <w:t xml:space="preserve">has </w:t>
      </w:r>
      <w:r w:rsidR="001B1EE8">
        <w:rPr>
          <w:rStyle w:val="ECCParagraph"/>
        </w:rPr>
        <w:t>identified</w:t>
      </w:r>
      <w:r w:rsidR="006F57C2">
        <w:rPr>
          <w:rStyle w:val="ECCParagraph"/>
        </w:rPr>
        <w:t xml:space="preserve"> </w:t>
      </w:r>
      <w:r w:rsidR="0015700A">
        <w:rPr>
          <w:rStyle w:val="ECCParagraph"/>
        </w:rPr>
        <w:t>the following</w:t>
      </w:r>
      <w:r w:rsidR="006F57C2">
        <w:rPr>
          <w:rStyle w:val="ECCParagraph"/>
        </w:rPr>
        <w:t xml:space="preserve"> candidate bands as suitable for WPT</w:t>
      </w:r>
      <w:r w:rsidR="00F86A59">
        <w:rPr>
          <w:rStyle w:val="ECCParagraph"/>
        </w:rPr>
        <w:t>-</w:t>
      </w:r>
      <w:r w:rsidR="006F57C2">
        <w:rPr>
          <w:rStyle w:val="ECCParagraph"/>
        </w:rPr>
        <w:t xml:space="preserve">EV, </w:t>
      </w:r>
      <w:r>
        <w:rPr>
          <w:rStyle w:val="ECCParagraph"/>
        </w:rPr>
        <w:t xml:space="preserve">which </w:t>
      </w:r>
      <w:r w:rsidR="0015700A">
        <w:rPr>
          <w:rStyle w:val="ECCParagraph"/>
        </w:rPr>
        <w:t xml:space="preserve">can </w:t>
      </w:r>
      <w:r>
        <w:rPr>
          <w:rStyle w:val="ECCParagraph"/>
        </w:rPr>
        <w:t>minimis</w:t>
      </w:r>
      <w:r w:rsidR="00542B1C">
        <w:rPr>
          <w:rStyle w:val="ECCParagraph"/>
        </w:rPr>
        <w:t>e</w:t>
      </w:r>
      <w:r>
        <w:rPr>
          <w:rStyle w:val="ECCParagraph"/>
        </w:rPr>
        <w:t xml:space="preserve"> the impact of WPT</w:t>
      </w:r>
      <w:r w:rsidR="00F86A59">
        <w:rPr>
          <w:rStyle w:val="ECCParagraph"/>
        </w:rPr>
        <w:t>-</w:t>
      </w:r>
      <w:r>
        <w:rPr>
          <w:rStyle w:val="ECCParagraph"/>
        </w:rPr>
        <w:t>EV</w:t>
      </w:r>
      <w:r w:rsidR="006F57C2">
        <w:rPr>
          <w:rStyle w:val="ECCParagraph"/>
        </w:rPr>
        <w:t xml:space="preserve"> on </w:t>
      </w:r>
      <w:proofErr w:type="spellStart"/>
      <w:r w:rsidR="006F57C2">
        <w:rPr>
          <w:rStyle w:val="ECCParagraph"/>
        </w:rPr>
        <w:t>radiocommunication</w:t>
      </w:r>
      <w:proofErr w:type="spellEnd"/>
      <w:r w:rsidR="006F57C2">
        <w:rPr>
          <w:rStyle w:val="ECCParagraph"/>
        </w:rPr>
        <w:t xml:space="preserve"> services</w:t>
      </w:r>
      <w:r w:rsidR="0015700A">
        <w:rPr>
          <w:rStyle w:val="ECCParagraph"/>
        </w:rPr>
        <w:t>:</w:t>
      </w:r>
    </w:p>
    <w:p w:rsidR="0015700A" w:rsidRDefault="0015700A" w:rsidP="0015700A">
      <w:pPr>
        <w:pStyle w:val="ECCBulletsLv2"/>
        <w:rPr>
          <w:rStyle w:val="ECCParagraph"/>
        </w:rPr>
      </w:pPr>
      <w:r>
        <w:rPr>
          <w:rStyle w:val="ECCParagraph"/>
        </w:rPr>
        <w:t>19-21 kHz for the highest power category</w:t>
      </w:r>
      <w:r w:rsidR="00D3009E">
        <w:rPr>
          <w:rStyle w:val="ECCParagraph"/>
        </w:rPr>
        <w:t xml:space="preserve"> (</w:t>
      </w:r>
      <w:r w:rsidR="00D3009E">
        <w:t>specific heavy-duty electric v</w:t>
      </w:r>
      <w:r w:rsidR="00D3009E" w:rsidRPr="00D3009E">
        <w:t>ehicle</w:t>
      </w:r>
      <w:r w:rsidR="00D3009E">
        <w:t>s</w:t>
      </w:r>
      <w:r w:rsidR="00D3009E">
        <w:rPr>
          <w:rStyle w:val="ECCParagraph"/>
        </w:rPr>
        <w:t>)</w:t>
      </w:r>
      <w:r>
        <w:rPr>
          <w:rStyle w:val="ECCParagraph"/>
        </w:rPr>
        <w:t xml:space="preserve">, and </w:t>
      </w:r>
    </w:p>
    <w:p w:rsidR="001A41C1" w:rsidRDefault="0015700A" w:rsidP="0015700A">
      <w:pPr>
        <w:pStyle w:val="ECCBulletsLv2"/>
        <w:rPr>
          <w:rStyle w:val="ECCParagraph"/>
        </w:rPr>
      </w:pPr>
      <w:r>
        <w:rPr>
          <w:rStyle w:val="ECCParagraph"/>
        </w:rPr>
        <w:t>79-90 kHz for the medium power category</w:t>
      </w:r>
      <w:r w:rsidR="00D3009E">
        <w:rPr>
          <w:rStyle w:val="ECCParagraph"/>
        </w:rPr>
        <w:t xml:space="preserve"> (</w:t>
      </w:r>
      <w:r w:rsidR="00D3009E">
        <w:t>a</w:t>
      </w:r>
      <w:r w:rsidR="00D3009E" w:rsidRPr="00D3009E">
        <w:t>ll types of electric vehicles</w:t>
      </w:r>
      <w:r w:rsidR="00D3009E">
        <w:rPr>
          <w:rStyle w:val="ECCParagraph"/>
        </w:rPr>
        <w:t>)</w:t>
      </w:r>
      <w:r w:rsidR="004349BB">
        <w:rPr>
          <w:rStyle w:val="ECCParagraph"/>
        </w:rPr>
        <w:t xml:space="preserve">. </w:t>
      </w:r>
    </w:p>
    <w:p w:rsidR="00D3009E" w:rsidRPr="00D3009E" w:rsidRDefault="00D3009E" w:rsidP="00D3009E">
      <w:r>
        <w:t>In addition</w:t>
      </w:r>
      <w:r w:rsidR="00C9448B">
        <w:t>,</w:t>
      </w:r>
      <w:r>
        <w:t xml:space="preserve"> CEPT is of the view that no bands above 90 kHz should be considered for use by WPT-EV.</w:t>
      </w:r>
    </w:p>
    <w:p w:rsidR="00C9448B" w:rsidRDefault="0015700A" w:rsidP="004349BB">
      <w:pPr>
        <w:rPr>
          <w:rStyle w:val="ECCParagraph"/>
        </w:rPr>
      </w:pPr>
      <w:r>
        <w:rPr>
          <w:rStyle w:val="ECCParagraph"/>
        </w:rPr>
        <w:t xml:space="preserve">CEPT is of the view that bands at 60 kHz and 77.5 kHz used by applications of the standard frequency and time </w:t>
      </w:r>
      <w:r w:rsidR="00F8585C">
        <w:rPr>
          <w:rStyle w:val="ECCParagraph"/>
        </w:rPr>
        <w:t xml:space="preserve">signal </w:t>
      </w:r>
      <w:r>
        <w:rPr>
          <w:rStyle w:val="ECCParagraph"/>
        </w:rPr>
        <w:t xml:space="preserve">service are not suitable for WPT-EV and require specific protection. </w:t>
      </w:r>
    </w:p>
    <w:p w:rsidR="003771D5" w:rsidRPr="00BC2F90" w:rsidRDefault="003771D5" w:rsidP="0030604C">
      <w:pPr>
        <w:pStyle w:val="berschrift1"/>
      </w:pPr>
      <w:r w:rsidRPr="00BC2F90">
        <w:t xml:space="preserve">Background </w:t>
      </w:r>
    </w:p>
    <w:p w:rsidR="00F86A59" w:rsidRDefault="00F86A59" w:rsidP="00784330">
      <w:pPr>
        <w:rPr>
          <w:rStyle w:val="ECCParagraph"/>
        </w:rPr>
      </w:pPr>
      <w:r w:rsidRPr="00F86A59">
        <w:t>WPT technologies are being developed to support the easy and fast transfer of power wirelessly. WPT-EV is becoming an important charging technology, aiming at the reduction of the vehicle’s battery size and consequently improving its practical driving distance in order to facilitate the deployment electric mobility. ITU-R Recommendation SM.2110 addresses WPT technologies in general</w:t>
      </w:r>
      <w:r w:rsidR="00F865E6">
        <w:t xml:space="preserve">, currently containing only </w:t>
      </w:r>
      <w:r w:rsidR="00121DA4">
        <w:t>one</w:t>
      </w:r>
      <w:r w:rsidR="00F600F4">
        <w:t xml:space="preserve"> band for mobile</w:t>
      </w:r>
      <w:r w:rsidR="00D227F8">
        <w:t>/</w:t>
      </w:r>
      <w:r w:rsidR="00F26333">
        <w:t xml:space="preserve">portable </w:t>
      </w:r>
      <w:r w:rsidR="00121DA4">
        <w:t xml:space="preserve">device </w:t>
      </w:r>
      <w:r w:rsidR="00F600F4">
        <w:t>charging</w:t>
      </w:r>
      <w:r w:rsidR="00E71CBA">
        <w:t>.</w:t>
      </w:r>
      <w:r w:rsidRPr="00F86A59">
        <w:t xml:space="preserve"> Due to the necessary power and capacities of the batteries, low power WPT</w:t>
      </w:r>
      <w:r>
        <w:t xml:space="preserve"> will not be applicable for WPT-</w:t>
      </w:r>
      <w:r w:rsidRPr="00F86A59">
        <w:t>EV charging purposes.</w:t>
      </w:r>
      <w:r w:rsidR="00F600F4">
        <w:t xml:space="preserve"> There are currently activities </w:t>
      </w:r>
      <w:r w:rsidR="007971CD">
        <w:t xml:space="preserve">outside CEPT </w:t>
      </w:r>
      <w:r w:rsidR="00F600F4">
        <w:t>underway in the ITU-R to add new frequency ranges to ITU-R Rec</w:t>
      </w:r>
      <w:r w:rsidR="00E71CBA">
        <w:t>ommendation</w:t>
      </w:r>
      <w:r w:rsidR="00F600F4">
        <w:t xml:space="preserve"> SM.2110 to cover WPT-EV.</w:t>
      </w:r>
    </w:p>
    <w:p w:rsidR="00C117D0" w:rsidRDefault="00C117D0" w:rsidP="00784330">
      <w:pPr>
        <w:rPr>
          <w:rStyle w:val="ECCParagraph"/>
        </w:rPr>
      </w:pPr>
      <w:r>
        <w:rPr>
          <w:rStyle w:val="ECCParagraph"/>
        </w:rPr>
        <w:t xml:space="preserve">Several </w:t>
      </w:r>
      <w:r w:rsidRPr="00FF02DB">
        <w:rPr>
          <w:rStyle w:val="ECCParagraph"/>
        </w:rPr>
        <w:t>frequenc</w:t>
      </w:r>
      <w:r>
        <w:rPr>
          <w:rStyle w:val="ECCParagraph"/>
        </w:rPr>
        <w:t xml:space="preserve">ies </w:t>
      </w:r>
      <w:r w:rsidR="00F86A59">
        <w:rPr>
          <w:rStyle w:val="ECCParagraph"/>
        </w:rPr>
        <w:t xml:space="preserve">have been </w:t>
      </w:r>
      <w:r>
        <w:rPr>
          <w:rStyle w:val="ECCParagraph"/>
        </w:rPr>
        <w:t xml:space="preserve">under consideration </w:t>
      </w:r>
      <w:r w:rsidR="00F600F4">
        <w:rPr>
          <w:rStyle w:val="ECCParagraph"/>
        </w:rPr>
        <w:t xml:space="preserve">within CEPT </w:t>
      </w:r>
      <w:r w:rsidRPr="00FF02DB">
        <w:rPr>
          <w:rStyle w:val="ECCParagraph"/>
        </w:rPr>
        <w:t>for</w:t>
      </w:r>
      <w:r>
        <w:rPr>
          <w:rStyle w:val="ECCParagraph"/>
        </w:rPr>
        <w:t xml:space="preserve"> </w:t>
      </w:r>
      <w:r w:rsidRPr="00FF02DB">
        <w:rPr>
          <w:rStyle w:val="ECCParagraph"/>
        </w:rPr>
        <w:t>WPT</w:t>
      </w:r>
      <w:r w:rsidR="00F600F4">
        <w:rPr>
          <w:rStyle w:val="ECCParagraph"/>
        </w:rPr>
        <w:t>-EV</w:t>
      </w:r>
      <w:r w:rsidRPr="00FF02DB">
        <w:rPr>
          <w:rStyle w:val="ECCParagraph"/>
        </w:rPr>
        <w:t xml:space="preserve"> </w:t>
      </w:r>
      <w:r>
        <w:rPr>
          <w:rStyle w:val="ECCParagraph"/>
        </w:rPr>
        <w:t>applications namely</w:t>
      </w:r>
      <w:r w:rsidRPr="00FF02DB">
        <w:rPr>
          <w:rStyle w:val="ECCParagraph"/>
        </w:rPr>
        <w:t>: 19-21 kHz; 59-61 kHz</w:t>
      </w:r>
      <w:r w:rsidR="00494C30">
        <w:rPr>
          <w:rStyle w:val="ECCParagraph"/>
        </w:rPr>
        <w:t xml:space="preserve"> </w:t>
      </w:r>
      <w:r w:rsidR="00F600F4">
        <w:rPr>
          <w:rStyle w:val="ECCParagraph"/>
        </w:rPr>
        <w:t>and</w:t>
      </w:r>
      <w:r w:rsidRPr="00FF02DB">
        <w:rPr>
          <w:rStyle w:val="ECCParagraph"/>
        </w:rPr>
        <w:t xml:space="preserve"> 79-90 kHz.</w:t>
      </w:r>
      <w:r w:rsidR="00F86A59">
        <w:rPr>
          <w:rStyle w:val="ECCParagraph"/>
        </w:rPr>
        <w:t xml:space="preserve"> Of </w:t>
      </w:r>
      <w:r w:rsidR="00E32F80">
        <w:rPr>
          <w:rStyle w:val="ECCParagraph"/>
        </w:rPr>
        <w:t xml:space="preserve">these </w:t>
      </w:r>
      <w:r w:rsidR="00F86A59">
        <w:rPr>
          <w:rStyle w:val="ECCParagraph"/>
        </w:rPr>
        <w:t>bands 19-21 kHz and 79-90 kHz have been studied in CEPT</w:t>
      </w:r>
      <w:r w:rsidR="00F86A59">
        <w:rPr>
          <w:rStyle w:val="Funotenzeichen"/>
        </w:rPr>
        <w:footnoteReference w:id="1"/>
      </w:r>
      <w:r w:rsidR="00F86A59">
        <w:rPr>
          <w:rStyle w:val="ECCParagraph"/>
        </w:rPr>
        <w:t>.</w:t>
      </w:r>
    </w:p>
    <w:p w:rsidR="00E32F80" w:rsidRDefault="00E16D8E" w:rsidP="00784330">
      <w:pPr>
        <w:rPr>
          <w:rStyle w:val="ECCParagraph"/>
        </w:rPr>
      </w:pPr>
      <w:r>
        <w:rPr>
          <w:rStyle w:val="ECCParagraph"/>
        </w:rPr>
        <w:t>It</w:t>
      </w:r>
      <w:r w:rsidR="00C117D0">
        <w:rPr>
          <w:rStyle w:val="ECCParagraph"/>
        </w:rPr>
        <w:t xml:space="preserve"> needs to be noted that WPT</w:t>
      </w:r>
      <w:r w:rsidR="00F86A59">
        <w:rPr>
          <w:rStyle w:val="ECCParagraph"/>
        </w:rPr>
        <w:t>-</w:t>
      </w:r>
      <w:r w:rsidR="00C117D0">
        <w:rPr>
          <w:rStyle w:val="ECCParagraph"/>
        </w:rPr>
        <w:t xml:space="preserve">EV requires far higher power levels </w:t>
      </w:r>
      <w:r w:rsidR="00795F68">
        <w:rPr>
          <w:rStyle w:val="ECCParagraph"/>
        </w:rPr>
        <w:t xml:space="preserve">than </w:t>
      </w:r>
      <w:r w:rsidR="00C117D0">
        <w:rPr>
          <w:rStyle w:val="ECCParagraph"/>
        </w:rPr>
        <w:t xml:space="preserve">for general WPT applications dedicated to charge batteries of user equipment (e.g. watches or mobile devices). Therefore concerns were raised at </w:t>
      </w:r>
      <w:r w:rsidR="00C117D0" w:rsidRPr="004F51A8">
        <w:rPr>
          <w:rStyle w:val="ECCParagraph"/>
        </w:rPr>
        <w:t xml:space="preserve">WRC-15 </w:t>
      </w:r>
      <w:r w:rsidR="00C117D0">
        <w:rPr>
          <w:rStyle w:val="ECCParagraph"/>
        </w:rPr>
        <w:t>that WPT</w:t>
      </w:r>
      <w:r w:rsidR="00E32F80">
        <w:rPr>
          <w:rStyle w:val="ECCParagraph"/>
        </w:rPr>
        <w:t>-</w:t>
      </w:r>
      <w:r w:rsidR="00C117D0">
        <w:rPr>
          <w:rStyle w:val="ECCParagraph"/>
        </w:rPr>
        <w:t xml:space="preserve">EV may cause harmful interference to </w:t>
      </w:r>
      <w:proofErr w:type="spellStart"/>
      <w:r w:rsidR="00C117D0">
        <w:rPr>
          <w:rStyle w:val="ECCParagraph"/>
        </w:rPr>
        <w:t>radiocommunication</w:t>
      </w:r>
      <w:proofErr w:type="spellEnd"/>
      <w:r w:rsidR="00C117D0">
        <w:rPr>
          <w:rStyle w:val="ECCParagraph"/>
        </w:rPr>
        <w:t xml:space="preserve"> services depend</w:t>
      </w:r>
      <w:r w:rsidR="001F73BA">
        <w:rPr>
          <w:rStyle w:val="ECCParagraph"/>
        </w:rPr>
        <w:t>ing</w:t>
      </w:r>
      <w:r w:rsidR="00C117D0">
        <w:rPr>
          <w:rStyle w:val="ECCParagraph"/>
        </w:rPr>
        <w:t xml:space="preserve"> on the frequency band used. </w:t>
      </w:r>
    </w:p>
    <w:p w:rsidR="007E0572" w:rsidRDefault="00E32F80" w:rsidP="00043048">
      <w:pPr>
        <w:rPr>
          <w:rStyle w:val="ECCParagraph"/>
        </w:rPr>
      </w:pPr>
      <w:r w:rsidRPr="00E32F80">
        <w:lastRenderedPageBreak/>
        <w:t xml:space="preserve">Whilst WPT is not defined as a </w:t>
      </w:r>
      <w:proofErr w:type="spellStart"/>
      <w:r w:rsidRPr="00E32F80">
        <w:t>radiocommunication</w:t>
      </w:r>
      <w:proofErr w:type="spellEnd"/>
      <w:r w:rsidRPr="00E32F80">
        <w:t xml:space="preserve"> service, for the purpose of the work on this issue it is treated as a radio application. The preferred frequencies for WPT</w:t>
      </w:r>
      <w:r w:rsidR="00E71CBA">
        <w:t>-</w:t>
      </w:r>
      <w:r w:rsidRPr="00E32F80">
        <w:t>EV are generally relatively low. In such circumstances, any WPT</w:t>
      </w:r>
      <w:r w:rsidR="00494C30">
        <w:t>-</w:t>
      </w:r>
      <w:r w:rsidRPr="00E32F80">
        <w:t xml:space="preserve">EV application shall not cause harmful interference to </w:t>
      </w:r>
      <w:proofErr w:type="spellStart"/>
      <w:r w:rsidRPr="00E32F80">
        <w:t>radiocommunication</w:t>
      </w:r>
      <w:proofErr w:type="spellEnd"/>
      <w:r w:rsidRPr="00E32F80">
        <w:t xml:space="preserve"> services. </w:t>
      </w:r>
      <w:r w:rsidR="00AB5287" w:rsidRPr="004F51A8">
        <w:rPr>
          <w:rStyle w:val="ECCParagraph"/>
        </w:rPr>
        <w:t>ETSI develop</w:t>
      </w:r>
      <w:r w:rsidR="004349BB">
        <w:rPr>
          <w:rStyle w:val="ECCParagraph"/>
        </w:rPr>
        <w:t>ed</w:t>
      </w:r>
      <w:r w:rsidR="00AB5287" w:rsidRPr="004F51A8">
        <w:rPr>
          <w:rStyle w:val="ECCParagraph"/>
        </w:rPr>
        <w:t xml:space="preserve"> a harmonised standard (EN 303 417) for </w:t>
      </w:r>
      <w:r w:rsidR="004349BB">
        <w:rPr>
          <w:rStyle w:val="ECCParagraph"/>
        </w:rPr>
        <w:t>“</w:t>
      </w:r>
      <w:r w:rsidR="00AB5287" w:rsidRPr="004F51A8">
        <w:rPr>
          <w:rStyle w:val="ECCParagraph"/>
        </w:rPr>
        <w:t>Wireless power transmission using technologies other th</w:t>
      </w:r>
      <w:r w:rsidR="004F51A8" w:rsidRPr="004F51A8">
        <w:rPr>
          <w:rStyle w:val="ECCParagraph"/>
        </w:rPr>
        <w:t>an radio frequency beam in 19-21 kHz; 59-</w:t>
      </w:r>
      <w:r w:rsidR="00AB5287" w:rsidRPr="004F51A8">
        <w:rPr>
          <w:rStyle w:val="ECCParagraph"/>
        </w:rPr>
        <w:t>61 kHz</w:t>
      </w:r>
      <w:r w:rsidR="004F51A8" w:rsidRPr="004F51A8">
        <w:rPr>
          <w:rStyle w:val="ECCParagraph"/>
        </w:rPr>
        <w:t>; 79-90 kHz; 100-300 kHz; 6 765-</w:t>
      </w:r>
      <w:r w:rsidR="002D7BD5" w:rsidRPr="004F51A8">
        <w:rPr>
          <w:rStyle w:val="ECCParagraph"/>
        </w:rPr>
        <w:t>6 795 k</w:t>
      </w:r>
      <w:r w:rsidR="00AB5287" w:rsidRPr="004F51A8">
        <w:rPr>
          <w:rStyle w:val="ECCParagraph"/>
        </w:rPr>
        <w:t>Hz</w:t>
      </w:r>
      <w:r w:rsidR="004349BB">
        <w:rPr>
          <w:rStyle w:val="ECCParagraph"/>
        </w:rPr>
        <w:t>”</w:t>
      </w:r>
      <w:r w:rsidR="007E0572" w:rsidRPr="004F51A8">
        <w:rPr>
          <w:rStyle w:val="ECCParagraph"/>
        </w:rPr>
        <w:t>.</w:t>
      </w:r>
      <w:r w:rsidR="004349BB">
        <w:rPr>
          <w:rStyle w:val="ECCParagraph"/>
        </w:rPr>
        <w:t xml:space="preserve"> However, this </w:t>
      </w:r>
      <w:r w:rsidR="006D76F7">
        <w:rPr>
          <w:rStyle w:val="ECCParagraph"/>
        </w:rPr>
        <w:t>h</w:t>
      </w:r>
      <w:r w:rsidR="002F4C47">
        <w:rPr>
          <w:rStyle w:val="ECCParagraph"/>
        </w:rPr>
        <w:t xml:space="preserve">armonised </w:t>
      </w:r>
      <w:r w:rsidR="006D76F7">
        <w:rPr>
          <w:rStyle w:val="ECCParagraph"/>
        </w:rPr>
        <w:t>s</w:t>
      </w:r>
      <w:r w:rsidR="002F4C47">
        <w:rPr>
          <w:rStyle w:val="ECCParagraph"/>
        </w:rPr>
        <w:t>tandard</w:t>
      </w:r>
      <w:r w:rsidR="004349BB">
        <w:rPr>
          <w:rStyle w:val="ECCParagraph"/>
        </w:rPr>
        <w:t xml:space="preserve"> </w:t>
      </w:r>
      <w:r w:rsidR="0096345A">
        <w:rPr>
          <w:rStyle w:val="ECCParagraph"/>
        </w:rPr>
        <w:t xml:space="preserve">is not only </w:t>
      </w:r>
      <w:r w:rsidR="00F86A59">
        <w:rPr>
          <w:rStyle w:val="ECCParagraph"/>
        </w:rPr>
        <w:t xml:space="preserve">covering </w:t>
      </w:r>
      <w:r w:rsidR="0096345A">
        <w:rPr>
          <w:rStyle w:val="ECCParagraph"/>
        </w:rPr>
        <w:t>WPT</w:t>
      </w:r>
      <w:r w:rsidR="00F86A59">
        <w:rPr>
          <w:rStyle w:val="ECCParagraph"/>
        </w:rPr>
        <w:t>-</w:t>
      </w:r>
      <w:r w:rsidR="0096345A">
        <w:rPr>
          <w:rStyle w:val="ECCParagraph"/>
        </w:rPr>
        <w:t>EV. It covers all kinds of WPT applications.</w:t>
      </w:r>
    </w:p>
    <w:p w:rsidR="00A569AC" w:rsidRPr="004F51A8" w:rsidRDefault="00A569AC" w:rsidP="00043048">
      <w:pPr>
        <w:rPr>
          <w:rStyle w:val="ECCParagraph"/>
        </w:rPr>
      </w:pPr>
      <w:r>
        <w:t>CEPT support</w:t>
      </w:r>
      <w:r w:rsidR="006F04AA">
        <w:t>s</w:t>
      </w:r>
      <w:r>
        <w:t xml:space="preserve"> a methodology and </w:t>
      </w:r>
      <w:r w:rsidRPr="00D3009E">
        <w:t>guideline</w:t>
      </w:r>
      <w:r w:rsidR="006F04AA">
        <w:t>s</w:t>
      </w:r>
      <w:r w:rsidRPr="00D3009E">
        <w:t xml:space="preserve"> to Administrations </w:t>
      </w:r>
      <w:r>
        <w:t xml:space="preserve">to specify the </w:t>
      </w:r>
      <w:r w:rsidRPr="00D3009E">
        <w:t xml:space="preserve">appropriate bands with associated power </w:t>
      </w:r>
      <w:r>
        <w:t xml:space="preserve">and unwanted emission </w:t>
      </w:r>
      <w:r w:rsidRPr="00D3009E">
        <w:t xml:space="preserve">limits to minimise the impact to </w:t>
      </w:r>
      <w:r>
        <w:t xml:space="preserve">the </w:t>
      </w:r>
      <w:proofErr w:type="spellStart"/>
      <w:r w:rsidRPr="00D3009E">
        <w:t>radiocommunication</w:t>
      </w:r>
      <w:proofErr w:type="spellEnd"/>
      <w:r w:rsidRPr="00D3009E">
        <w:t xml:space="preserve"> services.</w:t>
      </w:r>
      <w:r>
        <w:t xml:space="preserve"> </w:t>
      </w:r>
      <w:r w:rsidRPr="00A569AC">
        <w:t>Any resulting ITU</w:t>
      </w:r>
      <w:r w:rsidR="00494C30">
        <w:t>-R</w:t>
      </w:r>
      <w:r w:rsidRPr="00A569AC">
        <w:t xml:space="preserve"> Report</w:t>
      </w:r>
      <w:r w:rsidR="00D0012A">
        <w:t>(s)</w:t>
      </w:r>
      <w:r w:rsidRPr="00A569AC">
        <w:t xml:space="preserve"> </w:t>
      </w:r>
      <w:r w:rsidR="00D0012A">
        <w:t>and/</w:t>
      </w:r>
      <w:r w:rsidRPr="00A569AC">
        <w:t>or Recommendation</w:t>
      </w:r>
      <w:r w:rsidR="00D0012A">
        <w:t>(s)</w:t>
      </w:r>
      <w:r w:rsidRPr="00A569AC">
        <w:t xml:space="preserve"> regarding WPT</w:t>
      </w:r>
      <w:r w:rsidR="00494C30">
        <w:t>-</w:t>
      </w:r>
      <w:r w:rsidRPr="00A569AC">
        <w:t>EV sh</w:t>
      </w:r>
      <w:r w:rsidR="00494C30">
        <w:t>ould</w:t>
      </w:r>
      <w:r w:rsidRPr="00A569AC">
        <w:t xml:space="preserve"> include clear information that ensures the protection of </w:t>
      </w:r>
      <w:proofErr w:type="spellStart"/>
      <w:r w:rsidRPr="00A569AC">
        <w:t>radiocommunication</w:t>
      </w:r>
      <w:proofErr w:type="spellEnd"/>
      <w:r w:rsidRPr="00A569AC">
        <w:t xml:space="preserve"> services from both in-band as well </w:t>
      </w:r>
      <w:r w:rsidR="005234F1">
        <w:t xml:space="preserve">as </w:t>
      </w:r>
      <w:r w:rsidR="00494C30">
        <w:t>unwanted</w:t>
      </w:r>
      <w:r w:rsidRPr="00A569AC">
        <w:t xml:space="preserve"> emissions. </w:t>
      </w:r>
    </w:p>
    <w:p w:rsidR="00795F68" w:rsidRDefault="003771D5" w:rsidP="00795F68">
      <w:pPr>
        <w:pStyle w:val="berschrift1"/>
      </w:pPr>
      <w:r w:rsidRPr="00BC2F90">
        <w:rPr>
          <w:lang w:val="en-GB"/>
        </w:rPr>
        <w:t>List of relevant documents</w:t>
      </w:r>
    </w:p>
    <w:p w:rsidR="00795F68" w:rsidRPr="00795F68" w:rsidRDefault="00795F68" w:rsidP="00795F68">
      <w:pPr>
        <w:pStyle w:val="ECCBreak"/>
      </w:pPr>
      <w:r>
        <w:t>ITU-R</w:t>
      </w:r>
    </w:p>
    <w:p w:rsidR="007E0572" w:rsidRDefault="00DA02AC" w:rsidP="00362E1A">
      <w:pPr>
        <w:pStyle w:val="ECCBulletsLv1"/>
        <w:rPr>
          <w:rStyle w:val="ECCParagraph"/>
        </w:rPr>
      </w:pPr>
      <w:r w:rsidRPr="004F51A8">
        <w:rPr>
          <w:rStyle w:val="ECCParagraph"/>
        </w:rPr>
        <w:t xml:space="preserve">Report </w:t>
      </w:r>
      <w:r w:rsidR="003771D5" w:rsidRPr="004F51A8">
        <w:rPr>
          <w:rStyle w:val="ECCParagraph"/>
        </w:rPr>
        <w:t>ITU-</w:t>
      </w:r>
      <w:r w:rsidRPr="004F51A8">
        <w:rPr>
          <w:rStyle w:val="ECCParagraph"/>
        </w:rPr>
        <w:t>R SM.2303-1, Wireless power transmission using technologies other than radio frequency beam</w:t>
      </w:r>
    </w:p>
    <w:p w:rsidR="00516E5E" w:rsidRPr="004F51A8" w:rsidRDefault="008E39BF" w:rsidP="00362E1A">
      <w:pPr>
        <w:pStyle w:val="ECCBulletsLv1"/>
        <w:rPr>
          <w:rStyle w:val="ECCParagraph"/>
        </w:rPr>
      </w:pPr>
      <w:r>
        <w:rPr>
          <w:rStyle w:val="ECCParagraph"/>
        </w:rPr>
        <w:t>ITU-R Resolution 705 (Rev.WRC-</w:t>
      </w:r>
      <w:r w:rsidR="00516E5E">
        <w:rPr>
          <w:rStyle w:val="ECCParagraph"/>
        </w:rPr>
        <w:t>15), Mutual protection of radio services operating in the frequency band 70-130 kHz</w:t>
      </w:r>
    </w:p>
    <w:p w:rsidR="00BF0CD4" w:rsidRDefault="00C12101" w:rsidP="00BF0CD4">
      <w:pPr>
        <w:pStyle w:val="ECCBulletsLv1"/>
        <w:rPr>
          <w:rStyle w:val="ECCParagraph"/>
        </w:rPr>
      </w:pPr>
      <w:r w:rsidRPr="00C12101">
        <w:rPr>
          <w:rStyle w:val="ECCParagraph"/>
        </w:rPr>
        <w:t>Annex</w:t>
      </w:r>
      <w:r>
        <w:rPr>
          <w:rStyle w:val="ECCParagraph"/>
        </w:rPr>
        <w:t> </w:t>
      </w:r>
      <w:r w:rsidR="00F737A4">
        <w:rPr>
          <w:rStyle w:val="ECCParagraph"/>
        </w:rPr>
        <w:t xml:space="preserve">4 </w:t>
      </w:r>
      <w:r>
        <w:rPr>
          <w:rStyle w:val="ECCParagraph"/>
        </w:rPr>
        <w:t xml:space="preserve">to </w:t>
      </w:r>
      <w:r w:rsidR="00BF0CD4" w:rsidRPr="00BF0CD4">
        <w:rPr>
          <w:rStyle w:val="ECCParagraph"/>
        </w:rPr>
        <w:t>Document</w:t>
      </w:r>
      <w:r>
        <w:rPr>
          <w:rStyle w:val="ECCParagraph"/>
        </w:rPr>
        <w:t> </w:t>
      </w:r>
      <w:r w:rsidR="00BF0CD4" w:rsidRPr="00BF0CD4">
        <w:rPr>
          <w:rStyle w:val="ECCParagraph"/>
        </w:rPr>
        <w:t>1B/</w:t>
      </w:r>
      <w:r>
        <w:rPr>
          <w:rStyle w:val="ECCParagraph"/>
        </w:rPr>
        <w:t>260</w:t>
      </w:r>
      <w:r w:rsidR="00BF0CD4" w:rsidRPr="00BF0CD4">
        <w:rPr>
          <w:rStyle w:val="ECCParagraph"/>
        </w:rPr>
        <w:t xml:space="preserve"> </w:t>
      </w:r>
      <w:r w:rsidRPr="00C12101">
        <w:rPr>
          <w:rFonts w:hint="eastAsia"/>
        </w:rPr>
        <w:t>Working document towards a</w:t>
      </w:r>
      <w:r w:rsidRPr="00C12101">
        <w:t xml:space="preserve"> </w:t>
      </w:r>
      <w:r>
        <w:t xml:space="preserve">preliminary draft revision on Recommendation </w:t>
      </w:r>
      <w:r w:rsidRPr="00C12101">
        <w:t>ITU-R SM.2110</w:t>
      </w:r>
      <w:r w:rsidRPr="00C12101">
        <w:rPr>
          <w:rFonts w:hint="eastAsia"/>
        </w:rPr>
        <w:t>-0</w:t>
      </w:r>
      <w:r w:rsidR="00BF0CD4" w:rsidRPr="00BF0CD4">
        <w:rPr>
          <w:rStyle w:val="ECCParagraph"/>
        </w:rPr>
        <w:t xml:space="preserve"> </w:t>
      </w:r>
      <w:r w:rsidRPr="00C12101">
        <w:t>Frequency ranges for operation of non-beam wireless</w:t>
      </w:r>
      <w:r w:rsidRPr="00C12101">
        <w:br/>
        <w:t>power transmission systems</w:t>
      </w:r>
      <w:r w:rsidRPr="00C12101" w:rsidDel="00C12101">
        <w:rPr>
          <w:rStyle w:val="ECCParagraph"/>
        </w:rPr>
        <w:t xml:space="preserve"> </w:t>
      </w:r>
    </w:p>
    <w:p w:rsidR="005234F1" w:rsidRPr="00D0012A" w:rsidRDefault="005234F1" w:rsidP="005234F1">
      <w:pPr>
        <w:pStyle w:val="ECCEditorsNote"/>
        <w:rPr>
          <w:rStyle w:val="ECCHLyellow"/>
        </w:rPr>
      </w:pPr>
      <w:r w:rsidRPr="00D0012A">
        <w:rPr>
          <w:rStyle w:val="ECCHLyellow"/>
        </w:rPr>
        <w:t>This reference should be updated</w:t>
      </w:r>
      <w:r>
        <w:rPr>
          <w:rStyle w:val="ECCHLyellow"/>
        </w:rPr>
        <w:t xml:space="preserve"> </w:t>
      </w:r>
    </w:p>
    <w:p w:rsidR="008915D0" w:rsidRDefault="006E5ABD" w:rsidP="00362E1A">
      <w:pPr>
        <w:pStyle w:val="ECCBulletsLv1"/>
      </w:pPr>
      <w:r>
        <w:t>Working Document towards a preliminary draft new Report ITU-R SM</w:t>
      </w:r>
      <w:proofErr w:type="gramStart"/>
      <w:r>
        <w:t>.[</w:t>
      </w:r>
      <w:proofErr w:type="gramEnd"/>
      <w:r>
        <w:t>WPT.SPEC.MNGM]; Methodology for spectrum management of wireless power transmission (WPT)</w:t>
      </w:r>
      <w:r w:rsidR="00E51A2D">
        <w:t xml:space="preserve"> </w:t>
      </w:r>
      <w:r>
        <w:t>.</w:t>
      </w:r>
    </w:p>
    <w:p w:rsidR="00D40FF8" w:rsidRDefault="00D40FF8" w:rsidP="00D40FF8">
      <w:pPr>
        <w:pStyle w:val="ECCBulletsLv1"/>
      </w:pPr>
      <w:r w:rsidRPr="00D40FF8">
        <w:t xml:space="preserve">ITU-R Question 210/3-1 </w:t>
      </w:r>
      <w:hyperlink r:id="rId9" w:history="1">
        <w:r w:rsidRPr="00D40FF8">
          <w:rPr>
            <w:rStyle w:val="Hyperlink"/>
          </w:rPr>
          <w:t>‘Wireless power transmission’</w:t>
        </w:r>
      </w:hyperlink>
      <w:r>
        <w:t xml:space="preserve"> </w:t>
      </w:r>
    </w:p>
    <w:p w:rsidR="00795F68" w:rsidRPr="00795F68" w:rsidRDefault="00795F68" w:rsidP="00795F68">
      <w:pPr>
        <w:pStyle w:val="ECCBreak"/>
        <w:rPr>
          <w:lang w:val="en-GB"/>
        </w:rPr>
      </w:pPr>
      <w:r w:rsidRPr="007368D1">
        <w:rPr>
          <w:lang w:val="en-GB"/>
        </w:rPr>
        <w:t>CEPT and/or ECC Documentation (Decisions, Recommendations, Reports)</w:t>
      </w:r>
    </w:p>
    <w:p w:rsidR="00795F68" w:rsidRPr="00310996" w:rsidRDefault="00D0012A" w:rsidP="00310996">
      <w:pPr>
        <w:pStyle w:val="ECCBulletsLv1"/>
        <w:rPr>
          <w:rStyle w:val="ECCHLunderlined"/>
          <w:u w:val="none"/>
        </w:rPr>
      </w:pPr>
      <w:r w:rsidRPr="00310996">
        <w:t xml:space="preserve">Draft ECC Report on </w:t>
      </w:r>
      <w:r w:rsidR="005234F1" w:rsidRPr="00310996">
        <w:t>Work Item SE24_</w:t>
      </w:r>
      <w:r w:rsidR="00BF605E" w:rsidRPr="00310996">
        <w:t xml:space="preserve">60 </w:t>
      </w:r>
      <w:r w:rsidRPr="00310996">
        <w:rPr>
          <w:rStyle w:val="ECCHLunderlined"/>
          <w:u w:val="none"/>
        </w:rPr>
        <w:t>(</w:t>
      </w:r>
      <w:r w:rsidR="00C73230" w:rsidRPr="00310996">
        <w:rPr>
          <w:rStyle w:val="ECCHLunderlined"/>
          <w:u w:val="none"/>
        </w:rPr>
        <w:t>Wireless Power</w:t>
      </w:r>
      <w:r w:rsidR="00BF605E" w:rsidRPr="00310996">
        <w:rPr>
          <w:rStyle w:val="ECCHLunderlined"/>
          <w:u w:val="none"/>
        </w:rPr>
        <w:t xml:space="preserve"> </w:t>
      </w:r>
      <w:r w:rsidR="00C73230" w:rsidRPr="00310996">
        <w:rPr>
          <w:rStyle w:val="ECCHLunderlined"/>
          <w:u w:val="none"/>
        </w:rPr>
        <w:t>Transmission (WPT) systems for electrical vehicles (EV) operating within 79 - 90 kHz band</w:t>
      </w:r>
      <w:r w:rsidRPr="00310996">
        <w:rPr>
          <w:rStyle w:val="ECCHLunderlined"/>
          <w:u w:val="none"/>
        </w:rPr>
        <w:t>)</w:t>
      </w:r>
    </w:p>
    <w:p w:rsidR="00795F68" w:rsidRPr="00795F68" w:rsidRDefault="00795F68" w:rsidP="00795F68">
      <w:pPr>
        <w:pStyle w:val="ECCBreak"/>
        <w:rPr>
          <w:lang w:val="en-GB"/>
        </w:rPr>
      </w:pPr>
      <w:r w:rsidRPr="007368D1">
        <w:rPr>
          <w:lang w:val="en-GB"/>
        </w:rPr>
        <w:t>EU Documentation (Directives, Decisions, Recommendations, other), if applicable</w:t>
      </w:r>
    </w:p>
    <w:p w:rsidR="00795F68" w:rsidRPr="00795F68" w:rsidRDefault="00795F68" w:rsidP="00795F68">
      <w:pPr>
        <w:pStyle w:val="ECCBulletsLv1"/>
      </w:pPr>
    </w:p>
    <w:p w:rsidR="00795F68" w:rsidRPr="00795F68" w:rsidRDefault="00795F68" w:rsidP="00795F68">
      <w:pPr>
        <w:pStyle w:val="ECCBreak"/>
        <w:rPr>
          <w:lang w:val="en-US"/>
        </w:rPr>
      </w:pPr>
      <w:r w:rsidRPr="00795F68">
        <w:t>ETSI Documentation</w:t>
      </w:r>
    </w:p>
    <w:p w:rsidR="00D0012A" w:rsidRPr="00795F68" w:rsidRDefault="00D0012A" w:rsidP="00D0012A">
      <w:pPr>
        <w:pStyle w:val="ECCBulletsLv1"/>
        <w:rPr>
          <w:rStyle w:val="ECCParagraph"/>
        </w:rPr>
      </w:pPr>
      <w:r w:rsidRPr="00795F68">
        <w:rPr>
          <w:rStyle w:val="ECCParagraph"/>
        </w:rPr>
        <w:t>ETSI TR 103 409, System Reference document (</w:t>
      </w:r>
      <w:proofErr w:type="spellStart"/>
      <w:r w:rsidRPr="00795F68">
        <w:rPr>
          <w:rStyle w:val="ECCParagraph"/>
        </w:rPr>
        <w:t>SRdoc</w:t>
      </w:r>
      <w:proofErr w:type="spellEnd"/>
      <w:r w:rsidRPr="00795F68">
        <w:rPr>
          <w:rStyle w:val="ECCParagraph"/>
        </w:rPr>
        <w:t>); Wireless Power Transmission (WPT) systems for Electric Vehicles (EV) operating in the frequency band 79-90 kHz</w:t>
      </w:r>
    </w:p>
    <w:p w:rsidR="00171B3C" w:rsidRDefault="00D0012A" w:rsidP="00BD4E12">
      <w:pPr>
        <w:pStyle w:val="ECCBulletsLv1"/>
        <w:rPr>
          <w:rStyle w:val="ECCParagraph"/>
        </w:rPr>
      </w:pPr>
      <w:r w:rsidRPr="00795F68">
        <w:t>ETSI EN 303 417, Wireless power transmission using technologies other than radio frequency beam in the 19-21 kHz, 59-61 kHz, 79-90 kHz, 100-300 kHz, 6 765-6 795 kHz ranges</w:t>
      </w:r>
      <w:r w:rsidR="00795F68" w:rsidRPr="00795F68">
        <w:rPr>
          <w:rStyle w:val="ECCParagraph"/>
        </w:rPr>
        <w:t xml:space="preserve"> </w:t>
      </w:r>
    </w:p>
    <w:p w:rsidR="003771D5" w:rsidRDefault="003771D5" w:rsidP="00171B3C">
      <w:pPr>
        <w:pStyle w:val="berschrift1"/>
      </w:pPr>
      <w:r w:rsidRPr="00171B3C">
        <w:lastRenderedPageBreak/>
        <w:t>Actions to be taken</w:t>
      </w:r>
    </w:p>
    <w:p w:rsidR="00795F68" w:rsidRPr="00795F68" w:rsidRDefault="00795F68" w:rsidP="00795F68">
      <w:pPr>
        <w:pStyle w:val="berschrift1"/>
        <w:rPr>
          <w:lang w:val="en-GB"/>
        </w:rPr>
      </w:pPr>
      <w:r w:rsidRPr="007368D1">
        <w:rPr>
          <w:lang w:val="en-GB"/>
        </w:rPr>
        <w:t>Relevant information from outside CEPT (examples of these are below)</w:t>
      </w:r>
    </w:p>
    <w:p w:rsidR="00795F68" w:rsidRPr="00795F68" w:rsidRDefault="00795F68" w:rsidP="00795F68">
      <w:pPr>
        <w:pStyle w:val="berschrift2"/>
        <w:rPr>
          <w:rStyle w:val="ECCParagraph"/>
        </w:rPr>
      </w:pPr>
      <w:r w:rsidRPr="007368D1">
        <w:rPr>
          <w:lang w:val="en-GB"/>
        </w:rPr>
        <w:t>European Union (date of proposal)</w:t>
      </w:r>
    </w:p>
    <w:p w:rsidR="00795F68" w:rsidRPr="00795F68" w:rsidRDefault="00795F68" w:rsidP="00795F68">
      <w:pPr>
        <w:pStyle w:val="berschrift2"/>
      </w:pPr>
      <w:r w:rsidRPr="00795F68">
        <w:t>Regional telecommunication organisations</w:t>
      </w:r>
    </w:p>
    <w:p w:rsidR="005234F1" w:rsidRDefault="00795F68" w:rsidP="005234F1">
      <w:pPr>
        <w:pStyle w:val="ECCBreak"/>
      </w:pPr>
      <w:r w:rsidRPr="00795F68">
        <w:t>APT (March 2018)</w:t>
      </w:r>
    </w:p>
    <w:p w:rsidR="00795F68" w:rsidRPr="005234F1" w:rsidRDefault="00795F68" w:rsidP="00795F68">
      <w:pPr>
        <w:rPr>
          <w:rStyle w:val="ECCHLunderlined"/>
        </w:rPr>
      </w:pPr>
      <w:r w:rsidRPr="005234F1">
        <w:rPr>
          <w:rStyle w:val="ECCHLunderlined"/>
        </w:rPr>
        <w:t>Preliminary View</w:t>
      </w:r>
    </w:p>
    <w:p w:rsidR="00795F68" w:rsidRPr="00795F68" w:rsidRDefault="00795F68" w:rsidP="00795F68">
      <w:pPr>
        <w:rPr>
          <w:lang w:eastAsia="ja-JP"/>
        </w:rPr>
      </w:pPr>
      <w:r w:rsidRPr="00795F68">
        <w:t>APT Members support the studies carried out by ITU-R in accordance with Resolution 958 (WRC</w:t>
      </w:r>
      <w:r w:rsidRPr="00795F68">
        <w:noBreakHyphen/>
        <w:t xml:space="preserve">15) to assess the impacts of WPT for electric vehicles on </w:t>
      </w:r>
      <w:proofErr w:type="spellStart"/>
      <w:r w:rsidRPr="00795F68">
        <w:t>radiocommunication</w:t>
      </w:r>
      <w:proofErr w:type="spellEnd"/>
      <w:r w:rsidRPr="00795F68">
        <w:t xml:space="preserve"> services and to study suitable harmonized frequency ranges which would minimize the impact on </w:t>
      </w:r>
      <w:proofErr w:type="spellStart"/>
      <w:r w:rsidRPr="00795F68">
        <w:t>radiocommunication</w:t>
      </w:r>
      <w:proofErr w:type="spellEnd"/>
      <w:r w:rsidRPr="00795F68">
        <w:t xml:space="preserve"> services from WPT for electric vehicles (EVs).</w:t>
      </w:r>
    </w:p>
    <w:p w:rsidR="00795F68" w:rsidRPr="00795F68" w:rsidRDefault="00795F68" w:rsidP="00795F68">
      <w:r w:rsidRPr="00795F68">
        <w:t xml:space="preserve">APT Members are of the view that all </w:t>
      </w:r>
      <w:proofErr w:type="spellStart"/>
      <w:r w:rsidRPr="00795F68">
        <w:t>radiocommunication</w:t>
      </w:r>
      <w:proofErr w:type="spellEnd"/>
      <w:r w:rsidRPr="00795F68">
        <w:t xml:space="preserve"> services must be adequately protected from harmful interference that may be generated by WPT for EVs, both at the fundamental frequency and from spurious and out-of-band emissions. </w:t>
      </w:r>
    </w:p>
    <w:p w:rsidR="00795F68" w:rsidRDefault="00795F68" w:rsidP="00795F68">
      <w:r w:rsidRPr="00795F68">
        <w:t>APT Members support consideration of the inclusion of one or more frequency ranges for WPT for EVs in an ITU-R Recommendation based on completion of ITU-R studies.</w:t>
      </w:r>
    </w:p>
    <w:p w:rsidR="005234F1" w:rsidRPr="005234F1" w:rsidRDefault="005234F1" w:rsidP="005234F1">
      <w:pPr>
        <w:rPr>
          <w:rStyle w:val="ECCHLunderlined"/>
        </w:rPr>
      </w:pPr>
      <w:r w:rsidRPr="005234F1">
        <w:rPr>
          <w:rStyle w:val="ECCHLunderlined"/>
        </w:rPr>
        <w:t xml:space="preserve">Other views: </w:t>
      </w:r>
    </w:p>
    <w:p w:rsidR="005234F1" w:rsidRPr="005234F1" w:rsidRDefault="005234F1" w:rsidP="005234F1">
      <w:pPr>
        <w:rPr>
          <w:rStyle w:val="ECCParagraph"/>
        </w:rPr>
      </w:pPr>
      <w:r w:rsidRPr="005234F1">
        <w:rPr>
          <w:rStyle w:val="ECCParagraph"/>
        </w:rPr>
        <w:t xml:space="preserve">Some APT Members proposed to add the word “unacceptable” before the word “constraints” in the last line of the APT Preliminary View(s). </w:t>
      </w:r>
    </w:p>
    <w:p w:rsidR="005234F1" w:rsidRPr="00D227F8" w:rsidRDefault="00795F68" w:rsidP="005234F1">
      <w:pPr>
        <w:pStyle w:val="ECCBreak"/>
        <w:rPr>
          <w:lang w:val="en-US"/>
        </w:rPr>
      </w:pPr>
      <w:r w:rsidRPr="007368D1">
        <w:rPr>
          <w:lang w:val="en-GB"/>
        </w:rPr>
        <w:t>ATU (</w:t>
      </w:r>
      <w:r w:rsidR="005A6ACC" w:rsidRPr="005A6ACC">
        <w:rPr>
          <w:lang w:val="en-US"/>
        </w:rPr>
        <w:t>September 2017</w:t>
      </w:r>
      <w:r w:rsidRPr="007368D1">
        <w:rPr>
          <w:lang w:val="en-GB"/>
        </w:rPr>
        <w:t>)</w:t>
      </w:r>
    </w:p>
    <w:p w:rsidR="005A6ACC" w:rsidRPr="005A6ACC" w:rsidRDefault="005A6ACC" w:rsidP="005A6ACC">
      <w:r w:rsidRPr="005A6ACC">
        <w:t>The APM19-2 agreed to:</w:t>
      </w:r>
    </w:p>
    <w:p w:rsidR="005A6ACC" w:rsidRPr="005A6ACC" w:rsidRDefault="005A6ACC" w:rsidP="005A6ACC">
      <w:pPr>
        <w:pStyle w:val="ECCBulletsLv1"/>
      </w:pPr>
      <w:r w:rsidRPr="005A6ACC">
        <w:t xml:space="preserve">Support the ongoing sharing and compatibility studies between Wireless Power Transfer (WPT) systems and existing services. </w:t>
      </w:r>
    </w:p>
    <w:p w:rsidR="005A6ACC" w:rsidRPr="005A6ACC" w:rsidRDefault="005A6ACC" w:rsidP="005A6ACC">
      <w:pPr>
        <w:pStyle w:val="ECCBulletsLv1"/>
      </w:pPr>
      <w:r w:rsidRPr="005A6ACC">
        <w:t xml:space="preserve">Note that the </w:t>
      </w:r>
      <w:proofErr w:type="gramStart"/>
      <w:r w:rsidRPr="005A6ACC">
        <w:t>85kHz</w:t>
      </w:r>
      <w:proofErr w:type="gramEnd"/>
      <w:r w:rsidRPr="005A6ACC">
        <w:t xml:space="preserve"> band is the preferred band with high probability of harmonisation and is the least likely to cause interference to other services. </w:t>
      </w:r>
    </w:p>
    <w:p w:rsidR="005A6ACC" w:rsidRPr="005A6ACC" w:rsidRDefault="005A6ACC" w:rsidP="005A6ACC">
      <w:pPr>
        <w:pStyle w:val="ECCBulletsLv1"/>
      </w:pPr>
      <w:r w:rsidRPr="005A6ACC">
        <w:t>Urge administrations to contribute to and actively participate in the ongoing studies to ensure that existing services are protected from spurious and out of band emissions from WPT applications, and to positively influence the outcome of the studies.</w:t>
      </w:r>
    </w:p>
    <w:p w:rsidR="005A6ACC" w:rsidRPr="005A6ACC" w:rsidRDefault="005A6ACC" w:rsidP="005A6ACC">
      <w:pPr>
        <w:pStyle w:val="ECCBulletsLv1"/>
      </w:pPr>
      <w:r w:rsidRPr="005A6ACC">
        <w:t>Note the ICAO concern regarding the impact modulation on aviation systems.</w:t>
      </w:r>
    </w:p>
    <w:p w:rsidR="005A6ACC" w:rsidRPr="005A6ACC" w:rsidRDefault="005A6ACC" w:rsidP="005A6ACC">
      <w:pPr>
        <w:pStyle w:val="ECCBulletsLv1"/>
      </w:pPr>
      <w:r w:rsidRPr="005A6ACC">
        <w:t>Note that WP 1B Report ITU-R SM.2303 contains the potential impact/effects of radiation from WPT systems and invited administrations to consider the information.</w:t>
      </w:r>
    </w:p>
    <w:p w:rsidR="00795F68" w:rsidRPr="007368D1" w:rsidRDefault="00795F68" w:rsidP="00795F68">
      <w:pPr>
        <w:pStyle w:val="ECCBreak"/>
        <w:rPr>
          <w:lang w:val="en-GB"/>
        </w:rPr>
      </w:pPr>
      <w:r w:rsidRPr="007368D1">
        <w:rPr>
          <w:lang w:val="en-GB"/>
        </w:rPr>
        <w:t>Arab Group (ASMG) (</w:t>
      </w:r>
      <w:r w:rsidR="005A6ACC" w:rsidRPr="005A6ACC">
        <w:rPr>
          <w:lang w:val="en-US"/>
        </w:rPr>
        <w:t>April 2018</w:t>
      </w:r>
      <w:r w:rsidRPr="007368D1">
        <w:rPr>
          <w:lang w:val="en-GB"/>
        </w:rPr>
        <w:t>)</w:t>
      </w:r>
    </w:p>
    <w:p w:rsidR="005A6ACC" w:rsidRPr="005A6ACC" w:rsidRDefault="005A6ACC" w:rsidP="005A6ACC">
      <w:pPr>
        <w:pStyle w:val="ECCBulletsLv1"/>
      </w:pPr>
      <w:r w:rsidRPr="005A6ACC">
        <w:t>Support</w:t>
      </w:r>
      <w:r w:rsidR="008A7352">
        <w:t xml:space="preserve"> </w:t>
      </w:r>
      <w:r w:rsidRPr="005A6ACC">
        <w:t>the</w:t>
      </w:r>
      <w:r w:rsidR="008A7352">
        <w:t xml:space="preserve"> </w:t>
      </w:r>
      <w:r w:rsidRPr="005A6ACC">
        <w:t>current</w:t>
      </w:r>
      <w:r w:rsidR="008A7352">
        <w:t xml:space="preserve"> </w:t>
      </w:r>
      <w:r w:rsidRPr="005A6ACC">
        <w:t>studies</w:t>
      </w:r>
      <w:r w:rsidR="008A7352">
        <w:t xml:space="preserve"> </w:t>
      </w:r>
      <w:r w:rsidRPr="005A6ACC">
        <w:t>to</w:t>
      </w:r>
      <w:r w:rsidR="008A7352">
        <w:t xml:space="preserve"> </w:t>
      </w:r>
      <w:r w:rsidRPr="005A6ACC">
        <w:t>assess</w:t>
      </w:r>
      <w:r w:rsidR="008A7352">
        <w:t xml:space="preserve"> </w:t>
      </w:r>
      <w:r w:rsidRPr="005A6ACC">
        <w:t>the</w:t>
      </w:r>
      <w:r w:rsidR="008A7352">
        <w:t xml:space="preserve"> </w:t>
      </w:r>
      <w:r w:rsidRPr="005A6ACC">
        <w:t>impact</w:t>
      </w:r>
      <w:r w:rsidR="008A7352">
        <w:t xml:space="preserve"> </w:t>
      </w:r>
      <w:r w:rsidRPr="005A6ACC">
        <w:t>of</w:t>
      </w:r>
      <w:r w:rsidR="008A7352">
        <w:t xml:space="preserve"> </w:t>
      </w:r>
      <w:r w:rsidRPr="005A6ACC">
        <w:t>(WPT)</w:t>
      </w:r>
      <w:r w:rsidR="008A7352">
        <w:t xml:space="preserve"> </w:t>
      </w:r>
      <w:r w:rsidRPr="005A6ACC">
        <w:t>for</w:t>
      </w:r>
      <w:r w:rsidR="008A7352">
        <w:t xml:space="preserve"> </w:t>
      </w:r>
      <w:r w:rsidRPr="005A6ACC">
        <w:t>electric</w:t>
      </w:r>
      <w:r w:rsidR="008A7352">
        <w:t xml:space="preserve"> </w:t>
      </w:r>
      <w:r w:rsidRPr="005A6ACC">
        <w:t>vehicle</w:t>
      </w:r>
      <w:r w:rsidR="008A7352">
        <w:t xml:space="preserve">s </w:t>
      </w:r>
      <w:r w:rsidRPr="005A6ACC">
        <w:t>on</w:t>
      </w:r>
      <w:r w:rsidR="008A7352">
        <w:t xml:space="preserve"> </w:t>
      </w:r>
      <w:proofErr w:type="spellStart"/>
      <w:r w:rsidRPr="005A6ACC">
        <w:t>radiocommunication</w:t>
      </w:r>
      <w:proofErr w:type="spellEnd"/>
      <w:r w:rsidR="008A7352">
        <w:t xml:space="preserve"> </w:t>
      </w:r>
      <w:r w:rsidRPr="005A6ACC">
        <w:t>services;</w:t>
      </w:r>
      <w:r w:rsidR="008A7352">
        <w:t xml:space="preserve"> </w:t>
      </w:r>
      <w:r w:rsidRPr="005A6ACC">
        <w:t>and</w:t>
      </w:r>
      <w:r w:rsidR="008A7352">
        <w:t xml:space="preserve"> </w:t>
      </w:r>
      <w:r w:rsidRPr="005A6ACC">
        <w:t>to</w:t>
      </w:r>
      <w:r w:rsidR="008A7352">
        <w:t xml:space="preserve"> </w:t>
      </w:r>
      <w:r w:rsidRPr="005A6ACC">
        <w:t>study</w:t>
      </w:r>
      <w:r w:rsidR="008A7352">
        <w:t xml:space="preserve"> </w:t>
      </w:r>
      <w:r w:rsidRPr="005A6ACC">
        <w:t>suitable</w:t>
      </w:r>
      <w:r w:rsidR="008A7352">
        <w:t xml:space="preserve"> </w:t>
      </w:r>
      <w:r w:rsidRPr="005A6ACC">
        <w:t>frequency</w:t>
      </w:r>
      <w:r w:rsidR="008A7352">
        <w:t xml:space="preserve"> </w:t>
      </w:r>
      <w:r w:rsidRPr="005A6ACC">
        <w:t>ranges</w:t>
      </w:r>
      <w:r w:rsidR="008A7352">
        <w:t xml:space="preserve"> </w:t>
      </w:r>
      <w:r w:rsidRPr="005A6ACC">
        <w:t>which</w:t>
      </w:r>
      <w:r w:rsidR="008A7352">
        <w:t xml:space="preserve"> </w:t>
      </w:r>
      <w:r w:rsidRPr="005A6ACC">
        <w:t>would</w:t>
      </w:r>
      <w:r w:rsidR="008A7352">
        <w:t xml:space="preserve"> </w:t>
      </w:r>
      <w:r w:rsidRPr="005A6ACC">
        <w:t>minimize</w:t>
      </w:r>
      <w:r w:rsidR="008A7352">
        <w:t xml:space="preserve"> </w:t>
      </w:r>
      <w:r w:rsidRPr="005A6ACC">
        <w:t>the</w:t>
      </w:r>
      <w:r w:rsidR="008A7352">
        <w:t xml:space="preserve"> </w:t>
      </w:r>
      <w:r w:rsidRPr="005A6ACC">
        <w:t>impact</w:t>
      </w:r>
      <w:r w:rsidR="008A7352">
        <w:t xml:space="preserve"> </w:t>
      </w:r>
      <w:r w:rsidRPr="005A6ACC">
        <w:t>on</w:t>
      </w:r>
      <w:r w:rsidR="008A7352">
        <w:t xml:space="preserve"> </w:t>
      </w:r>
      <w:proofErr w:type="spellStart"/>
      <w:r w:rsidRPr="005A6ACC">
        <w:t>radiocommunication</w:t>
      </w:r>
      <w:proofErr w:type="spellEnd"/>
      <w:r w:rsidR="008A7352">
        <w:t xml:space="preserve"> </w:t>
      </w:r>
      <w:r w:rsidRPr="005A6ACC">
        <w:t>services</w:t>
      </w:r>
      <w:r w:rsidR="008A7352">
        <w:t xml:space="preserve"> </w:t>
      </w:r>
      <w:r w:rsidRPr="005A6ACC">
        <w:t>from(WPT)</w:t>
      </w:r>
      <w:r w:rsidR="008A7352">
        <w:t xml:space="preserve"> </w:t>
      </w:r>
      <w:r w:rsidRPr="005A6ACC">
        <w:t>for</w:t>
      </w:r>
      <w:r w:rsidR="008A7352">
        <w:t xml:space="preserve"> </w:t>
      </w:r>
      <w:r w:rsidRPr="005A6ACC">
        <w:t>electric</w:t>
      </w:r>
      <w:r w:rsidR="008A7352">
        <w:t xml:space="preserve"> </w:t>
      </w:r>
      <w:r w:rsidRPr="005A6ACC">
        <w:t>vehicles.</w:t>
      </w:r>
    </w:p>
    <w:p w:rsidR="005A6ACC" w:rsidRPr="005A6ACC" w:rsidRDefault="005A6ACC" w:rsidP="005A6ACC">
      <w:pPr>
        <w:pStyle w:val="ECCBulletsLv1"/>
      </w:pPr>
      <w:r w:rsidRPr="005A6ACC">
        <w:t>Ensure</w:t>
      </w:r>
      <w:r w:rsidR="008A7352">
        <w:t xml:space="preserve"> </w:t>
      </w:r>
      <w:r w:rsidRPr="005A6ACC">
        <w:t>the</w:t>
      </w:r>
      <w:r w:rsidR="008A7352">
        <w:t xml:space="preserve"> </w:t>
      </w:r>
      <w:r w:rsidRPr="005A6ACC">
        <w:t>protection</w:t>
      </w:r>
      <w:r w:rsidR="008A7352">
        <w:t xml:space="preserve"> </w:t>
      </w:r>
      <w:r w:rsidRPr="005A6ACC">
        <w:t>of</w:t>
      </w:r>
      <w:r w:rsidR="008A7352">
        <w:t xml:space="preserve"> </w:t>
      </w:r>
      <w:r w:rsidRPr="005A6ACC">
        <w:t>the</w:t>
      </w:r>
      <w:r w:rsidR="008A7352">
        <w:t xml:space="preserve"> </w:t>
      </w:r>
      <w:r w:rsidRPr="005A6ACC">
        <w:t>incumbent</w:t>
      </w:r>
      <w:r w:rsidR="008A7352">
        <w:t xml:space="preserve"> </w:t>
      </w:r>
      <w:r w:rsidRPr="005A6ACC">
        <w:t>services</w:t>
      </w:r>
      <w:r w:rsidR="008A7352">
        <w:t xml:space="preserve"> </w:t>
      </w:r>
      <w:r w:rsidRPr="005A6ACC">
        <w:t>and</w:t>
      </w:r>
      <w:r w:rsidR="008A7352">
        <w:t xml:space="preserve"> </w:t>
      </w:r>
      <w:r w:rsidRPr="005A6ACC">
        <w:t>not</w:t>
      </w:r>
      <w:r w:rsidR="008A7352">
        <w:t xml:space="preserve"> </w:t>
      </w:r>
      <w:r w:rsidRPr="005A6ACC">
        <w:t>add</w:t>
      </w:r>
      <w:r w:rsidR="008A7352">
        <w:t xml:space="preserve"> </w:t>
      </w:r>
      <w:r w:rsidRPr="005A6ACC">
        <w:t>any</w:t>
      </w:r>
      <w:r w:rsidR="008A7352">
        <w:t xml:space="preserve"> </w:t>
      </w:r>
      <w:r w:rsidRPr="005A6ACC">
        <w:t>additional</w:t>
      </w:r>
      <w:r w:rsidR="008A7352">
        <w:t xml:space="preserve"> </w:t>
      </w:r>
      <w:r w:rsidRPr="005A6ACC">
        <w:t>constraints</w:t>
      </w:r>
      <w:r w:rsidR="008A7352">
        <w:t xml:space="preserve"> </w:t>
      </w:r>
      <w:r w:rsidRPr="005A6ACC">
        <w:t>on</w:t>
      </w:r>
      <w:r w:rsidR="008A7352">
        <w:t xml:space="preserve"> </w:t>
      </w:r>
      <w:r w:rsidRPr="005A6ACC">
        <w:t>these</w:t>
      </w:r>
      <w:r w:rsidR="008A7352">
        <w:t xml:space="preserve"> </w:t>
      </w:r>
      <w:r w:rsidRPr="005A6ACC">
        <w:t>services.</w:t>
      </w:r>
    </w:p>
    <w:p w:rsidR="005A6ACC" w:rsidRDefault="005A6ACC" w:rsidP="005A6ACC">
      <w:pPr>
        <w:pStyle w:val="ECCBulletsLv1"/>
      </w:pPr>
      <w:r w:rsidRPr="005A6ACC">
        <w:t>Emphasize</w:t>
      </w:r>
      <w:r w:rsidR="008A7352">
        <w:t xml:space="preserve"> </w:t>
      </w:r>
      <w:r w:rsidRPr="005A6ACC">
        <w:t>the</w:t>
      </w:r>
      <w:r w:rsidR="008A7352">
        <w:t xml:space="preserve"> </w:t>
      </w:r>
      <w:r w:rsidRPr="005A6ACC">
        <w:t>importance</w:t>
      </w:r>
      <w:r w:rsidR="008A7352">
        <w:t xml:space="preserve"> </w:t>
      </w:r>
      <w:r w:rsidRPr="005A6ACC">
        <w:t>of</w:t>
      </w:r>
      <w:r w:rsidR="008A7352">
        <w:t xml:space="preserve"> </w:t>
      </w:r>
      <w:r w:rsidRPr="005A6ACC">
        <w:t>universally</w:t>
      </w:r>
      <w:r w:rsidR="008A7352">
        <w:t xml:space="preserve"> </w:t>
      </w:r>
      <w:r w:rsidRPr="005A6ACC">
        <w:t>harmonized</w:t>
      </w:r>
      <w:r w:rsidR="008A7352">
        <w:t xml:space="preserve"> </w:t>
      </w:r>
      <w:r w:rsidRPr="005A6ACC">
        <w:t>frequency</w:t>
      </w:r>
      <w:r w:rsidR="008A7352">
        <w:t xml:space="preserve"> </w:t>
      </w:r>
      <w:r w:rsidRPr="005A6ACC">
        <w:t>bands</w:t>
      </w:r>
      <w:r w:rsidR="008A7352">
        <w:t xml:space="preserve"> </w:t>
      </w:r>
      <w:r w:rsidRPr="005A6ACC">
        <w:t>to</w:t>
      </w:r>
      <w:r w:rsidR="008A7352">
        <w:t xml:space="preserve"> </w:t>
      </w:r>
      <w:r w:rsidRPr="005A6ACC">
        <w:t>achieve</w:t>
      </w:r>
      <w:r w:rsidR="008A7352">
        <w:t xml:space="preserve"> </w:t>
      </w:r>
      <w:r w:rsidRPr="005A6ACC">
        <w:t>a</w:t>
      </w:r>
      <w:r w:rsidR="008A7352">
        <w:t xml:space="preserve"> </w:t>
      </w:r>
      <w:r w:rsidRPr="005A6ACC">
        <w:t>global</w:t>
      </w:r>
      <w:r w:rsidR="008A7352">
        <w:t xml:space="preserve"> </w:t>
      </w:r>
      <w:r w:rsidRPr="005A6ACC">
        <w:t>standardization</w:t>
      </w:r>
      <w:r w:rsidR="00EB3FA7">
        <w:t>.</w:t>
      </w:r>
    </w:p>
    <w:p w:rsidR="00795F68" w:rsidRPr="005A6ACC" w:rsidRDefault="00795F68" w:rsidP="00795F68">
      <w:pPr>
        <w:pStyle w:val="ECCBreak"/>
        <w:rPr>
          <w:lang w:val="en-US"/>
        </w:rPr>
      </w:pPr>
      <w:r w:rsidRPr="005A6ACC">
        <w:rPr>
          <w:lang w:val="en-US"/>
        </w:rPr>
        <w:lastRenderedPageBreak/>
        <w:t>CITEL (TBD)</w:t>
      </w:r>
    </w:p>
    <w:p w:rsidR="00310996" w:rsidRPr="005A6ACC" w:rsidRDefault="00310996" w:rsidP="00310996">
      <w:pPr>
        <w:rPr>
          <w:lang w:val="en-US"/>
        </w:rPr>
      </w:pPr>
    </w:p>
    <w:p w:rsidR="00795F68" w:rsidRPr="007368D1" w:rsidRDefault="00795F68" w:rsidP="00795F68">
      <w:pPr>
        <w:pStyle w:val="ECCBreak"/>
        <w:rPr>
          <w:lang w:val="en-GB"/>
        </w:rPr>
      </w:pPr>
      <w:r w:rsidRPr="007368D1">
        <w:rPr>
          <w:lang w:val="en-GB"/>
        </w:rPr>
        <w:t>RCC (</w:t>
      </w:r>
      <w:r w:rsidR="005234F1" w:rsidRPr="00D227F8">
        <w:rPr>
          <w:lang w:val="en-US"/>
        </w:rPr>
        <w:t>March 2018</w:t>
      </w:r>
      <w:r w:rsidRPr="007368D1">
        <w:rPr>
          <w:lang w:val="en-GB"/>
        </w:rPr>
        <w:t>)</w:t>
      </w:r>
    </w:p>
    <w:p w:rsidR="00795F68" w:rsidRPr="00795F68" w:rsidRDefault="00795F68" w:rsidP="00795F68">
      <w:r w:rsidRPr="00795F68">
        <w:t>The RCC Administrations are in favour of harmonizing frequency bands to be used for Wireless Power Transmission (WPT) for electric vehicles, which could be implemented by the development of relevant Recommendation ITU-R.</w:t>
      </w:r>
    </w:p>
    <w:p w:rsidR="00795F68" w:rsidRPr="00795F68" w:rsidRDefault="00795F68" w:rsidP="00795F68">
      <w:r w:rsidRPr="00795F68">
        <w:t>The RCC Administrations support the development of conditions for use of the frequency bands 19</w:t>
      </w:r>
      <w:r w:rsidRPr="00795F68">
        <w:noBreakHyphen/>
        <w:t>21 kHz, 59</w:t>
      </w:r>
      <w:r w:rsidRPr="00795F68">
        <w:noBreakHyphen/>
        <w:t>61 kHz, 79</w:t>
      </w:r>
      <w:r w:rsidRPr="00795F68">
        <w:noBreakHyphen/>
        <w:t>90 kHz and 100</w:t>
      </w:r>
      <w:r w:rsidRPr="00795F68">
        <w:noBreakHyphen/>
        <w:t xml:space="preserve">300 kHz by WPT devices, which would provide protection to stations of </w:t>
      </w:r>
      <w:proofErr w:type="spellStart"/>
      <w:r w:rsidRPr="00795F68">
        <w:t>radiocommunication</w:t>
      </w:r>
      <w:proofErr w:type="spellEnd"/>
      <w:r w:rsidRPr="00795F68">
        <w:t xml:space="preserve"> services from possible interference, and which have relevant allocations in the Radio Regulations on a primary or secondary basis.</w:t>
      </w:r>
    </w:p>
    <w:p w:rsidR="00795F68" w:rsidRPr="00795F68" w:rsidRDefault="00795F68" w:rsidP="00795F68">
      <w:pPr>
        <w:pStyle w:val="berschrift2"/>
      </w:pPr>
      <w:r w:rsidRPr="00795F68">
        <w:t>International organisations</w:t>
      </w:r>
    </w:p>
    <w:p w:rsidR="00795F68" w:rsidRPr="00795F68" w:rsidRDefault="00795F68" w:rsidP="00795F68">
      <w:pPr>
        <w:pStyle w:val="ECCBreak"/>
      </w:pPr>
      <w:r w:rsidRPr="00795F68">
        <w:t>NATO (</w:t>
      </w:r>
      <w:r w:rsidR="005A6ACC">
        <w:t>June</w:t>
      </w:r>
      <w:r w:rsidRPr="00795F68">
        <w:t xml:space="preserve"> 2018)</w:t>
      </w:r>
    </w:p>
    <w:p w:rsidR="00795F68" w:rsidRPr="00310996" w:rsidRDefault="00795F68" w:rsidP="00795F68">
      <w:pPr>
        <w:rPr>
          <w:rStyle w:val="ECCHLunderlined"/>
        </w:rPr>
      </w:pPr>
      <w:r w:rsidRPr="00310996">
        <w:rPr>
          <w:rStyle w:val="ECCHLunderlined"/>
        </w:rPr>
        <w:t xml:space="preserve">NATO Military Assessment </w:t>
      </w:r>
    </w:p>
    <w:p w:rsidR="005A6ACC" w:rsidRPr="005A6ACC" w:rsidRDefault="005A6ACC" w:rsidP="005A6ACC">
      <w:r w:rsidRPr="005A6ACC">
        <w:t>As candidate frequency bands or individual frequencies for WPT applications are 19-21 kHz, 59-61 kHz, 79-90 kHz and 100-300 kHz under discussion.</w:t>
      </w:r>
    </w:p>
    <w:p w:rsidR="005A6ACC" w:rsidRPr="005A6ACC" w:rsidRDefault="005A6ACC" w:rsidP="005A6ACC">
      <w:r w:rsidRPr="005A6ACC">
        <w:t>The range 14-148.5 KHz is a NATO harmonised band and essential to NATO and is in military use for naval communications and tactical non-directional beacons.</w:t>
      </w:r>
    </w:p>
    <w:p w:rsidR="005A6ACC" w:rsidRPr="005A6ACC" w:rsidRDefault="005A6ACC" w:rsidP="005A6ACC">
      <w:r w:rsidRPr="005A6ACC">
        <w:t>From a military perspective, studies will need to show compatibility with applications of the existing services and that the introduction of WPT systems for electric vehicles has no harmful impact on military usage.</w:t>
      </w:r>
    </w:p>
    <w:p w:rsidR="00795F68" w:rsidRPr="00310996" w:rsidRDefault="00795F68" w:rsidP="005A6ACC">
      <w:pPr>
        <w:rPr>
          <w:rStyle w:val="ECCHLunderlined"/>
        </w:rPr>
      </w:pPr>
      <w:r w:rsidRPr="00310996">
        <w:rPr>
          <w:rStyle w:val="ECCHLunderlined"/>
        </w:rPr>
        <w:t>NATO position:</w:t>
      </w:r>
    </w:p>
    <w:p w:rsidR="00795F68" w:rsidRPr="00795F68" w:rsidRDefault="00795F68" w:rsidP="00795F68">
      <w:r w:rsidRPr="00795F68">
        <w:t>No NATO Position at this stage, however NATO Nations are actively monitoring this issue to assess the potential impact on NATO military usage.</w:t>
      </w:r>
    </w:p>
    <w:p w:rsidR="00795F68" w:rsidRPr="00D227F8" w:rsidRDefault="00795F68" w:rsidP="00795F68">
      <w:pPr>
        <w:pStyle w:val="ECCBreak"/>
        <w:rPr>
          <w:lang w:val="en-US"/>
        </w:rPr>
      </w:pPr>
      <w:r w:rsidRPr="007368D1">
        <w:rPr>
          <w:lang w:val="en-GB"/>
        </w:rPr>
        <w:t>IATA (date of proposal)</w:t>
      </w:r>
    </w:p>
    <w:p w:rsidR="00310996" w:rsidRPr="00310996" w:rsidRDefault="00310996" w:rsidP="00310996"/>
    <w:p w:rsidR="00795F68" w:rsidRPr="007368D1" w:rsidRDefault="00795F68" w:rsidP="00795F68">
      <w:pPr>
        <w:pStyle w:val="ECCBreak"/>
        <w:rPr>
          <w:lang w:val="en-GB"/>
        </w:rPr>
      </w:pPr>
      <w:r w:rsidRPr="007368D1">
        <w:rPr>
          <w:lang w:val="en-GB"/>
        </w:rPr>
        <w:t>ICAO (12 September 2017)</w:t>
      </w:r>
    </w:p>
    <w:p w:rsidR="00795F68" w:rsidRPr="00795F68" w:rsidRDefault="00795F68" w:rsidP="00795F68">
      <w:pPr>
        <w:rPr>
          <w:rStyle w:val="ECCParagraph"/>
        </w:rPr>
      </w:pPr>
      <w:r w:rsidRPr="00795F68">
        <w:t>To ensure that the protection of aeronautical systems is appropriately taken into account during the studies called for in response to Resolution 958 (WRC-15).</w:t>
      </w:r>
    </w:p>
    <w:p w:rsidR="00795F68" w:rsidRPr="00795F68" w:rsidRDefault="00795F68" w:rsidP="00795F68">
      <w:pPr>
        <w:pStyle w:val="ECCBreak"/>
        <w:rPr>
          <w:lang w:val="en-US"/>
        </w:rPr>
      </w:pPr>
      <w:r w:rsidRPr="007368D1">
        <w:rPr>
          <w:lang w:val="en-GB"/>
        </w:rPr>
        <w:t>IMO (date of proposal)</w:t>
      </w:r>
    </w:p>
    <w:p w:rsidR="00795F68" w:rsidRPr="00795F68" w:rsidRDefault="00795F68" w:rsidP="00795F68">
      <w:pPr>
        <w:rPr>
          <w:rStyle w:val="ECCParagraph"/>
        </w:rPr>
      </w:pPr>
    </w:p>
    <w:p w:rsidR="00795F68" w:rsidRPr="00795F68" w:rsidRDefault="00795F68" w:rsidP="00795F68">
      <w:pPr>
        <w:rPr>
          <w:rStyle w:val="ECCParagraph"/>
        </w:rPr>
      </w:pPr>
      <w:r w:rsidRPr="00795F68">
        <w:rPr>
          <w:rStyle w:val="ECCHLbold"/>
        </w:rPr>
        <w:t>IARU (</w:t>
      </w:r>
      <w:r>
        <w:rPr>
          <w:rStyle w:val="ECCHLbold"/>
        </w:rPr>
        <w:t xml:space="preserve">June </w:t>
      </w:r>
      <w:r w:rsidRPr="00795F68">
        <w:rPr>
          <w:rStyle w:val="ECCHLbold"/>
        </w:rPr>
        <w:t>201</w:t>
      </w:r>
      <w:r>
        <w:rPr>
          <w:rStyle w:val="ECCHLbold"/>
        </w:rPr>
        <w:t>8</w:t>
      </w:r>
      <w:r w:rsidRPr="00795F68">
        <w:rPr>
          <w:rStyle w:val="ECCHLbold"/>
        </w:rPr>
        <w:t>)</w:t>
      </w:r>
    </w:p>
    <w:p w:rsidR="00795F68" w:rsidRPr="00795F68" w:rsidRDefault="00795F68" w:rsidP="00795F68">
      <w:pPr>
        <w:rPr>
          <w:rStyle w:val="ECCParagraph"/>
        </w:rPr>
      </w:pPr>
      <w:r w:rsidRPr="00795F68">
        <w:rPr>
          <w:rStyle w:val="ECCParagraph"/>
        </w:rPr>
        <w:t>IARU observes that the High Power Wireless Power Transfer (HPWPT) is an emerging technology which will in time become deployed on a widespread basis (one in every house).  IARU further observes the on-going work in ITU and standards organisations to propose frequency ranges for HPWPT. IARU is of the view that radio frequency emissions resulting from any kind of Wireless Power Transmission (WPT) must be confined to the frequency ranges already identified for equipment used for industrial, scientific, and medical (ISM) applications or if found necessary, to frequencies below 100 kHz.</w:t>
      </w:r>
    </w:p>
    <w:p w:rsidR="00795F68" w:rsidRPr="00795F68" w:rsidRDefault="00795F68" w:rsidP="00795F68">
      <w:pPr>
        <w:rPr>
          <w:rStyle w:val="ECCParagraph"/>
        </w:rPr>
      </w:pPr>
      <w:r w:rsidRPr="00795F68">
        <w:rPr>
          <w:rStyle w:val="ECCParagraph"/>
        </w:rPr>
        <w:lastRenderedPageBreak/>
        <w:t xml:space="preserve">Since HPWPT involves very large amounts of RF power and an HPWPT installation involve components connected together in a system with associated power supplies and control equipment, the spurious emissions from all these system parts must be carefully controlled in order to avoid degrading the radio spectrum and cause interference to other </w:t>
      </w:r>
      <w:proofErr w:type="spellStart"/>
      <w:r w:rsidRPr="00795F68">
        <w:rPr>
          <w:rStyle w:val="ECCParagraph"/>
        </w:rPr>
        <w:t>radiocommunication</w:t>
      </w:r>
      <w:proofErr w:type="spellEnd"/>
      <w:r w:rsidRPr="00795F68">
        <w:rPr>
          <w:rStyle w:val="ECCParagraph"/>
        </w:rPr>
        <w:t xml:space="preserve"> systems or services in accordance with RR 15.12 and RR 15.13.</w:t>
      </w:r>
    </w:p>
    <w:p w:rsidR="00795F68" w:rsidRPr="00795F68" w:rsidRDefault="00795F68" w:rsidP="00795F68">
      <w:pPr>
        <w:rPr>
          <w:rStyle w:val="ECCParagraph"/>
        </w:rPr>
      </w:pPr>
      <w:r w:rsidRPr="00795F68">
        <w:rPr>
          <w:rStyle w:val="ECCParagraph"/>
        </w:rPr>
        <w:t>Sources of emissions on frequencies other than the fundamental frequency of the HPWPT include:</w:t>
      </w:r>
    </w:p>
    <w:p w:rsidR="00795F68" w:rsidRPr="00795F68" w:rsidRDefault="00795F68" w:rsidP="00795F68">
      <w:pPr>
        <w:pStyle w:val="ECCBulletsLv1"/>
        <w:rPr>
          <w:rStyle w:val="ECCParagraph"/>
        </w:rPr>
      </w:pPr>
      <w:r w:rsidRPr="00795F68">
        <w:rPr>
          <w:rStyle w:val="ECCParagraph"/>
        </w:rPr>
        <w:t>High order harmonics of the fundamental WPT frequency;</w:t>
      </w:r>
    </w:p>
    <w:p w:rsidR="00795F68" w:rsidRPr="00795F68" w:rsidRDefault="00795F68" w:rsidP="00795F68">
      <w:pPr>
        <w:pStyle w:val="ECCBulletsLv1"/>
        <w:rPr>
          <w:rStyle w:val="ECCParagraph"/>
        </w:rPr>
      </w:pPr>
      <w:r w:rsidRPr="00795F68">
        <w:rPr>
          <w:rStyle w:val="ECCParagraph"/>
        </w:rPr>
        <w:t>Phase noise from the frequency control circuits (“jitter”) causing wideband noise;</w:t>
      </w:r>
    </w:p>
    <w:p w:rsidR="00795F68" w:rsidRPr="00795F68" w:rsidRDefault="00795F68" w:rsidP="00795F68">
      <w:pPr>
        <w:pStyle w:val="ECCBulletsLv1"/>
        <w:rPr>
          <w:rStyle w:val="ECCParagraph"/>
        </w:rPr>
      </w:pPr>
      <w:r w:rsidRPr="00795F68">
        <w:rPr>
          <w:rStyle w:val="ECCParagraph"/>
        </w:rPr>
        <w:t>Spurious signals from the switch-mode power supply on all control and power ports – conducted and common mode;</w:t>
      </w:r>
    </w:p>
    <w:p w:rsidR="00795F68" w:rsidRPr="00795F68" w:rsidRDefault="00795F68" w:rsidP="00795F68">
      <w:pPr>
        <w:pStyle w:val="ECCBulletsLv1"/>
        <w:rPr>
          <w:rStyle w:val="ECCParagraph"/>
        </w:rPr>
      </w:pPr>
      <w:r w:rsidRPr="00795F68">
        <w:rPr>
          <w:rStyle w:val="ECCParagraph"/>
        </w:rPr>
        <w:t>Common mode signals on control cables and power lines from data communication networks associat</w:t>
      </w:r>
      <w:r w:rsidR="00EB3FA7">
        <w:rPr>
          <w:rStyle w:val="ECCParagraph"/>
        </w:rPr>
        <w:t>ed with the control of the unit;</w:t>
      </w:r>
    </w:p>
    <w:p w:rsidR="00795F68" w:rsidRPr="00795F68" w:rsidRDefault="00795F68" w:rsidP="00795F68">
      <w:pPr>
        <w:pStyle w:val="ECCBulletsLv1"/>
        <w:rPr>
          <w:rStyle w:val="ECCParagraph"/>
        </w:rPr>
      </w:pPr>
      <w:r w:rsidRPr="00795F68">
        <w:rPr>
          <w:rStyle w:val="ECCParagraph"/>
        </w:rPr>
        <w:t xml:space="preserve">To ensure adequate protection to authorised radio services, proper compatibility and sharing studies have been conducted which confirm that harmful interference to LF, MF and HF </w:t>
      </w:r>
      <w:proofErr w:type="spellStart"/>
      <w:r w:rsidRPr="00795F68">
        <w:rPr>
          <w:rStyle w:val="ECCParagraph"/>
        </w:rPr>
        <w:t>radiocommunication</w:t>
      </w:r>
      <w:proofErr w:type="spellEnd"/>
      <w:r w:rsidRPr="00795F68">
        <w:rPr>
          <w:rStyle w:val="ECCParagraph"/>
        </w:rPr>
        <w:t xml:space="preserve"> services in the domestic environment is inevitable unless spurious emission limits are revised to provide greater protection than at present.</w:t>
      </w:r>
    </w:p>
    <w:p w:rsidR="00795F68" w:rsidRPr="00795F68" w:rsidRDefault="00795F68" w:rsidP="00795F68">
      <w:pPr>
        <w:rPr>
          <w:rStyle w:val="ECCParagraph"/>
        </w:rPr>
      </w:pPr>
      <w:r w:rsidRPr="00795F68">
        <w:rPr>
          <w:rStyle w:val="ECCParagraph"/>
        </w:rPr>
        <w:t xml:space="preserve">IARU </w:t>
      </w:r>
      <w:r w:rsidRPr="00795F68">
        <w:t>regards cooperation</w:t>
      </w:r>
      <w:r w:rsidRPr="00795F68">
        <w:rPr>
          <w:rStyle w:val="ECCParagraph"/>
        </w:rPr>
        <w:t xml:space="preserve"> between ITU and Standards organisations to be essential in the evolution of standards and frequencies for HPWPT operation.</w:t>
      </w:r>
    </w:p>
    <w:p w:rsidR="00795F68" w:rsidRPr="00795F68" w:rsidRDefault="00795F68" w:rsidP="00795F68">
      <w:pPr>
        <w:rPr>
          <w:rStyle w:val="ECCParagraph"/>
        </w:rPr>
      </w:pPr>
      <w:r w:rsidRPr="00795F68">
        <w:rPr>
          <w:rStyle w:val="ECCParagraph"/>
        </w:rPr>
        <w:t>Studies by IARU and others show that the level of emissions in the spurious domain envisaged in ITU-R SM.329 or ERC Rec 74-01 do not protect radio services from harmful interference when WPT installations are nearby. The emissions exceed by some 40dB+ the level which would provide proper protection.  Some degree of mitigation is possible if all WPT installations were to operate on a tightly specified and stable single frequency with good wideband noise performance.</w:t>
      </w:r>
    </w:p>
    <w:p w:rsidR="00EB3FA7" w:rsidRDefault="00795F68" w:rsidP="00795F68">
      <w:pPr>
        <w:rPr>
          <w:rStyle w:val="ECCParagraph"/>
        </w:rPr>
      </w:pPr>
      <w:r w:rsidRPr="00795F68">
        <w:rPr>
          <w:rStyle w:val="ECCParagraph"/>
        </w:rPr>
        <w:t>No WPT system operating at c 85 kHz has been available for evaluation.  The modelling that has been done, therefore, has been based on existing limits and standards. A number of factors remain uncertain, including;</w:t>
      </w:r>
    </w:p>
    <w:p w:rsidR="00795F68" w:rsidRPr="00171B3C" w:rsidRDefault="00795F68" w:rsidP="00171B3C">
      <w:pPr>
        <w:pStyle w:val="ECCLetteredList"/>
        <w:numPr>
          <w:ilvl w:val="1"/>
          <w:numId w:val="45"/>
        </w:numPr>
        <w:rPr>
          <w:rStyle w:val="ECCParagraph"/>
          <w:lang w:val="da-DK"/>
        </w:rPr>
      </w:pPr>
      <w:r w:rsidRPr="00171B3C">
        <w:rPr>
          <w:rStyle w:val="ECCParagraph"/>
          <w:lang w:val="da-DK"/>
        </w:rPr>
        <w:t xml:space="preserve">The likely spurious emission levels from WPT(EV) systems, ITU-R SM329-12 has therefore been take as the basis for study as WPT manufacturers have stated in SE24 that this is their target performance level. </w:t>
      </w:r>
    </w:p>
    <w:p w:rsidR="00795F68" w:rsidRPr="00171B3C" w:rsidRDefault="00795F68" w:rsidP="00171B3C">
      <w:pPr>
        <w:pStyle w:val="ECCLetteredList"/>
        <w:rPr>
          <w:rStyle w:val="ECCParagraph"/>
          <w:lang w:val="da-DK"/>
        </w:rPr>
      </w:pPr>
      <w:r w:rsidRPr="00171B3C">
        <w:rPr>
          <w:rStyle w:val="ECCParagraph"/>
          <w:lang w:val="da-DK"/>
        </w:rPr>
        <w:t xml:space="preserve">The likely frequency tolerance. The ITU-R PDNR on WPT for electric vehicles states that system retuning of +/- 0.5 kHz is likely. This results in a potential impact across 50% of the radio spectrum around 4 MHz and correspondingly greater percentages at higher frequencies.  </w:t>
      </w:r>
    </w:p>
    <w:p w:rsidR="00171B3C" w:rsidRDefault="00795F68" w:rsidP="00795F68">
      <w:pPr>
        <w:rPr>
          <w:rStyle w:val="ECCParagraph"/>
        </w:rPr>
      </w:pPr>
      <w:r w:rsidRPr="00795F68">
        <w:rPr>
          <w:rStyle w:val="ECCParagraph"/>
        </w:rPr>
        <w:t xml:space="preserve">ETSI Standard EN 300330 and related modelling allows a realistic assessment to be made of the extent of emissions around a WPT system which meets the requirements of ITU-R SM329-12 in respect of spurious emissions at all frequencies.  This shows that WPT systems will raise the rural noise level at distances of up to 1 km from the installation. By any measure this constitutes widespread harmful interference.  Recognising the requirements of RR </w:t>
      </w:r>
      <w:r w:rsidRPr="00795F68">
        <w:t xml:space="preserve">15.12 and 15.13, </w:t>
      </w:r>
      <w:r w:rsidRPr="00795F68">
        <w:rPr>
          <w:rStyle w:val="ECCParagraph"/>
        </w:rPr>
        <w:t xml:space="preserve">appropriate limits for emissions in the spurious domain should be developed as part of the introduction of WPT for EV in the domestic residential and rural environment.  Without tighter limits, the coexistence of broadcast and amateur services in the LF, MF and HF spectrum with </w:t>
      </w:r>
      <w:proofErr w:type="gramStart"/>
      <w:r w:rsidRPr="00795F68">
        <w:rPr>
          <w:rStyle w:val="ECCParagraph"/>
        </w:rPr>
        <w:t>WPT(</w:t>
      </w:r>
      <w:proofErr w:type="gramEnd"/>
      <w:r w:rsidRPr="00795F68">
        <w:rPr>
          <w:rStyle w:val="ECCParagraph"/>
        </w:rPr>
        <w:t xml:space="preserve">EV) is open to question. </w:t>
      </w:r>
    </w:p>
    <w:p w:rsidR="00795F68" w:rsidRPr="00795F68" w:rsidRDefault="00795F68" w:rsidP="00795F68">
      <w:pPr>
        <w:pStyle w:val="ECCBreak"/>
        <w:rPr>
          <w:lang w:val="en-GB"/>
        </w:rPr>
      </w:pPr>
      <w:r w:rsidRPr="007368D1">
        <w:rPr>
          <w:lang w:val="en-GB"/>
        </w:rPr>
        <w:t>SFCG (</w:t>
      </w:r>
      <w:r w:rsidR="00497DD0" w:rsidRPr="00B7019A">
        <w:rPr>
          <w:lang w:val="en-US"/>
        </w:rPr>
        <w:t>August 2018</w:t>
      </w:r>
      <w:r w:rsidRPr="007368D1">
        <w:rPr>
          <w:lang w:val="en-GB"/>
        </w:rPr>
        <w:t>)</w:t>
      </w:r>
    </w:p>
    <w:p w:rsidR="00795F68" w:rsidRDefault="00795F68" w:rsidP="00795F68">
      <w:r w:rsidRPr="00795F68">
        <w:t xml:space="preserve">While past work on the topic of WPT for electric vehicles has focused on bands below 400 kHz, and in the 6 765-6 795 kHz band, Resolution 958 (WRC-15) does not limit the studies to those bands. SFCG should continue to monitor the developments of this </w:t>
      </w:r>
      <w:r w:rsidR="00497DD0">
        <w:t>issue</w:t>
      </w:r>
      <w:r w:rsidRPr="00795F68">
        <w:t xml:space="preserve"> for any spectrum requirements identified that could impact space science services operations.</w:t>
      </w:r>
    </w:p>
    <w:p w:rsidR="00795F68" w:rsidRPr="007368D1" w:rsidRDefault="00795F68" w:rsidP="00795F68">
      <w:pPr>
        <w:pStyle w:val="ECCBreak"/>
        <w:rPr>
          <w:lang w:val="en-GB"/>
        </w:rPr>
      </w:pPr>
      <w:r w:rsidRPr="007368D1">
        <w:rPr>
          <w:lang w:val="en-GB"/>
        </w:rPr>
        <w:t>WMO and EUMETNET (</w:t>
      </w:r>
      <w:r w:rsidR="005234F1" w:rsidRPr="005A6ACC">
        <w:rPr>
          <w:lang w:val="en-US"/>
        </w:rPr>
        <w:t>June 2018</w:t>
      </w:r>
      <w:r w:rsidRPr="007368D1">
        <w:rPr>
          <w:lang w:val="en-GB"/>
        </w:rPr>
        <w:t>)</w:t>
      </w:r>
    </w:p>
    <w:p w:rsidR="005234F1" w:rsidRPr="007C2DCD" w:rsidRDefault="005234F1" w:rsidP="005234F1">
      <w:bookmarkStart w:id="0" w:name="_GoBack"/>
      <w:bookmarkEnd w:id="0"/>
      <w:r w:rsidRPr="007C2DCD">
        <w:lastRenderedPageBreak/>
        <w:t xml:space="preserve">Resolution 958 (WRC-15) calls to complete ITU-R studies concerning Wireless Power Transmission (WPT) for electric vehicles to assess the impact of WPT for electric vehicles on </w:t>
      </w:r>
      <w:proofErr w:type="spellStart"/>
      <w:r w:rsidRPr="007C2DCD">
        <w:t>radiocommunication</w:t>
      </w:r>
      <w:proofErr w:type="spellEnd"/>
      <w:r w:rsidRPr="007C2DCD">
        <w:t xml:space="preserve"> services and to study suitable harmonized frequency ranges which would minimize the impact on </w:t>
      </w:r>
      <w:proofErr w:type="spellStart"/>
      <w:r w:rsidRPr="007C2DCD">
        <w:t>radiocommunication</w:t>
      </w:r>
      <w:proofErr w:type="spellEnd"/>
      <w:r w:rsidRPr="007C2DCD">
        <w:t xml:space="preserve"> services from WPT for electrical vehicles.</w:t>
      </w:r>
    </w:p>
    <w:p w:rsidR="005234F1" w:rsidRPr="007C2DCD" w:rsidRDefault="005234F1" w:rsidP="005234F1">
      <w:r w:rsidRPr="007C2DCD">
        <w:t>The frequency range initially mentioned under this Agenda Item is 20 to 6800 kHz. If this frequency range is confirmed, details on WPT principles and related propagation conditions will be needed to assess the potential impact of WPT on lightning detection networks and oceanographic radars deployed by the meteorological community.</w:t>
      </w:r>
    </w:p>
    <w:p w:rsidR="005234F1" w:rsidRPr="00795F68" w:rsidRDefault="005234F1" w:rsidP="00795F68">
      <w:r w:rsidRPr="00A746D2">
        <w:t xml:space="preserve">WMO will monitor this AI to ensure that any possible change will not adversely impact any service used for meteorological </w:t>
      </w:r>
      <w:r>
        <w:t>operations</w:t>
      </w:r>
      <w:r w:rsidRPr="00A746D2">
        <w:t>.</w:t>
      </w:r>
    </w:p>
    <w:p w:rsidR="00795F68" w:rsidRPr="00795F68" w:rsidRDefault="00795F68" w:rsidP="00795F68">
      <w:pPr>
        <w:pStyle w:val="berschrift2"/>
        <w:rPr>
          <w:lang w:val="en-GB"/>
        </w:rPr>
      </w:pPr>
      <w:r w:rsidRPr="00795F68">
        <w:t>Regional organisations</w:t>
      </w:r>
    </w:p>
    <w:p w:rsidR="00795F68" w:rsidRPr="00FD167C" w:rsidRDefault="00795F68" w:rsidP="00795F68">
      <w:pPr>
        <w:pStyle w:val="ECCBreak"/>
        <w:rPr>
          <w:lang w:val="en-GB"/>
        </w:rPr>
      </w:pPr>
      <w:r w:rsidRPr="00FD167C">
        <w:rPr>
          <w:lang w:val="en-GB"/>
        </w:rPr>
        <w:t>ESA (28 November 2016)</w:t>
      </w:r>
    </w:p>
    <w:p w:rsidR="00795F68" w:rsidRPr="00795F68" w:rsidRDefault="00795F68" w:rsidP="00795F68">
      <w:r w:rsidRPr="00795F68">
        <w:t>ESA supports the SFCG position.</w:t>
      </w:r>
    </w:p>
    <w:p w:rsidR="00795F68" w:rsidRPr="00795F68" w:rsidRDefault="00795F68" w:rsidP="00795F68">
      <w:pPr>
        <w:pStyle w:val="ECCBreak"/>
        <w:rPr>
          <w:rStyle w:val="ECCParagraph"/>
        </w:rPr>
      </w:pPr>
      <w:r w:rsidRPr="00795F68">
        <w:t>Eurocontrol (date of proposal)</w:t>
      </w:r>
    </w:p>
    <w:p w:rsidR="00795F68" w:rsidRPr="00795F68" w:rsidRDefault="00795F68" w:rsidP="00795F68">
      <w:pPr>
        <w:pStyle w:val="berschrift2"/>
      </w:pPr>
      <w:r w:rsidRPr="00795F68">
        <w:t>OTHER INTERNATIONAL AND REGIONAL ORGANISATIONS</w:t>
      </w:r>
    </w:p>
    <w:p w:rsidR="00795F68" w:rsidRDefault="00795F68" w:rsidP="00795F68">
      <w:pPr>
        <w:pStyle w:val="ECCBreak"/>
      </w:pPr>
      <w:r w:rsidRPr="00795F68">
        <w:t>EBU (</w:t>
      </w:r>
      <w:r w:rsidR="00B7019A">
        <w:t>24 September 2018</w:t>
      </w:r>
      <w:r w:rsidRPr="00795F68">
        <w:t>)</w:t>
      </w:r>
    </w:p>
    <w:p w:rsidR="00FD167C" w:rsidRPr="007653B1" w:rsidRDefault="00FD167C" w:rsidP="007653B1">
      <w:r w:rsidRPr="007653B1">
        <w:t>EBU members operate amplitude modulation broadcasting stations in the LF, MF and HF bands. Information on actual LF and MF broadcasting transmitters operated in Region 1 ha</w:t>
      </w:r>
      <w:r w:rsidR="002B1EC8" w:rsidRPr="007653B1">
        <w:t>s</w:t>
      </w:r>
      <w:r w:rsidRPr="007653B1">
        <w:t xml:space="preserve"> been provided by EBU to CEPT through SE24. </w:t>
      </w:r>
    </w:p>
    <w:p w:rsidR="00FD167C" w:rsidRPr="007653B1" w:rsidRDefault="00FD167C" w:rsidP="007653B1">
      <w:r w:rsidRPr="007653B1">
        <w:t xml:space="preserve">Studies show the possibility of interference to the reception of those stations from harmonic emissions of WPT equipment used for electric vehicle charging. Studies also show that the required limits based on protection requirements of AM broadcasting signals are significantly more stringent than current limits specified for inductive devices in CEPT, ETSI or CISPR. </w:t>
      </w:r>
      <w:proofErr w:type="gramStart"/>
      <w:r w:rsidRPr="007653B1">
        <w:t>Where necessary attention should be drawn to these differences and the reasons for them.</w:t>
      </w:r>
      <w:proofErr w:type="gramEnd"/>
      <w:r w:rsidRPr="007653B1">
        <w:t xml:space="preserve">  The EBU has proposed a mitigation technique in the relevant working groups of these organisations. This technique allows for a significant relaxation of the limits by the selection of particular WPT frequencies with enhanced stability. </w:t>
      </w:r>
    </w:p>
    <w:p w:rsidR="00795F68" w:rsidRPr="007653B1" w:rsidRDefault="00FD167C" w:rsidP="007653B1">
      <w:r w:rsidRPr="007653B1">
        <w:t xml:space="preserve">Any use of WPT devices therefore needs to be sufficiently regulated in order to limit emissions to levels which will not cause harmful interference to the broadcasting service.  The EBU is strongly of the view that as well as specifying frequency bands for WPT operation it is essential that tolerable limits, below which harmful interference is unlikely to occur, should be specified and clearly disseminated through Reports and Recommendations in the CEPT, ETSI, CISPR and the ITU for all affected </w:t>
      </w:r>
      <w:proofErr w:type="spellStart"/>
      <w:r w:rsidRPr="007653B1">
        <w:t>radiocommunication</w:t>
      </w:r>
      <w:proofErr w:type="spellEnd"/>
      <w:r w:rsidRPr="007653B1">
        <w:t xml:space="preserve"> services.</w:t>
      </w:r>
    </w:p>
    <w:p w:rsidR="00795F68" w:rsidRPr="007368D1" w:rsidRDefault="00795F68" w:rsidP="00795F68">
      <w:pPr>
        <w:pStyle w:val="ECCBreak"/>
        <w:rPr>
          <w:lang w:val="en-GB"/>
        </w:rPr>
      </w:pPr>
      <w:r w:rsidRPr="007368D1">
        <w:rPr>
          <w:lang w:val="en-GB"/>
        </w:rPr>
        <w:t>GSMA (date of proposal)</w:t>
      </w:r>
    </w:p>
    <w:p w:rsidR="00795F68" w:rsidRPr="00795F68" w:rsidRDefault="00795F68" w:rsidP="00795F68">
      <w:pPr>
        <w:rPr>
          <w:rStyle w:val="ECCParagraph"/>
        </w:rPr>
      </w:pPr>
    </w:p>
    <w:p w:rsidR="00795F68" w:rsidRPr="007368D1" w:rsidRDefault="00795F68" w:rsidP="00795F68">
      <w:pPr>
        <w:pStyle w:val="ECCBreak"/>
        <w:rPr>
          <w:lang w:val="en-GB"/>
        </w:rPr>
      </w:pPr>
      <w:r w:rsidRPr="007368D1">
        <w:rPr>
          <w:lang w:val="en-GB"/>
        </w:rPr>
        <w:t xml:space="preserve">CRAF (date of proposal)  </w:t>
      </w:r>
    </w:p>
    <w:p w:rsidR="003A68D5" w:rsidRPr="00BC2F90" w:rsidRDefault="003A68D5" w:rsidP="003A68D5">
      <w:pPr>
        <w:rPr>
          <w:rStyle w:val="ECCParagraph"/>
        </w:rPr>
      </w:pPr>
    </w:p>
    <w:sectPr w:rsidR="003A68D5" w:rsidRPr="00BC2F90"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32" w:rsidRDefault="00121C32" w:rsidP="00D0121B">
      <w:r>
        <w:separator/>
      </w:r>
    </w:p>
    <w:p w:rsidR="00121C32" w:rsidRDefault="00121C32"/>
    <w:p w:rsidR="00121C32" w:rsidRDefault="00121C32"/>
  </w:endnote>
  <w:endnote w:type="continuationSeparator" w:id="0">
    <w:p w:rsidR="00121C32" w:rsidRDefault="00121C32" w:rsidP="00D0121B">
      <w:r>
        <w:continuationSeparator/>
      </w:r>
    </w:p>
    <w:p w:rsidR="00121C32" w:rsidRDefault="00121C32"/>
    <w:p w:rsidR="00121C32" w:rsidRDefault="0012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32" w:rsidRDefault="00121C32" w:rsidP="00F86A59">
      <w:pPr>
        <w:pStyle w:val="Funotentext"/>
      </w:pPr>
      <w:r>
        <w:separator/>
      </w:r>
    </w:p>
  </w:footnote>
  <w:footnote w:type="continuationSeparator" w:id="0">
    <w:p w:rsidR="00121C32" w:rsidRDefault="00121C32" w:rsidP="00D0121B">
      <w:r>
        <w:continuationSeparator/>
      </w:r>
    </w:p>
    <w:p w:rsidR="00121C32" w:rsidRDefault="00121C32"/>
    <w:p w:rsidR="00121C32" w:rsidRDefault="00121C32"/>
  </w:footnote>
  <w:footnote w:id="1">
    <w:p w:rsidR="00F86A59" w:rsidRPr="003A61CE" w:rsidRDefault="00F86A59" w:rsidP="00806003">
      <w:pPr>
        <w:pStyle w:val="Funotentext"/>
        <w:rPr>
          <w:lang w:val="en-US"/>
        </w:rPr>
      </w:pPr>
      <w:r w:rsidRPr="00F86A59">
        <w:rPr>
          <w:rStyle w:val="Funotenzeichen"/>
        </w:rPr>
        <w:footnoteRef/>
      </w:r>
      <w:r w:rsidRPr="007368D1">
        <w:rPr>
          <w:rStyle w:val="Funotenzeichen"/>
          <w:lang w:val="en-GB"/>
        </w:rPr>
        <w:t xml:space="preserve"> </w:t>
      </w:r>
      <w:r w:rsidR="00806003" w:rsidRPr="007368D1">
        <w:rPr>
          <w:lang w:val="en-GB"/>
        </w:rPr>
        <w:tab/>
      </w:r>
      <w:r w:rsidR="00494C30" w:rsidRPr="00494C30">
        <w:rPr>
          <w:lang w:val="en-GB"/>
        </w:rPr>
        <w:t xml:space="preserve">Measurement reports of real WPT-EV systems operating in these bands have been analysed by </w:t>
      </w:r>
      <w:r w:rsidRPr="007368D1">
        <w:rPr>
          <w:lang w:val="en-GB"/>
        </w:rPr>
        <w:t>WG</w:t>
      </w:r>
      <w:r w:rsidR="00494C30" w:rsidRPr="00494C30">
        <w:rPr>
          <w:lang w:val="en-GB"/>
        </w:rPr>
        <w:t xml:space="preserve"> </w:t>
      </w:r>
      <w:r w:rsidRPr="007368D1">
        <w:rPr>
          <w:lang w:val="en-GB"/>
        </w:rPr>
        <w:t>SE and SE24</w:t>
      </w:r>
      <w:r w:rsidR="00494C30" w:rsidRPr="00494C30">
        <w:rPr>
          <w:lang w:val="en-GB"/>
        </w:rPr>
        <w:t>.</w:t>
      </w:r>
      <w:r w:rsidRPr="007368D1">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712241" w:rsidRPr="008A0F37">
      <w:rPr>
        <w:lang w:val="en-GB"/>
      </w:rPr>
      <w:t>9.1.6</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171B3C">
      <w:rPr>
        <w:noProof/>
        <w:lang w:val="en-US"/>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712241" w:rsidRPr="008A0F37">
      <w:rPr>
        <w:lang w:val="en-GB"/>
      </w:rPr>
      <w:t>9.1.6</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171B3C">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FB" w:rsidRDefault="00052EFB" w:rsidP="00052EFB">
    <w:pPr>
      <w:pStyle w:val="ECCpageHeader"/>
    </w:pPr>
  </w:p>
  <w:p w:rsidR="00052EFB" w:rsidRDefault="00052EFB" w:rsidP="00052EFB">
    <w:pPr>
      <w:pStyle w:val="ECCpageHeader"/>
    </w:pPr>
    <w:r w:rsidRPr="00052EFB">
      <w:rPr>
        <w:noProof/>
        <w:lang w:val="de-DE" w:eastAsia="de-DE"/>
      </w:rPr>
      <w:drawing>
        <wp:inline distT="0" distB="0" distL="0" distR="0" wp14:anchorId="47EDA154" wp14:editId="0252F886">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052EFB">
      <w:rPr>
        <w:noProof/>
        <w:lang w:val="de-DE" w:eastAsia="de-DE"/>
      </w:rPr>
      <w:drawing>
        <wp:inline distT="0" distB="0" distL="0" distR="0" wp14:anchorId="4414DA76" wp14:editId="6F0DBA08">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052EFB" w:rsidRPr="005611D0" w:rsidRDefault="00052EFB" w:rsidP="00052EFB">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7A74B02"/>
    <w:multiLevelType w:val="hybridMultilevel"/>
    <w:tmpl w:val="7D7C70E6"/>
    <w:lvl w:ilvl="0" w:tplc="AB8461D8">
      <w:start w:val="1"/>
      <w:numFmt w:val="bullet"/>
      <w:lvlText w:val="o"/>
      <w:lvlJc w:val="left"/>
      <w:pPr>
        <w:tabs>
          <w:tab w:val="num" w:pos="720"/>
        </w:tabs>
        <w:ind w:left="720" w:hanging="360"/>
      </w:pPr>
      <w:rPr>
        <w:rFonts w:ascii="Courier New" w:hAnsi="Courier New" w:hint="default"/>
      </w:rPr>
    </w:lvl>
    <w:lvl w:ilvl="1" w:tplc="34FE7FB8">
      <w:start w:val="1"/>
      <w:numFmt w:val="bullet"/>
      <w:lvlText w:val="o"/>
      <w:lvlJc w:val="left"/>
      <w:pPr>
        <w:tabs>
          <w:tab w:val="num" w:pos="1440"/>
        </w:tabs>
        <w:ind w:left="1440" w:hanging="360"/>
      </w:pPr>
      <w:rPr>
        <w:rFonts w:ascii="Courier New" w:hAnsi="Courier New" w:hint="default"/>
      </w:rPr>
    </w:lvl>
    <w:lvl w:ilvl="2" w:tplc="3306F8E4" w:tentative="1">
      <w:start w:val="1"/>
      <w:numFmt w:val="bullet"/>
      <w:lvlText w:val="o"/>
      <w:lvlJc w:val="left"/>
      <w:pPr>
        <w:tabs>
          <w:tab w:val="num" w:pos="2160"/>
        </w:tabs>
        <w:ind w:left="2160" w:hanging="360"/>
      </w:pPr>
      <w:rPr>
        <w:rFonts w:ascii="Courier New" w:hAnsi="Courier New" w:hint="default"/>
      </w:rPr>
    </w:lvl>
    <w:lvl w:ilvl="3" w:tplc="F24254C4" w:tentative="1">
      <w:start w:val="1"/>
      <w:numFmt w:val="bullet"/>
      <w:lvlText w:val="o"/>
      <w:lvlJc w:val="left"/>
      <w:pPr>
        <w:tabs>
          <w:tab w:val="num" w:pos="2880"/>
        </w:tabs>
        <w:ind w:left="2880" w:hanging="360"/>
      </w:pPr>
      <w:rPr>
        <w:rFonts w:ascii="Courier New" w:hAnsi="Courier New" w:hint="default"/>
      </w:rPr>
    </w:lvl>
    <w:lvl w:ilvl="4" w:tplc="59CC8372" w:tentative="1">
      <w:start w:val="1"/>
      <w:numFmt w:val="bullet"/>
      <w:lvlText w:val="o"/>
      <w:lvlJc w:val="left"/>
      <w:pPr>
        <w:tabs>
          <w:tab w:val="num" w:pos="3600"/>
        </w:tabs>
        <w:ind w:left="3600" w:hanging="360"/>
      </w:pPr>
      <w:rPr>
        <w:rFonts w:ascii="Courier New" w:hAnsi="Courier New" w:hint="default"/>
      </w:rPr>
    </w:lvl>
    <w:lvl w:ilvl="5" w:tplc="2D0EF002" w:tentative="1">
      <w:start w:val="1"/>
      <w:numFmt w:val="bullet"/>
      <w:lvlText w:val="o"/>
      <w:lvlJc w:val="left"/>
      <w:pPr>
        <w:tabs>
          <w:tab w:val="num" w:pos="4320"/>
        </w:tabs>
        <w:ind w:left="4320" w:hanging="360"/>
      </w:pPr>
      <w:rPr>
        <w:rFonts w:ascii="Courier New" w:hAnsi="Courier New" w:hint="default"/>
      </w:rPr>
    </w:lvl>
    <w:lvl w:ilvl="6" w:tplc="3B1038CE" w:tentative="1">
      <w:start w:val="1"/>
      <w:numFmt w:val="bullet"/>
      <w:lvlText w:val="o"/>
      <w:lvlJc w:val="left"/>
      <w:pPr>
        <w:tabs>
          <w:tab w:val="num" w:pos="5040"/>
        </w:tabs>
        <w:ind w:left="5040" w:hanging="360"/>
      </w:pPr>
      <w:rPr>
        <w:rFonts w:ascii="Courier New" w:hAnsi="Courier New" w:hint="default"/>
      </w:rPr>
    </w:lvl>
    <w:lvl w:ilvl="7" w:tplc="B3DA49CE" w:tentative="1">
      <w:start w:val="1"/>
      <w:numFmt w:val="bullet"/>
      <w:lvlText w:val="o"/>
      <w:lvlJc w:val="left"/>
      <w:pPr>
        <w:tabs>
          <w:tab w:val="num" w:pos="5760"/>
        </w:tabs>
        <w:ind w:left="5760" w:hanging="360"/>
      </w:pPr>
      <w:rPr>
        <w:rFonts w:ascii="Courier New" w:hAnsi="Courier New" w:hint="default"/>
      </w:rPr>
    </w:lvl>
    <w:lvl w:ilvl="8" w:tplc="E1A63B22" w:tentative="1">
      <w:start w:val="1"/>
      <w:numFmt w:val="bullet"/>
      <w:lvlText w:val="o"/>
      <w:lvlJc w:val="left"/>
      <w:pPr>
        <w:tabs>
          <w:tab w:val="num" w:pos="6480"/>
        </w:tabs>
        <w:ind w:left="6480" w:hanging="360"/>
      </w:pPr>
      <w:rPr>
        <w:rFonts w:ascii="Courier New" w:hAnsi="Courier New"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C32FC5"/>
    <w:multiLevelType w:val="hybridMultilevel"/>
    <w:tmpl w:val="CC5A0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CAE2B27"/>
    <w:multiLevelType w:val="hybridMultilevel"/>
    <w:tmpl w:val="77F0D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578607B2"/>
    <w:multiLevelType w:val="hybridMultilevel"/>
    <w:tmpl w:val="B3741B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F45B7A"/>
    <w:multiLevelType w:val="hybridMultilevel"/>
    <w:tmpl w:val="3D486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3"/>
  </w:num>
  <w:num w:numId="4">
    <w:abstractNumId w:val="20"/>
  </w:num>
  <w:num w:numId="5">
    <w:abstractNumId w:val="16"/>
  </w:num>
  <w:num w:numId="6">
    <w:abstractNumId w:val="19"/>
  </w:num>
  <w:num w:numId="7">
    <w:abstractNumId w:val="1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1"/>
  </w:num>
  <w:num w:numId="22">
    <w:abstractNumId w:val="14"/>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5"/>
  </w:num>
  <w:num w:numId="30">
    <w:abstractNumId w:val="18"/>
  </w:num>
  <w:num w:numId="31">
    <w:abstractNumId w:val="20"/>
  </w:num>
  <w:num w:numId="32">
    <w:abstractNumId w:val="16"/>
  </w:num>
  <w:num w:numId="33">
    <w:abstractNumId w:val="19"/>
  </w:num>
  <w:num w:numId="34">
    <w:abstractNumId w:val="18"/>
  </w:num>
  <w:num w:numId="35">
    <w:abstractNumId w:val="18"/>
  </w:num>
  <w:num w:numId="36">
    <w:abstractNumId w:val="18"/>
  </w:num>
  <w:num w:numId="37">
    <w:abstractNumId w:val="22"/>
  </w:num>
  <w:num w:numId="38">
    <w:abstractNumId w:val="12"/>
  </w:num>
  <w:num w:numId="39">
    <w:abstractNumId w:val="17"/>
  </w:num>
  <w:num w:numId="40">
    <w:abstractNumId w:val="11"/>
  </w:num>
  <w:num w:numId="41">
    <w:abstractNumId w:val="1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1"/>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9"/>
    <w:rsid w:val="00003470"/>
    <w:rsid w:val="0000756F"/>
    <w:rsid w:val="00041A18"/>
    <w:rsid w:val="00043048"/>
    <w:rsid w:val="00045EDE"/>
    <w:rsid w:val="00052CAE"/>
    <w:rsid w:val="00052EFB"/>
    <w:rsid w:val="000611F2"/>
    <w:rsid w:val="00061762"/>
    <w:rsid w:val="00062CB1"/>
    <w:rsid w:val="000660F5"/>
    <w:rsid w:val="00067793"/>
    <w:rsid w:val="000701A5"/>
    <w:rsid w:val="00072CF5"/>
    <w:rsid w:val="00080D4D"/>
    <w:rsid w:val="00082DD7"/>
    <w:rsid w:val="00085B26"/>
    <w:rsid w:val="00091D06"/>
    <w:rsid w:val="00095620"/>
    <w:rsid w:val="0009702D"/>
    <w:rsid w:val="00097D7A"/>
    <w:rsid w:val="000A3940"/>
    <w:rsid w:val="000A6285"/>
    <w:rsid w:val="000B2156"/>
    <w:rsid w:val="000B5026"/>
    <w:rsid w:val="000C028F"/>
    <w:rsid w:val="000C5CB6"/>
    <w:rsid w:val="000C7D34"/>
    <w:rsid w:val="000D1710"/>
    <w:rsid w:val="000D7A37"/>
    <w:rsid w:val="000E42F5"/>
    <w:rsid w:val="000E4820"/>
    <w:rsid w:val="000F0594"/>
    <w:rsid w:val="000F1620"/>
    <w:rsid w:val="000F24F5"/>
    <w:rsid w:val="000F3F0B"/>
    <w:rsid w:val="00100029"/>
    <w:rsid w:val="001006CA"/>
    <w:rsid w:val="00100F8B"/>
    <w:rsid w:val="00103B6B"/>
    <w:rsid w:val="00121C32"/>
    <w:rsid w:val="00121DA4"/>
    <w:rsid w:val="00122F8E"/>
    <w:rsid w:val="00126249"/>
    <w:rsid w:val="001378BE"/>
    <w:rsid w:val="00155987"/>
    <w:rsid w:val="0015700A"/>
    <w:rsid w:val="00161DDA"/>
    <w:rsid w:val="00171094"/>
    <w:rsid w:val="00171B3C"/>
    <w:rsid w:val="00173B7E"/>
    <w:rsid w:val="0017456E"/>
    <w:rsid w:val="00175FB0"/>
    <w:rsid w:val="00183FE0"/>
    <w:rsid w:val="0018553F"/>
    <w:rsid w:val="00186D1D"/>
    <w:rsid w:val="001A41C1"/>
    <w:rsid w:val="001B1EE8"/>
    <w:rsid w:val="001B2761"/>
    <w:rsid w:val="001B51F5"/>
    <w:rsid w:val="001D15AA"/>
    <w:rsid w:val="001D334F"/>
    <w:rsid w:val="001F73BA"/>
    <w:rsid w:val="0020079A"/>
    <w:rsid w:val="0020250F"/>
    <w:rsid w:val="00210D17"/>
    <w:rsid w:val="00212315"/>
    <w:rsid w:val="00217610"/>
    <w:rsid w:val="00220194"/>
    <w:rsid w:val="00223BE9"/>
    <w:rsid w:val="00226070"/>
    <w:rsid w:val="002307D2"/>
    <w:rsid w:val="00236978"/>
    <w:rsid w:val="00255AC1"/>
    <w:rsid w:val="00255E87"/>
    <w:rsid w:val="00261069"/>
    <w:rsid w:val="002614B6"/>
    <w:rsid w:val="002620A2"/>
    <w:rsid w:val="002627B2"/>
    <w:rsid w:val="00273354"/>
    <w:rsid w:val="00274F84"/>
    <w:rsid w:val="0028060B"/>
    <w:rsid w:val="00280F4E"/>
    <w:rsid w:val="0028120C"/>
    <w:rsid w:val="00283FE2"/>
    <w:rsid w:val="00293920"/>
    <w:rsid w:val="00295827"/>
    <w:rsid w:val="00295F16"/>
    <w:rsid w:val="00297471"/>
    <w:rsid w:val="002A69A6"/>
    <w:rsid w:val="002B1EC8"/>
    <w:rsid w:val="002C04A0"/>
    <w:rsid w:val="002C04A1"/>
    <w:rsid w:val="002C32C7"/>
    <w:rsid w:val="002C5C63"/>
    <w:rsid w:val="002D1E04"/>
    <w:rsid w:val="002D1FA9"/>
    <w:rsid w:val="002D34B1"/>
    <w:rsid w:val="002D50A3"/>
    <w:rsid w:val="002D6680"/>
    <w:rsid w:val="002D7BD5"/>
    <w:rsid w:val="002E228E"/>
    <w:rsid w:val="002E5E49"/>
    <w:rsid w:val="002E786C"/>
    <w:rsid w:val="002F1E6A"/>
    <w:rsid w:val="002F3A7E"/>
    <w:rsid w:val="002F4C47"/>
    <w:rsid w:val="002F7688"/>
    <w:rsid w:val="002F7819"/>
    <w:rsid w:val="0030044E"/>
    <w:rsid w:val="003031DA"/>
    <w:rsid w:val="0030604C"/>
    <w:rsid w:val="00306D1B"/>
    <w:rsid w:val="00307A79"/>
    <w:rsid w:val="00310996"/>
    <w:rsid w:val="00313A14"/>
    <w:rsid w:val="00322E6A"/>
    <w:rsid w:val="00325D10"/>
    <w:rsid w:val="0032651F"/>
    <w:rsid w:val="003314A0"/>
    <w:rsid w:val="00336054"/>
    <w:rsid w:val="00336898"/>
    <w:rsid w:val="003419EF"/>
    <w:rsid w:val="003549A1"/>
    <w:rsid w:val="00361E54"/>
    <w:rsid w:val="00362E1A"/>
    <w:rsid w:val="00365CC5"/>
    <w:rsid w:val="003771D5"/>
    <w:rsid w:val="0038358E"/>
    <w:rsid w:val="00385D1E"/>
    <w:rsid w:val="00385FD4"/>
    <w:rsid w:val="00391A01"/>
    <w:rsid w:val="003A2A93"/>
    <w:rsid w:val="003A5711"/>
    <w:rsid w:val="003A61CE"/>
    <w:rsid w:val="003A68D5"/>
    <w:rsid w:val="003B10A7"/>
    <w:rsid w:val="003B1750"/>
    <w:rsid w:val="003B7070"/>
    <w:rsid w:val="003C64D9"/>
    <w:rsid w:val="003E70E0"/>
    <w:rsid w:val="003F6BA5"/>
    <w:rsid w:val="00403CE6"/>
    <w:rsid w:val="004074CC"/>
    <w:rsid w:val="004110CA"/>
    <w:rsid w:val="0042509E"/>
    <w:rsid w:val="004349BB"/>
    <w:rsid w:val="00434D2F"/>
    <w:rsid w:val="00443482"/>
    <w:rsid w:val="00443912"/>
    <w:rsid w:val="00446E3E"/>
    <w:rsid w:val="00450308"/>
    <w:rsid w:val="00457AD1"/>
    <w:rsid w:val="0046427F"/>
    <w:rsid w:val="00470D4B"/>
    <w:rsid w:val="00474DC4"/>
    <w:rsid w:val="004760BA"/>
    <w:rsid w:val="00485307"/>
    <w:rsid w:val="00491977"/>
    <w:rsid w:val="0049491B"/>
    <w:rsid w:val="00494C30"/>
    <w:rsid w:val="00494FFD"/>
    <w:rsid w:val="004978D7"/>
    <w:rsid w:val="00497DD0"/>
    <w:rsid w:val="004A1329"/>
    <w:rsid w:val="004A511D"/>
    <w:rsid w:val="004A6372"/>
    <w:rsid w:val="004B2B4C"/>
    <w:rsid w:val="004B5EE9"/>
    <w:rsid w:val="004C4A2E"/>
    <w:rsid w:val="004C6319"/>
    <w:rsid w:val="004D5EA3"/>
    <w:rsid w:val="004E44C8"/>
    <w:rsid w:val="004E53BE"/>
    <w:rsid w:val="004F16F4"/>
    <w:rsid w:val="004F279C"/>
    <w:rsid w:val="004F3F81"/>
    <w:rsid w:val="004F51A8"/>
    <w:rsid w:val="004F6CA7"/>
    <w:rsid w:val="005028D4"/>
    <w:rsid w:val="005109A4"/>
    <w:rsid w:val="00511318"/>
    <w:rsid w:val="00516E5E"/>
    <w:rsid w:val="00521424"/>
    <w:rsid w:val="005234F1"/>
    <w:rsid w:val="00525069"/>
    <w:rsid w:val="00530965"/>
    <w:rsid w:val="00535050"/>
    <w:rsid w:val="00536F3C"/>
    <w:rsid w:val="0054260E"/>
    <w:rsid w:val="00542B1C"/>
    <w:rsid w:val="00550D79"/>
    <w:rsid w:val="0055111D"/>
    <w:rsid w:val="0055208C"/>
    <w:rsid w:val="005559AC"/>
    <w:rsid w:val="00557B5A"/>
    <w:rsid w:val="005611D0"/>
    <w:rsid w:val="00571A40"/>
    <w:rsid w:val="005736B2"/>
    <w:rsid w:val="0057797A"/>
    <w:rsid w:val="005817E4"/>
    <w:rsid w:val="00594186"/>
    <w:rsid w:val="005A53B8"/>
    <w:rsid w:val="005A6ACC"/>
    <w:rsid w:val="005B12CB"/>
    <w:rsid w:val="005C10EB"/>
    <w:rsid w:val="005D371D"/>
    <w:rsid w:val="005D51A3"/>
    <w:rsid w:val="005E3DA3"/>
    <w:rsid w:val="005E7495"/>
    <w:rsid w:val="005F2A2A"/>
    <w:rsid w:val="005F5CDA"/>
    <w:rsid w:val="006018F3"/>
    <w:rsid w:val="00613468"/>
    <w:rsid w:val="006145AD"/>
    <w:rsid w:val="006200D7"/>
    <w:rsid w:val="00621C12"/>
    <w:rsid w:val="0063040C"/>
    <w:rsid w:val="0063432D"/>
    <w:rsid w:val="00635A22"/>
    <w:rsid w:val="00642083"/>
    <w:rsid w:val="00642D37"/>
    <w:rsid w:val="0065550D"/>
    <w:rsid w:val="00665364"/>
    <w:rsid w:val="0067370C"/>
    <w:rsid w:val="0068085F"/>
    <w:rsid w:val="006876A8"/>
    <w:rsid w:val="00687B43"/>
    <w:rsid w:val="00687E5A"/>
    <w:rsid w:val="00693735"/>
    <w:rsid w:val="006A49E3"/>
    <w:rsid w:val="006A71B3"/>
    <w:rsid w:val="006B1EFD"/>
    <w:rsid w:val="006C063B"/>
    <w:rsid w:val="006C454C"/>
    <w:rsid w:val="006C5C1C"/>
    <w:rsid w:val="006D76F7"/>
    <w:rsid w:val="006E2439"/>
    <w:rsid w:val="006E4888"/>
    <w:rsid w:val="006E585A"/>
    <w:rsid w:val="006E5ABD"/>
    <w:rsid w:val="006F0442"/>
    <w:rsid w:val="006F04AA"/>
    <w:rsid w:val="006F57C2"/>
    <w:rsid w:val="006F7265"/>
    <w:rsid w:val="00700319"/>
    <w:rsid w:val="007023A3"/>
    <w:rsid w:val="00703FC0"/>
    <w:rsid w:val="00710BBF"/>
    <w:rsid w:val="00712241"/>
    <w:rsid w:val="007160BE"/>
    <w:rsid w:val="00721539"/>
    <w:rsid w:val="00722F65"/>
    <w:rsid w:val="00726836"/>
    <w:rsid w:val="00734360"/>
    <w:rsid w:val="00734A4F"/>
    <w:rsid w:val="007368D1"/>
    <w:rsid w:val="007411F5"/>
    <w:rsid w:val="0074279E"/>
    <w:rsid w:val="00762BCC"/>
    <w:rsid w:val="00763BA3"/>
    <w:rsid w:val="00764436"/>
    <w:rsid w:val="007653B1"/>
    <w:rsid w:val="00765B66"/>
    <w:rsid w:val="00767BB2"/>
    <w:rsid w:val="00780376"/>
    <w:rsid w:val="00784330"/>
    <w:rsid w:val="00791AAC"/>
    <w:rsid w:val="0079410C"/>
    <w:rsid w:val="00795F68"/>
    <w:rsid w:val="007971CD"/>
    <w:rsid w:val="00797D4C"/>
    <w:rsid w:val="00797DFB"/>
    <w:rsid w:val="007B37B0"/>
    <w:rsid w:val="007B52C8"/>
    <w:rsid w:val="007B6A5D"/>
    <w:rsid w:val="007C0E7E"/>
    <w:rsid w:val="007C5A3B"/>
    <w:rsid w:val="007D17C5"/>
    <w:rsid w:val="007D4A67"/>
    <w:rsid w:val="007D52EC"/>
    <w:rsid w:val="007E0572"/>
    <w:rsid w:val="007E7205"/>
    <w:rsid w:val="007F1CEE"/>
    <w:rsid w:val="007F6828"/>
    <w:rsid w:val="00806003"/>
    <w:rsid w:val="008062AC"/>
    <w:rsid w:val="00806C96"/>
    <w:rsid w:val="00806CCC"/>
    <w:rsid w:val="00811586"/>
    <w:rsid w:val="00814937"/>
    <w:rsid w:val="00836504"/>
    <w:rsid w:val="00837537"/>
    <w:rsid w:val="00846724"/>
    <w:rsid w:val="0086094D"/>
    <w:rsid w:val="008622F0"/>
    <w:rsid w:val="00872382"/>
    <w:rsid w:val="008742E3"/>
    <w:rsid w:val="008750DA"/>
    <w:rsid w:val="008915D0"/>
    <w:rsid w:val="00893E07"/>
    <w:rsid w:val="008A0F37"/>
    <w:rsid w:val="008A1315"/>
    <w:rsid w:val="008A38A9"/>
    <w:rsid w:val="008A54FC"/>
    <w:rsid w:val="008A7352"/>
    <w:rsid w:val="008B4432"/>
    <w:rsid w:val="008B6442"/>
    <w:rsid w:val="008B70CD"/>
    <w:rsid w:val="008B7CE5"/>
    <w:rsid w:val="008C514C"/>
    <w:rsid w:val="008D0F9E"/>
    <w:rsid w:val="008D7748"/>
    <w:rsid w:val="008E11BB"/>
    <w:rsid w:val="008E39BF"/>
    <w:rsid w:val="008E5BFE"/>
    <w:rsid w:val="008E6109"/>
    <w:rsid w:val="00906777"/>
    <w:rsid w:val="00910D53"/>
    <w:rsid w:val="009170EA"/>
    <w:rsid w:val="00917D1C"/>
    <w:rsid w:val="0092076F"/>
    <w:rsid w:val="0092609B"/>
    <w:rsid w:val="00927833"/>
    <w:rsid w:val="00927FDD"/>
    <w:rsid w:val="00930439"/>
    <w:rsid w:val="00930BDF"/>
    <w:rsid w:val="00931B5C"/>
    <w:rsid w:val="00934E88"/>
    <w:rsid w:val="009350FD"/>
    <w:rsid w:val="00937FE5"/>
    <w:rsid w:val="009434C3"/>
    <w:rsid w:val="00944991"/>
    <w:rsid w:val="00946E19"/>
    <w:rsid w:val="00947A5A"/>
    <w:rsid w:val="0095327D"/>
    <w:rsid w:val="00953D12"/>
    <w:rsid w:val="0096345A"/>
    <w:rsid w:val="00974F14"/>
    <w:rsid w:val="0097535C"/>
    <w:rsid w:val="009770CA"/>
    <w:rsid w:val="00986677"/>
    <w:rsid w:val="009914F8"/>
    <w:rsid w:val="0099421C"/>
    <w:rsid w:val="009A1953"/>
    <w:rsid w:val="009B0A78"/>
    <w:rsid w:val="009D3496"/>
    <w:rsid w:val="009D44A7"/>
    <w:rsid w:val="009D4BA1"/>
    <w:rsid w:val="009D735F"/>
    <w:rsid w:val="009D7D5A"/>
    <w:rsid w:val="009E47EB"/>
    <w:rsid w:val="009E6DC3"/>
    <w:rsid w:val="009F00A4"/>
    <w:rsid w:val="009F0B56"/>
    <w:rsid w:val="009F3A37"/>
    <w:rsid w:val="009F4490"/>
    <w:rsid w:val="00A02090"/>
    <w:rsid w:val="00A076B5"/>
    <w:rsid w:val="00A1288C"/>
    <w:rsid w:val="00A173C6"/>
    <w:rsid w:val="00A23870"/>
    <w:rsid w:val="00A26A19"/>
    <w:rsid w:val="00A31525"/>
    <w:rsid w:val="00A320C2"/>
    <w:rsid w:val="00A43BD3"/>
    <w:rsid w:val="00A46F28"/>
    <w:rsid w:val="00A569AC"/>
    <w:rsid w:val="00A65BDD"/>
    <w:rsid w:val="00A73298"/>
    <w:rsid w:val="00A81640"/>
    <w:rsid w:val="00A81FC2"/>
    <w:rsid w:val="00A9046D"/>
    <w:rsid w:val="00A95ACB"/>
    <w:rsid w:val="00A95DD6"/>
    <w:rsid w:val="00A97942"/>
    <w:rsid w:val="00AA079B"/>
    <w:rsid w:val="00AA086A"/>
    <w:rsid w:val="00AA5422"/>
    <w:rsid w:val="00AB1C16"/>
    <w:rsid w:val="00AB2EA8"/>
    <w:rsid w:val="00AB3C46"/>
    <w:rsid w:val="00AB5287"/>
    <w:rsid w:val="00AD7257"/>
    <w:rsid w:val="00AE372A"/>
    <w:rsid w:val="00AE50C3"/>
    <w:rsid w:val="00AF246F"/>
    <w:rsid w:val="00AF2D0C"/>
    <w:rsid w:val="00B05E0E"/>
    <w:rsid w:val="00B13ED4"/>
    <w:rsid w:val="00B1411E"/>
    <w:rsid w:val="00B221CB"/>
    <w:rsid w:val="00B2563E"/>
    <w:rsid w:val="00B2662C"/>
    <w:rsid w:val="00B3042F"/>
    <w:rsid w:val="00B30D3B"/>
    <w:rsid w:val="00B337B2"/>
    <w:rsid w:val="00B41183"/>
    <w:rsid w:val="00B432D4"/>
    <w:rsid w:val="00B453ED"/>
    <w:rsid w:val="00B460E4"/>
    <w:rsid w:val="00B576D7"/>
    <w:rsid w:val="00B7019A"/>
    <w:rsid w:val="00B804E5"/>
    <w:rsid w:val="00B80892"/>
    <w:rsid w:val="00B82735"/>
    <w:rsid w:val="00B92861"/>
    <w:rsid w:val="00B95E26"/>
    <w:rsid w:val="00BA2E30"/>
    <w:rsid w:val="00BA524C"/>
    <w:rsid w:val="00BA5A46"/>
    <w:rsid w:val="00BA7A69"/>
    <w:rsid w:val="00BB3300"/>
    <w:rsid w:val="00BB674A"/>
    <w:rsid w:val="00BC2F90"/>
    <w:rsid w:val="00BC3CA5"/>
    <w:rsid w:val="00BC6547"/>
    <w:rsid w:val="00BD28DF"/>
    <w:rsid w:val="00BD4E12"/>
    <w:rsid w:val="00BD7669"/>
    <w:rsid w:val="00BE010D"/>
    <w:rsid w:val="00BE2864"/>
    <w:rsid w:val="00BF0CD4"/>
    <w:rsid w:val="00BF1690"/>
    <w:rsid w:val="00BF3831"/>
    <w:rsid w:val="00BF54DB"/>
    <w:rsid w:val="00BF605E"/>
    <w:rsid w:val="00C0069A"/>
    <w:rsid w:val="00C0561A"/>
    <w:rsid w:val="00C0624A"/>
    <w:rsid w:val="00C076BF"/>
    <w:rsid w:val="00C10C10"/>
    <w:rsid w:val="00C117D0"/>
    <w:rsid w:val="00C12101"/>
    <w:rsid w:val="00C20B5C"/>
    <w:rsid w:val="00C278C2"/>
    <w:rsid w:val="00C27F02"/>
    <w:rsid w:val="00C33A7C"/>
    <w:rsid w:val="00C376CC"/>
    <w:rsid w:val="00C41D34"/>
    <w:rsid w:val="00C42218"/>
    <w:rsid w:val="00C44519"/>
    <w:rsid w:val="00C504F4"/>
    <w:rsid w:val="00C53016"/>
    <w:rsid w:val="00C558FD"/>
    <w:rsid w:val="00C5648D"/>
    <w:rsid w:val="00C57E85"/>
    <w:rsid w:val="00C62988"/>
    <w:rsid w:val="00C65BB4"/>
    <w:rsid w:val="00C7055C"/>
    <w:rsid w:val="00C73230"/>
    <w:rsid w:val="00C8071C"/>
    <w:rsid w:val="00C816CB"/>
    <w:rsid w:val="00C82461"/>
    <w:rsid w:val="00C846C0"/>
    <w:rsid w:val="00C85BA7"/>
    <w:rsid w:val="00C877B3"/>
    <w:rsid w:val="00C9448B"/>
    <w:rsid w:val="00C94C99"/>
    <w:rsid w:val="00CA07CC"/>
    <w:rsid w:val="00CA1D52"/>
    <w:rsid w:val="00CA4FCE"/>
    <w:rsid w:val="00CA5F8F"/>
    <w:rsid w:val="00CC5A6F"/>
    <w:rsid w:val="00CD499A"/>
    <w:rsid w:val="00CE271A"/>
    <w:rsid w:val="00CE6FF5"/>
    <w:rsid w:val="00CE7AA9"/>
    <w:rsid w:val="00CF2AE9"/>
    <w:rsid w:val="00CF2EC7"/>
    <w:rsid w:val="00CF5245"/>
    <w:rsid w:val="00D0012A"/>
    <w:rsid w:val="00D0121B"/>
    <w:rsid w:val="00D04BA8"/>
    <w:rsid w:val="00D05765"/>
    <w:rsid w:val="00D06479"/>
    <w:rsid w:val="00D06CA9"/>
    <w:rsid w:val="00D076EE"/>
    <w:rsid w:val="00D07B1A"/>
    <w:rsid w:val="00D227F8"/>
    <w:rsid w:val="00D24CD0"/>
    <w:rsid w:val="00D257D4"/>
    <w:rsid w:val="00D3009E"/>
    <w:rsid w:val="00D30625"/>
    <w:rsid w:val="00D30E46"/>
    <w:rsid w:val="00D40FF8"/>
    <w:rsid w:val="00D455EE"/>
    <w:rsid w:val="00D50AC8"/>
    <w:rsid w:val="00D55809"/>
    <w:rsid w:val="00D60676"/>
    <w:rsid w:val="00D8062D"/>
    <w:rsid w:val="00D904D5"/>
    <w:rsid w:val="00D93F14"/>
    <w:rsid w:val="00DA0026"/>
    <w:rsid w:val="00DA02AC"/>
    <w:rsid w:val="00DA444C"/>
    <w:rsid w:val="00DD20EB"/>
    <w:rsid w:val="00DD4C9E"/>
    <w:rsid w:val="00DD6CE9"/>
    <w:rsid w:val="00DE4E62"/>
    <w:rsid w:val="00DF2C67"/>
    <w:rsid w:val="00DF3AE2"/>
    <w:rsid w:val="00DF6EE3"/>
    <w:rsid w:val="00DF7D21"/>
    <w:rsid w:val="00E025D3"/>
    <w:rsid w:val="00E059C5"/>
    <w:rsid w:val="00E06B29"/>
    <w:rsid w:val="00E06C22"/>
    <w:rsid w:val="00E16D8E"/>
    <w:rsid w:val="00E24908"/>
    <w:rsid w:val="00E26BAC"/>
    <w:rsid w:val="00E270B5"/>
    <w:rsid w:val="00E32F80"/>
    <w:rsid w:val="00E4781B"/>
    <w:rsid w:val="00E51A2D"/>
    <w:rsid w:val="00E51F8B"/>
    <w:rsid w:val="00E573C2"/>
    <w:rsid w:val="00E60351"/>
    <w:rsid w:val="00E624D1"/>
    <w:rsid w:val="00E71AE7"/>
    <w:rsid w:val="00E71CBA"/>
    <w:rsid w:val="00E72EB5"/>
    <w:rsid w:val="00E752E6"/>
    <w:rsid w:val="00E84C7B"/>
    <w:rsid w:val="00E97060"/>
    <w:rsid w:val="00EA01AF"/>
    <w:rsid w:val="00EA2A65"/>
    <w:rsid w:val="00EA4909"/>
    <w:rsid w:val="00EA6088"/>
    <w:rsid w:val="00EB3766"/>
    <w:rsid w:val="00EB3FA7"/>
    <w:rsid w:val="00EC1A2C"/>
    <w:rsid w:val="00EE2850"/>
    <w:rsid w:val="00EE29B1"/>
    <w:rsid w:val="00EF48F2"/>
    <w:rsid w:val="00EF6B9A"/>
    <w:rsid w:val="00EF7B2B"/>
    <w:rsid w:val="00F04282"/>
    <w:rsid w:val="00F10E1F"/>
    <w:rsid w:val="00F212EB"/>
    <w:rsid w:val="00F26333"/>
    <w:rsid w:val="00F268C0"/>
    <w:rsid w:val="00F32C9F"/>
    <w:rsid w:val="00F465D3"/>
    <w:rsid w:val="00F55CAC"/>
    <w:rsid w:val="00F569C9"/>
    <w:rsid w:val="00F56F06"/>
    <w:rsid w:val="00F600F4"/>
    <w:rsid w:val="00F601CA"/>
    <w:rsid w:val="00F67427"/>
    <w:rsid w:val="00F737A4"/>
    <w:rsid w:val="00F73815"/>
    <w:rsid w:val="00F7770D"/>
    <w:rsid w:val="00F77ADD"/>
    <w:rsid w:val="00F81140"/>
    <w:rsid w:val="00F8585C"/>
    <w:rsid w:val="00F85984"/>
    <w:rsid w:val="00F865E6"/>
    <w:rsid w:val="00F868C9"/>
    <w:rsid w:val="00F86A59"/>
    <w:rsid w:val="00F93115"/>
    <w:rsid w:val="00F96943"/>
    <w:rsid w:val="00F97DAD"/>
    <w:rsid w:val="00FA01CD"/>
    <w:rsid w:val="00FA5792"/>
    <w:rsid w:val="00FA5B5D"/>
    <w:rsid w:val="00FA63DC"/>
    <w:rsid w:val="00FB200D"/>
    <w:rsid w:val="00FB4A21"/>
    <w:rsid w:val="00FB750C"/>
    <w:rsid w:val="00FC34D9"/>
    <w:rsid w:val="00FD167C"/>
    <w:rsid w:val="00FD28C9"/>
    <w:rsid w:val="00FE2DA7"/>
    <w:rsid w:val="00FE4C18"/>
    <w:rsid w:val="00FE538A"/>
    <w:rsid w:val="00FE7EEC"/>
    <w:rsid w:val="00FF02DB"/>
    <w:rsid w:val="00FF4D38"/>
    <w:rsid w:val="00FF75B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Fett">
    <w:name w:val="Strong"/>
    <w:basedOn w:val="Absatz-Standardschriftart"/>
    <w:qFormat/>
    <w:locked/>
    <w:rsid w:val="008D7748"/>
    <w:rPr>
      <w:b/>
      <w:bCs/>
    </w:rPr>
  </w:style>
  <w:style w:type="paragraph" w:styleId="Listenabsatz">
    <w:name w:val="List Paragraph"/>
    <w:basedOn w:val="Standard"/>
    <w:uiPriority w:val="34"/>
    <w:qFormat/>
    <w:locked/>
    <w:rsid w:val="00AF246F"/>
    <w:pPr>
      <w:ind w:left="720"/>
      <w:contextualSpacing/>
    </w:pPr>
  </w:style>
  <w:style w:type="paragraph" w:styleId="Fuzeile">
    <w:name w:val="footer"/>
    <w:basedOn w:val="Standard"/>
    <w:link w:val="FuzeileZchn"/>
    <w:uiPriority w:val="99"/>
    <w:semiHidden/>
    <w:unhideWhenUsed/>
    <w:locked/>
    <w:rsid w:val="00712241"/>
    <w:pPr>
      <w:tabs>
        <w:tab w:val="center" w:pos="4703"/>
        <w:tab w:val="right" w:pos="9406"/>
      </w:tabs>
      <w:spacing w:before="0" w:after="0"/>
    </w:pPr>
  </w:style>
  <w:style w:type="character" w:customStyle="1" w:styleId="FuzeileZchn">
    <w:name w:val="Fußzeile Zchn"/>
    <w:basedOn w:val="Absatz-Standardschriftart"/>
    <w:link w:val="Fuzeile"/>
    <w:uiPriority w:val="99"/>
    <w:semiHidden/>
    <w:rsid w:val="00712241"/>
    <w:rPr>
      <w:rFonts w:eastAsia="Calibri"/>
      <w:szCs w:val="22"/>
      <w:lang w:val="en-GB"/>
    </w:rPr>
  </w:style>
  <w:style w:type="character" w:customStyle="1" w:styleId="Mention1">
    <w:name w:val="Mention1"/>
    <w:basedOn w:val="Absatz-Standardschriftart"/>
    <w:uiPriority w:val="99"/>
    <w:semiHidden/>
    <w:unhideWhenUsed/>
    <w:rsid w:val="00836504"/>
    <w:rPr>
      <w:color w:val="2B579A"/>
      <w:shd w:val="clear" w:color="auto" w:fill="E6E6E6"/>
    </w:rPr>
  </w:style>
  <w:style w:type="paragraph" w:styleId="Kopfzeile">
    <w:name w:val="header"/>
    <w:basedOn w:val="Standard"/>
    <w:link w:val="KopfzeileZchn"/>
    <w:uiPriority w:val="99"/>
    <w:semiHidden/>
    <w:unhideWhenUsed/>
    <w:locked/>
    <w:rsid w:val="00052EFB"/>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052EFB"/>
    <w:rPr>
      <w:rFonts w:eastAsia="Calibri"/>
      <w:szCs w:val="22"/>
      <w:lang w:val="en-GB"/>
    </w:rPr>
  </w:style>
  <w:style w:type="paragraph" w:styleId="NurText">
    <w:name w:val="Plain Text"/>
    <w:basedOn w:val="Standard"/>
    <w:link w:val="NurTextZchn"/>
    <w:uiPriority w:val="99"/>
    <w:semiHidden/>
    <w:unhideWhenUsed/>
    <w:locked/>
    <w:rsid w:val="00C9448B"/>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C9448B"/>
    <w:rPr>
      <w:rFonts w:ascii="Consolas" w:eastAsia="Calibri" w:hAnsi="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Fett">
    <w:name w:val="Strong"/>
    <w:basedOn w:val="Absatz-Standardschriftart"/>
    <w:qFormat/>
    <w:locked/>
    <w:rsid w:val="008D7748"/>
    <w:rPr>
      <w:b/>
      <w:bCs/>
    </w:rPr>
  </w:style>
  <w:style w:type="paragraph" w:styleId="Listenabsatz">
    <w:name w:val="List Paragraph"/>
    <w:basedOn w:val="Standard"/>
    <w:uiPriority w:val="34"/>
    <w:qFormat/>
    <w:locked/>
    <w:rsid w:val="00AF246F"/>
    <w:pPr>
      <w:ind w:left="720"/>
      <w:contextualSpacing/>
    </w:pPr>
  </w:style>
  <w:style w:type="paragraph" w:styleId="Fuzeile">
    <w:name w:val="footer"/>
    <w:basedOn w:val="Standard"/>
    <w:link w:val="FuzeileZchn"/>
    <w:uiPriority w:val="99"/>
    <w:semiHidden/>
    <w:unhideWhenUsed/>
    <w:locked/>
    <w:rsid w:val="00712241"/>
    <w:pPr>
      <w:tabs>
        <w:tab w:val="center" w:pos="4703"/>
        <w:tab w:val="right" w:pos="9406"/>
      </w:tabs>
      <w:spacing w:before="0" w:after="0"/>
    </w:pPr>
  </w:style>
  <w:style w:type="character" w:customStyle="1" w:styleId="FuzeileZchn">
    <w:name w:val="Fußzeile Zchn"/>
    <w:basedOn w:val="Absatz-Standardschriftart"/>
    <w:link w:val="Fuzeile"/>
    <w:uiPriority w:val="99"/>
    <w:semiHidden/>
    <w:rsid w:val="00712241"/>
    <w:rPr>
      <w:rFonts w:eastAsia="Calibri"/>
      <w:szCs w:val="22"/>
      <w:lang w:val="en-GB"/>
    </w:rPr>
  </w:style>
  <w:style w:type="character" w:customStyle="1" w:styleId="Mention1">
    <w:name w:val="Mention1"/>
    <w:basedOn w:val="Absatz-Standardschriftart"/>
    <w:uiPriority w:val="99"/>
    <w:semiHidden/>
    <w:unhideWhenUsed/>
    <w:rsid w:val="00836504"/>
    <w:rPr>
      <w:color w:val="2B579A"/>
      <w:shd w:val="clear" w:color="auto" w:fill="E6E6E6"/>
    </w:rPr>
  </w:style>
  <w:style w:type="paragraph" w:styleId="Kopfzeile">
    <w:name w:val="header"/>
    <w:basedOn w:val="Standard"/>
    <w:link w:val="KopfzeileZchn"/>
    <w:uiPriority w:val="99"/>
    <w:semiHidden/>
    <w:unhideWhenUsed/>
    <w:locked/>
    <w:rsid w:val="00052EFB"/>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052EFB"/>
    <w:rPr>
      <w:rFonts w:eastAsia="Calibri"/>
      <w:szCs w:val="22"/>
      <w:lang w:val="en-GB"/>
    </w:rPr>
  </w:style>
  <w:style w:type="paragraph" w:styleId="NurText">
    <w:name w:val="Plain Text"/>
    <w:basedOn w:val="Standard"/>
    <w:link w:val="NurTextZchn"/>
    <w:uiPriority w:val="99"/>
    <w:semiHidden/>
    <w:unhideWhenUsed/>
    <w:locked/>
    <w:rsid w:val="00C9448B"/>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C9448B"/>
    <w:rPr>
      <w:rFonts w:ascii="Consolas" w:eastAsia="Calibri"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006">
      <w:bodyDiv w:val="1"/>
      <w:marLeft w:val="0"/>
      <w:marRight w:val="0"/>
      <w:marTop w:val="0"/>
      <w:marBottom w:val="0"/>
      <w:divBdr>
        <w:top w:val="none" w:sz="0" w:space="0" w:color="auto"/>
        <w:left w:val="none" w:sz="0" w:space="0" w:color="auto"/>
        <w:bottom w:val="none" w:sz="0" w:space="0" w:color="auto"/>
        <w:right w:val="none" w:sz="0" w:space="0" w:color="auto"/>
      </w:divBdr>
    </w:div>
    <w:div w:id="278489004">
      <w:bodyDiv w:val="1"/>
      <w:marLeft w:val="0"/>
      <w:marRight w:val="0"/>
      <w:marTop w:val="0"/>
      <w:marBottom w:val="0"/>
      <w:divBdr>
        <w:top w:val="none" w:sz="0" w:space="0" w:color="auto"/>
        <w:left w:val="none" w:sz="0" w:space="0" w:color="auto"/>
        <w:bottom w:val="none" w:sz="0" w:space="0" w:color="auto"/>
        <w:right w:val="none" w:sz="0" w:space="0" w:color="auto"/>
      </w:divBdr>
    </w:div>
    <w:div w:id="1017846825">
      <w:bodyDiv w:val="1"/>
      <w:marLeft w:val="0"/>
      <w:marRight w:val="0"/>
      <w:marTop w:val="0"/>
      <w:marBottom w:val="0"/>
      <w:divBdr>
        <w:top w:val="none" w:sz="0" w:space="0" w:color="auto"/>
        <w:left w:val="none" w:sz="0" w:space="0" w:color="auto"/>
        <w:bottom w:val="none" w:sz="0" w:space="0" w:color="auto"/>
        <w:right w:val="none" w:sz="0" w:space="0" w:color="auto"/>
      </w:divBdr>
    </w:div>
    <w:div w:id="1035276829">
      <w:bodyDiv w:val="1"/>
      <w:marLeft w:val="0"/>
      <w:marRight w:val="0"/>
      <w:marTop w:val="0"/>
      <w:marBottom w:val="0"/>
      <w:divBdr>
        <w:top w:val="none" w:sz="0" w:space="0" w:color="auto"/>
        <w:left w:val="none" w:sz="0" w:space="0" w:color="auto"/>
        <w:bottom w:val="none" w:sz="0" w:space="0" w:color="auto"/>
        <w:right w:val="none" w:sz="0" w:space="0" w:color="auto"/>
      </w:divBdr>
    </w:div>
    <w:div w:id="1111431660">
      <w:bodyDiv w:val="1"/>
      <w:marLeft w:val="0"/>
      <w:marRight w:val="0"/>
      <w:marTop w:val="0"/>
      <w:marBottom w:val="0"/>
      <w:divBdr>
        <w:top w:val="none" w:sz="0" w:space="0" w:color="auto"/>
        <w:left w:val="none" w:sz="0" w:space="0" w:color="auto"/>
        <w:bottom w:val="none" w:sz="0" w:space="0" w:color="auto"/>
        <w:right w:val="none" w:sz="0" w:space="0" w:color="auto"/>
      </w:divBdr>
    </w:div>
    <w:div w:id="1114834673">
      <w:bodyDiv w:val="1"/>
      <w:marLeft w:val="0"/>
      <w:marRight w:val="0"/>
      <w:marTop w:val="0"/>
      <w:marBottom w:val="0"/>
      <w:divBdr>
        <w:top w:val="none" w:sz="0" w:space="0" w:color="auto"/>
        <w:left w:val="none" w:sz="0" w:space="0" w:color="auto"/>
        <w:bottom w:val="none" w:sz="0" w:space="0" w:color="auto"/>
        <w:right w:val="none" w:sz="0" w:space="0" w:color="auto"/>
      </w:divBdr>
    </w:div>
    <w:div w:id="1119302312">
      <w:bodyDiv w:val="1"/>
      <w:marLeft w:val="0"/>
      <w:marRight w:val="0"/>
      <w:marTop w:val="0"/>
      <w:marBottom w:val="0"/>
      <w:divBdr>
        <w:top w:val="none" w:sz="0" w:space="0" w:color="auto"/>
        <w:left w:val="none" w:sz="0" w:space="0" w:color="auto"/>
        <w:bottom w:val="none" w:sz="0" w:space="0" w:color="auto"/>
        <w:right w:val="none" w:sz="0" w:space="0" w:color="auto"/>
      </w:divBdr>
    </w:div>
    <w:div w:id="1120227005">
      <w:bodyDiv w:val="1"/>
      <w:marLeft w:val="0"/>
      <w:marRight w:val="0"/>
      <w:marTop w:val="0"/>
      <w:marBottom w:val="0"/>
      <w:divBdr>
        <w:top w:val="none" w:sz="0" w:space="0" w:color="auto"/>
        <w:left w:val="none" w:sz="0" w:space="0" w:color="auto"/>
        <w:bottom w:val="none" w:sz="0" w:space="0" w:color="auto"/>
        <w:right w:val="none" w:sz="0" w:space="0" w:color="auto"/>
      </w:divBdr>
    </w:div>
    <w:div w:id="1249727686">
      <w:bodyDiv w:val="1"/>
      <w:marLeft w:val="0"/>
      <w:marRight w:val="0"/>
      <w:marTop w:val="0"/>
      <w:marBottom w:val="0"/>
      <w:divBdr>
        <w:top w:val="none" w:sz="0" w:space="0" w:color="auto"/>
        <w:left w:val="none" w:sz="0" w:space="0" w:color="auto"/>
        <w:bottom w:val="none" w:sz="0" w:space="0" w:color="auto"/>
        <w:right w:val="none" w:sz="0" w:space="0" w:color="auto"/>
      </w:divBdr>
    </w:div>
    <w:div w:id="1348487090">
      <w:bodyDiv w:val="1"/>
      <w:marLeft w:val="0"/>
      <w:marRight w:val="0"/>
      <w:marTop w:val="0"/>
      <w:marBottom w:val="0"/>
      <w:divBdr>
        <w:top w:val="none" w:sz="0" w:space="0" w:color="auto"/>
        <w:left w:val="none" w:sz="0" w:space="0" w:color="auto"/>
        <w:bottom w:val="none" w:sz="0" w:space="0" w:color="auto"/>
        <w:right w:val="none" w:sz="0" w:space="0" w:color="auto"/>
      </w:divBdr>
      <w:divsChild>
        <w:div w:id="1927500020">
          <w:marLeft w:val="1008"/>
          <w:marRight w:val="0"/>
          <w:marTop w:val="96"/>
          <w:marBottom w:val="0"/>
          <w:divBdr>
            <w:top w:val="none" w:sz="0" w:space="0" w:color="auto"/>
            <w:left w:val="none" w:sz="0" w:space="0" w:color="auto"/>
            <w:bottom w:val="none" w:sz="0" w:space="0" w:color="auto"/>
            <w:right w:val="none" w:sz="0" w:space="0" w:color="auto"/>
          </w:divBdr>
        </w:div>
        <w:div w:id="2072918480">
          <w:marLeft w:val="1008"/>
          <w:marRight w:val="0"/>
          <w:marTop w:val="96"/>
          <w:marBottom w:val="0"/>
          <w:divBdr>
            <w:top w:val="none" w:sz="0" w:space="0" w:color="auto"/>
            <w:left w:val="none" w:sz="0" w:space="0" w:color="auto"/>
            <w:bottom w:val="none" w:sz="0" w:space="0" w:color="auto"/>
            <w:right w:val="none" w:sz="0" w:space="0" w:color="auto"/>
          </w:divBdr>
        </w:div>
        <w:div w:id="371661054">
          <w:marLeft w:val="1008"/>
          <w:marRight w:val="0"/>
          <w:marTop w:val="96"/>
          <w:marBottom w:val="0"/>
          <w:divBdr>
            <w:top w:val="none" w:sz="0" w:space="0" w:color="auto"/>
            <w:left w:val="none" w:sz="0" w:space="0" w:color="auto"/>
            <w:bottom w:val="none" w:sz="0" w:space="0" w:color="auto"/>
            <w:right w:val="none" w:sz="0" w:space="0" w:color="auto"/>
          </w:divBdr>
        </w:div>
      </w:divsChild>
    </w:div>
    <w:div w:id="18801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pub/R-QUE-SG01.21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054D-6288-4A21-9EAF-AB408CC8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14208</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16431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CEPT Brief</dc:subject>
  <dc:creator/>
  <dc:description>Output CPG19-6</dc:description>
  <cp:lastModifiedBy/>
  <cp:revision>1</cp:revision>
  <dcterms:created xsi:type="dcterms:W3CDTF">2018-12-05T16:56:00Z</dcterms:created>
  <dcterms:modified xsi:type="dcterms:W3CDTF">2018-12-05T16:56:00Z</dcterms:modified>
</cp:coreProperties>
</file>