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19"/>
        <w:gridCol w:w="4996"/>
      </w:tblGrid>
      <w:tr w:rsidR="008F1C1D" w:rsidRPr="00235592" w:rsidTr="00E24D78">
        <w:trPr>
          <w:cantSplit/>
          <w:trHeight w:val="1240"/>
        </w:trPr>
        <w:tc>
          <w:tcPr>
            <w:tcW w:w="4785" w:type="dxa"/>
            <w:gridSpan w:val="4"/>
            <w:tcBorders>
              <w:top w:val="nil"/>
              <w:left w:val="nil"/>
              <w:bottom w:val="nil"/>
              <w:right w:val="nil"/>
            </w:tcBorders>
          </w:tcPr>
          <w:p w:rsidR="008F1C1D" w:rsidRPr="00235592" w:rsidRDefault="008F1C1D" w:rsidP="008F1C1D">
            <w:pPr>
              <w:pStyle w:val="ECCLetterHead"/>
            </w:pPr>
          </w:p>
        </w:tc>
        <w:tc>
          <w:tcPr>
            <w:tcW w:w="4996" w:type="dxa"/>
            <w:tcBorders>
              <w:top w:val="nil"/>
              <w:left w:val="nil"/>
              <w:bottom w:val="nil"/>
              <w:right w:val="nil"/>
            </w:tcBorders>
          </w:tcPr>
          <w:p w:rsidR="00D55EB5" w:rsidRPr="008F1C1D" w:rsidRDefault="008F1C1D" w:rsidP="006D5B1E">
            <w:pPr>
              <w:pStyle w:val="ECCLetterHead"/>
            </w:pPr>
            <w:r w:rsidRPr="00235592">
              <w:tab/>
            </w:r>
            <w:r w:rsidRPr="008F1C1D">
              <w:t xml:space="preserve">Doc. </w:t>
            </w:r>
            <w:r w:rsidR="00CB47BF" w:rsidRPr="00CB47BF">
              <w:t>CPG(18)0</w:t>
            </w:r>
            <w:r w:rsidR="005423E4">
              <w:t>73</w:t>
            </w:r>
            <w:r w:rsidR="00ED4024" w:rsidRPr="00ED4024">
              <w:t xml:space="preserve"> ANNEX IV-20</w:t>
            </w:r>
          </w:p>
        </w:tc>
      </w:tr>
      <w:tr w:rsidR="00486206" w:rsidRPr="00384F2E" w:rsidTr="008451F7">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486206" w:rsidRPr="00486206" w:rsidRDefault="00486206" w:rsidP="00486206">
            <w:pPr>
              <w:pStyle w:val="ECCLetterHead"/>
            </w:pPr>
            <w:r w:rsidRPr="00486206">
              <w:t>CPG-7</w:t>
            </w:r>
          </w:p>
        </w:tc>
      </w:tr>
      <w:tr w:rsidR="00486206" w:rsidRPr="00384F2E" w:rsidTr="008451F7">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486206" w:rsidRPr="00486206" w:rsidRDefault="00486206" w:rsidP="00486206">
            <w:pPr>
              <w:pStyle w:val="ECCLetterHead"/>
            </w:pPr>
            <w:r w:rsidRPr="00486206">
              <w:t xml:space="preserve">Hilversum, </w:t>
            </w:r>
            <w:r w:rsidR="00A27DC6">
              <w:t xml:space="preserve">The Netherlands, </w:t>
            </w:r>
            <w:r w:rsidRPr="00486206">
              <w:t>27</w:t>
            </w:r>
            <w:r w:rsidRPr="00A27DC6">
              <w:rPr>
                <w:vertAlign w:val="superscript"/>
              </w:rPr>
              <w:t>th</w:t>
            </w:r>
            <w:r w:rsidR="00A27DC6">
              <w:t xml:space="preserve"> - </w:t>
            </w:r>
            <w:r w:rsidRPr="00486206">
              <w:t>30</w:t>
            </w:r>
            <w:r w:rsidRPr="00A27DC6">
              <w:rPr>
                <w:vertAlign w:val="superscript"/>
              </w:rPr>
              <w:t>th</w:t>
            </w:r>
            <w:r w:rsidR="00A27DC6">
              <w:t xml:space="preserve"> </w:t>
            </w:r>
            <w:r w:rsidRPr="00486206">
              <w:t>November 2018</w:t>
            </w:r>
          </w:p>
        </w:tc>
      </w:tr>
      <w:tr w:rsidR="00486206" w:rsidRPr="00D72473" w:rsidTr="008451F7">
        <w:tblPrEx>
          <w:tblCellMar>
            <w:left w:w="108" w:type="dxa"/>
            <w:right w:w="108" w:type="dxa"/>
          </w:tblCellMar>
        </w:tblPrEx>
        <w:trPr>
          <w:cantSplit/>
          <w:trHeight w:hRule="exact" w:val="79"/>
        </w:trPr>
        <w:tc>
          <w:tcPr>
            <w:tcW w:w="4766" w:type="dxa"/>
            <w:gridSpan w:val="3"/>
            <w:tcBorders>
              <w:top w:val="nil"/>
              <w:left w:val="nil"/>
              <w:bottom w:val="nil"/>
              <w:right w:val="nil"/>
            </w:tcBorders>
          </w:tcPr>
          <w:p w:rsidR="00486206" w:rsidRPr="00486206" w:rsidRDefault="00486206" w:rsidP="00486206">
            <w:pPr>
              <w:pStyle w:val="ECCLetterHead"/>
            </w:pPr>
          </w:p>
        </w:tc>
        <w:tc>
          <w:tcPr>
            <w:tcW w:w="5015" w:type="dxa"/>
            <w:gridSpan w:val="2"/>
            <w:tcBorders>
              <w:top w:val="nil"/>
              <w:left w:val="nil"/>
              <w:bottom w:val="nil"/>
              <w:right w:val="nil"/>
            </w:tcBorders>
          </w:tcPr>
          <w:p w:rsidR="00486206" w:rsidRPr="00486206" w:rsidRDefault="00486206" w:rsidP="00486206">
            <w:pPr>
              <w:pStyle w:val="ECCLetterHead"/>
            </w:pPr>
          </w:p>
        </w:tc>
      </w:tr>
      <w:tr w:rsidR="00486206" w:rsidRPr="00384F2E"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486206" w:rsidRPr="00486206" w:rsidRDefault="00486206" w:rsidP="00486206">
            <w:pPr>
              <w:pStyle w:val="ECCLetterHead"/>
            </w:pPr>
            <w:r w:rsidRPr="00486206">
              <w:t>Date issued:</w:t>
            </w:r>
            <w:r w:rsidRPr="00486206">
              <w:tab/>
              <w:t xml:space="preserve"> </w:t>
            </w:r>
          </w:p>
        </w:tc>
        <w:tc>
          <w:tcPr>
            <w:tcW w:w="8093" w:type="dxa"/>
            <w:gridSpan w:val="4"/>
            <w:tcBorders>
              <w:top w:val="nil"/>
              <w:left w:val="nil"/>
              <w:bottom w:val="nil"/>
              <w:right w:val="nil"/>
            </w:tcBorders>
            <w:vAlign w:val="center"/>
          </w:tcPr>
          <w:p w:rsidR="00486206" w:rsidRPr="00486206" w:rsidRDefault="005423E4" w:rsidP="005423E4">
            <w:pPr>
              <w:pStyle w:val="ECCLetterHead"/>
            </w:pPr>
            <w:r>
              <w:t>30</w:t>
            </w:r>
            <w:r w:rsidRPr="005423E4">
              <w:rPr>
                <w:vertAlign w:val="superscript"/>
              </w:rPr>
              <w:t>th</w:t>
            </w:r>
            <w:r>
              <w:t xml:space="preserve"> November</w:t>
            </w:r>
            <w:r w:rsidR="00486206" w:rsidRPr="00486206">
              <w:t xml:space="preserve"> 2018</w:t>
            </w:r>
          </w:p>
        </w:tc>
      </w:tr>
      <w:tr w:rsidR="00486206" w:rsidRPr="00384F2E"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486206" w:rsidRPr="00486206" w:rsidRDefault="00486206" w:rsidP="00486206">
            <w:pPr>
              <w:pStyle w:val="ECCLetterHead"/>
            </w:pPr>
            <w:r w:rsidRPr="00486206">
              <w:t xml:space="preserve">Source: </w:t>
            </w:r>
          </w:p>
        </w:tc>
        <w:tc>
          <w:tcPr>
            <w:tcW w:w="8093" w:type="dxa"/>
            <w:gridSpan w:val="4"/>
            <w:tcBorders>
              <w:top w:val="nil"/>
              <w:left w:val="nil"/>
              <w:bottom w:val="nil"/>
              <w:right w:val="nil"/>
            </w:tcBorders>
            <w:vAlign w:val="center"/>
          </w:tcPr>
          <w:p w:rsidR="00486206" w:rsidRPr="00486206" w:rsidRDefault="005423E4" w:rsidP="005423E4">
            <w:pPr>
              <w:pStyle w:val="ECCLetterHead"/>
            </w:pPr>
            <w:r>
              <w:t>Minutes CPG19-7</w:t>
            </w:r>
          </w:p>
        </w:tc>
      </w:tr>
      <w:tr w:rsidR="007103C3" w:rsidRPr="00235592" w:rsidTr="00C73348">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7103C3" w:rsidRPr="007103C3" w:rsidRDefault="007103C3" w:rsidP="007103C3">
            <w:pPr>
              <w:pStyle w:val="ECCLetterHead"/>
            </w:pPr>
            <w:r w:rsidRPr="001136CA">
              <w:t xml:space="preserve">Subject: </w:t>
            </w:r>
          </w:p>
        </w:tc>
        <w:tc>
          <w:tcPr>
            <w:tcW w:w="8087" w:type="dxa"/>
            <w:gridSpan w:val="3"/>
            <w:tcBorders>
              <w:top w:val="nil"/>
              <w:left w:val="nil"/>
              <w:bottom w:val="nil"/>
              <w:right w:val="nil"/>
            </w:tcBorders>
            <w:vAlign w:val="center"/>
          </w:tcPr>
          <w:p w:rsidR="007103C3" w:rsidRPr="007103C3" w:rsidRDefault="00C73348" w:rsidP="007103C3">
            <w:pPr>
              <w:pStyle w:val="ECCLetterHead"/>
            </w:pPr>
            <w:r>
              <w:t>D</w:t>
            </w:r>
            <w:r w:rsidR="007103C3" w:rsidRPr="007103C3">
              <w:t xml:space="preserve">raft CEPT Brief on WRC-19 Agenda Item </w:t>
            </w:r>
            <w:r w:rsidR="007103C3">
              <w:t>8</w:t>
            </w:r>
          </w:p>
        </w:tc>
      </w:tr>
      <w:tr w:rsidR="008F1C1D" w:rsidRPr="00235592" w:rsidTr="00C73348">
        <w:tblPrEx>
          <w:tblCellMar>
            <w:left w:w="108" w:type="dxa"/>
            <w:right w:w="108" w:type="dxa"/>
          </w:tblCellMar>
        </w:tblPrEx>
        <w:trPr>
          <w:cantSplit/>
          <w:trHeight w:hRule="exact" w:val="74"/>
        </w:trPr>
        <w:tc>
          <w:tcPr>
            <w:tcW w:w="9781" w:type="dxa"/>
            <w:gridSpan w:val="5"/>
            <w:tcBorders>
              <w:top w:val="nil"/>
              <w:left w:val="nil"/>
              <w:bottom w:val="single" w:sz="6" w:space="0" w:color="C00000"/>
              <w:right w:val="nil"/>
            </w:tcBorders>
            <w:vAlign w:val="center"/>
          </w:tcPr>
          <w:p w:rsidR="008F1C1D" w:rsidRPr="00235592" w:rsidRDefault="008F1C1D" w:rsidP="008F1C1D">
            <w:pPr>
              <w:rPr>
                <w:rStyle w:val="ECCParagraph"/>
              </w:rPr>
            </w:pPr>
          </w:p>
          <w:p w:rsidR="008F1C1D" w:rsidRPr="00235592" w:rsidRDefault="008F1C1D" w:rsidP="008F1C1D">
            <w:pPr>
              <w:pStyle w:val="ECCLetterHead"/>
            </w:pPr>
          </w:p>
        </w:tc>
      </w:tr>
      <w:tr w:rsidR="008F1C1D" w:rsidRPr="00235592" w:rsidTr="00E2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rsidR="008F1C1D" w:rsidRPr="008F1C1D" w:rsidRDefault="008F1C1D" w:rsidP="008F1C1D">
            <w:pPr>
              <w:pStyle w:val="ECCLetterHead"/>
            </w:pPr>
            <w:r w:rsidRPr="00235592">
              <w:t xml:space="preserve">Summary: </w:t>
            </w:r>
          </w:p>
        </w:tc>
      </w:tr>
      <w:tr w:rsidR="008F1C1D" w:rsidRPr="00235592" w:rsidTr="00E2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rsidR="008F1C1D" w:rsidRPr="00235592" w:rsidRDefault="008F1C1D" w:rsidP="008F1C1D">
            <w:pPr>
              <w:pStyle w:val="ECCTabletext"/>
            </w:pPr>
          </w:p>
        </w:tc>
      </w:tr>
      <w:tr w:rsidR="008F1C1D" w:rsidRPr="00235592" w:rsidTr="00E2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8F1C1D" w:rsidRPr="008F1C1D" w:rsidRDefault="008F1C1D" w:rsidP="008F1C1D">
            <w:pPr>
              <w:pStyle w:val="ECCLetterHead"/>
            </w:pPr>
            <w:r w:rsidRPr="00235592">
              <w:t>Proposal:</w:t>
            </w:r>
          </w:p>
        </w:tc>
      </w:tr>
      <w:tr w:rsidR="008F1C1D" w:rsidRPr="00235592" w:rsidTr="00E24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rsidR="008F1C1D" w:rsidRPr="00235592" w:rsidRDefault="008F1C1D" w:rsidP="008F1C1D">
            <w:pPr>
              <w:pStyle w:val="ECCTabletext"/>
            </w:pPr>
          </w:p>
        </w:tc>
      </w:tr>
    </w:tbl>
    <w:p w:rsidR="003771D5" w:rsidRPr="00235592" w:rsidRDefault="008F1C1D" w:rsidP="003A68D5">
      <w:pPr>
        <w:pStyle w:val="ECCHeadingnonumbering"/>
        <w:rPr>
          <w:lang w:val="en-GB"/>
        </w:rPr>
      </w:pPr>
      <w:r w:rsidRPr="00235592">
        <w:rPr>
          <w:rStyle w:val="ECCParagraph"/>
        </w:rPr>
        <w:br w:type="page"/>
      </w:r>
      <w:r w:rsidR="003771D5" w:rsidRPr="00235592">
        <w:rPr>
          <w:lang w:val="en-GB"/>
        </w:rPr>
        <w:lastRenderedPageBreak/>
        <w:t xml:space="preserve">DRAFT CEPT BRIEF ON AGENDA ITEM </w:t>
      </w:r>
      <w:r w:rsidR="00632EAB" w:rsidRPr="00F97009">
        <w:rPr>
          <w:lang w:val="en-GB"/>
        </w:rPr>
        <w:t>8</w:t>
      </w:r>
      <w:r w:rsidR="003771D5" w:rsidRPr="00235592">
        <w:rPr>
          <w:lang w:val="en-GB"/>
        </w:rPr>
        <w:t xml:space="preserve"> </w:t>
      </w:r>
    </w:p>
    <w:p w:rsidR="003771D5" w:rsidRPr="00235592" w:rsidRDefault="00EE4CC7" w:rsidP="00EE4CC7">
      <w:pPr>
        <w:rPr>
          <w:rStyle w:val="ECCParagraph"/>
        </w:rPr>
      </w:pPr>
      <w:r>
        <w:rPr>
          <w:rStyle w:val="ECCParagraph"/>
        </w:rPr>
        <w:t>8</w:t>
      </w:r>
      <w:r w:rsidR="003771D5" w:rsidRPr="00235592">
        <w:rPr>
          <w:rStyle w:val="ECCParagraph"/>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rsidR="003771D5" w:rsidRPr="00235592" w:rsidRDefault="003771D5" w:rsidP="00BD4E12">
      <w:pPr>
        <w:pStyle w:val="berschrift1"/>
        <w:rPr>
          <w:lang w:val="en-GB"/>
        </w:rPr>
      </w:pPr>
      <w:r w:rsidRPr="00235592">
        <w:rPr>
          <w:lang w:val="en-GB"/>
        </w:rPr>
        <w:t>ISSUE</w:t>
      </w:r>
    </w:p>
    <w:p w:rsidR="00A853D1" w:rsidRPr="00A853D1" w:rsidRDefault="00A853D1" w:rsidP="00A853D1">
      <w:pPr>
        <w:rPr>
          <w:rStyle w:val="ECCParagraph"/>
        </w:rPr>
      </w:pPr>
      <w:r w:rsidRPr="00A853D1">
        <w:rPr>
          <w:rStyle w:val="ECCParagraph"/>
        </w:rPr>
        <w:t xml:space="preserve">Footnotes form an integral part of the Table of Frequency Allocations (Article 5) in the ITU Radio Regulations (RR) and must be kept updated. This </w:t>
      </w:r>
      <w:r>
        <w:rPr>
          <w:rStyle w:val="ECCParagraph"/>
        </w:rPr>
        <w:t xml:space="preserve">standing </w:t>
      </w:r>
      <w:r w:rsidRPr="00A853D1">
        <w:rPr>
          <w:rStyle w:val="ECCParagraph"/>
        </w:rPr>
        <w:t>agenda item</w:t>
      </w:r>
      <w:r w:rsidR="00566420">
        <w:rPr>
          <w:rStyle w:val="ECCParagraph"/>
        </w:rPr>
        <w:t xml:space="preserve"> of the WRCs</w:t>
      </w:r>
      <w:r w:rsidRPr="00A853D1">
        <w:rPr>
          <w:rStyle w:val="ECCParagraph"/>
        </w:rPr>
        <w:t xml:space="preserve"> promotes the updating of the Table of Frequency Allocations by requesting Administrations to actively review footnotes and to propose the deletion of their country footnotes or of their country names from footnotes, as appropriate.</w:t>
      </w:r>
    </w:p>
    <w:p w:rsidR="00A853D1" w:rsidRPr="00A853D1" w:rsidRDefault="00A853D1" w:rsidP="00A853D1">
      <w:pPr>
        <w:rPr>
          <w:rStyle w:val="ECCParagraph"/>
        </w:rPr>
      </w:pPr>
      <w:r w:rsidRPr="00A853D1">
        <w:rPr>
          <w:rStyle w:val="ECCParagraph"/>
        </w:rPr>
        <w:t xml:space="preserve">Previous experience of WRCs shows that alongside with the deletion of footnotes, the </w:t>
      </w:r>
      <w:r w:rsidR="00566420" w:rsidRPr="00566420">
        <w:rPr>
          <w:rStyle w:val="ECCParagraph"/>
        </w:rPr>
        <w:t xml:space="preserve">Conferences </w:t>
      </w:r>
      <w:r w:rsidRPr="00A853D1">
        <w:rPr>
          <w:rStyle w:val="ECCParagraph"/>
        </w:rPr>
        <w:t xml:space="preserve">considered proposals from </w:t>
      </w:r>
      <w:r w:rsidR="00566420">
        <w:rPr>
          <w:rStyle w:val="ECCParagraph"/>
        </w:rPr>
        <w:t>A</w:t>
      </w:r>
      <w:r w:rsidRPr="00A853D1">
        <w:rPr>
          <w:rStyle w:val="ECCParagraph"/>
        </w:rPr>
        <w:t xml:space="preserve">dministrations to add their country names to existing footnotes to Article </w:t>
      </w:r>
      <w:r w:rsidRPr="008F1C1D">
        <w:rPr>
          <w:rStyle w:val="ECCHLbold"/>
        </w:rPr>
        <w:t>5</w:t>
      </w:r>
      <w:r w:rsidRPr="00A853D1">
        <w:rPr>
          <w:rStyle w:val="ECCParagraph"/>
        </w:rPr>
        <w:t xml:space="preserve"> of the Radio Regulations under this agenda item. Moreover, the </w:t>
      </w:r>
      <w:r w:rsidR="00566420">
        <w:rPr>
          <w:rStyle w:val="ECCParagraph"/>
        </w:rPr>
        <w:t>last two WRC</w:t>
      </w:r>
      <w:r>
        <w:rPr>
          <w:rStyle w:val="ECCParagraph"/>
        </w:rPr>
        <w:t>s</w:t>
      </w:r>
      <w:r w:rsidRPr="00A853D1">
        <w:rPr>
          <w:rStyle w:val="ECCParagraph"/>
        </w:rPr>
        <w:t xml:space="preserve"> experienced proposals even to add new country footnotes under this agenda.</w:t>
      </w:r>
    </w:p>
    <w:p w:rsidR="00A853D1" w:rsidRPr="00A853D1" w:rsidRDefault="008A01B7" w:rsidP="00A853D1">
      <w:pPr>
        <w:rPr>
          <w:rStyle w:val="ECCParagraph"/>
        </w:rPr>
      </w:pPr>
      <w:r>
        <w:rPr>
          <w:rStyle w:val="ECCParagraph"/>
        </w:rPr>
        <w:t>T</w:t>
      </w:r>
      <w:r w:rsidRPr="00A853D1">
        <w:rPr>
          <w:rStyle w:val="ECCParagraph"/>
        </w:rPr>
        <w:t xml:space="preserve">wo issues </w:t>
      </w:r>
      <w:r>
        <w:rPr>
          <w:rStyle w:val="ECCParagraph"/>
        </w:rPr>
        <w:t xml:space="preserve">are </w:t>
      </w:r>
      <w:r w:rsidR="00A853D1" w:rsidRPr="00A853D1">
        <w:rPr>
          <w:rStyle w:val="ECCParagraph"/>
        </w:rPr>
        <w:t xml:space="preserve">proposed to </w:t>
      </w:r>
      <w:r w:rsidR="009A0376">
        <w:rPr>
          <w:rStyle w:val="ECCParagraph"/>
        </w:rPr>
        <w:t xml:space="preserve">be </w:t>
      </w:r>
      <w:r w:rsidR="00A853D1" w:rsidRPr="00A853D1">
        <w:rPr>
          <w:rStyle w:val="ECCParagraph"/>
        </w:rPr>
        <w:t>consider</w:t>
      </w:r>
      <w:r w:rsidR="009A0376">
        <w:rPr>
          <w:rStyle w:val="ECCParagraph"/>
        </w:rPr>
        <w:t>ed</w:t>
      </w:r>
      <w:r w:rsidR="00A853D1" w:rsidRPr="00A853D1">
        <w:rPr>
          <w:rStyle w:val="ECCParagraph"/>
        </w:rPr>
        <w:t xml:space="preserve"> under the </w:t>
      </w:r>
      <w:r w:rsidR="00566420">
        <w:rPr>
          <w:rStyle w:val="ECCParagraph"/>
        </w:rPr>
        <w:t>A</w:t>
      </w:r>
      <w:r w:rsidR="00A853D1" w:rsidRPr="00A853D1">
        <w:rPr>
          <w:rStyle w:val="ECCParagraph"/>
        </w:rPr>
        <w:t xml:space="preserve">genda </w:t>
      </w:r>
      <w:r w:rsidR="00566420">
        <w:rPr>
          <w:rStyle w:val="ECCParagraph"/>
        </w:rPr>
        <w:t>I</w:t>
      </w:r>
      <w:r w:rsidR="00A853D1" w:rsidRPr="00A853D1">
        <w:rPr>
          <w:rStyle w:val="ECCParagraph"/>
        </w:rPr>
        <w:t>tem 8:</w:t>
      </w:r>
    </w:p>
    <w:p w:rsidR="008A01B7" w:rsidRDefault="008A01B7" w:rsidP="008A01B7">
      <w:pPr>
        <w:pStyle w:val="ECCBulletsLv1"/>
        <w:rPr>
          <w:rStyle w:val="ECCParagraph"/>
        </w:rPr>
      </w:pPr>
      <w:r w:rsidRPr="00A853D1">
        <w:rPr>
          <w:rStyle w:val="ECCParagraph"/>
        </w:rPr>
        <w:t>Issue A – Deletion of country footnotes or country names from footnotes</w:t>
      </w:r>
      <w:r>
        <w:rPr>
          <w:rStyle w:val="ECCParagraph"/>
        </w:rPr>
        <w:t>,</w:t>
      </w:r>
    </w:p>
    <w:p w:rsidR="008A01B7" w:rsidRPr="00235592" w:rsidRDefault="008A01B7" w:rsidP="008A01B7">
      <w:pPr>
        <w:pStyle w:val="ECCBulletsLv1"/>
        <w:rPr>
          <w:rStyle w:val="ECCParagraph"/>
        </w:rPr>
      </w:pPr>
      <w:r w:rsidRPr="00A853D1">
        <w:rPr>
          <w:rStyle w:val="ECCParagraph"/>
        </w:rPr>
        <w:t>Issue B – Addition of country names into footnotes or new country footnotes.</w:t>
      </w:r>
    </w:p>
    <w:p w:rsidR="003771D5" w:rsidRPr="00235592" w:rsidRDefault="003771D5" w:rsidP="00BD4E12">
      <w:pPr>
        <w:pStyle w:val="berschrift1"/>
        <w:rPr>
          <w:lang w:val="en-GB"/>
        </w:rPr>
      </w:pPr>
      <w:r w:rsidRPr="00235592">
        <w:rPr>
          <w:lang w:val="en-GB"/>
        </w:rPr>
        <w:t xml:space="preserve">Preliminary CEPT position </w:t>
      </w:r>
    </w:p>
    <w:p w:rsidR="00566420" w:rsidRPr="00566420" w:rsidRDefault="00566420" w:rsidP="00566420">
      <w:pPr>
        <w:pStyle w:val="ECCBreak"/>
      </w:pPr>
      <w:r w:rsidRPr="00566420">
        <w:t>General</w:t>
      </w:r>
    </w:p>
    <w:p w:rsidR="00566420" w:rsidRPr="003B3721" w:rsidRDefault="00566420" w:rsidP="00566420">
      <w:r w:rsidRPr="003B3721">
        <w:t xml:space="preserve">CEPT is of the view that there is no need to change the Resolution </w:t>
      </w:r>
      <w:r w:rsidRPr="000C0BFE">
        <w:rPr>
          <w:rStyle w:val="ECCHLbold"/>
        </w:rPr>
        <w:t>26 (Rev. WRC</w:t>
      </w:r>
      <w:r w:rsidR="009A0376" w:rsidRPr="000C0BFE">
        <w:rPr>
          <w:rStyle w:val="ECCHLbold"/>
        </w:rPr>
        <w:t>-</w:t>
      </w:r>
      <w:r w:rsidRPr="000C0BFE">
        <w:rPr>
          <w:rStyle w:val="ECCHLbold"/>
        </w:rPr>
        <w:t>07)</w:t>
      </w:r>
      <w:r>
        <w:t>.</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566420" w:rsidRDefault="00566420" w:rsidP="00566420">
      <w:pPr>
        <w:pStyle w:val="ECCBulletsLv1"/>
      </w:pPr>
      <w:r w:rsidRPr="003B3721">
        <w:t>CEPT supports</w:t>
      </w:r>
      <w:r w:rsidR="009A0376">
        <w:t xml:space="preserve"> </w:t>
      </w:r>
      <w:r w:rsidRPr="003B3721">
        <w:t>Administrations taking the initiative to review their footnotes and to propose the deletion of their country names or the deletion of country footnotes, if no longer required.</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566420" w:rsidRDefault="00566420" w:rsidP="00566420">
      <w:pPr>
        <w:pStyle w:val="ECCBulletsLv1"/>
      </w:pPr>
      <w:r w:rsidRPr="003B3721">
        <w:t>CEPT is of the view that this agenda item is not intended for adding country names into footnotes and the addition of new country footnotes.</w:t>
      </w:r>
    </w:p>
    <w:p w:rsidR="00566420" w:rsidRPr="00566420" w:rsidRDefault="00566420" w:rsidP="00566420">
      <w:pPr>
        <w:pStyle w:val="ECCBulletsLv1"/>
      </w:pPr>
      <w:r w:rsidRPr="003B3721">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Furthermore CEPT is of the view that proposals for the addition of new country footnotes which are not related to agenda items of this Conference should not be considered.</w:t>
      </w:r>
    </w:p>
    <w:p w:rsidR="003771D5" w:rsidRPr="00235592" w:rsidRDefault="003771D5" w:rsidP="003A68D5">
      <w:pPr>
        <w:pStyle w:val="berschrift1"/>
        <w:rPr>
          <w:lang w:val="en-GB"/>
        </w:rPr>
      </w:pPr>
      <w:r w:rsidRPr="00235592">
        <w:rPr>
          <w:lang w:val="en-GB"/>
        </w:rPr>
        <w:t xml:space="preserve">Background </w:t>
      </w:r>
    </w:p>
    <w:p w:rsidR="00566420" w:rsidRPr="003B3721" w:rsidRDefault="00566420" w:rsidP="00566420">
      <w:r w:rsidRPr="003B3721">
        <w:t>Any addition, modification or deletion of a footnote is considered and adopted by the WRC in accordance with Resol</w:t>
      </w:r>
      <w:r w:rsidR="00126C81">
        <w:t xml:space="preserve">ution </w:t>
      </w:r>
      <w:r w:rsidR="00126C81" w:rsidRPr="008F1C1D">
        <w:rPr>
          <w:rStyle w:val="ECCHLbold"/>
        </w:rPr>
        <w:t>26 (Rev.</w:t>
      </w:r>
      <w:r w:rsidRPr="008F1C1D">
        <w:rPr>
          <w:rStyle w:val="ECCHLbold"/>
        </w:rPr>
        <w:t>WRC-07)</w:t>
      </w:r>
      <w:r w:rsidR="008A01B7">
        <w:t xml:space="preserve">, </w:t>
      </w:r>
      <w:r w:rsidR="009A0376">
        <w:t>indicated</w:t>
      </w:r>
      <w:r w:rsidR="008A01B7">
        <w:t xml:space="preserve"> in</w:t>
      </w:r>
      <w:r w:rsidR="008F1C1D">
        <w:t xml:space="preserve"> </w:t>
      </w:r>
      <w:r w:rsidR="008F1C1D">
        <w:fldChar w:fldCharType="begin"/>
      </w:r>
      <w:r w:rsidR="008F1C1D">
        <w:instrText xml:space="preserve"> REF _Ref508706587 \r \h </w:instrText>
      </w:r>
      <w:r w:rsidR="008F1C1D">
        <w:fldChar w:fldCharType="separate"/>
      </w:r>
      <w:r w:rsidR="008F1C1D">
        <w:t>ANNEX 1</w:t>
      </w:r>
      <w:r w:rsidR="008F1C1D">
        <w:fldChar w:fldCharType="end"/>
      </w:r>
      <w:r w:rsidRPr="003B3721">
        <w:t>.</w:t>
      </w:r>
    </w:p>
    <w:p w:rsidR="00566420" w:rsidRPr="003B3721" w:rsidRDefault="00566420" w:rsidP="00566420">
      <w:r w:rsidRPr="003B3721">
        <w:t xml:space="preserve">The </w:t>
      </w:r>
      <w:r w:rsidR="00771DED">
        <w:t>A</w:t>
      </w:r>
      <w:r w:rsidRPr="003B3721">
        <w:t>genda item 8 is a standing item on the agenda of WRCs which allows for the examination of footnotes.</w:t>
      </w:r>
    </w:p>
    <w:p w:rsidR="00566420" w:rsidRPr="003B3721" w:rsidRDefault="00566420" w:rsidP="00566420">
      <w:r w:rsidRPr="003B3721">
        <w:lastRenderedPageBreak/>
        <w:t>Footnotes in the Table of Frequency Allocations should be clear, concise and understandable. They should relate directly to matters of frequency allocations rather than dealing with the operation of stations, assignment of frequencies or other matters. The Table of Frequency Allocations should include only those footnotes, which have international implications for the use of the radio-frequency spectrum.</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3B3721" w:rsidRDefault="00566420" w:rsidP="00566420">
      <w:r w:rsidRPr="003B3721">
        <w:t>This agenda item according to its naming only allows for consideration of proposals by administrations for deletion of country footnotes or country names in footnotes, if no longer required. Administrations should be aware that in deleting footnotes, implications on affected countries, should be taken into consideration.</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3B3721" w:rsidRDefault="00566420" w:rsidP="00566420">
      <w:r w:rsidRPr="003B3721">
        <w:t xml:space="preserve">This agenda item was adopted for the purpose of achieving global harmonization in spectrum use by means of deleting countries from footnotes. However, the wording of agenda item 8 contains reference to the Resolution </w:t>
      </w:r>
      <w:r w:rsidRPr="008F1C1D">
        <w:rPr>
          <w:rStyle w:val="ECCHLbold"/>
        </w:rPr>
        <w:t>26 (Rev. WRC-07)</w:t>
      </w:r>
      <w:r w:rsidRPr="003B3721">
        <w:t xml:space="preserve"> which addresses other issues then the deletion of country from a footnote such as possible actions concerning footnotes, e.g. additions of new country footnotes and modification of footnotes.</w:t>
      </w:r>
    </w:p>
    <w:p w:rsidR="00566420" w:rsidRPr="003B3721" w:rsidRDefault="00566420" w:rsidP="00566420">
      <w:r w:rsidRPr="003B3721">
        <w:t xml:space="preserve">During previous WRCs study periods the CEPT position was based on the principle that the addition of country names to footnotes is not allowed under this agenda item unless in accordance with </w:t>
      </w:r>
      <w:r w:rsidR="005B4500" w:rsidRPr="005B4500">
        <w:t xml:space="preserve">the Resolution </w:t>
      </w:r>
      <w:r w:rsidR="005B4500" w:rsidRPr="008F1C1D">
        <w:rPr>
          <w:rStyle w:val="ECCHLbold"/>
        </w:rPr>
        <w:t>26 (Rev. WRC-07)</w:t>
      </w:r>
      <w:r w:rsidRPr="003B3721">
        <w:t xml:space="preserve">. However, </w:t>
      </w:r>
      <w:r w:rsidR="00AF5635">
        <w:t xml:space="preserve">when it was </w:t>
      </w:r>
      <w:r w:rsidR="00AF5635" w:rsidRPr="00AF5635">
        <w:t>justified</w:t>
      </w:r>
      <w:r w:rsidR="00AF5635">
        <w:t xml:space="preserve">, some </w:t>
      </w:r>
      <w:r w:rsidR="00AF5635" w:rsidRPr="003B3721">
        <w:t xml:space="preserve">CEPT </w:t>
      </w:r>
      <w:r w:rsidR="008F1C1D">
        <w:t>a</w:t>
      </w:r>
      <w:r w:rsidR="00AF5635">
        <w:t xml:space="preserve">dministrations </w:t>
      </w:r>
      <w:r w:rsidR="00AF5635" w:rsidRPr="00AF5635">
        <w:t>propos</w:t>
      </w:r>
      <w:r w:rsidR="00AF5635">
        <w:t xml:space="preserve">ed </w:t>
      </w:r>
      <w:r w:rsidR="00AF5635" w:rsidRPr="00AF5635">
        <w:t xml:space="preserve">for the addition of country names to existing footnotes </w:t>
      </w:r>
      <w:r w:rsidRPr="003B3721">
        <w:t>under this agenda item</w:t>
      </w:r>
      <w:r w:rsidR="00AF5635">
        <w:t xml:space="preserve"> (WRC-15 </w:t>
      </w:r>
      <w:r w:rsidR="00AF5635" w:rsidRPr="003B3721">
        <w:t xml:space="preserve">considered the proposals from </w:t>
      </w:r>
      <w:r w:rsidR="00AF5635">
        <w:t>3</w:t>
      </w:r>
      <w:r w:rsidRPr="003B3721">
        <w:t xml:space="preserve"> </w:t>
      </w:r>
      <w:r w:rsidR="00AF5635" w:rsidRPr="003B3721">
        <w:t>CEPT countries</w:t>
      </w:r>
      <w:r w:rsidR="00AF5635">
        <w:t xml:space="preserve">, </w:t>
      </w:r>
      <w:r w:rsidR="00AF5635" w:rsidRPr="003B3721">
        <w:t xml:space="preserve">while </w:t>
      </w:r>
      <w:r w:rsidRPr="003B3721">
        <w:t>WRC</w:t>
      </w:r>
      <w:r w:rsidR="00AF5635">
        <w:t xml:space="preserve">-12 – 1, </w:t>
      </w:r>
      <w:r w:rsidR="00110E8D" w:rsidRPr="003B3721">
        <w:t>WRC-07</w:t>
      </w:r>
      <w:r w:rsidR="00AF5635">
        <w:t xml:space="preserve"> - 7</w:t>
      </w:r>
      <w:r w:rsidR="00110E8D" w:rsidRPr="003B3721">
        <w:t xml:space="preserve"> and WRC-03 </w:t>
      </w:r>
      <w:r w:rsidR="00AF5635">
        <w:t>– 17</w:t>
      </w:r>
      <w:r w:rsidR="0062441E">
        <w:t>)</w:t>
      </w:r>
      <w:r w:rsidRPr="003B3721">
        <w:t>.</w:t>
      </w:r>
    </w:p>
    <w:p w:rsidR="00566420" w:rsidRPr="003B3721" w:rsidRDefault="00566420" w:rsidP="00566420">
      <w:r w:rsidRPr="003B3721">
        <w:t xml:space="preserve">The corresponding proposals of administrations related to the further resolves 1a, 1b and 1c of Resolution </w:t>
      </w:r>
      <w:r w:rsidRPr="008F1C1D">
        <w:rPr>
          <w:rStyle w:val="ECCHLbold"/>
        </w:rPr>
        <w:t>26</w:t>
      </w:r>
      <w:r w:rsidRPr="003B3721">
        <w:t xml:space="preserve"> were treated by the previous WRCs under the relevant agenda items. The proposals for additions which did not fall within the above categories were considered by</w:t>
      </w:r>
      <w:r w:rsidR="00C62DCF">
        <w:t xml:space="preserve"> recent</w:t>
      </w:r>
      <w:r w:rsidRPr="003B3721">
        <w:t xml:space="preserve"> WRC</w:t>
      </w:r>
      <w:r w:rsidR="00B01190">
        <w:t>s</w:t>
      </w:r>
      <w:r w:rsidRPr="003B3721">
        <w:t xml:space="preserve"> under this agenda item subject to the following principles</w:t>
      </w:r>
      <w:r w:rsidR="00DB0B4B">
        <w:t xml:space="preserve"> (see </w:t>
      </w:r>
      <w:hyperlink r:id="rId9" w:history="1">
        <w:r w:rsidR="00DB0B4B" w:rsidRPr="00C93CF3">
          <w:rPr>
            <w:rStyle w:val="Hyperlink"/>
          </w:rPr>
          <w:t>WRC-15 Document 142</w:t>
        </w:r>
      </w:hyperlink>
      <w:r w:rsidR="00DB0B4B">
        <w:t>)</w:t>
      </w:r>
      <w:r w:rsidRPr="003B3721">
        <w:t>:</w:t>
      </w:r>
    </w:p>
    <w:p w:rsidR="00566420" w:rsidRPr="00566420" w:rsidRDefault="00DB0B4B" w:rsidP="00566420">
      <w:pPr>
        <w:pStyle w:val="ECCBulletsLv1"/>
      </w:pPr>
      <w:r w:rsidRPr="00DB0B4B">
        <w:t xml:space="preserve">It is not the intention of WRC to encourage the addition of country names to existing footnotes. However, under certain circumstances on a purely exceptional basis and if justified, </w:t>
      </w:r>
      <w:r>
        <w:t>p</w:t>
      </w:r>
      <w:r w:rsidR="00566420" w:rsidRPr="003B3721">
        <w:t xml:space="preserve">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Proposals for the addition of new country footnotes which are not related to agenda items of th</w:t>
      </w:r>
      <w:r w:rsidR="00DB0B4B">
        <w:t>e</w:t>
      </w:r>
      <w:r w:rsidRPr="003B3721">
        <w:t xml:space="preserve"> Conference should not be considered.</w:t>
      </w:r>
    </w:p>
    <w:p w:rsidR="00566420" w:rsidRPr="003B3721" w:rsidRDefault="00566420" w:rsidP="00566420">
      <w:r w:rsidRPr="003B3721">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w:t>
      </w:r>
    </w:p>
    <w:p w:rsidR="00566420" w:rsidRPr="003B3721" w:rsidRDefault="00566420" w:rsidP="00566420">
      <w:r w:rsidRPr="003B3721">
        <w:t>The existing practice may lead to difficulties for administrations during Conferences, while requiring for proposed changes immediate evaluation of compatibility and determination of sharing conditions with existing services and to agree these changes with the concerned administrations. In some cases this</w:t>
      </w:r>
      <w:r w:rsidR="008F1C1D">
        <w:t xml:space="preserve"> cannot be achieved during the C</w:t>
      </w:r>
      <w:r w:rsidRPr="003B3721">
        <w:t>onference due to the lack of expertise and time limits.</w:t>
      </w:r>
    </w:p>
    <w:p w:rsidR="00566420" w:rsidRDefault="00566420" w:rsidP="00566420">
      <w:r w:rsidRPr="003B3721">
        <w:t>The possibility to add a country name to a footnote may in some cases increase the regional or sub-regional harmonization of frequency utilization.</w:t>
      </w:r>
    </w:p>
    <w:p w:rsidR="006C5982" w:rsidRDefault="00905677" w:rsidP="00566420">
      <w:r w:rsidRPr="00905677">
        <w:t>It is hig</w:t>
      </w:r>
      <w:r w:rsidR="008F1C1D">
        <w:t>hlighted that a number of CEPT a</w:t>
      </w:r>
      <w:r w:rsidRPr="00905677">
        <w:t xml:space="preserve">dministrations are concerned with respect of the </w:t>
      </w:r>
      <w:r w:rsidR="00F0298D">
        <w:t xml:space="preserve">draft </w:t>
      </w:r>
      <w:r w:rsidRPr="00905677">
        <w:t xml:space="preserve">ICAO </w:t>
      </w:r>
      <w:r w:rsidR="00F0298D">
        <w:t>position for WRC-19 to p</w:t>
      </w:r>
      <w:r w:rsidRPr="00905677">
        <w:t>ropos</w:t>
      </w:r>
      <w:r w:rsidR="00F0298D">
        <w:t>e</w:t>
      </w:r>
      <w:r w:rsidRPr="00905677">
        <w:t xml:space="preserve"> deleting the footnotes No</w:t>
      </w:r>
      <w:r w:rsidR="008319A3">
        <w:t>s</w:t>
      </w:r>
      <w:r w:rsidRPr="00905677">
        <w:t xml:space="preserve"> </w:t>
      </w:r>
      <w:r w:rsidRPr="008F1C1D">
        <w:rPr>
          <w:rStyle w:val="ECCHLbold"/>
        </w:rPr>
        <w:t>5.201</w:t>
      </w:r>
      <w:r w:rsidRPr="00905677">
        <w:t xml:space="preserve">, </w:t>
      </w:r>
      <w:r w:rsidRPr="008F1C1D">
        <w:rPr>
          <w:rStyle w:val="ECCHLbold"/>
        </w:rPr>
        <w:t>5.202</w:t>
      </w:r>
      <w:r w:rsidRPr="00905677">
        <w:t xml:space="preserve"> and </w:t>
      </w:r>
      <w:r w:rsidRPr="0079464F">
        <w:rPr>
          <w:rStyle w:val="ECCHLbold"/>
        </w:rPr>
        <w:t>5.359</w:t>
      </w:r>
      <w:r w:rsidR="00F0298D">
        <w:t xml:space="preserve"> (see section </w:t>
      </w:r>
      <w:r w:rsidR="0079464F">
        <w:fldChar w:fldCharType="begin"/>
      </w:r>
      <w:r w:rsidR="0079464F">
        <w:instrText xml:space="preserve"> REF _Ref508706808 \r \h </w:instrText>
      </w:r>
      <w:r w:rsidR="0079464F">
        <w:fldChar w:fldCharType="separate"/>
      </w:r>
      <w:r w:rsidR="0079464F">
        <w:t>6.3</w:t>
      </w:r>
      <w:r w:rsidR="0079464F">
        <w:fldChar w:fldCharType="end"/>
      </w:r>
      <w:r w:rsidR="00F0298D">
        <w:t>)</w:t>
      </w:r>
      <w:r w:rsidRPr="00905677">
        <w:t>.</w:t>
      </w:r>
    </w:p>
    <w:p w:rsidR="00C5692E" w:rsidRDefault="00C5692E" w:rsidP="00566420">
      <w:r w:rsidRPr="009F662C">
        <w:t>In order to support th</w:t>
      </w:r>
      <w:r>
        <w:t xml:space="preserve">e </w:t>
      </w:r>
      <w:r w:rsidRPr="009F662C">
        <w:t>activity</w:t>
      </w:r>
      <w:r>
        <w:t xml:space="preserve"> under issue A,</w:t>
      </w:r>
      <w:r w:rsidRPr="009F662C">
        <w:t xml:space="preserve"> the list of all the footnotes for CEPT countries is provided in</w:t>
      </w:r>
      <w:r w:rsidR="0079464F">
        <w:t xml:space="preserve"> </w:t>
      </w:r>
      <w:r w:rsidR="0079464F">
        <w:fldChar w:fldCharType="begin"/>
      </w:r>
      <w:r w:rsidR="0079464F">
        <w:instrText xml:space="preserve"> REF _Ref508706855 \r \h </w:instrText>
      </w:r>
      <w:r w:rsidR="0079464F">
        <w:fldChar w:fldCharType="separate"/>
      </w:r>
      <w:r w:rsidR="0079464F">
        <w:t>ANNEX 2</w:t>
      </w:r>
      <w:proofErr w:type="gramStart"/>
      <w:r w:rsidR="0079464F">
        <w:t>:</w:t>
      </w:r>
      <w:r w:rsidR="0079464F">
        <w:fldChar w:fldCharType="end"/>
      </w:r>
      <w:r w:rsidRPr="009F662C">
        <w:t>.</w:t>
      </w:r>
      <w:proofErr w:type="gramEnd"/>
      <w:r w:rsidRPr="009F662C">
        <w:t xml:space="preserve"> As well, the </w:t>
      </w:r>
      <w:r w:rsidR="0079464F">
        <w:fldChar w:fldCharType="begin"/>
      </w:r>
      <w:r w:rsidR="0079464F">
        <w:instrText xml:space="preserve"> REF _Ref508706869 \r \h </w:instrText>
      </w:r>
      <w:r w:rsidR="0079464F">
        <w:fldChar w:fldCharType="separate"/>
      </w:r>
      <w:r w:rsidR="0079464F">
        <w:t>ANNEX 3:</w:t>
      </w:r>
      <w:r w:rsidR="0079464F">
        <w:fldChar w:fldCharType="end"/>
      </w:r>
      <w:r w:rsidRPr="009F662C">
        <w:t xml:space="preserve"> is developed for information, indicating which CEPT Countries are affected in footnotes that cross-reference footnotes in </w:t>
      </w:r>
      <w:r w:rsidR="0079464F">
        <w:fldChar w:fldCharType="begin"/>
      </w:r>
      <w:r w:rsidR="0079464F">
        <w:instrText xml:space="preserve"> REF _Ref508706855 \r \h </w:instrText>
      </w:r>
      <w:r w:rsidR="0079464F">
        <w:fldChar w:fldCharType="separate"/>
      </w:r>
      <w:r w:rsidR="0079464F">
        <w:t>ANNEX 2</w:t>
      </w:r>
      <w:proofErr w:type="gramStart"/>
      <w:r w:rsidR="0079464F">
        <w:t>:</w:t>
      </w:r>
      <w:r w:rsidR="0079464F">
        <w:fldChar w:fldCharType="end"/>
      </w:r>
      <w:r w:rsidRPr="009F662C">
        <w:t>.</w:t>
      </w:r>
      <w:proofErr w:type="gramEnd"/>
    </w:p>
    <w:p w:rsidR="008A01B7" w:rsidRDefault="008A01B7" w:rsidP="00566420">
      <w:r>
        <w:t xml:space="preserve">The information of </w:t>
      </w:r>
      <w:r w:rsidRPr="00786653">
        <w:t xml:space="preserve">CEPT </w:t>
      </w:r>
      <w:r>
        <w:t>c</w:t>
      </w:r>
      <w:r w:rsidRPr="00786653">
        <w:t xml:space="preserve">ountries </w:t>
      </w:r>
      <w:r>
        <w:t xml:space="preserve">about </w:t>
      </w:r>
      <w:r w:rsidRPr="00786653">
        <w:t>their intentions regarding the deletion of footnotes</w:t>
      </w:r>
      <w:r>
        <w:t xml:space="preserve"> is indicated in </w:t>
      </w:r>
      <w:r w:rsidR="0079464F">
        <w:fldChar w:fldCharType="begin"/>
      </w:r>
      <w:r w:rsidR="0079464F">
        <w:instrText xml:space="preserve"> REF _Ref508706912 \r \h </w:instrText>
      </w:r>
      <w:r w:rsidR="0079464F">
        <w:fldChar w:fldCharType="separate"/>
      </w:r>
      <w:r w:rsidR="0079464F">
        <w:t>ANNEX 4:</w:t>
      </w:r>
      <w:r w:rsidR="0079464F">
        <w:fldChar w:fldCharType="end"/>
      </w:r>
      <w:r w:rsidR="00706C1C">
        <w:t xml:space="preserve"> [TBD]</w:t>
      </w:r>
      <w:r>
        <w:t>.</w:t>
      </w:r>
    </w:p>
    <w:p w:rsidR="003771D5" w:rsidRPr="00235592" w:rsidRDefault="003771D5" w:rsidP="00BD4E12">
      <w:pPr>
        <w:pStyle w:val="berschrift1"/>
        <w:rPr>
          <w:lang w:val="en-GB"/>
        </w:rPr>
      </w:pPr>
      <w:r w:rsidRPr="00235592">
        <w:rPr>
          <w:lang w:val="en-GB"/>
        </w:rPr>
        <w:lastRenderedPageBreak/>
        <w:t>List of relevant documents</w:t>
      </w:r>
    </w:p>
    <w:p w:rsidR="00220194" w:rsidRDefault="003771D5" w:rsidP="000A29BC">
      <w:pPr>
        <w:pStyle w:val="ECCBreak"/>
        <w:rPr>
          <w:rStyle w:val="ECCParagraph"/>
        </w:rPr>
      </w:pPr>
      <w:r w:rsidRPr="00235592">
        <w:rPr>
          <w:rStyle w:val="ECCParagraph"/>
        </w:rPr>
        <w:t>ITU-Documentation (Recommendations, Reports, other)</w:t>
      </w:r>
    </w:p>
    <w:p w:rsidR="008A01B7" w:rsidRPr="00235592" w:rsidRDefault="008A01B7" w:rsidP="008A01B7">
      <w:pPr>
        <w:pStyle w:val="ECCBulletsLv1"/>
        <w:rPr>
          <w:rStyle w:val="ECCParagraph"/>
        </w:rPr>
      </w:pPr>
      <w:r w:rsidRPr="00836221">
        <w:rPr>
          <w:rStyle w:val="ECCParagraph"/>
        </w:rPr>
        <w:t xml:space="preserve">Resolution </w:t>
      </w:r>
      <w:r w:rsidRPr="0079464F">
        <w:rPr>
          <w:rStyle w:val="ECCHLbold"/>
        </w:rPr>
        <w:t>26 (Rev. WRC-07)</w:t>
      </w:r>
      <w:r w:rsidRPr="00836221">
        <w:rPr>
          <w:rStyle w:val="ECCParagraph"/>
        </w:rPr>
        <w:t xml:space="preserve"> – see</w:t>
      </w:r>
      <w:r w:rsidR="0079464F">
        <w:rPr>
          <w:rStyle w:val="ECCParagraph"/>
        </w:rPr>
        <w:t xml:space="preserve"> </w:t>
      </w:r>
      <w:r w:rsidR="0079464F">
        <w:rPr>
          <w:rStyle w:val="ECCParagraph"/>
        </w:rPr>
        <w:fldChar w:fldCharType="begin"/>
      </w:r>
      <w:r w:rsidR="0079464F">
        <w:rPr>
          <w:rStyle w:val="ECCParagraph"/>
        </w:rPr>
        <w:instrText xml:space="preserve"> REF _Ref508706587 \r \h </w:instrText>
      </w:r>
      <w:r w:rsidR="0079464F">
        <w:rPr>
          <w:rStyle w:val="ECCParagraph"/>
        </w:rPr>
      </w:r>
      <w:r w:rsidR="0079464F">
        <w:rPr>
          <w:rStyle w:val="ECCParagraph"/>
        </w:rPr>
        <w:fldChar w:fldCharType="separate"/>
      </w:r>
      <w:r w:rsidR="0079464F">
        <w:rPr>
          <w:rStyle w:val="ECCParagraph"/>
        </w:rPr>
        <w:t>ANNEX 1</w:t>
      </w:r>
      <w:proofErr w:type="gramStart"/>
      <w:r w:rsidR="0079464F">
        <w:rPr>
          <w:rStyle w:val="ECCParagraph"/>
        </w:rPr>
        <w:t>:</w:t>
      </w:r>
      <w:r w:rsidR="0079464F">
        <w:rPr>
          <w:rStyle w:val="ECCParagraph"/>
        </w:rPr>
        <w:fldChar w:fldCharType="end"/>
      </w:r>
      <w:r w:rsidRPr="00836221">
        <w:rPr>
          <w:rStyle w:val="ECCParagraph"/>
        </w:rPr>
        <w:t>.</w:t>
      </w:r>
      <w:proofErr w:type="gramEnd"/>
    </w:p>
    <w:p w:rsidR="00836221" w:rsidRPr="00836221" w:rsidRDefault="00836221" w:rsidP="00836221">
      <w:pPr>
        <w:pStyle w:val="ECCBulletsLv1"/>
        <w:rPr>
          <w:rStyle w:val="ECCParagraph"/>
        </w:rPr>
      </w:pPr>
      <w:r w:rsidRPr="00836221">
        <w:rPr>
          <w:rStyle w:val="ECCParagraph"/>
        </w:rPr>
        <w:t xml:space="preserve">Article </w:t>
      </w:r>
      <w:r w:rsidRPr="0079464F">
        <w:rPr>
          <w:rStyle w:val="ECCHLbold"/>
        </w:rPr>
        <w:t>5</w:t>
      </w:r>
      <w:r w:rsidRPr="00836221">
        <w:rPr>
          <w:rStyle w:val="ECCParagraph"/>
        </w:rPr>
        <w:t xml:space="preserve"> of the Radio Regulation – see the list of footnotes for CEPT countries in</w:t>
      </w:r>
      <w:r w:rsidR="0079464F">
        <w:rPr>
          <w:rStyle w:val="ECCParagraph"/>
        </w:rPr>
        <w:t xml:space="preserve"> </w:t>
      </w:r>
      <w:r w:rsidR="0079464F">
        <w:rPr>
          <w:rStyle w:val="ECCParagraph"/>
        </w:rPr>
        <w:fldChar w:fldCharType="begin"/>
      </w:r>
      <w:r w:rsidR="0079464F">
        <w:rPr>
          <w:rStyle w:val="ECCParagraph"/>
        </w:rPr>
        <w:instrText xml:space="preserve"> REF _Ref508706855 \r \h </w:instrText>
      </w:r>
      <w:r w:rsidR="0079464F">
        <w:rPr>
          <w:rStyle w:val="ECCParagraph"/>
        </w:rPr>
      </w:r>
      <w:r w:rsidR="0079464F">
        <w:rPr>
          <w:rStyle w:val="ECCParagraph"/>
        </w:rPr>
        <w:fldChar w:fldCharType="separate"/>
      </w:r>
      <w:r w:rsidR="0079464F">
        <w:rPr>
          <w:rStyle w:val="ECCParagraph"/>
        </w:rPr>
        <w:t>ANNEX 2</w:t>
      </w:r>
      <w:proofErr w:type="gramStart"/>
      <w:r w:rsidR="0079464F">
        <w:rPr>
          <w:rStyle w:val="ECCParagraph"/>
        </w:rPr>
        <w:t>:</w:t>
      </w:r>
      <w:r w:rsidR="0079464F">
        <w:rPr>
          <w:rStyle w:val="ECCParagraph"/>
        </w:rPr>
        <w:fldChar w:fldCharType="end"/>
      </w:r>
      <w:r w:rsidRPr="00836221">
        <w:rPr>
          <w:rStyle w:val="ECCParagraph"/>
        </w:rPr>
        <w:t>.</w:t>
      </w:r>
      <w:proofErr w:type="gramEnd"/>
    </w:p>
    <w:p w:rsidR="003771D5" w:rsidRPr="00235592" w:rsidRDefault="003771D5" w:rsidP="00BD4E12">
      <w:pPr>
        <w:pStyle w:val="berschrift1"/>
        <w:rPr>
          <w:lang w:val="en-GB"/>
        </w:rPr>
      </w:pPr>
      <w:r w:rsidRPr="00235592">
        <w:rPr>
          <w:lang w:val="en-GB"/>
        </w:rPr>
        <w:t>Actions to be taken</w:t>
      </w:r>
    </w:p>
    <w:p w:rsidR="00C5692E" w:rsidRPr="00235592" w:rsidRDefault="00C5692E" w:rsidP="00C5692E">
      <w:pPr>
        <w:rPr>
          <w:rStyle w:val="ECCParagraph"/>
        </w:rPr>
      </w:pPr>
      <w:r w:rsidRPr="00C5692E">
        <w:rPr>
          <w:rStyle w:val="ECCParagraph"/>
        </w:rPr>
        <w:t>Issue A – Deletion of country footnotes or country names from footnotes:</w:t>
      </w:r>
    </w:p>
    <w:p w:rsidR="00F132D5" w:rsidRDefault="00F132D5" w:rsidP="00F1359B">
      <w:pPr>
        <w:pStyle w:val="ECCBulletsLv2"/>
      </w:pPr>
      <w:r>
        <w:t>Administrations are invited:</w:t>
      </w:r>
    </w:p>
    <w:p w:rsidR="00C5692E" w:rsidRDefault="00C5692E" w:rsidP="00F1359B">
      <w:pPr>
        <w:pStyle w:val="ECCBulletsLv3"/>
      </w:pPr>
      <w:r w:rsidRPr="009F662C">
        <w:t xml:space="preserve">to critically examine </w:t>
      </w:r>
      <w:r w:rsidR="00F0298D">
        <w:t>their</w:t>
      </w:r>
      <w:r w:rsidR="00F0298D" w:rsidRPr="009F662C">
        <w:t xml:space="preserve"> </w:t>
      </w:r>
      <w:r w:rsidRPr="009F662C">
        <w:t xml:space="preserve">country footnotes with a view as to whether they are still necessary in the existing form and, if possible, to propose the deletion of </w:t>
      </w:r>
      <w:r w:rsidR="00F0298D">
        <w:t>their</w:t>
      </w:r>
      <w:r w:rsidR="00F0298D" w:rsidRPr="009F662C">
        <w:t xml:space="preserve"> </w:t>
      </w:r>
      <w:r w:rsidRPr="009F662C">
        <w:t>country footnotes or country name</w:t>
      </w:r>
      <w:r w:rsidR="00F0298D">
        <w:t>s</w:t>
      </w:r>
      <w:r w:rsidR="00E646A6">
        <w:t xml:space="preserve"> from footnotes, as appropriate</w:t>
      </w:r>
      <w:r w:rsidR="00F132D5">
        <w:t>;</w:t>
      </w:r>
    </w:p>
    <w:p w:rsidR="00F132D5" w:rsidRDefault="00F132D5" w:rsidP="00F1359B">
      <w:pPr>
        <w:pStyle w:val="ECCBulletsLv3"/>
      </w:pPr>
      <w:r w:rsidRPr="009F662C">
        <w:t xml:space="preserve">to inform </w:t>
      </w:r>
      <w:r>
        <w:t xml:space="preserve">the </w:t>
      </w:r>
      <w:r w:rsidRPr="009F662C">
        <w:t xml:space="preserve">CEPT Coordinator for this agenda item (Mr </w:t>
      </w:r>
      <w:proofErr w:type="spellStart"/>
      <w:r w:rsidRPr="009F662C">
        <w:t>Dmytro</w:t>
      </w:r>
      <w:proofErr w:type="spellEnd"/>
      <w:r w:rsidRPr="009F662C">
        <w:t xml:space="preserve"> </w:t>
      </w:r>
      <w:proofErr w:type="spellStart"/>
      <w:r w:rsidRPr="009F662C">
        <w:t>Protsenko</w:t>
      </w:r>
      <w:proofErr w:type="spellEnd"/>
      <w:r w:rsidRPr="009F662C">
        <w:t xml:space="preserve">, </w:t>
      </w:r>
      <w:hyperlink r:id="rId10" w:history="1">
        <w:r w:rsidRPr="009F662C">
          <w:rPr>
            <w:rStyle w:val="Hyperlink"/>
          </w:rPr>
          <w:t>protsenko@ucrf.gov.ua</w:t>
        </w:r>
      </w:hyperlink>
      <w:r w:rsidRPr="009F662C">
        <w:t>) of their intentions, even if the decision is not to pursue any deletions.</w:t>
      </w:r>
    </w:p>
    <w:p w:rsidR="00F132D5" w:rsidRDefault="00F132D5" w:rsidP="00F1359B">
      <w:pPr>
        <w:pStyle w:val="ECCBulletsLv2"/>
      </w:pPr>
      <w:r w:rsidRPr="00F132D5">
        <w:t>Update this draft Brief by developing</w:t>
      </w:r>
      <w:r>
        <w:t>:</w:t>
      </w:r>
    </w:p>
    <w:p w:rsidR="00F132D5" w:rsidRDefault="0079464F" w:rsidP="00F1359B">
      <w:pPr>
        <w:pStyle w:val="ECCBulletsLv3"/>
      </w:pPr>
      <w:r>
        <w:fldChar w:fldCharType="begin"/>
      </w:r>
      <w:r>
        <w:instrText xml:space="preserve"> REF _Ref508706912 \r \h </w:instrText>
      </w:r>
      <w:r>
        <w:fldChar w:fldCharType="separate"/>
      </w:r>
      <w:r>
        <w:t>ANNEX 4:</w:t>
      </w:r>
      <w:r>
        <w:fldChar w:fldCharType="end"/>
      </w:r>
      <w:r>
        <w:t xml:space="preserve"> </w:t>
      </w:r>
      <w:r w:rsidR="00F132D5" w:rsidRPr="00F132D5">
        <w:t>for information</w:t>
      </w:r>
      <w:r w:rsidR="00F132D5">
        <w:t>, i</w:t>
      </w:r>
      <w:r w:rsidR="00F132D5" w:rsidRPr="009F662C">
        <w:t>ndicati</w:t>
      </w:r>
      <w:r w:rsidR="00F132D5">
        <w:t xml:space="preserve">ng which </w:t>
      </w:r>
      <w:r w:rsidR="00F132D5" w:rsidRPr="009F662C">
        <w:t xml:space="preserve">CEPT </w:t>
      </w:r>
      <w:r w:rsidR="00F132D5" w:rsidRPr="00F132D5">
        <w:t xml:space="preserve">Administrations </w:t>
      </w:r>
      <w:r w:rsidR="00F132D5">
        <w:t>have</w:t>
      </w:r>
      <w:r w:rsidR="00F132D5" w:rsidRPr="009F662C">
        <w:t xml:space="preserve"> presented their intentions regarding </w:t>
      </w:r>
      <w:r>
        <w:t xml:space="preserve">the deletion of footnotes. The </w:t>
      </w:r>
      <w:r>
        <w:fldChar w:fldCharType="begin"/>
      </w:r>
      <w:r>
        <w:instrText xml:space="preserve"> REF _Ref508706912 \r \h </w:instrText>
      </w:r>
      <w:r>
        <w:fldChar w:fldCharType="separate"/>
      </w:r>
      <w:r>
        <w:t>ANNEX 4:</w:t>
      </w:r>
      <w:r>
        <w:fldChar w:fldCharType="end"/>
      </w:r>
      <w:r w:rsidR="00F132D5" w:rsidRPr="009F662C">
        <w:t xml:space="preserve"> may also include the names of CEPT </w:t>
      </w:r>
      <w:r w:rsidR="004C59AE" w:rsidRPr="004C59AE">
        <w:t xml:space="preserve">Administrations </w:t>
      </w:r>
      <w:r w:rsidR="00F132D5" w:rsidRPr="009F662C">
        <w:t>that have indicated they will not be making any deletions.</w:t>
      </w:r>
    </w:p>
    <w:p w:rsidR="009F662C" w:rsidRPr="00235592" w:rsidRDefault="009F662C" w:rsidP="009F662C">
      <w:pPr>
        <w:rPr>
          <w:rStyle w:val="ECCParagraph"/>
        </w:rPr>
      </w:pPr>
      <w:r w:rsidRPr="009F662C">
        <w:t>Issue B – Addition of country names into footnotes or new country footnotes</w:t>
      </w:r>
      <w:r>
        <w:t>:</w:t>
      </w:r>
    </w:p>
    <w:p w:rsidR="00755424" w:rsidRPr="00755424" w:rsidRDefault="00755424" w:rsidP="00755424">
      <w:pPr>
        <w:pStyle w:val="ECCBulletsLv2"/>
      </w:pPr>
      <w:r w:rsidRPr="00755424">
        <w:t>Analyse the view of other regional groups and</w:t>
      </w:r>
      <w:r w:rsidR="00260513" w:rsidRPr="00755424">
        <w:t xml:space="preserve"> </w:t>
      </w:r>
      <w:r w:rsidR="004C59AE" w:rsidRPr="00755424">
        <w:t>to</w:t>
      </w:r>
      <w:r w:rsidR="00260513" w:rsidRPr="00755424">
        <w:t xml:space="preserve"> d</w:t>
      </w:r>
      <w:r w:rsidR="009F662C" w:rsidRPr="00755424">
        <w:t>e</w:t>
      </w:r>
      <w:r w:rsidR="00260513" w:rsidRPr="00755424">
        <w:t xml:space="preserve">velop </w:t>
      </w:r>
      <w:r w:rsidR="00EF34A2" w:rsidRPr="00755424">
        <w:t xml:space="preserve">an </w:t>
      </w:r>
      <w:r w:rsidR="009F662C" w:rsidRPr="00755424">
        <w:t>ECP</w:t>
      </w:r>
      <w:r w:rsidR="00260513" w:rsidRPr="00755424">
        <w:t xml:space="preserve"> </w:t>
      </w:r>
      <w:r w:rsidR="00EF34A2" w:rsidRPr="00755424">
        <w:t>on</w:t>
      </w:r>
      <w:r w:rsidR="009F662C" w:rsidRPr="00755424">
        <w:t xml:space="preserve"> this agenda item</w:t>
      </w:r>
      <w:r w:rsidR="00E26688">
        <w:t>.</w:t>
      </w:r>
      <w:r w:rsidR="0091109D" w:rsidRPr="00755424">
        <w:t xml:space="preserve"> </w:t>
      </w:r>
    </w:p>
    <w:p w:rsidR="006D5B1E" w:rsidRPr="006D5B1E" w:rsidRDefault="006D5B1E" w:rsidP="006D5B1E">
      <w:pPr>
        <w:pStyle w:val="berschrift1"/>
      </w:pPr>
      <w:bookmarkStart w:id="0" w:name="_Ref508706587"/>
      <w:r w:rsidRPr="006D5B1E">
        <w:t>Relevant information from outside CEPT (examples of these are below)</w:t>
      </w:r>
    </w:p>
    <w:p w:rsidR="006D5B1E" w:rsidRPr="006D5B1E" w:rsidRDefault="006D5B1E" w:rsidP="006D5B1E">
      <w:pPr>
        <w:pStyle w:val="berschrift2"/>
      </w:pPr>
      <w:r w:rsidRPr="006D5B1E">
        <w:t>European Union (date of proposal)</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berschrift2"/>
      </w:pPr>
      <w:r w:rsidRPr="00AB0CE4">
        <w:t xml:space="preserve">Regional </w:t>
      </w:r>
      <w:r w:rsidRPr="006D5B1E">
        <w:t>telecommunication organisations</w:t>
      </w:r>
    </w:p>
    <w:p w:rsidR="006D5B1E" w:rsidRPr="00AB0CE4" w:rsidRDefault="006D5B1E" w:rsidP="006D5B1E">
      <w:pPr>
        <w:pStyle w:val="ECCBreak"/>
      </w:pPr>
      <w:r w:rsidRPr="00AB0CE4">
        <w:t>APT (</w:t>
      </w:r>
      <w:r w:rsidRPr="00D16A07">
        <w:t>14 November 2018</w:t>
      </w:r>
      <w:r w:rsidRPr="00AB0CE4">
        <w:t>)</w:t>
      </w:r>
    </w:p>
    <w:p w:rsidR="006D5B1E" w:rsidRPr="004B6704" w:rsidRDefault="006D5B1E" w:rsidP="006D5B1E">
      <w:pPr>
        <w:rPr>
          <w:rStyle w:val="ECCParagraph"/>
        </w:rPr>
      </w:pPr>
      <w:r w:rsidRPr="004B6704">
        <w:rPr>
          <w:rStyle w:val="ECCParagraph"/>
        </w:rPr>
        <w:t>Preliminary Views</w:t>
      </w:r>
      <w:r>
        <w:rPr>
          <w:rStyle w:val="ECCParagraph"/>
        </w:rPr>
        <w:t>:</w:t>
      </w:r>
    </w:p>
    <w:p w:rsidR="006D5B1E" w:rsidRPr="006D5B1E" w:rsidRDefault="006D5B1E" w:rsidP="006D5B1E">
      <w:pPr>
        <w:rPr>
          <w:rStyle w:val="ECCParagraph"/>
        </w:rPr>
      </w:pPr>
      <w:r w:rsidRPr="004B6704">
        <w:rPr>
          <w:rStyle w:val="ECCParagraph"/>
        </w:rPr>
        <w:t xml:space="preserve">APT Members support </w:t>
      </w:r>
      <w:proofErr w:type="gramStart"/>
      <w:r w:rsidRPr="004B6704">
        <w:rPr>
          <w:rStyle w:val="ECCParagraph"/>
        </w:rPr>
        <w:t>that administrations</w:t>
      </w:r>
      <w:proofErr w:type="gramEnd"/>
      <w:r w:rsidRPr="004B6704">
        <w:rPr>
          <w:rStyle w:val="ECCParagraph"/>
        </w:rPr>
        <w:t xml:space="preserve"> taking the initiative to review their footnotes and to propose the</w:t>
      </w:r>
      <w:r w:rsidRPr="006D5B1E">
        <w:rPr>
          <w:rStyle w:val="ECCParagraph"/>
        </w:rPr>
        <w:t xml:space="preserve"> deletion of their country names or the deletion of country footnotes, if no longer required.</w:t>
      </w:r>
    </w:p>
    <w:p w:rsidR="006D5B1E" w:rsidRPr="006D5B1E" w:rsidRDefault="006D5B1E" w:rsidP="006D5B1E">
      <w:pPr>
        <w:rPr>
          <w:rStyle w:val="ECCParagraph"/>
        </w:rPr>
      </w:pPr>
      <w:r w:rsidRPr="004B6704">
        <w:rPr>
          <w:rStyle w:val="ECCParagraph"/>
        </w:rPr>
        <w:t>APT Members are of the view that this agenda item is not intended for adding country names into existing</w:t>
      </w:r>
      <w:r w:rsidRPr="006D5B1E">
        <w:rPr>
          <w:rStyle w:val="ECCParagraph"/>
        </w:rPr>
        <w:t xml:space="preserve"> footnotes and the addition of new country footnotes. Therefore, any proposal for the addition of a new country footnote should not be considered under this agenda item. However WRCs may continue to deal with requests to add country names to the existing footnotes on a case by case basis, subject to the principle that there are no objections from the affected countries.</w:t>
      </w:r>
    </w:p>
    <w:p w:rsidR="006D5B1E" w:rsidRPr="006D5B1E" w:rsidRDefault="006D5B1E" w:rsidP="006D5B1E">
      <w:r w:rsidRPr="004B6704">
        <w:rPr>
          <w:rStyle w:val="ECCParagraph"/>
        </w:rPr>
        <w:t>APT Members are of the view that the proposals under agenda item 8 need to be available at a sufficient</w:t>
      </w:r>
      <w:r w:rsidRPr="006D5B1E">
        <w:rPr>
          <w:rStyle w:val="ECCParagraph"/>
        </w:rPr>
        <w:t xml:space="preserve"> time before the Conference for consideration by concerned administrations. Therefore, it is proposed to modify Resolution 26 (Rev. WRC-07) and request administrations to submit their proposals under this agenda item to the second session of the Conference Preparatory Meeting and invite the CPM to include all of these proposals in CPM Report to the Conference. In this regard, an example for modification to </w:t>
      </w:r>
      <w:r w:rsidRPr="006D5B1E">
        <w:rPr>
          <w:rStyle w:val="ECCParagraph"/>
        </w:rPr>
        <w:lastRenderedPageBreak/>
        <w:t>Resolution 26 (Rev. WRC-07) is provided in Annex 1 to this Document</w:t>
      </w:r>
      <w:r w:rsidRPr="006D5B1E">
        <w:rPr>
          <w:rStyle w:val="Funotenzeichen"/>
        </w:rPr>
        <w:footnoteReference w:id="1"/>
      </w:r>
      <w:r w:rsidRPr="006D5B1E">
        <w:rPr>
          <w:rStyle w:val="ECCParagraph"/>
        </w:rPr>
        <w:t xml:space="preserve"> for further consideration by the next APG meeting.</w:t>
      </w:r>
      <w:r w:rsidRPr="006D5B1E">
        <w:t xml:space="preserve"> </w:t>
      </w:r>
    </w:p>
    <w:p w:rsidR="006D5B1E" w:rsidRPr="004B6704" w:rsidRDefault="006D5B1E" w:rsidP="006D5B1E">
      <w:pPr>
        <w:rPr>
          <w:rStyle w:val="ECCParagraph"/>
        </w:rPr>
      </w:pPr>
      <w:r w:rsidRPr="004B6704">
        <w:rPr>
          <w:rStyle w:val="ECCParagraph"/>
        </w:rPr>
        <w:t>Issues to be considered at next APG Meeting</w:t>
      </w:r>
      <w:r>
        <w:rPr>
          <w:rStyle w:val="ECCParagraph"/>
        </w:rPr>
        <w:t>:</w:t>
      </w:r>
    </w:p>
    <w:p w:rsidR="006D5B1E" w:rsidRPr="006D5B1E" w:rsidRDefault="006D5B1E" w:rsidP="006D5B1E">
      <w:pPr>
        <w:rPr>
          <w:rStyle w:val="ECCParagraph"/>
        </w:rPr>
      </w:pPr>
      <w:r w:rsidRPr="004B6704">
        <w:rPr>
          <w:rStyle w:val="ECCParagraph"/>
        </w:rPr>
        <w:t>APT Members are invited to examine their country footnotes with a view as to whether they are still necessary and</w:t>
      </w:r>
      <w:r w:rsidRPr="006D5B1E">
        <w:rPr>
          <w:rStyle w:val="ECCParagraph"/>
        </w:rPr>
        <w:t xml:space="preserve"> relevant and propose the deletion of their country footnotes or country names from footnotes, as appropriate. APT</w:t>
      </w:r>
    </w:p>
    <w:p w:rsidR="006D5B1E" w:rsidRPr="006D5B1E" w:rsidRDefault="006D5B1E" w:rsidP="006D5B1E">
      <w:pPr>
        <w:rPr>
          <w:rStyle w:val="ECCParagraph"/>
        </w:rPr>
      </w:pPr>
      <w:r w:rsidRPr="004B6704">
        <w:rPr>
          <w:rStyle w:val="ECCParagraph"/>
        </w:rPr>
        <w:t>Members may provide this information to APG with a view to preparing a consolidated APT Common Proposal to WRC-19 on Asia-Pacific Administrations proposing removal of their names from country footnotes from Article 5 of the RR.</w:t>
      </w:r>
    </w:p>
    <w:p w:rsidR="006D5B1E" w:rsidRPr="006D5B1E" w:rsidRDefault="006D5B1E" w:rsidP="006D5B1E">
      <w:pPr>
        <w:rPr>
          <w:rStyle w:val="ECCParagraph"/>
        </w:rPr>
      </w:pPr>
      <w:r w:rsidRPr="004B6704">
        <w:rPr>
          <w:rStyle w:val="ECCParagraph"/>
        </w:rPr>
        <w:t>APT Members are encouraged to consider development of principles to be used by future WRCs in the consideration of</w:t>
      </w:r>
      <w:r w:rsidRPr="006D5B1E">
        <w:rPr>
          <w:rStyle w:val="ECCParagraph"/>
        </w:rPr>
        <w:t xml:space="preserve"> proposals from administrations to add their country name to footnotes of the Table of Frequency Allocations separate to standing agenda item 8 similar to that contained in WRC-15 Document 142.</w:t>
      </w:r>
    </w:p>
    <w:p w:rsidR="006D5B1E" w:rsidRPr="006D5B1E" w:rsidRDefault="006D5B1E" w:rsidP="006D5B1E">
      <w:pPr>
        <w:rPr>
          <w:rStyle w:val="ECCParagraph"/>
        </w:rPr>
      </w:pPr>
      <w:r w:rsidRPr="004B6704">
        <w:rPr>
          <w:rStyle w:val="ECCParagraph"/>
        </w:rPr>
        <w:t>APT Members are encouraged to consider further improvement to the proposed modifications to Resolution 26 (Rev.</w:t>
      </w:r>
      <w:r w:rsidRPr="006D5B1E">
        <w:rPr>
          <w:rStyle w:val="ECCParagraph"/>
        </w:rPr>
        <w:t xml:space="preserve"> WRC-07) as provided in Annex 1 to document APG19-3/OUT-29.</w:t>
      </w:r>
      <w:r w:rsidRPr="006D5B1E" w:rsidDel="004B6704">
        <w:rPr>
          <w:rStyle w:val="ECCParagraph"/>
        </w:rPr>
        <w:t xml:space="preserve"> </w:t>
      </w:r>
    </w:p>
    <w:p w:rsidR="006D5B1E" w:rsidRPr="006D5B1E" w:rsidRDefault="006D5B1E" w:rsidP="006D5B1E">
      <w:pPr>
        <w:pStyle w:val="ECCBreak"/>
      </w:pPr>
      <w:r w:rsidRPr="006D5B1E">
        <w:t>ATU (</w:t>
      </w:r>
      <w:r>
        <w:t>15 October 2018</w:t>
      </w:r>
      <w:r w:rsidRPr="006D5B1E">
        <w:t>)</w:t>
      </w:r>
    </w:p>
    <w:p w:rsidR="006D5B1E" w:rsidRPr="00F00519" w:rsidRDefault="006D5B1E" w:rsidP="006D5B1E">
      <w:r w:rsidRPr="00F00519">
        <w:t>African preliminary position:</w:t>
      </w:r>
    </w:p>
    <w:p w:rsidR="006D5B1E" w:rsidRPr="00F00519" w:rsidRDefault="006D5B1E" w:rsidP="006D5B1E">
      <w:r w:rsidRPr="00F00519">
        <w:t>1. Acknowledge, as a matter of principle, that it is desirable that preparations for AI 8 (footnotes) commence early in order to resolve the potential impact or issues on other administrations; and therefore,</w:t>
      </w:r>
    </w:p>
    <w:p w:rsidR="006D5B1E" w:rsidRPr="00796F68" w:rsidDel="00F00519" w:rsidRDefault="006D5B1E" w:rsidP="006D5B1E">
      <w:r w:rsidRPr="00F00519">
        <w:t>2. Encourage administrations who wish to bring issues under AI 8 to use the ATU preparatory platforms (notably the WGs and APMs) to bring to the attention of other administrations of such issues with a view to identifying and resolving any potential issues that may arise, at an early stage.</w:t>
      </w:r>
    </w:p>
    <w:p w:rsidR="006D5B1E" w:rsidRPr="00235592" w:rsidRDefault="006D5B1E" w:rsidP="006D5B1E">
      <w:pPr>
        <w:rPr>
          <w:rStyle w:val="ECCParagraph"/>
        </w:rPr>
      </w:pPr>
    </w:p>
    <w:p w:rsidR="006D5B1E" w:rsidRPr="006D5B1E" w:rsidRDefault="006D5B1E" w:rsidP="006D5B1E">
      <w:pPr>
        <w:pStyle w:val="ECCBreak"/>
      </w:pPr>
      <w:r w:rsidRPr="006D5B1E">
        <w:t>Arab Group (20 November 2018)</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ECCBreak"/>
      </w:pPr>
      <w:r w:rsidRPr="006D5B1E">
        <w:t>CITEL (15 November 2018)</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ECCBreak"/>
      </w:pPr>
      <w:r w:rsidRPr="006D5B1E">
        <w:t>RCC (15 November 2018)</w:t>
      </w:r>
    </w:p>
    <w:p w:rsidR="006D5B1E" w:rsidRPr="000C0BFE" w:rsidRDefault="006D5B1E" w:rsidP="006D5B1E">
      <w:pPr>
        <w:rPr>
          <w:rStyle w:val="ECCParagraph"/>
        </w:rPr>
      </w:pPr>
      <w:r w:rsidRPr="000C0BFE">
        <w:rPr>
          <w:rStyle w:val="ECCParagraph"/>
        </w:rPr>
        <w:t xml:space="preserve">The RCC Administrations support the ITU-R activity towards global harmonization of radio spectrum use through </w:t>
      </w:r>
      <w:r w:rsidRPr="006923D3">
        <w:t xml:space="preserve">the deletion of country footnotes or country names from footnotes in the RR Article </w:t>
      </w:r>
      <w:r w:rsidRPr="0079464F">
        <w:rPr>
          <w:rStyle w:val="ECCHLbold"/>
        </w:rPr>
        <w:t>5</w:t>
      </w:r>
      <w:r w:rsidRPr="000C0BFE">
        <w:rPr>
          <w:rStyle w:val="ECCParagraph"/>
        </w:rPr>
        <w:t>.</w:t>
      </w:r>
    </w:p>
    <w:p w:rsidR="006D5B1E" w:rsidRPr="000C0BFE" w:rsidRDefault="006D5B1E" w:rsidP="006D5B1E">
      <w:pPr>
        <w:rPr>
          <w:rStyle w:val="ECCParagraph"/>
        </w:rPr>
      </w:pPr>
      <w:r w:rsidRPr="000C0BFE">
        <w:rPr>
          <w:rStyle w:val="ECCParagraph"/>
        </w:rPr>
        <w:t>The RCC Administrations consider that this agenda item is not intended for addition of country names into footnotes</w:t>
      </w:r>
      <w:r>
        <w:rPr>
          <w:rStyle w:val="ECCParagraph"/>
        </w:rPr>
        <w:t xml:space="preserve"> </w:t>
      </w:r>
      <w:r w:rsidRPr="006923D3">
        <w:t>as well as for creating new footnotes</w:t>
      </w:r>
      <w:r w:rsidRPr="000C0BFE">
        <w:rPr>
          <w:rStyle w:val="ECCParagraph"/>
        </w:rPr>
        <w:t>.</w:t>
      </w:r>
    </w:p>
    <w:p w:rsidR="006D5B1E" w:rsidRPr="006D5B1E" w:rsidRDefault="006D5B1E" w:rsidP="006D5B1E">
      <w:pPr>
        <w:pStyle w:val="berschrift2"/>
      </w:pPr>
      <w:bookmarkStart w:id="1" w:name="_Ref508706808"/>
      <w:r w:rsidRPr="00AB0CE4">
        <w:lastRenderedPageBreak/>
        <w:t>International organisations</w:t>
      </w:r>
      <w:bookmarkStart w:id="2" w:name="_GoBack"/>
      <w:bookmarkEnd w:id="1"/>
      <w:bookmarkEnd w:id="2"/>
    </w:p>
    <w:p w:rsidR="006D5B1E" w:rsidRPr="00C41CB9" w:rsidRDefault="006D5B1E" w:rsidP="006D5B1E">
      <w:pPr>
        <w:pStyle w:val="ECCBreak"/>
      </w:pPr>
      <w:r w:rsidRPr="00C41CB9">
        <w:t>IARU (</w:t>
      </w:r>
      <w:r w:rsidRPr="00EE4545">
        <w:t>April 2017</w:t>
      </w:r>
      <w:r w:rsidRPr="00C41CB9">
        <w:t>)</w:t>
      </w:r>
    </w:p>
    <w:p w:rsidR="006D5B1E" w:rsidRDefault="006D5B1E" w:rsidP="006D5B1E">
      <w:pPr>
        <w:rPr>
          <w:rStyle w:val="ECCParagraph"/>
        </w:rPr>
      </w:pPr>
      <w:r w:rsidRPr="00EE4545">
        <w:rPr>
          <w:rStyle w:val="ECCParagraph"/>
        </w:rPr>
        <w:t>IARU Comments on Agenda Item 8:</w:t>
      </w:r>
    </w:p>
    <w:p w:rsidR="006D5B1E" w:rsidRPr="00EE4545" w:rsidRDefault="006D5B1E" w:rsidP="006D5B1E">
      <w:pPr>
        <w:rPr>
          <w:rStyle w:val="ECCParagraph"/>
        </w:rPr>
      </w:pPr>
      <w:r w:rsidRPr="00EE4545">
        <w:rPr>
          <w:rStyle w:val="ECCParagraph"/>
        </w:rPr>
        <w:t xml:space="preserve">This is a standard agenda item that is intended to permit administrations to propose that a WRC delete their country names from a footnote or even to entirely delete a footnote in the table of allocations in Article </w:t>
      </w:r>
      <w:r w:rsidRPr="0079464F">
        <w:rPr>
          <w:rStyle w:val="ECCHLbold"/>
        </w:rPr>
        <w:t>5</w:t>
      </w:r>
      <w:r w:rsidRPr="00EE4545">
        <w:rPr>
          <w:rStyle w:val="ECCParagraph"/>
        </w:rPr>
        <w:t xml:space="preserve"> of the Radio Regulations. WRCs regularly arrange for country names also to be added or new footnotes created under this agenda item. Potential changes in footnotes that could benefit the Amateur Services should be identified by member societies and brought to the attention of their administrations. Similarly, proposals for footnotes </w:t>
      </w:r>
      <w:proofErr w:type="spellStart"/>
      <w:r w:rsidRPr="00EE4545">
        <w:rPr>
          <w:rStyle w:val="ECCParagraph"/>
        </w:rPr>
        <w:t>unfavorable</w:t>
      </w:r>
      <w:proofErr w:type="spellEnd"/>
      <w:r w:rsidRPr="00EE4545">
        <w:rPr>
          <w:rStyle w:val="ECCParagraph"/>
        </w:rPr>
        <w:t xml:space="preserve"> to the Amateur Services should be opposed.</w:t>
      </w:r>
    </w:p>
    <w:p w:rsidR="006D5B1E" w:rsidRPr="00235592" w:rsidRDefault="006D5B1E" w:rsidP="006D5B1E">
      <w:pPr>
        <w:rPr>
          <w:rStyle w:val="ECCParagraph"/>
        </w:rPr>
      </w:pPr>
      <w:r w:rsidRPr="00EE4545">
        <w:rPr>
          <w:rStyle w:val="ECCParagraph"/>
        </w:rPr>
        <w:t xml:space="preserve">There are a number of country footnotes that apply to amateur service allocations, some of which appear to be obsolete. In particular, the IARU invites the administrations listed in Nos. </w:t>
      </w:r>
      <w:r w:rsidRPr="0079464F">
        <w:rPr>
          <w:rStyle w:val="ECCHLbold"/>
        </w:rPr>
        <w:t>5.98</w:t>
      </w:r>
      <w:r w:rsidRPr="00EE4545">
        <w:rPr>
          <w:rStyle w:val="ECCParagraph"/>
        </w:rPr>
        <w:t xml:space="preserve">, </w:t>
      </w:r>
      <w:r w:rsidRPr="0079464F">
        <w:rPr>
          <w:rStyle w:val="ECCHLbold"/>
        </w:rPr>
        <w:t>5.99</w:t>
      </w:r>
      <w:r w:rsidRPr="00EE4545">
        <w:rPr>
          <w:rStyle w:val="ECCParagraph"/>
        </w:rPr>
        <w:t xml:space="preserve">, </w:t>
      </w:r>
      <w:r w:rsidRPr="0079464F">
        <w:rPr>
          <w:rStyle w:val="ECCHLbold"/>
        </w:rPr>
        <w:t>5.102</w:t>
      </w:r>
      <w:r w:rsidRPr="00EE4545">
        <w:rPr>
          <w:rStyle w:val="ECCParagraph"/>
        </w:rPr>
        <w:t xml:space="preserve">, </w:t>
      </w:r>
      <w:r w:rsidRPr="0079464F">
        <w:rPr>
          <w:rStyle w:val="ECCHLbold"/>
        </w:rPr>
        <w:t>5.119</w:t>
      </w:r>
      <w:r w:rsidRPr="00EE4545">
        <w:rPr>
          <w:rStyle w:val="ECCParagraph"/>
        </w:rPr>
        <w:t xml:space="preserve">, and </w:t>
      </w:r>
      <w:r w:rsidRPr="0079464F">
        <w:rPr>
          <w:rStyle w:val="ECCHLbold"/>
        </w:rPr>
        <w:t xml:space="preserve">5.122 </w:t>
      </w:r>
      <w:r w:rsidRPr="00EE4545">
        <w:rPr>
          <w:rStyle w:val="ECCParagraph"/>
        </w:rPr>
        <w:t>relating to the bands 1810-1830 kHz, 1850-2000 kHz, 3500-3750 kHz, and 3750-4000 kHz to consider proposing the deletion of their country names from these footnotes.</w:t>
      </w:r>
    </w:p>
    <w:p w:rsidR="006D5B1E" w:rsidRPr="006D5B1E" w:rsidRDefault="006D5B1E" w:rsidP="006D5B1E">
      <w:pPr>
        <w:pStyle w:val="ECCBreak"/>
      </w:pPr>
      <w:r w:rsidRPr="006D5B1E">
        <w:t>IATA (date of proposal)</w:t>
      </w:r>
    </w:p>
    <w:p w:rsidR="006D5B1E" w:rsidRPr="00235592" w:rsidRDefault="006D5B1E" w:rsidP="006D5B1E">
      <w:pPr>
        <w:rPr>
          <w:rStyle w:val="ECCParagraph"/>
        </w:rPr>
      </w:pPr>
      <w:r>
        <w:rPr>
          <w:rStyle w:val="ECCParagraph"/>
        </w:rPr>
        <w:t>[To be determined]</w:t>
      </w:r>
    </w:p>
    <w:p w:rsidR="006D5B1E" w:rsidRPr="00AB0CE4" w:rsidRDefault="006D5B1E" w:rsidP="006D5B1E">
      <w:pPr>
        <w:pStyle w:val="ECCBreak"/>
      </w:pPr>
      <w:r w:rsidRPr="00AB0CE4">
        <w:t>ICAO (</w:t>
      </w:r>
      <w:r w:rsidRPr="00F00519">
        <w:t>9 November 2018</w:t>
      </w:r>
      <w:r w:rsidRPr="00AB0CE4">
        <w:t>)</w:t>
      </w:r>
    </w:p>
    <w:p w:rsidR="006D5B1E" w:rsidRDefault="006D5B1E" w:rsidP="006D5B1E">
      <w:pPr>
        <w:rPr>
          <w:rStyle w:val="ECCParagraph"/>
        </w:rPr>
      </w:pPr>
      <w:r w:rsidRPr="00A26B88">
        <w:t>ICAO P</w:t>
      </w:r>
      <w:r>
        <w:t>osition for the ITU WRC</w:t>
      </w:r>
      <w:r w:rsidRPr="00A26B88">
        <w:t>-19</w:t>
      </w:r>
      <w:r>
        <w:t>:</w:t>
      </w:r>
    </w:p>
    <w:p w:rsidR="006D5B1E" w:rsidRPr="006D5B1E" w:rsidRDefault="006D5B1E" w:rsidP="006D5B1E">
      <w:pPr>
        <w:pStyle w:val="ECCBulletsLv1"/>
        <w:rPr>
          <w:rStyle w:val="ECCParagraph"/>
        </w:rPr>
      </w:pPr>
      <w:r w:rsidRPr="00A26B88">
        <w:rPr>
          <w:rStyle w:val="ECCParagraph"/>
        </w:rPr>
        <w:t xml:space="preserve">To support deletion of Nos. </w:t>
      </w:r>
      <w:r w:rsidRPr="006D5B1E">
        <w:rPr>
          <w:rStyle w:val="ECCHLbold"/>
        </w:rPr>
        <w:t>5.181</w:t>
      </w:r>
      <w:r w:rsidRPr="006D5B1E">
        <w:rPr>
          <w:rStyle w:val="ECCParagraph"/>
        </w:rPr>
        <w:t xml:space="preserve">, </w:t>
      </w:r>
      <w:r w:rsidRPr="006D5B1E">
        <w:rPr>
          <w:rStyle w:val="ECCHLbold"/>
        </w:rPr>
        <w:t>5.197</w:t>
      </w:r>
      <w:r w:rsidRPr="006D5B1E">
        <w:rPr>
          <w:rStyle w:val="ECCParagraph"/>
        </w:rPr>
        <w:t xml:space="preserve"> and </w:t>
      </w:r>
      <w:r w:rsidRPr="006D5B1E">
        <w:rPr>
          <w:rStyle w:val="ECCHLbold"/>
        </w:rPr>
        <w:t>5.259</w:t>
      </w:r>
      <w:r w:rsidRPr="006D5B1E">
        <w:rPr>
          <w:rStyle w:val="ECCParagraph"/>
        </w:rPr>
        <w:t xml:space="preserve">, as access to the frequency bands 74.8 – 75.2, 108 – 112 and 328.6 –335.4 MHz by the mobile service is not feasible and could create the potential for harmful interference to important </w:t>
      </w:r>
      <w:proofErr w:type="spellStart"/>
      <w:r w:rsidRPr="006D5B1E">
        <w:rPr>
          <w:rStyle w:val="ECCParagraph"/>
        </w:rPr>
        <w:t>radionavigation</w:t>
      </w:r>
      <w:proofErr w:type="spellEnd"/>
      <w:r w:rsidRPr="006D5B1E">
        <w:rPr>
          <w:rStyle w:val="ECCParagraph"/>
        </w:rPr>
        <w:t xml:space="preserve"> systems used by aircraft at final approach and landing as well as systems operating in the aeronautical mobile service operating in the frequency band 108 – 112 </w:t>
      </w:r>
      <w:proofErr w:type="spellStart"/>
      <w:r w:rsidRPr="006D5B1E">
        <w:rPr>
          <w:rStyle w:val="ECCParagraph"/>
        </w:rPr>
        <w:t>MHz.</w:t>
      </w:r>
      <w:proofErr w:type="spellEnd"/>
    </w:p>
    <w:p w:rsidR="006D5B1E" w:rsidRPr="006D5B1E" w:rsidRDefault="006D5B1E" w:rsidP="006D5B1E">
      <w:pPr>
        <w:pStyle w:val="ECCBulletsLv1"/>
        <w:rPr>
          <w:rStyle w:val="ECCParagraph"/>
        </w:rPr>
      </w:pPr>
      <w:r w:rsidRPr="00A26B88">
        <w:rPr>
          <w:rStyle w:val="ECCParagraph"/>
        </w:rPr>
        <w:t xml:space="preserve">To support deletion of Nos. </w:t>
      </w:r>
      <w:r w:rsidRPr="006D5B1E">
        <w:rPr>
          <w:rStyle w:val="ECCHLbold"/>
        </w:rPr>
        <w:t>5.201</w:t>
      </w:r>
      <w:r w:rsidRPr="006D5B1E">
        <w:rPr>
          <w:rStyle w:val="ECCParagraph"/>
        </w:rPr>
        <w:t xml:space="preserve"> and </w:t>
      </w:r>
      <w:r w:rsidRPr="006D5B1E">
        <w:rPr>
          <w:rStyle w:val="ECCHLbold"/>
        </w:rPr>
        <w:t>5.202</w:t>
      </w:r>
      <w:r w:rsidRPr="006D5B1E">
        <w:rPr>
          <w:rStyle w:val="ECCParagraph"/>
        </w:rPr>
        <w:t xml:space="preserve">, as use by the </w:t>
      </w:r>
      <w:proofErr w:type="gramStart"/>
      <w:r w:rsidRPr="006D5B1E">
        <w:rPr>
          <w:rStyle w:val="ECCParagraph"/>
        </w:rPr>
        <w:t>AM(</w:t>
      </w:r>
      <w:proofErr w:type="gramEnd"/>
      <w:r w:rsidRPr="006D5B1E">
        <w:rPr>
          <w:rStyle w:val="ECCParagraph"/>
        </w:rPr>
        <w:t>OR)S of the frequency bands 132 – 136 MHz and 136 – 137 MHz in some States may cause harmful interference to aeronautical safety communications.</w:t>
      </w:r>
    </w:p>
    <w:p w:rsidR="006D5B1E" w:rsidRPr="006D5B1E" w:rsidRDefault="006D5B1E" w:rsidP="006D5B1E">
      <w:pPr>
        <w:pStyle w:val="ECCBulletsLv1"/>
        <w:rPr>
          <w:rStyle w:val="ECCParagraph"/>
        </w:rPr>
      </w:pPr>
      <w:r w:rsidRPr="00A26B88">
        <w:rPr>
          <w:rStyle w:val="ECCParagraph"/>
        </w:rPr>
        <w:t xml:space="preserve">To support deletion of No. </w:t>
      </w:r>
      <w:r w:rsidRPr="006D5B1E">
        <w:rPr>
          <w:rStyle w:val="ECCHLbold"/>
        </w:rPr>
        <w:t>5.330</w:t>
      </w:r>
      <w:r w:rsidRPr="006D5B1E">
        <w:rPr>
          <w:rStyle w:val="ECCParagraph"/>
        </w:rPr>
        <w:t xml:space="preserve"> as access to the frequency band 1 215 – 1 300 MHz by the fixed and mobile services could potentially cause harmful interference to services used to support aircraft operations.</w:t>
      </w:r>
    </w:p>
    <w:p w:rsidR="006D5B1E" w:rsidRPr="006D5B1E" w:rsidRDefault="006D5B1E" w:rsidP="006D5B1E">
      <w:pPr>
        <w:pStyle w:val="ECCBulletsLv1"/>
        <w:rPr>
          <w:rStyle w:val="ECCParagraph"/>
        </w:rPr>
      </w:pPr>
      <w:r w:rsidRPr="00A26B88">
        <w:rPr>
          <w:rStyle w:val="ECCParagraph"/>
        </w:rPr>
        <w:t xml:space="preserve">To support deletion of No. </w:t>
      </w:r>
      <w:r w:rsidRPr="006D5B1E">
        <w:rPr>
          <w:rStyle w:val="ECCHLbold"/>
        </w:rPr>
        <w:t>5.355</w:t>
      </w:r>
      <w:r w:rsidRPr="006D5B1E">
        <w:rPr>
          <w:rStyle w:val="ECCParagraph"/>
        </w:rPr>
        <w:t xml:space="preserve"> as access to the frequency bands 1 610.6 – 1 613.8 and 1 613.8 – 1 626.5 MHz by the fixed services could potentially jeopardize aeronautical use of these frequency bands.</w:t>
      </w:r>
    </w:p>
    <w:p w:rsidR="006D5B1E" w:rsidRPr="006D5B1E" w:rsidRDefault="006D5B1E" w:rsidP="006D5B1E">
      <w:pPr>
        <w:pStyle w:val="ECCBulletsLv1"/>
        <w:rPr>
          <w:rStyle w:val="ECCParagraph"/>
        </w:rPr>
      </w:pPr>
      <w:r w:rsidRPr="00A26B88">
        <w:rPr>
          <w:rStyle w:val="ECCParagraph"/>
        </w:rPr>
        <w:t xml:space="preserve">To support deletion of No. </w:t>
      </w:r>
      <w:r w:rsidRPr="006D5B1E">
        <w:rPr>
          <w:rStyle w:val="ECCHLbold"/>
        </w:rPr>
        <w:t>5.359</w:t>
      </w:r>
      <w:r w:rsidRPr="006D5B1E">
        <w:rPr>
          <w:rStyle w:val="ECCParagraph"/>
        </w:rPr>
        <w:t xml:space="preserve"> as access to the frequency bands 1 550-1 559 MHz, 1 610-1 645.5 MHz and 1 646.5-1 660 MHz by the fixed services could potentially jeopardize aeronautical use of those frequency bands.</w:t>
      </w:r>
    </w:p>
    <w:p w:rsidR="006D5B1E" w:rsidRPr="006D5B1E" w:rsidRDefault="006D5B1E" w:rsidP="006D5B1E">
      <w:pPr>
        <w:pStyle w:val="ECCBulletsLv1"/>
        <w:rPr>
          <w:rStyle w:val="ECCParagraph"/>
        </w:rPr>
      </w:pPr>
      <w:r w:rsidRPr="00A26B88">
        <w:rPr>
          <w:rStyle w:val="ECCParagraph"/>
        </w:rPr>
        <w:t xml:space="preserve">To support the deletion of No. </w:t>
      </w:r>
      <w:r w:rsidRPr="006D5B1E">
        <w:rPr>
          <w:rStyle w:val="ECCHLbold"/>
        </w:rPr>
        <w:t>5.439</w:t>
      </w:r>
      <w:r w:rsidRPr="006D5B1E">
        <w:rPr>
          <w:rStyle w:val="ECCParagraph"/>
        </w:rPr>
        <w:t xml:space="preserve"> to ensure the protection of the safety critical operation of radio altimeters and WAIC systems in the frequency band 4 200-4 400 </w:t>
      </w:r>
      <w:proofErr w:type="spellStart"/>
      <w:r w:rsidRPr="006D5B1E">
        <w:rPr>
          <w:rStyle w:val="ECCParagraph"/>
        </w:rPr>
        <w:t>MHz.</w:t>
      </w:r>
      <w:proofErr w:type="spellEnd"/>
    </w:p>
    <w:p w:rsidR="006D5B1E" w:rsidRPr="006D5B1E" w:rsidRDefault="006D5B1E" w:rsidP="006D5B1E">
      <w:pPr>
        <w:pStyle w:val="ECCBreak"/>
      </w:pPr>
      <w:r w:rsidRPr="006D5B1E">
        <w:t>IMO (12 November 2018)</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ECCBreak"/>
      </w:pPr>
      <w:r w:rsidRPr="006D5B1E">
        <w:t>SFCG (date of proposal)</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ECCBreak"/>
      </w:pPr>
      <w:r w:rsidRPr="006D5B1E">
        <w:t xml:space="preserve">WMO </w:t>
      </w:r>
      <w:r>
        <w:t>(</w:t>
      </w:r>
      <w:r w:rsidRPr="00F00519">
        <w:t>13 November 2018</w:t>
      </w:r>
      <w:r>
        <w:t xml:space="preserve">) </w:t>
      </w:r>
      <w:r w:rsidRPr="006D5B1E">
        <w:t>and EUMETNET (date of proposal)</w:t>
      </w:r>
    </w:p>
    <w:p w:rsidR="006D5B1E" w:rsidRPr="00235592" w:rsidRDefault="006D5B1E" w:rsidP="006D5B1E">
      <w:pPr>
        <w:rPr>
          <w:rStyle w:val="ECCParagraph"/>
        </w:rPr>
      </w:pPr>
      <w:r>
        <w:rPr>
          <w:rStyle w:val="ECCParagraph"/>
        </w:rPr>
        <w:t>[To be determined]</w:t>
      </w:r>
    </w:p>
    <w:p w:rsidR="006D5B1E" w:rsidRPr="006D5B1E" w:rsidRDefault="006D5B1E" w:rsidP="006D5B1E">
      <w:pPr>
        <w:pStyle w:val="berschrift2"/>
      </w:pPr>
      <w:r w:rsidRPr="00AB0CE4">
        <w:lastRenderedPageBreak/>
        <w:t>Regional organisations</w:t>
      </w:r>
    </w:p>
    <w:p w:rsidR="006D5B1E" w:rsidRPr="00AB0CE4" w:rsidRDefault="006D5B1E" w:rsidP="006D5B1E">
      <w:pPr>
        <w:pStyle w:val="ECCBreak"/>
      </w:pPr>
      <w:r w:rsidRPr="00AB0CE4">
        <w:t>ESA (date of proposal)</w:t>
      </w:r>
    </w:p>
    <w:p w:rsidR="006D5B1E" w:rsidRPr="00235592" w:rsidRDefault="006D5B1E" w:rsidP="006D5B1E">
      <w:pPr>
        <w:rPr>
          <w:rStyle w:val="ECCParagraph"/>
        </w:rPr>
      </w:pPr>
      <w:r>
        <w:rPr>
          <w:rStyle w:val="ECCParagraph"/>
        </w:rPr>
        <w:t>[To be determined]</w:t>
      </w:r>
    </w:p>
    <w:p w:rsidR="006D5B1E" w:rsidRPr="00AB0CE4" w:rsidRDefault="006D5B1E" w:rsidP="006D5B1E">
      <w:pPr>
        <w:pStyle w:val="ECCBreak"/>
      </w:pPr>
      <w:r w:rsidRPr="00AB0CE4">
        <w:t>Eurocontrol (</w:t>
      </w:r>
      <w:r w:rsidRPr="00F00519">
        <w:t>22 November 2018</w:t>
      </w:r>
      <w:r w:rsidRPr="00AB0CE4">
        <w:t>)</w:t>
      </w:r>
    </w:p>
    <w:p w:rsidR="006D5B1E" w:rsidRPr="00F00519" w:rsidRDefault="006D5B1E" w:rsidP="006D5B1E">
      <w:pPr>
        <w:rPr>
          <w:rStyle w:val="ECCParagraph"/>
        </w:rPr>
      </w:pPr>
      <w:r w:rsidRPr="00F00519">
        <w:rPr>
          <w:rStyle w:val="ECCParagraph"/>
        </w:rPr>
        <w:t>EACP Position:</w:t>
      </w:r>
    </w:p>
    <w:p w:rsidR="006D5B1E" w:rsidRPr="00F00519" w:rsidRDefault="006D5B1E" w:rsidP="006D5B1E">
      <w:pPr>
        <w:rPr>
          <w:rStyle w:val="ECCParagraph"/>
        </w:rPr>
      </w:pPr>
      <w:r w:rsidRPr="00F00519">
        <w:rPr>
          <w:rStyle w:val="ECCParagraph"/>
        </w:rPr>
        <w:t xml:space="preserve">To support deletion of Nos. 5.181, 5.197 and 5.259, as access to the frequency bands 74.8 ‒ 75.2, 108 ‒ 112 and 328.6 ‒335.4 MHz by the mobile service is not feasible and could create the potential for harmful interference to important </w:t>
      </w:r>
      <w:proofErr w:type="spellStart"/>
      <w:r w:rsidRPr="00F00519">
        <w:rPr>
          <w:rStyle w:val="ECCParagraph"/>
        </w:rPr>
        <w:t>radionavigation</w:t>
      </w:r>
      <w:proofErr w:type="spellEnd"/>
      <w:r w:rsidRPr="00F00519">
        <w:rPr>
          <w:rStyle w:val="ECCParagraph"/>
        </w:rPr>
        <w:t xml:space="preserve"> systems used by aircraft at final approach and landing as well as systems operating in the aeronautical mobile service operating in the frequency band 108 ‒ 112 </w:t>
      </w:r>
      <w:proofErr w:type="spellStart"/>
      <w:r w:rsidRPr="00F00519">
        <w:rPr>
          <w:rStyle w:val="ECCParagraph"/>
        </w:rPr>
        <w:t>MHz.</w:t>
      </w:r>
      <w:proofErr w:type="spellEnd"/>
    </w:p>
    <w:p w:rsidR="006D5B1E" w:rsidRPr="00F00519" w:rsidRDefault="006D5B1E" w:rsidP="006D5B1E">
      <w:pPr>
        <w:rPr>
          <w:rStyle w:val="ECCParagraph"/>
        </w:rPr>
      </w:pPr>
      <w:r w:rsidRPr="00F00519">
        <w:rPr>
          <w:rStyle w:val="ECCParagraph"/>
        </w:rPr>
        <w:t>To support deletion of Nos. 5.201 and 5.202, as use by the AM(OR)S of the frequency bands 132 ‒ 136 MHz and 136 ‒ 137 MHz in some States may cause harmful interference to aeronautical safety communications.</w:t>
      </w:r>
    </w:p>
    <w:p w:rsidR="006D5B1E" w:rsidRPr="00F00519" w:rsidRDefault="006D5B1E" w:rsidP="006D5B1E">
      <w:pPr>
        <w:rPr>
          <w:rStyle w:val="ECCParagraph"/>
        </w:rPr>
      </w:pPr>
      <w:r w:rsidRPr="00F00519">
        <w:rPr>
          <w:rStyle w:val="ECCParagraph"/>
        </w:rPr>
        <w:t>To support deletion of No. 5.330 as access to the frequency band 1 215 ‒ 1 300 MHz by the fixed and mobile services could potentially cause harmful interference to services used to support aircraft operations.</w:t>
      </w:r>
    </w:p>
    <w:p w:rsidR="006D5B1E" w:rsidRPr="00F00519" w:rsidRDefault="006D5B1E" w:rsidP="006D5B1E">
      <w:pPr>
        <w:rPr>
          <w:rStyle w:val="ECCParagraph"/>
        </w:rPr>
      </w:pPr>
      <w:r w:rsidRPr="00F00519">
        <w:rPr>
          <w:rStyle w:val="ECCParagraph"/>
        </w:rPr>
        <w:t>To support deletion of No. 5.355 as access to the frequency bands 1 610.6 ‒ 1 613.8 and 1 613.8 ‒ 1 626.5 MHz by the fixed services could potentially jeopardize aeronautical use of these frequency bands.</w:t>
      </w:r>
    </w:p>
    <w:p w:rsidR="006D5B1E" w:rsidRPr="00F00519" w:rsidRDefault="006D5B1E" w:rsidP="006D5B1E">
      <w:pPr>
        <w:rPr>
          <w:rStyle w:val="ECCParagraph"/>
        </w:rPr>
      </w:pPr>
      <w:r w:rsidRPr="00F00519">
        <w:rPr>
          <w:rStyle w:val="ECCParagraph"/>
        </w:rPr>
        <w:t>To support deletion of No. 5.359 as access to the frequency bands 1 550 ‒ 1 559 MHz, 1 610 ‒ 1 645.5 MHz and 1 646.5 ‒ 1 660 MHz by the fixed services could potentially jeopardize aeronautical use of those frequency bands.</w:t>
      </w:r>
    </w:p>
    <w:p w:rsidR="006D5B1E" w:rsidRPr="00235592" w:rsidRDefault="006D5B1E" w:rsidP="006D5B1E">
      <w:pPr>
        <w:rPr>
          <w:rStyle w:val="ECCParagraph"/>
        </w:rPr>
      </w:pPr>
      <w:proofErr w:type="gramStart"/>
      <w:r w:rsidRPr="00F00519">
        <w:rPr>
          <w:rStyle w:val="ECCParagraph"/>
        </w:rPr>
        <w:t xml:space="preserve">To support the deletion of No. 5.439 to ensure the protection of the safety critical operation of radio altimeters and WAIC systems in the frequency band 4 200 ‒ 4 400 </w:t>
      </w:r>
      <w:proofErr w:type="spellStart"/>
      <w:r w:rsidRPr="00F00519">
        <w:rPr>
          <w:rStyle w:val="ECCParagraph"/>
        </w:rPr>
        <w:t>MHz.</w:t>
      </w:r>
      <w:proofErr w:type="spellEnd"/>
      <w:proofErr w:type="gramEnd"/>
    </w:p>
    <w:p w:rsidR="006D5B1E" w:rsidRPr="006D5B1E" w:rsidRDefault="006D5B1E" w:rsidP="006D5B1E">
      <w:pPr>
        <w:pStyle w:val="berschrift2"/>
      </w:pPr>
      <w:r w:rsidRPr="00AB0CE4">
        <w:t>OTHER INTERNATIONAL AND REGIONAL ORGANISATIONS</w:t>
      </w:r>
    </w:p>
    <w:p w:rsidR="006D5B1E" w:rsidRPr="00AB0CE4" w:rsidRDefault="006D5B1E" w:rsidP="006D5B1E">
      <w:pPr>
        <w:pStyle w:val="ECCBreak"/>
      </w:pPr>
      <w:r w:rsidRPr="00AB0CE4">
        <w:t>EBU (</w:t>
      </w:r>
      <w:r w:rsidRPr="00F00519">
        <w:t>21 November 2018</w:t>
      </w:r>
      <w:r w:rsidRPr="00AB0CE4">
        <w:t>)</w:t>
      </w:r>
    </w:p>
    <w:p w:rsidR="006D5B1E" w:rsidRPr="00F00519" w:rsidRDefault="006D5B1E" w:rsidP="006D5B1E">
      <w:pPr>
        <w:rPr>
          <w:rStyle w:val="ECCParagraph"/>
        </w:rPr>
      </w:pPr>
      <w:r w:rsidRPr="00F00519">
        <w:rPr>
          <w:rStyle w:val="ECCParagraph"/>
        </w:rPr>
        <w:t>EBU position:</w:t>
      </w:r>
    </w:p>
    <w:p w:rsidR="006D5B1E" w:rsidRPr="00F00519" w:rsidRDefault="006D5B1E" w:rsidP="006D5B1E">
      <w:pPr>
        <w:rPr>
          <w:rStyle w:val="ECCParagraph"/>
        </w:rPr>
      </w:pPr>
      <w:r w:rsidRPr="00F00519">
        <w:rPr>
          <w:rStyle w:val="ECCParagraph"/>
        </w:rPr>
        <w:t>EBU is of the view that this agenda item is intended for deletion of country footnotes or country names from footnotes and that it is not intended for adding country names into footnotes and the addition of new country footnotes. EBU is also of the opinion the addition of new country footnotes which are not related to agenda items of WRC-19 should not be considered. EBU is of the view that there is no need to change ITU-R Resolution 26 (Rev. WRC-07).</w:t>
      </w:r>
    </w:p>
    <w:p w:rsidR="006D5B1E" w:rsidRPr="00F00519" w:rsidRDefault="006D5B1E" w:rsidP="006D5B1E">
      <w:pPr>
        <w:rPr>
          <w:rStyle w:val="ECCParagraph"/>
        </w:rPr>
      </w:pPr>
      <w:r w:rsidRPr="00F00519">
        <w:rPr>
          <w:rStyle w:val="ECCParagraph"/>
        </w:rPr>
        <w:t>EBU believes that it is desirable that preparations for AI 8 (footnotes) commence as early as possible in order to resolve the potential impact or issues on other administrations. EBU also proposes that CEPT should encourage administrations who wish to bring forward matters under AI 8 to use the CEPT preparatory platforms (e.g. PTA or CPG) to bring these to the attention of other administrations with a view to identifying and resolving any potential issues that may arise, at an early stage.</w:t>
      </w:r>
    </w:p>
    <w:p w:rsidR="006D5B1E" w:rsidRPr="00F00519" w:rsidRDefault="006D5B1E" w:rsidP="006D5B1E">
      <w:pPr>
        <w:rPr>
          <w:rStyle w:val="ECCParagraph"/>
        </w:rPr>
      </w:pPr>
      <w:r w:rsidRPr="00F00519">
        <w:rPr>
          <w:rStyle w:val="ECCParagraph"/>
        </w:rPr>
        <w:t>Background to the EBU position:</w:t>
      </w:r>
    </w:p>
    <w:p w:rsidR="006D5B1E" w:rsidRPr="00235592" w:rsidRDefault="006D5B1E" w:rsidP="006D5B1E">
      <w:pPr>
        <w:rPr>
          <w:rStyle w:val="ECCParagraph"/>
        </w:rPr>
      </w:pPr>
      <w:r w:rsidRPr="00F00519">
        <w:rPr>
          <w:rStyle w:val="ECCParagraph"/>
        </w:rPr>
        <w:t>In Region 1, there is no allocation to the mobile service in the band 470-694 MHz, except an important secondary mobile allocation intended and used for applications ancillary to broadcasting and programme-making (footnote 5.296). To be noted also that in Region 1, there is no existing primary allocation to mobile in the band 470-694 MHz to which a new footnote can refer.</w:t>
      </w:r>
    </w:p>
    <w:p w:rsidR="006D5B1E" w:rsidRPr="00AB0CE4" w:rsidRDefault="006D5B1E" w:rsidP="006D5B1E">
      <w:pPr>
        <w:pStyle w:val="ECCBreak"/>
      </w:pPr>
      <w:r w:rsidRPr="00AB0CE4">
        <w:lastRenderedPageBreak/>
        <w:t>GSMA (date of proposal)</w:t>
      </w:r>
    </w:p>
    <w:p w:rsidR="006D5B1E" w:rsidRPr="00235592" w:rsidRDefault="006D5B1E" w:rsidP="006D5B1E">
      <w:pPr>
        <w:rPr>
          <w:rStyle w:val="ECCParagraph"/>
        </w:rPr>
      </w:pPr>
      <w:r>
        <w:rPr>
          <w:rStyle w:val="ECCParagraph"/>
        </w:rPr>
        <w:t>[To be determined]</w:t>
      </w:r>
    </w:p>
    <w:p w:rsidR="006D5B1E" w:rsidRPr="00AB0CE4" w:rsidRDefault="006D5B1E" w:rsidP="006D5B1E">
      <w:pPr>
        <w:pStyle w:val="ECCBreak"/>
      </w:pPr>
      <w:r w:rsidRPr="00AB0CE4">
        <w:t>CRAF (date of proposal)</w:t>
      </w:r>
    </w:p>
    <w:p w:rsidR="006D5B1E" w:rsidRDefault="006D5B1E" w:rsidP="006D5B1E">
      <w:pPr>
        <w:rPr>
          <w:rStyle w:val="ECCParagraph"/>
        </w:rPr>
      </w:pPr>
      <w:r>
        <w:rPr>
          <w:rStyle w:val="ECCParagraph"/>
        </w:rPr>
        <w:t>[To be determined]</w:t>
      </w:r>
      <w:r>
        <w:rPr>
          <w:rStyle w:val="ECCParagraph"/>
        </w:rPr>
        <w:br w:type="page"/>
      </w:r>
    </w:p>
    <w:p w:rsidR="003D7A54" w:rsidRPr="003D7A54" w:rsidRDefault="003D7A54" w:rsidP="003D7A54">
      <w:pPr>
        <w:pStyle w:val="ECCAnnexheading1"/>
      </w:pPr>
      <w:r w:rsidRPr="003D7A54">
        <w:rPr>
          <w:noProof/>
          <w:lang w:val="de-DE" w:eastAsia="de-DE"/>
        </w:rPr>
        <w:lastRenderedPageBreak/>
        <mc:AlternateContent>
          <mc:Choice Requires="wps">
            <w:drawing>
              <wp:anchor distT="0" distB="0" distL="114300" distR="114300" simplePos="0" relativeHeight="251659264" behindDoc="0" locked="0" layoutInCell="1" allowOverlap="1" wp14:anchorId="043749BE" wp14:editId="5814A9C8">
                <wp:simplePos x="0" y="0"/>
                <wp:positionH relativeFrom="column">
                  <wp:posOffset>8204835</wp:posOffset>
                </wp:positionH>
                <wp:positionV relativeFrom="paragraph">
                  <wp:posOffset>67945</wp:posOffset>
                </wp:positionV>
                <wp:extent cx="228600" cy="381000"/>
                <wp:effectExtent l="0" t="0" r="0" b="0"/>
                <wp:wrapNone/>
                <wp:docPr id="4" name="Text Box 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00" o:spid="_x0000_s1026" type="#_x0000_t202" style="position:absolute;left:0;text-align:left;margin-left:646.05pt;margin-top:5.35pt;width: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ouAIAALs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r w:rsidRPr="003D7A54">
        <w:rPr>
          <w:noProof/>
          <w:lang w:val="de-DE" w:eastAsia="de-DE"/>
        </w:rPr>
        <mc:AlternateContent>
          <mc:Choice Requires="wps">
            <w:drawing>
              <wp:anchor distT="0" distB="0" distL="114300" distR="114300" simplePos="0" relativeHeight="251660288" behindDoc="0" locked="0" layoutInCell="1" allowOverlap="1" wp14:anchorId="2BC23A7E" wp14:editId="554ACFA2">
                <wp:simplePos x="0" y="0"/>
                <wp:positionH relativeFrom="column">
                  <wp:posOffset>8357235</wp:posOffset>
                </wp:positionH>
                <wp:positionV relativeFrom="paragraph">
                  <wp:posOffset>116840</wp:posOffset>
                </wp:positionV>
                <wp:extent cx="228600" cy="381000"/>
                <wp:effectExtent l="0" t="0" r="0" b="0"/>
                <wp:wrapNone/>
                <wp:docPr id="3" name="Text Box 8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2" o:spid="_x0000_s1027" type="#_x0000_t202" style="position:absolute;left:0;text-align:left;margin-left:658.05pt;margin-top:9.2pt;width:1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8uQIAAMI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bookmarkEnd w:id="0"/>
    </w:p>
    <w:p w:rsidR="003D7A54" w:rsidRPr="003B3721" w:rsidRDefault="003D7A54" w:rsidP="003D7A54">
      <w:pPr>
        <w:rPr>
          <w:rStyle w:val="ECCHLbold"/>
        </w:rPr>
      </w:pPr>
      <w:r w:rsidRPr="003B3721">
        <w:tab/>
        <w:t xml:space="preserve">RESOLUTION </w:t>
      </w:r>
      <w:r w:rsidRPr="003B3721">
        <w:rPr>
          <w:rStyle w:val="ECCHLbold"/>
        </w:rPr>
        <w:t>26 (Rev.WRC-07)</w:t>
      </w:r>
      <w:r w:rsidR="00F97009">
        <w:rPr>
          <w:rStyle w:val="ECCHLbold"/>
        </w:rPr>
        <w:t xml:space="preserve"> </w:t>
      </w:r>
    </w:p>
    <w:p w:rsidR="003D7A54" w:rsidRPr="003B3721" w:rsidRDefault="003D7A54" w:rsidP="003D7A54">
      <w:pPr>
        <w:rPr>
          <w:rStyle w:val="ECCHLbold"/>
        </w:rPr>
      </w:pPr>
      <w:r w:rsidRPr="003B3721">
        <w:rPr>
          <w:rStyle w:val="ECCHLbold"/>
        </w:rPr>
        <w:tab/>
        <w:t>FOOTNOTES TO THE TABLE OF FREQUENCY ALLOCATIONS IN</w:t>
      </w:r>
      <w:r w:rsidRPr="003B3721">
        <w:rPr>
          <w:rStyle w:val="ECCHLbold"/>
        </w:rPr>
        <w:br/>
      </w:r>
      <w:r w:rsidRPr="003B3721">
        <w:rPr>
          <w:rStyle w:val="ECCHLbold"/>
        </w:rPr>
        <w:tab/>
        <w:t>ARTICLE 5 OF THE RADIO REGULATIONS</w:t>
      </w:r>
    </w:p>
    <w:p w:rsidR="003D7A54" w:rsidRPr="00966731" w:rsidRDefault="003D7A54" w:rsidP="003D7A54">
      <w:pPr>
        <w:pStyle w:val="ECCpageFooter"/>
        <w:rPr>
          <w:lang w:val="en-US"/>
        </w:rPr>
      </w:pPr>
      <w:r w:rsidRPr="00966731">
        <w:rPr>
          <w:lang w:val="en-US"/>
        </w:rPr>
        <w:tab/>
      </w:r>
    </w:p>
    <w:p w:rsidR="003D7A54" w:rsidRPr="003B3721" w:rsidRDefault="003D7A54" w:rsidP="003D7A54">
      <w:r w:rsidRPr="003B3721">
        <w:t xml:space="preserve">The World </w:t>
      </w:r>
      <w:proofErr w:type="spellStart"/>
      <w:r w:rsidRPr="003B3721">
        <w:t>Radiocommunication</w:t>
      </w:r>
      <w:proofErr w:type="spellEnd"/>
      <w:r w:rsidRPr="003B3721">
        <w:t xml:space="preserve"> Conference (Geneva, 2007),</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considering</w:t>
      </w:r>
      <w:proofErr w:type="gramEnd"/>
    </w:p>
    <w:p w:rsidR="003D7A54" w:rsidRPr="003B3721" w:rsidRDefault="003D7A54" w:rsidP="003D7A54">
      <w:r w:rsidRPr="003B3721">
        <w:t>a)</w:t>
      </w:r>
      <w:r w:rsidRPr="003B3721">
        <w:tab/>
      </w:r>
      <w:r w:rsidRPr="003B3721">
        <w:tab/>
      </w:r>
      <w:proofErr w:type="gramStart"/>
      <w:r w:rsidRPr="003B3721">
        <w:t>that</w:t>
      </w:r>
      <w:proofErr w:type="gramEnd"/>
      <w:r w:rsidRPr="003B3721">
        <w:t xml:space="preserve"> footnotes are an integral part of the Table of Frequency Allocations in the Radio Regulations and, as such, form part of an international treaty text;</w:t>
      </w:r>
    </w:p>
    <w:p w:rsidR="003D7A54" w:rsidRPr="003B3721" w:rsidRDefault="003D7A54" w:rsidP="003D7A54">
      <w:r w:rsidRPr="003B3721">
        <w:t>b)</w:t>
      </w:r>
      <w:r w:rsidRPr="003B3721">
        <w:tab/>
      </w:r>
      <w:r w:rsidRPr="003B3721">
        <w:tab/>
      </w:r>
      <w:proofErr w:type="gramStart"/>
      <w:r w:rsidRPr="003B3721">
        <w:t>that</w:t>
      </w:r>
      <w:proofErr w:type="gramEnd"/>
      <w:r w:rsidRPr="003B3721">
        <w:t xml:space="preserve"> footnotes to the Table of Frequency Allocations should be clear, concise and easy to understand;</w:t>
      </w:r>
    </w:p>
    <w:p w:rsidR="003D7A54" w:rsidRPr="003B3721" w:rsidRDefault="003D7A54" w:rsidP="003D7A54">
      <w:r w:rsidRPr="003B3721">
        <w:t>c)</w:t>
      </w:r>
      <w:r w:rsidRPr="003B3721">
        <w:tab/>
      </w:r>
      <w:r w:rsidRPr="003B3721">
        <w:tab/>
      </w:r>
      <w:proofErr w:type="gramStart"/>
      <w:r w:rsidRPr="003B3721">
        <w:t>that</w:t>
      </w:r>
      <w:proofErr w:type="gramEnd"/>
      <w:r w:rsidRPr="003B3721">
        <w:t xml:space="preserve"> footnotes should relate directly to matters of frequency allocation;</w:t>
      </w:r>
    </w:p>
    <w:p w:rsidR="003D7A54" w:rsidRPr="003B3721" w:rsidRDefault="003D7A54" w:rsidP="003D7A54">
      <w:r w:rsidRPr="003B3721">
        <w:t>d)</w:t>
      </w:r>
      <w:r w:rsidRPr="003B3721">
        <w:tab/>
      </w:r>
      <w:r w:rsidRPr="003B3721">
        <w:tab/>
      </w:r>
      <w:proofErr w:type="gramStart"/>
      <w:r w:rsidRPr="003B3721">
        <w:t>that</w:t>
      </w:r>
      <w:proofErr w:type="gramEnd"/>
      <w:r w:rsidRPr="003B3721">
        <w:t>, in order to ensure that footnotes allow modification of the Table of Frequency Allocations without introducing unnecessary complications, principles relating to the use of footnotes are needed;</w:t>
      </w:r>
    </w:p>
    <w:p w:rsidR="003D7A54" w:rsidRPr="003B3721" w:rsidRDefault="003D7A54" w:rsidP="003D7A54">
      <w:proofErr w:type="gramStart"/>
      <w:r w:rsidRPr="003B3721">
        <w:t>e</w:t>
      </w:r>
      <w:proofErr w:type="gramEnd"/>
      <w:r w:rsidRPr="003B3721">
        <w:t>)</w:t>
      </w:r>
      <w:r w:rsidRPr="003B3721">
        <w:tab/>
      </w:r>
      <w:r w:rsidRPr="003B3721">
        <w:tab/>
        <w:t xml:space="preserve">that, currently, footnotes are adopted by competent world </w:t>
      </w:r>
      <w:proofErr w:type="spellStart"/>
      <w:r w:rsidRPr="003B3721">
        <w:t>radiocommunication</w:t>
      </w:r>
      <w:proofErr w:type="spellEnd"/>
      <w:r w:rsidRPr="003B3721">
        <w:t xml:space="preserve"> conferences and any addition, modification or deletion of a footnote is considered and adopted by the competent conference;</w:t>
      </w:r>
    </w:p>
    <w:p w:rsidR="003D7A54" w:rsidRPr="003B3721" w:rsidRDefault="003D7A54" w:rsidP="003D7A54">
      <w:r w:rsidRPr="003B3721">
        <w:t>f)</w:t>
      </w:r>
      <w:r w:rsidRPr="003B3721">
        <w:tab/>
      </w:r>
      <w:r w:rsidRPr="003B3721">
        <w:tab/>
      </w:r>
      <w:proofErr w:type="gramStart"/>
      <w:r w:rsidRPr="003B3721">
        <w:t>that</w:t>
      </w:r>
      <w:proofErr w:type="gramEnd"/>
      <w:r w:rsidRPr="003B3721">
        <w:t xml:space="preserve"> some problems concerning country footnotes may be resolved through the application of a special agreement envisaged by Article 6;</w:t>
      </w:r>
    </w:p>
    <w:p w:rsidR="003D7A54" w:rsidRPr="003B3721" w:rsidRDefault="003D7A54" w:rsidP="003D7A54">
      <w:r w:rsidRPr="003B3721">
        <w:t>g)</w:t>
      </w:r>
      <w:r w:rsidRPr="003B3721">
        <w:tab/>
      </w:r>
      <w:r w:rsidRPr="003B3721">
        <w:tab/>
      </w:r>
      <w:proofErr w:type="gramStart"/>
      <w:r w:rsidRPr="003B3721">
        <w:t>that</w:t>
      </w:r>
      <w:proofErr w:type="gramEnd"/>
      <w:r w:rsidRPr="003B3721">
        <w:t>, in certain cases, administrations are confronted with major difficulties due to inconsistencies or omissions in footnotes;</w:t>
      </w:r>
    </w:p>
    <w:p w:rsidR="003D7A54" w:rsidRPr="003B3721" w:rsidRDefault="003D7A54" w:rsidP="003D7A54">
      <w:r w:rsidRPr="003B3721">
        <w:t>h)</w:t>
      </w:r>
      <w:r w:rsidRPr="003B3721">
        <w:tab/>
        <w:t>that, in order to keep the footnotes to the Table of Frequency Allocations up to date, there should be clear and effective guidelines for additions, modifications and deletions of footnotes,</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resolves</w:t>
      </w:r>
      <w:proofErr w:type="gramEnd"/>
    </w:p>
    <w:p w:rsidR="003D7A54" w:rsidRPr="003B3721" w:rsidRDefault="003D7A54" w:rsidP="003D7A54">
      <w:r w:rsidRPr="003B3721">
        <w:t>1</w:t>
      </w:r>
      <w:r w:rsidRPr="003B3721">
        <w:tab/>
      </w:r>
      <w:r w:rsidRPr="003B3721">
        <w:tab/>
        <w:t>that, wherever possible, footnotes to the Table of Frequency Allocations should be confined to altering, limiting or otherwise changing the relevant allocations rather than dealing with the operation of stations, assignment of frequencies or other matters;</w:t>
      </w:r>
    </w:p>
    <w:p w:rsidR="003D7A54" w:rsidRPr="003B3721" w:rsidRDefault="003D7A54" w:rsidP="003D7A54">
      <w:r w:rsidRPr="003B3721">
        <w:t>2</w:t>
      </w:r>
      <w:r w:rsidRPr="003B3721">
        <w:tab/>
      </w:r>
      <w:r w:rsidRPr="003B3721">
        <w:tab/>
        <w:t>that the Table of Frequency Allocations should include only those footnotes which have international implications for the use of the radio-frequency spectrum;</w:t>
      </w:r>
    </w:p>
    <w:p w:rsidR="003D7A54" w:rsidRPr="003B3721" w:rsidRDefault="003D7A54" w:rsidP="003D7A54">
      <w:r w:rsidRPr="003B3721">
        <w:t>3</w:t>
      </w:r>
      <w:r w:rsidRPr="003B3721">
        <w:tab/>
      </w:r>
      <w:r w:rsidRPr="003B3721">
        <w:tab/>
        <w:t>that new footnotes to the Table of Frequency Allocations should only be adopted in order to:</w:t>
      </w:r>
    </w:p>
    <w:p w:rsidR="003D7A54" w:rsidRPr="003B3721" w:rsidRDefault="003D7A54" w:rsidP="003D7A54">
      <w:r w:rsidRPr="003B3721">
        <w:tab/>
        <w:t>a)</w:t>
      </w:r>
      <w:r w:rsidRPr="003B3721">
        <w:tab/>
      </w:r>
      <w:proofErr w:type="gramStart"/>
      <w:r w:rsidRPr="003B3721">
        <w:t>achieve</w:t>
      </w:r>
      <w:proofErr w:type="gramEnd"/>
      <w:r w:rsidRPr="003B3721">
        <w:t xml:space="preserve"> flexibility in the Table of Frequency Allocations;</w:t>
      </w:r>
    </w:p>
    <w:p w:rsidR="003D7A54" w:rsidRPr="003B3721" w:rsidRDefault="003D7A54" w:rsidP="003D7A54">
      <w:r w:rsidRPr="003B3721">
        <w:tab/>
        <w:t>b)</w:t>
      </w:r>
      <w:r w:rsidRPr="003B3721">
        <w:tab/>
      </w:r>
      <w:proofErr w:type="gramStart"/>
      <w:r w:rsidRPr="003B3721">
        <w:t>protect</w:t>
      </w:r>
      <w:proofErr w:type="gramEnd"/>
      <w:r w:rsidRPr="003B3721">
        <w:t xml:space="preserve"> the relevant allocations in the body of the Table and in other footnotes in accordance with Section II of Article 5;</w:t>
      </w:r>
    </w:p>
    <w:p w:rsidR="003D7A54" w:rsidRPr="003B3721" w:rsidRDefault="003D7A54" w:rsidP="003D7A54">
      <w:r w:rsidRPr="003B3721">
        <w:tab/>
        <w:t>c)</w:t>
      </w:r>
      <w:r w:rsidRPr="003B3721">
        <w:tab/>
      </w:r>
      <w:proofErr w:type="gramStart"/>
      <w:r w:rsidRPr="003B3721">
        <w:t>introduce</w:t>
      </w:r>
      <w:proofErr w:type="gramEnd"/>
      <w:r w:rsidRPr="003B3721">
        <w:t xml:space="preserve"> either transitional or permanent restrictions on a new service to achieve compatibility; or</w:t>
      </w:r>
    </w:p>
    <w:p w:rsidR="003D7A54" w:rsidRPr="003B3721" w:rsidRDefault="003D7A54" w:rsidP="003D7A54">
      <w:r w:rsidRPr="003B3721">
        <w:tab/>
        <w:t>d)</w:t>
      </w:r>
      <w:r w:rsidRPr="003B3721">
        <w:tab/>
      </w:r>
      <w:proofErr w:type="gramStart"/>
      <w:r w:rsidRPr="003B3721">
        <w:t>meet</w:t>
      </w:r>
      <w:proofErr w:type="gramEnd"/>
      <w:r w:rsidRPr="003B3721">
        <w:t xml:space="preserve"> the specific requirements of a country or area when it is impracticable to satisfy such needs otherwise within the Table of Frequency Allocations;</w:t>
      </w:r>
    </w:p>
    <w:p w:rsidR="003D7A54" w:rsidRPr="003B3721" w:rsidRDefault="003D7A54" w:rsidP="003D7A54">
      <w:r w:rsidRPr="003B3721">
        <w:lastRenderedPageBreak/>
        <w:t>4</w:t>
      </w:r>
      <w:r w:rsidRPr="003B3721">
        <w:tab/>
      </w:r>
      <w:r w:rsidRPr="003B3721">
        <w:tab/>
        <w:t>that footnotes serving a common purpose should be in a common format, and, where possible, be grouped into a single footnote with appropriate references to the relevant frequency bands,</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further</w:t>
      </w:r>
      <w:proofErr w:type="gramEnd"/>
      <w:r w:rsidRPr="003B3721">
        <w:rPr>
          <w:rStyle w:val="Hervorhebung"/>
        </w:rPr>
        <w:t xml:space="preserve"> resolves</w:t>
      </w:r>
    </w:p>
    <w:p w:rsidR="003D7A54" w:rsidRPr="003B3721" w:rsidRDefault="003D7A54" w:rsidP="003D7A54">
      <w:r w:rsidRPr="003B3721">
        <w:t>1</w:t>
      </w:r>
      <w:r w:rsidRPr="003B3721">
        <w:tab/>
      </w:r>
      <w:r w:rsidRPr="003B3721">
        <w:tab/>
        <w:t xml:space="preserve">that any addition of a new footnote or modification of an existing footnote should be considered by a world </w:t>
      </w:r>
      <w:proofErr w:type="spellStart"/>
      <w:r w:rsidRPr="003B3721">
        <w:t>radiocommunication</w:t>
      </w:r>
      <w:proofErr w:type="spellEnd"/>
      <w:r w:rsidRPr="003B3721">
        <w:t xml:space="preserve"> conference only when:</w:t>
      </w:r>
    </w:p>
    <w:p w:rsidR="003D7A54" w:rsidRPr="003B3721" w:rsidRDefault="003D7A54" w:rsidP="003D7A54">
      <w:r w:rsidRPr="003B3721">
        <w:tab/>
        <w:t>a)</w:t>
      </w:r>
      <w:r w:rsidRPr="003B3721">
        <w:tab/>
      </w:r>
      <w:proofErr w:type="gramStart"/>
      <w:r w:rsidRPr="003B3721">
        <w:t>the</w:t>
      </w:r>
      <w:proofErr w:type="gramEnd"/>
      <w:r w:rsidRPr="003B3721">
        <w:t xml:space="preserve"> agenda of that conference explicitly includes the frequency band to which the proposed additional or modified footnote relates; or</w:t>
      </w:r>
    </w:p>
    <w:p w:rsidR="003D7A54" w:rsidRPr="003B3721" w:rsidRDefault="003D7A54" w:rsidP="003D7A54">
      <w:r w:rsidRPr="003B3721">
        <w:tab/>
        <w:t>b)</w:t>
      </w:r>
      <w:r w:rsidRPr="003B3721">
        <w:tab/>
      </w:r>
      <w:proofErr w:type="gramStart"/>
      <w:r w:rsidRPr="003B3721">
        <w:t>the</w:t>
      </w:r>
      <w:proofErr w:type="gramEnd"/>
      <w:r w:rsidRPr="003B3721">
        <w:t xml:space="preserve"> frequency bands to which the desired additions or modifications of the footnote belong are considered during the conference and the conference decides to make a change in those bands; or</w:t>
      </w:r>
    </w:p>
    <w:p w:rsidR="003D7A54" w:rsidRPr="003B3721" w:rsidRDefault="003D7A54" w:rsidP="003D7A54">
      <w:r w:rsidRPr="003B3721">
        <w:tab/>
        <w:t>c)</w:t>
      </w:r>
      <w:r w:rsidRPr="003B3721">
        <w:tab/>
      </w:r>
      <w:proofErr w:type="gramStart"/>
      <w:r w:rsidRPr="003B3721">
        <w:t>the</w:t>
      </w:r>
      <w:proofErr w:type="gramEnd"/>
      <w:r w:rsidRPr="003B3721">
        <w:t xml:space="preserve"> addition or modification of footnotes is specifically included in the agenda of the conference as a result of the consideration of proposals submitted by one or more interested administration(s);</w:t>
      </w:r>
    </w:p>
    <w:p w:rsidR="003D7A54" w:rsidRPr="003B3721" w:rsidRDefault="003D7A54" w:rsidP="003D7A54">
      <w:r w:rsidRPr="003B3721">
        <w:t>2</w:t>
      </w:r>
      <w:r w:rsidRPr="003B3721">
        <w:tab/>
      </w:r>
      <w:r w:rsidRPr="003B3721">
        <w:tab/>
        <w:t xml:space="preserve">that recommended agendas for future world </w:t>
      </w:r>
      <w:proofErr w:type="spellStart"/>
      <w:r w:rsidRPr="003B3721">
        <w:t>radiocommunication</w:t>
      </w:r>
      <w:proofErr w:type="spellEnd"/>
      <w:r w:rsidRPr="003B3721">
        <w:t xml:space="preserve"> conferences should include a standing agenda item which would allow for the consideration of proposals by administrations for deletion of country footnotes, or country names in footnotes, if no longer required;</w:t>
      </w:r>
    </w:p>
    <w:p w:rsidR="003D7A54" w:rsidRPr="003B3721" w:rsidRDefault="003D7A54" w:rsidP="003D7A54">
      <w:r w:rsidRPr="003B3721">
        <w:t>3</w:t>
      </w:r>
      <w:r w:rsidRPr="003B3721">
        <w:tab/>
      </w:r>
      <w:r w:rsidRPr="003B3721">
        <w:tab/>
        <w:t xml:space="preserve">that in cases not covered by further resolves 1 and 2, proposals for new footnotes or modification of existing footnotes could exceptionally be considered by a world </w:t>
      </w:r>
      <w:proofErr w:type="spellStart"/>
      <w:r w:rsidRPr="003B3721">
        <w:t>radiocommu</w:t>
      </w:r>
      <w:r w:rsidRPr="003B3721">
        <w:softHyphen/>
        <w:t>nication</w:t>
      </w:r>
      <w:proofErr w:type="spellEnd"/>
      <w:r w:rsidRPr="003B3721">
        <w:t xml:space="preserve"> conference if they concern corrections of obvious omissions, inconsistencies, ambiguities or editorial errors and have been submitted to ITU as stipulated in No. 40 of the General Rules of Conferences, Assemblies and Meetings of the Union (Antalya, 2006),</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urges</w:t>
      </w:r>
      <w:proofErr w:type="gramEnd"/>
      <w:r w:rsidRPr="003B3721">
        <w:rPr>
          <w:rStyle w:val="Hervorhebung"/>
        </w:rPr>
        <w:t xml:space="preserve"> administrations</w:t>
      </w:r>
    </w:p>
    <w:p w:rsidR="003D7A54" w:rsidRPr="0010773A" w:rsidRDefault="003D7A54" w:rsidP="003D7A54">
      <w:pPr>
        <w:rPr>
          <w:rStyle w:val="ECCParagraph"/>
        </w:rPr>
      </w:pPr>
      <w:r w:rsidRPr="0010773A">
        <w:rPr>
          <w:rStyle w:val="ECCParagraph"/>
        </w:rPr>
        <w:t>1</w:t>
      </w:r>
      <w:r w:rsidRPr="0010773A">
        <w:rPr>
          <w:rStyle w:val="ECCParagraph"/>
        </w:rPr>
        <w:tab/>
      </w:r>
      <w:r w:rsidRPr="0010773A">
        <w:rPr>
          <w:rStyle w:val="ECCParagraph"/>
        </w:rPr>
        <w:tab/>
        <w:t>to review footnotes periodically and to propose the deletion of their country footnotes or of their country names from footnotes, as appropriate;</w:t>
      </w:r>
    </w:p>
    <w:p w:rsidR="003D7A54" w:rsidRPr="0010773A" w:rsidRDefault="003D7A54">
      <w:pPr>
        <w:rPr>
          <w:rStyle w:val="ECCParagraph"/>
        </w:rPr>
      </w:pPr>
      <w:proofErr w:type="gramStart"/>
      <w:r w:rsidRPr="0010773A">
        <w:rPr>
          <w:rStyle w:val="ECCParagraph"/>
        </w:rPr>
        <w:t>2</w:t>
      </w:r>
      <w:r w:rsidRPr="0010773A">
        <w:rPr>
          <w:rStyle w:val="ECCParagraph"/>
        </w:rPr>
        <w:tab/>
      </w:r>
      <w:r w:rsidRPr="0010773A">
        <w:rPr>
          <w:rStyle w:val="ECCParagraph"/>
        </w:rPr>
        <w:tab/>
        <w:t xml:space="preserve">to take account of the further resolves above in making proposals to world </w:t>
      </w:r>
      <w:proofErr w:type="spellStart"/>
      <w:r w:rsidRPr="0010773A">
        <w:rPr>
          <w:rStyle w:val="ECCParagraph"/>
        </w:rPr>
        <w:t>radiocommunication</w:t>
      </w:r>
      <w:proofErr w:type="spellEnd"/>
      <w:r w:rsidRPr="0010773A">
        <w:rPr>
          <w:rStyle w:val="ECCParagraph"/>
        </w:rPr>
        <w:t xml:space="preserve"> conferences.</w:t>
      </w:r>
      <w:proofErr w:type="gramEnd"/>
      <w:r w:rsidRPr="0010773A">
        <w:rPr>
          <w:rStyle w:val="ECCParagraph"/>
        </w:rPr>
        <w:br w:type="page"/>
      </w:r>
    </w:p>
    <w:p w:rsidR="003D7A54" w:rsidRPr="00F97009" w:rsidRDefault="003D7A54" w:rsidP="003D7A54">
      <w:pPr>
        <w:pStyle w:val="ECCAnnexheading1"/>
        <w:rPr>
          <w:lang w:val="en-GB"/>
        </w:rPr>
      </w:pPr>
      <w:bookmarkStart w:id="3" w:name="_Ref508706855"/>
      <w:r w:rsidRPr="00F97009">
        <w:rPr>
          <w:lang w:val="en-GB"/>
        </w:rPr>
        <w:lastRenderedPageBreak/>
        <w:t>The list of CEPT countries footnotes</w:t>
      </w:r>
      <w:bookmarkEnd w:id="3"/>
    </w:p>
    <w:p w:rsidR="003D7A54" w:rsidRPr="003B3721" w:rsidRDefault="003D7A54" w:rsidP="00F47024">
      <w:r w:rsidRPr="003B3721">
        <w:rPr>
          <w:rStyle w:val="ECCHLbold"/>
        </w:rPr>
        <w:t>5.54B</w:t>
      </w:r>
      <w:r w:rsidRPr="003B3721">
        <w:t xml:space="preserve"> </w:t>
      </w:r>
      <w:r w:rsidRPr="003B3721">
        <w:tab/>
      </w:r>
      <w:r w:rsidR="00F47024" w:rsidRPr="00F47024">
        <w:t xml:space="preserve">Additional allocation:  in Algeria, Saudi Arabia, Bahrain, Egypt, the United Arab Emirates, the Russian Federation, Iran (Islamic Republic of), Iraq, Kuwait, Lebanon, Morocco, Qatar, the Syrian Arab Republic, Sudan and Tunisia, the frequency band 8.3-9 kHz is also allocated to the </w:t>
      </w:r>
      <w:proofErr w:type="spellStart"/>
      <w:r w:rsidR="00F47024" w:rsidRPr="00F47024">
        <w:t>radionavigation</w:t>
      </w:r>
      <w:proofErr w:type="spellEnd"/>
      <w:r w:rsidR="00F47024" w:rsidRPr="00F47024">
        <w:t>, fixed and mobile services on a primary basis.     (WRC-15)</w:t>
      </w:r>
    </w:p>
    <w:p w:rsidR="003D7A54" w:rsidRPr="003B3721" w:rsidRDefault="003D7A54" w:rsidP="00F47024">
      <w:r w:rsidRPr="003B3721">
        <w:rPr>
          <w:rStyle w:val="ECCHLbold"/>
        </w:rPr>
        <w:t>5.55</w:t>
      </w:r>
      <w:r w:rsidRPr="003B3721">
        <w:rPr>
          <w:rStyle w:val="ECCHLbold"/>
        </w:rPr>
        <w:tab/>
      </w:r>
      <w:r w:rsidRPr="003B3721">
        <w:rPr>
          <w:rStyle w:val="ECCHLbold"/>
        </w:rPr>
        <w:tab/>
      </w:r>
      <w:r w:rsidR="00F47024" w:rsidRPr="00F47024">
        <w:t xml:space="preserve">Additional  allocation:  in  Armenia,  the  Russian  Federation,  Georgia,  Kyrgyzstan,  Tajikistan  and Turkmenistan,  the  frequency  band  14-17 kHz  is  also  allocated  to  the  </w:t>
      </w:r>
      <w:proofErr w:type="spellStart"/>
      <w:r w:rsidR="00F47024" w:rsidRPr="00F47024">
        <w:t>radionavigation</w:t>
      </w:r>
      <w:proofErr w:type="spellEnd"/>
      <w:r w:rsidR="00F47024" w:rsidRPr="00F47024">
        <w:t xml:space="preserve">  service  on  a  primary basis.     (WRC-15)</w:t>
      </w:r>
    </w:p>
    <w:p w:rsidR="003D7A54" w:rsidRPr="003B3721" w:rsidRDefault="003D7A54" w:rsidP="003D7A54">
      <w:r w:rsidRPr="003B3721">
        <w:rPr>
          <w:rStyle w:val="ECCHLbold"/>
        </w:rPr>
        <w:t>5.56</w:t>
      </w:r>
      <w:r w:rsidRPr="003B3721">
        <w:rPr>
          <w:rStyle w:val="ECCHLbold"/>
        </w:rPr>
        <w:tab/>
      </w:r>
      <w:r w:rsidRPr="003B3721">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     (WRC</w:t>
      </w:r>
      <w:r w:rsidR="004517D7">
        <w:t>-</w:t>
      </w:r>
      <w:r w:rsidRPr="003B3721">
        <w:t>12)</w:t>
      </w:r>
    </w:p>
    <w:p w:rsidR="003D7A54" w:rsidRPr="003B3721" w:rsidRDefault="003D7A54" w:rsidP="003D7A54">
      <w:r w:rsidRPr="003B3721">
        <w:rPr>
          <w:rStyle w:val="ECCHLbold"/>
        </w:rPr>
        <w:t>5.58</w:t>
      </w:r>
      <w:r w:rsidRPr="003B3721">
        <w:rPr>
          <w:rStyle w:val="ECCHLbold"/>
        </w:rPr>
        <w:tab/>
      </w:r>
      <w:r w:rsidRPr="003B3721">
        <w:tab/>
        <w:t xml:space="preserve">Additional allocation:  in Armenia, Azerbaijan, the Russian Federation, Georgia, Kazakhstan, Kyrgyzstan, Tajikistan and Turkmenistan, the band 67-70 kHz is also allocated to the </w:t>
      </w:r>
      <w:proofErr w:type="spellStart"/>
      <w:r w:rsidRPr="003B3721">
        <w:t>radionavigation</w:t>
      </w:r>
      <w:proofErr w:type="spellEnd"/>
      <w:r w:rsidRPr="003B3721">
        <w:t xml:space="preserve"> service on a primary basis.     (WRC</w:t>
      </w:r>
      <w:r w:rsidR="004517D7">
        <w:t>-</w:t>
      </w:r>
      <w:r w:rsidRPr="003B3721">
        <w:t>2000)</w:t>
      </w:r>
    </w:p>
    <w:p w:rsidR="003D7A54" w:rsidRPr="003B3721" w:rsidRDefault="003D7A54" w:rsidP="003D7A54">
      <w:r w:rsidRPr="003B3721">
        <w:rPr>
          <w:rStyle w:val="ECCHLbold"/>
        </w:rPr>
        <w:t>5.66</w:t>
      </w:r>
      <w:r w:rsidRPr="003B3721">
        <w:rPr>
          <w:rStyle w:val="ECCHLbold"/>
        </w:rPr>
        <w:tab/>
      </w:r>
      <w:r w:rsidRPr="003B3721">
        <w:tab/>
        <w:t xml:space="preserve">Different category of service:  in Germany, the </w:t>
      </w:r>
      <w:proofErr w:type="gramStart"/>
      <w:r w:rsidRPr="003B3721">
        <w:t xml:space="preserve">allocation of the band 115-117.6 kHz to the fixed and maritime mobile services is on a primary basis (see No. 5.33) and to the </w:t>
      </w:r>
      <w:proofErr w:type="spellStart"/>
      <w:r w:rsidRPr="003B3721">
        <w:t>radionavigation</w:t>
      </w:r>
      <w:proofErr w:type="spellEnd"/>
      <w:r w:rsidRPr="003B3721">
        <w:t xml:space="preserve"> service on a secondary basis (see</w:t>
      </w:r>
      <w:proofErr w:type="gramEnd"/>
      <w:r w:rsidRPr="003B3721">
        <w:t xml:space="preserve"> No. 5.32).</w:t>
      </w:r>
    </w:p>
    <w:p w:rsidR="003D7A54" w:rsidRPr="003B3721" w:rsidRDefault="003D7A54" w:rsidP="003D7A54">
      <w:r w:rsidRPr="003B3721">
        <w:rPr>
          <w:rStyle w:val="ECCHLbold"/>
        </w:rPr>
        <w:t>5.75</w:t>
      </w:r>
      <w:r w:rsidRPr="003B3721">
        <w:rPr>
          <w:rStyle w:val="ECCHLbold"/>
        </w:rPr>
        <w:tab/>
      </w:r>
      <w:r w:rsidRPr="003B3721">
        <w:tab/>
        <w:t xml:space="preserve">Different category of service:  in Armenia, Azerbaijan, Belarus, the Russian Federation, Georgia, Moldova, Kyrgyzstan, Tajikistan, Turkmenistan, Ukraine and the Black Sea areas of Romania, the allocation of the band 315-325 kHz to the maritime </w:t>
      </w:r>
      <w:proofErr w:type="spellStart"/>
      <w:r w:rsidRPr="003B3721">
        <w:t>radionavigation</w:t>
      </w:r>
      <w:proofErr w:type="spellEnd"/>
      <w:r w:rsidRPr="003B3721">
        <w:t xml:space="preserve"> service is on a primary basis under the condition that in the Baltic Sea area, the assignment of frequencies in this band to new stations in the maritime or aeronautical </w:t>
      </w:r>
      <w:proofErr w:type="spellStart"/>
      <w:r w:rsidRPr="003B3721">
        <w:t>radionavigation</w:t>
      </w:r>
      <w:proofErr w:type="spellEnd"/>
      <w:r w:rsidRPr="003B3721">
        <w:t xml:space="preserve"> services shall be subject to prior consultation between the administrations concerned.     (WRC</w:t>
      </w:r>
      <w:r w:rsidR="004517D7">
        <w:t>-</w:t>
      </w:r>
      <w:r w:rsidRPr="003B3721">
        <w:t>07)</w:t>
      </w:r>
    </w:p>
    <w:p w:rsidR="003D7A54" w:rsidRPr="003B3721" w:rsidRDefault="003D7A54" w:rsidP="003D7A54">
      <w:r w:rsidRPr="003B3721">
        <w:rPr>
          <w:rStyle w:val="ECCHLbold"/>
        </w:rPr>
        <w:t>5.77</w:t>
      </w:r>
      <w:r w:rsidRPr="003B3721">
        <w:rPr>
          <w:rStyle w:val="ECCHLbold"/>
        </w:rPr>
        <w:tab/>
      </w:r>
      <w:r w:rsidRPr="003B3721">
        <w:tab/>
        <w:t xml:space="preserve">Different category of service:  in Australia, China, the French overseas communities of Region 3, Korea (Rep. of), India, Iran (Islamic Republic of), Japan, Pakistan, Papua New Guinea and Sri Lanka, the  allocation of the frequency band 415-495 kHz to the aeronautical </w:t>
      </w:r>
      <w:proofErr w:type="spellStart"/>
      <w:r w:rsidRPr="003B3721">
        <w:t>radionavigation</w:t>
      </w:r>
      <w:proofErr w:type="spellEnd"/>
      <w:r w:rsidRPr="003B3721">
        <w:t xml:space="preserve"> service is on a primary basis. In Armenia, Azerbaijan, Belarus, the Russian Federation, Kazakhstan, Latvia, Uzbekistan and Kyrgyzstan, the allocation of the frequency band 435-495 kHz to the aeronautical </w:t>
      </w:r>
      <w:proofErr w:type="spellStart"/>
      <w:r w:rsidRPr="003B3721">
        <w:t>radionavigation</w:t>
      </w:r>
      <w:proofErr w:type="spellEnd"/>
      <w:r w:rsidRPr="003B3721">
        <w:t xml:space="preserve"> service is on a primary basis. Administrations in all the aforementioned countries shall take all practical steps necessary to ensure that aeronautical </w:t>
      </w:r>
      <w:proofErr w:type="spellStart"/>
      <w:r w:rsidRPr="003B3721">
        <w:t>radionavigation</w:t>
      </w:r>
      <w:proofErr w:type="spellEnd"/>
      <w:r w:rsidRPr="003B3721">
        <w:t xml:space="preserve"> stations in the frequency band 435-495 kHz do not cause interference to reception by coast stations of transmissions from ship stations on frequencies designated for ship stations on a worldwide basis.    (WRC</w:t>
      </w:r>
      <w:r w:rsidR="004517D7">
        <w:t>-</w:t>
      </w:r>
      <w:r w:rsidRPr="003B3721">
        <w:t>12)</w:t>
      </w:r>
    </w:p>
    <w:p w:rsidR="003D7A54" w:rsidRPr="003B3721" w:rsidRDefault="003D7A54" w:rsidP="003D7A54">
      <w:r w:rsidRPr="003B3721">
        <w:rPr>
          <w:rStyle w:val="ECCHLbold"/>
        </w:rPr>
        <w:t>5.80A</w:t>
      </w:r>
      <w:r w:rsidRPr="003B3721">
        <w:tab/>
      </w:r>
      <w:r w:rsidRPr="003B3721">
        <w:tab/>
        <w:t xml:space="preserve">The maximum equivalent </w:t>
      </w:r>
      <w:proofErr w:type="spellStart"/>
      <w:r w:rsidRPr="003B3721">
        <w:t>isotropically</w:t>
      </w:r>
      <w:proofErr w:type="spellEnd"/>
      <w:r w:rsidRPr="003B3721">
        <w:t xml:space="preserve"> radiated power (</w:t>
      </w:r>
      <w:proofErr w:type="spellStart"/>
      <w:r w:rsidRPr="003B3721">
        <w:t>e.i.r.p</w:t>
      </w:r>
      <w:proofErr w:type="spellEnd"/>
      <w:r w:rsidRPr="003B3721">
        <w:t xml:space="preserve">.) of stations in the amateur service using frequencies in the band 472-479 kHz shall not exceed 1 W. Administrations may increase this limit of </w:t>
      </w:r>
      <w:proofErr w:type="spellStart"/>
      <w:r w:rsidRPr="003B3721">
        <w:t>e.i.r.p</w:t>
      </w:r>
      <w:proofErr w:type="spellEnd"/>
      <w:r w:rsidRPr="003B3721">
        <w:t xml:space="preserve">.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5.80B</w:t>
      </w:r>
      <w:r w:rsidRPr="003B3721">
        <w:rPr>
          <w:rStyle w:val="ECCHLbold"/>
        </w:rPr>
        <w:tab/>
      </w:r>
      <w:r w:rsidRPr="003B3721">
        <w:rPr>
          <w:rStyle w:val="ECCHLbold"/>
        </w:rPr>
        <w:tab/>
      </w:r>
      <w:r w:rsidRPr="003B3721">
        <w:t xml:space="preserve">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w:t>
      </w:r>
      <w:proofErr w:type="spellStart"/>
      <w:r w:rsidRPr="003B3721">
        <w:t>radionavigation</w:t>
      </w:r>
      <w:proofErr w:type="spellEnd"/>
      <w:r w:rsidRPr="003B3721">
        <w:t xml:space="preserve"> services. The amateur service shall not be used in the above-mentioned countries in this frequency band, and this should be taken into account by the countries authorizing such use.     (WRC</w:t>
      </w:r>
      <w:r w:rsidR="004517D7">
        <w:t>-</w:t>
      </w:r>
      <w:r w:rsidRPr="003B3721">
        <w:t>12)</w:t>
      </w:r>
    </w:p>
    <w:p w:rsidR="003D7A54" w:rsidRPr="003B3721" w:rsidRDefault="003D7A54" w:rsidP="00F47024">
      <w:r w:rsidRPr="003B3721">
        <w:rPr>
          <w:rStyle w:val="ECCHLbold"/>
        </w:rPr>
        <w:lastRenderedPageBreak/>
        <w:t>5.93</w:t>
      </w:r>
      <w:r w:rsidRPr="003B3721">
        <w:tab/>
      </w:r>
      <w:r w:rsidRPr="003B3721">
        <w:tab/>
      </w:r>
      <w:r w:rsidR="00F47024" w:rsidRPr="00F47024">
        <w:t>Additional  allocation:  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9.21.     (WRC-15)</w:t>
      </w:r>
    </w:p>
    <w:p w:rsidR="003D7A54" w:rsidRPr="003B3721" w:rsidRDefault="003D7A54" w:rsidP="00F47024">
      <w:r w:rsidRPr="003B3721">
        <w:rPr>
          <w:rStyle w:val="ECCHLbold"/>
        </w:rPr>
        <w:t>5.96</w:t>
      </w:r>
      <w:r w:rsidRPr="003B3721">
        <w:rPr>
          <w:rStyle w:val="ECCHLbold"/>
        </w:rPr>
        <w:tab/>
      </w:r>
      <w:r w:rsidRPr="003B3721">
        <w:tab/>
      </w:r>
      <w:r w:rsidR="00F47024" w:rsidRPr="00F47024">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rsidR="003D7A54" w:rsidRPr="003B3721" w:rsidRDefault="003D7A54" w:rsidP="00F47024">
      <w:r w:rsidRPr="003B3721">
        <w:rPr>
          <w:rStyle w:val="ECCHLbold"/>
        </w:rPr>
        <w:t>5.98</w:t>
      </w:r>
      <w:r w:rsidRPr="003B3721">
        <w:tab/>
      </w:r>
      <w:r w:rsidRPr="003B3721">
        <w:tab/>
      </w:r>
      <w:proofErr w:type="gramStart"/>
      <w:r w:rsidR="00F47024" w:rsidRPr="00F47024">
        <w:t>Alternative  allocation</w:t>
      </w:r>
      <w:proofErr w:type="gramEnd"/>
      <w:r w:rsidR="00F47024" w:rsidRPr="00F47024">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rsidR="003D7A54" w:rsidRPr="003B3721" w:rsidRDefault="003D7A54" w:rsidP="003D7A54">
      <w:r w:rsidRPr="003B3721">
        <w:rPr>
          <w:rStyle w:val="ECCHLbold"/>
        </w:rPr>
        <w:t>5.99</w:t>
      </w:r>
      <w:r w:rsidRPr="003B3721">
        <w:tab/>
      </w:r>
      <w:r w:rsidRPr="003B3721">
        <w:tab/>
        <w:t>Additional allocation:  in Saudi Arabia, Austria, Iraq, Libya, Uzbekistan, Slovakia, Romania, Slovenia, Chad, and Togo, the band 1 810-1 830 kHz is also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5.112</w:t>
      </w:r>
      <w:r w:rsidRPr="003B3721">
        <w:rPr>
          <w:rStyle w:val="ECCHLbold"/>
        </w:rPr>
        <w:tab/>
      </w:r>
      <w:r w:rsidRPr="003B3721">
        <w:rPr>
          <w:rStyle w:val="ECCHLbold"/>
        </w:rPr>
        <w:tab/>
      </w:r>
      <w:r w:rsidRPr="003B3721">
        <w:t>Alternative allocation:  in Denmark and Sri Lanka, the band 2 194-2 300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5.114</w:t>
      </w:r>
      <w:r w:rsidRPr="003B3721">
        <w:rPr>
          <w:rStyle w:val="ECCHLbold"/>
        </w:rPr>
        <w:tab/>
      </w:r>
      <w:r w:rsidRPr="003B3721">
        <w:tab/>
        <w:t>Alternative allocation:  in Denmark and Iraq, the band 2 502-2 625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5.117</w:t>
      </w:r>
      <w:r w:rsidRPr="003B3721">
        <w:rPr>
          <w:rStyle w:val="ECCHLbold"/>
        </w:rPr>
        <w:tab/>
      </w:r>
      <w:r w:rsidRPr="003B3721">
        <w:tab/>
        <w:t>Alternative allocation:  in Côte d'Ivoire, Denmark, Egypt, Liberia, Sri Lanka and Togo, the band 3 155-3 200 kHz is allocated to the fixed and mobile, except aeronautical mobile, services on a primary basis.   (WRC</w:t>
      </w:r>
      <w:r w:rsidR="004517D7">
        <w:t>-</w:t>
      </w:r>
      <w:r w:rsidRPr="003B3721">
        <w:t>12)</w:t>
      </w:r>
    </w:p>
    <w:p w:rsidR="00AC58AF" w:rsidRPr="003B3721" w:rsidRDefault="00AC58AF" w:rsidP="00AC58AF">
      <w:r w:rsidRPr="003B3721">
        <w:rPr>
          <w:rStyle w:val="ECCHLbold"/>
        </w:rPr>
        <w:t>5.128</w:t>
      </w:r>
      <w:r w:rsidRPr="003B3721">
        <w:rPr>
          <w:rStyle w:val="ECCHLbold"/>
        </w:rPr>
        <w:tab/>
      </w:r>
      <w:r w:rsidRPr="003B3721">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w:t>
      </w:r>
      <w:r>
        <w:t>ritime mobile service.     (WRC-</w:t>
      </w:r>
      <w:r w:rsidRPr="003B3721">
        <w:t>12</w:t>
      </w:r>
      <w:r>
        <w:t>)</w:t>
      </w:r>
    </w:p>
    <w:p w:rsidR="003D7A54" w:rsidRPr="003B3721" w:rsidRDefault="003D7A54" w:rsidP="00F47024">
      <w:r w:rsidRPr="003B3721">
        <w:rPr>
          <w:rStyle w:val="ECCHLbold"/>
        </w:rPr>
        <w:t>5.132B</w:t>
      </w:r>
      <w:r w:rsidRPr="003B3721">
        <w:tab/>
      </w:r>
      <w:r w:rsidR="00F47024" w:rsidRPr="00F47024">
        <w:t>Alternative allocation:  in Armenia, Belarus, Moldova, Uzbekistan and Kyrgyzstan, the frequency band 4 438-4 488 kHz  is  allocated  to  the  fixed  and  mobile,  except  aeronautical  mobile  (R),  services  on  a  primary basis.     (WRC-15)</w:t>
      </w:r>
    </w:p>
    <w:p w:rsidR="00AC58AF" w:rsidRPr="003B3721" w:rsidRDefault="00AC58AF" w:rsidP="00AC58AF">
      <w:r w:rsidRPr="003B3721">
        <w:rPr>
          <w:rStyle w:val="ECCHLbold"/>
        </w:rPr>
        <w:t>5.133</w:t>
      </w:r>
      <w:r w:rsidRPr="003B3721">
        <w:rPr>
          <w:rStyle w:val="ECCHLbold"/>
        </w:rPr>
        <w:tab/>
      </w:r>
      <w:r w:rsidRPr="003B3721">
        <w:tab/>
        <w:t>Different category of service:  in Armenia, Azerbaijan, Belarus, the Russian Federation, Georgia, Kazakhstan, Latvia, Lithuania, Niger, Uzbekistan, Kyrgyzstan, Tajikistan, Turkmenistan and Ukraine, the allocation of the band 5 130-5 250 kHz to the mobile, except aeronautical mobile, service is on a primary basis (see No. 5.3</w:t>
      </w:r>
      <w:r>
        <w:t>3).     (WRC-</w:t>
      </w:r>
      <w:r w:rsidRPr="003B3721">
        <w:t>12</w:t>
      </w:r>
      <w:r>
        <w:t>)</w:t>
      </w:r>
    </w:p>
    <w:p w:rsidR="00BB41C3" w:rsidRDefault="003D7A54" w:rsidP="00BB41C3">
      <w:r w:rsidRPr="003B3721">
        <w:rPr>
          <w:rStyle w:val="ECCHLbold"/>
        </w:rPr>
        <w:t>5.133A</w:t>
      </w:r>
      <w:r w:rsidRPr="003B3721">
        <w:tab/>
      </w:r>
      <w:r w:rsidR="00AC58AF" w:rsidRPr="00AC58AF">
        <w:t>Alternative allocation:  in Armenia, Belarus, Moldova, Uzbekistan and Kyrgyzstan, the frequency bands 5 250-5 275 kHz and 26 200-26 350 kHz are allocated to the fixed and mobile, except aeronautical mobile, services on a primary basis.     (WRC-15)</w:t>
      </w:r>
      <w:r w:rsidR="00BB41C3" w:rsidRPr="00BB41C3">
        <w:t xml:space="preserve"> </w:t>
      </w:r>
    </w:p>
    <w:p w:rsidR="003D7A54" w:rsidRPr="003B3721" w:rsidRDefault="00BB41C3" w:rsidP="00BB41C3">
      <w:r w:rsidRPr="003B3721">
        <w:rPr>
          <w:rStyle w:val="ECCHLbold"/>
        </w:rPr>
        <w:lastRenderedPageBreak/>
        <w:t>5.133</w:t>
      </w:r>
      <w:r>
        <w:rPr>
          <w:rStyle w:val="ECCHLbold"/>
        </w:rPr>
        <w:t>B</w:t>
      </w:r>
      <w:r w:rsidRPr="003B3721">
        <w:tab/>
      </w:r>
      <w:r w:rsidRPr="00BB41C3">
        <w:t>Stations in the amateur service using the frequency band 5 351.5-5 366.5 kHz shall not exceed a maximum radiated power of 15 W (</w:t>
      </w:r>
      <w:proofErr w:type="spellStart"/>
      <w:r w:rsidRPr="00BB41C3">
        <w:t>e.i.r.p</w:t>
      </w:r>
      <w:proofErr w:type="spellEnd"/>
      <w:r w:rsidRPr="00BB41C3">
        <w:t>.). However, in Region 2 in Mexico, stations in the amateur service using the frequency band 5 351.5-5 366.5 kHz shall not exceed a maximum radiated power of 20 W (</w:t>
      </w:r>
      <w:proofErr w:type="spellStart"/>
      <w:r w:rsidRPr="00BB41C3">
        <w:t>e.i.r.p</w:t>
      </w:r>
      <w:proofErr w:type="spellEnd"/>
      <w:r w:rsidRPr="00BB41C3">
        <w:t>.).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5 351.5-5 366.5 kHz shall not exceed a maximum radiated power of 25 W (</w:t>
      </w:r>
      <w:proofErr w:type="spellStart"/>
      <w:r w:rsidRPr="00BB41C3">
        <w:t>e.i.r.p</w:t>
      </w:r>
      <w:proofErr w:type="spellEnd"/>
      <w:r w:rsidRPr="00BB41C3">
        <w:t>.).      (WRC-15)</w:t>
      </w:r>
    </w:p>
    <w:p w:rsidR="003D7A54" w:rsidRPr="003B3721" w:rsidRDefault="003D7A54" w:rsidP="00BB41C3">
      <w:r w:rsidRPr="003B3721">
        <w:rPr>
          <w:rStyle w:val="ECCHLbold"/>
        </w:rPr>
        <w:t>5.145B</w:t>
      </w:r>
      <w:r w:rsidRPr="003B3721">
        <w:tab/>
      </w:r>
      <w:r w:rsidR="00BB41C3" w:rsidRPr="00BB41C3">
        <w:t>Alternative allocation:  in Armenia, Belarus, Moldova, Uzbekistan and Kyrgyzstan, the frequency bands 9 305-9 355 kHz and 16 100-16 200 kHz are allocated to the fixed service on a primary basis.     (WRC-15)</w:t>
      </w:r>
    </w:p>
    <w:p w:rsidR="003D7A54" w:rsidRPr="003B3721" w:rsidRDefault="003D7A54" w:rsidP="006A72EB">
      <w:r w:rsidRPr="003B3721">
        <w:rPr>
          <w:rStyle w:val="ECCHLbold"/>
        </w:rPr>
        <w:t>5.149A</w:t>
      </w:r>
      <w:r w:rsidRPr="003B3721">
        <w:tab/>
      </w:r>
      <w:r w:rsidR="006A72EB" w:rsidRPr="006A72EB">
        <w:t>Alternative allocation:  in Armenia, Belarus, Moldova, Uzbekistan and Kyrgyzstan, the frequency band 13 450-13 550 kHz is allocated to the fixed service on a primary basis and to the mobile, except aeronautical mobile (R), service on a secondary basis.     (WRC-15)</w:t>
      </w:r>
    </w:p>
    <w:p w:rsidR="003D7A54" w:rsidRPr="003B3721" w:rsidRDefault="003D7A54" w:rsidP="003D7A54">
      <w:r w:rsidRPr="003B3721">
        <w:rPr>
          <w:rStyle w:val="ECCHLbold"/>
        </w:rPr>
        <w:t>5.152</w:t>
      </w:r>
      <w:r w:rsidRPr="003B3721">
        <w:rPr>
          <w:rStyle w:val="ECCHLbold"/>
        </w:rPr>
        <w:tab/>
      </w:r>
      <w:r w:rsidRPr="003B3721">
        <w:tab/>
        <w:t xml:space="preserve">Additional allocation:  in Armenia, Azerbaijan, China, Cote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3B3721">
        <w:t>dBW</w:t>
      </w:r>
      <w:proofErr w:type="spellEnd"/>
      <w:r w:rsidRPr="003B3721">
        <w:t>.     (WRC-03)</w:t>
      </w:r>
    </w:p>
    <w:p w:rsidR="003D7A54" w:rsidRPr="003B3721" w:rsidRDefault="003D7A54" w:rsidP="003D7A54">
      <w:r w:rsidRPr="003B3721">
        <w:rPr>
          <w:rStyle w:val="ECCHLbold"/>
        </w:rPr>
        <w:t>5.154</w:t>
      </w:r>
      <w:r w:rsidRPr="003B3721">
        <w:rPr>
          <w:rStyle w:val="ECCHLbold"/>
        </w:rPr>
        <w:tab/>
      </w:r>
      <w:r w:rsidRPr="003B3721">
        <w:tab/>
        <w:t>Additional allocation:  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rsidR="003D7A54" w:rsidRPr="003B3721" w:rsidRDefault="003D7A54" w:rsidP="003D7A54">
      <w:r w:rsidRPr="003B3721">
        <w:rPr>
          <w:rStyle w:val="ECCHLbold"/>
        </w:rPr>
        <w:t>5.155</w:t>
      </w:r>
      <w:r w:rsidRPr="003B3721">
        <w:rPr>
          <w:rStyle w:val="ECCHLbold"/>
        </w:rPr>
        <w:tab/>
      </w:r>
      <w:r w:rsidRPr="003B3721">
        <w:tab/>
        <w:t>Additional allocation:  in Armenia, Azerbaijan, Belarus, the Russian Federation, Georgia, Kazakhstan, Moldova, Mongolia, Uzbekistan, Kyrgyzstan, Slovakia, Tajikistan, Turkmenistan and Ukraine, the band 21 850-21 870 kHz is also allocated to the aeronautical mobile (R) service on a primary basis.     (WRC</w:t>
      </w:r>
      <w:r w:rsidR="004517D7">
        <w:t>-</w:t>
      </w:r>
      <w:r w:rsidRPr="003B3721">
        <w:t>07)</w:t>
      </w:r>
    </w:p>
    <w:p w:rsidR="003D7A54" w:rsidRPr="003B3721" w:rsidRDefault="003D7A54" w:rsidP="003D7A54">
      <w:r w:rsidRPr="003B3721">
        <w:rPr>
          <w:rStyle w:val="ECCHLbold"/>
        </w:rPr>
        <w:t>5.155A</w:t>
      </w:r>
      <w:r w:rsidRPr="003B3721">
        <w:tab/>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004517D7">
        <w:t>-</w:t>
      </w:r>
      <w:r w:rsidRPr="003B3721">
        <w:t>07)</w:t>
      </w:r>
    </w:p>
    <w:p w:rsidR="003D7A54" w:rsidRPr="003B3721" w:rsidRDefault="003D7A54" w:rsidP="006A72EB">
      <w:r w:rsidRPr="003B3721">
        <w:rPr>
          <w:rStyle w:val="ECCHLbold"/>
        </w:rPr>
        <w:t>5.158</w:t>
      </w:r>
      <w:r w:rsidRPr="003B3721">
        <w:tab/>
      </w:r>
      <w:r w:rsidRPr="003B3721">
        <w:tab/>
      </w:r>
      <w:r w:rsidR="006A72EB" w:rsidRPr="006A72EB">
        <w:t>Alternative allocation:  in Armenia, Belarus, Moldova, Uzbekistan and Kyrgyzstan, the frequency band 24 450-24 600 kHz is allocated to the fixed and land mobile services on a primary basis.     (WRC-15)</w:t>
      </w:r>
    </w:p>
    <w:p w:rsidR="003D7A54" w:rsidRPr="003B3721" w:rsidRDefault="003D7A54" w:rsidP="006A72EB">
      <w:r w:rsidRPr="003B3721">
        <w:rPr>
          <w:rStyle w:val="ECCHLbold"/>
        </w:rPr>
        <w:t>5.159</w:t>
      </w:r>
      <w:r w:rsidRPr="003B3721">
        <w:rPr>
          <w:rStyle w:val="ECCHLbold"/>
        </w:rPr>
        <w:tab/>
      </w:r>
      <w:r w:rsidRPr="003B3721">
        <w:tab/>
      </w:r>
      <w:r w:rsidR="006A72EB" w:rsidRPr="006A72EB">
        <w:t>Alternative allocation:  in Armenia, Belarus, Moldova, Uzbekistan and Kyrgyzstan, the frequency band 39-39.5 MHz is allocated to the fixed and mobile services on a primary basis.     (WRC-15)</w:t>
      </w:r>
    </w:p>
    <w:p w:rsidR="003D7A54" w:rsidRPr="003B3721" w:rsidRDefault="003D7A54" w:rsidP="006A72EB">
      <w:r w:rsidRPr="003B3721">
        <w:rPr>
          <w:rStyle w:val="ECCHLbold"/>
        </w:rPr>
        <w:t>5.161B</w:t>
      </w:r>
      <w:r w:rsidRPr="003B3721">
        <w:tab/>
      </w:r>
      <w:r w:rsidR="006A72EB" w:rsidRPr="006A72EB">
        <w:t>Alternative  allocation: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(WRC-15)</w:t>
      </w:r>
    </w:p>
    <w:p w:rsidR="003D7A54" w:rsidRPr="003B3721" w:rsidRDefault="003D7A54" w:rsidP="003D7A54">
      <w:r w:rsidRPr="003B3721">
        <w:rPr>
          <w:rStyle w:val="ECCHLbold"/>
        </w:rPr>
        <w:t>5.162A</w:t>
      </w:r>
      <w:r w:rsidRPr="003B3721">
        <w:tab/>
        <w:t>Additional allocation: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 97).     (WRC</w:t>
      </w:r>
      <w:r w:rsidR="004517D7">
        <w:t>-</w:t>
      </w:r>
      <w:r w:rsidRPr="003B3721">
        <w:t>12)</w:t>
      </w:r>
    </w:p>
    <w:p w:rsidR="003D7A54" w:rsidRPr="003B3721" w:rsidRDefault="003D7A54" w:rsidP="003D7A54">
      <w:r w:rsidRPr="003B3721">
        <w:rPr>
          <w:rStyle w:val="ECCHLbold"/>
        </w:rPr>
        <w:lastRenderedPageBreak/>
        <w:t>5.163</w:t>
      </w:r>
      <w:r w:rsidRPr="003B3721">
        <w:rPr>
          <w:rStyle w:val="ECCHLbold"/>
        </w:rPr>
        <w:tab/>
      </w:r>
      <w:r w:rsidRPr="003B3721">
        <w:tab/>
        <w:t>Additional allocation:  in Armenia, Belarus, the Russian Federation, Georgia, Hungary, Kazakhstan, Latvia, Moldova, Uzbekistan, Kyrgyzstan, Tajikistan, Turkmenistan and Ukraine, the bands 47-48.5 MHz and 56.5-58 MHz are also allocated to the fixed and land mobile services on a secondary basis.     (WRC</w:t>
      </w:r>
      <w:r w:rsidR="004517D7">
        <w:t>-</w:t>
      </w:r>
      <w:r w:rsidRPr="003B3721">
        <w:t>12)</w:t>
      </w:r>
    </w:p>
    <w:p w:rsidR="00BF23E9" w:rsidRDefault="003D7A54" w:rsidP="00BF23E9">
      <w:r w:rsidRPr="003B3721">
        <w:rPr>
          <w:rStyle w:val="ECCHLbold"/>
        </w:rPr>
        <w:t>5.164</w:t>
      </w:r>
      <w:r w:rsidRPr="003B3721">
        <w:rPr>
          <w:rStyle w:val="ECCHLbold"/>
        </w:rPr>
        <w:tab/>
      </w:r>
      <w:r w:rsidRPr="003B3721">
        <w:tab/>
      </w:r>
      <w:r w:rsidR="00BF23E9" w:rsidRPr="00BF23E9">
        <w:t xml:space="preserve">Additional  allocation:  in  Albania,  Algeria,  Germany,  Austria,  Belgium,  Bosnia  and  Herzegovina, Botswana, Bulgaria, Côte d'Ivoire, Croatia,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frequency band 47-68 MHz, in South Africa the frequency band 47-50 MHz, and in Latvia the frequency band 48.5-56.5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(WRC-15) </w:t>
      </w:r>
    </w:p>
    <w:p w:rsidR="00BF23E9" w:rsidRDefault="00BF23E9" w:rsidP="00BF23E9">
      <w:r w:rsidRPr="003B3721">
        <w:rPr>
          <w:rStyle w:val="ECCHLbold"/>
        </w:rPr>
        <w:t>5.1</w:t>
      </w:r>
      <w:r>
        <w:rPr>
          <w:rStyle w:val="ECCHLbold"/>
        </w:rPr>
        <w:t>72</w:t>
      </w:r>
      <w:r w:rsidRPr="003B3721">
        <w:rPr>
          <w:rStyle w:val="ECCHLbold"/>
        </w:rPr>
        <w:tab/>
      </w:r>
      <w:r w:rsidRPr="003B3721">
        <w:tab/>
      </w:r>
      <w:r w:rsidRPr="00BF23E9">
        <w:t xml:space="preserve">Different  category  of  service:  in  the  French  overseas  departments  and  communities  in  Region 2  and Guyana,  the  allocation  of  the  frequency  band  54-68 MHz  to  the  fixed  and  mobile  services  is  on  a  primary  basis (see No. 5.33).      (WRC-15) </w:t>
      </w:r>
    </w:p>
    <w:p w:rsidR="003D7A54" w:rsidRPr="003B3721" w:rsidRDefault="00BF23E9" w:rsidP="00BF23E9">
      <w:r w:rsidRPr="003B3721">
        <w:rPr>
          <w:rStyle w:val="ECCHLbold"/>
        </w:rPr>
        <w:t>5.1</w:t>
      </w:r>
      <w:r>
        <w:rPr>
          <w:rStyle w:val="ECCHLbold"/>
        </w:rPr>
        <w:t>73</w:t>
      </w:r>
      <w:r w:rsidRPr="003B3721">
        <w:rPr>
          <w:rStyle w:val="ECCHLbold"/>
        </w:rPr>
        <w:tab/>
      </w:r>
      <w:r w:rsidRPr="003B3721">
        <w:tab/>
      </w:r>
      <w:r w:rsidRPr="00BF23E9">
        <w:t>Different  category  of  service:  in  the  French  overseas  departments  and  communities  in  Region 2  and Guyana,  the  allocation  of  the  frequency  band  68-72 MHz  to  the  fixed  and  mobile  services  is  on  a  primary  basis (see No. 5.33).      (WRC-15)</w:t>
      </w:r>
    </w:p>
    <w:p w:rsidR="003D7A54" w:rsidRPr="003B3721" w:rsidRDefault="003D7A54" w:rsidP="003D7A54">
      <w:r w:rsidRPr="003B3721">
        <w:rPr>
          <w:rStyle w:val="ECCHLbold"/>
        </w:rPr>
        <w:t>5.175</w:t>
      </w:r>
      <w:r w:rsidRPr="003B3721">
        <w:rPr>
          <w:rStyle w:val="ECCHLbold"/>
        </w:rPr>
        <w:tab/>
      </w:r>
      <w:r w:rsidRPr="003B3721">
        <w:tab/>
        <w:t>Alternative allocation:  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 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w:t>
      </w:r>
      <w:r w:rsidR="004517D7">
        <w:t>-</w:t>
      </w:r>
      <w:r w:rsidRPr="003B3721">
        <w:t>07)</w:t>
      </w:r>
    </w:p>
    <w:p w:rsidR="003D7A54" w:rsidRPr="003B3721" w:rsidRDefault="003D7A54" w:rsidP="003D7A54">
      <w:r w:rsidRPr="003B3721">
        <w:rPr>
          <w:rStyle w:val="ECCHLbold"/>
        </w:rPr>
        <w:t>5.177</w:t>
      </w:r>
      <w:r w:rsidRPr="003B3721">
        <w:rPr>
          <w:rStyle w:val="ECCHLbold"/>
        </w:rPr>
        <w:tab/>
      </w:r>
      <w:r w:rsidRPr="003B3721">
        <w:tab/>
        <w:t>Additional allocation:  in Armenia, Azerbaijan, Belarus, the Russian Federation, Georgia, Kazakhstan, Uzbekistan, Kyrgyzstan, Tajikistan, Turkmenistan and Ukraine, the band 73-74 MHz is also allocated to the broadcasting service on a primary basis, subject to agreement obtained under No. 9.21.      (WRC</w:t>
      </w:r>
      <w:r w:rsidR="004517D7">
        <w:t>-</w:t>
      </w:r>
      <w:r w:rsidRPr="003B3721">
        <w:t>07)</w:t>
      </w:r>
    </w:p>
    <w:p w:rsidR="00BF23E9" w:rsidRDefault="003D7A54" w:rsidP="00BF23E9">
      <w:r w:rsidRPr="003B3721">
        <w:rPr>
          <w:rStyle w:val="ECCHLbold"/>
        </w:rPr>
        <w:t>5.179</w:t>
      </w:r>
      <w:r w:rsidRPr="003B3721">
        <w:rPr>
          <w:rStyle w:val="ECCHLbold"/>
        </w:rPr>
        <w:tab/>
      </w:r>
      <w:r w:rsidRPr="003B3721">
        <w:tab/>
        <w:t xml:space="preserve">Additional allocation:  in Armenia, Azerbaijan, Belarus, China, the Russian Federation, Georgia, Kazakhstan, Lithuania, Mongolia, Kyrgyzstan, Tajikistan, Turkmenistan and Ukraine, the bands 74.6-74.8 MHz and 75.2-75.4 MHz are also allocated to the aeronautical </w:t>
      </w:r>
      <w:proofErr w:type="spellStart"/>
      <w:r w:rsidRPr="003B3721">
        <w:t>radionavigation</w:t>
      </w:r>
      <w:proofErr w:type="spellEnd"/>
      <w:r w:rsidRPr="003B3721">
        <w:t xml:space="preserve"> service, on a primary basis, for ground-based transmitters only.     (WRC</w:t>
      </w:r>
      <w:r w:rsidR="004517D7">
        <w:t>-</w:t>
      </w:r>
      <w:r w:rsidRPr="003B3721">
        <w:t>12)</w:t>
      </w:r>
      <w:r w:rsidR="00BF23E9" w:rsidRPr="00BF23E9">
        <w:t xml:space="preserve"> </w:t>
      </w:r>
    </w:p>
    <w:p w:rsidR="003D7A54" w:rsidRPr="003B3721" w:rsidRDefault="00BF23E9" w:rsidP="00BF23E9">
      <w:r>
        <w:rPr>
          <w:rStyle w:val="ECCHLbold"/>
        </w:rPr>
        <w:t>5.185</w:t>
      </w:r>
      <w:r w:rsidRPr="003B3721">
        <w:rPr>
          <w:rStyle w:val="ECCHLbold"/>
        </w:rPr>
        <w:tab/>
      </w:r>
      <w:r w:rsidRPr="003B3721">
        <w:tab/>
      </w:r>
      <w:r w:rsidRPr="00BF23E9">
        <w:t>Different category of service:  in the United States, the French overseas departments and communities in Region 2, Guyana and Paraguay, the allocation of the frequency band 76-88 MHz to the fixed and mobile services is on a primary basis (see No. 5.33).      (WRC-15)</w:t>
      </w:r>
    </w:p>
    <w:p w:rsidR="003D7A54" w:rsidRPr="003B3721" w:rsidRDefault="003D7A54" w:rsidP="003D7A54">
      <w:r w:rsidRPr="003B3721">
        <w:rPr>
          <w:rStyle w:val="ECCHLbold"/>
        </w:rPr>
        <w:t>5.187</w:t>
      </w:r>
      <w:r w:rsidRPr="003B3721">
        <w:rPr>
          <w:rStyle w:val="ECCHLbold"/>
        </w:rPr>
        <w:tab/>
      </w:r>
      <w:r w:rsidRPr="003B3721">
        <w:tab/>
        <w:t>Alternative allocation:  in Albania, the band 81-87.5 MHz is allocated to the broadcasting service on a primary basis and used in accordance with the decisions contained in the Final Acts of the Special Regional Conference (Geneva, 1960).</w:t>
      </w:r>
    </w:p>
    <w:p w:rsidR="003D7A54" w:rsidRPr="003B3721" w:rsidRDefault="003D7A54" w:rsidP="003D7A54">
      <w:r w:rsidRPr="003B3721">
        <w:rPr>
          <w:rStyle w:val="ECCHLbold"/>
        </w:rPr>
        <w:t>5.190</w:t>
      </w:r>
      <w:r w:rsidRPr="003B3721">
        <w:rPr>
          <w:rStyle w:val="ECCHLbold"/>
        </w:rPr>
        <w:tab/>
      </w:r>
      <w:r w:rsidRPr="003B3721">
        <w:tab/>
        <w:t>Additional allocation:  in Monaco, the band 87.5-88 MHz is also allocated to the land mobile service on a primary basis, subject to agreement obtained under No. 9.21.     (WRC-97)</w:t>
      </w:r>
    </w:p>
    <w:p w:rsidR="003D7A54" w:rsidRPr="003B3721" w:rsidRDefault="003D7A54" w:rsidP="003D7A54">
      <w:r w:rsidRPr="003B3721">
        <w:rPr>
          <w:rStyle w:val="ECCHLbold"/>
        </w:rPr>
        <w:t>5.194</w:t>
      </w:r>
      <w:r w:rsidRPr="003B3721">
        <w:rPr>
          <w:rStyle w:val="ECCHLbold"/>
        </w:rPr>
        <w:tab/>
      </w:r>
      <w:r w:rsidRPr="003B3721">
        <w:tab/>
        <w:t>Additional allocation:  in Azerbaijan, Kyrgyzstan, Somalia and Turkmenistan, the band 104-108 MHz is also allocated to the mobile, except aeronautical mobile (R), service on a secondary basis.     (WRC-07)</w:t>
      </w:r>
    </w:p>
    <w:p w:rsidR="003D7A54" w:rsidRPr="003B3721" w:rsidRDefault="003D7A54" w:rsidP="00BF23E9">
      <w:r w:rsidRPr="003B3721">
        <w:rPr>
          <w:rStyle w:val="ECCHLbold"/>
        </w:rPr>
        <w:t>5.201</w:t>
      </w:r>
      <w:r w:rsidRPr="003B3721">
        <w:rPr>
          <w:rStyle w:val="ECCHLbold"/>
        </w:rPr>
        <w:tab/>
      </w:r>
      <w:r w:rsidRPr="003B3721">
        <w:tab/>
      </w:r>
      <w:r w:rsidR="00BF23E9" w:rsidRPr="00BF23E9">
        <w:t xml:space="preserve">Additional  allocation:  in  Armenia,  Azerbaijan,  Belarus,  Bulgaria,  Estonia,  the  Russian  Federation, Georgia, Hungary, Iran (Islamic Republic of), Iraq (Republic of), Japan, Kazakhstan, Moldova, </w:t>
      </w:r>
      <w:r w:rsidR="00BF23E9" w:rsidRPr="00BF23E9">
        <w:lastRenderedPageBreak/>
        <w:t>Mongolia, Mozambique, Uzbekistan, Papua New Guinea, Poland, Kyrgyzstan, Romania,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BF23E9">
      <w:r w:rsidRPr="003B3721">
        <w:rPr>
          <w:rStyle w:val="ECCHLbold"/>
        </w:rPr>
        <w:t>5.202</w:t>
      </w:r>
      <w:r w:rsidRPr="003B3721">
        <w:rPr>
          <w:rStyle w:val="ECCHLbold"/>
        </w:rPr>
        <w:tab/>
      </w:r>
      <w:r w:rsidRPr="003B3721">
        <w:tab/>
      </w:r>
      <w:r w:rsidR="00BF23E9" w:rsidRPr="00BF23E9">
        <w:t>Additional allocation:  in Saudi Arabia, Armenia, Azerbaijan, Belarus, Bulgaria, the United Arab Emirates, the Russian Federation, Georgia, Iran (Islamic Republic of), Jordan, Oman, Uzbekistan, Poland, the Syrian Arab Republic, Kyrgyzstan, Romania,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3D7A54">
      <w:r w:rsidRPr="003B3721">
        <w:rPr>
          <w:rStyle w:val="ECCHLbold"/>
        </w:rPr>
        <w:t>5.204</w:t>
      </w:r>
      <w:r w:rsidRPr="003B3721">
        <w:rPr>
          <w:rStyle w:val="ECCHLbold"/>
        </w:rPr>
        <w:tab/>
      </w:r>
      <w:r w:rsidRPr="003B3721">
        <w:tab/>
        <w:t>Different category of service: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     (WRC-07)</w:t>
      </w:r>
    </w:p>
    <w:p w:rsidR="003D7A54" w:rsidRPr="003B3721" w:rsidRDefault="003D7A54" w:rsidP="003D7A54">
      <w:r w:rsidRPr="003B3721">
        <w:rPr>
          <w:rStyle w:val="ECCHLbold"/>
        </w:rPr>
        <w:t>5.206</w:t>
      </w:r>
      <w:r w:rsidRPr="003B3721">
        <w:rPr>
          <w:rStyle w:val="ECCHLbold"/>
        </w:rPr>
        <w:tab/>
      </w:r>
      <w:r w:rsidRPr="003B3721">
        <w:tab/>
        <w:t>Different category of service:  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137-138 MHz to the aeronautical mobile (OR) service is on a primary basis (see No. 5.33).     (WRC</w:t>
      </w:r>
      <w:r w:rsidR="004517D7">
        <w:t>-</w:t>
      </w:r>
      <w:r w:rsidRPr="003B3721">
        <w:t>2000)</w:t>
      </w:r>
    </w:p>
    <w:p w:rsidR="003D7A54" w:rsidRPr="003B3721" w:rsidRDefault="003D7A54" w:rsidP="003D7A54">
      <w:r w:rsidRPr="003B3721">
        <w:rPr>
          <w:rStyle w:val="ECCHLbold"/>
        </w:rPr>
        <w:t>5.210</w:t>
      </w:r>
      <w:r w:rsidRPr="003B3721">
        <w:rPr>
          <w:rStyle w:val="ECCHLbold"/>
        </w:rPr>
        <w:tab/>
      </w:r>
      <w:r w:rsidRPr="003B3721">
        <w:tab/>
        <w:t>Additional allocation:  in Italy, the Czech Rep. and the United Kingdom, the bands 138-143.6 MHz and 143.65-144 MHz are also allocated to the space research service (space-to-Earth) on a secondary basis.     (WRC-07)</w:t>
      </w:r>
    </w:p>
    <w:p w:rsidR="003D7A54" w:rsidRPr="003B3721" w:rsidRDefault="003D7A54" w:rsidP="00BF23E9">
      <w:r w:rsidRPr="003B3721">
        <w:rPr>
          <w:rStyle w:val="ECCHLbold"/>
        </w:rPr>
        <w:t>5.211</w:t>
      </w:r>
      <w:r w:rsidRPr="003B3721">
        <w:rPr>
          <w:rStyle w:val="ECCHLbold"/>
        </w:rPr>
        <w:tab/>
      </w:r>
      <w:r w:rsidRPr="003B3721">
        <w:tab/>
      </w:r>
      <w:r w:rsidR="00BF23E9" w:rsidRPr="00BF23E9">
        <w:t>Additional allocation:  in Germany, Saudi Arabia, Austria, Bahrain, Belgium, Denmark, the United Arab Emirates, Spain, Finland, Greece, Guinea, Ireland, Israel, Kenya, Kuwait, The Former Yugoslav Republic of Macedonia, Lebanon, Liechtenstein, Luxembourg, Mali, Malta, Montenegro, Norway, the Netherlands, Qatar, Slovakia, the United Kingdom,  Serbia,  Slovenia,  Somalia,  Sweden,  Switzerland,  Tanzania,  Tunisia  and  Turkey,  the  frequency  band 138-144 MHz is also allocated to the maritime mobile and land mobile services on a primary basis.    (WRC-15)</w:t>
      </w:r>
    </w:p>
    <w:p w:rsidR="003D7A54" w:rsidRPr="003B3721" w:rsidRDefault="003D7A54" w:rsidP="003D7A54">
      <w:r w:rsidRPr="003B3721">
        <w:rPr>
          <w:rStyle w:val="ECCHLbold"/>
        </w:rPr>
        <w:t>5.214</w:t>
      </w:r>
      <w:r w:rsidRPr="003B3721">
        <w:rPr>
          <w:rStyle w:val="ECCHLbold"/>
        </w:rPr>
        <w:tab/>
      </w:r>
      <w:r w:rsidRPr="003B3721">
        <w:tab/>
        <w:t>Additional allocation:  in Eritrea, Ethiopia, Kenya, The Former Yugoslav Republic of Macedonia, Montenegro, Serbia, Somalia, Sudan, South Sudan and Tanzania, the band 138-144 MHz is also allocated to the fixed service on a primary basis.     (WRC</w:t>
      </w:r>
      <w:r w:rsidR="004517D7">
        <w:t>-</w:t>
      </w:r>
      <w:r w:rsidRPr="003B3721">
        <w:t>12)</w:t>
      </w:r>
    </w:p>
    <w:p w:rsidR="003D7A54" w:rsidRPr="003B3721" w:rsidRDefault="003D7A54" w:rsidP="00BF23E9">
      <w:r w:rsidRPr="003B3721">
        <w:rPr>
          <w:rStyle w:val="ECCHLbold"/>
        </w:rPr>
        <w:t>5.221</w:t>
      </w:r>
      <w:r w:rsidRPr="003B3721">
        <w:rPr>
          <w:rStyle w:val="ECCHLbold"/>
        </w:rPr>
        <w:tab/>
      </w:r>
      <w:r w:rsidRPr="003B3721">
        <w:tab/>
      </w:r>
      <w:r w:rsidR="00BF23E9" w:rsidRPr="00BF23E9">
        <w:t xml:space="preserve">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w:t>
      </w:r>
      <w:proofErr w:type="gramStart"/>
      <w:r w:rsidR="00BF23E9" w:rsidRPr="00BF23E9">
        <w:t>of  the</w:t>
      </w:r>
      <w:proofErr w:type="gramEnd"/>
      <w:r w:rsidR="00BF23E9" w:rsidRPr="00BF23E9">
        <w:t>),  Korea  (Rep.  of),  Côte  d'Ivoire,  Croatia,  Cuba,  Denmark, Djibouti, Egypt, the United Arab Emirates, Eritrea, Spain, Estonia, Ethiopia, the Russian Federation, Finland, France, Gabon, Georgia,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     (WRC-15)</w:t>
      </w:r>
    </w:p>
    <w:p w:rsidR="003D7A54" w:rsidRPr="003B3721" w:rsidRDefault="003D7A54" w:rsidP="003D7A54">
      <w:r w:rsidRPr="003B3721">
        <w:rPr>
          <w:rStyle w:val="ECCHLbold"/>
        </w:rPr>
        <w:t>5.225A</w:t>
      </w:r>
      <w:r w:rsidRPr="003B3721">
        <w:tab/>
        <w:t xml:space="preserve">Additional allocation: in Algeria, Armenia, Azerbaijan, Belarus, China, the Russian Federation, France, Iran (Islamic Republic of), Kazakhstan, Uzbekistan, Kyrgyzstan, Tajikistan, Turkmenistan, Ukraine and Viet Nam, the frequency band 154-156 MHz is also allocated to the radiolocation service on a primary </w:t>
      </w:r>
      <w:r w:rsidRPr="003B3721">
        <w:lastRenderedPageBreak/>
        <w:t>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9.21. For the identification of potentially affected administrations in Region 1, the instantaneous field-strength value of 12 dB(</w:t>
      </w:r>
      <w:proofErr w:type="spellStart"/>
      <w:r w:rsidRPr="003B3721">
        <w:t>μV</w:t>
      </w:r>
      <w:proofErr w:type="spellEnd"/>
      <w:r w:rsidRPr="003B3721">
        <w:t xml:space="preserve">/m) for 10% of the time produced at 10 m above ground level in the 25 kHz reference frequency band at the border of the territory of any other administration shall be used. For the identification of potentially affected administrations in Region 3, the interference-to-noise ratio (I/N) value of −6 dB (N = −161 </w:t>
      </w:r>
      <w:proofErr w:type="spellStart"/>
      <w:r w:rsidRPr="003B3721">
        <w:t>dBW</w:t>
      </w:r>
      <w:proofErr w:type="spellEnd"/>
      <w:r w:rsidRPr="003B3721">
        <w:t xml:space="preserve">/4 kHz), or −10 dB for applications with greater protection requirements, such as public protection and disaster relief (PPDR (N = −161 </w:t>
      </w:r>
      <w:proofErr w:type="spellStart"/>
      <w:r w:rsidRPr="003B3721">
        <w:t>dBW</w:t>
      </w:r>
      <w:proofErr w:type="spellEnd"/>
      <w:r w:rsidRPr="003B3721">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3B3721">
        <w:t>e.i.r.p</w:t>
      </w:r>
      <w:proofErr w:type="spellEnd"/>
      <w:r w:rsidRPr="003B3721">
        <w:t xml:space="preserve">. of space surveillance radars shall not exceed −16 </w:t>
      </w:r>
      <w:proofErr w:type="spellStart"/>
      <w:r w:rsidRPr="003B3721">
        <w:t>dBW</w:t>
      </w:r>
      <w:proofErr w:type="spellEnd"/>
      <w:r w:rsidRPr="003B3721">
        <w:t>. Frequency assignments to the radiolocation service under this allocation in Ukraine shall not be used without the agreement of Moldova.     (WRC</w:t>
      </w:r>
      <w:r w:rsidR="004517D7">
        <w:t>-</w:t>
      </w:r>
      <w:r w:rsidRPr="003B3721">
        <w:t>12)</w:t>
      </w:r>
    </w:p>
    <w:p w:rsidR="003D7A54" w:rsidRPr="003B3721" w:rsidRDefault="003D7A54" w:rsidP="003D7A54">
      <w:r w:rsidRPr="003B3721">
        <w:rPr>
          <w:rStyle w:val="ECCHLbold"/>
        </w:rPr>
        <w:t>5.235</w:t>
      </w:r>
      <w:r w:rsidRPr="003B3721">
        <w:rPr>
          <w:rStyle w:val="ECCHLbold"/>
        </w:rPr>
        <w:tab/>
      </w:r>
      <w:r w:rsidRPr="003B3721">
        <w:tab/>
        <w:t>Additional allocation: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3D7A54" w:rsidRPr="003B3721" w:rsidRDefault="003D7A54" w:rsidP="003D7A54">
      <w:r w:rsidRPr="003B3721">
        <w:rPr>
          <w:rStyle w:val="ECCHLbold"/>
        </w:rPr>
        <w:t>5.246</w:t>
      </w:r>
      <w:r w:rsidRPr="003B3721">
        <w:rPr>
          <w:rStyle w:val="ECCHLbold"/>
        </w:rPr>
        <w:tab/>
      </w:r>
      <w:r w:rsidRPr="003B3721">
        <w:tab/>
        <w:t>Alternative allocation: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3D7A54" w:rsidRPr="003B3721" w:rsidRDefault="003D7A54" w:rsidP="00A835AC">
      <w:r w:rsidRPr="003B3721">
        <w:rPr>
          <w:rStyle w:val="ECCHLbold"/>
        </w:rPr>
        <w:t>5.256A</w:t>
      </w:r>
      <w:r w:rsidRPr="003B3721">
        <w:tab/>
      </w:r>
      <w:r w:rsidR="00A835AC" w:rsidRPr="00A835AC">
        <w:t>Additional allocation:  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rsidR="003D7A54" w:rsidRPr="003B3721" w:rsidRDefault="003D7A54" w:rsidP="003D7A54">
      <w:r w:rsidRPr="003B3721">
        <w:rPr>
          <w:rStyle w:val="ECCHLbold"/>
        </w:rPr>
        <w:t>5.262</w:t>
      </w:r>
      <w:r w:rsidRPr="003B3721">
        <w:rPr>
          <w:rStyle w:val="ECCHLbold"/>
        </w:rPr>
        <w:tab/>
      </w:r>
      <w:r w:rsidRPr="003B3721">
        <w:rPr>
          <w:rStyle w:val="ECCHLbold"/>
        </w:rPr>
        <w:tab/>
      </w:r>
      <w:r w:rsidRPr="003B3721">
        <w:t>Additional allocation: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     (WRC</w:t>
      </w:r>
      <w:r w:rsidR="004517D7">
        <w:t>-</w:t>
      </w:r>
      <w:r w:rsidRPr="003B3721">
        <w:t>12)</w:t>
      </w:r>
    </w:p>
    <w:p w:rsidR="003D7A54" w:rsidRPr="003B3721" w:rsidRDefault="003D7A54" w:rsidP="003D7A54">
      <w:r w:rsidRPr="003B3721">
        <w:rPr>
          <w:rStyle w:val="ECCHLbold"/>
        </w:rPr>
        <w:t>5.269</w:t>
      </w:r>
      <w:r w:rsidRPr="003B3721">
        <w:rPr>
          <w:rStyle w:val="ECCHLbold"/>
        </w:rPr>
        <w:tab/>
      </w:r>
      <w:r w:rsidRPr="003B3721">
        <w:tab/>
        <w:t>Different category of service:  in Australia, the United States, India, Japan and the United Kingdom, the allocation of the bands 420-430 MHz and 440-450 MHz to the radiolocation service is on a primary basis (see No. 5.33).</w:t>
      </w:r>
    </w:p>
    <w:p w:rsidR="003D7A54" w:rsidRPr="003B3721" w:rsidRDefault="003D7A54" w:rsidP="003D7A54">
      <w:r w:rsidRPr="003B3721">
        <w:rPr>
          <w:rStyle w:val="ECCHLbold"/>
        </w:rPr>
        <w:t>5.271</w:t>
      </w:r>
      <w:r w:rsidRPr="003B3721">
        <w:tab/>
      </w:r>
      <w:r w:rsidRPr="003B3721">
        <w:tab/>
        <w:t xml:space="preserve">Additional allocation:  in Belarus, China, India, Kyrgyzstan and Turkmenistan, the band 420-460 MHz is also allocated to the aeronautical </w:t>
      </w:r>
      <w:proofErr w:type="spellStart"/>
      <w:r w:rsidRPr="003B3721">
        <w:t>radionavigation</w:t>
      </w:r>
      <w:proofErr w:type="spellEnd"/>
      <w:r w:rsidRPr="003B3721">
        <w:t xml:space="preserve"> service (radio altimeters) on a secondary basis.     (WRC-07)</w:t>
      </w:r>
    </w:p>
    <w:p w:rsidR="003D7A54" w:rsidRPr="003B3721" w:rsidRDefault="003D7A54" w:rsidP="003D7A54">
      <w:r w:rsidRPr="003B3721">
        <w:rPr>
          <w:rStyle w:val="ECCHLbold"/>
        </w:rPr>
        <w:t>5.274</w:t>
      </w:r>
      <w:r w:rsidRPr="003B3721">
        <w:rPr>
          <w:rStyle w:val="ECCHLbold"/>
        </w:rPr>
        <w:tab/>
      </w:r>
      <w:r w:rsidRPr="003B3721">
        <w:tab/>
        <w:t>Alternative allocation:  in Denmark, Norway, Sweden and Chad, the bands 430-432 MHz and 438-440 MHz are allocated to the fixed and mobile, except aeronautical mobile, services on a primary basis.     (WRC</w:t>
      </w:r>
      <w:r w:rsidR="004517D7">
        <w:t>-</w:t>
      </w:r>
      <w:r w:rsidRPr="003B3721">
        <w:t>12)</w:t>
      </w:r>
    </w:p>
    <w:p w:rsidR="003D7A54" w:rsidRPr="003B3721" w:rsidRDefault="003D7A54" w:rsidP="00A835AC">
      <w:r w:rsidRPr="003B3721">
        <w:rPr>
          <w:rStyle w:val="ECCHLbold"/>
        </w:rPr>
        <w:t>5.275</w:t>
      </w:r>
      <w:r w:rsidRPr="003B3721">
        <w:rPr>
          <w:rStyle w:val="ECCHLbold"/>
        </w:rPr>
        <w:tab/>
      </w:r>
      <w:r w:rsidRPr="003B3721">
        <w:rPr>
          <w:rStyle w:val="ECCHLbold"/>
        </w:rPr>
        <w:tab/>
      </w:r>
      <w:r w:rsidR="00A835AC" w:rsidRPr="00A835AC">
        <w:t>Additional allocation:  in Croatia, Estonia, Finland, Libya, The Former Yugoslav Republic of Macedonia, Montenegro and Serbia, the frequency bands 430-432 MHz and 438-440 MHz are also allocated to the fixed and mobile, except aeronautical mobile, services on a primary basis.     (WRC-15)</w:t>
      </w:r>
    </w:p>
    <w:p w:rsidR="003D7A54" w:rsidRPr="003B3721" w:rsidRDefault="003D7A54" w:rsidP="00A835AC">
      <w:r w:rsidRPr="003B3721">
        <w:rPr>
          <w:rStyle w:val="ECCHLbold"/>
        </w:rPr>
        <w:lastRenderedPageBreak/>
        <w:t>5.276</w:t>
      </w:r>
      <w:r w:rsidRPr="003B3721">
        <w:rPr>
          <w:rStyle w:val="ECCHLbold"/>
        </w:rPr>
        <w:tab/>
      </w:r>
      <w:r w:rsidRPr="003B3721">
        <w:tab/>
      </w:r>
      <w:r w:rsidR="00A835AC" w:rsidRPr="00A835AC">
        <w:t xml:space="preserve">Additional allocation: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w:t>
      </w:r>
      <w:proofErr w:type="gramStart"/>
      <w:r w:rsidR="00A835AC" w:rsidRPr="00A835AC">
        <w:t>People’s  Rep</w:t>
      </w:r>
      <w:proofErr w:type="gramEnd"/>
      <w:r w:rsidR="00A835AC" w:rsidRPr="00A835AC">
        <w:t xml:space="preserve">.  </w:t>
      </w:r>
      <w:proofErr w:type="gramStart"/>
      <w:r w:rsidR="00A835AC" w:rsidRPr="00A835AC">
        <w:t>of  Korea</w:t>
      </w:r>
      <w:proofErr w:type="gramEnd"/>
      <w:r w:rsidR="00A835AC" w:rsidRPr="00A835AC">
        <w:t>,  Singapore,  Somalia,  Sudan, Switzerland, Thailand, Togo, Turkey and Yemen, the frequency band 430-440 MHz is also allocated to the fixed service on a primary basis and the frequency bands 430-435 MHz and 438-440 MHz are also allocated, except in Ecuador, to the mobile, except aeronautical mobile, service on a primary basis.     (WRC-15)</w:t>
      </w:r>
    </w:p>
    <w:p w:rsidR="003D7A54" w:rsidRPr="003B3721" w:rsidRDefault="003D7A54" w:rsidP="003D7A54">
      <w:r w:rsidRPr="003B3721">
        <w:rPr>
          <w:rStyle w:val="ECCHLbold"/>
        </w:rPr>
        <w:t>5.277</w:t>
      </w:r>
      <w:r w:rsidRPr="003B3721">
        <w:rPr>
          <w:rStyle w:val="ECCHLbold"/>
        </w:rPr>
        <w:tab/>
      </w:r>
      <w:r w:rsidRPr="003B3721">
        <w:tab/>
        <w:t>Additional allocation: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     (WRC</w:t>
      </w:r>
      <w:r w:rsidR="004517D7">
        <w:t>-</w:t>
      </w:r>
      <w:r w:rsidRPr="003B3721">
        <w:t>12)</w:t>
      </w:r>
    </w:p>
    <w:p w:rsidR="003D7A54" w:rsidRPr="003B3721" w:rsidRDefault="003D7A54" w:rsidP="003D7A54">
      <w:r w:rsidRPr="003B3721">
        <w:rPr>
          <w:rStyle w:val="ECCHLbold"/>
        </w:rPr>
        <w:t>5.280</w:t>
      </w:r>
      <w:r w:rsidRPr="003B3721">
        <w:rPr>
          <w:rStyle w:val="ECCHLbold"/>
        </w:rPr>
        <w:tab/>
      </w:r>
      <w:r w:rsidRPr="003B3721">
        <w:tab/>
        <w:t xml:space="preserve">In Germany, Austria, Bosnia and Herzegovina, Croatia, The Former Yugoslav Republic of Macedonia, Liechtenstein, Montenegro, Portugal, Serbia, Slovenia and Switzerland, the band 433.05-434.79 MHz (centre frequency 433.92 MHz) is designated for industrial, scientific and medical (ISM) applications. </w:t>
      </w:r>
      <w:proofErr w:type="spellStart"/>
      <w:r w:rsidRPr="003B3721">
        <w:t>Radiocommunication</w:t>
      </w:r>
      <w:proofErr w:type="spellEnd"/>
      <w:r w:rsidRPr="003B3721">
        <w:t xml:space="preserve"> services of these countries operating within this band must accept harmful interference which may be caused by these applications. ISM equipment operating in this band is subject to the provisions of No. 15.13.      (WRC-07)</w:t>
      </w:r>
    </w:p>
    <w:p w:rsidR="00BA4629" w:rsidRPr="009A17DC" w:rsidRDefault="00BA4629" w:rsidP="009A17DC">
      <w:r w:rsidRPr="009A17DC">
        <w:rPr>
          <w:rStyle w:val="ECCHLbold"/>
        </w:rPr>
        <w:t>5.281</w:t>
      </w:r>
      <w:r w:rsidRPr="009A17DC">
        <w:rPr>
          <w:rStyle w:val="ECCHLbold"/>
        </w:rPr>
        <w:tab/>
      </w:r>
      <w:r w:rsidRPr="00E23B65">
        <w:rPr>
          <w:rStyle w:val="ECCHLbold"/>
        </w:rPr>
        <w:tab/>
      </w:r>
      <w:r w:rsidRPr="009A17DC">
        <w:t>Additional allocation: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3D7A54" w:rsidRPr="003B3721" w:rsidRDefault="003D7A54" w:rsidP="003D7A54">
      <w:r w:rsidRPr="003B3721">
        <w:rPr>
          <w:rStyle w:val="ECCHLbold"/>
        </w:rPr>
        <w:t>5.283</w:t>
      </w:r>
      <w:r w:rsidRPr="003B3721">
        <w:rPr>
          <w:rStyle w:val="ECCHLbold"/>
        </w:rPr>
        <w:tab/>
      </w:r>
      <w:r w:rsidRPr="003B3721">
        <w:tab/>
        <w:t>Additional allocation:  in Austria, the band 438-440 MHz is also allocated to the fixed and mobile, except aeronautical mobile, services on a primary basis.</w:t>
      </w:r>
    </w:p>
    <w:p w:rsidR="003D7A54" w:rsidRPr="003B3721" w:rsidRDefault="003D7A54" w:rsidP="003D7A54">
      <w:r w:rsidRPr="003B3721">
        <w:rPr>
          <w:rStyle w:val="ECCHLbold"/>
        </w:rPr>
        <w:t>5.290</w:t>
      </w:r>
      <w:r w:rsidRPr="003B3721">
        <w:rPr>
          <w:rStyle w:val="ECCHLbold"/>
        </w:rPr>
        <w:tab/>
      </w:r>
      <w:r w:rsidRPr="003B3721">
        <w:tab/>
        <w:t>Different category of service:  in Afghanistan, Azerbaijan, Belarus, China, the Russian Federation, Japan, Kyrgyzstan, Tajikistan and Turkmenistan, the allocation of the band 460-470 MHz to the meteorological-satellite service (space-to-Earth) is on a primary basis (see No. 5.33), subject to agreement obtained under No. 9.21.     (WRC</w:t>
      </w:r>
      <w:r w:rsidR="004517D7">
        <w:t>-</w:t>
      </w:r>
      <w:r w:rsidRPr="003B3721">
        <w:t>12)</w:t>
      </w:r>
    </w:p>
    <w:p w:rsidR="003D7A54" w:rsidRPr="003B3721" w:rsidRDefault="003D7A54" w:rsidP="00A835AC">
      <w:r w:rsidRPr="003B3721">
        <w:rPr>
          <w:rStyle w:val="ECCHLbold"/>
        </w:rPr>
        <w:t>5.291A</w:t>
      </w:r>
      <w:r w:rsidRPr="003B3721">
        <w:tab/>
      </w:r>
      <w:r w:rsidR="00A835AC" w:rsidRPr="00A835AC">
        <w:t>Additional allocation:  in Germany, Austria, Denmark, Estonia, Liechtenstein, the Czech Rep., Serbia and Switzerland, the frequency band 470-494 MHz is also allocated to the radiolocation service on a secondary basis. This use is limited to the operation of wind profiler radars in accordance with Resolution 217 (WRC-97).     (WRC-15)</w:t>
      </w:r>
    </w:p>
    <w:p w:rsidR="003D7A54" w:rsidRPr="003B3721" w:rsidRDefault="003D7A54" w:rsidP="00A835AC">
      <w:r w:rsidRPr="003B3721">
        <w:rPr>
          <w:rStyle w:val="ECCHLbold"/>
        </w:rPr>
        <w:t>5.296</w:t>
      </w:r>
      <w:r w:rsidRPr="003B3721">
        <w:rPr>
          <w:rStyle w:val="ECCHLbold"/>
        </w:rPr>
        <w:tab/>
      </w:r>
      <w:r w:rsidRPr="003B3721">
        <w:tab/>
      </w:r>
      <w:r w:rsidR="00A835AC" w:rsidRPr="00A835AC">
        <w:t>Additional allocation:  in  Albania, Germany,  Angola, Saudi  Arabia, Austria, Bahrain, Belgium, Benin, Bosnia and Herzegovina, Botswana, Bulgaria, Burkina Faso, Burundi, Cameroon, Vatican, Congo (Rep. of the), Côte d'Ivoire, Croatia, Denmark, Djibouti, Egypt, United Arab Emirates, Spain, Estonia, Finland, France, Gabon, Georgia, Ghana, Hungary, Iraq, Ireland, Iceland, Israel, Italy, Jordan, Kenya, Kuwait, Lesotho, Latvia, The Former Yugoslav Republic  of  Macedonia, Lebanon, Libya, Liechtenstein, Lithuania,  Luxembourg, Malawi,  Mali, Malta, Morocco, Mauritius, Mauritania, Moldova, Monaco, Mozambique,  Namibia, Niger, Nigeria, Norway, Oman, Uganda, the Netherlands, Poland, Portugal, Qatar, the Syrian Arab Republic, Slovakia, the Czech Republic, the United Kingdom, Rwanda, San Marino, Serbia, Sudan, South Africa, Sweden, Switzerland, Swaziland, Tanzania, Chad, Togo, Tunisia, Turkey, Ukraine, Zambia and Zimbabwe, the frequency band 470-694 MHz is also allocated on a secondary basis to the land mobile service, intended for applications ancillary to broadcasting and programme-making. Stations of the land mobile service in the countries listed in this footnote shall not cause harmful interference to existing or planned stations operating in accordance with the Table in countries other than those listed in this footnote.    (WRC-15)</w:t>
      </w:r>
    </w:p>
    <w:p w:rsidR="00F9389B" w:rsidRDefault="003D7A54" w:rsidP="003D7A54">
      <w:pPr>
        <w:rPr>
          <w:rStyle w:val="ECCHLbold"/>
        </w:rPr>
      </w:pPr>
      <w:r w:rsidRPr="003B3721">
        <w:rPr>
          <w:rStyle w:val="ECCHLbold"/>
        </w:rPr>
        <w:t>5.312</w:t>
      </w:r>
      <w:r w:rsidRPr="003B3721">
        <w:rPr>
          <w:rStyle w:val="ECCHLbold"/>
        </w:rPr>
        <w:tab/>
      </w:r>
      <w:r w:rsidRPr="003B3721">
        <w:tab/>
      </w:r>
      <w:r w:rsidR="00A835AC" w:rsidRPr="00A835AC">
        <w:t>Additional allocation: in Armenia, A</w:t>
      </w:r>
      <w:r w:rsidR="00C61C38">
        <w:t>zerbaijan, Belarus, the Russian</w:t>
      </w:r>
      <w:r w:rsidR="00A835AC" w:rsidRPr="00A835AC">
        <w:t xml:space="preserve"> Federation, Georgia, Kazakhstan, Uzbekistan, Kyrgyzstan, Tajikistan, </w:t>
      </w:r>
      <w:proofErr w:type="gramStart"/>
      <w:r w:rsidR="00A835AC" w:rsidRPr="00A835AC">
        <w:t>Turkmenistan  and</w:t>
      </w:r>
      <w:proofErr w:type="gramEnd"/>
      <w:r w:rsidR="00A835AC" w:rsidRPr="00A835AC">
        <w:t xml:space="preserve">  Ukraine,  the  frequency band  645-862 MHz, in Bulgaria the frequency bands 646-686 MHz, 726-758 MHz, 766-814 MHz and 822-862 MHz, and in Poland the </w:t>
      </w:r>
      <w:proofErr w:type="spellStart"/>
      <w:r w:rsidR="00A835AC" w:rsidRPr="00A835AC">
        <w:t>frequenc</w:t>
      </w:r>
      <w:proofErr w:type="spellEnd"/>
      <w:r w:rsidR="00A835AC" w:rsidRPr="00A835AC">
        <w:t xml:space="preserve"> band 860-862 MHz until 31 December 2017, are also allocated to the aeronautical </w:t>
      </w:r>
      <w:proofErr w:type="spellStart"/>
      <w:r w:rsidR="00A835AC" w:rsidRPr="00A835AC">
        <w:t>radionavigation</w:t>
      </w:r>
      <w:proofErr w:type="spellEnd"/>
      <w:r w:rsidR="00A835AC" w:rsidRPr="00A835AC">
        <w:t xml:space="preserve"> service on a primary basis.     (WRC-15)</w:t>
      </w:r>
    </w:p>
    <w:p w:rsidR="003D7A54" w:rsidRPr="003B3721" w:rsidRDefault="003D7A54" w:rsidP="003D7A54">
      <w:r w:rsidRPr="003B3721">
        <w:rPr>
          <w:rStyle w:val="ECCHLbold"/>
        </w:rPr>
        <w:lastRenderedPageBreak/>
        <w:t>5.319</w:t>
      </w:r>
      <w:r w:rsidRPr="003B3721">
        <w:rPr>
          <w:rStyle w:val="ECCHLbold"/>
        </w:rPr>
        <w:tab/>
      </w:r>
      <w:r w:rsidRPr="003B3721">
        <w:tab/>
        <w:t>Additional allocation: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3D7A54" w:rsidRPr="003B3721" w:rsidRDefault="003D7A54" w:rsidP="003D7A54">
      <w:r w:rsidRPr="003B3721">
        <w:rPr>
          <w:rStyle w:val="ECCHLbold"/>
        </w:rPr>
        <w:t>5.322</w:t>
      </w:r>
      <w:r w:rsidRPr="003B3721">
        <w:rPr>
          <w:rStyle w:val="ECCHLbold"/>
        </w:rPr>
        <w:tab/>
      </w:r>
      <w:r w:rsidRPr="003B3721">
        <w:tab/>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     (WRC</w:t>
      </w:r>
      <w:r w:rsidR="004517D7">
        <w:t>-</w:t>
      </w:r>
      <w:r w:rsidRPr="003B3721">
        <w:t>12)</w:t>
      </w:r>
    </w:p>
    <w:p w:rsidR="003D7A54" w:rsidRDefault="003D7A54" w:rsidP="003D7A54">
      <w:r w:rsidRPr="003B3721">
        <w:rPr>
          <w:rStyle w:val="ECCHLbold"/>
        </w:rPr>
        <w:t>5.323</w:t>
      </w:r>
      <w:r w:rsidRPr="003B3721">
        <w:rPr>
          <w:rStyle w:val="ECCHLbold"/>
        </w:rPr>
        <w:tab/>
      </w:r>
      <w:r w:rsidRPr="003B3721">
        <w:tab/>
        <w:t xml:space="preserve">Additional allocation: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w:t>
      </w:r>
      <w:proofErr w:type="spellStart"/>
      <w:r w:rsidRPr="003B3721">
        <w:t>radionavigation</w:t>
      </w:r>
      <w:proofErr w:type="spellEnd"/>
      <w:r w:rsidRPr="003B3721">
        <w:t xml:space="preserve"> service on a primary basis. Such use is subject to agreement obtained under No. 9.21 with administrations concerned and limited to ground-based </w:t>
      </w:r>
      <w:proofErr w:type="spellStart"/>
      <w:r w:rsidRPr="003B3721">
        <w:t>radiobeacons</w:t>
      </w:r>
      <w:proofErr w:type="spellEnd"/>
      <w:r w:rsidRPr="003B3721">
        <w:t xml:space="preserve"> in operation on 27 October 1997 until the end of their lifetime.     (WRC</w:t>
      </w:r>
      <w:r w:rsidR="004517D7">
        <w:t>-</w:t>
      </w:r>
      <w:r w:rsidRPr="003B3721">
        <w:t>12)</w:t>
      </w:r>
    </w:p>
    <w:p w:rsidR="00F9389B" w:rsidRPr="003B3721" w:rsidRDefault="00F9389B" w:rsidP="00F9389B">
      <w:r>
        <w:rPr>
          <w:rStyle w:val="ECCHLbold"/>
        </w:rPr>
        <w:t>5.325А</w:t>
      </w:r>
      <w:r w:rsidRPr="003B3721">
        <w:rPr>
          <w:rStyle w:val="ECCHLbold"/>
        </w:rPr>
        <w:tab/>
      </w:r>
      <w:r w:rsidRPr="00F9389B">
        <w:t>Different category of service:  in Argentina, Brazil, Costa Rica, Cuba, Dominican Republic, El Salvador, Ecuador, the French overseas departments and communities in Region 2, Guatemala, Mexico, Paraguay, Uruguay and Venezuela, the frequency band 902-928 MHz is allocated to the land mobile service on a primary basis. In Colombia, the frequency band 902-905 MHz is allocated to the land mobile service on a primary basis.     (WRC-15)</w:t>
      </w:r>
    </w:p>
    <w:p w:rsidR="003D7A54" w:rsidRPr="003B3721" w:rsidRDefault="003D7A54" w:rsidP="003D7A54">
      <w:r w:rsidRPr="003B3721">
        <w:rPr>
          <w:rStyle w:val="ECCHLbold"/>
        </w:rPr>
        <w:t>5.331</w:t>
      </w:r>
      <w:r w:rsidRPr="003B3721">
        <w:rPr>
          <w:rStyle w:val="ECCHLbold"/>
        </w:rPr>
        <w:tab/>
      </w:r>
      <w:r w:rsidRPr="003B3721">
        <w:tab/>
        <w:t xml:space="preserve">Additional allocation: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w:t>
      </w:r>
      <w:proofErr w:type="spellStart"/>
      <w:r w:rsidRPr="003B3721">
        <w:t>radionavigation</w:t>
      </w:r>
      <w:proofErr w:type="spellEnd"/>
      <w:r w:rsidRPr="003B3721">
        <w:t xml:space="preserve"> service on a primary basis. In Canada and the United States, the band 1 240-1 300 MHz is also allocated to the </w:t>
      </w:r>
      <w:proofErr w:type="spellStart"/>
      <w:r w:rsidRPr="003B3721">
        <w:t>radionavigation</w:t>
      </w:r>
      <w:proofErr w:type="spellEnd"/>
      <w:r w:rsidRPr="003B3721">
        <w:t xml:space="preserve"> service, and use of the </w:t>
      </w:r>
      <w:proofErr w:type="spellStart"/>
      <w:r w:rsidRPr="003B3721">
        <w:t>radionavigation</w:t>
      </w:r>
      <w:proofErr w:type="spellEnd"/>
      <w:r w:rsidRPr="003B3721">
        <w:t xml:space="preserve"> service shall be limited to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5.338</w:t>
      </w:r>
      <w:r w:rsidRPr="003B3721">
        <w:tab/>
      </w:r>
      <w:r w:rsidRPr="003B3721">
        <w:tab/>
        <w:t xml:space="preserve">In Kyrgyzstan, Slovakia and Turkmenistan, existing installations of the </w:t>
      </w:r>
      <w:proofErr w:type="spellStart"/>
      <w:r w:rsidRPr="003B3721">
        <w:t>radionavigation</w:t>
      </w:r>
      <w:proofErr w:type="spellEnd"/>
      <w:r w:rsidRPr="003B3721">
        <w:t xml:space="preserve"> service may continue to operate in the band 1 350-1 400 </w:t>
      </w:r>
      <w:proofErr w:type="spellStart"/>
      <w:r w:rsidRPr="003B3721">
        <w:t>MHz.</w:t>
      </w:r>
      <w:proofErr w:type="spellEnd"/>
      <w:r w:rsidRPr="003B3721">
        <w:t xml:space="preserve">     (WRC</w:t>
      </w:r>
      <w:r w:rsidR="004517D7">
        <w:t>-</w:t>
      </w:r>
      <w:r w:rsidRPr="003B3721">
        <w:t>12)</w:t>
      </w:r>
    </w:p>
    <w:p w:rsidR="003D7A54" w:rsidRPr="003B3721" w:rsidRDefault="003D7A54" w:rsidP="009357DC">
      <w:r w:rsidRPr="003B3721">
        <w:rPr>
          <w:rStyle w:val="ECCHLbold"/>
        </w:rPr>
        <w:t>5.342</w:t>
      </w:r>
      <w:r w:rsidRPr="003B3721">
        <w:rPr>
          <w:rStyle w:val="ECCHLbold"/>
        </w:rPr>
        <w:tab/>
      </w:r>
      <w:r w:rsidRPr="003B3721">
        <w:tab/>
      </w:r>
      <w:r w:rsidR="009357DC" w:rsidRPr="009357DC">
        <w:t>Additional allocation: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rsidR="003D7A54" w:rsidRPr="003B3721" w:rsidRDefault="003D7A54" w:rsidP="003D7A54">
      <w:r w:rsidRPr="003B3721">
        <w:rPr>
          <w:rStyle w:val="ECCHLbold"/>
        </w:rPr>
        <w:t>5.349</w:t>
      </w:r>
      <w:r w:rsidRPr="003B3721">
        <w:tab/>
      </w:r>
      <w:r w:rsidRPr="003B3721">
        <w:tab/>
        <w:t>Different category of service:  in Saudi Arabia, Azerbaijan, Bahrain, Cameroon, Egypt, France, Iran (Islamic Republic of), Iraq, Israel, Kazakhstan, Kuwait, The Former Yugoslav Republic of Macedonia, Lebanon, Morocco, Qatar, Syrian Arab Republic, Kyrgyzstan, Turkmenistan and Yemen, the allocation of the band 1 525-1 530 MHz to the mobile, except aeronautical mobile, service is on a primary basis (see No. 5.33).     (WRC</w:t>
      </w:r>
      <w:r w:rsidR="004517D7">
        <w:t>-</w:t>
      </w:r>
      <w:r w:rsidRPr="003B3721">
        <w:t>07)</w:t>
      </w:r>
    </w:p>
    <w:p w:rsidR="003D7A54" w:rsidRPr="003B3721" w:rsidRDefault="003D7A54" w:rsidP="003D7A54">
      <w:r w:rsidRPr="003B3721">
        <w:rPr>
          <w:rStyle w:val="ECCHLbold"/>
        </w:rPr>
        <w:t>5.350</w:t>
      </w:r>
      <w:r w:rsidRPr="003B3721">
        <w:tab/>
      </w:r>
      <w:r w:rsidRPr="003B3721">
        <w:tab/>
        <w:t>Additional allocation:  in Azerbaijan, Kyrgyzstan and Turkmenistan, the band 1 525-1 530 MHz is also allocated to the aeronautical mobile service on a primary basis.     (WRC</w:t>
      </w:r>
      <w:r w:rsidR="004517D7">
        <w:t>-</w:t>
      </w:r>
      <w:r w:rsidRPr="003B3721">
        <w:t>2000)</w:t>
      </w:r>
    </w:p>
    <w:p w:rsidR="003D7A54" w:rsidRPr="003B3721" w:rsidRDefault="003D7A54" w:rsidP="009357DC">
      <w:r w:rsidRPr="003B3721">
        <w:rPr>
          <w:rStyle w:val="ECCHLbold"/>
        </w:rPr>
        <w:t>5.352A</w:t>
      </w:r>
      <w:r w:rsidRPr="003B3721">
        <w:tab/>
      </w:r>
      <w:r w:rsidR="009357DC" w:rsidRPr="009357DC">
        <w:t xml:space="preserve">In  the  frequency  band  1 525-1 530 MHz,  stations  in  the  mobile-satellite  service,  except  stations  in  the maritime mobile-satellite service, shall not cause harmful interference to, or claim protection from, stations of the fixed service in Algeria, Saudi Arabia, Egypt, France and French overseas communities of Region 3, Guinea, India, Israel, Italy, Jordan, Kuwait, Mali, Morocco, Mauritania, Nigeria, Oman, Pakistan, </w:t>
      </w:r>
      <w:r w:rsidR="009357DC" w:rsidRPr="009357DC">
        <w:lastRenderedPageBreak/>
        <w:t>the Philippines, Qatar, Syrian Arab Republic, Viet Nam and Yemen notified prior to 1 April 1998.     (WRC-15)</w:t>
      </w:r>
    </w:p>
    <w:p w:rsidR="003D7A54" w:rsidRPr="003B3721" w:rsidRDefault="003D7A54" w:rsidP="009357DC">
      <w:r w:rsidRPr="003B3721">
        <w:rPr>
          <w:rStyle w:val="ECCHLbold"/>
        </w:rPr>
        <w:t>5.359</w:t>
      </w:r>
      <w:r w:rsidRPr="003B3721">
        <w:rPr>
          <w:rStyle w:val="ECCHLbold"/>
        </w:rPr>
        <w:tab/>
      </w:r>
      <w:r w:rsidRPr="003B3721">
        <w:tab/>
      </w:r>
      <w:r w:rsidR="009357DC" w:rsidRPr="009357DC">
        <w:t xml:space="preserve">Additional allocation:  in Germany, Saudi Arabia, Armenia, Azerbaijan, Belarus, Benin, Cameroon, the Russian  Federation,  France,  Georgia,  Guinea,  Guinea-Bissau,  Jordan,  Kazakhstan,  Kuwait,  Lithuania,  Mauritania, Uganda,  Uzbekistan,  Pakistan,  Poland,  the  Syrian  Arab  Republic,  Kyrgyzstan,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(WRC-15)</w:t>
      </w:r>
    </w:p>
    <w:p w:rsidR="003D7A54" w:rsidRPr="003B3721" w:rsidRDefault="003D7A54" w:rsidP="009357DC">
      <w:r w:rsidRPr="003B3721">
        <w:rPr>
          <w:rStyle w:val="ECCHLbold"/>
        </w:rPr>
        <w:t>5.382</w:t>
      </w:r>
      <w:r w:rsidRPr="003B3721">
        <w:rPr>
          <w:rStyle w:val="ECCHLbold"/>
        </w:rPr>
        <w:tab/>
      </w:r>
      <w:r w:rsidRPr="003B3721">
        <w:tab/>
      </w:r>
      <w:r w:rsidR="009357DC" w:rsidRPr="009357DC">
        <w:t>Different category of service: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5.33),  and  in</w:t>
      </w:r>
      <w:r w:rsidR="00C61C38">
        <w:t xml:space="preserve">  the  Dem.  People’s Rep. of Korea, the allocation of the frequency</w:t>
      </w:r>
      <w:r w:rsidR="009357DC" w:rsidRPr="009357DC">
        <w:t xml:space="preserve"> band 1 690-1 700 MHz to the fixed service is on a primary basis (see No. 5.33) and to the mobile, except aeronautical mobile, service on a secondary basis.     (WRC-15)</w:t>
      </w:r>
    </w:p>
    <w:p w:rsidR="003D7A54" w:rsidRPr="003B3721" w:rsidRDefault="003D7A54" w:rsidP="003D7A54">
      <w:r w:rsidRPr="003B3721">
        <w:rPr>
          <w:rStyle w:val="ECCHLbold"/>
        </w:rPr>
        <w:t>5.387</w:t>
      </w:r>
      <w:r w:rsidRPr="003B3721">
        <w:tab/>
      </w:r>
      <w:r w:rsidRPr="003B3721">
        <w:tab/>
        <w:t>Additional allocation:  in Belarus, Georgia, Kazakhstan, Kyrgyzstan, Romania, Tajikistan and Turkmenistan, the band 1 770-1 790 MHz is also allocated to the meteorological-satellite service on a primary basis, subject to agreement obtained under No. 9.21.     (WRC</w:t>
      </w:r>
      <w:r w:rsidR="004517D7">
        <w:t>-</w:t>
      </w:r>
      <w:r w:rsidRPr="003B3721">
        <w:t>12)</w:t>
      </w:r>
    </w:p>
    <w:p w:rsidR="003D7A54" w:rsidRPr="003B3721" w:rsidRDefault="003D7A54" w:rsidP="003D7A54">
      <w:r w:rsidRPr="003B3721">
        <w:rPr>
          <w:rStyle w:val="ECCHLbold"/>
        </w:rPr>
        <w:t>5.395</w:t>
      </w:r>
      <w:r w:rsidRPr="003B3721">
        <w:rPr>
          <w:rStyle w:val="ECCHLbold"/>
        </w:rPr>
        <w:tab/>
      </w:r>
      <w:r w:rsidRPr="003B3721">
        <w:tab/>
        <w:t>In France and Turkey, the use of the band 2 310-2 360 MHz by the aeronautical mobile service for telemetry has priority over other uses by the mobile service.      (WRC-03)</w:t>
      </w:r>
    </w:p>
    <w:p w:rsidR="003D7A54" w:rsidRPr="003B3721" w:rsidRDefault="003D7A54" w:rsidP="003D7A54">
      <w:r w:rsidRPr="003B3721">
        <w:rPr>
          <w:rStyle w:val="ECCHLbold"/>
        </w:rPr>
        <w:t>5.398A</w:t>
      </w:r>
      <w:r w:rsidRPr="003B3721">
        <w:tab/>
        <w:t xml:space="preserve">Different category of service: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w:t>
      </w:r>
      <w:proofErr w:type="spellStart"/>
      <w:r w:rsidRPr="003B3721">
        <w:t>MHz.</w:t>
      </w:r>
      <w:proofErr w:type="spellEnd"/>
      <w:r w:rsidRPr="003B3721">
        <w:t xml:space="preserve">     (WRC</w:t>
      </w:r>
      <w:r w:rsidR="004517D7">
        <w:t>-</w:t>
      </w:r>
      <w:r w:rsidRPr="003B3721">
        <w:t>12)</w:t>
      </w:r>
    </w:p>
    <w:p w:rsidR="003D7A54" w:rsidRPr="003B3721" w:rsidRDefault="003D7A54" w:rsidP="003D7A54">
      <w:r w:rsidRPr="003B3721">
        <w:rPr>
          <w:rStyle w:val="ECCHLbold"/>
        </w:rPr>
        <w:t>5.399</w:t>
      </w:r>
      <w:r w:rsidRPr="003B3721">
        <w:rPr>
          <w:rStyle w:val="ECCHLbold"/>
        </w:rPr>
        <w:tab/>
      </w:r>
      <w:r w:rsidRPr="003B3721">
        <w:tab/>
        <w:t xml:space="preserve">Except for cases referred to in No. 5.401, stations of the </w:t>
      </w:r>
      <w:proofErr w:type="spellStart"/>
      <w:r w:rsidRPr="003B3721">
        <w:t>radiodetermination</w:t>
      </w:r>
      <w:proofErr w:type="spellEnd"/>
      <w:r w:rsidRPr="003B3721">
        <w:t>-satellite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5.398A.    (WRC</w:t>
      </w:r>
      <w:r w:rsidR="004517D7">
        <w:t>-</w:t>
      </w:r>
      <w:r w:rsidRPr="003B3721">
        <w:t>12)</w:t>
      </w:r>
    </w:p>
    <w:p w:rsidR="003D7A54" w:rsidRPr="003B3721" w:rsidRDefault="003D7A54" w:rsidP="003D7A54">
      <w:r w:rsidRPr="003B3721">
        <w:rPr>
          <w:rStyle w:val="ECCHLbold"/>
        </w:rPr>
        <w:t>5.422</w:t>
      </w:r>
      <w:r w:rsidRPr="003B3721">
        <w:tab/>
      </w:r>
      <w:r w:rsidRPr="003B3721">
        <w:tab/>
        <w:t>Additional allocation: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57DC">
      <w:r w:rsidRPr="003B3721">
        <w:rPr>
          <w:rStyle w:val="ECCHLbold"/>
        </w:rPr>
        <w:t>5.428</w:t>
      </w:r>
      <w:r w:rsidRPr="003B3721">
        <w:tab/>
      </w:r>
      <w:r w:rsidRPr="003B3721">
        <w:tab/>
      </w:r>
      <w:r w:rsidR="009357DC" w:rsidRPr="009357DC">
        <w:t xml:space="preserve">Additional allocation:  in Azerbaijan, Kyrgyzstan and Turkmenistan, the frequency band 3 100-3 300 MHz is also allocated to the </w:t>
      </w:r>
      <w:proofErr w:type="spellStart"/>
      <w:r w:rsidR="009357DC" w:rsidRPr="009357DC">
        <w:t>radionavigation</w:t>
      </w:r>
      <w:proofErr w:type="spellEnd"/>
      <w:r w:rsidR="009357DC" w:rsidRPr="009357DC">
        <w:t xml:space="preserve"> service on a primary basis.     (WRC-15)</w:t>
      </w:r>
    </w:p>
    <w:p w:rsidR="003D7A54" w:rsidRPr="003B3721" w:rsidRDefault="003D7A54" w:rsidP="009357DC">
      <w:r w:rsidRPr="003B3721">
        <w:rPr>
          <w:rStyle w:val="ECCHLbold"/>
        </w:rPr>
        <w:t>5.430</w:t>
      </w:r>
      <w:r w:rsidRPr="003B3721">
        <w:rPr>
          <w:rStyle w:val="ECCHLbold"/>
        </w:rPr>
        <w:tab/>
      </w:r>
      <w:r w:rsidRPr="003B3721">
        <w:tab/>
      </w:r>
      <w:r w:rsidR="009357DC" w:rsidRPr="009357DC">
        <w:t xml:space="preserve">Additional allocation:  in Azerbaijan, Kyrgyzstan and Turkmenistan, the frequency band 3 300-3 400 MHz is also allocated to the </w:t>
      </w:r>
      <w:proofErr w:type="spellStart"/>
      <w:r w:rsidR="009357DC" w:rsidRPr="009357DC">
        <w:t>radionavigation</w:t>
      </w:r>
      <w:proofErr w:type="spellEnd"/>
      <w:r w:rsidR="009357DC" w:rsidRPr="009357DC">
        <w:t xml:space="preserve"> service on a primary basis.     (WRC-15)</w:t>
      </w:r>
    </w:p>
    <w:p w:rsidR="003D7A54" w:rsidRDefault="003D7A54" w:rsidP="008D0B39">
      <w:r w:rsidRPr="003B3721">
        <w:rPr>
          <w:rStyle w:val="ECCHLbold"/>
        </w:rPr>
        <w:t>5.431</w:t>
      </w:r>
      <w:r w:rsidRPr="003B3721">
        <w:tab/>
      </w:r>
      <w:r w:rsidRPr="003B3721">
        <w:tab/>
      </w:r>
      <w:r w:rsidR="008D0B39" w:rsidRPr="008D0B39">
        <w:t>Additional allocation:  in Germany and Israel, the frequency band 3 400-3 475 MHz is also allocated to the amateur service on a secondary basis.     (WRC-15)</w:t>
      </w:r>
    </w:p>
    <w:p w:rsidR="008D0B39" w:rsidRDefault="008D0B39" w:rsidP="008D0B39">
      <w:r w:rsidRPr="008D0B39">
        <w:rPr>
          <w:rStyle w:val="ECCHLbold"/>
          <w:lang w:val="en-US"/>
        </w:rPr>
        <w:lastRenderedPageBreak/>
        <w:t>5.432B</w:t>
      </w:r>
      <w:r w:rsidRPr="008D0B39">
        <w:rPr>
          <w:lang w:val="en-US"/>
        </w:rPr>
        <w:tab/>
        <w:t>Different category of service:  in Australia, Bangladesh, China, French overseas communities of Region 3, India, Iran (Islamic Republic of), New Zealand, the Philippines and Singapore, the frequency band 3 400-3 500 MHz is allocated to the mobile, except aeronautical mobile, service on a primary basis, 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dB(W/((m</w:t>
      </w:r>
      <w:r w:rsidRPr="008D0B39">
        <w:rPr>
          <w:rStyle w:val="ECCHLsuperscript"/>
          <w:lang w:val="en-US"/>
        </w:rPr>
        <w:t>2</w:t>
      </w:r>
      <w:r w:rsidRPr="008D0B39">
        <w:rPr>
          <w:lang w:val="en-US"/>
        </w:rPr>
        <w:t xml:space="preserve"> </w:t>
      </w:r>
      <w:r w:rsidRPr="008D0B39">
        <w:rPr>
          <w:lang w:val="en-US"/>
        </w:rPr>
        <w:sym w:font="Symbol" w:char="F0D7"/>
      </w:r>
      <w:r w:rsidRPr="008D0B39">
        <w:rPr>
          <w:lang w:val="en-US"/>
        </w:rPr>
        <w:t xml:space="preserve"> 4 kHz))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w:t>
      </w:r>
      <w:r w:rsidRPr="009A17DC">
        <w:rPr>
          <w:rStyle w:val="ECCHLbold"/>
        </w:rPr>
        <w:t>station</w:t>
      </w:r>
      <w:r w:rsidRPr="008D0B39">
        <w:rPr>
          <w:lang w:val="en-US"/>
        </w:rPr>
        <w:t xml:space="preserve">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3 400-3 500 MHz shall not claim more protection from space stations than that provided in Table 21-4 of the Radio Regulations (Edition of 2004).     (WRC-15)</w:t>
      </w:r>
    </w:p>
    <w:p w:rsidR="008D0B39" w:rsidRPr="009A17DC" w:rsidRDefault="008D0B39" w:rsidP="008D0B39">
      <w:pPr>
        <w:rPr>
          <w:rStyle w:val="ECCHLbold"/>
        </w:rPr>
      </w:pPr>
      <w:r w:rsidRPr="008D0B39">
        <w:rPr>
          <w:rStyle w:val="ECCHLbold"/>
          <w:lang w:val="en-US"/>
        </w:rPr>
        <w:t>5.43</w:t>
      </w:r>
      <w:r>
        <w:rPr>
          <w:rStyle w:val="ECCHLbold"/>
        </w:rPr>
        <w:t>3A</w:t>
      </w:r>
      <w:r w:rsidRPr="008D0B39">
        <w:rPr>
          <w:lang w:val="en-US"/>
        </w:rPr>
        <w:tab/>
        <w:t>In Australia, Bangladesh, China, French overseas communities of Region 3, Korea (Rep. of), India, Iran (Islamic  Republic  of),  Japan,  New  Zealand,  Pakistan  and  the  Philippines,  the  frequency  band  3 500-3 600 MHz  is identified  for  International  Mobile  T</w:t>
      </w:r>
      <w:r w:rsidR="00C61C38">
        <w:rPr>
          <w:lang w:val="en-US"/>
        </w:rPr>
        <w:t xml:space="preserve">elecommunications  (IMT). This identification does </w:t>
      </w:r>
      <w:r w:rsidRPr="008D0B39">
        <w:rPr>
          <w:lang w:val="en-US"/>
        </w:rPr>
        <w:t xml:space="preserve">not </w:t>
      </w:r>
      <w:r w:rsidR="00C61C38">
        <w:rPr>
          <w:lang w:val="en-US"/>
        </w:rPr>
        <w:t>preclude the use of</w:t>
      </w:r>
      <w:r w:rsidRPr="008D0B39">
        <w:rPr>
          <w:lang w:val="en-US"/>
        </w:rPr>
        <w:t xml:space="preserve">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w:t>
      </w:r>
      <w:r w:rsidR="00496262" w:rsidRPr="00496262">
        <w:rPr>
          <w:lang w:val="en-US"/>
        </w:rPr>
        <w:t>m</w:t>
      </w:r>
      <w:r w:rsidR="00496262" w:rsidRPr="00496262">
        <w:rPr>
          <w:rStyle w:val="ECCHLsuperscript"/>
          <w:lang w:val="en-US"/>
        </w:rPr>
        <w:t>2</w:t>
      </w:r>
      <w:r w:rsidR="00496262" w:rsidRPr="00496262">
        <w:rPr>
          <w:lang w:val="en-US"/>
        </w:rPr>
        <w:t xml:space="preserve"> </w:t>
      </w:r>
      <w:r w:rsidR="00496262" w:rsidRPr="00496262">
        <w:rPr>
          <w:lang w:val="en-US"/>
        </w:rPr>
        <w:sym w:font="Symbol" w:char="F0D7"/>
      </w:r>
      <w:r w:rsidR="00496262" w:rsidRPr="00496262">
        <w:rPr>
          <w:lang w:val="en-US"/>
        </w:rPr>
        <w:t xml:space="preserve"> 4 kHz</w:t>
      </w:r>
      <w:r w:rsidRPr="008D0B39">
        <w:rPr>
          <w:lang w:val="en-US"/>
        </w:rPr>
        <w:t xml:space="preserve">))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3 500-3 600 MHz shall not claim more protection from space stations than that provided in Table 21-4 of the Radio Regulations (Edition of 2004).     (WRC-15)</w:t>
      </w:r>
    </w:p>
    <w:p w:rsidR="00BA4629" w:rsidRPr="009A17DC" w:rsidRDefault="00BA4629" w:rsidP="009A17DC">
      <w:r w:rsidRPr="009A17DC">
        <w:rPr>
          <w:rStyle w:val="ECCHLbold"/>
        </w:rPr>
        <w:t>5.440A</w:t>
      </w:r>
      <w:r w:rsidRPr="00E23B65">
        <w:rPr>
          <w:rStyle w:val="ECCHLbold"/>
        </w:rPr>
        <w:tab/>
      </w:r>
      <w:r w:rsidRPr="009A17DC">
        <w:t xml:space="preserve">In Region 2 (except Brazil, Cuba, French overseas departments and communities, Guatemala, Paraguay, Uruguay and Venezuela), and in Australia, the band 4 400-4 940 MHz may be used for aeronautical mobile telemetry for flight testing by aircraft stations (see No. 1.83). Such use shall be in accordance with Resolution 416 (WRC-07) and shall not cause harmful interference to, </w:t>
      </w:r>
      <w:proofErr w:type="gramStart"/>
      <w:r w:rsidRPr="009A17DC">
        <w:t>nor</w:t>
      </w:r>
      <w:proofErr w:type="gramEnd"/>
      <w:r w:rsidRPr="009A17DC">
        <w:t xml:space="preserve"> claim protection from, the fixed-satellite and fixed services. Any such use does not preclude the use of this band by other mobile service applications or by other services to which this band is allocated on a co-primary basis and does not establish priority in the Radio Regulations. (WRC-07)</w:t>
      </w:r>
    </w:p>
    <w:p w:rsidR="003D7A54" w:rsidRPr="003B3721" w:rsidRDefault="003D7A54" w:rsidP="003D7A54">
      <w:r w:rsidRPr="003B3721">
        <w:rPr>
          <w:rStyle w:val="ECCHLbold"/>
        </w:rPr>
        <w:t>5.448</w:t>
      </w:r>
      <w:r w:rsidRPr="003B3721">
        <w:rPr>
          <w:rStyle w:val="ECCHLbold"/>
        </w:rPr>
        <w:tab/>
      </w:r>
      <w:r w:rsidRPr="003B3721">
        <w:tab/>
        <w:t xml:space="preserve">Additional allocation:  in Azerbaijan, Kyrgyzstan, Romania and Turkmenistan, the band 5 250-5 350 MHz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5.450</w:t>
      </w:r>
      <w:r w:rsidRPr="003B3721">
        <w:rPr>
          <w:rStyle w:val="ECCHLbold"/>
        </w:rPr>
        <w:tab/>
      </w:r>
      <w:r w:rsidRPr="003B3721">
        <w:rPr>
          <w:rStyle w:val="ECCHLbold"/>
        </w:rPr>
        <w:tab/>
      </w:r>
      <w:r w:rsidRPr="003B3721">
        <w:t xml:space="preserve">Additional allocation:  in Austria, Azerbaijan, Iran (Islamic Republic of), Kyrgyzstan, Romania, Turkmenistan and Ukraine, the band 5 470-5 650 MHz is also allocated to the aeronautical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5.451</w:t>
      </w:r>
      <w:r w:rsidRPr="003B3721">
        <w:tab/>
      </w:r>
      <w:r w:rsidRPr="003B3721">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3B3721">
        <w:t>MHz.</w:t>
      </w:r>
      <w:proofErr w:type="spellEnd"/>
    </w:p>
    <w:p w:rsidR="003D7A54" w:rsidRPr="003B3721" w:rsidRDefault="003D7A54" w:rsidP="003D7A54">
      <w:r w:rsidRPr="003B3721">
        <w:rPr>
          <w:rStyle w:val="ECCHLbold"/>
        </w:rPr>
        <w:t>5.454</w:t>
      </w:r>
      <w:r w:rsidRPr="003B3721">
        <w:rPr>
          <w:rStyle w:val="ECCHLbold"/>
        </w:rPr>
        <w:tab/>
      </w:r>
      <w:r w:rsidRPr="003B3721">
        <w:tab/>
        <w:t>Different category of service:  in Azerbaijan, the Russian Federation, Georgia, Kyrgyzstan, Tajikistan and Turkmenistan, the allocation of the band 5 670-5 725 MHz to the space research service is on a primary basis (see No. 5.33).     (WRC</w:t>
      </w:r>
      <w:r w:rsidR="004517D7">
        <w:t>-</w:t>
      </w:r>
      <w:r w:rsidRPr="003B3721">
        <w:t>12)</w:t>
      </w:r>
    </w:p>
    <w:p w:rsidR="003D7A54" w:rsidRPr="003B3721" w:rsidRDefault="003D7A54" w:rsidP="003D7A54">
      <w:r w:rsidRPr="003B3721">
        <w:rPr>
          <w:rStyle w:val="ECCHLbold"/>
        </w:rPr>
        <w:lastRenderedPageBreak/>
        <w:t>5.455</w:t>
      </w:r>
      <w:r w:rsidRPr="003B3721">
        <w:rPr>
          <w:rStyle w:val="ECCHLbold"/>
        </w:rPr>
        <w:tab/>
      </w:r>
      <w:r w:rsidRPr="003B3721">
        <w:tab/>
        <w:t>Additional allocation:  in Armenia, Azerbaijan, Belarus, Cuba, the Russian Federation, Georgia, Hungary, Kazakhstan, Moldova, Mongolia, Uzbekistan, Kyrgyzstan, Tajikistan, Turkmenistan and Ukraine, the band 5 670-5 850 MHz is also allocated to the fixed service on a primary basis.     (WRC-07)</w:t>
      </w:r>
    </w:p>
    <w:p w:rsidR="00BA4629" w:rsidRPr="009A17DC" w:rsidRDefault="00BA4629" w:rsidP="009A17DC">
      <w:r w:rsidRPr="009A17DC">
        <w:rPr>
          <w:rStyle w:val="ECCHLbold"/>
        </w:rPr>
        <w:t>5.457C</w:t>
      </w:r>
      <w:r w:rsidRPr="00E23B65">
        <w:rPr>
          <w:rStyle w:val="ECCHLbold"/>
        </w:rPr>
        <w:tab/>
      </w:r>
      <w:r w:rsidRPr="009A17DC">
        <w:t>In Region 2 (except Brazil, Cuba, French overseas departments and communities, Guatemala, Mexico, Paraguay, Uruguay and Venezuela), the frequency band 5 925-6 700 MHz may be used for aeronautical mobile telemetry for flight testing by aircraft stations (see No. 1.83). Such use shall be in accordance with Resolution 416 (WRC-07) 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rsidR="003D7A54" w:rsidRPr="003B3721" w:rsidRDefault="003D7A54" w:rsidP="001D77C1">
      <w:r w:rsidRPr="003B3721">
        <w:rPr>
          <w:rStyle w:val="ECCHLbold"/>
        </w:rPr>
        <w:t>5.459</w:t>
      </w:r>
      <w:r w:rsidRPr="003B3721">
        <w:tab/>
      </w:r>
      <w:r w:rsidRPr="003B3721">
        <w:tab/>
      </w:r>
      <w:r w:rsidR="001D77C1" w:rsidRPr="001D77C1">
        <w:t>Additional  allocation:  in  the  Russian  Federation,  the  frequency  bands  7 100-7 155 MHz  and 7 190-7 235 MHz  are  also  allocated  to  the  space  operation  service  (Earth-to-space)  on  a  primary  basis,  subject  to agreement  obtained  under  No. 9.21.  In  the  frequency  band  7 190-7 235 MHz,  with  respect  to  the  Earth  exploration-satellite service (Earth-to-space), No. 9.21 does not apply.     (WRC-15)</w:t>
      </w:r>
    </w:p>
    <w:p w:rsidR="003D7A54" w:rsidRPr="003B3721" w:rsidRDefault="003D7A54" w:rsidP="003D7A54">
      <w:r w:rsidRPr="003B3721">
        <w:rPr>
          <w:rStyle w:val="ECCHLbold"/>
        </w:rPr>
        <w:t>5.469</w:t>
      </w:r>
      <w:r w:rsidRPr="003B3721">
        <w:rPr>
          <w:rStyle w:val="ECCHLbold"/>
        </w:rPr>
        <w:tab/>
      </w:r>
      <w:r w:rsidRPr="003B3721">
        <w:tab/>
        <w:t xml:space="preserve">Additional allocation:  in Armenia, Azerbaijan, Belarus, the Russian Federation, Georgia, Hungary, Lithuania, Mongolia, Uzbekistan, Poland, Kyrgyzstan, the Czech Rep., Romania, Tajikistan, Turkmenistan and Ukraine, the band 8 500-8 750 MHz is also allocated to the land mobile and </w:t>
      </w:r>
      <w:proofErr w:type="spellStart"/>
      <w:r w:rsidRPr="003B3721">
        <w:t>radionavigation</w:t>
      </w:r>
      <w:proofErr w:type="spellEnd"/>
      <w:r w:rsidRPr="003B3721">
        <w:t xml:space="preserve"> services on a primary basis.     (WRC</w:t>
      </w:r>
      <w:r w:rsidR="004517D7">
        <w:t>-</w:t>
      </w:r>
      <w:r w:rsidRPr="003B3721">
        <w:t>12)</w:t>
      </w:r>
    </w:p>
    <w:p w:rsidR="003D7A54" w:rsidRPr="003B3721" w:rsidRDefault="003D7A54" w:rsidP="009308E1">
      <w:r w:rsidRPr="003B3721">
        <w:rPr>
          <w:rStyle w:val="ECCHLbold"/>
        </w:rPr>
        <w:t>5.471</w:t>
      </w:r>
      <w:r w:rsidRPr="003B3721">
        <w:tab/>
      </w:r>
      <w:r w:rsidRPr="003B3721">
        <w:tab/>
      </w:r>
      <w:r w:rsidR="009308E1" w:rsidRPr="009308E1">
        <w:t xml:space="preserve">Additional allocation:  in Algeria, Germany, Bahrain, Belgium, China, Egypt, the United Arab Emirates, France, Greece, Indonesia, Iran (Islamic Republic of), Libya, the Netherlands, Qatar and Sudan, the  frequency bands 8 825-8 850 MHz and 9 000-9 200 MHz are also allocated to the maritime </w:t>
      </w:r>
      <w:proofErr w:type="spellStart"/>
      <w:r w:rsidR="009308E1" w:rsidRPr="009308E1">
        <w:t>radionavigation</w:t>
      </w:r>
      <w:proofErr w:type="spellEnd"/>
      <w:r w:rsidR="009308E1" w:rsidRPr="009308E1">
        <w:t xml:space="preserve"> service, on a primary basis, for use by shore-based radars only.     (WRC-15)</w:t>
      </w:r>
    </w:p>
    <w:p w:rsidR="003D7A54" w:rsidRPr="003B3721" w:rsidRDefault="003D7A54" w:rsidP="003D7A54">
      <w:r w:rsidRPr="003B3721">
        <w:rPr>
          <w:rStyle w:val="ECCHLbold"/>
        </w:rPr>
        <w:t>5.473</w:t>
      </w:r>
      <w:r w:rsidRPr="003B3721">
        <w:rPr>
          <w:rStyle w:val="ECCHLbold"/>
        </w:rPr>
        <w:tab/>
      </w:r>
      <w:r w:rsidRPr="003B3721">
        <w:tab/>
        <w:t xml:space="preserve">Additional allocation:  in Armenia, Austria, Azerbaijan, Belarus, Cuba, the Russian Federation, Georgia, Hungary, Mongolia, Uzbekistan, Poland, Kyrgyzstan, Romania, Tajikistan, Turkmenistan and Ukraine, the bands 8 850-9 000 MHz and 9 200-9 300 MHz are also allocated to the </w:t>
      </w:r>
      <w:proofErr w:type="spellStart"/>
      <w:r w:rsidRPr="003B3721">
        <w:t>radionavigation</w:t>
      </w:r>
      <w:proofErr w:type="spellEnd"/>
      <w:r w:rsidRPr="003B3721">
        <w:t xml:space="preserve"> service on a primary basis.     (WRC-07)</w:t>
      </w:r>
    </w:p>
    <w:p w:rsidR="003D7A54" w:rsidRDefault="003D7A54" w:rsidP="003D7A54">
      <w:r w:rsidRPr="003B3721">
        <w:rPr>
          <w:rStyle w:val="ECCHLbold"/>
        </w:rPr>
        <w:t>5.478</w:t>
      </w:r>
      <w:r w:rsidRPr="003B3721">
        <w:rPr>
          <w:rStyle w:val="ECCHLbold"/>
        </w:rPr>
        <w:tab/>
      </w:r>
      <w:r w:rsidRPr="003B3721">
        <w:tab/>
        <w:t xml:space="preserve">Additional allocation:  in Azerbaijan, Mongolia, Kyrgyzstan, Romania, Turkmenistan and Ukraine, the band 9 800-10 000 MHz is also allocated to the </w:t>
      </w:r>
      <w:proofErr w:type="spellStart"/>
      <w:r w:rsidRPr="003B3721">
        <w:t>radionavigation</w:t>
      </w:r>
      <w:proofErr w:type="spellEnd"/>
      <w:r w:rsidRPr="003B3721">
        <w:t xml:space="preserve"> service on a primary basis.     (WRC-07)</w:t>
      </w:r>
    </w:p>
    <w:p w:rsidR="009308E1" w:rsidRPr="003B3721" w:rsidRDefault="009308E1" w:rsidP="009308E1">
      <w:r>
        <w:rPr>
          <w:rStyle w:val="ECCHLbold"/>
        </w:rPr>
        <w:t>5.4</w:t>
      </w:r>
      <w:r w:rsidRPr="003B3721">
        <w:rPr>
          <w:rStyle w:val="ECCHLbold"/>
        </w:rPr>
        <w:t>8</w:t>
      </w:r>
      <w:r>
        <w:rPr>
          <w:rStyle w:val="ECCHLbold"/>
        </w:rPr>
        <w:t>0</w:t>
      </w:r>
      <w:r w:rsidRPr="003B3721">
        <w:rPr>
          <w:rStyle w:val="ECCHLbold"/>
        </w:rPr>
        <w:tab/>
      </w:r>
      <w:r w:rsidRPr="003B3721">
        <w:tab/>
      </w:r>
      <w:r w:rsidRPr="009308E1">
        <w:t xml:space="preserve">Additional allocation:  in  Argentina,  Brazil,  Chile,  Cuba,  El  Salvador,  Ecuador,  Guatemala,  Honduras, Paraguay, the Netherlands Antilles, Peru and Uruguay, the frequency band 10-10.45 GHz is also allocated to the fixed and  mobile  services  on  a  primary  basis.  </w:t>
      </w:r>
      <w:proofErr w:type="gramStart"/>
      <w:r w:rsidRPr="009308E1">
        <w:t>In  Colombia</w:t>
      </w:r>
      <w:proofErr w:type="gramEnd"/>
      <w:r w:rsidRPr="009308E1">
        <w:t>,  Costa  Rica,  Mexico  and  Venezuela,  the  frequency  band 10-10.45 GHz is also allocated to the fixed service on a primary basis.     (WRC-15)</w:t>
      </w:r>
    </w:p>
    <w:p w:rsidR="003D7A54" w:rsidRPr="003B3721" w:rsidRDefault="003D7A54" w:rsidP="009308E1">
      <w:r w:rsidRPr="003B3721">
        <w:rPr>
          <w:rStyle w:val="ECCHLbold"/>
        </w:rPr>
        <w:t>5.481</w:t>
      </w:r>
      <w:r w:rsidRPr="003B3721">
        <w:tab/>
      </w:r>
      <w:r w:rsidRPr="003B3721">
        <w:tab/>
      </w:r>
      <w:r w:rsidR="009308E1" w:rsidRPr="009308E1">
        <w:t>Additional allocation:  in Algeria, Germany, Angola, Brazil, China, Côte d'Ivoire, El Salvador, Ecuador, Spain, Guatemala, Hungary, Japan, Kenya, Morocco, Nigeria, Oman, Uzbekistan, Pakistan, Paraguay, Peru, the Dem. People’s Rep. of Korea, Romania and Uruguay, the frequency band 10.45-10.5 GHz is also allocated to the fixed and mobile services on a primary basis. In Costa Rica, the frequency band 10.45-10.5 GHz is also allocated to the fixed service on a primary basis.     (WRC-15)</w:t>
      </w:r>
    </w:p>
    <w:p w:rsidR="003D7A54" w:rsidRPr="003B3721" w:rsidRDefault="003D7A54" w:rsidP="003D7A54">
      <w:r w:rsidRPr="003B3721">
        <w:rPr>
          <w:rStyle w:val="ECCHLbold"/>
        </w:rPr>
        <w:t>5.482</w:t>
      </w:r>
      <w:r w:rsidRPr="003B3721">
        <w:rPr>
          <w:rStyle w:val="ECCHLbold"/>
        </w:rPr>
        <w:tab/>
      </w:r>
      <w:r w:rsidRPr="003B3721">
        <w:tab/>
        <w:t xml:space="preserve">In the band 10.6-10.68 GHz, the power delivered to the antenna of stations of the fixed and mobile, except aeronautical mobile, services shall not exceed −3 </w:t>
      </w:r>
      <w:proofErr w:type="spellStart"/>
      <w:r w:rsidRPr="003B3721">
        <w:t>dBW</w:t>
      </w:r>
      <w:proofErr w:type="spellEnd"/>
      <w:r w:rsidRPr="003B3721">
        <w:t>. This limit may be exceeded, subject to agreement obtained under No. 9.21.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004517D7">
        <w:t>-</w:t>
      </w:r>
      <w:r w:rsidRPr="003B3721">
        <w:t>07)</w:t>
      </w:r>
    </w:p>
    <w:p w:rsidR="003D7A54" w:rsidRPr="003B3721" w:rsidRDefault="003D7A54" w:rsidP="003D7A54">
      <w:r w:rsidRPr="003B3721">
        <w:rPr>
          <w:rStyle w:val="ECCHLbold"/>
        </w:rPr>
        <w:t>5.483</w:t>
      </w:r>
      <w:r w:rsidRPr="003B3721">
        <w:rPr>
          <w:rStyle w:val="ECCHLbold"/>
        </w:rPr>
        <w:tab/>
      </w:r>
      <w:r w:rsidRPr="003B3721">
        <w:tab/>
        <w:t xml:space="preserve">Additional allocation:  in Saudi Arabia, Armenia, Azerbaijan, Bahrain, Belarus, China, Colombia, Korea (Rep. of), Costa Rica, Egypt, the United Arab Emirates, Georgia, Iran (Islamic Republic of), Iraq, Israel, Jordan, Kazakhstan, Kuwait, Lebanon, Mongolia, Qatar, Kyrgyzstan, the Dem. People’s Rep. of </w:t>
      </w:r>
      <w:r w:rsidRPr="003B3721">
        <w:lastRenderedPageBreak/>
        <w:t>Korea, Tajikistan, Turkmenistan and Yemen, the band 10.68-10.7 GHz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08E1">
      <w:r w:rsidRPr="003B3721">
        <w:rPr>
          <w:rStyle w:val="ECCHLbold"/>
        </w:rPr>
        <w:t>5.495</w:t>
      </w:r>
      <w:r w:rsidRPr="003B3721">
        <w:rPr>
          <w:rStyle w:val="ECCHLbold"/>
        </w:rPr>
        <w:tab/>
      </w:r>
      <w:r w:rsidRPr="003B3721">
        <w:tab/>
      </w:r>
      <w:r w:rsidR="009308E1" w:rsidRPr="009308E1">
        <w:t>Additional  allocation:  in  France,  Greece,  Monaco,  Montenegro,  Uganda,  Romania  and  Tunisia,  the frequency band 12.5-12.75 GHz is also allocated to the fixed and  mobile, except aeronautical  mobile,  services on a secondary basis.     (WRC-15)</w:t>
      </w:r>
    </w:p>
    <w:p w:rsidR="003D7A54" w:rsidRPr="003B3721" w:rsidRDefault="003D7A54" w:rsidP="003D7A54">
      <w:r w:rsidRPr="003B3721">
        <w:rPr>
          <w:rStyle w:val="ECCHLbold"/>
        </w:rPr>
        <w:t>5.496</w:t>
      </w:r>
      <w:r w:rsidRPr="003B3721">
        <w:tab/>
      </w:r>
      <w:r w:rsidRPr="003B3721">
        <w:tab/>
        <w:t>Additional allocation: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21-4 of Article 21, for the fixed-satellite service shall apply on the territory of the countries listed in this footnote.     (WRC</w:t>
      </w:r>
      <w:r w:rsidR="004517D7">
        <w:t>-</w:t>
      </w:r>
      <w:r w:rsidRPr="003B3721">
        <w:t>2000)</w:t>
      </w:r>
    </w:p>
    <w:p w:rsidR="003D7A54" w:rsidRPr="003B3721" w:rsidRDefault="003D7A54" w:rsidP="003D7A54">
      <w:r w:rsidRPr="003B3721">
        <w:rPr>
          <w:rStyle w:val="ECCHLbold"/>
        </w:rPr>
        <w:t>5.501</w:t>
      </w:r>
      <w:r w:rsidRPr="003B3721">
        <w:tab/>
      </w:r>
      <w:r w:rsidRPr="003B3721">
        <w:tab/>
        <w:t xml:space="preserve">Additional allocation:  in Azerbaijan, Hungary, Japan, Kyrgyzstan, Romania and Turkmenistan, the band 13.4-14 GHz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9308E1">
      <w:r w:rsidRPr="003B3721">
        <w:rPr>
          <w:rStyle w:val="ECCHLbold"/>
        </w:rPr>
        <w:t>5.504B</w:t>
      </w:r>
      <w:r w:rsidRPr="003B3721">
        <w:tab/>
      </w:r>
      <w:r w:rsidR="009308E1" w:rsidRPr="009308E1">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rsidR="003D7A54" w:rsidRPr="003B3721" w:rsidRDefault="003D7A54" w:rsidP="009308E1">
      <w:r w:rsidRPr="003B3721">
        <w:rPr>
          <w:rStyle w:val="ECCHLbold"/>
        </w:rPr>
        <w:t>5.506B</w:t>
      </w:r>
      <w:r w:rsidRPr="003B3721">
        <w:tab/>
      </w:r>
      <w:r w:rsidR="009308E1" w:rsidRPr="009308E1">
        <w:t>Earth stations located on board vessels communicating with space stations in the fixed-satellite service may operate in the frequency band 14-14.5 GHz without the need for prior agreement from Cyprus and Malta, within the minimum distance given in Resolution 902 (WRC-03) from these countries.     (WRC-15)</w:t>
      </w:r>
    </w:p>
    <w:p w:rsidR="003D7A54" w:rsidRPr="003B3721" w:rsidRDefault="003D7A54" w:rsidP="003D7A54">
      <w:r w:rsidRPr="003B3721">
        <w:rPr>
          <w:rStyle w:val="ECCHLbold"/>
        </w:rPr>
        <w:t>5.508</w:t>
      </w:r>
      <w:r w:rsidRPr="003B3721">
        <w:tab/>
      </w:r>
      <w:r w:rsidRPr="003B3721">
        <w:tab/>
        <w:t>Additional allocation:  in Germany, France, Italy, Libya, The Former Yugoslav Rep. of Macedonia and the United Kingdom, the band 14.25-14.3 GHz is also allocated to the fixed service on a primary basis.    (WRC</w:t>
      </w:r>
      <w:r w:rsidR="004517D7">
        <w:t>-</w:t>
      </w:r>
      <w:r w:rsidRPr="003B3721">
        <w:t>12)</w:t>
      </w:r>
    </w:p>
    <w:p w:rsidR="003D7A54" w:rsidRPr="003B3721" w:rsidRDefault="003D7A54" w:rsidP="00065B9D">
      <w:r w:rsidRPr="003B3721">
        <w:rPr>
          <w:rStyle w:val="ECCHLbold"/>
        </w:rPr>
        <w:t>5.508A</w:t>
      </w:r>
      <w:r w:rsidRPr="003B3721">
        <w:rPr>
          <w:rStyle w:val="ECCHLbold"/>
        </w:rPr>
        <w:tab/>
      </w:r>
      <w:r w:rsidR="00065B9D" w:rsidRPr="00065B9D">
        <w:t>In the frequency band 14.25-14.3 GHz, the power flux-density produced on the territory of the countries of Saudi Arabia, Bahrain,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5.509A</w:t>
      </w:r>
      <w:r w:rsidRPr="003B3721">
        <w:tab/>
      </w:r>
      <w:r w:rsidR="00065B9D" w:rsidRPr="00065B9D">
        <w:t>In the frequency band 14.3-14.5 GHz, the power flux-density produced on the territory of the countries of Saudi Arabia, Bahrain,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5.512</w:t>
      </w:r>
      <w:r w:rsidRPr="003B3721">
        <w:tab/>
      </w:r>
      <w:r w:rsidRPr="003B3721">
        <w:tab/>
      </w:r>
      <w:r w:rsidR="00065B9D" w:rsidRPr="00065B9D">
        <w:t xml:space="preserve">Additional  allocation: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w:t>
      </w:r>
      <w:proofErr w:type="gramStart"/>
      <w:r w:rsidR="00065B9D" w:rsidRPr="00065B9D">
        <w:t>Rep.</w:t>
      </w:r>
      <w:proofErr w:type="gramEnd"/>
      <w:r w:rsidR="00065B9D" w:rsidRPr="00065B9D">
        <w:t xml:space="preserve">  </w:t>
      </w:r>
      <w:proofErr w:type="gramStart"/>
      <w:r w:rsidR="00065B9D" w:rsidRPr="00065B9D">
        <w:t>of  the</w:t>
      </w:r>
      <w:proofErr w:type="gramEnd"/>
      <w:r w:rsidR="00065B9D" w:rsidRPr="00065B9D">
        <w:t xml:space="preserve">  Congo, Singapore, Somalia, Sudan, South Sudan, Chad, Togo and Yemen, the frequency band 15.7-17.3 GHz is also allocated to the fixed and mobile services on a primary basis.     (WRC-15)</w:t>
      </w:r>
    </w:p>
    <w:p w:rsidR="003D7A54" w:rsidRPr="003B3721" w:rsidRDefault="003D7A54" w:rsidP="00065B9D">
      <w:r w:rsidRPr="003B3721">
        <w:rPr>
          <w:rStyle w:val="ECCHLbold"/>
        </w:rPr>
        <w:lastRenderedPageBreak/>
        <w:t>5.514</w:t>
      </w:r>
      <w:r w:rsidRPr="003B3721">
        <w:tab/>
      </w:r>
      <w:r w:rsidRPr="003B3721">
        <w:tab/>
      </w:r>
      <w:r w:rsidR="00065B9D" w:rsidRPr="00065B9D">
        <w:t>Additional allocation:  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21.3 and 21.5 shall apply.     (WRC-15)</w:t>
      </w:r>
    </w:p>
    <w:p w:rsidR="003D7A54" w:rsidRPr="003B3721" w:rsidRDefault="003D7A54" w:rsidP="00065B9D">
      <w:r w:rsidRPr="003B3721">
        <w:rPr>
          <w:rStyle w:val="ECCHLbold"/>
        </w:rPr>
        <w:t>5.521</w:t>
      </w:r>
      <w:r w:rsidRPr="003B3721">
        <w:rPr>
          <w:rStyle w:val="ECCHLbold"/>
        </w:rPr>
        <w:tab/>
      </w:r>
      <w:r w:rsidRPr="003B3721">
        <w:tab/>
      </w:r>
      <w:r w:rsidR="00065B9D" w:rsidRPr="00065B9D">
        <w:t>Alternative allocation:  in the United  Arab Emirates and Greece, the  frequency band 18.1-18.4 GHz is allocated  to  the  fixed,  fixed-satellite  (space-to-Earth)  and  mobile  services  on  a  primary  basis  (see  No. 5.33). The provisions of No. 5.519 also apply.     (WRC-15)</w:t>
      </w:r>
    </w:p>
    <w:p w:rsidR="003D7A54" w:rsidRPr="003B3721" w:rsidRDefault="003D7A54" w:rsidP="00065B9D">
      <w:r w:rsidRPr="003B3721">
        <w:rPr>
          <w:rStyle w:val="ECCHLbold"/>
        </w:rPr>
        <w:t>5.536B</w:t>
      </w:r>
      <w:r w:rsidRPr="003B3721">
        <w:tab/>
      </w:r>
      <w:r w:rsidR="00065B9D" w:rsidRPr="00065B9D">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 of the fixed and mobile services.     (WRC-15)</w:t>
      </w:r>
    </w:p>
    <w:p w:rsidR="003D7A54" w:rsidRPr="003B3721" w:rsidRDefault="003D7A54" w:rsidP="003D7A54">
      <w:r w:rsidRPr="003B3721">
        <w:rPr>
          <w:rStyle w:val="ECCHLbold"/>
        </w:rPr>
        <w:t>5.536C</w:t>
      </w:r>
      <w:r w:rsidRPr="003B3721">
        <w:tab/>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     (WRC</w:t>
      </w:r>
      <w:r w:rsidR="004517D7">
        <w:t>-</w:t>
      </w:r>
      <w:r w:rsidRPr="003B3721">
        <w:t>12)</w:t>
      </w:r>
    </w:p>
    <w:p w:rsidR="003D7A54" w:rsidRPr="003B3721" w:rsidRDefault="003D7A54" w:rsidP="003D7A54">
      <w:r w:rsidRPr="003B3721">
        <w:rPr>
          <w:rStyle w:val="ECCHLbold"/>
        </w:rPr>
        <w:t>5.537A</w:t>
      </w:r>
      <w:r w:rsidRPr="003B3721">
        <w:tab/>
      </w:r>
      <w:proofErr w:type="gramStart"/>
      <w:r w:rsidRPr="003B3721">
        <w:t>In</w:t>
      </w:r>
      <w:proofErr w:type="gramEnd"/>
      <w:r w:rsidRPr="003B3721">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145 (</w:t>
      </w:r>
      <w:proofErr w:type="spellStart"/>
      <w:r w:rsidRPr="003B3721">
        <w:t>Rev.WRC</w:t>
      </w:r>
      <w:proofErr w:type="spellEnd"/>
      <w:r w:rsidRPr="003B3721">
        <w:t xml:space="preserve"> 12).     (WRC</w:t>
      </w:r>
      <w:r w:rsidR="004517D7">
        <w:t>-</w:t>
      </w:r>
      <w:r w:rsidRPr="003B3721">
        <w:t>12)</w:t>
      </w:r>
    </w:p>
    <w:p w:rsidR="003D7A54" w:rsidRPr="003B3721" w:rsidRDefault="003D7A54" w:rsidP="00065B9D">
      <w:r w:rsidRPr="003B3721">
        <w:rPr>
          <w:rStyle w:val="ECCHLbold"/>
        </w:rPr>
        <w:t>5.543A</w:t>
      </w:r>
      <w:r w:rsidRPr="003B3721">
        <w:tab/>
      </w:r>
      <w:r w:rsidR="00065B9D" w:rsidRPr="00065B9D">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31-31.3 GHz may also be used by systems using high altitude platform stations (HAPS) in the ground-to-HAPS direction. The use of the frequency band 31-31.3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frequency band 31-31.3 GHz shall not cause harmful interference to the radio astronomy service having a primary allocation in the frequency band 31.3-31.8 GHz, taking into account the protection criterion as given in the most recent version of Recommendation ITU-R RA.769. In order to ensure the protection of satellite passive services, the level of unwanted power density into a HAPS ground station antenna in the frequency band 31.3-31.8 GHz shall be limited to −106 </w:t>
      </w:r>
      <w:proofErr w:type="gramStart"/>
      <w:r w:rsidR="00065B9D" w:rsidRPr="00065B9D">
        <w:t>dB(</w:t>
      </w:r>
      <w:proofErr w:type="gramEnd"/>
      <w:r w:rsidR="00065B9D" w:rsidRPr="00065B9D">
        <w:t>W/MHz) under clear-sky conditions, and may be increased up to −100 dB(W/MHz) under rainy conditions to mitigate fading due to rain, provided the effective impact on the passive satellite does not exceed the impact under clear-sky conditions. See Resolution 145 (Rev.WRC-12).    (WRC-15)</w:t>
      </w:r>
    </w:p>
    <w:p w:rsidR="003D7A54" w:rsidRPr="003B3721" w:rsidRDefault="003D7A54" w:rsidP="003D7A54">
      <w:r w:rsidRPr="003B3721">
        <w:rPr>
          <w:rStyle w:val="ECCHLbold"/>
        </w:rPr>
        <w:t>5.545</w:t>
      </w:r>
      <w:r w:rsidRPr="003B3721">
        <w:rPr>
          <w:rStyle w:val="ECCHLbold"/>
        </w:rPr>
        <w:tab/>
      </w:r>
      <w:r w:rsidRPr="003B3721">
        <w:rPr>
          <w:rStyle w:val="ECCHLbold"/>
        </w:rPr>
        <w:tab/>
      </w:r>
      <w:r w:rsidRPr="003B3721">
        <w:t>Different category of service:  in Armenia, Georgia, Kyrgyzstan, Tajikistan and Turkmenistan, the allocation of the band 31-31.3 GHz to the space research service is on a primary basis (see No. 5.33).     (WRC</w:t>
      </w:r>
      <w:r w:rsidR="004517D7">
        <w:t>-</w:t>
      </w:r>
      <w:r w:rsidRPr="003B3721">
        <w:t>12)</w:t>
      </w:r>
    </w:p>
    <w:p w:rsidR="003D7A54" w:rsidRPr="003B3721" w:rsidRDefault="003D7A54" w:rsidP="003D7A54">
      <w:r w:rsidRPr="003B3721">
        <w:rPr>
          <w:rStyle w:val="ECCHLbold"/>
        </w:rPr>
        <w:t>5.546</w:t>
      </w:r>
      <w:r w:rsidRPr="003B3721">
        <w:rPr>
          <w:rStyle w:val="ECCHLbold"/>
        </w:rPr>
        <w:tab/>
      </w:r>
      <w:r w:rsidRPr="003B3721">
        <w:rPr>
          <w:rStyle w:val="ECCHLbold"/>
        </w:rPr>
        <w:tab/>
      </w:r>
      <w:r w:rsidRPr="003B3721">
        <w:t xml:space="preserve">Different category of service:  in Saudi Arabia, Armenia, Azerbaijan, Belarus, Egypt, the United Arab Emirates, Spain, Estonia, the Russian Federation, Georgia, Hungary, Iran (Islamic Republic of), Israel, Jordan, Lebanon, Moldova, Mongolia, Oman, Uzbekistan, Poland, the Syrian Arab Republic, Kyrgyzstan, </w:t>
      </w:r>
      <w:r w:rsidRPr="003B3721">
        <w:lastRenderedPageBreak/>
        <w:t>Romania, the United Kingdom, South Africa, Tajikistan, Turkmenistan and Turkey, the allocation of the band 31.5-31.8 GHz to the fixed and mobile, except aeronautical mobile, services is on a primary basis (see No. 5.33).     (WRC</w:t>
      </w:r>
      <w:r w:rsidR="004517D7">
        <w:t>-</w:t>
      </w:r>
      <w:r w:rsidRPr="003B3721">
        <w:t>12)</w:t>
      </w:r>
    </w:p>
    <w:p w:rsidR="003D7A54" w:rsidRDefault="003D7A54">
      <w:pPr>
        <w:rPr>
          <w:rStyle w:val="ECCParagraph"/>
        </w:rPr>
      </w:pPr>
      <w:r w:rsidRPr="003B3721">
        <w:rPr>
          <w:rStyle w:val="ECCHLbold"/>
        </w:rPr>
        <w:t>5.550</w:t>
      </w:r>
      <w:r w:rsidRPr="003B3721">
        <w:rPr>
          <w:rStyle w:val="ECCHLbold"/>
        </w:rPr>
        <w:tab/>
      </w:r>
      <w:r w:rsidRPr="003B3721">
        <w:rPr>
          <w:rStyle w:val="ECCHLbold"/>
        </w:rPr>
        <w:tab/>
      </w:r>
      <w:r w:rsidRPr="003B3721">
        <w:t>Different category of service: in Armenia, Azerbaijan, Belarus, the Russian Federation, Georgia, Kyrgyzstan, Tajikistan and Turkmenistan, the allocation of the band 34.7-35.2 GHz to the space research service is on a primary basis (see No. 5.33).     (WRC</w:t>
      </w:r>
      <w:r w:rsidR="0013735C">
        <w:t>-</w:t>
      </w:r>
      <w:r w:rsidRPr="003B3721">
        <w:t>12)</w:t>
      </w:r>
      <w:r>
        <w:rPr>
          <w:rStyle w:val="ECCParagraph"/>
        </w:rPr>
        <w:br w:type="page"/>
      </w:r>
    </w:p>
    <w:p w:rsidR="003D7A54" w:rsidRPr="00F97009" w:rsidRDefault="003D7A54" w:rsidP="003D7A54">
      <w:pPr>
        <w:pStyle w:val="ECCAnnexheading1"/>
        <w:rPr>
          <w:lang w:val="en-GB"/>
        </w:rPr>
      </w:pPr>
      <w:bookmarkStart w:id="4" w:name="_Ref508706869"/>
      <w:r w:rsidRPr="00F97009">
        <w:rPr>
          <w:lang w:val="en-GB"/>
        </w:rPr>
        <w:lastRenderedPageBreak/>
        <w:t>List of countries affected in cross-referenced footnotes</w:t>
      </w:r>
      <w:bookmarkEnd w:id="4"/>
    </w:p>
    <w:tbl>
      <w:tblPr>
        <w:tblStyle w:val="ECCTable-redheader"/>
        <w:tblW w:w="9713" w:type="dxa"/>
        <w:tblInd w:w="0" w:type="dxa"/>
        <w:tblLook w:val="0020" w:firstRow="1" w:lastRow="0" w:firstColumn="0" w:lastColumn="0" w:noHBand="0" w:noVBand="0"/>
      </w:tblPr>
      <w:tblGrid>
        <w:gridCol w:w="1953"/>
        <w:gridCol w:w="7760"/>
      </w:tblGrid>
      <w:tr w:rsidR="000E402F" w:rsidRPr="003B3721" w:rsidTr="00DC5FFA">
        <w:trPr>
          <w:cnfStyle w:val="100000000000" w:firstRow="1" w:lastRow="0" w:firstColumn="0" w:lastColumn="0" w:oddVBand="0" w:evenVBand="0" w:oddHBand="0" w:evenHBand="0" w:firstRowFirstColumn="0" w:firstRowLastColumn="0" w:lastRowFirstColumn="0" w:lastRowLastColumn="0"/>
        </w:trPr>
        <w:tc>
          <w:tcPr>
            <w:tcW w:w="1953" w:type="dxa"/>
          </w:tcPr>
          <w:p w:rsidR="000E402F" w:rsidRPr="000E402F" w:rsidRDefault="000E402F" w:rsidP="00684A12">
            <w:r w:rsidRPr="003B3721">
              <w:t xml:space="preserve">Footnotes which have references to CEPT </w:t>
            </w:r>
            <w:r w:rsidR="00684A12">
              <w:t>countries</w:t>
            </w:r>
          </w:p>
        </w:tc>
        <w:tc>
          <w:tcPr>
            <w:tcW w:w="7760" w:type="dxa"/>
          </w:tcPr>
          <w:p w:rsidR="000E402F" w:rsidRPr="000E402F" w:rsidRDefault="000E402F" w:rsidP="00684A12">
            <w:r w:rsidRPr="003B3721">
              <w:t>Referenced footnotes and the names of CEPT countries affected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5.100</w:t>
            </w:r>
          </w:p>
        </w:tc>
        <w:tc>
          <w:tcPr>
            <w:tcW w:w="7760" w:type="dxa"/>
          </w:tcPr>
          <w:p w:rsidR="000E402F" w:rsidRPr="000E402F" w:rsidRDefault="000E402F" w:rsidP="000E402F">
            <w:pPr>
              <w:pStyle w:val="ECCTabletext"/>
            </w:pPr>
            <w:r w:rsidRPr="003B3721">
              <w:rPr>
                <w:rStyle w:val="ECCHLbold"/>
              </w:rPr>
              <w:t>5.98</w:t>
            </w:r>
            <w:r w:rsidRPr="000E402F">
              <w:t>: Azerbaijan, Belarus, Belgium, Denmark, Spain, the Russian Federation, Georgia, Greece, I</w:t>
            </w:r>
            <w:r w:rsidR="001633B3">
              <w:t>taly, Lithuania, Turkey</w:t>
            </w:r>
          </w:p>
          <w:p w:rsidR="000E402F" w:rsidRPr="000E402F" w:rsidRDefault="000E402F" w:rsidP="000E402F">
            <w:pPr>
              <w:pStyle w:val="ECCTabletext"/>
            </w:pPr>
            <w:r w:rsidRPr="003B3721">
              <w:rPr>
                <w:rStyle w:val="ECCHLbold"/>
              </w:rPr>
              <w:t>5.99</w:t>
            </w:r>
            <w:r w:rsidRPr="000E402F">
              <w:t>: Austria, Slovakia, Romania, Slovenia</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5.138</w:t>
            </w:r>
          </w:p>
        </w:tc>
        <w:tc>
          <w:tcPr>
            <w:tcW w:w="7760" w:type="dxa"/>
          </w:tcPr>
          <w:p w:rsidR="000E402F" w:rsidRPr="000E402F" w:rsidRDefault="00684A12" w:rsidP="00684A12">
            <w:pPr>
              <w:pStyle w:val="ECCTabletext"/>
            </w:pPr>
            <w:r w:rsidRPr="003B3721">
              <w:rPr>
                <w:rStyle w:val="ECCHLbold"/>
              </w:rPr>
              <w:t>5.</w:t>
            </w:r>
            <w:r>
              <w:rPr>
                <w:rStyle w:val="ECCHLbold"/>
              </w:rPr>
              <w:t>280</w:t>
            </w:r>
            <w:r w:rsidR="000E402F" w:rsidRPr="003B3721">
              <w:t xml:space="preserve">: </w:t>
            </w:r>
            <w:r w:rsidR="000E402F" w:rsidRPr="000E402F">
              <w:t>Germany, Austria, Bosnia and Herzegovina, Croatia, The Former Yugoslav Republic of Macedonia, Liechtenstein, Montenegro, Portugal, Serbia, Slovenia, Switzerland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5.254</w:t>
            </w:r>
          </w:p>
        </w:tc>
        <w:tc>
          <w:tcPr>
            <w:tcW w:w="7760" w:type="dxa"/>
          </w:tcPr>
          <w:p w:rsidR="000E402F" w:rsidRPr="000E402F" w:rsidRDefault="000E402F" w:rsidP="000E402F">
            <w:pPr>
              <w:pStyle w:val="ECCTabletext"/>
            </w:pPr>
            <w:r w:rsidRPr="003B3721">
              <w:rPr>
                <w:rStyle w:val="ECCHLbold"/>
              </w:rPr>
              <w:t>5.256A</w:t>
            </w:r>
            <w:r w:rsidRPr="000E402F">
              <w:t>:</w:t>
            </w:r>
            <w:r w:rsidR="006B0F76">
              <w:t xml:space="preserve"> the Russian Federation</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5.316B</w:t>
            </w:r>
          </w:p>
        </w:tc>
        <w:tc>
          <w:tcPr>
            <w:tcW w:w="7760" w:type="dxa"/>
          </w:tcPr>
          <w:p w:rsidR="000E402F" w:rsidRPr="000E402F" w:rsidRDefault="000E402F" w:rsidP="00380CB3">
            <w:pPr>
              <w:pStyle w:val="ECCTabletext"/>
            </w:pPr>
            <w:r w:rsidRPr="003B3721">
              <w:rPr>
                <w:rStyle w:val="ECCHLbold"/>
              </w:rPr>
              <w:t>5.312</w:t>
            </w:r>
            <w:r w:rsidRPr="000E402F">
              <w:t xml:space="preserve">: Azerbaijan, Belarus, Bulgaria, </w:t>
            </w:r>
            <w:r w:rsidR="00380CB3" w:rsidRPr="000E402F">
              <w:t xml:space="preserve">Georgia, Poland, </w:t>
            </w:r>
            <w:r w:rsidRPr="000E402F">
              <w:t>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5.329</w:t>
            </w:r>
          </w:p>
        </w:tc>
        <w:tc>
          <w:tcPr>
            <w:tcW w:w="7760" w:type="dxa"/>
          </w:tcPr>
          <w:p w:rsidR="000E402F" w:rsidRPr="000E402F" w:rsidRDefault="000E402F" w:rsidP="000E402F">
            <w:pPr>
              <w:pStyle w:val="ECCTabletext"/>
            </w:pPr>
            <w:r w:rsidRPr="003B3721">
              <w:rPr>
                <w:rStyle w:val="ECCHLbold"/>
              </w:rPr>
              <w:t>5.331</w:t>
            </w:r>
            <w:r w:rsidRPr="000E402F">
              <w:t>: Germany, Austria, Belarus, Belgium, Bosnia and Herzegovina, Croatia, Denmark, Estonia, the Russian Federation, Finland, France, Greece, Hungary, Ireland, The Former Yugoslav Republic of Macedonia, Latvia, Liechtenstein, Lithuania, Luxembourg, Montenegro, Norway, the Netherlands, Poland, Portugal, Slovakia, the United Kingdom, Serbia, Slovenia, Sweden, Switzerland, Turkey</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5.340</w:t>
            </w:r>
          </w:p>
        </w:tc>
        <w:tc>
          <w:tcPr>
            <w:tcW w:w="7760" w:type="dxa"/>
          </w:tcPr>
          <w:p w:rsidR="000E402F" w:rsidRPr="000E402F" w:rsidRDefault="000E402F" w:rsidP="000E402F">
            <w:pPr>
              <w:pStyle w:val="ECCTabletext"/>
            </w:pPr>
            <w:r w:rsidRPr="003B3721">
              <w:rPr>
                <w:rStyle w:val="ECCHLbold"/>
              </w:rPr>
              <w:t>5.422</w:t>
            </w:r>
            <w:r w:rsidRPr="000E402F">
              <w:t>: Azerbaijan, Belarus, Georgia, Moldova, Montenegro, Romania, Ukraine</w:t>
            </w:r>
          </w:p>
          <w:p w:rsidR="000E402F" w:rsidRPr="000E402F" w:rsidRDefault="000E402F" w:rsidP="000E402F">
            <w:pPr>
              <w:pStyle w:val="ECCTabletext"/>
            </w:pPr>
            <w:r w:rsidRPr="003B3721">
              <w:rPr>
                <w:rStyle w:val="ECCHLbold"/>
              </w:rPr>
              <w:t>5.483</w:t>
            </w:r>
            <w:r w:rsidRPr="000E402F">
              <w:t>: Azerbaijan, Belarus, Georgia, Romania</w:t>
            </w:r>
          </w:p>
          <w:p w:rsidR="000E402F" w:rsidRPr="000E402F" w:rsidRDefault="000E402F" w:rsidP="000E402F">
            <w:pPr>
              <w:pStyle w:val="ECCTabletext"/>
            </w:pPr>
            <w:r w:rsidRPr="003B3721">
              <w:rPr>
                <w:rStyle w:val="ECCHLbold"/>
              </w:rPr>
              <w:t>5.511</w:t>
            </w:r>
            <w:r w:rsidRPr="000E402F">
              <w:t>: Bosnia and Herzegovina</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5.341A</w:t>
            </w:r>
          </w:p>
        </w:tc>
        <w:tc>
          <w:tcPr>
            <w:tcW w:w="7760" w:type="dxa"/>
          </w:tcPr>
          <w:p w:rsidR="00257F2B" w:rsidRPr="00257F2B" w:rsidRDefault="00257F2B" w:rsidP="00257F2B">
            <w:pPr>
              <w:pStyle w:val="ECCTabletext"/>
            </w:pPr>
            <w:r w:rsidRPr="003B3721">
              <w:rPr>
                <w:rStyle w:val="ECCHLbold"/>
              </w:rPr>
              <w:t>5.342</w:t>
            </w:r>
            <w:r w:rsidRPr="00257F2B">
              <w:t xml:space="preserve">: Azerbaijan, Belarus, </w:t>
            </w:r>
            <w:r>
              <w:t>t</w:t>
            </w:r>
            <w:r w:rsidRPr="00257F2B">
              <w:t>he Russian Federation, Ukraine</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5.346</w:t>
            </w:r>
          </w:p>
        </w:tc>
        <w:tc>
          <w:tcPr>
            <w:tcW w:w="7760" w:type="dxa"/>
          </w:tcPr>
          <w:p w:rsidR="00257F2B" w:rsidRPr="00257F2B" w:rsidRDefault="00257F2B" w:rsidP="00257F2B">
            <w:pPr>
              <w:pStyle w:val="ECCTabletext"/>
            </w:pPr>
            <w:r w:rsidRPr="003B3721">
              <w:rPr>
                <w:rStyle w:val="ECCHLbold"/>
              </w:rPr>
              <w:t>5.342</w:t>
            </w:r>
            <w:r w:rsidRPr="00257F2B">
              <w:t>: Azerbaijan, Belarus, 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5.348B</w:t>
            </w:r>
          </w:p>
        </w:tc>
        <w:tc>
          <w:tcPr>
            <w:tcW w:w="7760" w:type="dxa"/>
          </w:tcPr>
          <w:p w:rsidR="000E402F" w:rsidRPr="000E402F" w:rsidRDefault="000E402F" w:rsidP="00257F2B">
            <w:pPr>
              <w:pStyle w:val="ECCTabletext"/>
            </w:pPr>
            <w:r w:rsidRPr="003B3721">
              <w:rPr>
                <w:rStyle w:val="ECCHLbold"/>
              </w:rPr>
              <w:t>5.342</w:t>
            </w:r>
            <w:r w:rsidRPr="000E402F">
              <w:t>: Azerbaijan, Belarus, the Russian Federation, Ukraine</w:t>
            </w:r>
          </w:p>
        </w:tc>
      </w:tr>
      <w:tr w:rsidR="000E402F" w:rsidRPr="003B3721" w:rsidTr="00DC5FFA">
        <w:tc>
          <w:tcPr>
            <w:tcW w:w="1953" w:type="dxa"/>
          </w:tcPr>
          <w:p w:rsidR="000E402F" w:rsidRPr="000E402F" w:rsidRDefault="000E402F" w:rsidP="00257F2B">
            <w:pPr>
              <w:pStyle w:val="ECCTabletext"/>
              <w:rPr>
                <w:rStyle w:val="ECCHLbold"/>
              </w:rPr>
            </w:pPr>
            <w:r w:rsidRPr="003B3721">
              <w:rPr>
                <w:rStyle w:val="ECCHLbold"/>
              </w:rPr>
              <w:t>5.364</w:t>
            </w:r>
          </w:p>
        </w:tc>
        <w:tc>
          <w:tcPr>
            <w:tcW w:w="7760" w:type="dxa"/>
          </w:tcPr>
          <w:p w:rsidR="000E402F" w:rsidRPr="000E402F" w:rsidRDefault="000E402F" w:rsidP="006F283A">
            <w:pPr>
              <w:pStyle w:val="ECCTabletext"/>
            </w:pPr>
            <w:r w:rsidRPr="003B3721">
              <w:rPr>
                <w:rStyle w:val="ECCHLbold"/>
              </w:rPr>
              <w:t>5.359</w:t>
            </w:r>
            <w:r w:rsidRPr="000E402F">
              <w:t>: Germany, Azerbaijan, Belarus, the Russian Federation, France, Georgia, Lithuania, Poland, Romania, Ukraine</w:t>
            </w:r>
          </w:p>
        </w:tc>
      </w:tr>
      <w:tr w:rsidR="00257F2B" w:rsidRPr="003B3721" w:rsidTr="00DC5FFA">
        <w:tc>
          <w:tcPr>
            <w:tcW w:w="1953" w:type="dxa"/>
          </w:tcPr>
          <w:p w:rsidR="00257F2B" w:rsidRPr="00257F2B" w:rsidRDefault="00257F2B" w:rsidP="00257F2B">
            <w:pPr>
              <w:pStyle w:val="ECCTabletext"/>
              <w:rPr>
                <w:rStyle w:val="ECCHLbold"/>
              </w:rPr>
            </w:pPr>
            <w:r w:rsidRPr="003B3721">
              <w:rPr>
                <w:rStyle w:val="ECCHLbold"/>
              </w:rPr>
              <w:t>5.374</w:t>
            </w:r>
          </w:p>
        </w:tc>
        <w:tc>
          <w:tcPr>
            <w:tcW w:w="7760" w:type="dxa"/>
          </w:tcPr>
          <w:p w:rsidR="00257F2B" w:rsidRPr="00257F2B" w:rsidRDefault="006F283A" w:rsidP="00257F2B">
            <w:pPr>
              <w:pStyle w:val="ECCTabletext"/>
            </w:pPr>
            <w:r w:rsidRPr="003B3721">
              <w:rPr>
                <w:rStyle w:val="ECCHLbold"/>
              </w:rPr>
              <w:t>5.359</w:t>
            </w:r>
            <w:r w:rsidRPr="006F283A">
              <w:t>: Germany, Azerbaijan, Belarus, the Russian Federation, France, Georgia, Lithuania, Poland, Romania,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5.473A</w:t>
            </w:r>
          </w:p>
        </w:tc>
        <w:tc>
          <w:tcPr>
            <w:tcW w:w="7760" w:type="dxa"/>
          </w:tcPr>
          <w:p w:rsidR="000E402F" w:rsidRPr="000E402F" w:rsidRDefault="000E402F" w:rsidP="000E402F">
            <w:pPr>
              <w:pStyle w:val="ECCTabletext"/>
            </w:pPr>
            <w:r w:rsidRPr="003B3721">
              <w:rPr>
                <w:rStyle w:val="ECCHLbold"/>
              </w:rPr>
              <w:t>5.471</w:t>
            </w:r>
            <w:r w:rsidRPr="000E402F">
              <w:t>: Germany, Belgium, France, Greece, the Netherlands</w:t>
            </w:r>
          </w:p>
        </w:tc>
      </w:tr>
      <w:tr w:rsidR="000E402F" w:rsidRPr="003B3721" w:rsidTr="00DC5FFA">
        <w:tc>
          <w:tcPr>
            <w:tcW w:w="1953" w:type="dxa"/>
          </w:tcPr>
          <w:p w:rsidR="000E402F" w:rsidRPr="009A17DC" w:rsidRDefault="00CF5EED" w:rsidP="009A17DC">
            <w:pPr>
              <w:rPr>
                <w:rStyle w:val="ECCHLbold"/>
              </w:rPr>
            </w:pPr>
            <w:r w:rsidRPr="009A17DC">
              <w:rPr>
                <w:rStyle w:val="ECCHLbold"/>
              </w:rPr>
              <w:t>5.509B</w:t>
            </w:r>
          </w:p>
        </w:tc>
        <w:tc>
          <w:tcPr>
            <w:tcW w:w="7760" w:type="dxa"/>
          </w:tcPr>
          <w:p w:rsidR="000E402F" w:rsidRPr="009A17DC" w:rsidRDefault="00CF5EED" w:rsidP="009A17DC">
            <w:r w:rsidRPr="009A17DC">
              <w:rPr>
                <w:rStyle w:val="ECCHLbold"/>
              </w:rPr>
              <w:t>R</w:t>
            </w:r>
            <w:r w:rsidR="00684A12" w:rsidRPr="009A17DC">
              <w:rPr>
                <w:rStyle w:val="ECCHLbold"/>
              </w:rPr>
              <w:t>esolution</w:t>
            </w:r>
            <w:r w:rsidRPr="009A17DC">
              <w:rPr>
                <w:rStyle w:val="ECCHLbold"/>
              </w:rPr>
              <w:t xml:space="preserve"> 163 (WRC-15)</w:t>
            </w:r>
            <w:r w:rsidRPr="00E23B65">
              <w:rPr>
                <w:rStyle w:val="ECCHLbold"/>
              </w:rPr>
              <w:t>:</w:t>
            </w:r>
            <w:r w:rsidR="007311B5" w:rsidRPr="009A17DC">
              <w:t xml:space="preserve"> </w:t>
            </w:r>
            <w:r w:rsidRPr="009A17DC">
              <w:t>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C</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D</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E</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5.509F</w:t>
            </w:r>
          </w:p>
        </w:tc>
        <w:tc>
          <w:tcPr>
            <w:tcW w:w="7760" w:type="dxa"/>
          </w:tcPr>
          <w:p w:rsidR="00CF5EED" w:rsidRPr="009A17DC" w:rsidRDefault="00684A12" w:rsidP="009A17DC">
            <w:r w:rsidRPr="009A17DC">
              <w:rPr>
                <w:rStyle w:val="ECCHLbold"/>
              </w:rPr>
              <w:t xml:space="preserve">Resolution </w:t>
            </w:r>
            <w:r w:rsidR="00CF5EED" w:rsidRPr="009A17DC">
              <w:rPr>
                <w:rStyle w:val="ECCHLbold"/>
              </w:rPr>
              <w:t xml:space="preserve">163 (WRC-15): </w:t>
            </w:r>
            <w:r w:rsidR="00CF5EED" w:rsidRPr="00E23B65">
              <w:t>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5.510</w:t>
            </w:r>
          </w:p>
        </w:tc>
        <w:tc>
          <w:tcPr>
            <w:tcW w:w="7760" w:type="dxa"/>
          </w:tcPr>
          <w:p w:rsidR="00CF5EED" w:rsidRPr="009A17DC" w:rsidRDefault="00684A12" w:rsidP="009A17DC">
            <w:r w:rsidRPr="009A17DC">
              <w:rPr>
                <w:rStyle w:val="ECCHLbold"/>
              </w:rPr>
              <w:t xml:space="preserve">Resolution </w:t>
            </w:r>
            <w:r w:rsidR="00CF5EED" w:rsidRPr="009A17DC">
              <w:rPr>
                <w:rStyle w:val="ECCHLbold"/>
              </w:rPr>
              <w:t>163 (WRC-15):</w:t>
            </w:r>
            <w:r w:rsidR="00CF5EED" w:rsidRPr="00E23B65">
              <w:t xml:space="preserve">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sidRPr="003B3721">
              <w:rPr>
                <w:rStyle w:val="ECCHLbold"/>
              </w:rPr>
              <w:t>5.513</w:t>
            </w:r>
          </w:p>
        </w:tc>
        <w:tc>
          <w:tcPr>
            <w:tcW w:w="7760" w:type="dxa"/>
          </w:tcPr>
          <w:p w:rsidR="00CF5EED" w:rsidRPr="00CF5EED" w:rsidRDefault="00CF5EED" w:rsidP="00CF5EED">
            <w:pPr>
              <w:pStyle w:val="ECCTabletext"/>
            </w:pPr>
            <w:r w:rsidRPr="003B3721">
              <w:rPr>
                <w:rStyle w:val="ECCHLbold"/>
              </w:rPr>
              <w:t>5.512</w:t>
            </w:r>
            <w:r w:rsidRPr="00CF5EED">
              <w:t>: Austria, Finland, Montenegro</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5.543A</w:t>
            </w:r>
          </w:p>
        </w:tc>
        <w:tc>
          <w:tcPr>
            <w:tcW w:w="7760" w:type="dxa"/>
          </w:tcPr>
          <w:p w:rsidR="000E402F" w:rsidRPr="000E402F" w:rsidRDefault="000E402F" w:rsidP="000E402F">
            <w:pPr>
              <w:pStyle w:val="ECCTabletext"/>
            </w:pPr>
            <w:r w:rsidRPr="003B3721">
              <w:rPr>
                <w:rStyle w:val="ECCHLbold"/>
              </w:rPr>
              <w:t>5.545</w:t>
            </w:r>
            <w:r w:rsidRPr="000E402F">
              <w:t>: Georgia</w:t>
            </w:r>
          </w:p>
        </w:tc>
      </w:tr>
    </w:tbl>
    <w:p w:rsidR="003D7A54" w:rsidRPr="00F97009" w:rsidRDefault="003D7A54" w:rsidP="003D7A54">
      <w:pPr>
        <w:pStyle w:val="ECCAnnexheading1"/>
        <w:rPr>
          <w:lang w:val="en-GB"/>
        </w:rPr>
      </w:pPr>
      <w:bookmarkStart w:id="5" w:name="_Ref508706912"/>
      <w:r w:rsidRPr="00F97009">
        <w:rPr>
          <w:lang w:val="en-GB"/>
        </w:rPr>
        <w:lastRenderedPageBreak/>
        <w:t>List of countries that have indicated their intentions regarding footnotes</w:t>
      </w:r>
      <w:bookmarkEnd w:id="5"/>
    </w:p>
    <w:p w:rsidR="003D7A54" w:rsidRPr="00F97009" w:rsidRDefault="003D7A54" w:rsidP="003D7A54">
      <w:pPr>
        <w:pStyle w:val="ECCEditorsNote"/>
        <w:rPr>
          <w:lang w:val="en-GB"/>
        </w:rPr>
      </w:pPr>
      <w:r w:rsidRPr="00F97009">
        <w:rPr>
          <w:lang w:val="en-GB"/>
        </w:rPr>
        <w:t>[This section will be developed and updated upon proposals from Administrations]</w:t>
      </w:r>
    </w:p>
    <w:tbl>
      <w:tblPr>
        <w:tblStyle w:val="ECCTable-redheader"/>
        <w:tblW w:w="0" w:type="auto"/>
        <w:tblInd w:w="0" w:type="dxa"/>
        <w:tblLook w:val="0020" w:firstRow="1" w:lastRow="0" w:firstColumn="0" w:lastColumn="0" w:noHBand="0" w:noVBand="0"/>
      </w:tblPr>
      <w:tblGrid>
        <w:gridCol w:w="3227"/>
        <w:gridCol w:w="6628"/>
      </w:tblGrid>
      <w:tr w:rsidR="003D7A54" w:rsidRPr="003B3721" w:rsidTr="00BD094E">
        <w:trPr>
          <w:cnfStyle w:val="100000000000" w:firstRow="1" w:lastRow="0" w:firstColumn="0" w:lastColumn="0" w:oddVBand="0" w:evenVBand="0" w:oddHBand="0" w:evenHBand="0" w:firstRowFirstColumn="0" w:firstRowLastColumn="0" w:lastRowFirstColumn="0" w:lastRowLastColumn="0"/>
        </w:trPr>
        <w:tc>
          <w:tcPr>
            <w:tcW w:w="3227" w:type="dxa"/>
          </w:tcPr>
          <w:p w:rsidR="003D7A54" w:rsidRPr="003B3721" w:rsidRDefault="003D7A54" w:rsidP="003D7A54">
            <w:r w:rsidRPr="003B3721">
              <w:t>CEPT Administration</w:t>
            </w:r>
          </w:p>
        </w:tc>
        <w:tc>
          <w:tcPr>
            <w:tcW w:w="6628" w:type="dxa"/>
          </w:tcPr>
          <w:p w:rsidR="003D7A54" w:rsidRPr="003D7A54" w:rsidRDefault="003D7A54" w:rsidP="003D7A54">
            <w:r w:rsidRPr="003B3721">
              <w:t xml:space="preserve">Relevant footnotes for consideration under </w:t>
            </w:r>
            <w:r w:rsidRPr="003D7A54">
              <w:t>WRC-19 Agenda Item 8</w:t>
            </w:r>
          </w:p>
        </w:tc>
      </w:tr>
      <w:tr w:rsidR="00BD094E" w:rsidRPr="003B3721" w:rsidTr="00BD094E">
        <w:tblPrEx>
          <w:tblLook w:val="04A0" w:firstRow="1" w:lastRow="0" w:firstColumn="1" w:lastColumn="0" w:noHBand="0" w:noVBand="1"/>
        </w:tblPrEx>
        <w:tc>
          <w:tcPr>
            <w:tcW w:w="3227" w:type="dxa"/>
          </w:tcPr>
          <w:p w:rsidR="00BD094E" w:rsidRPr="00BD094E" w:rsidRDefault="00BD094E" w:rsidP="00BD094E">
            <w:pPr>
              <w:pStyle w:val="ECCTabletext"/>
            </w:pPr>
            <w:r w:rsidRPr="00BD094E">
              <w:t>Czech Republic</w:t>
            </w:r>
          </w:p>
        </w:tc>
        <w:tc>
          <w:tcPr>
            <w:tcW w:w="6628" w:type="dxa"/>
          </w:tcPr>
          <w:p w:rsidR="00BD094E" w:rsidRDefault="00BD094E" w:rsidP="00BD094E">
            <w:pPr>
              <w:pStyle w:val="ECCTabletext"/>
            </w:pPr>
            <w:r w:rsidRPr="00BD094E">
              <w:t>No intention to delete its country footnotes or its country name from the footnotes to Article 5 of the Radio Regulations</w:t>
            </w:r>
            <w:r>
              <w:t xml:space="preserve"> </w:t>
            </w:r>
            <w:r w:rsidRPr="00BD094E">
              <w:tab/>
              <w:t>at this stage</w:t>
            </w:r>
            <w:r>
              <w:t>.</w:t>
            </w:r>
          </w:p>
          <w:p w:rsidR="00BD094E" w:rsidRPr="00BD094E" w:rsidRDefault="00BD094E" w:rsidP="00BD094E">
            <w:pPr>
              <w:pStyle w:val="ECCTabletext"/>
            </w:pPr>
            <w:r w:rsidRPr="00BD094E">
              <w:t>Also addition of country name into footnotes or new country footnotes is not considered under AI 8 WRC-19 for the time being.</w:t>
            </w:r>
          </w:p>
        </w:tc>
      </w:tr>
      <w:tr w:rsidR="00BD094E" w:rsidRPr="003B3721" w:rsidTr="00BD094E">
        <w:tblPrEx>
          <w:tblLook w:val="04A0" w:firstRow="1" w:lastRow="0" w:firstColumn="1" w:lastColumn="0" w:noHBand="0" w:noVBand="1"/>
        </w:tblPrEx>
        <w:tc>
          <w:tcPr>
            <w:tcW w:w="3227" w:type="dxa"/>
          </w:tcPr>
          <w:p w:rsidR="00BD094E" w:rsidRPr="00BD094E" w:rsidRDefault="00BD094E" w:rsidP="00BD094E">
            <w:pPr>
              <w:pStyle w:val="ECCTabletext"/>
            </w:pPr>
            <w:r>
              <w:t>Ukraine</w:t>
            </w:r>
          </w:p>
        </w:tc>
        <w:tc>
          <w:tcPr>
            <w:tcW w:w="6628" w:type="dxa"/>
          </w:tcPr>
          <w:p w:rsidR="00BD094E" w:rsidRPr="00BD094E" w:rsidRDefault="00BD094E" w:rsidP="00BD094E">
            <w:pPr>
              <w:pStyle w:val="ECCTabletext"/>
            </w:pPr>
            <w:r>
              <w:t>I</w:t>
            </w:r>
            <w:r w:rsidRPr="00BD094E">
              <w:t>ntention to delete the name of country in the footnote</w:t>
            </w:r>
            <w:r>
              <w:t>s</w:t>
            </w:r>
            <w:r w:rsidRPr="00BD094E">
              <w:t xml:space="preserve"> No</w:t>
            </w:r>
            <w:r>
              <w:t>s</w:t>
            </w:r>
            <w:r w:rsidRPr="00BD094E">
              <w:t xml:space="preserve">. </w:t>
            </w:r>
            <w:r w:rsidRPr="00E26688">
              <w:rPr>
                <w:rStyle w:val="ECCHLbold"/>
              </w:rPr>
              <w:t>5.201</w:t>
            </w:r>
            <w:r w:rsidRPr="00BD094E">
              <w:t xml:space="preserve">, </w:t>
            </w:r>
            <w:r w:rsidRPr="00E26688">
              <w:rPr>
                <w:rStyle w:val="ECCHLbold"/>
              </w:rPr>
              <w:t>5.202</w:t>
            </w:r>
            <w:r w:rsidRPr="00BD094E">
              <w:t xml:space="preserve"> and </w:t>
            </w:r>
            <w:r w:rsidRPr="00E26688">
              <w:rPr>
                <w:rStyle w:val="ECCHLbold"/>
              </w:rPr>
              <w:t>5.359</w:t>
            </w:r>
            <w:r>
              <w:t>.</w:t>
            </w:r>
          </w:p>
        </w:tc>
      </w:tr>
      <w:tr w:rsidR="003D7A54" w:rsidRPr="003B3721" w:rsidTr="00BD094E">
        <w:tc>
          <w:tcPr>
            <w:tcW w:w="3227" w:type="dxa"/>
          </w:tcPr>
          <w:p w:rsidR="003D7A54" w:rsidRPr="003D7A54" w:rsidRDefault="003D7A54" w:rsidP="003D7A54">
            <w:pPr>
              <w:pStyle w:val="ECCTabletext"/>
            </w:pPr>
            <w:r>
              <w:t>[</w:t>
            </w:r>
            <w:r w:rsidRPr="003D7A54">
              <w:t>Administration A]</w:t>
            </w:r>
          </w:p>
        </w:tc>
        <w:tc>
          <w:tcPr>
            <w:tcW w:w="6628" w:type="dxa"/>
          </w:tcPr>
          <w:p w:rsidR="003D7A54" w:rsidRPr="003D7A54" w:rsidRDefault="003D7A54" w:rsidP="003D7A54">
            <w:pPr>
              <w:pStyle w:val="ECCTabletext"/>
            </w:pPr>
            <w:r>
              <w:t>I</w:t>
            </w:r>
            <w:r w:rsidRPr="003D7A54">
              <w:t>ntention to delete its country footnote No. 5.xxx</w:t>
            </w:r>
          </w:p>
        </w:tc>
      </w:tr>
      <w:tr w:rsidR="003D7A54" w:rsidRPr="003B3721" w:rsidTr="00BD094E">
        <w:tc>
          <w:tcPr>
            <w:tcW w:w="3227" w:type="dxa"/>
          </w:tcPr>
          <w:p w:rsidR="003D7A54" w:rsidRPr="003D7A54" w:rsidRDefault="003D7A54" w:rsidP="003D7A54">
            <w:pPr>
              <w:pStyle w:val="ECCTabletext"/>
            </w:pPr>
            <w:r>
              <w:t>[</w:t>
            </w:r>
            <w:r w:rsidRPr="003D7A54">
              <w:t>Administration B]</w:t>
            </w:r>
          </w:p>
        </w:tc>
        <w:tc>
          <w:tcPr>
            <w:tcW w:w="6628" w:type="dxa"/>
          </w:tcPr>
          <w:p w:rsidR="003D7A54" w:rsidRPr="003D7A54" w:rsidRDefault="003D7A54" w:rsidP="003D7A54">
            <w:pPr>
              <w:pStyle w:val="ECCTabletext"/>
            </w:pPr>
            <w:r>
              <w:t>I</w:t>
            </w:r>
            <w:r w:rsidRPr="003D7A54">
              <w:t>ntention to delete the name of country in the footnote No. 5.xxx</w:t>
            </w:r>
          </w:p>
        </w:tc>
      </w:tr>
      <w:tr w:rsidR="003D7A54" w:rsidRPr="003B3721" w:rsidTr="00BD094E">
        <w:tc>
          <w:tcPr>
            <w:tcW w:w="3227" w:type="dxa"/>
          </w:tcPr>
          <w:p w:rsidR="003D7A54" w:rsidRPr="003D7A54" w:rsidRDefault="003D7A54" w:rsidP="003D7A54">
            <w:pPr>
              <w:pStyle w:val="ECCTabletext"/>
            </w:pPr>
            <w:r>
              <w:t>[</w:t>
            </w:r>
            <w:r w:rsidRPr="003D7A54">
              <w:t>Administration C]</w:t>
            </w:r>
          </w:p>
        </w:tc>
        <w:tc>
          <w:tcPr>
            <w:tcW w:w="6628" w:type="dxa"/>
          </w:tcPr>
          <w:p w:rsidR="003D7A54" w:rsidRPr="003D7A54" w:rsidRDefault="003D7A54" w:rsidP="003D7A54">
            <w:pPr>
              <w:pStyle w:val="ECCTabletext"/>
            </w:pPr>
            <w:r w:rsidRPr="003B3721">
              <w:t xml:space="preserve">No intention to delete its country footnotes or </w:t>
            </w:r>
            <w:r w:rsidRPr="003D7A54">
              <w:t xml:space="preserve">its country name from the footnotes to Article 5 of the Radio Regulations </w:t>
            </w:r>
          </w:p>
        </w:tc>
      </w:tr>
    </w:tbl>
    <w:p w:rsidR="003A68D5" w:rsidRPr="00235592" w:rsidRDefault="003A68D5" w:rsidP="00C61C38">
      <w:pPr>
        <w:rPr>
          <w:rStyle w:val="ECCParagraph"/>
        </w:rPr>
      </w:pPr>
    </w:p>
    <w:sectPr w:rsidR="003A68D5" w:rsidRPr="0023559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4A" w:rsidRDefault="00A35D4A" w:rsidP="00D0121B">
      <w:r>
        <w:separator/>
      </w:r>
    </w:p>
    <w:p w:rsidR="00A35D4A" w:rsidRDefault="00A35D4A"/>
    <w:p w:rsidR="00A35D4A" w:rsidRDefault="00A35D4A"/>
  </w:endnote>
  <w:endnote w:type="continuationSeparator" w:id="0">
    <w:p w:rsidR="00A35D4A" w:rsidRDefault="00A35D4A" w:rsidP="00D0121B">
      <w:r>
        <w:continuationSeparator/>
      </w:r>
    </w:p>
    <w:p w:rsidR="00A35D4A" w:rsidRDefault="00A35D4A"/>
    <w:p w:rsidR="00A35D4A" w:rsidRDefault="00A3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4A" w:rsidRPr="00C77ABB" w:rsidRDefault="00A35D4A" w:rsidP="00C77ABB">
      <w:pPr>
        <w:pStyle w:val="Funotentext"/>
      </w:pPr>
      <w:r w:rsidRPr="00C77ABB">
        <w:separator/>
      </w:r>
    </w:p>
  </w:footnote>
  <w:footnote w:type="continuationSeparator" w:id="0">
    <w:p w:rsidR="00A35D4A" w:rsidRPr="00C77ABB" w:rsidRDefault="00A35D4A" w:rsidP="00C77ABB">
      <w:pPr>
        <w:pStyle w:val="Funotentext"/>
      </w:pPr>
      <w:r w:rsidRPr="00C77ABB">
        <w:continuationSeparator/>
      </w:r>
    </w:p>
  </w:footnote>
  <w:footnote w:id="1">
    <w:p w:rsidR="006D5B1E" w:rsidRPr="00D16A07" w:rsidRDefault="006D5B1E" w:rsidP="006D5B1E">
      <w:pPr>
        <w:pStyle w:val="Funotentext"/>
        <w:rPr>
          <w:lang w:val="en-US"/>
        </w:rPr>
      </w:pPr>
      <w:r>
        <w:rPr>
          <w:rStyle w:val="Funotenzeichen"/>
        </w:rPr>
        <w:footnoteRef/>
      </w:r>
      <w:r>
        <w:t xml:space="preserve"> </w:t>
      </w:r>
      <w:r w:rsidR="001E6387">
        <w:tab/>
        <w:t>D</w:t>
      </w:r>
      <w:r w:rsidRPr="00D16A07">
        <w:t>ocument APG19-3/OUT-29 (</w:t>
      </w:r>
      <w:hyperlink r:id="rId1" w:history="1">
        <w:r w:rsidRPr="0038417F">
          <w:rPr>
            <w:rStyle w:val="Hyperlink"/>
          </w:rPr>
          <w:t>https://www.apt.int/sites/default/files/Upload-files/APG-19/APG19-3%20PV/PV%20AI8.docx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E6387">
      <w:rPr>
        <w:noProof/>
        <w:lang w:val="en-US"/>
      </w:rPr>
      <w:t>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tab/>
    </w:r>
    <w:r>
      <w:tab/>
    </w: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1E6387">
      <w:rPr>
        <w:noProof/>
        <w:lang w:val="en-US"/>
      </w:rPr>
      <w:t>9</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24" w:rsidRPr="00ED4024" w:rsidRDefault="00ED4024" w:rsidP="00ED4024">
    <w:pPr>
      <w:pStyle w:val="ECCpageHeader"/>
    </w:pPr>
    <w:r w:rsidRPr="00ED4024">
      <w:rPr>
        <w:noProof/>
        <w:lang w:val="de-DE" w:eastAsia="de-DE"/>
      </w:rPr>
      <w:drawing>
        <wp:inline distT="0" distB="0" distL="0" distR="0" wp14:anchorId="78A4AC95" wp14:editId="607DBB0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ED4024">
      <w:tab/>
    </w:r>
    <w:r w:rsidRPr="00ED4024">
      <w:tab/>
    </w:r>
    <w:r w:rsidRPr="00ED4024">
      <w:rPr>
        <w:noProof/>
        <w:lang w:val="de-DE" w:eastAsia="de-DE"/>
      </w:rPr>
      <w:drawing>
        <wp:inline distT="0" distB="0" distL="0" distR="0" wp14:anchorId="7B112590" wp14:editId="5BDAFA8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ED4024" w:rsidRPr="00ED4024" w:rsidRDefault="00ED4024" w:rsidP="00ED4024">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0140C2F"/>
    <w:multiLevelType w:val="hybridMultilevel"/>
    <w:tmpl w:val="498ABE3C"/>
    <w:lvl w:ilvl="0" w:tplc="E22C3BF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AB15C98"/>
    <w:multiLevelType w:val="hybridMultilevel"/>
    <w:tmpl w:val="B3741BD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71C55448"/>
    <w:multiLevelType w:val="hybridMultilevel"/>
    <w:tmpl w:val="3AFA1196"/>
    <w:lvl w:ilvl="0" w:tplc="090EB7D0">
      <w:start w:val="5"/>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5"/>
  </w:num>
  <w:num w:numId="33">
    <w:abstractNumId w:val="18"/>
  </w:num>
  <w:num w:numId="34">
    <w:abstractNumId w:val="17"/>
  </w:num>
  <w:num w:numId="35">
    <w:abstractNumId w:val="17"/>
  </w:num>
  <w:num w:numId="36">
    <w:abstractNumId w:val="17"/>
  </w:num>
  <w:num w:numId="37">
    <w:abstractNumId w:val="20"/>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354C5"/>
    <w:rsid w:val="00041A18"/>
    <w:rsid w:val="00042C44"/>
    <w:rsid w:val="00042EC9"/>
    <w:rsid w:val="00051372"/>
    <w:rsid w:val="00052CAE"/>
    <w:rsid w:val="000611F2"/>
    <w:rsid w:val="00061762"/>
    <w:rsid w:val="00062CB1"/>
    <w:rsid w:val="00065B9D"/>
    <w:rsid w:val="000660F5"/>
    <w:rsid w:val="00067793"/>
    <w:rsid w:val="000701A5"/>
    <w:rsid w:val="00080D4D"/>
    <w:rsid w:val="00082DD7"/>
    <w:rsid w:val="00093B72"/>
    <w:rsid w:val="00095620"/>
    <w:rsid w:val="00097D7A"/>
    <w:rsid w:val="000A29BC"/>
    <w:rsid w:val="000A3940"/>
    <w:rsid w:val="000A6285"/>
    <w:rsid w:val="000A64BC"/>
    <w:rsid w:val="000A66FE"/>
    <w:rsid w:val="000B2156"/>
    <w:rsid w:val="000B5026"/>
    <w:rsid w:val="000C028F"/>
    <w:rsid w:val="000C0BFE"/>
    <w:rsid w:val="000C4459"/>
    <w:rsid w:val="000C5CB6"/>
    <w:rsid w:val="000D1710"/>
    <w:rsid w:val="000D7A37"/>
    <w:rsid w:val="000E402F"/>
    <w:rsid w:val="000E42F5"/>
    <w:rsid w:val="000E4820"/>
    <w:rsid w:val="000E4B7F"/>
    <w:rsid w:val="000F0594"/>
    <w:rsid w:val="000F1620"/>
    <w:rsid w:val="000F20E9"/>
    <w:rsid w:val="000F24F5"/>
    <w:rsid w:val="000F3F0B"/>
    <w:rsid w:val="000F433C"/>
    <w:rsid w:val="000F5983"/>
    <w:rsid w:val="001006CA"/>
    <w:rsid w:val="00100D46"/>
    <w:rsid w:val="00100F8B"/>
    <w:rsid w:val="00101D49"/>
    <w:rsid w:val="001046AF"/>
    <w:rsid w:val="0010773A"/>
    <w:rsid w:val="00110E8D"/>
    <w:rsid w:val="0012099A"/>
    <w:rsid w:val="00126C81"/>
    <w:rsid w:val="0013735C"/>
    <w:rsid w:val="00154B17"/>
    <w:rsid w:val="001633B3"/>
    <w:rsid w:val="00163FA4"/>
    <w:rsid w:val="001648D0"/>
    <w:rsid w:val="0017456E"/>
    <w:rsid w:val="00182FB8"/>
    <w:rsid w:val="00183FE0"/>
    <w:rsid w:val="0018553F"/>
    <w:rsid w:val="0019715A"/>
    <w:rsid w:val="001A1443"/>
    <w:rsid w:val="001A1E9F"/>
    <w:rsid w:val="001C7E63"/>
    <w:rsid w:val="001D15AA"/>
    <w:rsid w:val="001D334F"/>
    <w:rsid w:val="001D77C1"/>
    <w:rsid w:val="001E2D5C"/>
    <w:rsid w:val="001E318F"/>
    <w:rsid w:val="001E6387"/>
    <w:rsid w:val="0020079A"/>
    <w:rsid w:val="0020250F"/>
    <w:rsid w:val="00212FFE"/>
    <w:rsid w:val="0021585C"/>
    <w:rsid w:val="00220194"/>
    <w:rsid w:val="00226070"/>
    <w:rsid w:val="00235592"/>
    <w:rsid w:val="00236978"/>
    <w:rsid w:val="00257F2B"/>
    <w:rsid w:val="00260513"/>
    <w:rsid w:val="002620A2"/>
    <w:rsid w:val="00272DB8"/>
    <w:rsid w:val="00273354"/>
    <w:rsid w:val="00274F84"/>
    <w:rsid w:val="0028060B"/>
    <w:rsid w:val="0028120C"/>
    <w:rsid w:val="00285E48"/>
    <w:rsid w:val="00293920"/>
    <w:rsid w:val="00295827"/>
    <w:rsid w:val="00295F16"/>
    <w:rsid w:val="002B3158"/>
    <w:rsid w:val="002C1B20"/>
    <w:rsid w:val="002C5C63"/>
    <w:rsid w:val="002D1FA9"/>
    <w:rsid w:val="002D3BBA"/>
    <w:rsid w:val="002D3CB9"/>
    <w:rsid w:val="002D50A3"/>
    <w:rsid w:val="002D6680"/>
    <w:rsid w:val="002E627F"/>
    <w:rsid w:val="002E786C"/>
    <w:rsid w:val="002F1E6A"/>
    <w:rsid w:val="002F2776"/>
    <w:rsid w:val="002F570E"/>
    <w:rsid w:val="003031DA"/>
    <w:rsid w:val="00304481"/>
    <w:rsid w:val="00307A79"/>
    <w:rsid w:val="00322E6A"/>
    <w:rsid w:val="00330815"/>
    <w:rsid w:val="003314A0"/>
    <w:rsid w:val="00334715"/>
    <w:rsid w:val="003419EF"/>
    <w:rsid w:val="00361E54"/>
    <w:rsid w:val="00370A0C"/>
    <w:rsid w:val="003771D5"/>
    <w:rsid w:val="00380CB3"/>
    <w:rsid w:val="0038358E"/>
    <w:rsid w:val="00391A01"/>
    <w:rsid w:val="003A5711"/>
    <w:rsid w:val="003A68D5"/>
    <w:rsid w:val="003B1863"/>
    <w:rsid w:val="003B4250"/>
    <w:rsid w:val="003B7070"/>
    <w:rsid w:val="003C1E3A"/>
    <w:rsid w:val="003C64D9"/>
    <w:rsid w:val="003D7A54"/>
    <w:rsid w:val="003E70E0"/>
    <w:rsid w:val="00402D4E"/>
    <w:rsid w:val="00403CE6"/>
    <w:rsid w:val="004074CC"/>
    <w:rsid w:val="004110CA"/>
    <w:rsid w:val="00412616"/>
    <w:rsid w:val="0042509E"/>
    <w:rsid w:val="00440DFC"/>
    <w:rsid w:val="004428A6"/>
    <w:rsid w:val="00443482"/>
    <w:rsid w:val="00443912"/>
    <w:rsid w:val="00445F3E"/>
    <w:rsid w:val="00446E3E"/>
    <w:rsid w:val="00447BB6"/>
    <w:rsid w:val="00450308"/>
    <w:rsid w:val="004517D7"/>
    <w:rsid w:val="0045797B"/>
    <w:rsid w:val="00457AD1"/>
    <w:rsid w:val="00462A1E"/>
    <w:rsid w:val="0046427F"/>
    <w:rsid w:val="00470D4B"/>
    <w:rsid w:val="00474DC4"/>
    <w:rsid w:val="00485307"/>
    <w:rsid w:val="00486206"/>
    <w:rsid w:val="00491977"/>
    <w:rsid w:val="0049491B"/>
    <w:rsid w:val="00496262"/>
    <w:rsid w:val="004A1329"/>
    <w:rsid w:val="004A511D"/>
    <w:rsid w:val="004B499E"/>
    <w:rsid w:val="004B6704"/>
    <w:rsid w:val="004C4A2E"/>
    <w:rsid w:val="004C59AE"/>
    <w:rsid w:val="004D5EA3"/>
    <w:rsid w:val="004E35B2"/>
    <w:rsid w:val="004E44C8"/>
    <w:rsid w:val="004E53BE"/>
    <w:rsid w:val="004E78BA"/>
    <w:rsid w:val="004F16F4"/>
    <w:rsid w:val="004F2BEC"/>
    <w:rsid w:val="004F3F81"/>
    <w:rsid w:val="004F6CA7"/>
    <w:rsid w:val="005028D4"/>
    <w:rsid w:val="00535050"/>
    <w:rsid w:val="00536F3C"/>
    <w:rsid w:val="0054151A"/>
    <w:rsid w:val="005423E4"/>
    <w:rsid w:val="0054260E"/>
    <w:rsid w:val="00544526"/>
    <w:rsid w:val="005453DF"/>
    <w:rsid w:val="00550D79"/>
    <w:rsid w:val="005559AC"/>
    <w:rsid w:val="00557B5A"/>
    <w:rsid w:val="005611D0"/>
    <w:rsid w:val="00566420"/>
    <w:rsid w:val="00571A40"/>
    <w:rsid w:val="005736B2"/>
    <w:rsid w:val="0057797A"/>
    <w:rsid w:val="005817E4"/>
    <w:rsid w:val="00594186"/>
    <w:rsid w:val="005A53B8"/>
    <w:rsid w:val="005B12CB"/>
    <w:rsid w:val="005B1688"/>
    <w:rsid w:val="005B21EB"/>
    <w:rsid w:val="005B4500"/>
    <w:rsid w:val="005B5077"/>
    <w:rsid w:val="005C0B6C"/>
    <w:rsid w:val="005C10EB"/>
    <w:rsid w:val="005D371D"/>
    <w:rsid w:val="005E7495"/>
    <w:rsid w:val="006009C0"/>
    <w:rsid w:val="0061733F"/>
    <w:rsid w:val="00621C12"/>
    <w:rsid w:val="006234EB"/>
    <w:rsid w:val="0062441E"/>
    <w:rsid w:val="00632EAB"/>
    <w:rsid w:val="00635A22"/>
    <w:rsid w:val="00642083"/>
    <w:rsid w:val="0065550D"/>
    <w:rsid w:val="00665364"/>
    <w:rsid w:val="0068085F"/>
    <w:rsid w:val="006820EF"/>
    <w:rsid w:val="00684A12"/>
    <w:rsid w:val="006876A8"/>
    <w:rsid w:val="00687B43"/>
    <w:rsid w:val="00696477"/>
    <w:rsid w:val="006A49E3"/>
    <w:rsid w:val="006A72EB"/>
    <w:rsid w:val="006B0F76"/>
    <w:rsid w:val="006B1EFD"/>
    <w:rsid w:val="006C454C"/>
    <w:rsid w:val="006C5982"/>
    <w:rsid w:val="006C5C1C"/>
    <w:rsid w:val="006D5B1E"/>
    <w:rsid w:val="006D633C"/>
    <w:rsid w:val="006E4888"/>
    <w:rsid w:val="006F0442"/>
    <w:rsid w:val="006F283A"/>
    <w:rsid w:val="007023A3"/>
    <w:rsid w:val="00703FC0"/>
    <w:rsid w:val="00706C1C"/>
    <w:rsid w:val="007103C3"/>
    <w:rsid w:val="007160BE"/>
    <w:rsid w:val="00721539"/>
    <w:rsid w:val="00722F65"/>
    <w:rsid w:val="00726836"/>
    <w:rsid w:val="007311B5"/>
    <w:rsid w:val="00734A4F"/>
    <w:rsid w:val="00742785"/>
    <w:rsid w:val="00755424"/>
    <w:rsid w:val="00762BCC"/>
    <w:rsid w:val="00763BA3"/>
    <w:rsid w:val="00765B66"/>
    <w:rsid w:val="00767BB2"/>
    <w:rsid w:val="0077057E"/>
    <w:rsid w:val="00771DED"/>
    <w:rsid w:val="00780376"/>
    <w:rsid w:val="00791AAC"/>
    <w:rsid w:val="0079410C"/>
    <w:rsid w:val="0079464F"/>
    <w:rsid w:val="00796F68"/>
    <w:rsid w:val="007973EA"/>
    <w:rsid w:val="00797D4C"/>
    <w:rsid w:val="007A1B0B"/>
    <w:rsid w:val="007B52C8"/>
    <w:rsid w:val="007C0E7E"/>
    <w:rsid w:val="007C5A3B"/>
    <w:rsid w:val="007D17C5"/>
    <w:rsid w:val="007D52EC"/>
    <w:rsid w:val="007E0535"/>
    <w:rsid w:val="007E2860"/>
    <w:rsid w:val="007F1CEE"/>
    <w:rsid w:val="00800E1D"/>
    <w:rsid w:val="008062AC"/>
    <w:rsid w:val="00817826"/>
    <w:rsid w:val="008319A3"/>
    <w:rsid w:val="00836221"/>
    <w:rsid w:val="00837537"/>
    <w:rsid w:val="0086094D"/>
    <w:rsid w:val="0086155F"/>
    <w:rsid w:val="00862DB4"/>
    <w:rsid w:val="00866E39"/>
    <w:rsid w:val="00870A1E"/>
    <w:rsid w:val="00872382"/>
    <w:rsid w:val="008742E3"/>
    <w:rsid w:val="00887219"/>
    <w:rsid w:val="008A01B7"/>
    <w:rsid w:val="008A1315"/>
    <w:rsid w:val="008A38A9"/>
    <w:rsid w:val="008A54FC"/>
    <w:rsid w:val="008B70CD"/>
    <w:rsid w:val="008B7CE5"/>
    <w:rsid w:val="008C5A41"/>
    <w:rsid w:val="008D0B39"/>
    <w:rsid w:val="008E6109"/>
    <w:rsid w:val="008F1C1D"/>
    <w:rsid w:val="008F6255"/>
    <w:rsid w:val="00905677"/>
    <w:rsid w:val="00907E03"/>
    <w:rsid w:val="0091109D"/>
    <w:rsid w:val="009170EA"/>
    <w:rsid w:val="00917D1C"/>
    <w:rsid w:val="0092076F"/>
    <w:rsid w:val="00927833"/>
    <w:rsid w:val="00930439"/>
    <w:rsid w:val="009308E1"/>
    <w:rsid w:val="00930BDF"/>
    <w:rsid w:val="00930FC3"/>
    <w:rsid w:val="009357DC"/>
    <w:rsid w:val="00937FE5"/>
    <w:rsid w:val="009434C3"/>
    <w:rsid w:val="00947A5A"/>
    <w:rsid w:val="00966731"/>
    <w:rsid w:val="0096678C"/>
    <w:rsid w:val="009770CA"/>
    <w:rsid w:val="00980892"/>
    <w:rsid w:val="00981651"/>
    <w:rsid w:val="00986677"/>
    <w:rsid w:val="0099421C"/>
    <w:rsid w:val="009A0376"/>
    <w:rsid w:val="009A17DC"/>
    <w:rsid w:val="009A59CC"/>
    <w:rsid w:val="009A749C"/>
    <w:rsid w:val="009B073A"/>
    <w:rsid w:val="009B0A78"/>
    <w:rsid w:val="009D3496"/>
    <w:rsid w:val="009D4BA1"/>
    <w:rsid w:val="009D7D5A"/>
    <w:rsid w:val="009E47EB"/>
    <w:rsid w:val="009E6DC3"/>
    <w:rsid w:val="009E6EF3"/>
    <w:rsid w:val="009E748E"/>
    <w:rsid w:val="009F0B56"/>
    <w:rsid w:val="009F3A37"/>
    <w:rsid w:val="009F5819"/>
    <w:rsid w:val="009F662C"/>
    <w:rsid w:val="009F6903"/>
    <w:rsid w:val="00A02090"/>
    <w:rsid w:val="00A076B5"/>
    <w:rsid w:val="00A23870"/>
    <w:rsid w:val="00A26B88"/>
    <w:rsid w:val="00A27DC6"/>
    <w:rsid w:val="00A31525"/>
    <w:rsid w:val="00A32776"/>
    <w:rsid w:val="00A35D4A"/>
    <w:rsid w:val="00A43BD3"/>
    <w:rsid w:val="00A4631B"/>
    <w:rsid w:val="00A51786"/>
    <w:rsid w:val="00A73298"/>
    <w:rsid w:val="00A73F75"/>
    <w:rsid w:val="00A835AC"/>
    <w:rsid w:val="00A853D1"/>
    <w:rsid w:val="00A85FCE"/>
    <w:rsid w:val="00A95ACB"/>
    <w:rsid w:val="00A95DD6"/>
    <w:rsid w:val="00A97942"/>
    <w:rsid w:val="00AA079B"/>
    <w:rsid w:val="00AA086A"/>
    <w:rsid w:val="00AB0CE4"/>
    <w:rsid w:val="00AB1C16"/>
    <w:rsid w:val="00AB2EA8"/>
    <w:rsid w:val="00AB3C46"/>
    <w:rsid w:val="00AC58AF"/>
    <w:rsid w:val="00AD48A5"/>
    <w:rsid w:val="00AD6F05"/>
    <w:rsid w:val="00AD7257"/>
    <w:rsid w:val="00AE372A"/>
    <w:rsid w:val="00AF2D0C"/>
    <w:rsid w:val="00AF4BD5"/>
    <w:rsid w:val="00AF5635"/>
    <w:rsid w:val="00B01190"/>
    <w:rsid w:val="00B2563E"/>
    <w:rsid w:val="00B3042F"/>
    <w:rsid w:val="00B30D3B"/>
    <w:rsid w:val="00B3280D"/>
    <w:rsid w:val="00B432D4"/>
    <w:rsid w:val="00B453ED"/>
    <w:rsid w:val="00B460E4"/>
    <w:rsid w:val="00B4734A"/>
    <w:rsid w:val="00B576D7"/>
    <w:rsid w:val="00B76383"/>
    <w:rsid w:val="00B76E17"/>
    <w:rsid w:val="00B80892"/>
    <w:rsid w:val="00B82735"/>
    <w:rsid w:val="00B87FF3"/>
    <w:rsid w:val="00B92861"/>
    <w:rsid w:val="00BA197B"/>
    <w:rsid w:val="00BA2E30"/>
    <w:rsid w:val="00BA43B8"/>
    <w:rsid w:val="00BA4629"/>
    <w:rsid w:val="00BA524C"/>
    <w:rsid w:val="00BA7A69"/>
    <w:rsid w:val="00BB41C3"/>
    <w:rsid w:val="00BC3CA5"/>
    <w:rsid w:val="00BD093A"/>
    <w:rsid w:val="00BD094E"/>
    <w:rsid w:val="00BD28DF"/>
    <w:rsid w:val="00BD29CB"/>
    <w:rsid w:val="00BD4E12"/>
    <w:rsid w:val="00BD7669"/>
    <w:rsid w:val="00BE2864"/>
    <w:rsid w:val="00BF23E9"/>
    <w:rsid w:val="00BF3831"/>
    <w:rsid w:val="00C023C4"/>
    <w:rsid w:val="00C0561A"/>
    <w:rsid w:val="00C076BF"/>
    <w:rsid w:val="00C10C10"/>
    <w:rsid w:val="00C11B0C"/>
    <w:rsid w:val="00C242F3"/>
    <w:rsid w:val="00C24B02"/>
    <w:rsid w:val="00C27F02"/>
    <w:rsid w:val="00C33A7C"/>
    <w:rsid w:val="00C41CB9"/>
    <w:rsid w:val="00C44519"/>
    <w:rsid w:val="00C504F4"/>
    <w:rsid w:val="00C5692E"/>
    <w:rsid w:val="00C57E85"/>
    <w:rsid w:val="00C61C38"/>
    <w:rsid w:val="00C628E5"/>
    <w:rsid w:val="00C62DCF"/>
    <w:rsid w:val="00C65BB4"/>
    <w:rsid w:val="00C73348"/>
    <w:rsid w:val="00C77ABB"/>
    <w:rsid w:val="00C8071C"/>
    <w:rsid w:val="00C816CB"/>
    <w:rsid w:val="00C81CE7"/>
    <w:rsid w:val="00C82461"/>
    <w:rsid w:val="00C84B79"/>
    <w:rsid w:val="00C93CF3"/>
    <w:rsid w:val="00CA07CC"/>
    <w:rsid w:val="00CA4820"/>
    <w:rsid w:val="00CA4FCE"/>
    <w:rsid w:val="00CA5F8F"/>
    <w:rsid w:val="00CA7932"/>
    <w:rsid w:val="00CB0598"/>
    <w:rsid w:val="00CB18DC"/>
    <w:rsid w:val="00CB47BF"/>
    <w:rsid w:val="00CB4E04"/>
    <w:rsid w:val="00CC5A6F"/>
    <w:rsid w:val="00CD5F92"/>
    <w:rsid w:val="00CE271A"/>
    <w:rsid w:val="00CE3B3E"/>
    <w:rsid w:val="00CE5FD8"/>
    <w:rsid w:val="00CE6FF5"/>
    <w:rsid w:val="00CF2EC7"/>
    <w:rsid w:val="00CF5245"/>
    <w:rsid w:val="00CF5EED"/>
    <w:rsid w:val="00D0121B"/>
    <w:rsid w:val="00D04BA8"/>
    <w:rsid w:val="00D06479"/>
    <w:rsid w:val="00D06CA9"/>
    <w:rsid w:val="00D076EE"/>
    <w:rsid w:val="00D07B1A"/>
    <w:rsid w:val="00D24CD0"/>
    <w:rsid w:val="00D30E46"/>
    <w:rsid w:val="00D50AC8"/>
    <w:rsid w:val="00D53EEF"/>
    <w:rsid w:val="00D55EB5"/>
    <w:rsid w:val="00D652B8"/>
    <w:rsid w:val="00D904D5"/>
    <w:rsid w:val="00DA0026"/>
    <w:rsid w:val="00DA444C"/>
    <w:rsid w:val="00DB0B4B"/>
    <w:rsid w:val="00DC59EA"/>
    <w:rsid w:val="00DC5A60"/>
    <w:rsid w:val="00DD1C6C"/>
    <w:rsid w:val="00DD5CD8"/>
    <w:rsid w:val="00DD6CE9"/>
    <w:rsid w:val="00DF2001"/>
    <w:rsid w:val="00DF2C67"/>
    <w:rsid w:val="00DF3AE2"/>
    <w:rsid w:val="00DF7D21"/>
    <w:rsid w:val="00E059C5"/>
    <w:rsid w:val="00E06B29"/>
    <w:rsid w:val="00E06C22"/>
    <w:rsid w:val="00E23B65"/>
    <w:rsid w:val="00E26688"/>
    <w:rsid w:val="00E26BAC"/>
    <w:rsid w:val="00E275FE"/>
    <w:rsid w:val="00E4781B"/>
    <w:rsid w:val="00E51F8B"/>
    <w:rsid w:val="00E60351"/>
    <w:rsid w:val="00E646A6"/>
    <w:rsid w:val="00E71AE7"/>
    <w:rsid w:val="00E73B95"/>
    <w:rsid w:val="00E752E6"/>
    <w:rsid w:val="00E75CA2"/>
    <w:rsid w:val="00E812EA"/>
    <w:rsid w:val="00E97060"/>
    <w:rsid w:val="00EA6088"/>
    <w:rsid w:val="00EB00A1"/>
    <w:rsid w:val="00EC1A2C"/>
    <w:rsid w:val="00EC5444"/>
    <w:rsid w:val="00ED4024"/>
    <w:rsid w:val="00EE4545"/>
    <w:rsid w:val="00EE4CC7"/>
    <w:rsid w:val="00EF34A2"/>
    <w:rsid w:val="00EF77AF"/>
    <w:rsid w:val="00F0298D"/>
    <w:rsid w:val="00F100BB"/>
    <w:rsid w:val="00F10E1F"/>
    <w:rsid w:val="00F132D5"/>
    <w:rsid w:val="00F13572"/>
    <w:rsid w:val="00F1359B"/>
    <w:rsid w:val="00F212EB"/>
    <w:rsid w:val="00F22FAB"/>
    <w:rsid w:val="00F2348D"/>
    <w:rsid w:val="00F268C0"/>
    <w:rsid w:val="00F45027"/>
    <w:rsid w:val="00F465D3"/>
    <w:rsid w:val="00F46EFA"/>
    <w:rsid w:val="00F47024"/>
    <w:rsid w:val="00F569C9"/>
    <w:rsid w:val="00F56F06"/>
    <w:rsid w:val="00F73815"/>
    <w:rsid w:val="00F7770D"/>
    <w:rsid w:val="00F84838"/>
    <w:rsid w:val="00F85984"/>
    <w:rsid w:val="00F868C9"/>
    <w:rsid w:val="00F87E14"/>
    <w:rsid w:val="00F93115"/>
    <w:rsid w:val="00F9389B"/>
    <w:rsid w:val="00F97009"/>
    <w:rsid w:val="00F97DAD"/>
    <w:rsid w:val="00FA5792"/>
    <w:rsid w:val="00FA5B5D"/>
    <w:rsid w:val="00FA63DC"/>
    <w:rsid w:val="00FB200D"/>
    <w:rsid w:val="00FE538A"/>
    <w:rsid w:val="00FE7EEC"/>
    <w:rsid w:val="00FF1256"/>
    <w:rsid w:val="00FF16B5"/>
    <w:rsid w:val="00FF51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BD094E"/>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A0376"/>
    <w:pPr>
      <w:tabs>
        <w:tab w:val="center" w:pos="4819"/>
        <w:tab w:val="right" w:pos="9639"/>
      </w:tabs>
      <w:spacing w:before="0" w:after="0"/>
    </w:pPr>
  </w:style>
  <w:style w:type="character" w:customStyle="1" w:styleId="FuzeileZchn">
    <w:name w:val="Fußzeile Zchn"/>
    <w:basedOn w:val="Absatz-Standardschriftart"/>
    <w:link w:val="Fuzeile"/>
    <w:uiPriority w:val="99"/>
    <w:semiHidden/>
    <w:rsid w:val="009A0376"/>
    <w:rPr>
      <w:rFonts w:eastAsia="Calibri"/>
      <w:szCs w:val="22"/>
      <w:lang w:val="en-GB"/>
    </w:rPr>
  </w:style>
  <w:style w:type="character" w:styleId="Fett">
    <w:name w:val="Strong"/>
    <w:basedOn w:val="Absatz-Standardschriftart"/>
    <w:semiHidden/>
    <w:qFormat/>
    <w:locked/>
    <w:rsid w:val="009F6903"/>
    <w:rPr>
      <w:b/>
      <w:bCs/>
    </w:rPr>
  </w:style>
  <w:style w:type="character" w:styleId="BesuchterHyperlink">
    <w:name w:val="FollowedHyperlink"/>
    <w:basedOn w:val="Absatz-Standardschriftart"/>
    <w:uiPriority w:val="99"/>
    <w:semiHidden/>
    <w:unhideWhenUsed/>
    <w:locked/>
    <w:rsid w:val="00DB0B4B"/>
    <w:rPr>
      <w:color w:val="800080" w:themeColor="followedHyperlink"/>
      <w:u w:val="single"/>
    </w:rPr>
  </w:style>
  <w:style w:type="paragraph" w:styleId="Inhaltsverzeichnisberschrift">
    <w:name w:val="TOC Heading"/>
    <w:basedOn w:val="berschrift1"/>
    <w:next w:val="Standard"/>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Listenabsatz">
    <w:name w:val="List Paragraph"/>
    <w:basedOn w:val="Standard"/>
    <w:uiPriority w:val="34"/>
    <w:semiHidden/>
    <w:qFormat/>
    <w:locked/>
    <w:rsid w:val="00796F68"/>
    <w:pPr>
      <w:ind w:left="720"/>
      <w:contextualSpacing/>
    </w:pPr>
  </w:style>
  <w:style w:type="paragraph" w:styleId="Kopfzeile">
    <w:name w:val="header"/>
    <w:basedOn w:val="Standard"/>
    <w:link w:val="KopfzeileZchn"/>
    <w:uiPriority w:val="99"/>
    <w:semiHidden/>
    <w:unhideWhenUsed/>
    <w:locked/>
    <w:rsid w:val="00ED4024"/>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ED4024"/>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BD094E"/>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A0376"/>
    <w:pPr>
      <w:tabs>
        <w:tab w:val="center" w:pos="4819"/>
        <w:tab w:val="right" w:pos="9639"/>
      </w:tabs>
      <w:spacing w:before="0" w:after="0"/>
    </w:pPr>
  </w:style>
  <w:style w:type="character" w:customStyle="1" w:styleId="FuzeileZchn">
    <w:name w:val="Fußzeile Zchn"/>
    <w:basedOn w:val="Absatz-Standardschriftart"/>
    <w:link w:val="Fuzeile"/>
    <w:uiPriority w:val="99"/>
    <w:semiHidden/>
    <w:rsid w:val="009A0376"/>
    <w:rPr>
      <w:rFonts w:eastAsia="Calibri"/>
      <w:szCs w:val="22"/>
      <w:lang w:val="en-GB"/>
    </w:rPr>
  </w:style>
  <w:style w:type="character" w:styleId="Fett">
    <w:name w:val="Strong"/>
    <w:basedOn w:val="Absatz-Standardschriftart"/>
    <w:semiHidden/>
    <w:qFormat/>
    <w:locked/>
    <w:rsid w:val="009F6903"/>
    <w:rPr>
      <w:b/>
      <w:bCs/>
    </w:rPr>
  </w:style>
  <w:style w:type="character" w:styleId="BesuchterHyperlink">
    <w:name w:val="FollowedHyperlink"/>
    <w:basedOn w:val="Absatz-Standardschriftart"/>
    <w:uiPriority w:val="99"/>
    <w:semiHidden/>
    <w:unhideWhenUsed/>
    <w:locked/>
    <w:rsid w:val="00DB0B4B"/>
    <w:rPr>
      <w:color w:val="800080" w:themeColor="followedHyperlink"/>
      <w:u w:val="single"/>
    </w:rPr>
  </w:style>
  <w:style w:type="paragraph" w:styleId="Inhaltsverzeichnisberschrift">
    <w:name w:val="TOC Heading"/>
    <w:basedOn w:val="berschrift1"/>
    <w:next w:val="Standard"/>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Listenabsatz">
    <w:name w:val="List Paragraph"/>
    <w:basedOn w:val="Standard"/>
    <w:uiPriority w:val="34"/>
    <w:semiHidden/>
    <w:qFormat/>
    <w:locked/>
    <w:rsid w:val="00796F68"/>
    <w:pPr>
      <w:ind w:left="720"/>
      <w:contextualSpacing/>
    </w:pPr>
  </w:style>
  <w:style w:type="paragraph" w:styleId="Kopfzeile">
    <w:name w:val="header"/>
    <w:basedOn w:val="Standard"/>
    <w:link w:val="KopfzeileZchn"/>
    <w:uiPriority w:val="99"/>
    <w:semiHidden/>
    <w:unhideWhenUsed/>
    <w:locked/>
    <w:rsid w:val="00ED4024"/>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ED4024"/>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tsenko@ucrf.gov.ua" TargetMode="External"/><Relationship Id="rId4" Type="http://schemas.microsoft.com/office/2007/relationships/stylesWithEffects" Target="stylesWithEffects.xml"/><Relationship Id="rId9" Type="http://schemas.openxmlformats.org/officeDocument/2006/relationships/hyperlink" Target="https://www.itu.int/md/R15-WRC15-C-0142/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pt.int/sites/default/files/Upload-files/APG-19/APG19-3%20PV/PV%20AI8.doc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83E8-1562-46B6-842F-10BA6B54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26</Pages>
  <Words>12020</Words>
  <Characters>75727</Characters>
  <Application>Microsoft Office Word</Application>
  <DocSecurity>0</DocSecurity>
  <Lines>631</Lines>
  <Paragraphs>175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87572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Auteur</dc:creator>
  <cp:keywords>CEPT Brief</cp:keywords>
  <dc:description>Output CPG19-6</dc:description>
  <cp:lastModifiedBy>CPG</cp:lastModifiedBy>
  <cp:revision>2</cp:revision>
  <cp:lastPrinted>2016-10-03T08:52:00Z</cp:lastPrinted>
  <dcterms:created xsi:type="dcterms:W3CDTF">2018-12-02T23:31:00Z</dcterms:created>
  <dcterms:modified xsi:type="dcterms:W3CDTF">2018-12-02T23:31:00Z</dcterms:modified>
  <cp:category>protected templates</cp:category>
  <cp:contentStatus>Draft</cp:contentStatus>
</cp:coreProperties>
</file>