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B84" w:rsidRPr="006905BC" w:rsidRDefault="00CC4B84" w:rsidP="00CC4B84">
      <w:pPr>
        <w:pStyle w:val="AnnexNo"/>
      </w:pPr>
      <w:bookmarkStart w:id="0" w:name="_GoBack"/>
      <w:bookmarkEnd w:id="0"/>
      <w:r w:rsidRPr="006905BC">
        <w:t>ANNEX 2 TO RESOLUTION 804 (Rev.WRC</w:t>
      </w:r>
      <w:r w:rsidRPr="006905BC">
        <w:noBreakHyphen/>
        <w:t>12)</w:t>
      </w:r>
    </w:p>
    <w:p w:rsidR="00CC4B84" w:rsidRPr="006905BC" w:rsidRDefault="00CC4B84" w:rsidP="00CC4B84">
      <w:pPr>
        <w:pStyle w:val="Annextitle"/>
      </w:pPr>
      <w:r w:rsidRPr="006905BC">
        <w:t>Template for the submission of proposals for agenda items</w:t>
      </w:r>
    </w:p>
    <w:p w:rsidR="00CC4B84" w:rsidRPr="006905BC" w:rsidRDefault="00CC4B84" w:rsidP="00CC4B84">
      <w:pPr>
        <w:keepNext/>
        <w:rPr>
          <w:b/>
          <w:bCs/>
        </w:rPr>
      </w:pPr>
      <w:r w:rsidRPr="006905BC">
        <w:rPr>
          <w:b/>
          <w:bCs/>
        </w:rPr>
        <w:t>Subject:</w:t>
      </w:r>
      <w:r w:rsidR="00EE67AF">
        <w:rPr>
          <w:b/>
          <w:bCs/>
        </w:rPr>
        <w:t xml:space="preserve"> </w:t>
      </w:r>
      <w:r w:rsidR="00EE67AF" w:rsidRPr="00EE67AF">
        <w:rPr>
          <w:b/>
          <w:bCs/>
          <w:i/>
        </w:rPr>
        <w:t xml:space="preserve">Proposal for WRC-23 Agenda Item </w:t>
      </w:r>
      <w:r w:rsidR="00282B1D">
        <w:rPr>
          <w:b/>
          <w:bCs/>
          <w:i/>
        </w:rPr>
        <w:t xml:space="preserve">to review the </w:t>
      </w:r>
      <w:r w:rsidR="00EE67AF" w:rsidRPr="00EE67AF">
        <w:rPr>
          <w:b/>
          <w:bCs/>
          <w:i/>
        </w:rPr>
        <w:t xml:space="preserve">amateur service </w:t>
      </w:r>
      <w:r w:rsidR="00110EFB">
        <w:rPr>
          <w:b/>
          <w:bCs/>
          <w:i/>
        </w:rPr>
        <w:t xml:space="preserve">secondary </w:t>
      </w:r>
      <w:r w:rsidR="00EE67AF" w:rsidRPr="00EE67AF">
        <w:rPr>
          <w:b/>
          <w:bCs/>
          <w:i/>
        </w:rPr>
        <w:t xml:space="preserve">allocation in </w:t>
      </w:r>
      <w:r w:rsidR="00282B1D">
        <w:rPr>
          <w:b/>
          <w:bCs/>
          <w:i/>
        </w:rPr>
        <w:t>the 1</w:t>
      </w:r>
      <w:r w:rsidR="00CC028F">
        <w:rPr>
          <w:b/>
          <w:bCs/>
          <w:i/>
        </w:rPr>
        <w:t> </w:t>
      </w:r>
      <w:r w:rsidR="00282B1D">
        <w:rPr>
          <w:b/>
          <w:bCs/>
          <w:i/>
        </w:rPr>
        <w:t>240-1</w:t>
      </w:r>
      <w:r w:rsidR="00CC028F">
        <w:rPr>
          <w:b/>
          <w:bCs/>
          <w:i/>
        </w:rPr>
        <w:t> </w:t>
      </w:r>
      <w:r w:rsidR="00282B1D">
        <w:rPr>
          <w:b/>
          <w:bCs/>
          <w:i/>
        </w:rPr>
        <w:t>300 MHz frequency</w:t>
      </w:r>
      <w:r w:rsidR="00EE67AF" w:rsidRPr="00EE67AF">
        <w:rPr>
          <w:b/>
          <w:bCs/>
          <w:i/>
        </w:rPr>
        <w:t xml:space="preserve"> band</w:t>
      </w:r>
      <w:r w:rsidR="00282B1D">
        <w:rPr>
          <w:b/>
          <w:bCs/>
          <w:i/>
        </w:rPr>
        <w:t xml:space="preserve"> to ensure the protection of </w:t>
      </w:r>
      <w:r w:rsidR="004E5530">
        <w:rPr>
          <w:b/>
          <w:bCs/>
          <w:i/>
        </w:rPr>
        <w:t>RNSS</w:t>
      </w:r>
    </w:p>
    <w:p w:rsidR="00CC4B84" w:rsidRPr="006905BC" w:rsidRDefault="00CC4B84" w:rsidP="00CC4B84">
      <w:pPr>
        <w:keepNext/>
        <w:rPr>
          <w:b/>
          <w:bCs/>
        </w:rPr>
      </w:pPr>
      <w:r w:rsidRPr="006905BC">
        <w:rPr>
          <w:b/>
          <w:bCs/>
        </w:rPr>
        <w:t>Origin:</w:t>
      </w:r>
      <w:r w:rsidR="00EE67AF">
        <w:rPr>
          <w:b/>
          <w:bCs/>
        </w:rPr>
        <w:t xml:space="preserve"> </w:t>
      </w:r>
      <w:r w:rsidR="001F73D0">
        <w:rPr>
          <w:b/>
          <w:bCs/>
          <w:i/>
        </w:rPr>
        <w:t>France</w:t>
      </w:r>
    </w:p>
    <w:tbl>
      <w:tblPr>
        <w:tblpPr w:leftFromText="180" w:rightFromText="180" w:vertAnchor="text" w:tblpX="-84" w:tblpY="1"/>
        <w:tblOverlap w:val="never"/>
        <w:tblW w:w="9723" w:type="dxa"/>
        <w:tblLook w:val="04A0" w:firstRow="1" w:lastRow="0" w:firstColumn="1" w:lastColumn="0" w:noHBand="0" w:noVBand="1"/>
      </w:tblPr>
      <w:tblGrid>
        <w:gridCol w:w="4897"/>
        <w:gridCol w:w="4826"/>
      </w:tblGrid>
      <w:tr w:rsidR="00CC4B84" w:rsidRPr="006905BC" w:rsidTr="001F73D0">
        <w:trPr>
          <w:cantSplit/>
          <w:trHeight w:val="1554"/>
        </w:trPr>
        <w:tc>
          <w:tcPr>
            <w:tcW w:w="9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C4B84" w:rsidRPr="006905BC" w:rsidRDefault="00CC4B84" w:rsidP="000934ED">
            <w:pPr>
              <w:keepNext/>
              <w:rPr>
                <w:b/>
                <w:i/>
                <w:color w:val="000000"/>
              </w:rPr>
            </w:pPr>
            <w:r w:rsidRPr="006905BC">
              <w:rPr>
                <w:b/>
                <w:i/>
                <w:color w:val="000000"/>
              </w:rPr>
              <w:t>Proposal</w:t>
            </w:r>
            <w:r w:rsidRPr="00ED1174">
              <w:rPr>
                <w:b/>
                <w:iCs/>
                <w:color w:val="000000"/>
              </w:rPr>
              <w:t>:</w:t>
            </w:r>
          </w:p>
          <w:p w:rsidR="006B0FA0" w:rsidRPr="00EE67AF" w:rsidRDefault="00EE67AF" w:rsidP="000934ED">
            <w:pPr>
              <w:keepNext/>
              <w:rPr>
                <w:i/>
              </w:rPr>
            </w:pPr>
            <w:proofErr w:type="gramStart"/>
            <w:r w:rsidRPr="00EE67AF">
              <w:rPr>
                <w:i/>
              </w:rPr>
              <w:t>to</w:t>
            </w:r>
            <w:proofErr w:type="gramEnd"/>
            <w:r w:rsidR="00282B1D">
              <w:rPr>
                <w:i/>
              </w:rPr>
              <w:t xml:space="preserve"> review</w:t>
            </w:r>
            <w:r w:rsidRPr="00EE67AF">
              <w:rPr>
                <w:i/>
              </w:rPr>
              <w:t xml:space="preserve"> the amateur service secondary</w:t>
            </w:r>
            <w:r w:rsidR="00282B1D">
              <w:rPr>
                <w:i/>
              </w:rPr>
              <w:t xml:space="preserve"> allocation</w:t>
            </w:r>
            <w:r w:rsidRPr="00EE67AF">
              <w:rPr>
                <w:i/>
              </w:rPr>
              <w:t xml:space="preserve"> </w:t>
            </w:r>
            <w:r w:rsidR="006B0FA0" w:rsidRPr="006B0FA0">
              <w:rPr>
                <w:i/>
              </w:rPr>
              <w:t xml:space="preserve">in the </w:t>
            </w:r>
            <w:r w:rsidR="00282B1D" w:rsidRPr="00282B1D">
              <w:rPr>
                <w:i/>
              </w:rPr>
              <w:t>1</w:t>
            </w:r>
            <w:r w:rsidR="0083057A">
              <w:rPr>
                <w:i/>
              </w:rPr>
              <w:t> </w:t>
            </w:r>
            <w:r w:rsidR="00282B1D" w:rsidRPr="00282B1D">
              <w:rPr>
                <w:i/>
              </w:rPr>
              <w:t>240-1</w:t>
            </w:r>
            <w:r w:rsidR="0083057A">
              <w:rPr>
                <w:i/>
              </w:rPr>
              <w:t> </w:t>
            </w:r>
            <w:r w:rsidR="00282B1D" w:rsidRPr="00282B1D">
              <w:rPr>
                <w:i/>
              </w:rPr>
              <w:t>300 MHz frequency</w:t>
            </w:r>
            <w:r w:rsidR="00282B1D">
              <w:rPr>
                <w:i/>
              </w:rPr>
              <w:t xml:space="preserve"> band</w:t>
            </w:r>
            <w:r w:rsidR="004E5530">
              <w:rPr>
                <w:i/>
              </w:rPr>
              <w:t xml:space="preserve"> </w:t>
            </w:r>
            <w:r w:rsidR="004E5530">
              <w:t xml:space="preserve"> </w:t>
            </w:r>
            <w:r w:rsidR="004E5530" w:rsidRPr="004E5530">
              <w:rPr>
                <w:i/>
              </w:rPr>
              <w:t xml:space="preserve">to </w:t>
            </w:r>
            <w:r w:rsidR="007C72EA">
              <w:rPr>
                <w:i/>
              </w:rPr>
              <w:t xml:space="preserve">determine if additional measures are required to </w:t>
            </w:r>
            <w:r w:rsidR="004E5530" w:rsidRPr="004E5530">
              <w:rPr>
                <w:i/>
              </w:rPr>
              <w:t xml:space="preserve">ensure the protection of the </w:t>
            </w:r>
            <w:proofErr w:type="spellStart"/>
            <w:r w:rsidR="004E5530" w:rsidRPr="004E5530">
              <w:rPr>
                <w:i/>
              </w:rPr>
              <w:t>radionavigation</w:t>
            </w:r>
            <w:proofErr w:type="spellEnd"/>
            <w:r w:rsidR="004E5530" w:rsidRPr="004E5530">
              <w:rPr>
                <w:i/>
              </w:rPr>
              <w:t>-satellite (space-to-Earth) service</w:t>
            </w:r>
            <w:r w:rsidR="007C72EA">
              <w:rPr>
                <w:i/>
              </w:rPr>
              <w:t xml:space="preserve"> operating in the same band</w:t>
            </w:r>
            <w:r w:rsidR="006B0FA0" w:rsidRPr="006B0FA0">
              <w:rPr>
                <w:i/>
              </w:rPr>
              <w:t>.</w:t>
            </w:r>
          </w:p>
        </w:tc>
      </w:tr>
      <w:tr w:rsidR="00CC4B84" w:rsidRPr="006905BC" w:rsidTr="001F73D0">
        <w:trPr>
          <w:cantSplit/>
          <w:trHeight w:val="8865"/>
        </w:trPr>
        <w:tc>
          <w:tcPr>
            <w:tcW w:w="9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C4B84" w:rsidRPr="006905BC" w:rsidRDefault="00CC4B84" w:rsidP="000934ED">
            <w:pPr>
              <w:keepNext/>
              <w:rPr>
                <w:b/>
                <w:i/>
                <w:color w:val="000000"/>
              </w:rPr>
            </w:pPr>
            <w:r w:rsidRPr="006905BC">
              <w:rPr>
                <w:b/>
                <w:i/>
                <w:color w:val="000000"/>
              </w:rPr>
              <w:t>Background/reason</w:t>
            </w:r>
            <w:r w:rsidRPr="00ED1174">
              <w:rPr>
                <w:b/>
                <w:iCs/>
                <w:color w:val="000000"/>
              </w:rPr>
              <w:t>:</w:t>
            </w:r>
          </w:p>
          <w:p w:rsidR="00EE67AF" w:rsidRDefault="00514604" w:rsidP="00EE67AF">
            <w:pPr>
              <w:keepNext/>
              <w:rPr>
                <w:i/>
              </w:rPr>
            </w:pPr>
            <w:r>
              <w:rPr>
                <w:i/>
              </w:rPr>
              <w:t>In</w:t>
            </w:r>
            <w:r w:rsidR="00EE67AF" w:rsidRPr="00EE67AF">
              <w:rPr>
                <w:i/>
              </w:rPr>
              <w:t xml:space="preserve"> the R</w:t>
            </w:r>
            <w:r>
              <w:rPr>
                <w:i/>
              </w:rPr>
              <w:t xml:space="preserve">adio </w:t>
            </w:r>
            <w:r w:rsidR="00EE67AF" w:rsidRPr="00EE67AF">
              <w:rPr>
                <w:i/>
              </w:rPr>
              <w:t>R</w:t>
            </w:r>
            <w:r>
              <w:rPr>
                <w:i/>
              </w:rPr>
              <w:t>egulations</w:t>
            </w:r>
            <w:r w:rsidR="00EE67AF" w:rsidRPr="00EE67AF">
              <w:rPr>
                <w:i/>
              </w:rPr>
              <w:t xml:space="preserve">, the amateur service is currently </w:t>
            </w:r>
            <w:r w:rsidR="00B93A8A">
              <w:rPr>
                <w:i/>
              </w:rPr>
              <w:t>allocated as</w:t>
            </w:r>
            <w:r w:rsidR="00EE67AF" w:rsidRPr="00EE67AF">
              <w:rPr>
                <w:i/>
              </w:rPr>
              <w:t xml:space="preserve"> a secondary user in the </w:t>
            </w:r>
            <w:r w:rsidR="00B93A8A">
              <w:rPr>
                <w:i/>
              </w:rPr>
              <w:t xml:space="preserve">band </w:t>
            </w:r>
            <w:r w:rsidR="008D5BFB">
              <w:rPr>
                <w:i/>
              </w:rPr>
              <w:t>1 240-</w:t>
            </w:r>
            <w:r w:rsidR="008934A7">
              <w:rPr>
                <w:i/>
              </w:rPr>
              <w:t>1 300 MHz</w:t>
            </w:r>
            <w:r w:rsidR="00EE67AF" w:rsidRPr="00EE67AF">
              <w:rPr>
                <w:i/>
              </w:rPr>
              <w:t xml:space="preserve"> </w:t>
            </w:r>
            <w:r w:rsidR="008934A7">
              <w:rPr>
                <w:i/>
              </w:rPr>
              <w:t>(</w:t>
            </w:r>
            <w:r w:rsidR="00B93A8A">
              <w:rPr>
                <w:i/>
              </w:rPr>
              <w:t>known as the</w:t>
            </w:r>
            <w:r w:rsidR="00EE67AF" w:rsidRPr="00EE67AF">
              <w:rPr>
                <w:i/>
              </w:rPr>
              <w:t xml:space="preserve"> </w:t>
            </w:r>
            <w:r>
              <w:rPr>
                <w:i/>
              </w:rPr>
              <w:t>'</w:t>
            </w:r>
            <w:r w:rsidR="00EE67AF" w:rsidRPr="00EE67AF">
              <w:rPr>
                <w:i/>
              </w:rPr>
              <w:t>23 cm band</w:t>
            </w:r>
            <w:r>
              <w:rPr>
                <w:i/>
              </w:rPr>
              <w:t>'</w:t>
            </w:r>
            <w:r w:rsidR="00B93A8A">
              <w:rPr>
                <w:i/>
              </w:rPr>
              <w:t xml:space="preserve"> </w:t>
            </w:r>
            <w:r w:rsidR="008934A7">
              <w:rPr>
                <w:i/>
              </w:rPr>
              <w:t xml:space="preserve">by </w:t>
            </w:r>
            <w:r w:rsidR="00B93A8A">
              <w:rPr>
                <w:i/>
              </w:rPr>
              <w:t>the amateur community</w:t>
            </w:r>
            <w:r w:rsidR="008934A7">
              <w:rPr>
                <w:i/>
              </w:rPr>
              <w:t>)</w:t>
            </w:r>
            <w:r w:rsidR="00B93A8A">
              <w:rPr>
                <w:i/>
              </w:rPr>
              <w:t xml:space="preserve"> and</w:t>
            </w:r>
            <w:r w:rsidR="00EE67AF" w:rsidRPr="00EE67AF">
              <w:rPr>
                <w:i/>
              </w:rPr>
              <w:t xml:space="preserve"> </w:t>
            </w:r>
            <w:r w:rsidR="00B93A8A">
              <w:rPr>
                <w:i/>
              </w:rPr>
              <w:t xml:space="preserve">it </w:t>
            </w:r>
            <w:r w:rsidR="00EE67AF" w:rsidRPr="00EE67AF">
              <w:rPr>
                <w:i/>
              </w:rPr>
              <w:t>is currently used for amateur voice, data and image transmission in several countries</w:t>
            </w:r>
            <w:r w:rsidR="007C72EA">
              <w:rPr>
                <w:i/>
              </w:rPr>
              <w:t xml:space="preserve"> in Europe and around the globe</w:t>
            </w:r>
            <w:r w:rsidR="00EE67AF" w:rsidRPr="00EE67AF">
              <w:rPr>
                <w:i/>
              </w:rPr>
              <w:t xml:space="preserve">. The band is </w:t>
            </w:r>
            <w:r w:rsidR="00F8252D">
              <w:rPr>
                <w:i/>
              </w:rPr>
              <w:t xml:space="preserve">also </w:t>
            </w:r>
            <w:r w:rsidR="00B93A8A">
              <w:rPr>
                <w:i/>
              </w:rPr>
              <w:t xml:space="preserve">allocated </w:t>
            </w:r>
            <w:r w:rsidR="00EE67AF" w:rsidRPr="00EE67AF">
              <w:rPr>
                <w:i/>
              </w:rPr>
              <w:t xml:space="preserve">on a primary basis </w:t>
            </w:r>
            <w:r w:rsidR="00B93A8A">
              <w:rPr>
                <w:i/>
              </w:rPr>
              <w:t xml:space="preserve">to </w:t>
            </w:r>
            <w:r w:rsidR="00EE67AF" w:rsidRPr="00EE67AF">
              <w:rPr>
                <w:i/>
              </w:rPr>
              <w:t xml:space="preserve">the Earth exploration-satellite service, the radiolocation service, the </w:t>
            </w:r>
            <w:proofErr w:type="spellStart"/>
            <w:r w:rsidR="00EE67AF" w:rsidRPr="00EE67AF">
              <w:rPr>
                <w:i/>
              </w:rPr>
              <w:t>radionavigation</w:t>
            </w:r>
            <w:proofErr w:type="spellEnd"/>
            <w:r w:rsidR="00EE67AF" w:rsidRPr="00EE67AF">
              <w:rPr>
                <w:i/>
              </w:rPr>
              <w:t xml:space="preserve">-satellite service </w:t>
            </w:r>
            <w:r w:rsidR="000D42AF">
              <w:rPr>
                <w:i/>
              </w:rPr>
              <w:t xml:space="preserve">(RNSS) </w:t>
            </w:r>
            <w:r w:rsidR="00EE67AF" w:rsidRPr="00EE67AF">
              <w:rPr>
                <w:i/>
              </w:rPr>
              <w:t xml:space="preserve">and the space research service.  </w:t>
            </w:r>
          </w:p>
          <w:p w:rsidR="00C637C0" w:rsidRDefault="008D5BFB" w:rsidP="000C7EFC">
            <w:pPr>
              <w:keepNext/>
              <w:rPr>
                <w:i/>
              </w:rPr>
            </w:pPr>
            <w:r>
              <w:rPr>
                <w:i/>
              </w:rPr>
              <w:t>RNSS systems using</w:t>
            </w:r>
            <w:r w:rsidRPr="008D5BFB">
              <w:rPr>
                <w:i/>
              </w:rPr>
              <w:t xml:space="preserve"> the </w:t>
            </w:r>
            <w:r>
              <w:rPr>
                <w:i/>
              </w:rPr>
              <w:t xml:space="preserve">band </w:t>
            </w:r>
            <w:r w:rsidRPr="008D5BFB">
              <w:rPr>
                <w:i/>
              </w:rPr>
              <w:t>1</w:t>
            </w:r>
            <w:r>
              <w:rPr>
                <w:i/>
              </w:rPr>
              <w:t> </w:t>
            </w:r>
            <w:r w:rsidRPr="008D5BFB">
              <w:rPr>
                <w:i/>
              </w:rPr>
              <w:t>240-1</w:t>
            </w:r>
            <w:r>
              <w:rPr>
                <w:i/>
              </w:rPr>
              <w:t> </w:t>
            </w:r>
            <w:r w:rsidRPr="008D5BFB">
              <w:rPr>
                <w:i/>
              </w:rPr>
              <w:t>300</w:t>
            </w:r>
            <w:r>
              <w:rPr>
                <w:i/>
              </w:rPr>
              <w:t xml:space="preserve"> MHz are </w:t>
            </w:r>
            <w:r w:rsidR="007C72EA">
              <w:rPr>
                <w:i/>
              </w:rPr>
              <w:t xml:space="preserve">operational, or </w:t>
            </w:r>
            <w:r>
              <w:rPr>
                <w:i/>
              </w:rPr>
              <w:t>becoming operational</w:t>
            </w:r>
            <w:r w:rsidR="007C72EA">
              <w:rPr>
                <w:i/>
              </w:rPr>
              <w:t>,</w:t>
            </w:r>
            <w:r>
              <w:rPr>
                <w:i/>
              </w:rPr>
              <w:t xml:space="preserve"> in various part</w:t>
            </w:r>
            <w:r w:rsidR="007C72EA">
              <w:rPr>
                <w:i/>
              </w:rPr>
              <w:t>s</w:t>
            </w:r>
            <w:r>
              <w:rPr>
                <w:i/>
              </w:rPr>
              <w:t xml:space="preserve"> of the </w:t>
            </w:r>
            <w:r w:rsidR="000A17E8">
              <w:rPr>
                <w:i/>
              </w:rPr>
              <w:t>world</w:t>
            </w:r>
            <w:r>
              <w:rPr>
                <w:i/>
              </w:rPr>
              <w:t xml:space="preserve"> </w:t>
            </w:r>
            <w:r w:rsidR="0005371B">
              <w:rPr>
                <w:i/>
              </w:rPr>
              <w:t xml:space="preserve">with the aim of supporting wide range of new </w:t>
            </w:r>
            <w:r w:rsidR="007C72EA">
              <w:rPr>
                <w:i/>
              </w:rPr>
              <w:t xml:space="preserve">satellite positioning </w:t>
            </w:r>
            <w:r w:rsidR="0005371B">
              <w:rPr>
                <w:i/>
              </w:rPr>
              <w:t>services</w:t>
            </w:r>
            <w:r w:rsidR="007C72EA">
              <w:rPr>
                <w:i/>
              </w:rPr>
              <w:t>,</w:t>
            </w:r>
            <w:r w:rsidR="0005371B">
              <w:rPr>
                <w:i/>
              </w:rPr>
              <w:t xml:space="preserve"> </w:t>
            </w:r>
            <w:r w:rsidR="007C72EA">
              <w:rPr>
                <w:i/>
              </w:rPr>
              <w:t xml:space="preserve">for example enhanced </w:t>
            </w:r>
            <w:r w:rsidR="0005371B">
              <w:rPr>
                <w:i/>
              </w:rPr>
              <w:t>accura</w:t>
            </w:r>
            <w:r w:rsidR="007C72EA">
              <w:rPr>
                <w:i/>
              </w:rPr>
              <w:t>cy and position authentication</w:t>
            </w:r>
            <w:r w:rsidR="0005371B">
              <w:rPr>
                <w:i/>
              </w:rPr>
              <w:t>.</w:t>
            </w:r>
            <w:r>
              <w:rPr>
                <w:i/>
              </w:rPr>
              <w:t xml:space="preserve"> </w:t>
            </w:r>
            <w:r w:rsidR="0005371B">
              <w:rPr>
                <w:i/>
              </w:rPr>
              <w:t xml:space="preserve">Administrations </w:t>
            </w:r>
            <w:r w:rsidR="000A17E8">
              <w:rPr>
                <w:i/>
              </w:rPr>
              <w:t xml:space="preserve">wishing to support the development of these new services within their territory should </w:t>
            </w:r>
            <w:r w:rsidR="0005371B">
              <w:rPr>
                <w:i/>
              </w:rPr>
              <w:t xml:space="preserve">consider </w:t>
            </w:r>
            <w:r w:rsidR="007C72EA">
              <w:rPr>
                <w:i/>
              </w:rPr>
              <w:t xml:space="preserve">if additional </w:t>
            </w:r>
            <w:r w:rsidR="0005371B">
              <w:rPr>
                <w:i/>
              </w:rPr>
              <w:t xml:space="preserve">national measures </w:t>
            </w:r>
            <w:r w:rsidR="007C72EA">
              <w:rPr>
                <w:i/>
              </w:rPr>
              <w:t xml:space="preserve">are required </w:t>
            </w:r>
            <w:r w:rsidR="0005371B">
              <w:rPr>
                <w:i/>
              </w:rPr>
              <w:t xml:space="preserve">in order to </w:t>
            </w:r>
            <w:r w:rsidR="000A17E8">
              <w:rPr>
                <w:i/>
              </w:rPr>
              <w:t xml:space="preserve">prevent potential harmful interference </w:t>
            </w:r>
            <w:r w:rsidR="007C72EA">
              <w:rPr>
                <w:i/>
              </w:rPr>
              <w:t xml:space="preserve">to </w:t>
            </w:r>
            <w:r w:rsidR="000A17E8">
              <w:rPr>
                <w:i/>
              </w:rPr>
              <w:t xml:space="preserve">specific </w:t>
            </w:r>
            <w:r w:rsidR="0005371B">
              <w:rPr>
                <w:i/>
              </w:rPr>
              <w:t>RNSS systems</w:t>
            </w:r>
            <w:r w:rsidR="000A17E8">
              <w:rPr>
                <w:i/>
              </w:rPr>
              <w:t xml:space="preserve">, </w:t>
            </w:r>
            <w:r w:rsidR="007C72EA">
              <w:rPr>
                <w:i/>
              </w:rPr>
              <w:t xml:space="preserve">and </w:t>
            </w:r>
            <w:r w:rsidR="000A17E8">
              <w:rPr>
                <w:i/>
              </w:rPr>
              <w:t xml:space="preserve">taking into account the ubiquitous nature of the deployment of RNSS receivers. </w:t>
            </w:r>
            <w:proofErr w:type="gramStart"/>
            <w:r w:rsidR="007C72EA">
              <w:rPr>
                <w:i/>
              </w:rPr>
              <w:t xml:space="preserve">Those </w:t>
            </w:r>
            <w:r w:rsidR="000A17E8">
              <w:rPr>
                <w:i/>
              </w:rPr>
              <w:t xml:space="preserve"> measures</w:t>
            </w:r>
            <w:proofErr w:type="gramEnd"/>
            <w:r w:rsidR="000A17E8">
              <w:rPr>
                <w:i/>
              </w:rPr>
              <w:t xml:space="preserve"> may also need to be considered between neighbouring administrations</w:t>
            </w:r>
            <w:r w:rsidR="007C72EA">
              <w:rPr>
                <w:i/>
              </w:rPr>
              <w:t>.</w:t>
            </w:r>
          </w:p>
          <w:p w:rsidR="000C7EFC" w:rsidRDefault="000C7EFC" w:rsidP="000C7EFC">
            <w:pPr>
              <w:keepNext/>
              <w:rPr>
                <w:i/>
              </w:rPr>
            </w:pPr>
            <w:r>
              <w:rPr>
                <w:i/>
              </w:rPr>
              <w:t>In addition, the case of the secondary allocation to the Amateur service calls for a particular attention</w:t>
            </w:r>
            <w:r w:rsidR="00975522">
              <w:rPr>
                <w:i/>
              </w:rPr>
              <w:t xml:space="preserve"> since cases of harmful interference have already been met</w:t>
            </w:r>
            <w:r>
              <w:rPr>
                <w:i/>
              </w:rPr>
              <w:t xml:space="preserve">, although </w:t>
            </w:r>
            <w:r w:rsidR="00307561">
              <w:rPr>
                <w:i/>
              </w:rPr>
              <w:t xml:space="preserve">RNSS users </w:t>
            </w:r>
            <w:r w:rsidR="00EE67AF" w:rsidRPr="00EE67AF">
              <w:rPr>
                <w:i/>
              </w:rPr>
              <w:t xml:space="preserve">can claim protection from interference caused by </w:t>
            </w:r>
            <w:r w:rsidR="00B93A8A">
              <w:rPr>
                <w:i/>
              </w:rPr>
              <w:t>the</w:t>
            </w:r>
            <w:r w:rsidR="00307561">
              <w:rPr>
                <w:i/>
              </w:rPr>
              <w:t xml:space="preserve"> </w:t>
            </w:r>
            <w:r w:rsidR="00EE67AF" w:rsidRPr="00EE67AF">
              <w:rPr>
                <w:i/>
              </w:rPr>
              <w:t>radio amateur</w:t>
            </w:r>
            <w:r w:rsidR="00307561">
              <w:rPr>
                <w:i/>
              </w:rPr>
              <w:t xml:space="preserve"> transmissions</w:t>
            </w:r>
            <w:r w:rsidR="000D42AF">
              <w:rPr>
                <w:i/>
              </w:rPr>
              <w:t xml:space="preserve"> and </w:t>
            </w:r>
            <w:r w:rsidR="00135F8A">
              <w:rPr>
                <w:i/>
              </w:rPr>
              <w:t xml:space="preserve">individual transmitting stations </w:t>
            </w:r>
            <w:r w:rsidR="000D42AF">
              <w:rPr>
                <w:i/>
              </w:rPr>
              <w:t>have been shut down when required</w:t>
            </w:r>
            <w:r w:rsidR="00EE67AF" w:rsidRPr="00EE67AF">
              <w:rPr>
                <w:i/>
              </w:rPr>
              <w:t xml:space="preserve">. </w:t>
            </w:r>
            <w:r w:rsidR="000D42AF">
              <w:rPr>
                <w:i/>
              </w:rPr>
              <w:t xml:space="preserve">The difficulty is that there are many radio amateurs using this band in unspecified locations and </w:t>
            </w:r>
            <w:r w:rsidR="00B725CF">
              <w:rPr>
                <w:i/>
              </w:rPr>
              <w:t xml:space="preserve">therefore </w:t>
            </w:r>
            <w:r w:rsidR="000D42AF">
              <w:rPr>
                <w:i/>
              </w:rPr>
              <w:t>identifying and resolving each individual interference case will be a burden on regulators</w:t>
            </w:r>
            <w:r w:rsidR="00B725CF">
              <w:rPr>
                <w:i/>
              </w:rPr>
              <w:t>,</w:t>
            </w:r>
            <w:r w:rsidR="000D42AF">
              <w:rPr>
                <w:i/>
              </w:rPr>
              <w:t xml:space="preserve"> RNSS </w:t>
            </w:r>
            <w:r w:rsidR="00135F8A">
              <w:rPr>
                <w:i/>
              </w:rPr>
              <w:t xml:space="preserve">service providers and </w:t>
            </w:r>
            <w:r w:rsidR="000D42AF">
              <w:rPr>
                <w:i/>
              </w:rPr>
              <w:t>users</w:t>
            </w:r>
            <w:r w:rsidR="00975522">
              <w:rPr>
                <w:i/>
              </w:rPr>
              <w:t xml:space="preserve"> as the number of deployed RNSS receivers grows</w:t>
            </w:r>
            <w:r w:rsidR="000D42AF">
              <w:rPr>
                <w:i/>
              </w:rPr>
              <w:t xml:space="preserve">. </w:t>
            </w:r>
            <w:r w:rsidR="00B725CF">
              <w:rPr>
                <w:i/>
              </w:rPr>
              <w:t>T</w:t>
            </w:r>
            <w:r w:rsidR="009674AF" w:rsidRPr="00EE67AF">
              <w:rPr>
                <w:i/>
              </w:rPr>
              <w:t xml:space="preserve">he gradual increase in the use of the </w:t>
            </w:r>
            <w:r w:rsidR="009674AF">
              <w:rPr>
                <w:i/>
              </w:rPr>
              <w:t>1</w:t>
            </w:r>
            <w:r w:rsidR="008D5BFB">
              <w:rPr>
                <w:i/>
              </w:rPr>
              <w:t> </w:t>
            </w:r>
            <w:r w:rsidR="003D7BB9">
              <w:rPr>
                <w:i/>
              </w:rPr>
              <w:t>24</w:t>
            </w:r>
            <w:r w:rsidR="008D5BFB">
              <w:rPr>
                <w:i/>
              </w:rPr>
              <w:t>0-</w:t>
            </w:r>
            <w:r w:rsidR="009674AF">
              <w:rPr>
                <w:i/>
              </w:rPr>
              <w:t xml:space="preserve">1 300 MHz </w:t>
            </w:r>
            <w:r w:rsidR="009674AF" w:rsidRPr="00EE67AF">
              <w:rPr>
                <w:i/>
              </w:rPr>
              <w:t xml:space="preserve">band by </w:t>
            </w:r>
            <w:r w:rsidR="009674AF">
              <w:rPr>
                <w:i/>
              </w:rPr>
              <w:t>R</w:t>
            </w:r>
            <w:r w:rsidR="009674AF" w:rsidRPr="00EE67AF">
              <w:rPr>
                <w:i/>
              </w:rPr>
              <w:t>NSS systems</w:t>
            </w:r>
            <w:r w:rsidR="00B93A8A">
              <w:rPr>
                <w:i/>
              </w:rPr>
              <w:t>,</w:t>
            </w:r>
            <w:r w:rsidR="00307561">
              <w:rPr>
                <w:i/>
              </w:rPr>
              <w:t xml:space="preserve"> including the E6 signal</w:t>
            </w:r>
            <w:r w:rsidR="00790B45">
              <w:rPr>
                <w:i/>
              </w:rPr>
              <w:t>s</w:t>
            </w:r>
            <w:r w:rsidR="00307561">
              <w:rPr>
                <w:i/>
              </w:rPr>
              <w:t xml:space="preserve"> of the EU's Galileo system</w:t>
            </w:r>
            <w:r w:rsidR="009674AF" w:rsidRPr="00EE67AF">
              <w:rPr>
                <w:i/>
              </w:rPr>
              <w:t>,</w:t>
            </w:r>
            <w:r w:rsidR="00361C3C">
              <w:rPr>
                <w:i/>
              </w:rPr>
              <w:t xml:space="preserve"> </w:t>
            </w:r>
            <w:r w:rsidR="00B93A8A">
              <w:rPr>
                <w:i/>
              </w:rPr>
              <w:t xml:space="preserve">and </w:t>
            </w:r>
            <w:r w:rsidR="00361C3C">
              <w:rPr>
                <w:i/>
              </w:rPr>
              <w:t xml:space="preserve">the fact that </w:t>
            </w:r>
            <w:r w:rsidR="00307561">
              <w:rPr>
                <w:i/>
              </w:rPr>
              <w:t>RNSS receivers</w:t>
            </w:r>
            <w:r w:rsidR="00361C3C" w:rsidRPr="00EE67AF">
              <w:rPr>
                <w:i/>
              </w:rPr>
              <w:t xml:space="preserve"> are not, most of the time, in a fixed location, makes the</w:t>
            </w:r>
            <w:r w:rsidR="00361C3C">
              <w:rPr>
                <w:i/>
              </w:rPr>
              <w:t xml:space="preserve"> sharing situation</w:t>
            </w:r>
            <w:r w:rsidR="00361C3C" w:rsidRPr="00EE67AF">
              <w:rPr>
                <w:i/>
              </w:rPr>
              <w:t xml:space="preserve"> </w:t>
            </w:r>
            <w:r w:rsidR="00361C3C">
              <w:rPr>
                <w:i/>
              </w:rPr>
              <w:t>very challenging.</w:t>
            </w:r>
          </w:p>
          <w:p w:rsidR="00CC4B84" w:rsidRPr="001F73D0" w:rsidRDefault="007C72EA" w:rsidP="00110EFB">
            <w:pPr>
              <w:keepNext/>
              <w:rPr>
                <w:i/>
              </w:rPr>
            </w:pPr>
            <w:r>
              <w:rPr>
                <w:i/>
              </w:rPr>
              <w:t>RNSS and Amateur service allocations are global,</w:t>
            </w:r>
            <w:r w:rsidR="002910EE">
              <w:rPr>
                <w:i/>
              </w:rPr>
              <w:t xml:space="preserve"> and</w:t>
            </w:r>
            <w:r>
              <w:rPr>
                <w:i/>
              </w:rPr>
              <w:t xml:space="preserve"> t</w:t>
            </w:r>
            <w:r w:rsidR="000C7EFC">
              <w:rPr>
                <w:i/>
              </w:rPr>
              <w:t>he potential interference</w:t>
            </w:r>
            <w:r w:rsidR="00CC028F">
              <w:rPr>
                <w:i/>
              </w:rPr>
              <w:t xml:space="preserve"> from</w:t>
            </w:r>
            <w:r w:rsidR="000C7EFC">
              <w:rPr>
                <w:i/>
              </w:rPr>
              <w:t xml:space="preserve"> </w:t>
            </w:r>
            <w:r w:rsidR="00CC028F">
              <w:rPr>
                <w:i/>
              </w:rPr>
              <w:t xml:space="preserve">secondary Amateur service </w:t>
            </w:r>
            <w:r>
              <w:rPr>
                <w:i/>
              </w:rPr>
              <w:t>to</w:t>
            </w:r>
            <w:r w:rsidR="000C7EFC">
              <w:rPr>
                <w:i/>
              </w:rPr>
              <w:t xml:space="preserve"> primary RNSS </w:t>
            </w:r>
            <w:r w:rsidR="00A76256">
              <w:rPr>
                <w:i/>
              </w:rPr>
              <w:t>can</w:t>
            </w:r>
            <w:r w:rsidR="00CC028F">
              <w:rPr>
                <w:i/>
              </w:rPr>
              <w:t xml:space="preserve"> be of an international nature. </w:t>
            </w:r>
            <w:r w:rsidR="00B05B97">
              <w:rPr>
                <w:i/>
              </w:rPr>
              <w:t>It is therefore appropriate that a</w:t>
            </w:r>
            <w:r w:rsidR="000C7EFC">
              <w:rPr>
                <w:i/>
              </w:rPr>
              <w:t xml:space="preserve"> WRC agenda item </w:t>
            </w:r>
            <w:r w:rsidR="00CC028F">
              <w:rPr>
                <w:i/>
              </w:rPr>
              <w:t>address</w:t>
            </w:r>
            <w:r w:rsidR="00B05B97">
              <w:rPr>
                <w:i/>
              </w:rPr>
              <w:t>es</w:t>
            </w:r>
            <w:r w:rsidR="00CC028F">
              <w:rPr>
                <w:i/>
              </w:rPr>
              <w:t xml:space="preserve"> this</w:t>
            </w:r>
            <w:r w:rsidR="00B05B97">
              <w:rPr>
                <w:i/>
              </w:rPr>
              <w:t xml:space="preserve"> issue at</w:t>
            </w:r>
            <w:r w:rsidR="00CC028F">
              <w:rPr>
                <w:i/>
              </w:rPr>
              <w:t xml:space="preserve"> global </w:t>
            </w:r>
            <w:r w:rsidR="00B05B97">
              <w:rPr>
                <w:i/>
              </w:rPr>
              <w:t>level</w:t>
            </w:r>
            <w:r w:rsidR="00CC028F">
              <w:rPr>
                <w:i/>
              </w:rPr>
              <w:t>.</w:t>
            </w:r>
            <w:r w:rsidR="000C7EFC">
              <w:rPr>
                <w:i/>
              </w:rPr>
              <w:t xml:space="preserve"> </w:t>
            </w:r>
            <w:r w:rsidR="00EE67AF" w:rsidRPr="00EE67AF">
              <w:rPr>
                <w:i/>
              </w:rPr>
              <w:t xml:space="preserve">For these reasons it is proposed to </w:t>
            </w:r>
            <w:r w:rsidR="00A76256">
              <w:rPr>
                <w:i/>
              </w:rPr>
              <w:t xml:space="preserve">review the </w:t>
            </w:r>
            <w:r w:rsidR="00EE67AF" w:rsidRPr="00EE67AF">
              <w:rPr>
                <w:i/>
              </w:rPr>
              <w:t xml:space="preserve">amateur service secondary </w:t>
            </w:r>
            <w:r w:rsidR="00CC028F">
              <w:rPr>
                <w:i/>
              </w:rPr>
              <w:t>allocation</w:t>
            </w:r>
            <w:r w:rsidR="00CC028F" w:rsidRPr="00EE67AF">
              <w:rPr>
                <w:i/>
              </w:rPr>
              <w:t xml:space="preserve"> </w:t>
            </w:r>
            <w:r w:rsidR="00D55343">
              <w:rPr>
                <w:i/>
              </w:rPr>
              <w:t>in the band 1 240-1 </w:t>
            </w:r>
            <w:r w:rsidR="00EE67AF" w:rsidRPr="00EE67AF">
              <w:rPr>
                <w:i/>
              </w:rPr>
              <w:t>300 MHz</w:t>
            </w:r>
            <w:r w:rsidR="00CC028F">
              <w:rPr>
                <w:i/>
              </w:rPr>
              <w:t xml:space="preserve"> </w:t>
            </w:r>
            <w:r w:rsidR="00CC028F" w:rsidRPr="00CC028F">
              <w:rPr>
                <w:i/>
              </w:rPr>
              <w:t xml:space="preserve">to ensure the protection of the </w:t>
            </w:r>
            <w:proofErr w:type="spellStart"/>
            <w:r w:rsidR="00CC028F" w:rsidRPr="00CC028F">
              <w:rPr>
                <w:i/>
              </w:rPr>
              <w:t>radionavigation</w:t>
            </w:r>
            <w:proofErr w:type="spellEnd"/>
            <w:r w:rsidR="00CC028F" w:rsidRPr="00CC028F">
              <w:rPr>
                <w:i/>
              </w:rPr>
              <w:t>-satellite (space-to-Earth) service</w:t>
            </w:r>
            <w:r w:rsidR="0083142B">
              <w:rPr>
                <w:i/>
              </w:rPr>
              <w:t>.</w:t>
            </w:r>
          </w:p>
        </w:tc>
      </w:tr>
      <w:tr w:rsidR="00CC4B84" w:rsidRPr="006905BC" w:rsidTr="000934ED">
        <w:trPr>
          <w:cantSplit/>
        </w:trPr>
        <w:tc>
          <w:tcPr>
            <w:tcW w:w="9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C4B84" w:rsidRPr="006905BC" w:rsidRDefault="00CC4B84" w:rsidP="000934ED">
            <w:pPr>
              <w:keepNext/>
              <w:rPr>
                <w:b/>
                <w:i/>
              </w:rPr>
            </w:pPr>
            <w:r w:rsidRPr="006905BC">
              <w:rPr>
                <w:b/>
                <w:i/>
              </w:rPr>
              <w:t>Radiocommunication services concerned</w:t>
            </w:r>
            <w:r w:rsidRPr="00ED1174">
              <w:rPr>
                <w:b/>
                <w:iCs/>
              </w:rPr>
              <w:t>:</w:t>
            </w:r>
          </w:p>
          <w:p w:rsidR="00CC4B84" w:rsidRPr="00EE67AF" w:rsidRDefault="00EE67AF" w:rsidP="001E6804">
            <w:pPr>
              <w:keepNext/>
              <w:rPr>
                <w:i/>
              </w:rPr>
            </w:pPr>
            <w:r w:rsidRPr="00EE67AF">
              <w:rPr>
                <w:i/>
              </w:rPr>
              <w:lastRenderedPageBreak/>
              <w:t>Amateur,</w:t>
            </w:r>
            <w:r w:rsidR="001E6804">
              <w:rPr>
                <w:i/>
              </w:rPr>
              <w:t xml:space="preserve"> </w:t>
            </w:r>
            <w:r w:rsidR="00975522">
              <w:rPr>
                <w:i/>
              </w:rPr>
              <w:t>amateur-satellite,</w:t>
            </w:r>
            <w:r w:rsidRPr="00EE67AF">
              <w:rPr>
                <w:i/>
              </w:rPr>
              <w:t xml:space="preserve"> radiolocation, aeronautical </w:t>
            </w:r>
            <w:proofErr w:type="spellStart"/>
            <w:r w:rsidRPr="00EE67AF">
              <w:rPr>
                <w:i/>
              </w:rPr>
              <w:t>radionavigation</w:t>
            </w:r>
            <w:proofErr w:type="spellEnd"/>
            <w:r w:rsidRPr="00EE67AF">
              <w:rPr>
                <w:i/>
              </w:rPr>
              <w:t xml:space="preserve">, </w:t>
            </w:r>
            <w:proofErr w:type="spellStart"/>
            <w:r w:rsidRPr="00EE67AF">
              <w:rPr>
                <w:i/>
              </w:rPr>
              <w:t>radionavigation</w:t>
            </w:r>
            <w:proofErr w:type="spellEnd"/>
            <w:r w:rsidRPr="00EE67AF">
              <w:rPr>
                <w:i/>
              </w:rPr>
              <w:t>-satellite (Earth-to-space)</w:t>
            </w:r>
            <w:r w:rsidR="00600CD3">
              <w:rPr>
                <w:i/>
              </w:rPr>
              <w:t xml:space="preserve">, </w:t>
            </w:r>
            <w:r w:rsidR="00975522">
              <w:rPr>
                <w:i/>
              </w:rPr>
              <w:t xml:space="preserve">services </w:t>
            </w:r>
            <w:r w:rsidR="00600CD3">
              <w:rPr>
                <w:i/>
              </w:rPr>
              <w:t xml:space="preserve">adjacent </w:t>
            </w:r>
            <w:r w:rsidR="00975522">
              <w:rPr>
                <w:i/>
              </w:rPr>
              <w:t xml:space="preserve">to the </w:t>
            </w:r>
            <w:r w:rsidR="00600CD3">
              <w:rPr>
                <w:i/>
              </w:rPr>
              <w:t>band</w:t>
            </w:r>
            <w:r w:rsidR="00975522">
              <w:rPr>
                <w:i/>
              </w:rPr>
              <w:t xml:space="preserve"> 1 </w:t>
            </w:r>
            <w:r w:rsidR="00975522" w:rsidRPr="00EE67AF">
              <w:rPr>
                <w:i/>
              </w:rPr>
              <w:t xml:space="preserve">240-1 300 </w:t>
            </w:r>
            <w:proofErr w:type="spellStart"/>
            <w:r w:rsidR="00975522" w:rsidRPr="00EE67AF">
              <w:rPr>
                <w:i/>
              </w:rPr>
              <w:t>MHz</w:t>
            </w:r>
            <w:r w:rsidR="00975522">
              <w:rPr>
                <w:i/>
              </w:rPr>
              <w:t>.</w:t>
            </w:r>
            <w:proofErr w:type="spellEnd"/>
          </w:p>
        </w:tc>
      </w:tr>
      <w:tr w:rsidR="00CC4B84" w:rsidRPr="006905BC" w:rsidTr="000934ED">
        <w:trPr>
          <w:cantSplit/>
        </w:trPr>
        <w:tc>
          <w:tcPr>
            <w:tcW w:w="9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C4B84" w:rsidRPr="006905BC" w:rsidRDefault="00CC4B84" w:rsidP="000934ED">
            <w:pPr>
              <w:keepNext/>
              <w:rPr>
                <w:b/>
                <w:i/>
              </w:rPr>
            </w:pPr>
            <w:r w:rsidRPr="006905BC">
              <w:rPr>
                <w:b/>
                <w:i/>
              </w:rPr>
              <w:lastRenderedPageBreak/>
              <w:t>Indication of possible difficulties</w:t>
            </w:r>
            <w:r w:rsidRPr="00ED1174">
              <w:rPr>
                <w:b/>
                <w:iCs/>
              </w:rPr>
              <w:t>:</w:t>
            </w:r>
          </w:p>
          <w:p w:rsidR="00CC4B84" w:rsidRPr="00EE67AF" w:rsidRDefault="00CC4B84" w:rsidP="006B0FA0">
            <w:pPr>
              <w:pStyle w:val="Listenabsatz"/>
              <w:keepNext/>
              <w:numPr>
                <w:ilvl w:val="0"/>
                <w:numId w:val="2"/>
              </w:numPr>
              <w:rPr>
                <w:b/>
                <w:i/>
              </w:rPr>
            </w:pPr>
          </w:p>
        </w:tc>
      </w:tr>
      <w:tr w:rsidR="00CC4B84" w:rsidRPr="006905BC" w:rsidTr="000934ED">
        <w:trPr>
          <w:cantSplit/>
        </w:trPr>
        <w:tc>
          <w:tcPr>
            <w:tcW w:w="9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C4B84" w:rsidRPr="006905BC" w:rsidRDefault="00CC4B84" w:rsidP="000934ED">
            <w:pPr>
              <w:keepNext/>
              <w:rPr>
                <w:b/>
                <w:i/>
              </w:rPr>
            </w:pPr>
            <w:r w:rsidRPr="006905BC">
              <w:rPr>
                <w:b/>
                <w:i/>
              </w:rPr>
              <w:t>Previous/ongoing studies on the issue</w:t>
            </w:r>
            <w:r w:rsidRPr="00ED1174">
              <w:rPr>
                <w:b/>
                <w:iCs/>
              </w:rPr>
              <w:t>:</w:t>
            </w:r>
          </w:p>
          <w:p w:rsidR="00CC4B84" w:rsidRDefault="00EE67AF" w:rsidP="006B0FA0">
            <w:pPr>
              <w:keepNext/>
              <w:rPr>
                <w:i/>
              </w:rPr>
            </w:pPr>
            <w:r w:rsidRPr="00EE67AF">
              <w:rPr>
                <w:i/>
              </w:rPr>
              <w:t xml:space="preserve">Study by </w:t>
            </w:r>
            <w:r>
              <w:rPr>
                <w:i/>
              </w:rPr>
              <w:t xml:space="preserve">the </w:t>
            </w:r>
            <w:r w:rsidRPr="00EE67AF">
              <w:rPr>
                <w:i/>
              </w:rPr>
              <w:t>Joint Research Centre (JRC</w:t>
            </w:r>
            <w:r>
              <w:rPr>
                <w:i/>
              </w:rPr>
              <w:t>) of the European Union</w:t>
            </w:r>
            <w:r w:rsidR="006B0FA0">
              <w:rPr>
                <w:i/>
              </w:rPr>
              <w:t>, performed in 2015</w:t>
            </w:r>
          </w:p>
          <w:p w:rsidR="00B05B97" w:rsidRPr="00EE67AF" w:rsidRDefault="00B05B97" w:rsidP="006B0FA0">
            <w:pPr>
              <w:keepNext/>
              <w:rPr>
                <w:i/>
              </w:rPr>
            </w:pPr>
            <w:r>
              <w:rPr>
                <w:i/>
              </w:rPr>
              <w:t>German study presented at April 2019 PTA meeting</w:t>
            </w:r>
          </w:p>
        </w:tc>
      </w:tr>
      <w:tr w:rsidR="00CC4B84" w:rsidRPr="006905BC" w:rsidTr="000934ED">
        <w:trPr>
          <w:cantSplit/>
        </w:trPr>
        <w:tc>
          <w:tcPr>
            <w:tcW w:w="4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B84" w:rsidRPr="006905BC" w:rsidRDefault="00CC4B84" w:rsidP="000934ED">
            <w:pPr>
              <w:keepNext/>
              <w:rPr>
                <w:b/>
                <w:i/>
                <w:color w:val="000000"/>
              </w:rPr>
            </w:pPr>
            <w:r w:rsidRPr="006905BC">
              <w:rPr>
                <w:b/>
                <w:i/>
                <w:color w:val="000000"/>
              </w:rPr>
              <w:t>Studies to be carried out by</w:t>
            </w:r>
            <w:r w:rsidRPr="00ED1174">
              <w:rPr>
                <w:b/>
                <w:iCs/>
                <w:color w:val="000000"/>
              </w:rPr>
              <w:t>:</w:t>
            </w:r>
          </w:p>
          <w:p w:rsidR="00CC4B84" w:rsidRPr="00600CD3" w:rsidRDefault="00AC57BE" w:rsidP="000934ED">
            <w:pPr>
              <w:keepNext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ITU-R WP4C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C4B84" w:rsidRDefault="00CC4B84" w:rsidP="000934ED">
            <w:pPr>
              <w:keepNext/>
              <w:rPr>
                <w:b/>
                <w:iCs/>
                <w:color w:val="000000"/>
              </w:rPr>
            </w:pPr>
            <w:r w:rsidRPr="006905BC">
              <w:rPr>
                <w:b/>
                <w:i/>
                <w:color w:val="000000"/>
              </w:rPr>
              <w:t>with the participation of</w:t>
            </w:r>
            <w:r w:rsidRPr="00ED1174">
              <w:rPr>
                <w:b/>
                <w:iCs/>
                <w:color w:val="000000"/>
              </w:rPr>
              <w:t>:</w:t>
            </w:r>
          </w:p>
          <w:p w:rsidR="00600CD3" w:rsidRPr="006905BC" w:rsidRDefault="00AC57BE" w:rsidP="000934ED">
            <w:pPr>
              <w:keepNext/>
              <w:rPr>
                <w:b/>
                <w:i/>
                <w:color w:val="000000"/>
              </w:rPr>
            </w:pPr>
            <w:r>
              <w:rPr>
                <w:i/>
                <w:color w:val="000000"/>
              </w:rPr>
              <w:t>ITU-R WP5A</w:t>
            </w:r>
          </w:p>
        </w:tc>
      </w:tr>
      <w:tr w:rsidR="00CC4B84" w:rsidRPr="006905BC" w:rsidTr="000934ED">
        <w:trPr>
          <w:cantSplit/>
        </w:trPr>
        <w:tc>
          <w:tcPr>
            <w:tcW w:w="9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C4B84" w:rsidRPr="006905BC" w:rsidRDefault="00CC4B84" w:rsidP="000934ED">
            <w:pPr>
              <w:keepNext/>
              <w:rPr>
                <w:b/>
                <w:i/>
                <w:color w:val="000000"/>
              </w:rPr>
            </w:pPr>
            <w:r w:rsidRPr="006905BC">
              <w:rPr>
                <w:b/>
                <w:i/>
                <w:color w:val="000000"/>
              </w:rPr>
              <w:t>ITU</w:t>
            </w:r>
            <w:r w:rsidRPr="006905BC">
              <w:rPr>
                <w:b/>
                <w:i/>
                <w:color w:val="000000"/>
              </w:rPr>
              <w:noBreakHyphen/>
              <w:t>R Study Groups concerned</w:t>
            </w:r>
            <w:r w:rsidRPr="00ED1174">
              <w:rPr>
                <w:b/>
                <w:iCs/>
                <w:color w:val="000000"/>
              </w:rPr>
              <w:t>:</w:t>
            </w:r>
          </w:p>
          <w:p w:rsidR="00CC4B84" w:rsidRPr="006905BC" w:rsidRDefault="00AC57BE" w:rsidP="000934ED">
            <w:pPr>
              <w:keepNext/>
              <w:rPr>
                <w:b/>
                <w:i/>
              </w:rPr>
            </w:pPr>
            <w:r>
              <w:rPr>
                <w:i/>
                <w:color w:val="000000"/>
              </w:rPr>
              <w:t>SG4, SG5</w:t>
            </w:r>
          </w:p>
        </w:tc>
      </w:tr>
      <w:tr w:rsidR="00CC4B84" w:rsidRPr="006905BC" w:rsidTr="000934ED">
        <w:trPr>
          <w:cantSplit/>
        </w:trPr>
        <w:tc>
          <w:tcPr>
            <w:tcW w:w="9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C4B84" w:rsidRPr="006905BC" w:rsidRDefault="00CC4B84" w:rsidP="000934ED">
            <w:pPr>
              <w:keepNext/>
              <w:rPr>
                <w:b/>
                <w:i/>
              </w:rPr>
            </w:pPr>
            <w:r w:rsidRPr="006905BC">
              <w:rPr>
                <w:b/>
                <w:i/>
              </w:rPr>
              <w:t>ITU resource implications, including financial implications (refer to CV126)</w:t>
            </w:r>
            <w:r w:rsidRPr="00ED1174">
              <w:rPr>
                <w:b/>
                <w:iCs/>
              </w:rPr>
              <w:t>:</w:t>
            </w:r>
          </w:p>
          <w:p w:rsidR="00CC4B84" w:rsidRPr="006905BC" w:rsidRDefault="00AC57BE" w:rsidP="000934ED">
            <w:pPr>
              <w:keepNext/>
              <w:rPr>
                <w:b/>
                <w:i/>
              </w:rPr>
            </w:pPr>
            <w:r>
              <w:rPr>
                <w:i/>
                <w:color w:val="000000"/>
              </w:rPr>
              <w:t>None</w:t>
            </w:r>
          </w:p>
        </w:tc>
      </w:tr>
      <w:tr w:rsidR="00CC4B84" w:rsidRPr="006905BC" w:rsidTr="000934ED">
        <w:trPr>
          <w:cantSplit/>
        </w:trPr>
        <w:tc>
          <w:tcPr>
            <w:tcW w:w="4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C4B84" w:rsidRPr="006905BC" w:rsidRDefault="00CC4B84" w:rsidP="000934ED">
            <w:pPr>
              <w:keepNext/>
              <w:rPr>
                <w:b/>
                <w:iCs/>
              </w:rPr>
            </w:pPr>
            <w:r w:rsidRPr="006905BC">
              <w:rPr>
                <w:b/>
                <w:i/>
              </w:rPr>
              <w:t>Common regional proposal</w:t>
            </w:r>
            <w:r w:rsidRPr="00ED1174">
              <w:rPr>
                <w:b/>
                <w:iCs/>
              </w:rPr>
              <w:t>:</w:t>
            </w:r>
            <w:r w:rsidRPr="006905BC">
              <w:rPr>
                <w:b/>
                <w:iCs/>
              </w:rPr>
              <w:t xml:space="preserve"> </w:t>
            </w:r>
            <w:r w:rsidRPr="006905BC">
              <w:rPr>
                <w:bCs/>
                <w:iCs/>
              </w:rPr>
              <w:t>Yes/No</w:t>
            </w:r>
          </w:p>
        </w:tc>
        <w:tc>
          <w:tcPr>
            <w:tcW w:w="48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C4B84" w:rsidRPr="006905BC" w:rsidRDefault="00CC4B84" w:rsidP="000934ED">
            <w:pPr>
              <w:keepNext/>
              <w:rPr>
                <w:b/>
                <w:iCs/>
              </w:rPr>
            </w:pPr>
            <w:proofErr w:type="spellStart"/>
            <w:r w:rsidRPr="006905BC">
              <w:rPr>
                <w:b/>
                <w:i/>
              </w:rPr>
              <w:t>Multicountry</w:t>
            </w:r>
            <w:proofErr w:type="spellEnd"/>
            <w:r w:rsidRPr="006905BC">
              <w:rPr>
                <w:b/>
                <w:i/>
              </w:rPr>
              <w:t xml:space="preserve"> proposal</w:t>
            </w:r>
            <w:r w:rsidRPr="00ED1174">
              <w:rPr>
                <w:b/>
                <w:iCs/>
              </w:rPr>
              <w:t>:</w:t>
            </w:r>
            <w:r w:rsidRPr="006905BC">
              <w:rPr>
                <w:b/>
                <w:iCs/>
              </w:rPr>
              <w:t xml:space="preserve"> </w:t>
            </w:r>
            <w:r w:rsidRPr="006905BC">
              <w:rPr>
                <w:bCs/>
                <w:iCs/>
              </w:rPr>
              <w:t>Yes/No</w:t>
            </w:r>
          </w:p>
          <w:p w:rsidR="00CC4B84" w:rsidRPr="006905BC" w:rsidRDefault="00CC4B84" w:rsidP="000934ED">
            <w:pPr>
              <w:keepNext/>
              <w:rPr>
                <w:b/>
                <w:i/>
              </w:rPr>
            </w:pPr>
            <w:r w:rsidRPr="006905BC">
              <w:rPr>
                <w:b/>
                <w:i/>
              </w:rPr>
              <w:t>Number of countries</w:t>
            </w:r>
            <w:r w:rsidRPr="00ED1174">
              <w:rPr>
                <w:b/>
                <w:iCs/>
              </w:rPr>
              <w:t>:</w:t>
            </w:r>
          </w:p>
          <w:p w:rsidR="00CC4B84" w:rsidRPr="006905BC" w:rsidRDefault="00CC4B84" w:rsidP="000934ED">
            <w:pPr>
              <w:keepNext/>
              <w:rPr>
                <w:b/>
                <w:i/>
              </w:rPr>
            </w:pPr>
          </w:p>
        </w:tc>
      </w:tr>
      <w:tr w:rsidR="00CC4B84" w:rsidRPr="006905BC" w:rsidTr="000934ED">
        <w:trPr>
          <w:cantSplit/>
        </w:trPr>
        <w:tc>
          <w:tcPr>
            <w:tcW w:w="97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4B84" w:rsidRPr="006905BC" w:rsidRDefault="00CC4B84" w:rsidP="000934ED">
            <w:pPr>
              <w:rPr>
                <w:b/>
                <w:i/>
              </w:rPr>
            </w:pPr>
            <w:r w:rsidRPr="006905BC">
              <w:rPr>
                <w:b/>
                <w:i/>
              </w:rPr>
              <w:t>Remarks</w:t>
            </w:r>
          </w:p>
          <w:p w:rsidR="00CC4B84" w:rsidRPr="006905BC" w:rsidRDefault="00CC4B84" w:rsidP="000934ED">
            <w:pPr>
              <w:rPr>
                <w:b/>
                <w:i/>
              </w:rPr>
            </w:pPr>
          </w:p>
        </w:tc>
      </w:tr>
    </w:tbl>
    <w:p w:rsidR="00921F9D" w:rsidRDefault="00921F9D"/>
    <w:sectPr w:rsidR="00921F9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2D9" w:rsidRDefault="00CE32D9" w:rsidP="00AC640A">
      <w:pPr>
        <w:spacing w:before="0"/>
      </w:pPr>
      <w:r>
        <w:separator/>
      </w:r>
    </w:p>
  </w:endnote>
  <w:endnote w:type="continuationSeparator" w:id="0">
    <w:p w:rsidR="00CE32D9" w:rsidRDefault="00CE32D9" w:rsidP="00AC640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2D9" w:rsidRDefault="00CE32D9" w:rsidP="00AC640A">
      <w:pPr>
        <w:spacing w:before="0"/>
      </w:pPr>
      <w:r>
        <w:separator/>
      </w:r>
    </w:p>
  </w:footnote>
  <w:footnote w:type="continuationSeparator" w:id="0">
    <w:p w:rsidR="00CE32D9" w:rsidRDefault="00CE32D9" w:rsidP="00AC640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40A" w:rsidRDefault="00AC640A" w:rsidP="00AC640A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51168"/>
    <w:multiLevelType w:val="hybridMultilevel"/>
    <w:tmpl w:val="F20A2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93C09"/>
    <w:multiLevelType w:val="hybridMultilevel"/>
    <w:tmpl w:val="F796F28C"/>
    <w:lvl w:ilvl="0" w:tplc="6CCE9A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oNotDisplayPageBoundaries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B84"/>
    <w:rsid w:val="0005371B"/>
    <w:rsid w:val="0006207B"/>
    <w:rsid w:val="000A17E8"/>
    <w:rsid w:val="000C4535"/>
    <w:rsid w:val="000C7EFC"/>
    <w:rsid w:val="000D42AF"/>
    <w:rsid w:val="000D5DEF"/>
    <w:rsid w:val="00110EFB"/>
    <w:rsid w:val="00135F8A"/>
    <w:rsid w:val="0014034A"/>
    <w:rsid w:val="001E6804"/>
    <w:rsid w:val="001F73D0"/>
    <w:rsid w:val="00282B1D"/>
    <w:rsid w:val="002910EE"/>
    <w:rsid w:val="00296D39"/>
    <w:rsid w:val="002B1265"/>
    <w:rsid w:val="00307561"/>
    <w:rsid w:val="00361C3C"/>
    <w:rsid w:val="003D7BB9"/>
    <w:rsid w:val="00400647"/>
    <w:rsid w:val="00433D28"/>
    <w:rsid w:val="0043747F"/>
    <w:rsid w:val="00444B75"/>
    <w:rsid w:val="004E5530"/>
    <w:rsid w:val="00514604"/>
    <w:rsid w:val="00597D89"/>
    <w:rsid w:val="005D1F0C"/>
    <w:rsid w:val="00600CD3"/>
    <w:rsid w:val="006B0FA0"/>
    <w:rsid w:val="007278F1"/>
    <w:rsid w:val="00731A60"/>
    <w:rsid w:val="00790B45"/>
    <w:rsid w:val="00797D72"/>
    <w:rsid w:val="007A79FF"/>
    <w:rsid w:val="007C72EA"/>
    <w:rsid w:val="007F77F3"/>
    <w:rsid w:val="0083057A"/>
    <w:rsid w:val="0083142B"/>
    <w:rsid w:val="008934A7"/>
    <w:rsid w:val="0089461A"/>
    <w:rsid w:val="008D5BFB"/>
    <w:rsid w:val="00921F9D"/>
    <w:rsid w:val="00936278"/>
    <w:rsid w:val="009674AF"/>
    <w:rsid w:val="00975522"/>
    <w:rsid w:val="009E2843"/>
    <w:rsid w:val="00A02EBC"/>
    <w:rsid w:val="00A31666"/>
    <w:rsid w:val="00A37F83"/>
    <w:rsid w:val="00A6023F"/>
    <w:rsid w:val="00A76256"/>
    <w:rsid w:val="00AC2BE4"/>
    <w:rsid w:val="00AC57BE"/>
    <w:rsid w:val="00AC640A"/>
    <w:rsid w:val="00B05B97"/>
    <w:rsid w:val="00B34B68"/>
    <w:rsid w:val="00B512F1"/>
    <w:rsid w:val="00B725CF"/>
    <w:rsid w:val="00B93A8A"/>
    <w:rsid w:val="00BA66F5"/>
    <w:rsid w:val="00BB2452"/>
    <w:rsid w:val="00BD2B81"/>
    <w:rsid w:val="00C637C0"/>
    <w:rsid w:val="00C75722"/>
    <w:rsid w:val="00CA1479"/>
    <w:rsid w:val="00CC028F"/>
    <w:rsid w:val="00CC4B84"/>
    <w:rsid w:val="00CE32D9"/>
    <w:rsid w:val="00D55343"/>
    <w:rsid w:val="00D84FAF"/>
    <w:rsid w:val="00DB4103"/>
    <w:rsid w:val="00E63BC2"/>
    <w:rsid w:val="00E930B5"/>
    <w:rsid w:val="00EE67AF"/>
    <w:rsid w:val="00F00E37"/>
    <w:rsid w:val="00F21B57"/>
    <w:rsid w:val="00F611BF"/>
    <w:rsid w:val="00F8252D"/>
    <w:rsid w:val="00FB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46CB1EA-5867-40C9-B20E-EDB53C437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C4B84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nexNo">
    <w:name w:val="Annex_No"/>
    <w:basedOn w:val="Standard"/>
    <w:next w:val="Standard"/>
    <w:rsid w:val="00CC4B84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title">
    <w:name w:val="Annex_title"/>
    <w:basedOn w:val="Standard"/>
    <w:next w:val="Standard"/>
    <w:rsid w:val="00CC4B84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AC640A"/>
    <w:pPr>
      <w:tabs>
        <w:tab w:val="clear" w:pos="1134"/>
        <w:tab w:val="clear" w:pos="1871"/>
        <w:tab w:val="clear" w:pos="2268"/>
        <w:tab w:val="center" w:pos="4536"/>
        <w:tab w:val="right" w:pos="9072"/>
      </w:tabs>
      <w:spacing w:before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AC640A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AC640A"/>
    <w:pPr>
      <w:tabs>
        <w:tab w:val="clear" w:pos="1134"/>
        <w:tab w:val="clear" w:pos="1871"/>
        <w:tab w:val="clear" w:pos="2268"/>
        <w:tab w:val="center" w:pos="4536"/>
        <w:tab w:val="right" w:pos="9072"/>
      </w:tabs>
      <w:spacing w:before="0"/>
    </w:pPr>
  </w:style>
  <w:style w:type="character" w:customStyle="1" w:styleId="FuzeileZchn">
    <w:name w:val="Fußzeile Zchn"/>
    <w:basedOn w:val="Absatz-Standardschriftart"/>
    <w:link w:val="Fuzeile"/>
    <w:uiPriority w:val="99"/>
    <w:rsid w:val="00AC640A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Listenabsatz">
    <w:name w:val="List Paragraph"/>
    <w:basedOn w:val="Standard"/>
    <w:uiPriority w:val="34"/>
    <w:qFormat/>
    <w:rsid w:val="00EE67A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0FA0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0FA0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C9D2E-CA20-4A11-AFB4-0D8760DE0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3227</Characters>
  <Application>Microsoft Office Word</Application>
  <DocSecurity>4</DocSecurity>
  <Lines>26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ANFR</Company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221-4</dc:creator>
  <cp:lastModifiedBy>Germany</cp:lastModifiedBy>
  <cp:revision>2</cp:revision>
  <cp:lastPrinted>2018-08-27T16:01:00Z</cp:lastPrinted>
  <dcterms:created xsi:type="dcterms:W3CDTF">2019-08-12T17:37:00Z</dcterms:created>
  <dcterms:modified xsi:type="dcterms:W3CDTF">2019-08-12T17:37:00Z</dcterms:modified>
</cp:coreProperties>
</file>