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3"/>
        <w:gridCol w:w="2916"/>
        <w:gridCol w:w="5052"/>
      </w:tblGrid>
      <w:tr w:rsidR="00263FFB" w:rsidRPr="00A3755D" w:rsidTr="00564DE1">
        <w:trPr>
          <w:trHeight w:val="1560"/>
        </w:trPr>
        <w:tc>
          <w:tcPr>
            <w:tcW w:w="4729" w:type="dxa"/>
            <w:gridSpan w:val="2"/>
            <w:tcBorders>
              <w:top w:val="nil"/>
              <w:left w:val="nil"/>
              <w:bottom w:val="nil"/>
              <w:right w:val="nil"/>
            </w:tcBorders>
            <w:vAlign w:val="center"/>
          </w:tcPr>
          <w:p w:rsidR="00263FFB" w:rsidRPr="00263FFB" w:rsidRDefault="00FF0E5A" w:rsidP="001B0583">
            <w:pPr>
              <w:pStyle w:val="ECCLetterHead"/>
            </w:pPr>
            <w:r w:rsidRPr="00FC4F6F">
              <w:rPr>
                <w:noProof/>
                <w:lang w:val="de-DE" w:eastAsia="de-DE"/>
              </w:rPr>
              <w:drawing>
                <wp:inline distT="0" distB="0" distL="0" distR="0">
                  <wp:extent cx="1623695" cy="82677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826770"/>
                          </a:xfrm>
                          <a:prstGeom prst="rect">
                            <a:avLst/>
                          </a:prstGeom>
                          <a:noFill/>
                          <a:ln>
                            <a:noFill/>
                          </a:ln>
                        </pic:spPr>
                      </pic:pic>
                    </a:graphicData>
                  </a:graphic>
                </wp:inline>
              </w:drawing>
            </w:r>
            <w:r w:rsidR="001B0583">
              <w:t>CPG</w:t>
            </w:r>
          </w:p>
        </w:tc>
        <w:tc>
          <w:tcPr>
            <w:tcW w:w="5052" w:type="dxa"/>
            <w:tcBorders>
              <w:top w:val="nil"/>
              <w:left w:val="nil"/>
              <w:bottom w:val="nil"/>
              <w:right w:val="nil"/>
            </w:tcBorders>
          </w:tcPr>
          <w:p w:rsidR="00263FFB" w:rsidRPr="00263FFB" w:rsidRDefault="00263FFB" w:rsidP="00193274">
            <w:pPr>
              <w:pStyle w:val="ECCLetterHead"/>
            </w:pPr>
            <w:r w:rsidRPr="00A3755D">
              <w:tab/>
              <w:t xml:space="preserve">Doc. </w:t>
            </w:r>
            <w:r w:rsidR="00BA68BE">
              <w:t>CPG</w:t>
            </w:r>
            <w:r w:rsidRPr="00263FFB">
              <w:t>(</w:t>
            </w:r>
            <w:r w:rsidR="00BA68BE">
              <w:t>1</w:t>
            </w:r>
            <w:r w:rsidR="00A246E4">
              <w:t>9</w:t>
            </w:r>
            <w:r w:rsidRPr="00263FFB">
              <w:t>)</w:t>
            </w:r>
            <w:r w:rsidR="00193274">
              <w:t>116</w:t>
            </w:r>
          </w:p>
        </w:tc>
      </w:tr>
      <w:tr w:rsidR="00BA68BE" w:rsidRPr="00A3755D" w:rsidTr="00564DE1">
        <w:tblPrEx>
          <w:tblCellMar>
            <w:left w:w="108" w:type="dxa"/>
            <w:right w:w="108" w:type="dxa"/>
          </w:tblCellMar>
        </w:tblPrEx>
        <w:trPr>
          <w:trHeight w:val="405"/>
        </w:trPr>
        <w:tc>
          <w:tcPr>
            <w:tcW w:w="9781" w:type="dxa"/>
            <w:gridSpan w:val="3"/>
            <w:tcBorders>
              <w:top w:val="nil"/>
              <w:left w:val="nil"/>
              <w:bottom w:val="nil"/>
              <w:right w:val="nil"/>
            </w:tcBorders>
            <w:vAlign w:val="center"/>
          </w:tcPr>
          <w:p w:rsidR="00BA68BE" w:rsidRPr="00BA68BE" w:rsidRDefault="00BA68BE" w:rsidP="00994CA7">
            <w:pPr>
              <w:pStyle w:val="ECCLetterHead"/>
            </w:pPr>
            <w:r w:rsidRPr="005627AB">
              <w:t>CPG19-</w:t>
            </w:r>
            <w:r w:rsidR="00994CA7">
              <w:t>9</w:t>
            </w:r>
          </w:p>
        </w:tc>
      </w:tr>
      <w:tr w:rsidR="00BA68BE" w:rsidRPr="00A3755D" w:rsidTr="00564DE1">
        <w:tblPrEx>
          <w:tblCellMar>
            <w:left w:w="108" w:type="dxa"/>
            <w:right w:w="108" w:type="dxa"/>
          </w:tblCellMar>
        </w:tblPrEx>
        <w:trPr>
          <w:trHeight w:val="405"/>
        </w:trPr>
        <w:tc>
          <w:tcPr>
            <w:tcW w:w="9781" w:type="dxa"/>
            <w:gridSpan w:val="3"/>
            <w:tcBorders>
              <w:top w:val="nil"/>
              <w:left w:val="nil"/>
              <w:bottom w:val="nil"/>
              <w:right w:val="nil"/>
            </w:tcBorders>
            <w:vAlign w:val="center"/>
          </w:tcPr>
          <w:p w:rsidR="00BA68BE" w:rsidRPr="00BA68BE" w:rsidRDefault="00994CA7" w:rsidP="001A5923">
            <w:pPr>
              <w:pStyle w:val="ECCLetterHead"/>
            </w:pPr>
            <w:r>
              <w:t>Ankara</w:t>
            </w:r>
            <w:r w:rsidR="00BA68BE" w:rsidRPr="00BA68BE">
              <w:t xml:space="preserve">, </w:t>
            </w:r>
            <w:r>
              <w:t>Turkey</w:t>
            </w:r>
            <w:r w:rsidR="00BA68BE" w:rsidRPr="00BA68BE">
              <w:t xml:space="preserve">, </w:t>
            </w:r>
            <w:r w:rsidR="001A5923" w:rsidRPr="001A5923">
              <w:rPr>
                <w:rStyle w:val="ECCHLyellow"/>
                <w:szCs w:val="20"/>
                <w:shd w:val="clear" w:color="auto" w:fill="auto"/>
              </w:rPr>
              <w:t>26</w:t>
            </w:r>
            <w:r w:rsidR="001A5923" w:rsidRPr="00193274">
              <w:rPr>
                <w:rStyle w:val="ECCHLsuperscript"/>
              </w:rPr>
              <w:t>th</w:t>
            </w:r>
            <w:r w:rsidR="001A5923" w:rsidRPr="001A5923">
              <w:rPr>
                <w:rStyle w:val="ECCHLyellow"/>
                <w:szCs w:val="20"/>
                <w:shd w:val="clear" w:color="auto" w:fill="auto"/>
              </w:rPr>
              <w:t xml:space="preserve"> - 30</w:t>
            </w:r>
            <w:r w:rsidR="001A5923" w:rsidRPr="00193274">
              <w:rPr>
                <w:rStyle w:val="ECCHLsuperscript"/>
              </w:rPr>
              <w:t>th</w:t>
            </w:r>
            <w:r>
              <w:t xml:space="preserve"> August</w:t>
            </w:r>
            <w:r w:rsidR="00BA68BE" w:rsidRPr="00BA68BE">
              <w:t xml:space="preserve"> 201</w:t>
            </w:r>
            <w:r w:rsidR="00B36FA6">
              <w:t>9</w:t>
            </w:r>
          </w:p>
        </w:tc>
      </w:tr>
      <w:tr w:rsidR="00263FFB" w:rsidRPr="00A3755D" w:rsidTr="00564DE1">
        <w:tblPrEx>
          <w:tblCellMar>
            <w:left w:w="108" w:type="dxa"/>
            <w:right w:w="108" w:type="dxa"/>
          </w:tblCellMar>
        </w:tblPrEx>
        <w:trPr>
          <w:trHeight w:hRule="exact" w:val="79"/>
        </w:trPr>
        <w:tc>
          <w:tcPr>
            <w:tcW w:w="4729" w:type="dxa"/>
            <w:gridSpan w:val="2"/>
            <w:tcBorders>
              <w:top w:val="nil"/>
              <w:left w:val="nil"/>
              <w:bottom w:val="nil"/>
              <w:right w:val="nil"/>
            </w:tcBorders>
            <w:vAlign w:val="center"/>
          </w:tcPr>
          <w:p w:rsidR="00263FFB" w:rsidRPr="00A3755D" w:rsidRDefault="00263FFB" w:rsidP="00263FFB">
            <w:pPr>
              <w:pStyle w:val="ECCLetterHead"/>
            </w:pPr>
          </w:p>
        </w:tc>
        <w:tc>
          <w:tcPr>
            <w:tcW w:w="5052" w:type="dxa"/>
            <w:tcBorders>
              <w:top w:val="nil"/>
              <w:left w:val="nil"/>
              <w:bottom w:val="nil"/>
              <w:right w:val="nil"/>
            </w:tcBorders>
            <w:vAlign w:val="center"/>
          </w:tcPr>
          <w:p w:rsidR="00263FFB" w:rsidRPr="00A3755D" w:rsidRDefault="00263FFB" w:rsidP="00263FFB">
            <w:pPr>
              <w:pStyle w:val="ECCLetterHead"/>
            </w:pP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8" w:type="dxa"/>
            <w:gridSpan w:val="2"/>
            <w:tcBorders>
              <w:top w:val="nil"/>
              <w:left w:val="nil"/>
              <w:bottom w:val="nil"/>
              <w:right w:val="nil"/>
            </w:tcBorders>
            <w:vAlign w:val="center"/>
          </w:tcPr>
          <w:p w:rsidR="00263FFB" w:rsidRPr="00A320F7" w:rsidRDefault="00193274" w:rsidP="00A320F7">
            <w:pPr>
              <w:pStyle w:val="ECCLetterHead"/>
            </w:pPr>
            <w:r>
              <w:t>14</w:t>
            </w:r>
            <w:r w:rsidRPr="00193274">
              <w:rPr>
                <w:rStyle w:val="ECCHLsuperscript"/>
              </w:rPr>
              <w:t>th</w:t>
            </w:r>
            <w:r>
              <w:t xml:space="preserve"> </w:t>
            </w:r>
            <w:r w:rsidR="00A320F7" w:rsidRPr="00A320F7">
              <w:t xml:space="preserve">August </w:t>
            </w:r>
            <w:r w:rsidR="00564DE1" w:rsidRPr="00A320F7">
              <w:t>201</w:t>
            </w:r>
            <w:r w:rsidR="00994CA7" w:rsidRPr="00A320F7">
              <w:t>9</w:t>
            </w: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8" w:type="dxa"/>
            <w:gridSpan w:val="2"/>
            <w:tcBorders>
              <w:top w:val="nil"/>
              <w:left w:val="nil"/>
              <w:bottom w:val="nil"/>
              <w:right w:val="nil"/>
            </w:tcBorders>
            <w:vAlign w:val="center"/>
          </w:tcPr>
          <w:p w:rsidR="00263FFB" w:rsidRPr="00263FFB" w:rsidRDefault="00DF5C1D" w:rsidP="00263FFB">
            <w:pPr>
              <w:pStyle w:val="ECCLetterHead"/>
            </w:pPr>
            <w:r>
              <w:t>International Amateur Radio Union (IARU)</w:t>
            </w:r>
          </w:p>
        </w:tc>
      </w:tr>
      <w:tr w:rsidR="00263FFB" w:rsidRPr="00A3755D" w:rsidTr="00564DE1">
        <w:tblPrEx>
          <w:tblCellMar>
            <w:left w:w="108" w:type="dxa"/>
            <w:right w:w="108" w:type="dxa"/>
          </w:tblCellMar>
        </w:tblPrEx>
        <w:trPr>
          <w:trHeight w:val="405"/>
        </w:trPr>
        <w:tc>
          <w:tcPr>
            <w:tcW w:w="1813"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8" w:type="dxa"/>
            <w:gridSpan w:val="2"/>
            <w:tcBorders>
              <w:top w:val="nil"/>
              <w:left w:val="nil"/>
              <w:bottom w:val="nil"/>
              <w:right w:val="nil"/>
            </w:tcBorders>
            <w:vAlign w:val="center"/>
          </w:tcPr>
          <w:p w:rsidR="00263FFB" w:rsidRPr="00263FFB" w:rsidRDefault="00994CA7" w:rsidP="00263FFB">
            <w:pPr>
              <w:pStyle w:val="ECCLetterHead"/>
            </w:pPr>
            <w:r>
              <w:t xml:space="preserve">RNSS </w:t>
            </w:r>
            <w:r w:rsidR="008E476A">
              <w:t xml:space="preserve">Proposal </w:t>
            </w:r>
            <w:r w:rsidR="008E476A" w:rsidRPr="008E476A">
              <w:t>WRC-19 AI 10</w:t>
            </w:r>
          </w:p>
        </w:tc>
      </w:tr>
      <w:tr w:rsidR="00263FFB" w:rsidRPr="00A3755D" w:rsidTr="00564DE1">
        <w:tblPrEx>
          <w:tblCellMar>
            <w:left w:w="108" w:type="dxa"/>
            <w:right w:w="108" w:type="dxa"/>
          </w:tblCellMar>
        </w:tblPrEx>
        <w:trPr>
          <w:trHeight w:val="1040"/>
        </w:trPr>
        <w:tc>
          <w:tcPr>
            <w:tcW w:w="9781" w:type="dxa"/>
            <w:gridSpan w:val="3"/>
            <w:tcBorders>
              <w:top w:val="nil"/>
              <w:left w:val="nil"/>
              <w:bottom w:val="nil"/>
              <w:right w:val="nil"/>
            </w:tcBorders>
            <w:vAlign w:val="center"/>
          </w:tcPr>
          <w:p w:rsidR="00263FFB" w:rsidRPr="00263FFB" w:rsidRDefault="00193274" w:rsidP="00263FFB">
            <w:pPr>
              <w:pStyle w:val="ECCTabletext"/>
            </w:pPr>
            <w:r>
              <w:rPr>
                <w:noProof/>
                <w:lang w:val="de-DE" w:eastAsia="de-DE"/>
              </w:rPr>
              <mc:AlternateContent>
                <mc:Choice Requires="wps">
                  <w:drawing>
                    <wp:anchor distT="0" distB="0" distL="114300" distR="114300" simplePos="0" relativeHeight="251657728" behindDoc="1" locked="0" layoutInCell="0" allowOverlap="1">
                      <wp:simplePos x="0" y="0"/>
                      <wp:positionH relativeFrom="column">
                        <wp:posOffset>2585085</wp:posOffset>
                      </wp:positionH>
                      <wp:positionV relativeFrom="paragraph">
                        <wp:posOffset>175895</wp:posOffset>
                      </wp:positionV>
                      <wp:extent cx="457200" cy="269875"/>
                      <wp:effectExtent l="0" t="0" r="0" b="0"/>
                      <wp:wrapTight wrapText="bothSides">
                        <wp:wrapPolygon edited="0">
                          <wp:start x="0" y="0"/>
                          <wp:lineTo x="0" y="21346"/>
                          <wp:lineTo x="21600" y="21346"/>
                          <wp:lineTo x="2160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BA2512" w:rsidRPr="00F45561" w:rsidRDefault="00BA2512"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left:0;text-align:left;margin-left:203.55pt;margin-top:13.85pt;width:36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" o:allowincell="f">
                      <v:textbox inset="1.2mm,.8mm,1mm,2mm">
                        <w:txbxContent>
                          <w:p w:rsidR="00BA2512" w:rsidRPr="00F45561" w:rsidRDefault="00BA2512" w:rsidP="00F45561">
                            <w:pPr>
                              <w:pStyle w:val="ECCTabletext"/>
                              <w:jc w:val="center"/>
                              <w:rPr>
                                <w:lang w:val="de-DE"/>
                              </w:rPr>
                            </w:pPr>
                            <w:r>
                              <w:rPr>
                                <w:lang w:val="de-DE"/>
                              </w:rPr>
                              <w:t>N</w:t>
                            </w:r>
                          </w:p>
                        </w:txbxContent>
                      </v:textbox>
                      <w10:wrap type="tight"/>
                    </v:shape>
                  </w:pict>
                </mc:Fallback>
              </mc:AlternateContent>
            </w:r>
            <w:r w:rsidR="00263FFB" w:rsidRPr="00263FFB">
              <w:t>Group membership required to read? (Y/N)</w:t>
            </w:r>
          </w:p>
        </w:tc>
      </w:tr>
      <w:tr w:rsidR="00263FFB" w:rsidRPr="00A3755D" w:rsidTr="00564DE1">
        <w:tblPrEx>
          <w:tblCellMar>
            <w:left w:w="108" w:type="dxa"/>
            <w:right w:w="108" w:type="dxa"/>
          </w:tblCellMar>
        </w:tblPrEx>
        <w:trPr>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7"/>
        </w:trPr>
        <w:tc>
          <w:tcPr>
            <w:tcW w:w="9781" w:type="dxa"/>
            <w:gridSpan w:val="3"/>
            <w:tcBorders>
              <w:top w:val="nil"/>
              <w:left w:val="single" w:sz="6" w:space="0" w:color="C00000"/>
              <w:bottom w:val="single" w:sz="6" w:space="0" w:color="C00000"/>
              <w:right w:val="single" w:sz="6" w:space="0" w:color="C00000"/>
            </w:tcBorders>
          </w:tcPr>
          <w:p w:rsidR="00E830A7" w:rsidRDefault="003F456A" w:rsidP="00E830A7">
            <w:pPr>
              <w:pStyle w:val="ECCTabletext"/>
            </w:pPr>
            <w:r>
              <w:t>For WRC-19 AI 10,</w:t>
            </w:r>
            <w:r w:rsidR="00994CA7">
              <w:t xml:space="preserve"> a WRC-23 AI </w:t>
            </w:r>
            <w:r w:rsidR="00994CA7" w:rsidRPr="00994CA7">
              <w:t>proposal</w:t>
            </w:r>
            <w:r w:rsidR="00994CA7">
              <w:t xml:space="preserve"> was made to CPG PTA-</w:t>
            </w:r>
            <w:r w:rsidR="00994CA7" w:rsidRPr="00994CA7">
              <w:t>7</w:t>
            </w:r>
            <w:r w:rsidR="00994CA7">
              <w:t xml:space="preserve"> for the RNSS and Amateur </w:t>
            </w:r>
            <w:r>
              <w:t>S</w:t>
            </w:r>
            <w:r w:rsidR="00994CA7">
              <w:t xml:space="preserve">ervice </w:t>
            </w:r>
            <w:r w:rsidR="00994CA7" w:rsidRPr="00994CA7">
              <w:t>in the range 1240-1300 MHz</w:t>
            </w:r>
            <w:r>
              <w:t>.</w:t>
            </w:r>
            <w:r w:rsidR="00994CA7" w:rsidRPr="00994CA7">
              <w:t xml:space="preserve"> </w:t>
            </w:r>
            <w:r>
              <w:t xml:space="preserve">However </w:t>
            </w:r>
            <w:r w:rsidR="00994CA7" w:rsidRPr="00994CA7">
              <w:t xml:space="preserve">it was not </w:t>
            </w:r>
            <w:r>
              <w:t>supported</w:t>
            </w:r>
            <w:r w:rsidR="00994CA7" w:rsidRPr="00994CA7">
              <w:t xml:space="preserve"> by the meeting</w:t>
            </w:r>
            <w:r w:rsidR="00994CA7">
              <w:t xml:space="preserve"> and</w:t>
            </w:r>
            <w:r w:rsidR="00994CA7" w:rsidRPr="00994CA7">
              <w:t xml:space="preserve"> </w:t>
            </w:r>
            <w:r w:rsidR="00994CA7">
              <w:t xml:space="preserve">therefore it is not included in the draft ECP for WRC-19 AI10 </w:t>
            </w:r>
            <w:r w:rsidR="009E2CAD" w:rsidRPr="003B7FD8">
              <w:rPr>
                <w:rStyle w:val="ECCHLyellow"/>
                <w:shd w:val="clear" w:color="auto" w:fill="auto"/>
              </w:rPr>
              <w:t>PTA(19)105 Annex V-24</w:t>
            </w:r>
            <w:r w:rsidR="00994CA7" w:rsidRPr="003B7FD8">
              <w:rPr>
                <w:rStyle w:val="ECCHLyellow"/>
                <w:shd w:val="clear" w:color="auto" w:fill="auto"/>
              </w:rPr>
              <w:t>.</w:t>
            </w:r>
            <w:r w:rsidR="00BA2512">
              <w:t xml:space="preserve"> However, </w:t>
            </w:r>
            <w:r w:rsidR="00556C8C">
              <w:t>IARU understands that</w:t>
            </w:r>
            <w:r w:rsidR="00994CA7">
              <w:t xml:space="preserve"> a fu</w:t>
            </w:r>
            <w:r w:rsidR="00556C8C">
              <w:t xml:space="preserve">rther proposal on this topic may </w:t>
            </w:r>
            <w:r w:rsidR="00994CA7">
              <w:t xml:space="preserve">be made </w:t>
            </w:r>
            <w:r w:rsidR="002B6D5A">
              <w:t>at</w:t>
            </w:r>
            <w:r w:rsidR="00994CA7">
              <w:t xml:space="preserve"> the final CPG</w:t>
            </w:r>
            <w:r w:rsidR="002B6D5A">
              <w:t xml:space="preserve"> meeting</w:t>
            </w:r>
            <w:r w:rsidR="00994CA7">
              <w:t>.</w:t>
            </w:r>
          </w:p>
          <w:p w:rsidR="00D361DE" w:rsidRPr="00E830A7" w:rsidRDefault="00994CA7" w:rsidP="00E830A7">
            <w:pPr>
              <w:pStyle w:val="ECCTabletext"/>
            </w:pPr>
            <w:r>
              <w:t xml:space="preserve">The proposal is </w:t>
            </w:r>
            <w:r w:rsidR="0045724A">
              <w:t>driven by</w:t>
            </w:r>
            <w:r>
              <w:t xml:space="preserve"> a small number of interference cases that have occurred between the amateur service and the Galileo control centres</w:t>
            </w:r>
            <w:r w:rsidR="009E2CAD">
              <w:t xml:space="preserve"> in Oberpfaffenofen (DE</w:t>
            </w:r>
            <w:r w:rsidR="00971BFE">
              <w:t>)</w:t>
            </w:r>
            <w:r w:rsidR="00971BFE" w:rsidRPr="00971BFE">
              <w:t xml:space="preserve"> and Fucino (IT)</w:t>
            </w:r>
            <w:r w:rsidR="004653AC">
              <w:t xml:space="preserve"> r</w:t>
            </w:r>
            <w:r w:rsidR="0045724A">
              <w:t xml:space="preserve">eported in CPG PTA. These have been satisfactorily resolved and action is underway in CEPT </w:t>
            </w:r>
            <w:r w:rsidR="009E2CAD">
              <w:t>(WGFM and WGSE</w:t>
            </w:r>
            <w:r w:rsidR="003B7FD8">
              <w:t>) to</w:t>
            </w:r>
            <w:r w:rsidR="0045724A">
              <w:t xml:space="preserve"> develop further guidance so that future cases can be avoided as the Galileo system rolls out. </w:t>
            </w:r>
            <w:r w:rsidR="007B3AC1">
              <w:t xml:space="preserve">IARU </w:t>
            </w:r>
            <w:r w:rsidR="00697820">
              <w:t xml:space="preserve">fully </w:t>
            </w:r>
            <w:r w:rsidR="007B3AC1">
              <w:t>supports this initiative</w:t>
            </w:r>
            <w:r w:rsidR="00697820">
              <w:t xml:space="preserve"> in CEPT</w:t>
            </w:r>
            <w:r w:rsidR="007B3AC1">
              <w:t xml:space="preserve">. </w:t>
            </w:r>
            <w:r w:rsidR="0045724A">
              <w:t xml:space="preserve">In the range 1240-1300 MHz </w:t>
            </w:r>
            <w:r w:rsidR="0045724A" w:rsidRPr="005F70C5">
              <w:t xml:space="preserve">the </w:t>
            </w:r>
            <w:r w:rsidR="0045724A" w:rsidRPr="005F70C5">
              <w:rPr>
                <w:rStyle w:val="ECCHLyellow"/>
                <w:shd w:val="clear" w:color="auto" w:fill="auto"/>
              </w:rPr>
              <w:t>Amateur Service</w:t>
            </w:r>
            <w:r w:rsidR="0045724A">
              <w:t xml:space="preserve"> is already a secondary service in the ITU-R Radio Regulations and is therefore already bound to not cause interference to the primary services.</w:t>
            </w:r>
            <w:r w:rsidR="005F70C5">
              <w:t xml:space="preserve"> </w:t>
            </w:r>
          </w:p>
          <w:p w:rsidR="0045724A" w:rsidRDefault="0045724A" w:rsidP="00000B78">
            <w:pPr>
              <w:pStyle w:val="ECCTabletext"/>
            </w:pPr>
            <w:r>
              <w:t xml:space="preserve"> IARU </w:t>
            </w:r>
            <w:r w:rsidR="002B6D5A">
              <w:t>understands</w:t>
            </w:r>
            <w:r>
              <w:t xml:space="preserve"> that it is not the intention of the proposers to</w:t>
            </w:r>
            <w:r w:rsidR="00B77B38">
              <w:t xml:space="preserve"> </w:t>
            </w:r>
            <w:r w:rsidR="00164224">
              <w:t xml:space="preserve">seek </w:t>
            </w:r>
            <w:r w:rsidR="00B77B38">
              <w:t>remov</w:t>
            </w:r>
            <w:r w:rsidR="00164224">
              <w:t>al of</w:t>
            </w:r>
            <w:r>
              <w:t xml:space="preserve"> the amateur service </w:t>
            </w:r>
            <w:r w:rsidR="00B77B38">
              <w:t>allocation</w:t>
            </w:r>
            <w:r>
              <w:t xml:space="preserve"> in this range. It is an important band for the </w:t>
            </w:r>
            <w:r w:rsidR="00556C8C">
              <w:t>a</w:t>
            </w:r>
            <w:r>
              <w:t xml:space="preserve">mateur </w:t>
            </w:r>
            <w:r w:rsidR="00556C8C">
              <w:t>s</w:t>
            </w:r>
            <w:r>
              <w:t xml:space="preserve">ervice offering an entry point to the higher microwave frequencies encouraging new engineers </w:t>
            </w:r>
            <w:r w:rsidR="007B3AC1">
              <w:t xml:space="preserve">to explore the possibilities for </w:t>
            </w:r>
            <w:r w:rsidR="003F456A">
              <w:t xml:space="preserve">radio communications in </w:t>
            </w:r>
            <w:r w:rsidR="007B3AC1">
              <w:t>these bands.</w:t>
            </w:r>
            <w:r w:rsidR="00164224">
              <w:t xml:space="preserve"> However, IARU is concerned that any WRC action could lead to unintended outcomes that would be detrimental to the amateur service globally and that such action is unjustified</w:t>
            </w:r>
            <w:r w:rsidR="009E4DC8">
              <w:t xml:space="preserve"> at this time</w:t>
            </w:r>
            <w:r w:rsidR="00164224">
              <w:t xml:space="preserve">. </w:t>
            </w:r>
          </w:p>
          <w:p w:rsidR="00263FFB" w:rsidRPr="00263FFB" w:rsidRDefault="00697820" w:rsidP="00000B78">
            <w:pPr>
              <w:pStyle w:val="ECCTabletext"/>
            </w:pPr>
            <w:r>
              <w:t xml:space="preserve">IARU </w:t>
            </w:r>
            <w:r w:rsidR="002B6D5A">
              <w:t xml:space="preserve">continues to request that administrations do not support a proposal for a WRC-23 agenda item </w:t>
            </w:r>
            <w:r w:rsidR="001F5B5F">
              <w:t>concerning the 1240-1300 MHz frequency band.</w:t>
            </w:r>
          </w:p>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0"/>
        </w:trPr>
        <w:tc>
          <w:tcPr>
            <w:tcW w:w="9781" w:type="dxa"/>
            <w:gridSpan w:val="3"/>
            <w:tcBorders>
              <w:top w:val="nil"/>
              <w:left w:val="single" w:sz="6" w:space="0" w:color="C00000"/>
              <w:bottom w:val="single" w:sz="6" w:space="0" w:color="C00000"/>
              <w:right w:val="single" w:sz="6" w:space="0" w:color="C00000"/>
            </w:tcBorders>
          </w:tcPr>
          <w:p w:rsidR="00C8536C" w:rsidRDefault="00564DE1" w:rsidP="00263FFB">
            <w:pPr>
              <w:pStyle w:val="ECCTabletext"/>
            </w:pPr>
            <w:r>
              <w:t>to CPG19-</w:t>
            </w:r>
            <w:r w:rsidR="0045724A">
              <w:t>9</w:t>
            </w:r>
            <w:r>
              <w:t xml:space="preserve"> </w:t>
            </w:r>
            <w:r w:rsidRPr="00564DE1">
              <w:t>to</w:t>
            </w:r>
            <w:r w:rsidR="00C8536C">
              <w:t>:</w:t>
            </w:r>
          </w:p>
          <w:p w:rsidR="00872E35" w:rsidRDefault="00193274" w:rsidP="00193274">
            <w:pPr>
              <w:pStyle w:val="ECCBulletsLv2"/>
            </w:pPr>
            <w:r>
              <w:t>t</w:t>
            </w:r>
            <w:r w:rsidR="002B6D5A">
              <w:t>ake into account</w:t>
            </w:r>
            <w:r w:rsidR="0016577F" w:rsidRPr="0016577F">
              <w:t xml:space="preserve"> the </w:t>
            </w:r>
            <w:r w:rsidR="002B6D5A">
              <w:t>position</w:t>
            </w:r>
            <w:r w:rsidR="00B77B38">
              <w:t xml:space="preserve"> </w:t>
            </w:r>
            <w:r w:rsidR="00E17348">
              <w:t xml:space="preserve">and concerns </w:t>
            </w:r>
            <w:r w:rsidR="00B77B38">
              <w:t>of the am</w:t>
            </w:r>
            <w:r w:rsidR="00E17348">
              <w:t>ateur</w:t>
            </w:r>
            <w:r w:rsidR="003A67FB">
              <w:t xml:space="preserve"> service</w:t>
            </w:r>
            <w:r w:rsidR="00E17348">
              <w:t xml:space="preserve"> community and </w:t>
            </w:r>
            <w:r w:rsidR="00B77B38">
              <w:t xml:space="preserve">not </w:t>
            </w:r>
            <w:r w:rsidR="00E17348">
              <w:t>propose</w:t>
            </w:r>
            <w:r w:rsidR="00B77B38">
              <w:t xml:space="preserve"> a WRC-23 AI on this topic</w:t>
            </w:r>
            <w:r w:rsidR="00E17348">
              <w:t>.</w:t>
            </w:r>
          </w:p>
          <w:p w:rsidR="0016577F" w:rsidRDefault="00193274" w:rsidP="00193274">
            <w:pPr>
              <w:pStyle w:val="ECCBulletsLv2"/>
            </w:pPr>
            <w:r>
              <w:t>a</w:t>
            </w:r>
            <w:r w:rsidR="00B77B38">
              <w:t>llow</w:t>
            </w:r>
            <w:r w:rsidR="00872E35">
              <w:t xml:space="preserve"> </w:t>
            </w:r>
            <w:r w:rsidR="00B77B38">
              <w:t xml:space="preserve">CEPT activities to continue and focus on </w:t>
            </w:r>
            <w:r w:rsidR="00E17348">
              <w:t xml:space="preserve">dealing with </w:t>
            </w:r>
            <w:r w:rsidR="00B77B38">
              <w:t xml:space="preserve">the specific issue </w:t>
            </w:r>
            <w:r w:rsidR="003B7FD8">
              <w:t xml:space="preserve">of protecting Galileo E6 </w:t>
            </w:r>
            <w:r w:rsidR="00055C4D">
              <w:t>signal reception</w:t>
            </w:r>
            <w:r w:rsidR="00253E4D">
              <w:t>,</w:t>
            </w:r>
            <w:r w:rsidR="00872E35">
              <w:t xml:space="preserve"> and</w:t>
            </w:r>
          </w:p>
          <w:p w:rsidR="00613AF1" w:rsidRPr="00263FFB" w:rsidRDefault="00193274" w:rsidP="00193274">
            <w:pPr>
              <w:pStyle w:val="ECCBulletsLv2"/>
            </w:pPr>
            <w:r>
              <w:t>n</w:t>
            </w:r>
            <w:r w:rsidR="004653AC">
              <w:t xml:space="preserve">ote that </w:t>
            </w:r>
            <w:r w:rsidR="00872E35">
              <w:t xml:space="preserve">IARU </w:t>
            </w:r>
            <w:r w:rsidR="00872E35" w:rsidRPr="00872E35">
              <w:t xml:space="preserve">fully supports this </w:t>
            </w:r>
            <w:r w:rsidR="004653AC">
              <w:t xml:space="preserve">CEPT initiative </w:t>
            </w:r>
            <w:r w:rsidR="00872E35">
              <w:t>and shall develop procedures guided by CEPT</w:t>
            </w:r>
            <w:r w:rsidR="00253E4D">
              <w:t>,</w:t>
            </w:r>
            <w:r w:rsidR="00872E35">
              <w:t xml:space="preserve"> </w:t>
            </w:r>
            <w:r w:rsidR="00872E35" w:rsidRPr="00872E35">
              <w:t xml:space="preserve">so that future cases </w:t>
            </w:r>
            <w:r w:rsidR="00872E35">
              <w:t xml:space="preserve">of interference </w:t>
            </w:r>
            <w:r w:rsidR="00872E35" w:rsidRPr="00872E35">
              <w:t>can be avoided as th</w:t>
            </w:r>
            <w:r w:rsidR="00872E35">
              <w:t>e Galileo system rolls out.</w:t>
            </w:r>
          </w:p>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3FFB" w:rsidRPr="00A3755D" w:rsidTr="00193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781" w:type="dxa"/>
            <w:gridSpan w:val="3"/>
            <w:tcBorders>
              <w:top w:val="nil"/>
              <w:left w:val="single" w:sz="6" w:space="0" w:color="C00000"/>
              <w:bottom w:val="single" w:sz="6" w:space="0" w:color="C00000"/>
              <w:right w:val="single" w:sz="6" w:space="0" w:color="C00000"/>
            </w:tcBorders>
          </w:tcPr>
          <w:p w:rsidR="0016577F" w:rsidRPr="0016577F" w:rsidRDefault="0016577F" w:rsidP="0016577F">
            <w:pPr>
              <w:pStyle w:val="ECCTabletext"/>
            </w:pPr>
            <w:r>
              <w:t xml:space="preserve">The International Amateur Radio Union (IARU) represents the interests of </w:t>
            </w:r>
            <w:r w:rsidRPr="0016577F">
              <w:t>amateur radio experimenters and operators worldwide. Amateur radio provides the possibility for people of all ages, gender and nationalities to gain practical hands on experience through the nationally regulated use of radio spectrum for the study and understanding of terrestrial and space wireless communications.  Indeed many radio amateurs who experienced a</w:t>
            </w:r>
            <w:bookmarkStart w:id="0" w:name="_GoBack"/>
            <w:bookmarkEnd w:id="0"/>
            <w:r w:rsidRPr="0016577F">
              <w:t xml:space="preserve">mateur radio communications in their youth have used the skills gained for their technical and/or scientific careers in later life. (See: </w:t>
            </w:r>
            <w:hyperlink r:id="rId9" w:history="1">
              <w:r w:rsidRPr="0016577F">
                <w:rPr>
                  <w:rStyle w:val="Hyperlink"/>
                </w:rPr>
                <w:t>https://www.iaru-r1.org/index.php/web-links-sp-999616743</w:t>
              </w:r>
            </w:hyperlink>
            <w:r w:rsidRPr="0016577F">
              <w:t>).</w:t>
            </w:r>
          </w:p>
          <w:p w:rsidR="0016577F" w:rsidRDefault="00B77B38" w:rsidP="00B77B38">
            <w:pPr>
              <w:pStyle w:val="ECCTabletext"/>
            </w:pPr>
            <w:r>
              <w:t>Previous contributions to CPG and interventions in PTA have laid out the concerns of the amateur community with the WRC-23 agenda item proposal.</w:t>
            </w:r>
            <w:r w:rsidR="009552EC">
              <w:t xml:space="preserve"> A</w:t>
            </w:r>
            <w:r w:rsidR="00404220">
              <w:t xml:space="preserve"> summary of </w:t>
            </w:r>
            <w:r w:rsidR="009552EC">
              <w:t>IARU</w:t>
            </w:r>
            <w:r w:rsidR="00404220">
              <w:t xml:space="preserve"> views</w:t>
            </w:r>
            <w:r w:rsidR="009552EC">
              <w:t xml:space="preserve"> is that</w:t>
            </w:r>
            <w:r w:rsidR="00404220">
              <w:t>:</w:t>
            </w:r>
          </w:p>
          <w:p w:rsidR="00404220" w:rsidRDefault="00BA2512" w:rsidP="00193274">
            <w:pPr>
              <w:pStyle w:val="ECCNumberedList"/>
            </w:pPr>
            <w:r>
              <w:t>A</w:t>
            </w:r>
            <w:r w:rsidR="00404220">
              <w:t xml:space="preserve">lthough </w:t>
            </w:r>
            <w:r w:rsidR="009552EC">
              <w:t xml:space="preserve">two </w:t>
            </w:r>
            <w:r w:rsidR="00404220">
              <w:t xml:space="preserve">interference </w:t>
            </w:r>
            <w:r w:rsidR="00404220" w:rsidRPr="003B7FD8">
              <w:t>cases</w:t>
            </w:r>
            <w:r w:rsidR="009552EC">
              <w:t xml:space="preserve"> </w:t>
            </w:r>
            <w:r w:rsidR="003A286D">
              <w:t>have</w:t>
            </w:r>
            <w:r w:rsidR="00404220">
              <w:t xml:space="preserve"> been well documented and investigated</w:t>
            </w:r>
            <w:r w:rsidR="009552EC">
              <w:t>,</w:t>
            </w:r>
            <w:r w:rsidR="00404220">
              <w:t xml:space="preserve"> others seem somewhat anecdotal. For example</w:t>
            </w:r>
            <w:r w:rsidR="007B6109">
              <w:t xml:space="preserve"> and</w:t>
            </w:r>
            <w:r w:rsidR="00404220">
              <w:t xml:space="preserve"> despite enquiries</w:t>
            </w:r>
            <w:r w:rsidR="009552EC">
              <w:t xml:space="preserve"> </w:t>
            </w:r>
            <w:r w:rsidR="00404220">
              <w:t xml:space="preserve">IARU has not been able to find any information relating to the Italian "moonbounce" </w:t>
            </w:r>
            <w:r w:rsidR="007601CE">
              <w:t xml:space="preserve">example </w:t>
            </w:r>
            <w:r w:rsidR="00404220">
              <w:t>cited by the European Commission representatives and by France</w:t>
            </w:r>
            <w:r w:rsidR="009552EC">
              <w:t>.</w:t>
            </w:r>
            <w:r w:rsidR="00E041C9">
              <w:t xml:space="preserve"> As a result this interference </w:t>
            </w:r>
            <w:r w:rsidR="00404220">
              <w:t>scenario can</w:t>
            </w:r>
            <w:r w:rsidR="00E041C9">
              <w:t>not</w:t>
            </w:r>
            <w:r w:rsidR="00404220">
              <w:t xml:space="preserve"> be </w:t>
            </w:r>
            <w:r w:rsidR="00E041C9">
              <w:t>studied in sufficient detail</w:t>
            </w:r>
            <w:r w:rsidR="00404220">
              <w:t>.</w:t>
            </w:r>
            <w:r w:rsidR="00C1540B">
              <w:t xml:space="preserve"> </w:t>
            </w:r>
          </w:p>
          <w:p w:rsidR="00404220" w:rsidRDefault="00404220" w:rsidP="00193274">
            <w:pPr>
              <w:pStyle w:val="ECCNumberedList"/>
            </w:pPr>
            <w:r>
              <w:t>The few reported interference cases have occurred to a Galileo control centre and not to end user devices</w:t>
            </w:r>
            <w:r w:rsidR="00193274">
              <w:t>,</w:t>
            </w:r>
            <w:r w:rsidR="00C1540B">
              <w:t xml:space="preserve"> which will operate in a more cluttered terrestrial propagation environment</w:t>
            </w:r>
            <w:r>
              <w:t>. IARU believes that the possibilit</w:t>
            </w:r>
            <w:r w:rsidR="007601CE">
              <w:t>y</w:t>
            </w:r>
            <w:r>
              <w:t xml:space="preserve"> for widespread interference to end user devices from the most common amateur applications is</w:t>
            </w:r>
            <w:r w:rsidR="007B6109">
              <w:t xml:space="preserve"> over stated and</w:t>
            </w:r>
            <w:r>
              <w:t xml:space="preserve"> </w:t>
            </w:r>
            <w:r w:rsidR="00E041C9">
              <w:t xml:space="preserve">is </w:t>
            </w:r>
            <w:r>
              <w:t xml:space="preserve">extremely unlikely </w:t>
            </w:r>
            <w:r w:rsidR="00E041C9">
              <w:t xml:space="preserve">to occur, </w:t>
            </w:r>
            <w:r>
              <w:t xml:space="preserve">given the </w:t>
            </w:r>
            <w:r w:rsidR="00C8536C">
              <w:t xml:space="preserve">directional nature of amateur transmissions and the </w:t>
            </w:r>
            <w:r>
              <w:t xml:space="preserve">deployment scenario </w:t>
            </w:r>
            <w:r w:rsidR="007601CE">
              <w:t>envisaged</w:t>
            </w:r>
            <w:r>
              <w:t xml:space="preserve"> for the</w:t>
            </w:r>
            <w:r w:rsidR="007B6109">
              <w:t xml:space="preserve"> Galileo</w:t>
            </w:r>
            <w:r>
              <w:t xml:space="preserve"> devices</w:t>
            </w:r>
            <w:r w:rsidR="007B6109">
              <w:t xml:space="preserve"> (</w:t>
            </w:r>
            <w:r w:rsidR="00C1540B">
              <w:t xml:space="preserve">again </w:t>
            </w:r>
            <w:r w:rsidR="007B6109">
              <w:t xml:space="preserve">in a </w:t>
            </w:r>
            <w:r w:rsidR="00C8536C">
              <w:t xml:space="preserve">more </w:t>
            </w:r>
            <w:r w:rsidR="007B6109">
              <w:t xml:space="preserve">cluttered environment and generally "looking up" towards the satellite constellation) </w:t>
            </w:r>
            <w:r>
              <w:t xml:space="preserve">. </w:t>
            </w:r>
          </w:p>
          <w:p w:rsidR="00404220" w:rsidRDefault="003A286D" w:rsidP="00193274">
            <w:pPr>
              <w:pStyle w:val="ECCNumberedList"/>
            </w:pPr>
            <w:r>
              <w:t>Despite the interesting l</w:t>
            </w:r>
            <w:r w:rsidR="000954A1">
              <w:t>aboratory measurement campaigns</w:t>
            </w:r>
            <w:r w:rsidR="00BA2512">
              <w:t xml:space="preserve">, which the amateur service supported, </w:t>
            </w:r>
            <w:r w:rsidR="000954A1">
              <w:t>there are</w:t>
            </w:r>
            <w:r>
              <w:t xml:space="preserve"> still no firm </w:t>
            </w:r>
            <w:r w:rsidR="00C1540B">
              <w:t xml:space="preserve">service failure </w:t>
            </w:r>
            <w:r>
              <w:t xml:space="preserve">criteria in place to understand the point at which Galileo receivers (either individually or as a network/community) will fail to provide a useful service to the end user when receiving interference. </w:t>
            </w:r>
          </w:p>
          <w:p w:rsidR="003A286D" w:rsidRDefault="003A286D" w:rsidP="00193274">
            <w:pPr>
              <w:pStyle w:val="ECCNumberedList"/>
            </w:pPr>
            <w:r>
              <w:t>Some parties cite the potential for an "administrative burden" resulting from interference cases.</w:t>
            </w:r>
            <w:r w:rsidR="00C8536C">
              <w:t xml:space="preserve"> </w:t>
            </w:r>
            <w:r>
              <w:t xml:space="preserve">IARU believes </w:t>
            </w:r>
            <w:r w:rsidR="007B6109">
              <w:t xml:space="preserve">this </w:t>
            </w:r>
            <w:r w:rsidR="007601CE">
              <w:t xml:space="preserve">is also </w:t>
            </w:r>
            <w:r w:rsidR="007B6109">
              <w:t>over stated</w:t>
            </w:r>
            <w:r w:rsidR="00C1540B">
              <w:t>.</w:t>
            </w:r>
            <w:r w:rsidR="007B6109">
              <w:t xml:space="preserve"> </w:t>
            </w:r>
            <w:r>
              <w:t xml:space="preserve">There are examples where national licences stipulate operational constraints on the amateur service (geographic, time of operation etc.) </w:t>
            </w:r>
            <w:r w:rsidR="007B6109">
              <w:t>and these</w:t>
            </w:r>
            <w:r>
              <w:t xml:space="preserve"> are easily administered without any undue burden.</w:t>
            </w:r>
            <w:r w:rsidR="00164224">
              <w:t xml:space="preserve"> The amat</w:t>
            </w:r>
            <w:r w:rsidR="00BA2512">
              <w:t>eur service has always collaborated on</w:t>
            </w:r>
            <w:r w:rsidR="00164224">
              <w:t xml:space="preserve"> any such </w:t>
            </w:r>
            <w:r w:rsidR="00BA2512">
              <w:t xml:space="preserve">issues, has respected any such </w:t>
            </w:r>
            <w:r w:rsidR="00164224">
              <w:t>restrictions and will continue to do so</w:t>
            </w:r>
            <w:r w:rsidR="00BA2512">
              <w:t>, including amending its band plans if the studies in CEPT conclude that this is required</w:t>
            </w:r>
            <w:r w:rsidR="00164224">
              <w:t>.</w:t>
            </w:r>
          </w:p>
          <w:p w:rsidR="007B6109" w:rsidRPr="00263FFB" w:rsidRDefault="007601CE" w:rsidP="007B6109">
            <w:pPr>
              <w:pStyle w:val="ECCNumberedList"/>
            </w:pPr>
            <w:r>
              <w:t>IARU</w:t>
            </w:r>
            <w:r w:rsidR="002B6D5A" w:rsidRPr="00000B78">
              <w:t xml:space="preserve"> believes that the preliminary </w:t>
            </w:r>
            <w:r w:rsidR="002B6D5A">
              <w:t xml:space="preserve">measurement </w:t>
            </w:r>
            <w:r w:rsidR="002B6D5A" w:rsidRPr="00000B78">
              <w:t xml:space="preserve">studies presented </w:t>
            </w:r>
            <w:r w:rsidR="002B6D5A">
              <w:t xml:space="preserve">in PTA </w:t>
            </w:r>
            <w:r w:rsidR="002B6D5A" w:rsidRPr="00000B78">
              <w:t xml:space="preserve">warrant more detailed consideration and already offer </w:t>
            </w:r>
            <w:r w:rsidR="00C8536C">
              <w:t xml:space="preserve">the </w:t>
            </w:r>
            <w:r w:rsidR="002B6D5A" w:rsidRPr="00000B78">
              <w:t>potential for developing opportunities for inter-service coexistence that does not warrant WRC action.</w:t>
            </w:r>
          </w:p>
        </w:tc>
      </w:tr>
    </w:tbl>
    <w:p w:rsidR="00613AF1" w:rsidRDefault="00613AF1"/>
    <w:sectPr w:rsidR="00613AF1"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F5708" w16cid:durableId="20F3D2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12" w:rsidRDefault="00BA2512" w:rsidP="00DB17F9">
      <w:r>
        <w:separator/>
      </w:r>
    </w:p>
    <w:p w:rsidR="00BA2512" w:rsidRDefault="00BA2512"/>
  </w:endnote>
  <w:endnote w:type="continuationSeparator" w:id="0">
    <w:p w:rsidR="00BA2512" w:rsidRDefault="00BA2512" w:rsidP="00DB17F9">
      <w:r>
        <w:continuationSeparator/>
      </w:r>
    </w:p>
    <w:p w:rsidR="00BA2512" w:rsidRDefault="00BA2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12" w:rsidRPr="00F51BD6" w:rsidRDefault="00BA2512" w:rsidP="00CD07E7">
      <w:pPr>
        <w:spacing w:before="120" w:after="0"/>
      </w:pPr>
      <w:r>
        <w:separator/>
      </w:r>
    </w:p>
  </w:footnote>
  <w:footnote w:type="continuationSeparator" w:id="0">
    <w:p w:rsidR="00BA2512" w:rsidRDefault="00BA2512" w:rsidP="00CD07E7">
      <w:pPr>
        <w:spacing w:before="120" w:after="0"/>
      </w:pPr>
      <w:r>
        <w:continuationSeparator/>
      </w:r>
    </w:p>
  </w:footnote>
  <w:footnote w:type="continuationNotice" w:id="1">
    <w:p w:rsidR="00BA2512" w:rsidRPr="00CD07E7" w:rsidRDefault="00BA2512"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12" w:rsidRPr="00AD1BE1" w:rsidRDefault="00BA2512" w:rsidP="00AD1BE1">
    <w:pPr>
      <w:pStyle w:val="ECCpageHeader"/>
    </w:pPr>
    <w:r w:rsidRPr="00AD1BE1">
      <w:t xml:space="preserve">ECC REPORT &lt;No&gt; - Page </w:t>
    </w:r>
    <w:r w:rsidR="00193274">
      <w:fldChar w:fldCharType="begin"/>
    </w:r>
    <w:r w:rsidR="00193274">
      <w:instrText xml:space="preserve"> PAGE  \* Arabic  \* MERGEFORMAT </w:instrText>
    </w:r>
    <w:r w:rsidR="00193274">
      <w:fldChar w:fldCharType="separate"/>
    </w:r>
    <w:r>
      <w:rPr>
        <w:noProof/>
      </w:rPr>
      <w:t>2</w:t>
    </w:r>
    <w:r w:rsidR="0019327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12" w:rsidRPr="00714F0F" w:rsidRDefault="00BA2512" w:rsidP="00714F0F">
    <w:pPr>
      <w:pStyle w:val="ECCpageHeader"/>
    </w:pPr>
    <w:r w:rsidRPr="00714F0F">
      <w:tab/>
      <w:t xml:space="preserve">Page </w:t>
    </w:r>
    <w:r w:rsidR="00193274">
      <w:fldChar w:fldCharType="begin"/>
    </w:r>
    <w:r w:rsidR="00193274">
      <w:instrText xml:space="preserve"> PAGE  \* Arabic  \* MERGEFORMAT </w:instrText>
    </w:r>
    <w:r w:rsidR="00193274">
      <w:fldChar w:fldCharType="separate"/>
    </w:r>
    <w:r w:rsidR="00193274">
      <w:rPr>
        <w:noProof/>
      </w:rPr>
      <w:t>2</w:t>
    </w:r>
    <w:r w:rsidR="00193274">
      <w:rPr>
        <w:noProof/>
      </w:rPr>
      <w:fldChar w:fldCharType="end"/>
    </w:r>
  </w:p>
  <w:p w:rsidR="00BA2512" w:rsidRDefault="00BA25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5pt;height:59.1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623A0F55"/>
    <w:multiLevelType w:val="hybridMultilevel"/>
    <w:tmpl w:val="D1E0287A"/>
    <w:lvl w:ilvl="0" w:tplc="18090001">
      <w:start w:val="1"/>
      <w:numFmt w:val="bullet"/>
      <w:lvlText w:val=""/>
      <w:lvlJc w:val="left"/>
      <w:pPr>
        <w:ind w:left="1189" w:hanging="360"/>
      </w:pPr>
      <w:rPr>
        <w:rFonts w:ascii="Symbol" w:hAnsi="Symbol" w:hint="default"/>
      </w:rPr>
    </w:lvl>
    <w:lvl w:ilvl="1" w:tplc="18090003" w:tentative="1">
      <w:start w:val="1"/>
      <w:numFmt w:val="bullet"/>
      <w:lvlText w:val="o"/>
      <w:lvlJc w:val="left"/>
      <w:pPr>
        <w:ind w:left="1909" w:hanging="360"/>
      </w:pPr>
      <w:rPr>
        <w:rFonts w:ascii="Courier New" w:hAnsi="Courier New" w:cs="Courier New" w:hint="default"/>
      </w:rPr>
    </w:lvl>
    <w:lvl w:ilvl="2" w:tplc="18090005" w:tentative="1">
      <w:start w:val="1"/>
      <w:numFmt w:val="bullet"/>
      <w:lvlText w:val=""/>
      <w:lvlJc w:val="left"/>
      <w:pPr>
        <w:ind w:left="2629" w:hanging="360"/>
      </w:pPr>
      <w:rPr>
        <w:rFonts w:ascii="Wingdings" w:hAnsi="Wingdings" w:hint="default"/>
      </w:rPr>
    </w:lvl>
    <w:lvl w:ilvl="3" w:tplc="18090001" w:tentative="1">
      <w:start w:val="1"/>
      <w:numFmt w:val="bullet"/>
      <w:lvlText w:val=""/>
      <w:lvlJc w:val="left"/>
      <w:pPr>
        <w:ind w:left="3349" w:hanging="360"/>
      </w:pPr>
      <w:rPr>
        <w:rFonts w:ascii="Symbol" w:hAnsi="Symbol" w:hint="default"/>
      </w:rPr>
    </w:lvl>
    <w:lvl w:ilvl="4" w:tplc="18090003" w:tentative="1">
      <w:start w:val="1"/>
      <w:numFmt w:val="bullet"/>
      <w:lvlText w:val="o"/>
      <w:lvlJc w:val="left"/>
      <w:pPr>
        <w:ind w:left="4069" w:hanging="360"/>
      </w:pPr>
      <w:rPr>
        <w:rFonts w:ascii="Courier New" w:hAnsi="Courier New" w:cs="Courier New" w:hint="default"/>
      </w:rPr>
    </w:lvl>
    <w:lvl w:ilvl="5" w:tplc="18090005" w:tentative="1">
      <w:start w:val="1"/>
      <w:numFmt w:val="bullet"/>
      <w:lvlText w:val=""/>
      <w:lvlJc w:val="left"/>
      <w:pPr>
        <w:ind w:left="4789" w:hanging="360"/>
      </w:pPr>
      <w:rPr>
        <w:rFonts w:ascii="Wingdings" w:hAnsi="Wingdings" w:hint="default"/>
      </w:rPr>
    </w:lvl>
    <w:lvl w:ilvl="6" w:tplc="18090001" w:tentative="1">
      <w:start w:val="1"/>
      <w:numFmt w:val="bullet"/>
      <w:lvlText w:val=""/>
      <w:lvlJc w:val="left"/>
      <w:pPr>
        <w:ind w:left="5509" w:hanging="360"/>
      </w:pPr>
      <w:rPr>
        <w:rFonts w:ascii="Symbol" w:hAnsi="Symbol" w:hint="default"/>
      </w:rPr>
    </w:lvl>
    <w:lvl w:ilvl="7" w:tplc="18090003" w:tentative="1">
      <w:start w:val="1"/>
      <w:numFmt w:val="bullet"/>
      <w:lvlText w:val="o"/>
      <w:lvlJc w:val="left"/>
      <w:pPr>
        <w:ind w:left="6229" w:hanging="360"/>
      </w:pPr>
      <w:rPr>
        <w:rFonts w:ascii="Courier New" w:hAnsi="Courier New" w:cs="Courier New" w:hint="default"/>
      </w:rPr>
    </w:lvl>
    <w:lvl w:ilvl="8" w:tplc="18090005" w:tentative="1">
      <w:start w:val="1"/>
      <w:numFmt w:val="bullet"/>
      <w:lvlText w:val=""/>
      <w:lvlJc w:val="left"/>
      <w:pPr>
        <w:ind w:left="6949" w:hanging="360"/>
      </w:pPr>
      <w:rPr>
        <w:rFonts w:ascii="Wingdings" w:hAnsi="Wingdings" w:hint="default"/>
      </w:rPr>
    </w:lvl>
  </w:abstractNum>
  <w:abstractNum w:abstractNumId="9" w15:restartNumberingAfterBreak="0">
    <w:nsid w:val="6583238F"/>
    <w:multiLevelType w:val="hybridMultilevel"/>
    <w:tmpl w:val="2646D630"/>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9"/>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BE"/>
    <w:rsid w:val="00000B78"/>
    <w:rsid w:val="0001112E"/>
    <w:rsid w:val="00012E3B"/>
    <w:rsid w:val="0003499D"/>
    <w:rsid w:val="0003756B"/>
    <w:rsid w:val="00041A18"/>
    <w:rsid w:val="00055C4D"/>
    <w:rsid w:val="00067793"/>
    <w:rsid w:val="00080D4D"/>
    <w:rsid w:val="00082DD7"/>
    <w:rsid w:val="000954A1"/>
    <w:rsid w:val="00095620"/>
    <w:rsid w:val="000A3940"/>
    <w:rsid w:val="000B6D45"/>
    <w:rsid w:val="000C028F"/>
    <w:rsid w:val="000D1710"/>
    <w:rsid w:val="000D43BB"/>
    <w:rsid w:val="000E42F5"/>
    <w:rsid w:val="000F0594"/>
    <w:rsid w:val="000F0CA8"/>
    <w:rsid w:val="000F24F5"/>
    <w:rsid w:val="000F2ED9"/>
    <w:rsid w:val="001006CA"/>
    <w:rsid w:val="00100F8B"/>
    <w:rsid w:val="00102172"/>
    <w:rsid w:val="00110652"/>
    <w:rsid w:val="001526A2"/>
    <w:rsid w:val="00154F16"/>
    <w:rsid w:val="00156314"/>
    <w:rsid w:val="0015665B"/>
    <w:rsid w:val="00164224"/>
    <w:rsid w:val="0016577F"/>
    <w:rsid w:val="00172B28"/>
    <w:rsid w:val="00183FE0"/>
    <w:rsid w:val="0018553F"/>
    <w:rsid w:val="00193274"/>
    <w:rsid w:val="00195467"/>
    <w:rsid w:val="001A5923"/>
    <w:rsid w:val="001B0583"/>
    <w:rsid w:val="001C30A8"/>
    <w:rsid w:val="001D1BD5"/>
    <w:rsid w:val="001F5B5F"/>
    <w:rsid w:val="0020079A"/>
    <w:rsid w:val="00222F9E"/>
    <w:rsid w:val="002302A9"/>
    <w:rsid w:val="00253E4D"/>
    <w:rsid w:val="00263FFB"/>
    <w:rsid w:val="00274F84"/>
    <w:rsid w:val="0027752F"/>
    <w:rsid w:val="0027787F"/>
    <w:rsid w:val="0028060B"/>
    <w:rsid w:val="0028120C"/>
    <w:rsid w:val="00283417"/>
    <w:rsid w:val="00285DF1"/>
    <w:rsid w:val="00295827"/>
    <w:rsid w:val="00295F16"/>
    <w:rsid w:val="00296C44"/>
    <w:rsid w:val="002A033F"/>
    <w:rsid w:val="002B34F9"/>
    <w:rsid w:val="002B6D5A"/>
    <w:rsid w:val="002C6DC3"/>
    <w:rsid w:val="002D1FA9"/>
    <w:rsid w:val="002D204E"/>
    <w:rsid w:val="002D50A3"/>
    <w:rsid w:val="003007C0"/>
    <w:rsid w:val="00307A79"/>
    <w:rsid w:val="003204D5"/>
    <w:rsid w:val="00320ED0"/>
    <w:rsid w:val="00322E6A"/>
    <w:rsid w:val="003314A0"/>
    <w:rsid w:val="003514C9"/>
    <w:rsid w:val="00374C94"/>
    <w:rsid w:val="00381169"/>
    <w:rsid w:val="0038287C"/>
    <w:rsid w:val="0038358E"/>
    <w:rsid w:val="00387DDE"/>
    <w:rsid w:val="00391A01"/>
    <w:rsid w:val="003A0EB5"/>
    <w:rsid w:val="003A286D"/>
    <w:rsid w:val="003A5711"/>
    <w:rsid w:val="003A67FB"/>
    <w:rsid w:val="003B7FD8"/>
    <w:rsid w:val="003C64D9"/>
    <w:rsid w:val="003D4276"/>
    <w:rsid w:val="003E2E42"/>
    <w:rsid w:val="003E70E0"/>
    <w:rsid w:val="003F456A"/>
    <w:rsid w:val="00403CE6"/>
    <w:rsid w:val="00404220"/>
    <w:rsid w:val="004110CA"/>
    <w:rsid w:val="0041160E"/>
    <w:rsid w:val="0042761F"/>
    <w:rsid w:val="00431162"/>
    <w:rsid w:val="00441EE0"/>
    <w:rsid w:val="00443482"/>
    <w:rsid w:val="00450308"/>
    <w:rsid w:val="0045724A"/>
    <w:rsid w:val="00457AD1"/>
    <w:rsid w:val="0046427F"/>
    <w:rsid w:val="004653AC"/>
    <w:rsid w:val="00485665"/>
    <w:rsid w:val="00491977"/>
    <w:rsid w:val="004A1329"/>
    <w:rsid w:val="004B15A2"/>
    <w:rsid w:val="004C4A2E"/>
    <w:rsid w:val="004E057E"/>
    <w:rsid w:val="004E44C8"/>
    <w:rsid w:val="004E53BE"/>
    <w:rsid w:val="004E7F82"/>
    <w:rsid w:val="004F203E"/>
    <w:rsid w:val="004F3EA9"/>
    <w:rsid w:val="00501992"/>
    <w:rsid w:val="0053062A"/>
    <w:rsid w:val="00535050"/>
    <w:rsid w:val="00536F3C"/>
    <w:rsid w:val="0054260E"/>
    <w:rsid w:val="00550D79"/>
    <w:rsid w:val="005559AC"/>
    <w:rsid w:val="00555FB3"/>
    <w:rsid w:val="00556C8C"/>
    <w:rsid w:val="00557B5A"/>
    <w:rsid w:val="005611D0"/>
    <w:rsid w:val="00563970"/>
    <w:rsid w:val="00564DE1"/>
    <w:rsid w:val="00566BD4"/>
    <w:rsid w:val="00576411"/>
    <w:rsid w:val="00577CAF"/>
    <w:rsid w:val="00580223"/>
    <w:rsid w:val="00594186"/>
    <w:rsid w:val="005A05D1"/>
    <w:rsid w:val="005A53B8"/>
    <w:rsid w:val="005B202B"/>
    <w:rsid w:val="005B5843"/>
    <w:rsid w:val="005C10EB"/>
    <w:rsid w:val="005C2301"/>
    <w:rsid w:val="005C48FC"/>
    <w:rsid w:val="005C5A96"/>
    <w:rsid w:val="005D371D"/>
    <w:rsid w:val="005E7495"/>
    <w:rsid w:val="005F70C5"/>
    <w:rsid w:val="00613AF1"/>
    <w:rsid w:val="00621C12"/>
    <w:rsid w:val="00623E18"/>
    <w:rsid w:val="00625C5D"/>
    <w:rsid w:val="00626EA3"/>
    <w:rsid w:val="00635A22"/>
    <w:rsid w:val="00642083"/>
    <w:rsid w:val="0065550D"/>
    <w:rsid w:val="00664295"/>
    <w:rsid w:val="00665364"/>
    <w:rsid w:val="00667B35"/>
    <w:rsid w:val="00673A9B"/>
    <w:rsid w:val="006876A8"/>
    <w:rsid w:val="00697820"/>
    <w:rsid w:val="006A1D28"/>
    <w:rsid w:val="006A49E3"/>
    <w:rsid w:val="006B1EFD"/>
    <w:rsid w:val="006C14E4"/>
    <w:rsid w:val="006C6DA8"/>
    <w:rsid w:val="006C7F61"/>
    <w:rsid w:val="006D407F"/>
    <w:rsid w:val="006D54EE"/>
    <w:rsid w:val="006F0442"/>
    <w:rsid w:val="00714F0F"/>
    <w:rsid w:val="007160BE"/>
    <w:rsid w:val="00722F65"/>
    <w:rsid w:val="007257CD"/>
    <w:rsid w:val="00734A4F"/>
    <w:rsid w:val="007414C6"/>
    <w:rsid w:val="007601CE"/>
    <w:rsid w:val="00762BCC"/>
    <w:rsid w:val="00763BA3"/>
    <w:rsid w:val="00765B66"/>
    <w:rsid w:val="00767BB2"/>
    <w:rsid w:val="0077159C"/>
    <w:rsid w:val="00776D23"/>
    <w:rsid w:val="00780376"/>
    <w:rsid w:val="00780EE3"/>
    <w:rsid w:val="00790D9B"/>
    <w:rsid w:val="00791AAC"/>
    <w:rsid w:val="00797D4C"/>
    <w:rsid w:val="00797DEE"/>
    <w:rsid w:val="007A7315"/>
    <w:rsid w:val="007B3AC1"/>
    <w:rsid w:val="007B6109"/>
    <w:rsid w:val="007C0E7E"/>
    <w:rsid w:val="007C4098"/>
    <w:rsid w:val="007D17C5"/>
    <w:rsid w:val="007D52EC"/>
    <w:rsid w:val="007F1CEE"/>
    <w:rsid w:val="00837537"/>
    <w:rsid w:val="00842766"/>
    <w:rsid w:val="008505E7"/>
    <w:rsid w:val="00854EBF"/>
    <w:rsid w:val="0086094D"/>
    <w:rsid w:val="00872382"/>
    <w:rsid w:val="00872E35"/>
    <w:rsid w:val="00886906"/>
    <w:rsid w:val="008912FE"/>
    <w:rsid w:val="008A245D"/>
    <w:rsid w:val="008A54FC"/>
    <w:rsid w:val="008B70CD"/>
    <w:rsid w:val="008D141C"/>
    <w:rsid w:val="008D2C13"/>
    <w:rsid w:val="008D4DA2"/>
    <w:rsid w:val="008E476A"/>
    <w:rsid w:val="008E6109"/>
    <w:rsid w:val="008F1D51"/>
    <w:rsid w:val="008F47AB"/>
    <w:rsid w:val="009170EA"/>
    <w:rsid w:val="0092076F"/>
    <w:rsid w:val="00930439"/>
    <w:rsid w:val="00937AEB"/>
    <w:rsid w:val="00946C06"/>
    <w:rsid w:val="009552EC"/>
    <w:rsid w:val="009662E3"/>
    <w:rsid w:val="00966DD9"/>
    <w:rsid w:val="00971BFE"/>
    <w:rsid w:val="00986677"/>
    <w:rsid w:val="0099421C"/>
    <w:rsid w:val="00994CA7"/>
    <w:rsid w:val="009A2F3A"/>
    <w:rsid w:val="009A7A45"/>
    <w:rsid w:val="009C3803"/>
    <w:rsid w:val="009D2C13"/>
    <w:rsid w:val="009D3BA5"/>
    <w:rsid w:val="009D4BA1"/>
    <w:rsid w:val="009D7D5A"/>
    <w:rsid w:val="009E239F"/>
    <w:rsid w:val="009E2CAD"/>
    <w:rsid w:val="009E47EB"/>
    <w:rsid w:val="009E4DC8"/>
    <w:rsid w:val="009F3A37"/>
    <w:rsid w:val="009F6EA2"/>
    <w:rsid w:val="00A02090"/>
    <w:rsid w:val="00A03731"/>
    <w:rsid w:val="00A061CE"/>
    <w:rsid w:val="00A076B5"/>
    <w:rsid w:val="00A17F69"/>
    <w:rsid w:val="00A203C9"/>
    <w:rsid w:val="00A23870"/>
    <w:rsid w:val="00A246E4"/>
    <w:rsid w:val="00A260AB"/>
    <w:rsid w:val="00A274DB"/>
    <w:rsid w:val="00A320F7"/>
    <w:rsid w:val="00A41E1E"/>
    <w:rsid w:val="00A6411D"/>
    <w:rsid w:val="00A73298"/>
    <w:rsid w:val="00A751C0"/>
    <w:rsid w:val="00A91E99"/>
    <w:rsid w:val="00A95ACB"/>
    <w:rsid w:val="00A97942"/>
    <w:rsid w:val="00AA079B"/>
    <w:rsid w:val="00AA086A"/>
    <w:rsid w:val="00AC0B74"/>
    <w:rsid w:val="00AC0EA5"/>
    <w:rsid w:val="00AC2686"/>
    <w:rsid w:val="00AD1BE1"/>
    <w:rsid w:val="00AD7257"/>
    <w:rsid w:val="00AF2D0C"/>
    <w:rsid w:val="00AF4C0E"/>
    <w:rsid w:val="00B14E5E"/>
    <w:rsid w:val="00B25910"/>
    <w:rsid w:val="00B26973"/>
    <w:rsid w:val="00B30D3B"/>
    <w:rsid w:val="00B36FA6"/>
    <w:rsid w:val="00B432D4"/>
    <w:rsid w:val="00B5315C"/>
    <w:rsid w:val="00B576D7"/>
    <w:rsid w:val="00B77B38"/>
    <w:rsid w:val="00B80892"/>
    <w:rsid w:val="00B82735"/>
    <w:rsid w:val="00B92306"/>
    <w:rsid w:val="00B92861"/>
    <w:rsid w:val="00BA2512"/>
    <w:rsid w:val="00BA68BE"/>
    <w:rsid w:val="00BA7A69"/>
    <w:rsid w:val="00BB15E2"/>
    <w:rsid w:val="00BD28DF"/>
    <w:rsid w:val="00BD6876"/>
    <w:rsid w:val="00BE2864"/>
    <w:rsid w:val="00C00565"/>
    <w:rsid w:val="00C02F30"/>
    <w:rsid w:val="00C076BF"/>
    <w:rsid w:val="00C1540B"/>
    <w:rsid w:val="00C212B5"/>
    <w:rsid w:val="00C25F81"/>
    <w:rsid w:val="00C27F02"/>
    <w:rsid w:val="00C44908"/>
    <w:rsid w:val="00C504F4"/>
    <w:rsid w:val="00C512DE"/>
    <w:rsid w:val="00C57E85"/>
    <w:rsid w:val="00C65BB4"/>
    <w:rsid w:val="00C8071C"/>
    <w:rsid w:val="00C816CB"/>
    <w:rsid w:val="00C82461"/>
    <w:rsid w:val="00C8536C"/>
    <w:rsid w:val="00C90F24"/>
    <w:rsid w:val="00C91E3B"/>
    <w:rsid w:val="00C96104"/>
    <w:rsid w:val="00CA07CC"/>
    <w:rsid w:val="00CA25B5"/>
    <w:rsid w:val="00CA4FCE"/>
    <w:rsid w:val="00CA5F8F"/>
    <w:rsid w:val="00CA6B5E"/>
    <w:rsid w:val="00CB4640"/>
    <w:rsid w:val="00CC5A6F"/>
    <w:rsid w:val="00CD07E7"/>
    <w:rsid w:val="00CE271A"/>
    <w:rsid w:val="00CE6FF5"/>
    <w:rsid w:val="00CF5245"/>
    <w:rsid w:val="00D06683"/>
    <w:rsid w:val="00D07B1A"/>
    <w:rsid w:val="00D1167E"/>
    <w:rsid w:val="00D234E7"/>
    <w:rsid w:val="00D30E46"/>
    <w:rsid w:val="00D361DE"/>
    <w:rsid w:val="00D3663D"/>
    <w:rsid w:val="00D4349F"/>
    <w:rsid w:val="00D47EF6"/>
    <w:rsid w:val="00D50AC8"/>
    <w:rsid w:val="00D60A44"/>
    <w:rsid w:val="00D7390F"/>
    <w:rsid w:val="00D74F04"/>
    <w:rsid w:val="00D90913"/>
    <w:rsid w:val="00D92BEC"/>
    <w:rsid w:val="00DA18F2"/>
    <w:rsid w:val="00DB17F9"/>
    <w:rsid w:val="00DB3D71"/>
    <w:rsid w:val="00DD6973"/>
    <w:rsid w:val="00DF2C67"/>
    <w:rsid w:val="00DF3AE2"/>
    <w:rsid w:val="00DF5C1D"/>
    <w:rsid w:val="00DF7D21"/>
    <w:rsid w:val="00E02F08"/>
    <w:rsid w:val="00E03771"/>
    <w:rsid w:val="00E041C9"/>
    <w:rsid w:val="00E059C5"/>
    <w:rsid w:val="00E11D7E"/>
    <w:rsid w:val="00E14334"/>
    <w:rsid w:val="00E17348"/>
    <w:rsid w:val="00E2303A"/>
    <w:rsid w:val="00E343BD"/>
    <w:rsid w:val="00E348D9"/>
    <w:rsid w:val="00E36601"/>
    <w:rsid w:val="00E46600"/>
    <w:rsid w:val="00E60351"/>
    <w:rsid w:val="00E668CE"/>
    <w:rsid w:val="00E71AE7"/>
    <w:rsid w:val="00E752E6"/>
    <w:rsid w:val="00E830A7"/>
    <w:rsid w:val="00EA2ED5"/>
    <w:rsid w:val="00EA6088"/>
    <w:rsid w:val="00EC1A2C"/>
    <w:rsid w:val="00ED2C10"/>
    <w:rsid w:val="00F212EB"/>
    <w:rsid w:val="00F23D13"/>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6E2923"/>
  <w15:docId w15:val="{5023A673-B4D5-4D5D-8224-C02FAF35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rPr>
  </w:style>
  <w:style w:type="character" w:styleId="Funotenzeichen">
    <w:name w:val="footnote reference"/>
    <w:aliases w:val="ECC Footnote number"/>
    <w:basedOn w:val="Absatz-Standardschriftart"/>
    <w:uiPriority w:val="99"/>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all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BesuchterLink">
    <w:name w:val="FollowedHyperlink"/>
    <w:basedOn w:val="Absatz-Standardschriftart"/>
    <w:uiPriority w:val="99"/>
    <w:semiHidden/>
    <w:unhideWhenUsed/>
    <w:locked/>
    <w:rsid w:val="00164224"/>
    <w:rPr>
      <w:color w:val="800080" w:themeColor="followedHyperlink"/>
      <w:u w:val="single"/>
    </w:rPr>
  </w:style>
  <w:style w:type="character" w:styleId="Kommentarzeichen">
    <w:name w:val="annotation reference"/>
    <w:basedOn w:val="Absatz-Standardschriftart"/>
    <w:uiPriority w:val="99"/>
    <w:semiHidden/>
    <w:unhideWhenUsed/>
    <w:locked/>
    <w:rsid w:val="00164224"/>
    <w:rPr>
      <w:sz w:val="16"/>
      <w:szCs w:val="16"/>
    </w:rPr>
  </w:style>
  <w:style w:type="paragraph" w:styleId="Kommentartext">
    <w:name w:val="annotation text"/>
    <w:basedOn w:val="Standard"/>
    <w:link w:val="KommentartextZchn"/>
    <w:uiPriority w:val="99"/>
    <w:semiHidden/>
    <w:unhideWhenUsed/>
    <w:locked/>
    <w:rsid w:val="00164224"/>
    <w:rPr>
      <w:szCs w:val="20"/>
    </w:rPr>
  </w:style>
  <w:style w:type="character" w:customStyle="1" w:styleId="KommentartextZchn">
    <w:name w:val="Kommentartext Zchn"/>
    <w:basedOn w:val="Absatz-Standardschriftart"/>
    <w:link w:val="Kommentartext"/>
    <w:uiPriority w:val="99"/>
    <w:semiHidden/>
    <w:rsid w:val="00164224"/>
    <w:rPr>
      <w:rFonts w:eastAsia="Calibri"/>
      <w:lang w:val="en-GB"/>
    </w:rPr>
  </w:style>
  <w:style w:type="paragraph" w:styleId="Kommentarthema">
    <w:name w:val="annotation subject"/>
    <w:basedOn w:val="Kommentartext"/>
    <w:next w:val="Kommentartext"/>
    <w:link w:val="KommentarthemaZchn"/>
    <w:uiPriority w:val="99"/>
    <w:semiHidden/>
    <w:unhideWhenUsed/>
    <w:locked/>
    <w:rsid w:val="00164224"/>
    <w:rPr>
      <w:b/>
      <w:bCs/>
    </w:rPr>
  </w:style>
  <w:style w:type="character" w:customStyle="1" w:styleId="KommentarthemaZchn">
    <w:name w:val="Kommentarthema Zchn"/>
    <w:basedOn w:val="KommentartextZchn"/>
    <w:link w:val="Kommentarthema"/>
    <w:uiPriority w:val="99"/>
    <w:semiHidden/>
    <w:rsid w:val="00164224"/>
    <w:rPr>
      <w:rFonts w:eastAsia="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aru-r1.org/index.php/web-links-sp-9996167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5AB2-414A-4599-8E9E-4359C3C5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4603</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stella.lyubchenko@eco.cept.org</Manager>
  <Company>ECO</Company>
  <LinksUpToDate>false</LinksUpToDate>
  <CharactersWithSpaces>5323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CPG Secretary</cp:lastModifiedBy>
  <cp:revision>2</cp:revision>
  <cp:lastPrinted>1901-01-01T00:00:00Z</cp:lastPrinted>
  <dcterms:created xsi:type="dcterms:W3CDTF">2019-08-13T22:07:00Z</dcterms:created>
  <dcterms:modified xsi:type="dcterms:W3CDTF">2019-08-13T22:07:00Z</dcterms:modified>
  <cp:category>protected templates</cp:category>
  <cp:contentStatus>Revision 19.10.2014</cp:contentStatus>
</cp:coreProperties>
</file>