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772" w:type="dxa"/>
        <w:tblInd w:w="-72" w:type="dxa"/>
        <w:tblLayout w:type="fixed"/>
        <w:tblCellMar>
          <w:left w:w="70" w:type="dxa"/>
          <w:right w:w="70" w:type="dxa"/>
        </w:tblCellMar>
        <w:tblLook w:val="0000" w:firstRow="0" w:lastRow="0" w:firstColumn="0" w:lastColumn="0" w:noHBand="0" w:noVBand="0"/>
      </w:tblPr>
      <w:tblGrid>
        <w:gridCol w:w="1836"/>
        <w:gridCol w:w="2701"/>
        <w:gridCol w:w="1724"/>
        <w:gridCol w:w="3511"/>
      </w:tblGrid>
      <w:tr w:rsidR="00346C62" w:rsidRPr="0098621D" w14:paraId="20944D9D" w14:textId="77777777" w:rsidTr="009C7500">
        <w:trPr>
          <w:cantSplit/>
        </w:trPr>
        <w:tc>
          <w:tcPr>
            <w:tcW w:w="6261" w:type="dxa"/>
            <w:gridSpan w:val="3"/>
            <w:tcBorders>
              <w:top w:val="nil"/>
              <w:left w:val="nil"/>
              <w:bottom w:val="nil"/>
              <w:right w:val="nil"/>
            </w:tcBorders>
          </w:tcPr>
          <w:p w14:paraId="15D7E427" w14:textId="77777777" w:rsidR="00346C62" w:rsidRPr="0098621D" w:rsidRDefault="001C5966" w:rsidP="00215746">
            <w:pPr>
              <w:pStyle w:val="Kopfzeile1"/>
            </w:pPr>
            <w:r>
              <w:rPr>
                <w:noProof/>
                <w:lang w:val="fr-FR" w:eastAsia="fr-FR"/>
              </w:rPr>
              <w:drawing>
                <wp:inline distT="0" distB="0" distL="0" distR="0" wp14:anchorId="570CAD1F" wp14:editId="1C5A618B">
                  <wp:extent cx="1619250" cy="8286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p>
          <w:p w14:paraId="16587A3F" w14:textId="77777777" w:rsidR="00346C62" w:rsidRPr="0098621D" w:rsidRDefault="00346C62" w:rsidP="00215746">
            <w:pPr>
              <w:pStyle w:val="Kopfzeile1"/>
              <w:rPr>
                <w:rFonts w:cs="Arial"/>
                <w:color w:val="000000"/>
                <w:lang w:val="en-GB"/>
              </w:rPr>
            </w:pPr>
          </w:p>
        </w:tc>
        <w:tc>
          <w:tcPr>
            <w:tcW w:w="3511" w:type="dxa"/>
            <w:tcBorders>
              <w:top w:val="nil"/>
              <w:left w:val="nil"/>
              <w:bottom w:val="nil"/>
              <w:right w:val="nil"/>
            </w:tcBorders>
          </w:tcPr>
          <w:p w14:paraId="5B5680B4" w14:textId="763C4AC5" w:rsidR="00346C62" w:rsidRPr="00346C62" w:rsidRDefault="00053F4E" w:rsidP="00024432">
            <w:pPr>
              <w:pStyle w:val="Kopfzeile1"/>
              <w:tabs>
                <w:tab w:val="clear" w:pos="4536"/>
                <w:tab w:val="right" w:pos="3357"/>
              </w:tabs>
              <w:jc w:val="right"/>
            </w:pPr>
            <w:r>
              <w:t>ECC PT1</w:t>
            </w:r>
            <w:r w:rsidR="00501798">
              <w:t>(1</w:t>
            </w:r>
            <w:r w:rsidR="000F3F32">
              <w:t>6</w:t>
            </w:r>
            <w:r w:rsidR="00501798">
              <w:t>)</w:t>
            </w:r>
            <w:r w:rsidR="00024432">
              <w:t>025</w:t>
            </w:r>
            <w:bookmarkStart w:id="0" w:name="_GoBack"/>
            <w:bookmarkEnd w:id="0"/>
          </w:p>
        </w:tc>
      </w:tr>
      <w:tr w:rsidR="00346C62" w:rsidRPr="0098621D" w14:paraId="405E74B2" w14:textId="77777777" w:rsidTr="009C7500">
        <w:tblPrEx>
          <w:tblCellMar>
            <w:left w:w="108" w:type="dxa"/>
            <w:right w:w="108" w:type="dxa"/>
          </w:tblCellMar>
        </w:tblPrEx>
        <w:trPr>
          <w:cantSplit/>
          <w:trHeight w:val="405"/>
        </w:trPr>
        <w:tc>
          <w:tcPr>
            <w:tcW w:w="4537" w:type="dxa"/>
            <w:gridSpan w:val="2"/>
            <w:tcBorders>
              <w:top w:val="nil"/>
              <w:left w:val="nil"/>
              <w:bottom w:val="nil"/>
              <w:right w:val="nil"/>
            </w:tcBorders>
            <w:vAlign w:val="center"/>
          </w:tcPr>
          <w:p w14:paraId="747239CD" w14:textId="77777777" w:rsidR="00346C62" w:rsidRPr="00D149DA" w:rsidRDefault="00053F4E" w:rsidP="00390143">
            <w:pPr>
              <w:pStyle w:val="Kopfzeile1"/>
              <w:rPr>
                <w:lang w:val="en-GB"/>
              </w:rPr>
            </w:pPr>
            <w:r>
              <w:rPr>
                <w:lang w:val="en-GB"/>
              </w:rPr>
              <w:t>ECC PT1</w:t>
            </w:r>
            <w:r w:rsidR="00501798">
              <w:rPr>
                <w:lang w:val="en-GB"/>
              </w:rPr>
              <w:t xml:space="preserve"> #</w:t>
            </w:r>
            <w:r w:rsidR="00B04F79">
              <w:rPr>
                <w:lang w:val="en-GB"/>
              </w:rPr>
              <w:t xml:space="preserve"> </w:t>
            </w:r>
            <w:r w:rsidR="00390143">
              <w:rPr>
                <w:lang w:val="en-GB"/>
              </w:rPr>
              <w:t>51</w:t>
            </w:r>
          </w:p>
        </w:tc>
        <w:tc>
          <w:tcPr>
            <w:tcW w:w="5235" w:type="dxa"/>
            <w:gridSpan w:val="2"/>
            <w:tcBorders>
              <w:top w:val="nil"/>
              <w:left w:val="nil"/>
              <w:bottom w:val="nil"/>
              <w:right w:val="nil"/>
            </w:tcBorders>
            <w:vAlign w:val="center"/>
          </w:tcPr>
          <w:p w14:paraId="5D206F66" w14:textId="77777777" w:rsidR="00346C62" w:rsidRPr="0098621D" w:rsidRDefault="00346C62" w:rsidP="00215746">
            <w:pPr>
              <w:pStyle w:val="Kopfzeile1"/>
              <w:rPr>
                <w:lang w:val="en-GB"/>
              </w:rPr>
            </w:pPr>
          </w:p>
        </w:tc>
      </w:tr>
      <w:tr w:rsidR="00346C62" w:rsidRPr="0098621D" w14:paraId="171A6DD5" w14:textId="77777777" w:rsidTr="009C7500">
        <w:tblPrEx>
          <w:tblCellMar>
            <w:left w:w="108" w:type="dxa"/>
            <w:right w:w="108" w:type="dxa"/>
          </w:tblCellMar>
        </w:tblPrEx>
        <w:trPr>
          <w:cantSplit/>
          <w:trHeight w:val="405"/>
        </w:trPr>
        <w:tc>
          <w:tcPr>
            <w:tcW w:w="4537" w:type="dxa"/>
            <w:gridSpan w:val="2"/>
            <w:tcBorders>
              <w:top w:val="nil"/>
              <w:left w:val="nil"/>
              <w:bottom w:val="nil"/>
              <w:right w:val="nil"/>
            </w:tcBorders>
            <w:vAlign w:val="center"/>
          </w:tcPr>
          <w:p w14:paraId="02AFA5F0" w14:textId="77777777" w:rsidR="00346C62" w:rsidRPr="00D149DA" w:rsidRDefault="00390143" w:rsidP="00390143">
            <w:pPr>
              <w:pStyle w:val="Kopfzeile1"/>
              <w:rPr>
                <w:lang w:val="en-GB"/>
              </w:rPr>
            </w:pPr>
            <w:r>
              <w:rPr>
                <w:lang w:val="en-GB"/>
              </w:rPr>
              <w:t>Helsinki</w:t>
            </w:r>
            <w:r w:rsidR="00600BA1">
              <w:rPr>
                <w:lang w:val="en-GB"/>
              </w:rPr>
              <w:t xml:space="preserve">, </w:t>
            </w:r>
            <w:r>
              <w:rPr>
                <w:lang w:val="en-GB"/>
              </w:rPr>
              <w:t>Finland</w:t>
            </w:r>
            <w:r w:rsidR="00600BA1">
              <w:rPr>
                <w:lang w:val="en-GB"/>
              </w:rPr>
              <w:t xml:space="preserve">, </w:t>
            </w:r>
            <w:r>
              <w:rPr>
                <w:lang w:val="en-GB"/>
              </w:rPr>
              <w:t>19-</w:t>
            </w:r>
            <w:r w:rsidR="00501798">
              <w:rPr>
                <w:lang w:val="en-GB"/>
              </w:rPr>
              <w:t>2</w:t>
            </w:r>
            <w:r w:rsidR="00B04F79">
              <w:rPr>
                <w:lang w:val="en-GB"/>
              </w:rPr>
              <w:t>1</w:t>
            </w:r>
            <w:r w:rsidR="00600BA1">
              <w:rPr>
                <w:lang w:val="en-GB"/>
              </w:rPr>
              <w:t xml:space="preserve"> </w:t>
            </w:r>
            <w:r>
              <w:rPr>
                <w:lang w:val="en-GB"/>
              </w:rPr>
              <w:t>January</w:t>
            </w:r>
            <w:r w:rsidR="00501798">
              <w:rPr>
                <w:lang w:val="en-GB"/>
              </w:rPr>
              <w:t xml:space="preserve"> 201</w:t>
            </w:r>
            <w:r>
              <w:rPr>
                <w:lang w:val="en-GB"/>
              </w:rPr>
              <w:t>6</w:t>
            </w:r>
          </w:p>
        </w:tc>
        <w:tc>
          <w:tcPr>
            <w:tcW w:w="5235" w:type="dxa"/>
            <w:gridSpan w:val="2"/>
            <w:tcBorders>
              <w:top w:val="nil"/>
              <w:left w:val="nil"/>
              <w:bottom w:val="nil"/>
              <w:right w:val="nil"/>
            </w:tcBorders>
            <w:vAlign w:val="center"/>
          </w:tcPr>
          <w:p w14:paraId="277D906D" w14:textId="77777777" w:rsidR="00346C62" w:rsidRPr="0098621D" w:rsidRDefault="00346C62" w:rsidP="00215746">
            <w:pPr>
              <w:pStyle w:val="Kopfzeile1"/>
              <w:rPr>
                <w:lang w:val="en-GB"/>
              </w:rPr>
            </w:pPr>
          </w:p>
        </w:tc>
      </w:tr>
      <w:tr w:rsidR="00F05B26" w:rsidRPr="0098621D" w14:paraId="7DF495A5" w14:textId="77777777" w:rsidTr="009C7500">
        <w:tblPrEx>
          <w:tblCellMar>
            <w:left w:w="108" w:type="dxa"/>
            <w:right w:w="108" w:type="dxa"/>
          </w:tblCellMar>
        </w:tblPrEx>
        <w:trPr>
          <w:cantSplit/>
          <w:trHeight w:val="80"/>
        </w:trPr>
        <w:tc>
          <w:tcPr>
            <w:tcW w:w="4537" w:type="dxa"/>
            <w:gridSpan w:val="2"/>
            <w:tcBorders>
              <w:top w:val="nil"/>
              <w:left w:val="nil"/>
              <w:bottom w:val="nil"/>
              <w:right w:val="nil"/>
            </w:tcBorders>
            <w:vAlign w:val="center"/>
          </w:tcPr>
          <w:p w14:paraId="6BF452C0" w14:textId="77777777" w:rsidR="00F05B26" w:rsidRPr="00D149DA" w:rsidRDefault="00F05B26" w:rsidP="00215746">
            <w:pPr>
              <w:pStyle w:val="Kopfzeile1"/>
              <w:rPr>
                <w:sz w:val="8"/>
                <w:lang w:val="en-GB"/>
              </w:rPr>
            </w:pPr>
          </w:p>
        </w:tc>
        <w:tc>
          <w:tcPr>
            <w:tcW w:w="5235" w:type="dxa"/>
            <w:gridSpan w:val="2"/>
            <w:tcBorders>
              <w:top w:val="nil"/>
              <w:left w:val="nil"/>
              <w:bottom w:val="nil"/>
              <w:right w:val="nil"/>
            </w:tcBorders>
            <w:vAlign w:val="center"/>
          </w:tcPr>
          <w:p w14:paraId="17178FCE" w14:textId="77777777" w:rsidR="00F05B26" w:rsidRPr="0098621D" w:rsidRDefault="00F05B26" w:rsidP="00215746">
            <w:pPr>
              <w:pStyle w:val="Kopfzeile1"/>
              <w:rPr>
                <w:sz w:val="8"/>
                <w:lang w:val="en-GB"/>
              </w:rPr>
            </w:pPr>
          </w:p>
        </w:tc>
      </w:tr>
      <w:tr w:rsidR="00F05B26" w:rsidRPr="0098621D" w14:paraId="4406A25E" w14:textId="77777777" w:rsidTr="009C7500">
        <w:tblPrEx>
          <w:tblCellMar>
            <w:left w:w="108" w:type="dxa"/>
            <w:right w:w="108" w:type="dxa"/>
          </w:tblCellMar>
        </w:tblPrEx>
        <w:trPr>
          <w:cantSplit/>
          <w:trHeight w:val="405"/>
        </w:trPr>
        <w:tc>
          <w:tcPr>
            <w:tcW w:w="1836" w:type="dxa"/>
            <w:tcBorders>
              <w:top w:val="nil"/>
              <w:left w:val="nil"/>
              <w:bottom w:val="nil"/>
              <w:right w:val="nil"/>
            </w:tcBorders>
            <w:vAlign w:val="center"/>
          </w:tcPr>
          <w:p w14:paraId="2B1DC38B" w14:textId="77777777" w:rsidR="00F05B26" w:rsidRPr="00D149DA" w:rsidRDefault="00F05B26" w:rsidP="00215746">
            <w:pPr>
              <w:pStyle w:val="Kopfzeile1"/>
              <w:rPr>
                <w:lang w:val="en-GB"/>
              </w:rPr>
            </w:pPr>
            <w:r w:rsidRPr="00D149DA">
              <w:rPr>
                <w:lang w:val="en-GB"/>
              </w:rPr>
              <w:t>Date issued:</w:t>
            </w:r>
          </w:p>
        </w:tc>
        <w:tc>
          <w:tcPr>
            <w:tcW w:w="7936" w:type="dxa"/>
            <w:gridSpan w:val="3"/>
            <w:tcBorders>
              <w:top w:val="nil"/>
              <w:left w:val="nil"/>
              <w:bottom w:val="nil"/>
              <w:right w:val="nil"/>
            </w:tcBorders>
            <w:vAlign w:val="center"/>
          </w:tcPr>
          <w:p w14:paraId="2FE374DA" w14:textId="77777777" w:rsidR="00F05B26" w:rsidRPr="0098621D" w:rsidRDefault="00091608" w:rsidP="00215746">
            <w:pPr>
              <w:pStyle w:val="Kopfzeile1"/>
              <w:rPr>
                <w:lang w:val="en-GB"/>
              </w:rPr>
            </w:pPr>
            <w:r>
              <w:rPr>
                <w:lang w:val="en-GB"/>
              </w:rPr>
              <w:t>13</w:t>
            </w:r>
            <w:r w:rsidR="00CC08F5">
              <w:rPr>
                <w:lang w:val="en-GB"/>
              </w:rPr>
              <w:t>.01.2016</w:t>
            </w:r>
          </w:p>
        </w:tc>
      </w:tr>
      <w:tr w:rsidR="00F05B26" w:rsidRPr="0098621D" w14:paraId="7740AEBA" w14:textId="77777777" w:rsidTr="009C7500">
        <w:tblPrEx>
          <w:tblCellMar>
            <w:left w:w="108" w:type="dxa"/>
            <w:right w:w="108" w:type="dxa"/>
          </w:tblCellMar>
        </w:tblPrEx>
        <w:trPr>
          <w:cantSplit/>
          <w:trHeight w:val="405"/>
        </w:trPr>
        <w:tc>
          <w:tcPr>
            <w:tcW w:w="1836" w:type="dxa"/>
            <w:tcBorders>
              <w:top w:val="nil"/>
              <w:left w:val="nil"/>
              <w:bottom w:val="nil"/>
              <w:right w:val="nil"/>
            </w:tcBorders>
            <w:vAlign w:val="center"/>
          </w:tcPr>
          <w:p w14:paraId="4D8FBB73" w14:textId="77777777" w:rsidR="00F05B26" w:rsidRPr="00D149DA" w:rsidRDefault="00F05B26" w:rsidP="00215746">
            <w:pPr>
              <w:pStyle w:val="Kopfzeile1"/>
              <w:rPr>
                <w:lang w:val="en-GB"/>
              </w:rPr>
            </w:pPr>
            <w:r w:rsidRPr="00D149DA">
              <w:rPr>
                <w:lang w:val="en-GB"/>
              </w:rPr>
              <w:t>Source:</w:t>
            </w:r>
            <w:r w:rsidR="00ED7AEC" w:rsidRPr="00D149DA">
              <w:rPr>
                <w:lang w:val="en-GB"/>
              </w:rPr>
              <w:t xml:space="preserve"> </w:t>
            </w:r>
          </w:p>
        </w:tc>
        <w:tc>
          <w:tcPr>
            <w:tcW w:w="7936" w:type="dxa"/>
            <w:gridSpan w:val="3"/>
            <w:tcBorders>
              <w:top w:val="nil"/>
              <w:left w:val="nil"/>
              <w:bottom w:val="nil"/>
              <w:right w:val="nil"/>
            </w:tcBorders>
            <w:vAlign w:val="center"/>
          </w:tcPr>
          <w:p w14:paraId="1E1719AC" w14:textId="73A36B1C" w:rsidR="00F05B26" w:rsidRPr="0098621D" w:rsidRDefault="00091608" w:rsidP="009C7500">
            <w:pPr>
              <w:pStyle w:val="Kopfzeile1"/>
              <w:rPr>
                <w:lang w:val="en-GB"/>
              </w:rPr>
            </w:pPr>
            <w:r w:rsidRPr="000F2408">
              <w:rPr>
                <w:lang w:val="en-GB"/>
              </w:rPr>
              <w:t>Ericsson</w:t>
            </w:r>
            <w:r w:rsidDel="00091608">
              <w:rPr>
                <w:lang w:val="en-GB"/>
              </w:rPr>
              <w:t xml:space="preserve"> </w:t>
            </w:r>
            <w:r>
              <w:rPr>
                <w:lang w:val="en-GB"/>
              </w:rPr>
              <w:t xml:space="preserve">, Nokia Networks, </w:t>
            </w:r>
            <w:r w:rsidR="009C7500" w:rsidRPr="009C7500">
              <w:rPr>
                <w:lang w:val="en-GB"/>
              </w:rPr>
              <w:t>Technische Universität Kaiserslautern</w:t>
            </w:r>
            <w:r w:rsidR="004465A9">
              <w:rPr>
                <w:lang w:val="en-GB"/>
              </w:rPr>
              <w:t xml:space="preserve">, </w:t>
            </w:r>
            <w:r w:rsidR="009C7500" w:rsidRPr="009C7500">
              <w:rPr>
                <w:lang w:val="en-GB"/>
              </w:rPr>
              <w:t>Universitat Politècnica de València</w:t>
            </w:r>
          </w:p>
        </w:tc>
      </w:tr>
      <w:tr w:rsidR="00F05B26" w:rsidRPr="0098621D" w14:paraId="6D4CCC1E" w14:textId="77777777" w:rsidTr="009C7500">
        <w:tblPrEx>
          <w:tblCellMar>
            <w:left w:w="108" w:type="dxa"/>
            <w:right w:w="108" w:type="dxa"/>
          </w:tblCellMar>
        </w:tblPrEx>
        <w:trPr>
          <w:cantSplit/>
          <w:trHeight w:val="405"/>
        </w:trPr>
        <w:tc>
          <w:tcPr>
            <w:tcW w:w="1836" w:type="dxa"/>
            <w:tcBorders>
              <w:top w:val="nil"/>
              <w:left w:val="nil"/>
              <w:bottom w:val="nil"/>
              <w:right w:val="nil"/>
            </w:tcBorders>
            <w:vAlign w:val="center"/>
          </w:tcPr>
          <w:p w14:paraId="077C0E35" w14:textId="77777777" w:rsidR="00F05B26" w:rsidRPr="00D149DA" w:rsidRDefault="00F05B26" w:rsidP="00215746">
            <w:pPr>
              <w:pStyle w:val="Kopfzeile1"/>
              <w:rPr>
                <w:lang w:val="en-GB"/>
              </w:rPr>
            </w:pPr>
            <w:r w:rsidRPr="00D149DA">
              <w:rPr>
                <w:lang w:val="en-GB"/>
              </w:rPr>
              <w:t>Subject:</w:t>
            </w:r>
            <w:r w:rsidR="005269EA" w:rsidRPr="00D149DA">
              <w:rPr>
                <w:lang w:val="en-GB"/>
              </w:rPr>
              <w:t xml:space="preserve"> </w:t>
            </w:r>
          </w:p>
        </w:tc>
        <w:tc>
          <w:tcPr>
            <w:tcW w:w="7936" w:type="dxa"/>
            <w:gridSpan w:val="3"/>
            <w:tcBorders>
              <w:top w:val="nil"/>
              <w:left w:val="nil"/>
              <w:bottom w:val="nil"/>
              <w:right w:val="nil"/>
            </w:tcBorders>
            <w:vAlign w:val="center"/>
          </w:tcPr>
          <w:p w14:paraId="3D39CBD0" w14:textId="77777777" w:rsidR="00F05B26" w:rsidRPr="001E0E49" w:rsidRDefault="00CC08F5" w:rsidP="001E0E49">
            <w:pPr>
              <w:pStyle w:val="Kopfzeile1"/>
              <w:rPr>
                <w:lang w:val="en-GB"/>
              </w:rPr>
            </w:pPr>
            <w:r>
              <w:rPr>
                <w:lang w:val="en-GB"/>
              </w:rPr>
              <w:t xml:space="preserve">Discussions on </w:t>
            </w:r>
            <w:r>
              <w:rPr>
                <w:rFonts w:hint="eastAsia"/>
                <w:lang w:eastAsia="zh-CN"/>
              </w:rPr>
              <w:t>evaluation methodology</w:t>
            </w:r>
            <w:r>
              <w:rPr>
                <w:lang w:eastAsia="zh-CN"/>
              </w:rPr>
              <w:t xml:space="preserve"> for IMT</w:t>
            </w:r>
            <w:r w:rsidR="00544AA3">
              <w:rPr>
                <w:lang w:eastAsia="zh-CN"/>
              </w:rPr>
              <w:t>-</w:t>
            </w:r>
            <w:r>
              <w:rPr>
                <w:lang w:eastAsia="zh-CN"/>
              </w:rPr>
              <w:t>2020</w:t>
            </w:r>
            <w:r w:rsidR="00091608">
              <w:rPr>
                <w:rStyle w:val="Appelnotedebasdep"/>
                <w:lang w:eastAsia="zh-CN"/>
              </w:rPr>
              <w:footnoteReference w:id="1"/>
            </w:r>
          </w:p>
        </w:tc>
      </w:tr>
      <w:tr w:rsidR="00493F86" w:rsidRPr="0098621D" w14:paraId="406328AF" w14:textId="77777777" w:rsidTr="009C7500">
        <w:tblPrEx>
          <w:tblCellMar>
            <w:left w:w="108" w:type="dxa"/>
            <w:right w:w="108" w:type="dxa"/>
          </w:tblCellMar>
        </w:tblPrEx>
        <w:trPr>
          <w:cantSplit/>
          <w:trHeight w:val="1040"/>
        </w:trPr>
        <w:tc>
          <w:tcPr>
            <w:tcW w:w="9772" w:type="dxa"/>
            <w:gridSpan w:val="4"/>
            <w:tcBorders>
              <w:top w:val="nil"/>
              <w:left w:val="nil"/>
              <w:bottom w:val="nil"/>
              <w:right w:val="nil"/>
            </w:tcBorders>
            <w:vAlign w:val="center"/>
          </w:tcPr>
          <w:p w14:paraId="363F87C5" w14:textId="77777777" w:rsidR="00493F86" w:rsidRPr="006D7413" w:rsidRDefault="004B739E" w:rsidP="00FF320E">
            <w:pPr>
              <w:rPr>
                <w:rFonts w:cs="Arial"/>
                <w:szCs w:val="24"/>
                <w:lang w:val="en-GB"/>
              </w:rPr>
            </w:pPr>
            <w:r>
              <w:rPr>
                <w:noProof/>
                <w:lang w:val="en-GB" w:eastAsia="en-GB"/>
              </w:rPr>
              <w:pict w14:anchorId="525CDED2">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vPxUdicCAABPBAAADgAAAAAAAAAAAAAAAAAuAgAAZHJzL2Uy&#10;b0RvYy54bWxQSwECLQAUAAYACAAAACEAn6Da/eAAAAAJAQAADwAAAAAAAAAAAAAAAACBBAAAZHJz&#10;L2Rvd25yZXYueG1sUEsFBgAAAAAEAAQA8wAAAI4FAAAAAA==&#10;">
                  <v:textbox style="mso-next-textbox:#Text Box 2">
                    <w:txbxContent>
                      <w:p w14:paraId="3C7874CA" w14:textId="77777777" w:rsidR="00091608" w:rsidRPr="00254FD9" w:rsidRDefault="00091608" w:rsidP="005348B2">
                        <w:pPr>
                          <w:spacing w:after="0"/>
                          <w:jc w:val="center"/>
                          <w:rPr>
                            <w:rFonts w:cs="Arial"/>
                            <w:szCs w:val="24"/>
                            <w:lang w:val="de-DE"/>
                          </w:rPr>
                        </w:pPr>
                        <w:r>
                          <w:rPr>
                            <w:rFonts w:cs="Arial"/>
                            <w:szCs w:val="24"/>
                            <w:lang w:val="de-DE"/>
                          </w:rPr>
                          <w:t>N</w:t>
                        </w:r>
                      </w:p>
                    </w:txbxContent>
                  </v:textbox>
                  <w10:wrap type="tight"/>
                </v:shape>
              </w:pict>
            </w:r>
          </w:p>
          <w:p w14:paraId="3E48678F" w14:textId="77777777" w:rsidR="00493F86" w:rsidRDefault="001D181E" w:rsidP="00FF320E">
            <w:pPr>
              <w:rPr>
                <w:lang w:val="en-GB"/>
              </w:rPr>
            </w:pPr>
            <w:r>
              <w:rPr>
                <w:lang w:val="en-GB"/>
              </w:rPr>
              <w:t>Group membership</w:t>
            </w:r>
            <w:r w:rsidR="00493F86" w:rsidRPr="0016435A">
              <w:rPr>
                <w:lang w:val="en-GB"/>
              </w:rPr>
              <w:t xml:space="preserve"> required</w:t>
            </w:r>
            <w:r>
              <w:rPr>
                <w:lang w:val="en-GB"/>
              </w:rPr>
              <w:t xml:space="preserve"> to read? (Y/N)</w:t>
            </w:r>
          </w:p>
          <w:p w14:paraId="7AB9AE5D" w14:textId="77777777" w:rsidR="00493F86" w:rsidRPr="00DD103C" w:rsidRDefault="00493F86" w:rsidP="00FF320E">
            <w:pPr>
              <w:pStyle w:val="Header1"/>
              <w:rPr>
                <w:lang w:val="en-GB"/>
              </w:rPr>
            </w:pPr>
          </w:p>
        </w:tc>
      </w:tr>
      <w:tr w:rsidR="00493F86" w:rsidRPr="0098621D" w14:paraId="1E5352BC" w14:textId="77777777" w:rsidTr="009C7500">
        <w:tblPrEx>
          <w:tblCellMar>
            <w:left w:w="108" w:type="dxa"/>
            <w:right w:w="108" w:type="dxa"/>
          </w:tblCellMar>
        </w:tblPrEx>
        <w:trPr>
          <w:cantSplit/>
          <w:trHeight w:hRule="exact" w:val="74"/>
        </w:trPr>
        <w:tc>
          <w:tcPr>
            <w:tcW w:w="9772" w:type="dxa"/>
            <w:gridSpan w:val="4"/>
            <w:tcBorders>
              <w:top w:val="nil"/>
              <w:left w:val="nil"/>
              <w:bottom w:val="nil"/>
              <w:right w:val="nil"/>
            </w:tcBorders>
            <w:vAlign w:val="center"/>
          </w:tcPr>
          <w:p w14:paraId="371CA801" w14:textId="77777777" w:rsidR="00493F86" w:rsidRPr="003D778B" w:rsidRDefault="00493F86" w:rsidP="00FF320E">
            <w:pPr>
              <w:pStyle w:val="Header1"/>
            </w:pPr>
          </w:p>
          <w:p w14:paraId="6165ED74" w14:textId="77777777" w:rsidR="00493F86" w:rsidRPr="0098621D" w:rsidRDefault="00493F86" w:rsidP="00FF320E">
            <w:pPr>
              <w:pStyle w:val="Header1"/>
              <w:rPr>
                <w:sz w:val="8"/>
              </w:rPr>
            </w:pPr>
          </w:p>
        </w:tc>
      </w:tr>
      <w:tr w:rsidR="001E0E49" w14:paraId="47974F6B" w14:textId="77777777" w:rsidTr="009C7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72" w:type="dxa"/>
            <w:gridSpan w:val="4"/>
            <w:tcBorders>
              <w:bottom w:val="nil"/>
            </w:tcBorders>
          </w:tcPr>
          <w:p w14:paraId="7D99B6BB" w14:textId="77777777" w:rsidR="001E0E49" w:rsidRDefault="001E0E49" w:rsidP="001E0E49">
            <w:pPr>
              <w:pStyle w:val="Kopfzeile1"/>
              <w:rPr>
                <w:lang w:val="en-US"/>
              </w:rPr>
            </w:pPr>
            <w:r w:rsidRPr="001E0E49">
              <w:rPr>
                <w:lang w:val="en-US"/>
              </w:rPr>
              <w:t>Summary:</w:t>
            </w:r>
            <w:r>
              <w:rPr>
                <w:lang w:val="en-US"/>
              </w:rPr>
              <w:t xml:space="preserve"> </w:t>
            </w:r>
          </w:p>
          <w:p w14:paraId="0D042C3B" w14:textId="77777777" w:rsidR="00384821" w:rsidRDefault="00384821" w:rsidP="001E0E49">
            <w:pPr>
              <w:pStyle w:val="Kopfzeile1"/>
              <w:rPr>
                <w:lang w:val="en-US"/>
              </w:rPr>
            </w:pPr>
          </w:p>
          <w:p w14:paraId="7421967E" w14:textId="77777777" w:rsidR="00384821" w:rsidRPr="00384821" w:rsidRDefault="00440B69" w:rsidP="00091608">
            <w:pPr>
              <w:pStyle w:val="Corpsdetexte"/>
              <w:jc w:val="both"/>
              <w:rPr>
                <w:b/>
              </w:rPr>
            </w:pPr>
            <w:r>
              <w:t xml:space="preserve">This document </w:t>
            </w:r>
            <w:r w:rsidR="00041790">
              <w:t>discusse</w:t>
            </w:r>
            <w:r w:rsidR="00BA56D5">
              <w:t>s</w:t>
            </w:r>
            <w:r w:rsidR="00041790">
              <w:t xml:space="preserve"> the anticipated performance evaluation methodology and framework for IMT</w:t>
            </w:r>
            <w:r w:rsidR="00544AA3">
              <w:t>-</w:t>
            </w:r>
            <w:r w:rsidR="00041790" w:rsidRPr="009C7500">
              <w:t>2020</w:t>
            </w:r>
            <w:r w:rsidR="00544AA3" w:rsidRPr="009C7500">
              <w:t xml:space="preserve">. </w:t>
            </w:r>
          </w:p>
        </w:tc>
      </w:tr>
      <w:tr w:rsidR="001E0E49" w:rsidRPr="00D44060" w14:paraId="184CD012" w14:textId="77777777" w:rsidTr="009C7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72" w:type="dxa"/>
            <w:gridSpan w:val="4"/>
            <w:tcBorders>
              <w:top w:val="nil"/>
              <w:bottom w:val="single" w:sz="4" w:space="0" w:color="auto"/>
            </w:tcBorders>
          </w:tcPr>
          <w:p w14:paraId="12CE883A" w14:textId="77777777" w:rsidR="001E0E49" w:rsidRPr="0052181A" w:rsidRDefault="001E0E49" w:rsidP="001E0E49"/>
        </w:tc>
      </w:tr>
      <w:tr w:rsidR="001E0E49" w14:paraId="11E153DE" w14:textId="77777777" w:rsidTr="009C7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72" w:type="dxa"/>
            <w:gridSpan w:val="4"/>
            <w:tcBorders>
              <w:bottom w:val="nil"/>
            </w:tcBorders>
          </w:tcPr>
          <w:p w14:paraId="55D70274" w14:textId="77777777" w:rsidR="001E0E49" w:rsidRDefault="001E0E49" w:rsidP="001E0E49">
            <w:pPr>
              <w:pStyle w:val="Kopfzeile1"/>
              <w:rPr>
                <w:lang w:val="en-US"/>
              </w:rPr>
            </w:pPr>
            <w:r>
              <w:rPr>
                <w:lang w:val="en-US"/>
              </w:rPr>
              <w:t xml:space="preserve">Proposal: </w:t>
            </w:r>
          </w:p>
          <w:p w14:paraId="3485F3A8" w14:textId="77777777" w:rsidR="00041790" w:rsidRDefault="00041790" w:rsidP="007E47B5">
            <w:pPr>
              <w:pStyle w:val="Kopfzeile1"/>
              <w:rPr>
                <w:lang w:val="en-US"/>
              </w:rPr>
            </w:pPr>
            <w:r w:rsidRPr="007E47B5">
              <w:rPr>
                <w:rFonts w:eastAsia="SimSun"/>
                <w:b w:val="0"/>
                <w:szCs w:val="22"/>
                <w:lang w:val="en-US" w:eastAsia="en-US"/>
              </w:rPr>
              <w:t xml:space="preserve">This input contributions is proposed to be submitted to next WP5D for consideration </w:t>
            </w:r>
            <w:r w:rsidR="007E47B5" w:rsidRPr="007E47B5">
              <w:rPr>
                <w:rFonts w:eastAsia="SimSun"/>
                <w:b w:val="0"/>
                <w:szCs w:val="22"/>
                <w:lang w:val="en-US" w:eastAsia="en-US"/>
              </w:rPr>
              <w:t xml:space="preserve">in the development of </w:t>
            </w:r>
            <w:r w:rsidR="007E47B5" w:rsidRPr="007E47B5">
              <w:rPr>
                <w:rFonts w:eastAsia="SimSun" w:hint="eastAsia"/>
                <w:b w:val="0"/>
                <w:szCs w:val="22"/>
                <w:lang w:val="en-US" w:eastAsia="en-US"/>
              </w:rPr>
              <w:t>the new report ITU-R M.</w:t>
            </w:r>
            <w:r w:rsidR="00350901">
              <w:rPr>
                <w:rFonts w:eastAsia="SimSun"/>
                <w:b w:val="0"/>
                <w:szCs w:val="22"/>
                <w:lang w:val="en-US" w:eastAsia="en-US"/>
              </w:rPr>
              <w:t xml:space="preserve"> </w:t>
            </w:r>
            <w:r w:rsidR="007E47B5" w:rsidRPr="007E47B5">
              <w:rPr>
                <w:rFonts w:eastAsia="SimSun"/>
                <w:b w:val="0"/>
                <w:szCs w:val="22"/>
                <w:lang w:val="en-US" w:eastAsia="en-US"/>
              </w:rPr>
              <w:t>[IMT-2020. EVAL]</w:t>
            </w:r>
            <w:r w:rsidR="007E47B5" w:rsidRPr="007E47B5">
              <w:rPr>
                <w:rFonts w:eastAsia="SimSun" w:hint="eastAsia"/>
                <w:b w:val="0"/>
                <w:szCs w:val="22"/>
                <w:lang w:val="en-US" w:eastAsia="en-US"/>
              </w:rPr>
              <w:t>.</w:t>
            </w:r>
            <w:r w:rsidR="007E47B5">
              <w:rPr>
                <w:rFonts w:hint="eastAsia"/>
                <w:lang w:eastAsia="zh-CN"/>
              </w:rPr>
              <w:t xml:space="preserve"> </w:t>
            </w:r>
            <w:r>
              <w:rPr>
                <w:lang w:val="en-US"/>
              </w:rPr>
              <w:t xml:space="preserve"> </w:t>
            </w:r>
          </w:p>
        </w:tc>
      </w:tr>
      <w:tr w:rsidR="001E0E49" w14:paraId="209A6B38" w14:textId="77777777" w:rsidTr="009C7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772" w:type="dxa"/>
            <w:gridSpan w:val="4"/>
            <w:tcBorders>
              <w:top w:val="nil"/>
              <w:bottom w:val="single" w:sz="4" w:space="0" w:color="auto"/>
            </w:tcBorders>
          </w:tcPr>
          <w:p w14:paraId="0C5B2B57" w14:textId="77777777" w:rsidR="001E0E49" w:rsidRDefault="001E0E49" w:rsidP="001E0E49">
            <w:pPr>
              <w:rPr>
                <w:lang w:val="en-US"/>
              </w:rPr>
            </w:pPr>
          </w:p>
        </w:tc>
      </w:tr>
      <w:tr w:rsidR="001E0E49" w14:paraId="053CE848" w14:textId="77777777" w:rsidTr="009C7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772" w:type="dxa"/>
            <w:gridSpan w:val="4"/>
            <w:tcBorders>
              <w:bottom w:val="nil"/>
            </w:tcBorders>
          </w:tcPr>
          <w:p w14:paraId="5F10092D" w14:textId="77777777" w:rsidR="001E0E49" w:rsidRDefault="001E0E49" w:rsidP="001E0E49">
            <w:pPr>
              <w:pStyle w:val="Kopfzeile1"/>
              <w:rPr>
                <w:lang w:val="en-US"/>
              </w:rPr>
            </w:pPr>
            <w:r>
              <w:rPr>
                <w:lang w:val="en-US"/>
              </w:rPr>
              <w:t>Background:</w:t>
            </w:r>
            <w:r w:rsidR="00ED7AEC">
              <w:rPr>
                <w:lang w:val="en-US"/>
              </w:rPr>
              <w:t xml:space="preserve"> </w:t>
            </w:r>
          </w:p>
        </w:tc>
      </w:tr>
      <w:tr w:rsidR="001E0E49" w:rsidRPr="00E305FF" w14:paraId="73D96B8B" w14:textId="77777777" w:rsidTr="009C7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772" w:type="dxa"/>
            <w:gridSpan w:val="4"/>
            <w:tcBorders>
              <w:top w:val="nil"/>
              <w:bottom w:val="single" w:sz="4" w:space="0" w:color="auto"/>
            </w:tcBorders>
          </w:tcPr>
          <w:p w14:paraId="0CA7B8F9" w14:textId="77777777" w:rsidR="00440B69" w:rsidRDefault="00440B69" w:rsidP="00440B69">
            <w:pPr>
              <w:pStyle w:val="Corpsdetexte"/>
              <w:jc w:val="both"/>
            </w:pPr>
            <w:r w:rsidRPr="00384821">
              <w:lastRenderedPageBreak/>
              <w:t>IMT</w:t>
            </w:r>
            <w:r w:rsidR="00BA56D5">
              <w:t>-</w:t>
            </w:r>
            <w:r w:rsidRPr="00384821">
              <w:t>2020 (5G) is expected to address the wireless connectivity needs for both humans and machine-type devices in 2020 and beyond. In comparison to IMT-advanced, next</w:t>
            </w:r>
            <w:r>
              <w:t xml:space="preserve"> generation of wireless communications </w:t>
            </w:r>
            <w:r w:rsidR="00BA56D5">
              <w:t xml:space="preserve">IMT-2020 </w:t>
            </w:r>
            <w:r>
              <w:t xml:space="preserve">will push the broadband connectivity to new extremes, by utilizing new solutions such as massive multiple-input multiple-output (MIMO), radio access using higher </w:t>
            </w:r>
            <w:r w:rsidR="00BA56D5">
              <w:t>frequency bands</w:t>
            </w:r>
            <w:r>
              <w:t xml:space="preserve"> above 6 GHz or ultra-dense networks (UDN). Therefore, IMT</w:t>
            </w:r>
            <w:r w:rsidR="00BA56D5">
              <w:t>-</w:t>
            </w:r>
            <w:r>
              <w:t>2020 is expected to considerably improve the overall end user experience achievable in contemporary wireless communication systems, and significantly boost the cost-efficiency factor of running the network. At the same time, it is envisioned that IMT</w:t>
            </w:r>
            <w:r w:rsidR="00BA56D5">
              <w:t>-</w:t>
            </w:r>
            <w:r>
              <w:t xml:space="preserve">2020 will expand the application areas to new domains, such as Internet of Things (IoT) or road traffic safety and intelligent transport system (ITS), which would require key capabilities and </w:t>
            </w:r>
            <w:r w:rsidRPr="008064E0">
              <w:rPr>
                <w:lang w:eastAsia="ja-JP"/>
              </w:rPr>
              <w:t>technical performance</w:t>
            </w:r>
            <w:r>
              <w:t xml:space="preserve"> </w:t>
            </w:r>
            <w:r w:rsidRPr="00E6432A">
              <w:rPr>
                <w:lang w:eastAsia="ja-JP"/>
              </w:rPr>
              <w:t xml:space="preserve">requirements </w:t>
            </w:r>
            <w:r w:rsidRPr="00C96D1D">
              <w:t>party</w:t>
            </w:r>
            <w:r>
              <w:t xml:space="preserve"> different than the ones used for the assessment of broadband access performance in IMT advanced.</w:t>
            </w:r>
          </w:p>
          <w:p w14:paraId="196FDF62" w14:textId="77777777" w:rsidR="001E0E49" w:rsidRPr="00E305FF" w:rsidRDefault="00440B69" w:rsidP="00440B69">
            <w:pPr>
              <w:rPr>
                <w:bCs/>
                <w:szCs w:val="24"/>
                <w:lang w:val="en-GB"/>
              </w:rPr>
            </w:pPr>
            <w:r>
              <w:t>From the above mentioned aspects and considering the IMT</w:t>
            </w:r>
            <w:r w:rsidR="00BA56D5">
              <w:t>-</w:t>
            </w:r>
            <w:r>
              <w:t xml:space="preserve">2020 usage scenario as defined in Recommendation ITU-R M.2083, there is a need of the creation of </w:t>
            </w:r>
            <w:r>
              <w:rPr>
                <w:szCs w:val="24"/>
                <w:lang w:eastAsia="zh-CN"/>
              </w:rPr>
              <w:t xml:space="preserve">appropriate </w:t>
            </w:r>
            <w:r>
              <w:t>performance evaluation framework that will allow for a fair and comparable evaluation of various technology concepts proposed for the new generation of wireless communication systems.</w:t>
            </w:r>
          </w:p>
        </w:tc>
      </w:tr>
    </w:tbl>
    <w:p w14:paraId="76FFB57E" w14:textId="77777777" w:rsidR="00DE5E01" w:rsidRDefault="00DE5E01" w:rsidP="00DE5E01">
      <w:pPr>
        <w:rPr>
          <w:lang w:val="en-GB"/>
        </w:rPr>
      </w:pPr>
    </w:p>
    <w:p w14:paraId="4AE2A8AC" w14:textId="77777777" w:rsidR="000B48F9" w:rsidRDefault="000B48F9">
      <w:pPr>
        <w:spacing w:after="0"/>
        <w:jc w:val="left"/>
        <w:rPr>
          <w:lang w:val="en-GB"/>
        </w:rPr>
      </w:pPr>
      <w:r>
        <w:rPr>
          <w:lang w:val="en-GB"/>
        </w:rPr>
        <w:br w:type="page"/>
      </w:r>
    </w:p>
    <w:p w14:paraId="746D98BC" w14:textId="77777777" w:rsidR="00501798" w:rsidRDefault="000B48F9" w:rsidP="000B48F9">
      <w:pPr>
        <w:spacing w:after="0"/>
        <w:jc w:val="center"/>
        <w:rPr>
          <w:sz w:val="40"/>
          <w:lang w:val="en-GB"/>
        </w:rPr>
      </w:pPr>
      <w:r w:rsidRPr="000B48F9">
        <w:rPr>
          <w:sz w:val="40"/>
          <w:lang w:val="en-GB"/>
        </w:rPr>
        <w:lastRenderedPageBreak/>
        <w:t>Attachment 1</w:t>
      </w:r>
    </w:p>
    <w:p w14:paraId="2B8964BA" w14:textId="77777777" w:rsidR="000B48F9" w:rsidRDefault="000B48F9" w:rsidP="000B48F9">
      <w:pPr>
        <w:spacing w:after="0"/>
        <w:jc w:val="left"/>
        <w:rPr>
          <w:sz w:val="40"/>
          <w:lang w:val="en-GB"/>
        </w:rPr>
      </w:pPr>
    </w:p>
    <w:p w14:paraId="50E9F3EF" w14:textId="77777777" w:rsidR="000B48F9" w:rsidRDefault="000B48F9" w:rsidP="000B48F9">
      <w:pPr>
        <w:pStyle w:val="Titre1"/>
      </w:pPr>
      <w:r>
        <w:t>Introduction</w:t>
      </w:r>
    </w:p>
    <w:p w14:paraId="3A3FF2CA" w14:textId="77777777" w:rsidR="00116815" w:rsidRDefault="00711F10" w:rsidP="00711F10">
      <w:pPr>
        <w:pStyle w:val="Corpsdetexte"/>
        <w:jc w:val="both"/>
      </w:pPr>
      <w:r w:rsidRPr="00384821">
        <w:t>IMT</w:t>
      </w:r>
      <w:r w:rsidR="00BA56D5">
        <w:t>-</w:t>
      </w:r>
      <w:r w:rsidRPr="00384821">
        <w:t>2020 (5G) is expected to address the wireless connectivity needs for both humans and machine-type devices in 2020 and beyond. In comparison to IMT-</w:t>
      </w:r>
      <w:r w:rsidR="00310401">
        <w:t>A</w:t>
      </w:r>
      <w:r w:rsidR="00310401" w:rsidRPr="00384821">
        <w:t>dvanced</w:t>
      </w:r>
      <w:r w:rsidR="00310401">
        <w:t xml:space="preserve"> (IMT-A)</w:t>
      </w:r>
      <w:r w:rsidRPr="00384821">
        <w:t>, next</w:t>
      </w:r>
      <w:r>
        <w:t xml:space="preserve"> generation of wireless communications will push the broadband connectivity to new extremes, by utilizing new solutions such as massive multiple-input multiple-output (MIMO), radio access using higher frequency bands above 6 GHz or ultra-dense networks (UDN). Therefore, IMT 2020 is expected to considerably improve the overall end user experience achievable in contemporary wireless communication systems, and significantly boost the cost-efficiency factor of running the network. At the same time, it is envisioned that IMT 2020 will expand the application areas to new domains, such as Internet of Things (IoT) or road traffic safety and intelligent transport system (ITS), which would require key capabilities and </w:t>
      </w:r>
      <w:r w:rsidRPr="008064E0">
        <w:rPr>
          <w:lang w:eastAsia="ja-JP"/>
        </w:rPr>
        <w:t xml:space="preserve">technical </w:t>
      </w:r>
      <w:r w:rsidRPr="008064E0">
        <w:t>performance</w:t>
      </w:r>
      <w:r>
        <w:t xml:space="preserve"> </w:t>
      </w:r>
      <w:r w:rsidRPr="008064E0">
        <w:t xml:space="preserve">requirements </w:t>
      </w:r>
      <w:r w:rsidR="00585F7E" w:rsidRPr="00585F7E">
        <w:t>party</w:t>
      </w:r>
      <w:r>
        <w:t xml:space="preserve"> different than the ones used for the assessment of broadband access performance in </w:t>
      </w:r>
      <w:r w:rsidR="00D05F6A">
        <w:t>(IMT-A</w:t>
      </w:r>
      <w:r>
        <w:t>.</w:t>
      </w:r>
      <w:r w:rsidR="00116815">
        <w:t xml:space="preserve"> </w:t>
      </w:r>
    </w:p>
    <w:p w14:paraId="4251F67D" w14:textId="77777777" w:rsidR="00E6432A" w:rsidRDefault="00711F10">
      <w:pPr>
        <w:pStyle w:val="Corpsdetexte"/>
        <w:jc w:val="both"/>
      </w:pPr>
      <w:r w:rsidRPr="00676CF0">
        <w:t>From the above mentioned aspects and considering the IMT</w:t>
      </w:r>
      <w:r w:rsidR="00BA56D5">
        <w:t>-</w:t>
      </w:r>
      <w:r w:rsidRPr="00676CF0">
        <w:t xml:space="preserve">2020 usage scenario as defined in Recommendation ITU-R M.2083, there is a need of the creation of </w:t>
      </w:r>
      <w:r w:rsidR="00585F7E" w:rsidRPr="00585F7E">
        <w:t>appropriate performance evaluation framework that will allow for a fair and comparable evaluation of various technology concepts proposed for the new generation of wireless communication systems.</w:t>
      </w:r>
    </w:p>
    <w:p w14:paraId="5D6A01B5" w14:textId="77777777" w:rsidR="000B48F9" w:rsidRPr="00D05F6A" w:rsidRDefault="000B48F9">
      <w:pPr>
        <w:pStyle w:val="Titre1"/>
      </w:pPr>
      <w:r w:rsidRPr="00D05F6A">
        <w:t xml:space="preserve">General considerations for evaluation methodologies </w:t>
      </w:r>
    </w:p>
    <w:p w14:paraId="46D076F6" w14:textId="77777777" w:rsidR="000B48F9" w:rsidRDefault="000B48F9" w:rsidP="000B48F9">
      <w:pPr>
        <w:pStyle w:val="Corpsdetexte"/>
        <w:jc w:val="both"/>
      </w:pPr>
      <w:r>
        <w:t>Following the approach proposed in [ITUR-M</w:t>
      </w:r>
      <w:r w:rsidR="00486878">
        <w:t>.</w:t>
      </w:r>
      <w:r>
        <w:t>2135], characteristics of IMT</w:t>
      </w:r>
      <w:r w:rsidR="00222E8C">
        <w:t>-</w:t>
      </w:r>
      <w:r>
        <w:t>2020 technology solutions could be evaluated using three methods: simulations, analysis and inspection.</w:t>
      </w:r>
    </w:p>
    <w:p w14:paraId="46709F06" w14:textId="77777777" w:rsidR="000B48F9" w:rsidRDefault="000B48F9" w:rsidP="000B48F9">
      <w:pPr>
        <w:pStyle w:val="Corpsdetexte"/>
        <w:numPr>
          <w:ilvl w:val="0"/>
          <w:numId w:val="15"/>
        </w:numPr>
        <w:jc w:val="both"/>
      </w:pPr>
      <w:r w:rsidRPr="00FA2827">
        <w:t>Evaluations through simulations contain both system level simulations and link level</w:t>
      </w:r>
      <w:r>
        <w:t xml:space="preserve"> </w:t>
      </w:r>
      <w:r w:rsidRPr="00FA2827">
        <w:t>simulations</w:t>
      </w:r>
      <w:r w:rsidR="00116815">
        <w:t>.</w:t>
      </w:r>
    </w:p>
    <w:p w14:paraId="699172FB" w14:textId="77777777" w:rsidR="000B48F9" w:rsidRDefault="000B48F9" w:rsidP="000B48F9">
      <w:pPr>
        <w:pStyle w:val="Corpsdetexte"/>
        <w:numPr>
          <w:ilvl w:val="0"/>
          <w:numId w:val="15"/>
        </w:numPr>
        <w:jc w:val="both"/>
      </w:pPr>
      <w:r w:rsidRPr="00FA2827">
        <w:t>In case of analytical procedure</w:t>
      </w:r>
      <w:r>
        <w:t>,</w:t>
      </w:r>
      <w:r w:rsidRPr="00FA2827">
        <w:t xml:space="preserve"> the evaluation is to be based on calculations using the</w:t>
      </w:r>
      <w:r>
        <w:t xml:space="preserve"> </w:t>
      </w:r>
      <w:r w:rsidRPr="00FA2827">
        <w:t xml:space="preserve">technical information provided by the </w:t>
      </w:r>
      <w:r>
        <w:t>technology component owner.</w:t>
      </w:r>
    </w:p>
    <w:p w14:paraId="0BF5042B" w14:textId="77777777" w:rsidR="000B48F9" w:rsidRPr="009C2F63" w:rsidRDefault="000B48F9" w:rsidP="000B48F9">
      <w:pPr>
        <w:pStyle w:val="Corpsdetexte"/>
        <w:numPr>
          <w:ilvl w:val="0"/>
          <w:numId w:val="15"/>
        </w:numPr>
        <w:jc w:val="both"/>
      </w:pPr>
      <w:r w:rsidRPr="009C2F63">
        <w:t>In case of evaluation through inspection the evaluation is based on statements.</w:t>
      </w:r>
    </w:p>
    <w:p w14:paraId="51AD9832" w14:textId="77777777" w:rsidR="000B48F9" w:rsidRPr="009C2F63" w:rsidRDefault="000B48F9" w:rsidP="000B48F9">
      <w:pPr>
        <w:pStyle w:val="Corpsdetexte"/>
        <w:jc w:val="both"/>
      </w:pPr>
      <w:r w:rsidRPr="009C2F63">
        <w:t>For system level simulations the following principles should be considered</w:t>
      </w:r>
      <w:r w:rsidR="00DE5325" w:rsidRPr="009C2F63">
        <w:t>:</w:t>
      </w:r>
    </w:p>
    <w:p w14:paraId="0BB4A74F" w14:textId="77777777" w:rsidR="00116815" w:rsidRPr="009C2F63" w:rsidRDefault="000B48F9" w:rsidP="000B48F9">
      <w:pPr>
        <w:pStyle w:val="Corpsdetexte"/>
        <w:numPr>
          <w:ilvl w:val="0"/>
          <w:numId w:val="15"/>
        </w:numPr>
        <w:jc w:val="both"/>
      </w:pPr>
      <w:r w:rsidRPr="009C2F63">
        <w:t xml:space="preserve">System simulations shall be based on </w:t>
      </w:r>
      <w:r w:rsidR="00116815" w:rsidRPr="009C2F63">
        <w:t xml:space="preserve">proposed </w:t>
      </w:r>
      <w:r w:rsidRPr="009C2F63">
        <w:t xml:space="preserve">deployment scenarios </w:t>
      </w:r>
      <w:r w:rsidR="00DE5325" w:rsidRPr="009C2F63">
        <w:t xml:space="preserve">and models </w:t>
      </w:r>
      <w:r w:rsidR="00116815" w:rsidRPr="009C2F63">
        <w:t>captured later in the document.</w:t>
      </w:r>
    </w:p>
    <w:p w14:paraId="2C833FD1" w14:textId="77777777" w:rsidR="000B48F9" w:rsidRDefault="000B48F9" w:rsidP="000B48F9">
      <w:pPr>
        <w:pStyle w:val="Corpsdetexte"/>
        <w:numPr>
          <w:ilvl w:val="0"/>
          <w:numId w:val="15"/>
        </w:numPr>
        <w:jc w:val="both"/>
      </w:pPr>
      <w:r>
        <w:t>Cell assignment to a user is based on the cell selection scheme proposed by the technology component owner, which must be described. Some examples are:</w:t>
      </w:r>
    </w:p>
    <w:p w14:paraId="4233FEA8" w14:textId="77777777" w:rsidR="000B48F9" w:rsidRDefault="000B48F9" w:rsidP="000B48F9">
      <w:pPr>
        <w:pStyle w:val="Corpsdetexte"/>
        <w:numPr>
          <w:ilvl w:val="1"/>
          <w:numId w:val="15"/>
        </w:numPr>
        <w:jc w:val="both"/>
      </w:pPr>
      <w:r>
        <w:t>Connection to the station received with highest power, considering a handover margin of 1 dB.</w:t>
      </w:r>
    </w:p>
    <w:p w14:paraId="5FBD42AE" w14:textId="77777777" w:rsidR="000B48F9" w:rsidRDefault="000B48F9" w:rsidP="000B48F9">
      <w:pPr>
        <w:pStyle w:val="Corpsdetexte"/>
        <w:numPr>
          <w:ilvl w:val="1"/>
          <w:numId w:val="15"/>
        </w:numPr>
        <w:jc w:val="both"/>
      </w:pPr>
      <w:r>
        <w:t>Connection to the station received with highest power, considering a handover margin of 1 dB, but with a limit of users per BS.</w:t>
      </w:r>
    </w:p>
    <w:p w14:paraId="7AB3EA45" w14:textId="77777777" w:rsidR="000B48F9" w:rsidRDefault="000B48F9" w:rsidP="000B48F9">
      <w:pPr>
        <w:pStyle w:val="Corpsdetexte"/>
        <w:numPr>
          <w:ilvl w:val="1"/>
          <w:numId w:val="15"/>
        </w:numPr>
        <w:jc w:val="both"/>
      </w:pPr>
      <w:r>
        <w:t>Connection to the station received with highest wideband SINR, with or without a limit of users per BS.</w:t>
      </w:r>
    </w:p>
    <w:p w14:paraId="632F49D5" w14:textId="77777777" w:rsidR="000B48F9" w:rsidRDefault="000B48F9" w:rsidP="000B48F9">
      <w:pPr>
        <w:pStyle w:val="Corpsdetexte"/>
        <w:numPr>
          <w:ilvl w:val="1"/>
          <w:numId w:val="15"/>
        </w:numPr>
        <w:jc w:val="both"/>
      </w:pPr>
      <w:r>
        <w:lastRenderedPageBreak/>
        <w:t xml:space="preserve">Connection to the station whose estimation of the </w:t>
      </w:r>
      <w:r w:rsidR="00310401">
        <w:t>Quality of Service (</w:t>
      </w:r>
      <w:r>
        <w:t>QoS</w:t>
      </w:r>
      <w:r w:rsidR="00310401">
        <w:t>)</w:t>
      </w:r>
      <w:r>
        <w:t xml:space="preserve"> satisfaction is more likely. This could be known based on the SINR estimation, the number of users connected to each station, and their QoS requirements.</w:t>
      </w:r>
    </w:p>
    <w:p w14:paraId="28305875" w14:textId="77777777" w:rsidR="000B48F9" w:rsidRDefault="000B48F9" w:rsidP="000B48F9">
      <w:pPr>
        <w:pStyle w:val="Corpsdetexte"/>
        <w:ind w:left="720"/>
        <w:jc w:val="both"/>
      </w:pPr>
      <w:r>
        <w:t>It is allowed to have the control plane user plane served by different stations.</w:t>
      </w:r>
    </w:p>
    <w:p w14:paraId="61BE3F71" w14:textId="77777777" w:rsidR="000B48F9" w:rsidRDefault="000B48F9" w:rsidP="000B48F9">
      <w:pPr>
        <w:pStyle w:val="Corpsdetexte"/>
        <w:numPr>
          <w:ilvl w:val="0"/>
          <w:numId w:val="15"/>
        </w:numPr>
        <w:jc w:val="both"/>
      </w:pPr>
      <w:r>
        <w:t>In simulations based on the full-buffer traffic model, packets are not blocked when they arrive into system (i.e. queue depths are assumed to be infinite).</w:t>
      </w:r>
    </w:p>
    <w:p w14:paraId="5A94C211" w14:textId="77777777" w:rsidR="000B48F9" w:rsidRDefault="000B48F9" w:rsidP="000B48F9">
      <w:pPr>
        <w:pStyle w:val="Corpsdetexte"/>
        <w:numPr>
          <w:ilvl w:val="0"/>
          <w:numId w:val="15"/>
        </w:numPr>
        <w:jc w:val="both"/>
      </w:pPr>
      <w:r>
        <w:t xml:space="preserve">In bursty traffic simulations, packets that are discarded (e.g. as they can’t be transmitted within given latency requirements) are also included in the overall performance statistics with 0 correctly received bits. </w:t>
      </w:r>
    </w:p>
    <w:p w14:paraId="17E5F539" w14:textId="77777777" w:rsidR="000B48F9" w:rsidRDefault="000B48F9" w:rsidP="000B48F9">
      <w:pPr>
        <w:pStyle w:val="Corpsdetexte"/>
        <w:numPr>
          <w:ilvl w:val="0"/>
          <w:numId w:val="15"/>
        </w:numPr>
        <w:jc w:val="both"/>
      </w:pPr>
      <w:r w:rsidRPr="00C34D4F">
        <w:t>Packets are scheduled with an appropriate packet scheduler(s) proposed by the proponents</w:t>
      </w:r>
      <w:r>
        <w:t xml:space="preserve"> </w:t>
      </w:r>
      <w:r w:rsidRPr="00C34D4F">
        <w:t xml:space="preserve">for full buffer and </w:t>
      </w:r>
      <w:r>
        <w:t>bursty</w:t>
      </w:r>
      <w:r w:rsidRPr="00C34D4F">
        <w:t xml:space="preserve"> traffic models separately. Channel quality feedback delay,</w:t>
      </w:r>
      <w:r>
        <w:t xml:space="preserve"> </w:t>
      </w:r>
      <w:r w:rsidRPr="00C34D4F">
        <w:t>feedback errors, PDU (protocol data unit) errors and real channel estimation effects</w:t>
      </w:r>
      <w:r>
        <w:t xml:space="preserve"> </w:t>
      </w:r>
      <w:r w:rsidRPr="00C34D4F">
        <w:t xml:space="preserve">inclusive of channel estimation error are </w:t>
      </w:r>
      <w:r w:rsidR="00E6432A" w:rsidRPr="00C34D4F">
        <w:t>modeled</w:t>
      </w:r>
      <w:r w:rsidRPr="00C34D4F">
        <w:t xml:space="preserve"> and packets are retransmitted as</w:t>
      </w:r>
      <w:r>
        <w:t xml:space="preserve"> </w:t>
      </w:r>
      <w:r w:rsidRPr="00C34D4F">
        <w:t>necessary.</w:t>
      </w:r>
    </w:p>
    <w:p w14:paraId="6BFD4686" w14:textId="77777777" w:rsidR="000B48F9" w:rsidRDefault="000B48F9" w:rsidP="000B48F9">
      <w:pPr>
        <w:pStyle w:val="Corpsdetexte"/>
        <w:numPr>
          <w:ilvl w:val="0"/>
          <w:numId w:val="15"/>
        </w:numPr>
        <w:jc w:val="both"/>
      </w:pPr>
      <w:r w:rsidRPr="00C34D4F">
        <w:t>The overhead channels (i.e., the overhead due to feedback and control channels) should be</w:t>
      </w:r>
      <w:r>
        <w:t xml:space="preserve"> </w:t>
      </w:r>
      <w:r w:rsidRPr="00C34D4F">
        <w:t xml:space="preserve">realistically </w:t>
      </w:r>
      <w:r w:rsidR="00E6432A" w:rsidRPr="00C34D4F">
        <w:t>modeled</w:t>
      </w:r>
      <w:r w:rsidRPr="00C34D4F">
        <w:t>.</w:t>
      </w:r>
    </w:p>
    <w:p w14:paraId="6E877312" w14:textId="77777777" w:rsidR="000B48F9" w:rsidRDefault="000B48F9" w:rsidP="000B48F9">
      <w:pPr>
        <w:pStyle w:val="Corpsdetexte"/>
        <w:numPr>
          <w:ilvl w:val="0"/>
          <w:numId w:val="15"/>
        </w:numPr>
        <w:jc w:val="both"/>
      </w:pPr>
      <w:r w:rsidRPr="002A223A">
        <w:t>For a given drop</w:t>
      </w:r>
      <w:r>
        <w:t>,</w:t>
      </w:r>
      <w:r w:rsidRPr="002A223A">
        <w:t xml:space="preserve"> the simulation is run and then the process is repeated with the users</w:t>
      </w:r>
      <w:r>
        <w:t xml:space="preserve"> </w:t>
      </w:r>
      <w:r w:rsidRPr="002A223A">
        <w:t>dropped at new random locations. A sufficient number of drops are simulated to ensure</w:t>
      </w:r>
      <w:r>
        <w:t xml:space="preserve"> </w:t>
      </w:r>
      <w:r w:rsidRPr="002A223A">
        <w:t>convergence in the user and system performance metrics.</w:t>
      </w:r>
      <w:r>
        <w:t xml:space="preserve"> For mMTC simulations, due to the large number of devices, only one drop is sufficient.</w:t>
      </w:r>
    </w:p>
    <w:p w14:paraId="5D56650F" w14:textId="77777777" w:rsidR="000B48F9" w:rsidRDefault="000B48F9" w:rsidP="000B48F9">
      <w:pPr>
        <w:pStyle w:val="Corpsdetexte"/>
        <w:numPr>
          <w:ilvl w:val="0"/>
          <w:numId w:val="15"/>
        </w:numPr>
        <w:jc w:val="both"/>
      </w:pPr>
      <w:r w:rsidRPr="002A223A">
        <w:t>Performance statistics are collected taking into account the wrap-around configuration in</w:t>
      </w:r>
      <w:r>
        <w:t xml:space="preserve"> </w:t>
      </w:r>
      <w:r w:rsidRPr="002A223A">
        <w:t xml:space="preserve">the network layout, noting that wrap-around </w:t>
      </w:r>
      <w:r w:rsidR="00152D28">
        <w:t xml:space="preserve">may </w:t>
      </w:r>
      <w:r w:rsidRPr="002A223A">
        <w:t>n</w:t>
      </w:r>
      <w:r w:rsidRPr="00C824B9">
        <w:t xml:space="preserve">ot </w:t>
      </w:r>
      <w:r w:rsidR="00152D28">
        <w:t xml:space="preserve">be </w:t>
      </w:r>
      <w:r w:rsidRPr="00C824B9">
        <w:t xml:space="preserve">considered in </w:t>
      </w:r>
      <w:r w:rsidR="00152D28">
        <w:t xml:space="preserve">some test cases </w:t>
      </w:r>
    </w:p>
    <w:p w14:paraId="566FE377" w14:textId="77777777" w:rsidR="000B48F9" w:rsidRDefault="000B48F9" w:rsidP="000B48F9">
      <w:pPr>
        <w:pStyle w:val="Titre1"/>
      </w:pPr>
      <w:bookmarkStart w:id="1" w:name="_Ref440294352"/>
      <w:r>
        <w:t>IMT</w:t>
      </w:r>
      <w:r w:rsidR="00222E8C">
        <w:t>-</w:t>
      </w:r>
      <w:r>
        <w:t xml:space="preserve">2020 usage scenarios mapped </w:t>
      </w:r>
      <w:r w:rsidR="004C2128">
        <w:t xml:space="preserve">to test case and </w:t>
      </w:r>
      <w:r>
        <w:t>deployment scenarios</w:t>
      </w:r>
      <w:bookmarkEnd w:id="1"/>
    </w:p>
    <w:p w14:paraId="1D761F1B" w14:textId="77777777" w:rsidR="005D0FEA" w:rsidRDefault="00A16CEF" w:rsidP="001D31FE">
      <w:pPr>
        <w:keepNext/>
        <w:jc w:val="center"/>
      </w:pPr>
      <w:r w:rsidRPr="00A16CEF">
        <w:rPr>
          <w:noProof/>
          <w:lang w:val="fr-FR" w:eastAsia="fr-FR"/>
        </w:rPr>
        <w:drawing>
          <wp:inline distT="0" distB="0" distL="0" distR="0" wp14:anchorId="4FDD0983" wp14:editId="20165F6B">
            <wp:extent cx="5800725" cy="3606861"/>
            <wp:effectExtent l="0" t="0" r="0" b="0"/>
            <wp:docPr id="9" name="Picture 9" descr="D:\userdata\wroe1461\Desktop\Pic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ata\wroe1461\Desktop\Picture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4882" cy="3609446"/>
                    </a:xfrm>
                    <a:prstGeom prst="rect">
                      <a:avLst/>
                    </a:prstGeom>
                    <a:noFill/>
                    <a:ln>
                      <a:noFill/>
                    </a:ln>
                  </pic:spPr>
                </pic:pic>
              </a:graphicData>
            </a:graphic>
          </wp:inline>
        </w:drawing>
      </w:r>
    </w:p>
    <w:p w14:paraId="5793FE3D" w14:textId="77777777" w:rsidR="005D0FEA" w:rsidRDefault="0081450C" w:rsidP="009E4C57">
      <w:pPr>
        <w:pStyle w:val="Lgende"/>
        <w:jc w:val="center"/>
      </w:pPr>
      <w:r>
        <w:t xml:space="preserve">Figure 1 </w:t>
      </w:r>
      <w:r w:rsidR="005D0FEA">
        <w:t xml:space="preserve"> IMT-2020 us</w:t>
      </w:r>
      <w:r w:rsidR="00261DE2">
        <w:t>age</w:t>
      </w:r>
      <w:r w:rsidR="005D0FEA">
        <w:t xml:space="preserve"> </w:t>
      </w:r>
      <w:r w:rsidR="00261DE2">
        <w:t>scenarios</w:t>
      </w:r>
      <w:r w:rsidR="005D0FEA">
        <w:t>,</w:t>
      </w:r>
      <w:r>
        <w:t xml:space="preserve"> mapped to </w:t>
      </w:r>
      <w:r w:rsidR="000A591F">
        <w:t>test</w:t>
      </w:r>
      <w:r w:rsidR="009E4C57">
        <w:t xml:space="preserve"> cases</w:t>
      </w:r>
      <w:r w:rsidR="005D0FEA">
        <w:t>.</w:t>
      </w:r>
    </w:p>
    <w:p w14:paraId="638D432C" w14:textId="77777777" w:rsidR="00E6432A" w:rsidRDefault="005D0FEA" w:rsidP="009C2F63">
      <w:r>
        <w:lastRenderedPageBreak/>
        <w:t xml:space="preserve">As defined in </w:t>
      </w:r>
      <w:r w:rsidR="008379A2">
        <w:t>[ITUR-M</w:t>
      </w:r>
      <w:r w:rsidR="00373E80">
        <w:t>.</w:t>
      </w:r>
      <w:r w:rsidR="008379A2">
        <w:t>2083]</w:t>
      </w:r>
      <w:r>
        <w:t xml:space="preserve">, IMT-2020 will be based on three </w:t>
      </w:r>
      <w:r w:rsidR="004C2128">
        <w:t>u</w:t>
      </w:r>
      <w:r w:rsidR="00D05F6A">
        <w:t>s</w:t>
      </w:r>
      <w:r w:rsidR="004C2128">
        <w:t>age sce</w:t>
      </w:r>
      <w:r w:rsidR="000F5D28">
        <w:t>na</w:t>
      </w:r>
      <w:r w:rsidR="004C2128">
        <w:t>rios</w:t>
      </w:r>
      <w:r w:rsidR="00D05F6A">
        <w:t>. F</w:t>
      </w:r>
      <w:r>
        <w:t>or</w:t>
      </w:r>
      <w:r w:rsidR="00D05F6A">
        <w:t xml:space="preserve"> these three usage scenarios</w:t>
      </w:r>
      <w:r>
        <w:t xml:space="preserve"> </w:t>
      </w:r>
      <w:r w:rsidR="004C2128">
        <w:t>the follwing test case are envis</w:t>
      </w:r>
      <w:r w:rsidR="00D05F6A">
        <w:t>a</w:t>
      </w:r>
      <w:r w:rsidR="004C2128">
        <w:t>ged:</w:t>
      </w:r>
    </w:p>
    <w:p w14:paraId="3D56E718" w14:textId="77777777" w:rsidR="008665A0" w:rsidRPr="00D05F6A" w:rsidRDefault="00585F7E">
      <w:pPr>
        <w:rPr>
          <w:b/>
        </w:rPr>
      </w:pPr>
      <w:r w:rsidRPr="00585F7E">
        <w:rPr>
          <w:b/>
        </w:rPr>
        <w:t>Enhanced Mobile Broadband</w:t>
      </w:r>
      <w:r w:rsidR="00D05F6A">
        <w:rPr>
          <w:b/>
        </w:rPr>
        <w:t xml:space="preserve"> </w:t>
      </w:r>
      <w:r w:rsidRPr="00585F7E">
        <w:rPr>
          <w:b/>
        </w:rPr>
        <w:t>(eMBB)</w:t>
      </w:r>
    </w:p>
    <w:p w14:paraId="49EC6414" w14:textId="331A0ACB" w:rsidR="00E6432A" w:rsidRPr="009C2F63" w:rsidRDefault="00103932" w:rsidP="009C2F63">
      <w:pPr>
        <w:pStyle w:val="Paragraphedeliste"/>
        <w:numPr>
          <w:ilvl w:val="0"/>
          <w:numId w:val="16"/>
        </w:numPr>
        <w:rPr>
          <w:lang w:val="en-US"/>
        </w:rPr>
      </w:pPr>
      <w:r w:rsidRPr="009C2F63">
        <w:rPr>
          <w:lang w:val="en-US"/>
        </w:rPr>
        <w:t xml:space="preserve">Dense Urban Information </w:t>
      </w:r>
      <w:r w:rsidR="00E51FB5" w:rsidRPr="009C2F63">
        <w:rPr>
          <w:lang w:val="en-US"/>
        </w:rPr>
        <w:t>Society:</w:t>
      </w:r>
      <w:r w:rsidR="00E6432A" w:rsidRPr="009C2F63">
        <w:rPr>
          <w:lang w:val="en-US"/>
        </w:rPr>
        <w:t xml:space="preserve"> </w:t>
      </w:r>
      <w:r w:rsidR="009C2F63" w:rsidRPr="009C2F63">
        <w:rPr>
          <w:lang w:val="en-US"/>
        </w:rPr>
        <w:t xml:space="preserve">the objective of </w:t>
      </w:r>
      <w:r w:rsidR="00E6432A" w:rsidRPr="009C2F63">
        <w:rPr>
          <w:lang w:val="en-US"/>
        </w:rPr>
        <w:t>this test ca</w:t>
      </w:r>
      <w:r w:rsidR="009C2F63" w:rsidRPr="009C2F63">
        <w:rPr>
          <w:lang w:val="en-US"/>
        </w:rPr>
        <w:t>se</w:t>
      </w:r>
      <w:r w:rsidR="00E51FB5" w:rsidRPr="009C2F63">
        <w:rPr>
          <w:lang w:val="en-US"/>
        </w:rPr>
        <w:t xml:space="preserve"> </w:t>
      </w:r>
      <w:r w:rsidR="009C2F63" w:rsidRPr="009C2F63">
        <w:rPr>
          <w:lang w:val="en-US"/>
        </w:rPr>
        <w:t xml:space="preserve">is to </w:t>
      </w:r>
      <w:r w:rsidR="00E51FB5" w:rsidRPr="009C2F63">
        <w:rPr>
          <w:lang w:val="en-US"/>
        </w:rPr>
        <w:t xml:space="preserve">provide connectivity </w:t>
      </w:r>
      <w:r w:rsidR="00E51FB5" w:rsidRPr="00D56355">
        <w:rPr>
          <w:lang w:val="en-US"/>
        </w:rPr>
        <w:t>for city dwellers at any place and time</w:t>
      </w:r>
      <w:r w:rsidR="009C2F63">
        <w:rPr>
          <w:lang w:val="en-US"/>
        </w:rPr>
        <w:t xml:space="preserve">. Exemplary applications in this </w:t>
      </w:r>
      <w:r w:rsidR="00E51FB5">
        <w:rPr>
          <w:lang w:val="en-US"/>
        </w:rPr>
        <w:t>te</w:t>
      </w:r>
      <w:r w:rsidR="009C2F63">
        <w:rPr>
          <w:lang w:val="en-US"/>
        </w:rPr>
        <w:t>s</w:t>
      </w:r>
      <w:r w:rsidR="00E51FB5">
        <w:rPr>
          <w:lang w:val="en-US"/>
        </w:rPr>
        <w:t xml:space="preserve">t case are </w:t>
      </w:r>
      <w:r w:rsidR="00E51FB5" w:rsidRPr="009C2F63">
        <w:rPr>
          <w:lang w:val="en-US"/>
        </w:rPr>
        <w:t>immersive multi-media applications (including 4K/8K ultra high definition video, virtual realit</w:t>
      </w:r>
      <w:r w:rsidR="00150F75">
        <w:rPr>
          <w:lang w:val="en-US"/>
        </w:rPr>
        <w:t xml:space="preserve">y </w:t>
      </w:r>
      <w:r w:rsidR="00E51FB5" w:rsidRPr="009C2F63">
        <w:rPr>
          <w:lang w:val="en-US"/>
        </w:rPr>
        <w:t>and real time mobile gaming</w:t>
      </w:r>
      <w:r w:rsidR="009C2F63" w:rsidRPr="009C2F63">
        <w:rPr>
          <w:lang w:val="en-US"/>
        </w:rPr>
        <w:t>)</w:t>
      </w:r>
      <w:r w:rsidR="001D31FE">
        <w:rPr>
          <w:lang w:val="en-US"/>
        </w:rPr>
        <w:t>. IMT-</w:t>
      </w:r>
      <w:r w:rsidR="00E51FB5" w:rsidRPr="009C2F63">
        <w:rPr>
          <w:lang w:val="en-US"/>
        </w:rPr>
        <w:t xml:space="preserve">2020 services should provide in such test case </w:t>
      </w:r>
      <w:r w:rsidR="009C2F63" w:rsidRPr="009C2F63">
        <w:rPr>
          <w:lang w:val="en-US"/>
        </w:rPr>
        <w:t>an i</w:t>
      </w:r>
      <w:r w:rsidR="00E51FB5" w:rsidRPr="009C2F63">
        <w:rPr>
          <w:lang w:val="en-US"/>
        </w:rPr>
        <w:t xml:space="preserve">mproved quality of experience (QoE) </w:t>
      </w:r>
      <w:r w:rsidR="009C2F63" w:rsidRPr="009C2F63">
        <w:rPr>
          <w:lang w:val="en-US"/>
        </w:rPr>
        <w:t>for</w:t>
      </w:r>
      <w:r w:rsidR="00E51FB5" w:rsidRPr="009C2F63">
        <w:rPr>
          <w:lang w:val="en-US"/>
        </w:rPr>
        <w:t xml:space="preserve"> users compared to the IMT-A services.</w:t>
      </w:r>
    </w:p>
    <w:p w14:paraId="0CC81D60" w14:textId="77777777" w:rsidR="00E6432A" w:rsidRPr="009C2F63" w:rsidRDefault="005D0FEA">
      <w:pPr>
        <w:pStyle w:val="Paragraphedeliste"/>
        <w:numPr>
          <w:ilvl w:val="0"/>
          <w:numId w:val="16"/>
        </w:numPr>
        <w:rPr>
          <w:lang w:val="en-US"/>
        </w:rPr>
      </w:pPr>
      <w:r w:rsidRPr="009C2F63">
        <w:rPr>
          <w:lang w:val="en-US"/>
        </w:rPr>
        <w:t xml:space="preserve">Virtual Reality </w:t>
      </w:r>
      <w:r w:rsidR="00D05F6A" w:rsidRPr="009C2F63">
        <w:rPr>
          <w:lang w:val="en-US"/>
        </w:rPr>
        <w:t>Office</w:t>
      </w:r>
      <w:r w:rsidR="00E51FB5" w:rsidRPr="009C2F63">
        <w:rPr>
          <w:lang w:val="en-US"/>
        </w:rPr>
        <w:t xml:space="preserve">: </w:t>
      </w:r>
      <w:r w:rsidR="009C2F63">
        <w:rPr>
          <w:lang w:val="en-US"/>
        </w:rPr>
        <w:t>This</w:t>
      </w:r>
      <w:r w:rsidR="00E51FB5">
        <w:rPr>
          <w:lang w:val="en-US"/>
        </w:rPr>
        <w:t xml:space="preserve"> test case</w:t>
      </w:r>
      <w:r w:rsidR="00E51FB5" w:rsidRPr="00E03464">
        <w:rPr>
          <w:lang w:val="en-US"/>
        </w:rPr>
        <w:t xml:space="preserve"> is </w:t>
      </w:r>
      <w:r w:rsidR="009C2F63">
        <w:rPr>
          <w:lang w:val="en-US"/>
        </w:rPr>
        <w:t xml:space="preserve">based on </w:t>
      </w:r>
      <w:r w:rsidR="00E51FB5" w:rsidRPr="00E03464">
        <w:rPr>
          <w:lang w:val="en-US"/>
        </w:rPr>
        <w:t xml:space="preserve">a future indoor setting where improved wireless technologies will provide </w:t>
      </w:r>
      <w:r w:rsidR="00E51FB5">
        <w:rPr>
          <w:lang w:val="en-US"/>
        </w:rPr>
        <w:t>extremely</w:t>
      </w:r>
      <w:r w:rsidR="00E51FB5" w:rsidRPr="00E03464">
        <w:rPr>
          <w:lang w:val="en-US"/>
        </w:rPr>
        <w:t xml:space="preserve"> high data rates while fulfilling challenging capacity requirements at a reasonable cost</w:t>
      </w:r>
    </w:p>
    <w:p w14:paraId="741B91A3" w14:textId="77777777" w:rsidR="00E6432A" w:rsidRDefault="00103932">
      <w:pPr>
        <w:pStyle w:val="Paragraphedeliste"/>
        <w:numPr>
          <w:ilvl w:val="0"/>
          <w:numId w:val="16"/>
        </w:numPr>
        <w:rPr>
          <w:noProof/>
          <w:lang w:eastAsia="fr-FR"/>
        </w:rPr>
      </w:pPr>
      <w:r>
        <w:t>Broadband Access Everywhere</w:t>
      </w:r>
      <w:r w:rsidR="00E51FB5">
        <w:t>: this test case emphasizes the need of providing acceptable broadband user experience practically everywhere, even in areas with sparse network infrastructure or at very high user speeds.</w:t>
      </w:r>
    </w:p>
    <w:p w14:paraId="60AF0908" w14:textId="77777777" w:rsidR="004C2128" w:rsidRPr="00D05F6A" w:rsidRDefault="00585F7E" w:rsidP="00444703">
      <w:pPr>
        <w:rPr>
          <w:b/>
        </w:rPr>
      </w:pPr>
      <w:r w:rsidRPr="00585F7E">
        <w:rPr>
          <w:b/>
        </w:rPr>
        <w:t xml:space="preserve">Massive machine type communications (mMTC) </w:t>
      </w:r>
    </w:p>
    <w:p w14:paraId="35FA6A9F" w14:textId="77777777" w:rsidR="00E6432A" w:rsidRDefault="00103932">
      <w:pPr>
        <w:pStyle w:val="Paragraphedeliste"/>
        <w:numPr>
          <w:ilvl w:val="0"/>
          <w:numId w:val="25"/>
        </w:numPr>
      </w:pPr>
      <w:r>
        <w:t>Ma</w:t>
      </w:r>
      <w:r w:rsidR="00585F7E">
        <w:t>ss</w:t>
      </w:r>
      <w:r>
        <w:t>ive Deployment of Sensors and Actuators</w:t>
      </w:r>
      <w:r w:rsidR="008D36AA">
        <w:t xml:space="preserve">: </w:t>
      </w:r>
      <w:r w:rsidR="00AB2A2B">
        <w:t xml:space="preserve">this test case is related to </w:t>
      </w:r>
      <w:r w:rsidR="00AB2A2B" w:rsidRPr="00D56355">
        <w:rPr>
          <w:lang w:val="en-US"/>
        </w:rPr>
        <w:t>to the progressive trend observed in contemporary networks, where machine type devices use radio access to transmit data related to the variety of applications</w:t>
      </w:r>
      <w:r w:rsidR="00AB2A2B">
        <w:rPr>
          <w:lang w:val="en-US"/>
        </w:rPr>
        <w:t xml:space="preserve">. </w:t>
      </w:r>
      <w:r w:rsidR="009C2F63">
        <w:rPr>
          <w:lang w:val="en-US"/>
        </w:rPr>
        <w:t>K</w:t>
      </w:r>
      <w:r w:rsidR="00AB2A2B" w:rsidRPr="00D56355">
        <w:rPr>
          <w:lang w:val="en-US"/>
        </w:rPr>
        <w:t>ey challenge for mMTC</w:t>
      </w:r>
      <w:r w:rsidR="009C2F63">
        <w:rPr>
          <w:lang w:val="en-US"/>
        </w:rPr>
        <w:t xml:space="preserve"> is a</w:t>
      </w:r>
      <w:r w:rsidR="00AB2A2B" w:rsidRPr="00D56355">
        <w:rPr>
          <w:lang w:val="en-US"/>
        </w:rPr>
        <w:t xml:space="preserve"> very large number of low cost devices requiring sporadic access for low payload data exchange</w:t>
      </w:r>
      <w:r w:rsidR="00150F75">
        <w:rPr>
          <w:lang w:val="en-US"/>
        </w:rPr>
        <w:t>.</w:t>
      </w:r>
      <w:r w:rsidR="00AB2A2B">
        <w:rPr>
          <w:lang w:val="en-US"/>
        </w:rPr>
        <w:t xml:space="preserve"> </w:t>
      </w:r>
      <w:r w:rsidR="009C2F63">
        <w:rPr>
          <w:lang w:val="en-US"/>
        </w:rPr>
        <w:t xml:space="preserve">This challenge is </w:t>
      </w:r>
      <w:r w:rsidR="00AB2A2B" w:rsidRPr="00D56355">
        <w:rPr>
          <w:lang w:val="en-US"/>
        </w:rPr>
        <w:t xml:space="preserve">different than for </w:t>
      </w:r>
      <w:r w:rsidR="00AB2A2B">
        <w:rPr>
          <w:lang w:val="en-US"/>
        </w:rPr>
        <w:t>e</w:t>
      </w:r>
      <w:r w:rsidR="00AB2A2B" w:rsidRPr="00D56355">
        <w:rPr>
          <w:lang w:val="en-US"/>
        </w:rPr>
        <w:t>MBB</w:t>
      </w:r>
      <w:r w:rsidR="00AB2A2B">
        <w:rPr>
          <w:lang w:val="en-US"/>
        </w:rPr>
        <w:t>.</w:t>
      </w:r>
      <w:r>
        <w:t xml:space="preserve"> </w:t>
      </w:r>
    </w:p>
    <w:p w14:paraId="62D9331F" w14:textId="77777777" w:rsidR="004C2128" w:rsidRPr="00D05F6A" w:rsidRDefault="00585F7E" w:rsidP="00444703">
      <w:pPr>
        <w:rPr>
          <w:b/>
        </w:rPr>
      </w:pPr>
      <w:r w:rsidRPr="00585F7E">
        <w:rPr>
          <w:b/>
        </w:rPr>
        <w:t>Ultra-reliable and low latency communications (</w:t>
      </w:r>
      <w:r w:rsidR="00C96D1D">
        <w:rPr>
          <w:b/>
        </w:rPr>
        <w:t>URLLC</w:t>
      </w:r>
      <w:r w:rsidRPr="00585F7E">
        <w:rPr>
          <w:b/>
        </w:rPr>
        <w:t>)</w:t>
      </w:r>
    </w:p>
    <w:p w14:paraId="418B128A" w14:textId="77777777" w:rsidR="00E6432A" w:rsidRDefault="00103932">
      <w:pPr>
        <w:pStyle w:val="Paragraphedeliste"/>
        <w:numPr>
          <w:ilvl w:val="0"/>
          <w:numId w:val="17"/>
        </w:numPr>
      </w:pPr>
      <w:r w:rsidRPr="00152D28">
        <w:rPr>
          <w:lang w:val="en-US"/>
        </w:rPr>
        <w:t>Connected Cars</w:t>
      </w:r>
      <w:r w:rsidR="00724902">
        <w:rPr>
          <w:lang w:val="en-US"/>
        </w:rPr>
        <w:t xml:space="preserve">: this test case </w:t>
      </w:r>
      <w:r w:rsidR="00724902">
        <w:t xml:space="preserve">focus on the exchange of safety related data between moving vehicles (or potential vulnerable road users). Such safety related communication is challenging, as reliability of the transmission can be impacted by the availability of radio resources (possible concentration of vehicles in a cell) and high velocity (frequent cell change and challenging transmission conditions caused by the high Doppler effect).   </w:t>
      </w:r>
      <w:r w:rsidRPr="00152D28">
        <w:rPr>
          <w:lang w:val="en-US"/>
        </w:rPr>
        <w:t xml:space="preserve"> </w:t>
      </w:r>
    </w:p>
    <w:p w14:paraId="0F530FA7" w14:textId="77777777" w:rsidR="00AB2A2B" w:rsidRDefault="00AB2A2B" w:rsidP="00444703"/>
    <w:p w14:paraId="008C3324" w14:textId="30E265B9" w:rsidR="008C3BF9" w:rsidRDefault="00D05F6A" w:rsidP="00444703">
      <w:r>
        <w:t>e</w:t>
      </w:r>
      <w:r w:rsidR="00103932">
        <w:t xml:space="preserve">MBB </w:t>
      </w:r>
      <w:r w:rsidR="00264024">
        <w:t xml:space="preserve">test </w:t>
      </w:r>
      <w:r w:rsidR="00103932">
        <w:t xml:space="preserve">cases have similar requirements as of IMT-A </w:t>
      </w:r>
      <w:r w:rsidR="009C0A96">
        <w:t>(</w:t>
      </w:r>
      <w:r w:rsidR="00103932">
        <w:t>high-speed broadband access</w:t>
      </w:r>
      <w:r w:rsidR="009C0A96">
        <w:t>)</w:t>
      </w:r>
      <w:r w:rsidR="00AB2A2B">
        <w:t xml:space="preserve">, however these requirements are </w:t>
      </w:r>
      <w:r w:rsidR="009C0A96">
        <w:t xml:space="preserve"> are</w:t>
      </w:r>
      <w:r w:rsidR="00103932">
        <w:t xml:space="preserve"> pushed to </w:t>
      </w:r>
      <w:r w:rsidR="009C0A96">
        <w:t xml:space="preserve">the </w:t>
      </w:r>
      <w:r w:rsidR="00103932">
        <w:t>new extremes</w:t>
      </w:r>
      <w:r w:rsidR="00AB2A2B">
        <w:t xml:space="preserve"> (e.g. 1Gbps is</w:t>
      </w:r>
      <w:r w:rsidR="001D31FE">
        <w:t xml:space="preserve"> IMT-A peak data rate , for IMT-</w:t>
      </w:r>
      <w:r w:rsidR="00AB2A2B">
        <w:t xml:space="preserve">2020 this is the expected user throught in </w:t>
      </w:r>
      <w:r w:rsidR="009C2F63">
        <w:t xml:space="preserve">test </w:t>
      </w:r>
      <w:r w:rsidR="00AB2A2B">
        <w:t xml:space="preserve">case </w:t>
      </w:r>
      <w:r w:rsidR="009C2F63">
        <w:t>of</w:t>
      </w:r>
      <w:r w:rsidR="00AB2A2B">
        <w:t xml:space="preserve"> virutal reality</w:t>
      </w:r>
      <w:r w:rsidR="009C2F63">
        <w:t xml:space="preserve"> office</w:t>
      </w:r>
      <w:r w:rsidR="00AB2A2B">
        <w:t>)</w:t>
      </w:r>
      <w:r w:rsidR="009C0A96">
        <w:t>,</w:t>
      </w:r>
      <w:r w:rsidR="00103932">
        <w:t xml:space="preserve"> </w:t>
      </w:r>
      <w:r w:rsidR="009C0A96">
        <w:t>which</w:t>
      </w:r>
      <w:r w:rsidR="00103932">
        <w:t xml:space="preserve"> reflect</w:t>
      </w:r>
      <w:r w:rsidR="009C0A96">
        <w:t>s</w:t>
      </w:r>
      <w:r w:rsidR="00103932">
        <w:t xml:space="preserve"> </w:t>
      </w:r>
      <w:r w:rsidR="009C0A96">
        <w:t>the effects of growing number of broadband devices and high data rates applications. In contrary to IMT-A evaluation [ITUR M</w:t>
      </w:r>
      <w:r w:rsidR="00373E80">
        <w:t>.</w:t>
      </w:r>
      <w:r w:rsidR="009C0A96">
        <w:t>2135] which focus to a large extend on spectral efficiency, proposed approach</w:t>
      </w:r>
      <w:r w:rsidR="00264024">
        <w:t xml:space="preserve"> in thsi input </w:t>
      </w:r>
      <w:r w:rsidR="009C0A96">
        <w:t xml:space="preserve"> suggest evaluation of </w:t>
      </w:r>
      <w:r w:rsidR="008665A0">
        <w:t>e</w:t>
      </w:r>
      <w:r w:rsidR="009C0A96">
        <w:t xml:space="preserve">MBB </w:t>
      </w:r>
      <w:r w:rsidR="00264024">
        <w:t xml:space="preserve">test </w:t>
      </w:r>
      <w:r w:rsidR="009C0A96">
        <w:t xml:space="preserve"> cases using absolute data rates to better reflect impact of some key </w:t>
      </w:r>
      <w:r w:rsidR="008C3BF9">
        <w:t>enhancements for IMT-2020, such as utilization of higher frequency bands and exploitation of extreme network densification.</w:t>
      </w:r>
    </w:p>
    <w:p w14:paraId="1D92ABC5" w14:textId="4D7E2DF4" w:rsidR="00724CE5" w:rsidRDefault="009C0A96" w:rsidP="00444703">
      <w:pPr>
        <w:rPr>
          <w:lang w:val="en-GB"/>
        </w:rPr>
      </w:pPr>
      <w:r>
        <w:t>On the other hand</w:t>
      </w:r>
      <w:r w:rsidR="008C3BF9">
        <w:t xml:space="preserve"> specific nature of mMTC and </w:t>
      </w:r>
      <w:r w:rsidR="00C96D1D">
        <w:t>URLLC</w:t>
      </w:r>
      <w:r w:rsidR="008C3BF9">
        <w:t xml:space="preserve"> application </w:t>
      </w:r>
      <w:r w:rsidR="00264024">
        <w:t xml:space="preserve">test </w:t>
      </w:r>
      <w:r w:rsidR="008C3BF9">
        <w:t xml:space="preserve">cases impose different set of indicators that should be used for a </w:t>
      </w:r>
      <w:r w:rsidR="00152D28">
        <w:t xml:space="preserve">approporiate </w:t>
      </w:r>
      <w:r w:rsidR="008C3BF9">
        <w:t xml:space="preserve"> evaluation of IMT-2020 performance. mMTC devices should operate with much longer battery life comparing to </w:t>
      </w:r>
      <w:r w:rsidR="008665A0">
        <w:t>e</w:t>
      </w:r>
      <w:r w:rsidR="008C3BF9">
        <w:t>MBB and at much higher densities</w:t>
      </w:r>
      <w:r w:rsidR="00906FE2">
        <w:t xml:space="preserve">. Similarly, for </w:t>
      </w:r>
      <w:r w:rsidR="00C96D1D">
        <w:t>URLLC</w:t>
      </w:r>
      <w:r w:rsidR="00906FE2">
        <w:t xml:space="preserve"> applications key performance indicators will rely on extremely high reliability linked with capability to tran</w:t>
      </w:r>
      <w:r w:rsidR="001D31FE">
        <w:t>smit data with very low latency.</w:t>
      </w:r>
      <w:r w:rsidR="00906FE2">
        <w:t xml:space="preserve"> </w:t>
      </w:r>
      <w:r w:rsidR="00152D28">
        <w:rPr>
          <w:lang w:val="en-GB"/>
        </w:rPr>
        <w:t xml:space="preserve">The </w:t>
      </w:r>
      <w:r w:rsidR="000A591F">
        <w:rPr>
          <w:lang w:val="en-GB"/>
        </w:rPr>
        <w:t>test</w:t>
      </w:r>
      <w:r w:rsidR="00724CE5">
        <w:rPr>
          <w:lang w:val="en-GB"/>
        </w:rPr>
        <w:t xml:space="preserve"> cases</w:t>
      </w:r>
      <w:r w:rsidR="00152D28">
        <w:rPr>
          <w:lang w:val="en-GB"/>
        </w:rPr>
        <w:t xml:space="preserve"> can be mapped to</w:t>
      </w:r>
      <w:r w:rsidR="00724CE5">
        <w:rPr>
          <w:lang w:val="en-GB"/>
        </w:rPr>
        <w:t xml:space="preserve"> deployment scenarios is as follows:</w:t>
      </w:r>
    </w:p>
    <w:p w14:paraId="7CB5C460" w14:textId="77777777" w:rsidR="001D31FE" w:rsidRDefault="001D31FE" w:rsidP="00444703">
      <w:pPr>
        <w:rPr>
          <w:lang w:val="en-GB"/>
        </w:rPr>
      </w:pPr>
    </w:p>
    <w:p w14:paraId="643B95CD" w14:textId="77777777" w:rsidR="001D31FE" w:rsidRDefault="001D31FE" w:rsidP="00444703">
      <w:pPr>
        <w:rPr>
          <w:lang w:val="en-GB"/>
        </w:rPr>
      </w:pPr>
    </w:p>
    <w:p w14:paraId="5CEECE49" w14:textId="77777777" w:rsidR="001D31FE" w:rsidRDefault="001D31FE" w:rsidP="00444703">
      <w:pPr>
        <w:rPr>
          <w:lang w:val="en-GB"/>
        </w:rPr>
      </w:pPr>
    </w:p>
    <w:p w14:paraId="506CA72D" w14:textId="77777777" w:rsidR="001D31FE" w:rsidRDefault="001D31FE" w:rsidP="00444703">
      <w:pPr>
        <w:rPr>
          <w:lang w:val="en-GB"/>
        </w:rPr>
      </w:pPr>
    </w:p>
    <w:p w14:paraId="73564F52" w14:textId="77777777" w:rsidR="001D31FE" w:rsidRDefault="001D31FE" w:rsidP="00444703">
      <w:pPr>
        <w:rPr>
          <w:lang w:val="en-GB"/>
        </w:rPr>
      </w:pPr>
    </w:p>
    <w:p w14:paraId="512E0528" w14:textId="77777777" w:rsidR="001D31FE" w:rsidRDefault="001D31FE" w:rsidP="00444703">
      <w:pPr>
        <w:rPr>
          <w:lang w:val="en-GB"/>
        </w:rPr>
      </w:pPr>
    </w:p>
    <w:tbl>
      <w:tblPr>
        <w:tblStyle w:val="Grilledutableau"/>
        <w:tblW w:w="0" w:type="auto"/>
        <w:tblLook w:val="04A0" w:firstRow="1" w:lastRow="0" w:firstColumn="1" w:lastColumn="0" w:noHBand="0" w:noVBand="1"/>
      </w:tblPr>
      <w:tblGrid>
        <w:gridCol w:w="1540"/>
        <w:gridCol w:w="1540"/>
        <w:gridCol w:w="1540"/>
        <w:gridCol w:w="1540"/>
        <w:gridCol w:w="1281"/>
        <w:gridCol w:w="1801"/>
      </w:tblGrid>
      <w:tr w:rsidR="00152D28" w14:paraId="5587210B" w14:textId="77777777" w:rsidTr="000F5D28">
        <w:tc>
          <w:tcPr>
            <w:tcW w:w="9242" w:type="dxa"/>
            <w:gridSpan w:val="6"/>
          </w:tcPr>
          <w:p w14:paraId="1ED4672E" w14:textId="77777777" w:rsidR="00152D28" w:rsidRPr="00C8214A" w:rsidRDefault="00152D28" w:rsidP="000F5D28">
            <w:pPr>
              <w:jc w:val="center"/>
              <w:rPr>
                <w:b/>
              </w:rPr>
            </w:pPr>
            <w:r w:rsidRPr="00C8214A">
              <w:rPr>
                <w:b/>
                <w:sz w:val="28"/>
              </w:rPr>
              <w:lastRenderedPageBreak/>
              <w:t>IMT 2020 Usage scenarios  Recommendation ITU-R M. 2083</w:t>
            </w:r>
          </w:p>
        </w:tc>
      </w:tr>
      <w:tr w:rsidR="00152D28" w14:paraId="4C58AE60" w14:textId="77777777" w:rsidTr="000F5D28">
        <w:tc>
          <w:tcPr>
            <w:tcW w:w="3080" w:type="dxa"/>
            <w:gridSpan w:val="2"/>
          </w:tcPr>
          <w:p w14:paraId="3C0B9693" w14:textId="77777777" w:rsidR="00152D28" w:rsidRDefault="008665A0" w:rsidP="000F5D28">
            <w:pPr>
              <w:jc w:val="center"/>
            </w:pPr>
            <w:r>
              <w:rPr>
                <w:sz w:val="28"/>
              </w:rPr>
              <w:t>e</w:t>
            </w:r>
            <w:r w:rsidR="00152D28" w:rsidRPr="00C8214A">
              <w:rPr>
                <w:sz w:val="28"/>
              </w:rPr>
              <w:t>MBB</w:t>
            </w:r>
          </w:p>
        </w:tc>
        <w:tc>
          <w:tcPr>
            <w:tcW w:w="3080" w:type="dxa"/>
            <w:gridSpan w:val="2"/>
          </w:tcPr>
          <w:p w14:paraId="239C5308" w14:textId="77777777" w:rsidR="00152D28" w:rsidRDefault="00152D28" w:rsidP="000F5D28">
            <w:pPr>
              <w:jc w:val="center"/>
            </w:pPr>
            <w:r w:rsidRPr="00C8214A">
              <w:rPr>
                <w:sz w:val="28"/>
              </w:rPr>
              <w:t>mMTC</w:t>
            </w:r>
          </w:p>
        </w:tc>
        <w:tc>
          <w:tcPr>
            <w:tcW w:w="3082" w:type="dxa"/>
            <w:gridSpan w:val="2"/>
          </w:tcPr>
          <w:p w14:paraId="3F2A1447" w14:textId="77777777" w:rsidR="00152D28" w:rsidRDefault="00C96D1D" w:rsidP="000F5D28">
            <w:pPr>
              <w:jc w:val="center"/>
            </w:pPr>
            <w:r>
              <w:rPr>
                <w:sz w:val="28"/>
              </w:rPr>
              <w:t>URLLC</w:t>
            </w:r>
          </w:p>
        </w:tc>
      </w:tr>
      <w:tr w:rsidR="00152D28" w14:paraId="61D8637B" w14:textId="77777777" w:rsidTr="001D31FE">
        <w:tc>
          <w:tcPr>
            <w:tcW w:w="1540" w:type="dxa"/>
          </w:tcPr>
          <w:p w14:paraId="012676C4" w14:textId="77777777" w:rsidR="00152D28" w:rsidRDefault="00152D28" w:rsidP="000F5D28">
            <w:r>
              <w:t xml:space="preserve">Test case </w:t>
            </w:r>
          </w:p>
        </w:tc>
        <w:tc>
          <w:tcPr>
            <w:tcW w:w="1540" w:type="dxa"/>
          </w:tcPr>
          <w:p w14:paraId="3BA6E12B" w14:textId="77777777" w:rsidR="00152D28" w:rsidRDefault="00152D28" w:rsidP="000F5D28">
            <w:r>
              <w:t>Deployment scenario</w:t>
            </w:r>
          </w:p>
        </w:tc>
        <w:tc>
          <w:tcPr>
            <w:tcW w:w="1540" w:type="dxa"/>
          </w:tcPr>
          <w:p w14:paraId="0C190FA8" w14:textId="77777777" w:rsidR="00152D28" w:rsidRDefault="00152D28" w:rsidP="000F5D28">
            <w:r>
              <w:t>Test case</w:t>
            </w:r>
          </w:p>
        </w:tc>
        <w:tc>
          <w:tcPr>
            <w:tcW w:w="1540" w:type="dxa"/>
          </w:tcPr>
          <w:p w14:paraId="387A6797" w14:textId="77777777" w:rsidR="00152D28" w:rsidRDefault="00152D28" w:rsidP="000F5D28">
            <w:r>
              <w:t>Deployment scenario</w:t>
            </w:r>
          </w:p>
        </w:tc>
        <w:tc>
          <w:tcPr>
            <w:tcW w:w="1281" w:type="dxa"/>
          </w:tcPr>
          <w:p w14:paraId="4AE4D13D" w14:textId="77777777" w:rsidR="00152D28" w:rsidRDefault="00152D28" w:rsidP="000F5D28">
            <w:r>
              <w:t>Test case</w:t>
            </w:r>
          </w:p>
        </w:tc>
        <w:tc>
          <w:tcPr>
            <w:tcW w:w="1801" w:type="dxa"/>
          </w:tcPr>
          <w:p w14:paraId="473BF2A4" w14:textId="77777777" w:rsidR="00152D28" w:rsidRDefault="00152D28" w:rsidP="000F5D28">
            <w:r>
              <w:t>descriptions</w:t>
            </w:r>
          </w:p>
        </w:tc>
      </w:tr>
      <w:tr w:rsidR="00152D28" w14:paraId="2C814BE9" w14:textId="77777777" w:rsidTr="001D31FE">
        <w:tc>
          <w:tcPr>
            <w:tcW w:w="1540" w:type="dxa"/>
          </w:tcPr>
          <w:p w14:paraId="456D40B9" w14:textId="77777777" w:rsidR="00152D28" w:rsidRDefault="00152D28" w:rsidP="000F5D28">
            <w:r>
              <w:t>Dense Urban</w:t>
            </w:r>
            <w:r w:rsidR="00F907EA">
              <w:t xml:space="preserve"> Information Society</w:t>
            </w:r>
          </w:p>
        </w:tc>
        <w:tc>
          <w:tcPr>
            <w:tcW w:w="1540" w:type="dxa"/>
          </w:tcPr>
          <w:p w14:paraId="0B58C749" w14:textId="77777777" w:rsidR="00152D28" w:rsidRDefault="00152D28" w:rsidP="000F5D28">
            <w:r>
              <w:t>HetNet</w:t>
            </w:r>
            <w:r w:rsidR="00F907EA">
              <w:t xml:space="preserve"> (Urban Macro + </w:t>
            </w:r>
            <w:r w:rsidR="00232F5E">
              <w:t xml:space="preserve">Outdoor </w:t>
            </w:r>
            <w:r w:rsidR="00F907EA">
              <w:t>Small Cells)</w:t>
            </w:r>
            <w:r w:rsidR="002334AA">
              <w:t xml:space="preserve"> (FFS)</w:t>
            </w:r>
          </w:p>
        </w:tc>
        <w:tc>
          <w:tcPr>
            <w:tcW w:w="1540" w:type="dxa"/>
          </w:tcPr>
          <w:p w14:paraId="67E1F955" w14:textId="77777777" w:rsidR="00152D28" w:rsidRDefault="00152D28" w:rsidP="000F5D28">
            <w:r>
              <w:rPr>
                <w:lang w:val="en-GB"/>
              </w:rPr>
              <w:t>Massive Deployment of Sensors and Actuators</w:t>
            </w:r>
          </w:p>
        </w:tc>
        <w:tc>
          <w:tcPr>
            <w:tcW w:w="1540" w:type="dxa"/>
          </w:tcPr>
          <w:p w14:paraId="63272C76" w14:textId="77777777" w:rsidR="00152D28" w:rsidRDefault="00152D28" w:rsidP="000F5D28">
            <w:r>
              <w:rPr>
                <w:lang w:val="en-GB"/>
              </w:rPr>
              <w:t>Urban Macro</w:t>
            </w:r>
          </w:p>
        </w:tc>
        <w:tc>
          <w:tcPr>
            <w:tcW w:w="1281" w:type="dxa"/>
          </w:tcPr>
          <w:p w14:paraId="70E18AFF" w14:textId="77777777" w:rsidR="00152D28" w:rsidRDefault="00152D28" w:rsidP="000F5D28">
            <w:r>
              <w:t>Connected cars</w:t>
            </w:r>
          </w:p>
        </w:tc>
        <w:tc>
          <w:tcPr>
            <w:tcW w:w="1801" w:type="dxa"/>
          </w:tcPr>
          <w:p w14:paraId="179E5A91" w14:textId="77777777" w:rsidR="00152D28" w:rsidRDefault="0042132B">
            <w:r>
              <w:t>HetNet</w:t>
            </w:r>
            <w:r w:rsidR="00232F5E">
              <w:t xml:space="preserve"> (Urban Macro + Outdoor Small Cells configured as RSUs) </w:t>
            </w:r>
          </w:p>
          <w:p w14:paraId="31051EF4" w14:textId="77777777" w:rsidR="002334AA" w:rsidRDefault="002334AA">
            <w:r>
              <w:t>(FFS)</w:t>
            </w:r>
          </w:p>
        </w:tc>
      </w:tr>
      <w:tr w:rsidR="00152D28" w14:paraId="7971D863" w14:textId="77777777" w:rsidTr="001D31FE">
        <w:tc>
          <w:tcPr>
            <w:tcW w:w="1540" w:type="dxa"/>
          </w:tcPr>
          <w:p w14:paraId="7749F83E" w14:textId="77777777" w:rsidR="00152D28" w:rsidRDefault="00152D28" w:rsidP="000F5D28">
            <w:r>
              <w:t>Virtual reality office</w:t>
            </w:r>
          </w:p>
        </w:tc>
        <w:tc>
          <w:tcPr>
            <w:tcW w:w="1540" w:type="dxa"/>
          </w:tcPr>
          <w:p w14:paraId="6BC5511E" w14:textId="77777777" w:rsidR="00152D28" w:rsidRDefault="00152D28" w:rsidP="000F5D28">
            <w:r>
              <w:rPr>
                <w:lang w:val="en-GB"/>
              </w:rPr>
              <w:t>Indoor Hotspot</w:t>
            </w:r>
          </w:p>
        </w:tc>
        <w:tc>
          <w:tcPr>
            <w:tcW w:w="1540" w:type="dxa"/>
          </w:tcPr>
          <w:p w14:paraId="0BC5C9A3" w14:textId="77777777" w:rsidR="00152D28" w:rsidRDefault="00152D28" w:rsidP="000F5D28"/>
        </w:tc>
        <w:tc>
          <w:tcPr>
            <w:tcW w:w="1540" w:type="dxa"/>
          </w:tcPr>
          <w:p w14:paraId="3DD52EAF" w14:textId="77777777" w:rsidR="00152D28" w:rsidRDefault="00152D28" w:rsidP="000F5D28"/>
        </w:tc>
        <w:tc>
          <w:tcPr>
            <w:tcW w:w="1281" w:type="dxa"/>
          </w:tcPr>
          <w:p w14:paraId="366CB974" w14:textId="77777777" w:rsidR="00152D28" w:rsidRDefault="00152D28" w:rsidP="000F5D28"/>
        </w:tc>
        <w:tc>
          <w:tcPr>
            <w:tcW w:w="1801" w:type="dxa"/>
          </w:tcPr>
          <w:p w14:paraId="041374BB" w14:textId="77777777" w:rsidR="00152D28" w:rsidRDefault="00152D28" w:rsidP="000F5D28"/>
        </w:tc>
      </w:tr>
      <w:tr w:rsidR="00152D28" w14:paraId="1C66D615" w14:textId="77777777" w:rsidTr="001D31FE">
        <w:tc>
          <w:tcPr>
            <w:tcW w:w="1540" w:type="dxa"/>
          </w:tcPr>
          <w:p w14:paraId="1F873F7C" w14:textId="77777777" w:rsidR="00152D28" w:rsidRDefault="00152D28" w:rsidP="000F5D28">
            <w:r>
              <w:t>Broadband access everywhere</w:t>
            </w:r>
          </w:p>
        </w:tc>
        <w:tc>
          <w:tcPr>
            <w:tcW w:w="1540" w:type="dxa"/>
          </w:tcPr>
          <w:p w14:paraId="229B32B8" w14:textId="77777777" w:rsidR="00152D28" w:rsidRDefault="00152D28" w:rsidP="000F5D28">
            <w:r>
              <w:rPr>
                <w:lang w:val="en-GB"/>
              </w:rPr>
              <w:t>Rural Macro</w:t>
            </w:r>
          </w:p>
        </w:tc>
        <w:tc>
          <w:tcPr>
            <w:tcW w:w="1540" w:type="dxa"/>
          </w:tcPr>
          <w:p w14:paraId="36F578F0" w14:textId="77777777" w:rsidR="00152D28" w:rsidRDefault="00152D28" w:rsidP="000F5D28"/>
        </w:tc>
        <w:tc>
          <w:tcPr>
            <w:tcW w:w="1540" w:type="dxa"/>
          </w:tcPr>
          <w:p w14:paraId="022D5C98" w14:textId="77777777" w:rsidR="00152D28" w:rsidRDefault="00152D28" w:rsidP="000F5D28"/>
        </w:tc>
        <w:tc>
          <w:tcPr>
            <w:tcW w:w="1281" w:type="dxa"/>
          </w:tcPr>
          <w:p w14:paraId="2145D8AF" w14:textId="77777777" w:rsidR="00152D28" w:rsidRDefault="00152D28" w:rsidP="000F5D28"/>
        </w:tc>
        <w:tc>
          <w:tcPr>
            <w:tcW w:w="1801" w:type="dxa"/>
          </w:tcPr>
          <w:p w14:paraId="0F968487" w14:textId="77777777" w:rsidR="00152D28" w:rsidRDefault="00152D28" w:rsidP="000F5D28"/>
        </w:tc>
      </w:tr>
    </w:tbl>
    <w:p w14:paraId="302FAF75" w14:textId="77777777" w:rsidR="00724CE5" w:rsidRDefault="00724CE5" w:rsidP="00444703">
      <w:pPr>
        <w:rPr>
          <w:lang w:val="en-GB"/>
        </w:rPr>
      </w:pPr>
    </w:p>
    <w:p w14:paraId="306AEE73" w14:textId="77777777" w:rsidR="00152D28" w:rsidRDefault="00DE5325" w:rsidP="00444703">
      <w:pPr>
        <w:rPr>
          <w:lang w:val="en-GB"/>
        </w:rPr>
      </w:pPr>
      <w:r>
        <w:rPr>
          <w:lang w:val="en-GB"/>
        </w:rPr>
        <w:t xml:space="preserve">The </w:t>
      </w:r>
      <w:r w:rsidR="00CE263D">
        <w:rPr>
          <w:lang w:val="en-GB"/>
        </w:rPr>
        <w:t>following</w:t>
      </w:r>
      <w:r>
        <w:rPr>
          <w:lang w:val="en-GB"/>
        </w:rPr>
        <w:t xml:space="preserve"> table gives general </w:t>
      </w:r>
      <w:r w:rsidR="00CE263D">
        <w:rPr>
          <w:lang w:val="en-GB"/>
        </w:rPr>
        <w:t>information’s</w:t>
      </w:r>
      <w:r>
        <w:rPr>
          <w:lang w:val="en-GB"/>
        </w:rPr>
        <w:t xml:space="preserve"> on </w:t>
      </w:r>
      <w:r w:rsidR="00CE263D">
        <w:rPr>
          <w:lang w:val="en-GB"/>
        </w:rPr>
        <w:t xml:space="preserve">proposed deployments scenarios </w:t>
      </w:r>
      <w:r w:rsidR="00414EB5">
        <w:rPr>
          <w:lang w:val="en-GB"/>
        </w:rPr>
        <w:t xml:space="preserve">as </w:t>
      </w:r>
      <w:r w:rsidR="00CE263D">
        <w:rPr>
          <w:lang w:val="en-GB"/>
        </w:rPr>
        <w:t xml:space="preserve">examples of </w:t>
      </w:r>
      <w:r w:rsidR="008665A0">
        <w:rPr>
          <w:lang w:val="en-GB"/>
        </w:rPr>
        <w:t>parameters to</w:t>
      </w:r>
      <w:r w:rsidR="00CE263D">
        <w:rPr>
          <w:lang w:val="en-GB"/>
        </w:rPr>
        <w:t xml:space="preserve"> be </w:t>
      </w:r>
      <w:r w:rsidR="008665A0">
        <w:rPr>
          <w:lang w:val="en-GB"/>
        </w:rPr>
        <w:t>applied in</w:t>
      </w:r>
      <w:r w:rsidR="00CE263D">
        <w:rPr>
          <w:lang w:val="en-GB"/>
        </w:rPr>
        <w:t xml:space="preserve"> simulations evaluations</w:t>
      </w:r>
      <w:r w:rsidR="00414EB5">
        <w:rPr>
          <w:lang w:val="en-GB"/>
        </w:rPr>
        <w:t xml:space="preserve"> based on what is currently under development in METIS II project (</w:t>
      </w:r>
      <w:r w:rsidR="00091608">
        <w:rPr>
          <w:lang w:val="en-GB"/>
        </w:rPr>
        <w:t xml:space="preserve"> these parameters are </w:t>
      </w:r>
      <w:r w:rsidR="00414EB5">
        <w:rPr>
          <w:lang w:val="en-GB"/>
        </w:rPr>
        <w:t xml:space="preserve">subject </w:t>
      </w:r>
      <w:r w:rsidR="00091608">
        <w:rPr>
          <w:lang w:val="en-GB"/>
        </w:rPr>
        <w:t xml:space="preserve">for </w:t>
      </w:r>
      <w:r w:rsidR="00414EB5">
        <w:rPr>
          <w:lang w:val="en-GB"/>
        </w:rPr>
        <w:t xml:space="preserve"> further study</w:t>
      </w:r>
      <w:r w:rsidR="00091608">
        <w:rPr>
          <w:lang w:val="en-GB"/>
        </w:rPr>
        <w:t>/ FFS</w:t>
      </w:r>
      <w:r w:rsidR="00414EB5">
        <w:rPr>
          <w:lang w:val="en-GB"/>
        </w:rPr>
        <w:t>)</w:t>
      </w:r>
      <w:r w:rsidR="00CE263D">
        <w:rPr>
          <w:lang w:val="en-GB"/>
        </w:rPr>
        <w:t>:</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4"/>
        <w:gridCol w:w="1620"/>
        <w:gridCol w:w="1980"/>
        <w:gridCol w:w="2070"/>
        <w:gridCol w:w="1380"/>
      </w:tblGrid>
      <w:tr w:rsidR="00CE263D" w:rsidRPr="00C56BB8" w14:paraId="28DF7D45" w14:textId="77777777" w:rsidTr="001D31FE">
        <w:trPr>
          <w:trHeight w:val="208"/>
          <w:jc w:val="center"/>
        </w:trPr>
        <w:tc>
          <w:tcPr>
            <w:tcW w:w="1834" w:type="dxa"/>
            <w:vMerge w:val="restart"/>
          </w:tcPr>
          <w:p w14:paraId="114A8E8B" w14:textId="77777777" w:rsidR="00CE263D" w:rsidRPr="00C56BB8" w:rsidRDefault="00CE263D" w:rsidP="000F5D28">
            <w:pPr>
              <w:pStyle w:val="TableHeading"/>
              <w:rPr>
                <w:lang w:val="en-GB" w:eastAsia="ja-JP"/>
              </w:rPr>
            </w:pPr>
            <w:r w:rsidRPr="00C56BB8">
              <w:rPr>
                <w:lang w:val="en-GB"/>
              </w:rPr>
              <w:t>Deployment scenario</w:t>
            </w:r>
            <w:r w:rsidRPr="00C56BB8">
              <w:rPr>
                <w:lang w:val="en-GB" w:eastAsia="ja-JP"/>
              </w:rPr>
              <w:t xml:space="preserve"> </w:t>
            </w:r>
          </w:p>
        </w:tc>
        <w:tc>
          <w:tcPr>
            <w:tcW w:w="1620" w:type="dxa"/>
            <w:vMerge w:val="restart"/>
          </w:tcPr>
          <w:p w14:paraId="744B1906" w14:textId="77777777" w:rsidR="00CE263D" w:rsidRPr="00C56BB8" w:rsidRDefault="00CE263D" w:rsidP="000F5D28">
            <w:pPr>
              <w:pStyle w:val="TableHeading"/>
              <w:rPr>
                <w:lang w:val="en-GB"/>
              </w:rPr>
            </w:pPr>
            <w:r w:rsidRPr="00C56BB8">
              <w:rPr>
                <w:lang w:val="en-GB"/>
              </w:rPr>
              <w:t>Indoor hotspot</w:t>
            </w:r>
          </w:p>
        </w:tc>
        <w:tc>
          <w:tcPr>
            <w:tcW w:w="4050" w:type="dxa"/>
            <w:gridSpan w:val="2"/>
          </w:tcPr>
          <w:p w14:paraId="000BF3AB" w14:textId="77777777" w:rsidR="00CE263D" w:rsidRPr="00C56BB8" w:rsidRDefault="00CE263D" w:rsidP="000F5D28">
            <w:pPr>
              <w:pStyle w:val="TableHeading"/>
              <w:rPr>
                <w:lang w:val="en-GB"/>
              </w:rPr>
            </w:pPr>
            <w:r w:rsidRPr="00C56BB8">
              <w:rPr>
                <w:lang w:val="en-GB"/>
              </w:rPr>
              <w:t>HetNet</w:t>
            </w:r>
            <w:r w:rsidR="002334AA">
              <w:rPr>
                <w:lang w:val="en-GB"/>
              </w:rPr>
              <w:t xml:space="preserve"> (FFS)</w:t>
            </w:r>
          </w:p>
          <w:p w14:paraId="658F9D98" w14:textId="77777777" w:rsidR="00CE263D" w:rsidRPr="00C56BB8" w:rsidRDefault="00CE263D" w:rsidP="000F5D28">
            <w:pPr>
              <w:pStyle w:val="TableHeading"/>
              <w:rPr>
                <w:lang w:val="en-GB"/>
              </w:rPr>
            </w:pPr>
          </w:p>
        </w:tc>
        <w:tc>
          <w:tcPr>
            <w:tcW w:w="1380" w:type="dxa"/>
            <w:vMerge w:val="restart"/>
          </w:tcPr>
          <w:p w14:paraId="519DAC15" w14:textId="77777777" w:rsidR="00CE263D" w:rsidRPr="00C56BB8" w:rsidRDefault="00CE263D">
            <w:pPr>
              <w:pStyle w:val="TableHeading"/>
              <w:rPr>
                <w:lang w:val="en-GB" w:eastAsia="ja-JP"/>
              </w:rPr>
            </w:pPr>
            <w:r w:rsidRPr="00C56BB8">
              <w:rPr>
                <w:lang w:val="en-GB"/>
              </w:rPr>
              <w:t>Rural</w:t>
            </w:r>
            <w:r w:rsidRPr="00C56BB8">
              <w:rPr>
                <w:lang w:val="en-GB"/>
              </w:rPr>
              <w:br/>
              <w:t>macro</w:t>
            </w:r>
          </w:p>
        </w:tc>
      </w:tr>
      <w:tr w:rsidR="00CE263D" w:rsidRPr="00C56BB8" w14:paraId="0D447A9F" w14:textId="77777777" w:rsidTr="001D31FE">
        <w:trPr>
          <w:trHeight w:val="908"/>
          <w:jc w:val="center"/>
        </w:trPr>
        <w:tc>
          <w:tcPr>
            <w:tcW w:w="1834" w:type="dxa"/>
            <w:vMerge/>
          </w:tcPr>
          <w:p w14:paraId="20D5792A" w14:textId="77777777" w:rsidR="00CE263D" w:rsidRPr="00C56BB8" w:rsidRDefault="00CE263D" w:rsidP="000F5D28">
            <w:pPr>
              <w:pStyle w:val="TableHeading"/>
              <w:rPr>
                <w:lang w:val="en-GB"/>
              </w:rPr>
            </w:pPr>
          </w:p>
        </w:tc>
        <w:tc>
          <w:tcPr>
            <w:tcW w:w="1620" w:type="dxa"/>
            <w:vMerge/>
          </w:tcPr>
          <w:p w14:paraId="38960378" w14:textId="77777777" w:rsidR="00CE263D" w:rsidRPr="00C56BB8" w:rsidRDefault="00CE263D" w:rsidP="000F5D28">
            <w:pPr>
              <w:pStyle w:val="TableHeading"/>
              <w:rPr>
                <w:lang w:val="en-GB"/>
              </w:rPr>
            </w:pPr>
          </w:p>
        </w:tc>
        <w:tc>
          <w:tcPr>
            <w:tcW w:w="1980" w:type="dxa"/>
          </w:tcPr>
          <w:p w14:paraId="6E0FE9CF" w14:textId="77777777" w:rsidR="00CE263D" w:rsidRPr="00C56BB8" w:rsidRDefault="00CE263D" w:rsidP="000F5D28">
            <w:pPr>
              <w:pStyle w:val="TableHeading"/>
              <w:rPr>
                <w:lang w:val="en-GB"/>
              </w:rPr>
            </w:pPr>
            <w:r>
              <w:rPr>
                <w:lang w:val="en-GB"/>
              </w:rPr>
              <w:t xml:space="preserve">Outdoor </w:t>
            </w:r>
            <w:r w:rsidRPr="00C56BB8">
              <w:rPr>
                <w:lang w:val="en-GB"/>
              </w:rPr>
              <w:t>small cells</w:t>
            </w:r>
          </w:p>
        </w:tc>
        <w:tc>
          <w:tcPr>
            <w:tcW w:w="2070" w:type="dxa"/>
          </w:tcPr>
          <w:p w14:paraId="73899485" w14:textId="77777777" w:rsidR="00CE263D" w:rsidRPr="00C56BB8" w:rsidRDefault="00CE263D">
            <w:pPr>
              <w:pStyle w:val="TableHeading"/>
              <w:rPr>
                <w:lang w:val="en-GB"/>
              </w:rPr>
            </w:pPr>
            <w:r>
              <w:rPr>
                <w:lang w:val="en-GB"/>
              </w:rPr>
              <w:t xml:space="preserve">Urban </w:t>
            </w:r>
            <w:r w:rsidRPr="00C56BB8">
              <w:rPr>
                <w:lang w:val="en-GB"/>
              </w:rPr>
              <w:t>macro</w:t>
            </w:r>
            <w:r>
              <w:rPr>
                <w:lang w:val="en-GB"/>
              </w:rPr>
              <w:t xml:space="preserve"> </w:t>
            </w:r>
          </w:p>
        </w:tc>
        <w:tc>
          <w:tcPr>
            <w:tcW w:w="1380" w:type="dxa"/>
            <w:vMerge/>
          </w:tcPr>
          <w:p w14:paraId="0013A8EF" w14:textId="77777777" w:rsidR="00CE263D" w:rsidRPr="00C56BB8" w:rsidRDefault="00CE263D" w:rsidP="000F5D28">
            <w:pPr>
              <w:pStyle w:val="TableHeading"/>
              <w:rPr>
                <w:lang w:val="en-GB"/>
              </w:rPr>
            </w:pPr>
          </w:p>
        </w:tc>
      </w:tr>
      <w:tr w:rsidR="00CE263D" w:rsidRPr="00C56BB8" w14:paraId="1E86B6DF" w14:textId="77777777" w:rsidTr="001D31FE">
        <w:trPr>
          <w:jc w:val="center"/>
        </w:trPr>
        <w:tc>
          <w:tcPr>
            <w:tcW w:w="1834" w:type="dxa"/>
          </w:tcPr>
          <w:p w14:paraId="1720D62B" w14:textId="77777777" w:rsidR="00CE263D" w:rsidRPr="00C56BB8" w:rsidRDefault="00CE263D" w:rsidP="000F5D28">
            <w:pPr>
              <w:rPr>
                <w:lang w:val="en-GB"/>
              </w:rPr>
            </w:pPr>
            <w:r w:rsidRPr="00C56BB8">
              <w:rPr>
                <w:lang w:val="en-GB"/>
              </w:rPr>
              <w:t>BS antenna height</w:t>
            </w:r>
          </w:p>
        </w:tc>
        <w:tc>
          <w:tcPr>
            <w:tcW w:w="1620" w:type="dxa"/>
          </w:tcPr>
          <w:p w14:paraId="61C4FDCA" w14:textId="77777777" w:rsidR="00CE263D" w:rsidRPr="00C56BB8" w:rsidRDefault="00CE263D" w:rsidP="000F5D28">
            <w:pPr>
              <w:rPr>
                <w:lang w:val="en-GB"/>
              </w:rPr>
            </w:pPr>
            <w:r w:rsidRPr="00C56BB8">
              <w:rPr>
                <w:lang w:val="en-GB"/>
              </w:rPr>
              <w:t>3 m, mounted on ceiling</w:t>
            </w:r>
          </w:p>
        </w:tc>
        <w:tc>
          <w:tcPr>
            <w:tcW w:w="1980" w:type="dxa"/>
          </w:tcPr>
          <w:p w14:paraId="5D4911AE" w14:textId="77777777" w:rsidR="00CE263D" w:rsidRPr="00C56BB8" w:rsidRDefault="00CE263D" w:rsidP="000F5D28">
            <w:pPr>
              <w:rPr>
                <w:lang w:val="en-GB"/>
              </w:rPr>
            </w:pPr>
            <w:r w:rsidRPr="00C56BB8">
              <w:rPr>
                <w:lang w:val="en-GB"/>
              </w:rPr>
              <w:t>10 m on the lamppost / below the rooftop</w:t>
            </w:r>
          </w:p>
          <w:p w14:paraId="57382C08" w14:textId="77777777" w:rsidR="00CE263D" w:rsidRPr="00C56BB8" w:rsidRDefault="00CE263D" w:rsidP="000F5D28">
            <w:pPr>
              <w:rPr>
                <w:lang w:val="en-GB"/>
              </w:rPr>
            </w:pPr>
          </w:p>
          <w:p w14:paraId="20FE175C" w14:textId="77777777" w:rsidR="00CE263D" w:rsidRPr="00C56BB8" w:rsidRDefault="00CE263D" w:rsidP="000F5D28">
            <w:pPr>
              <w:rPr>
                <w:lang w:val="en-GB"/>
              </w:rPr>
            </w:pPr>
          </w:p>
        </w:tc>
        <w:tc>
          <w:tcPr>
            <w:tcW w:w="2070" w:type="dxa"/>
          </w:tcPr>
          <w:p w14:paraId="4ED2DFD7" w14:textId="77777777" w:rsidR="00CE263D" w:rsidRPr="00C56BB8" w:rsidRDefault="00CE263D" w:rsidP="000F5D28">
            <w:pPr>
              <w:rPr>
                <w:lang w:val="en-GB"/>
              </w:rPr>
            </w:pPr>
            <w:smartTag w:uri="urn:schemas-microsoft-com:office:smarttags" w:element="chmetcnv">
              <w:smartTagPr>
                <w:attr w:name="TCSC" w:val="0"/>
                <w:attr w:name="NumberType" w:val="1"/>
                <w:attr w:name="Negative" w:val="False"/>
                <w:attr w:name="HasSpace" w:val="True"/>
                <w:attr w:name="SourceValue" w:val="25"/>
                <w:attr w:name="UnitName" w:val="m"/>
              </w:smartTagPr>
              <w:r w:rsidRPr="00C56BB8">
                <w:rPr>
                  <w:lang w:val="en-GB"/>
                </w:rPr>
                <w:t>25 m</w:t>
              </w:r>
            </w:smartTag>
            <w:r w:rsidRPr="00C56BB8">
              <w:rPr>
                <w:lang w:val="en-GB"/>
              </w:rPr>
              <w:t>, above rooftop</w:t>
            </w:r>
          </w:p>
        </w:tc>
        <w:tc>
          <w:tcPr>
            <w:tcW w:w="1380" w:type="dxa"/>
          </w:tcPr>
          <w:p w14:paraId="0AE21686" w14:textId="77777777" w:rsidR="00CE263D" w:rsidRPr="00C56BB8" w:rsidRDefault="00CE263D" w:rsidP="000F5D28">
            <w:pPr>
              <w:rPr>
                <w:lang w:val="en-GB"/>
              </w:rPr>
            </w:pPr>
            <w:smartTag w:uri="urn:schemas-microsoft-com:office:smarttags" w:element="chmetcnv">
              <w:smartTagPr>
                <w:attr w:name="TCSC" w:val="0"/>
                <w:attr w:name="NumberType" w:val="1"/>
                <w:attr w:name="Negative" w:val="False"/>
                <w:attr w:name="HasSpace" w:val="True"/>
                <w:attr w:name="SourceValue" w:val="35"/>
                <w:attr w:name="UnitName" w:val="m"/>
              </w:smartTagPr>
              <w:r w:rsidRPr="00C56BB8">
                <w:rPr>
                  <w:lang w:val="en-GB"/>
                </w:rPr>
                <w:t>35 m</w:t>
              </w:r>
            </w:smartTag>
            <w:r w:rsidRPr="00C56BB8">
              <w:rPr>
                <w:lang w:val="en-GB"/>
              </w:rPr>
              <w:t>, above rooftop</w:t>
            </w:r>
          </w:p>
        </w:tc>
      </w:tr>
      <w:tr w:rsidR="00CE263D" w:rsidRPr="00C56BB8" w14:paraId="4CD8C50B" w14:textId="77777777" w:rsidTr="001D31FE">
        <w:trPr>
          <w:jc w:val="center"/>
        </w:trPr>
        <w:tc>
          <w:tcPr>
            <w:tcW w:w="1834" w:type="dxa"/>
          </w:tcPr>
          <w:p w14:paraId="2899EABF" w14:textId="77777777" w:rsidR="00CE263D" w:rsidRPr="00C56BB8" w:rsidRDefault="00CE263D" w:rsidP="000F5D28">
            <w:pPr>
              <w:rPr>
                <w:lang w:val="en-GB"/>
              </w:rPr>
            </w:pPr>
            <w:r w:rsidRPr="00C56BB8">
              <w:rPr>
                <w:lang w:val="en-GB"/>
              </w:rPr>
              <w:t xml:space="preserve">Carrier frequency for evaluation </w:t>
            </w:r>
          </w:p>
        </w:tc>
        <w:tc>
          <w:tcPr>
            <w:tcW w:w="1620" w:type="dxa"/>
          </w:tcPr>
          <w:p w14:paraId="33CF6EF0" w14:textId="77777777" w:rsidR="00CE263D" w:rsidRPr="00C56BB8" w:rsidRDefault="00CE263D" w:rsidP="000F5D28">
            <w:pPr>
              <w:rPr>
                <w:lang w:val="en-GB"/>
              </w:rPr>
            </w:pPr>
            <w:r w:rsidRPr="00C56BB8">
              <w:rPr>
                <w:lang w:val="en-GB"/>
              </w:rPr>
              <w:t>3.5 GHz and</w:t>
            </w:r>
            <w:r>
              <w:rPr>
                <w:lang w:val="en-GB"/>
              </w:rPr>
              <w:t xml:space="preserve"> </w:t>
            </w:r>
            <w:r w:rsidRPr="00C56BB8">
              <w:rPr>
                <w:lang w:val="en-GB"/>
              </w:rPr>
              <w:t>66-86 GHz</w:t>
            </w:r>
          </w:p>
        </w:tc>
        <w:tc>
          <w:tcPr>
            <w:tcW w:w="1980" w:type="dxa"/>
          </w:tcPr>
          <w:p w14:paraId="37DFC6F4" w14:textId="77777777" w:rsidR="00CE263D" w:rsidRPr="00C56BB8" w:rsidRDefault="00CE263D" w:rsidP="000F5D28">
            <w:pPr>
              <w:rPr>
                <w:lang w:val="en-GB"/>
              </w:rPr>
            </w:pPr>
            <w:r w:rsidRPr="00C56BB8">
              <w:rPr>
                <w:lang w:val="en-GB"/>
              </w:rPr>
              <w:t xml:space="preserve">24-27 GHz in </w:t>
            </w:r>
            <w:r w:rsidR="004E22D1">
              <w:rPr>
                <w:lang w:val="en-GB"/>
              </w:rPr>
              <w:t>Dense Urban Information Society</w:t>
            </w:r>
          </w:p>
          <w:p w14:paraId="1EE04959" w14:textId="77777777" w:rsidR="00CE263D" w:rsidRPr="00C56BB8" w:rsidRDefault="00CE263D" w:rsidP="008B13F6">
            <w:pPr>
              <w:rPr>
                <w:lang w:val="en-GB"/>
              </w:rPr>
            </w:pPr>
            <w:r w:rsidRPr="00C56BB8">
              <w:rPr>
                <w:lang w:val="en-GB"/>
              </w:rPr>
              <w:t xml:space="preserve">5.9 GHz for </w:t>
            </w:r>
            <w:r w:rsidR="004E22D1">
              <w:rPr>
                <w:lang w:val="en-GB"/>
              </w:rPr>
              <w:t xml:space="preserve">Outdoor Small Cells </w:t>
            </w:r>
            <w:r w:rsidRPr="00C56BB8">
              <w:rPr>
                <w:lang w:val="en-GB"/>
              </w:rPr>
              <w:t xml:space="preserve"> in</w:t>
            </w:r>
            <w:r w:rsidR="004E22D1">
              <w:rPr>
                <w:lang w:val="en-GB"/>
              </w:rPr>
              <w:t xml:space="preserve"> Connected Cars</w:t>
            </w:r>
          </w:p>
        </w:tc>
        <w:tc>
          <w:tcPr>
            <w:tcW w:w="2070" w:type="dxa"/>
          </w:tcPr>
          <w:p w14:paraId="1D6A927B" w14:textId="77777777" w:rsidR="00CE263D" w:rsidRPr="00C56BB8" w:rsidRDefault="00CE263D" w:rsidP="000F5D28">
            <w:pPr>
              <w:rPr>
                <w:lang w:val="en-GB"/>
              </w:rPr>
            </w:pPr>
            <w:r w:rsidRPr="00C56BB8">
              <w:rPr>
                <w:lang w:val="en-GB" w:eastAsia="zh-CN"/>
              </w:rPr>
              <w:t xml:space="preserve">2 </w:t>
            </w:r>
            <w:r>
              <w:rPr>
                <w:lang w:val="en-GB" w:eastAsia="zh-CN"/>
              </w:rPr>
              <w:t xml:space="preserve">GHz for </w:t>
            </w:r>
            <w:r w:rsidR="004E22D1">
              <w:rPr>
                <w:lang w:val="en-GB" w:eastAsia="zh-CN"/>
              </w:rPr>
              <w:t>Massive Deployment of Sensors and Actuators</w:t>
            </w:r>
            <w:r>
              <w:rPr>
                <w:lang w:val="en-GB" w:eastAsia="zh-CN"/>
              </w:rPr>
              <w:t xml:space="preserve"> and </w:t>
            </w:r>
            <w:r w:rsidR="004E22D1">
              <w:rPr>
                <w:lang w:val="en-GB" w:eastAsia="zh-CN"/>
              </w:rPr>
              <w:t>Connected Cars</w:t>
            </w:r>
            <w:r>
              <w:rPr>
                <w:lang w:val="en-GB" w:eastAsia="zh-CN"/>
              </w:rPr>
              <w:t>,</w:t>
            </w:r>
            <w:r w:rsidRPr="00C56BB8">
              <w:rPr>
                <w:lang w:val="en-GB" w:eastAsia="zh-CN"/>
              </w:rPr>
              <w:t xml:space="preserve"> </w:t>
            </w:r>
            <w:r w:rsidRPr="00C56BB8">
              <w:rPr>
                <w:lang w:val="en-GB"/>
              </w:rPr>
              <w:t xml:space="preserve">3.5 GHz </w:t>
            </w:r>
            <w:r>
              <w:rPr>
                <w:lang w:val="en-GB"/>
              </w:rPr>
              <w:t xml:space="preserve"> for </w:t>
            </w:r>
            <w:r w:rsidR="004E22D1">
              <w:rPr>
                <w:lang w:val="en-GB"/>
              </w:rPr>
              <w:t>Dense Urban Information Society</w:t>
            </w:r>
          </w:p>
        </w:tc>
        <w:tc>
          <w:tcPr>
            <w:tcW w:w="1380" w:type="dxa"/>
          </w:tcPr>
          <w:p w14:paraId="1C824689" w14:textId="77777777" w:rsidR="00CE263D" w:rsidRPr="00C56BB8" w:rsidRDefault="00CE263D" w:rsidP="000F5D28">
            <w:pPr>
              <w:rPr>
                <w:lang w:val="en-GB"/>
              </w:rPr>
            </w:pPr>
            <w:r w:rsidRPr="00C56BB8">
              <w:rPr>
                <w:lang w:val="en-GB"/>
              </w:rPr>
              <w:t>800 MHz</w:t>
            </w:r>
          </w:p>
        </w:tc>
      </w:tr>
      <w:tr w:rsidR="00CE263D" w:rsidRPr="00C56BB8" w14:paraId="2592A298" w14:textId="77777777" w:rsidTr="001D31FE">
        <w:trPr>
          <w:jc w:val="center"/>
        </w:trPr>
        <w:tc>
          <w:tcPr>
            <w:tcW w:w="1834" w:type="dxa"/>
          </w:tcPr>
          <w:p w14:paraId="330C1794" w14:textId="77777777" w:rsidR="00CE263D" w:rsidRPr="00C56BB8" w:rsidRDefault="00CE263D" w:rsidP="000F5D28">
            <w:pPr>
              <w:rPr>
                <w:lang w:val="en-GB"/>
              </w:rPr>
            </w:pPr>
            <w:r w:rsidRPr="00C56BB8">
              <w:rPr>
                <w:lang w:val="en-GB"/>
              </w:rPr>
              <w:t>Duplexing</w:t>
            </w:r>
          </w:p>
        </w:tc>
        <w:tc>
          <w:tcPr>
            <w:tcW w:w="1620" w:type="dxa"/>
          </w:tcPr>
          <w:p w14:paraId="71F167C6" w14:textId="77777777" w:rsidR="00CE263D" w:rsidRPr="00C56BB8" w:rsidRDefault="00CE263D" w:rsidP="000F5D28">
            <w:pPr>
              <w:rPr>
                <w:lang w:val="en-GB"/>
              </w:rPr>
            </w:pPr>
            <w:r w:rsidRPr="00C56BB8">
              <w:rPr>
                <w:lang w:val="en-GB"/>
              </w:rPr>
              <w:t>TDD</w:t>
            </w:r>
          </w:p>
        </w:tc>
        <w:tc>
          <w:tcPr>
            <w:tcW w:w="1980" w:type="dxa"/>
          </w:tcPr>
          <w:p w14:paraId="5526FD0E" w14:textId="77777777" w:rsidR="00CE263D" w:rsidRPr="00C56BB8" w:rsidRDefault="00CE263D" w:rsidP="000F5D28">
            <w:pPr>
              <w:rPr>
                <w:lang w:val="en-GB"/>
              </w:rPr>
            </w:pPr>
            <w:r w:rsidRPr="00C56BB8">
              <w:rPr>
                <w:lang w:val="en-GB"/>
              </w:rPr>
              <w:t>TDD</w:t>
            </w:r>
          </w:p>
        </w:tc>
        <w:tc>
          <w:tcPr>
            <w:tcW w:w="2070" w:type="dxa"/>
          </w:tcPr>
          <w:p w14:paraId="53C6F21A" w14:textId="77777777" w:rsidR="00CE263D" w:rsidRPr="00C56BB8" w:rsidDel="00695566" w:rsidRDefault="00CE263D" w:rsidP="000F5D28">
            <w:pPr>
              <w:rPr>
                <w:lang w:val="en-GB"/>
              </w:rPr>
            </w:pPr>
            <w:r w:rsidRPr="00C56BB8">
              <w:rPr>
                <w:lang w:val="en-GB"/>
              </w:rPr>
              <w:t>TDD/FDD</w:t>
            </w:r>
          </w:p>
        </w:tc>
        <w:tc>
          <w:tcPr>
            <w:tcW w:w="1380" w:type="dxa"/>
          </w:tcPr>
          <w:p w14:paraId="1242BE7E" w14:textId="77777777" w:rsidR="00CE263D" w:rsidRPr="00C56BB8" w:rsidRDefault="00CE263D" w:rsidP="000F5D28">
            <w:pPr>
              <w:rPr>
                <w:lang w:val="en-GB"/>
              </w:rPr>
            </w:pPr>
            <w:r w:rsidRPr="00C56BB8">
              <w:rPr>
                <w:lang w:val="en-GB"/>
              </w:rPr>
              <w:t>FDD</w:t>
            </w:r>
          </w:p>
        </w:tc>
      </w:tr>
      <w:tr w:rsidR="00CE263D" w:rsidRPr="00C56BB8" w14:paraId="3B79C0A2" w14:textId="77777777" w:rsidTr="001D31FE">
        <w:trPr>
          <w:jc w:val="center"/>
        </w:trPr>
        <w:tc>
          <w:tcPr>
            <w:tcW w:w="1834" w:type="dxa"/>
          </w:tcPr>
          <w:p w14:paraId="05746B40" w14:textId="77777777" w:rsidR="00CE263D" w:rsidRPr="00C56BB8" w:rsidRDefault="00CE263D" w:rsidP="000F5D28">
            <w:pPr>
              <w:rPr>
                <w:lang w:val="en-GB"/>
              </w:rPr>
            </w:pPr>
            <w:r w:rsidRPr="00C56BB8">
              <w:rPr>
                <w:lang w:val="en-GB"/>
              </w:rPr>
              <w:t>Inter-site distance</w:t>
            </w:r>
          </w:p>
        </w:tc>
        <w:tc>
          <w:tcPr>
            <w:tcW w:w="1620" w:type="dxa"/>
          </w:tcPr>
          <w:p w14:paraId="5E433B68" w14:textId="77777777" w:rsidR="00CE263D" w:rsidRPr="00C56BB8" w:rsidRDefault="00CE263D" w:rsidP="000F5D28">
            <w:pPr>
              <w:rPr>
                <w:lang w:val="en-GB"/>
              </w:rPr>
            </w:pPr>
            <w:r w:rsidRPr="00C56BB8">
              <w:rPr>
                <w:lang w:val="en-GB"/>
              </w:rPr>
              <w:t>20 m</w:t>
            </w:r>
          </w:p>
        </w:tc>
        <w:tc>
          <w:tcPr>
            <w:tcW w:w="1980" w:type="dxa"/>
          </w:tcPr>
          <w:p w14:paraId="544AF7B8" w14:textId="77777777" w:rsidR="00CE263D" w:rsidRPr="00C56BB8" w:rsidRDefault="006D0F4F" w:rsidP="000F5D28">
            <w:pPr>
              <w:rPr>
                <w:lang w:val="en-GB"/>
              </w:rPr>
            </w:pPr>
            <w:r>
              <w:rPr>
                <w:lang w:val="en-GB"/>
              </w:rPr>
              <w:t>min 20</w:t>
            </w:r>
          </w:p>
        </w:tc>
        <w:tc>
          <w:tcPr>
            <w:tcW w:w="2070" w:type="dxa"/>
          </w:tcPr>
          <w:p w14:paraId="5B0E401C" w14:textId="77777777" w:rsidR="00CE263D" w:rsidRPr="00C56BB8" w:rsidRDefault="00CE263D">
            <w:pPr>
              <w:rPr>
                <w:lang w:val="en-GB"/>
              </w:rPr>
            </w:pPr>
            <w:r w:rsidRPr="00C56BB8">
              <w:rPr>
                <w:lang w:val="en-GB"/>
              </w:rPr>
              <w:t>2</w:t>
            </w:r>
            <w:r>
              <w:rPr>
                <w:lang w:val="en-GB"/>
              </w:rPr>
              <w:t>0</w:t>
            </w:r>
            <w:r w:rsidRPr="00C56BB8">
              <w:rPr>
                <w:lang w:val="en-GB"/>
              </w:rPr>
              <w:t>0</w:t>
            </w:r>
            <w:r>
              <w:rPr>
                <w:lang w:val="en-GB"/>
              </w:rPr>
              <w:t xml:space="preserve"> for </w:t>
            </w:r>
            <w:r w:rsidR="004E22D1">
              <w:rPr>
                <w:lang w:val="en-GB"/>
              </w:rPr>
              <w:t>Dense Urban Information Society</w:t>
            </w:r>
            <w:r>
              <w:rPr>
                <w:lang w:val="en-GB"/>
              </w:rPr>
              <w:t xml:space="preserve">, </w:t>
            </w:r>
            <w:r w:rsidRPr="00C56BB8">
              <w:rPr>
                <w:lang w:val="en-GB"/>
              </w:rPr>
              <w:t>500 m</w:t>
            </w:r>
            <w:r>
              <w:rPr>
                <w:lang w:val="en-GB"/>
              </w:rPr>
              <w:t xml:space="preserve"> for</w:t>
            </w:r>
            <w:r w:rsidR="004E22D1">
              <w:rPr>
                <w:lang w:val="en-GB"/>
              </w:rPr>
              <w:t xml:space="preserve"> </w:t>
            </w:r>
            <w:r>
              <w:rPr>
                <w:lang w:val="en-GB"/>
              </w:rPr>
              <w:t xml:space="preserve"> </w:t>
            </w:r>
            <w:r w:rsidR="004E22D1">
              <w:rPr>
                <w:lang w:val="en-GB" w:eastAsia="zh-CN"/>
              </w:rPr>
              <w:t>Massive Deployment of Sensors and Actuators and Connected Cars</w:t>
            </w:r>
          </w:p>
        </w:tc>
        <w:tc>
          <w:tcPr>
            <w:tcW w:w="1380" w:type="dxa"/>
          </w:tcPr>
          <w:p w14:paraId="4CBE4C16" w14:textId="77777777" w:rsidR="00CE263D" w:rsidRPr="00C56BB8" w:rsidRDefault="00CE263D" w:rsidP="000F5D28">
            <w:pPr>
              <w:rPr>
                <w:lang w:val="en-GB"/>
              </w:rPr>
            </w:pPr>
            <w:r w:rsidRPr="00C56BB8">
              <w:rPr>
                <w:lang w:val="en-GB"/>
              </w:rPr>
              <w:t>1 732 m</w:t>
            </w:r>
          </w:p>
        </w:tc>
      </w:tr>
    </w:tbl>
    <w:p w14:paraId="4F0C5FDC" w14:textId="77777777" w:rsidR="000B48F9" w:rsidRDefault="000B48F9" w:rsidP="000B48F9">
      <w:pPr>
        <w:pStyle w:val="Titre1"/>
      </w:pPr>
      <w:r>
        <w:lastRenderedPageBreak/>
        <w:t xml:space="preserve">Conclusions </w:t>
      </w:r>
    </w:p>
    <w:p w14:paraId="28C66985" w14:textId="385653E3" w:rsidR="000E7EF9" w:rsidRPr="00974EF9" w:rsidRDefault="00AF78B3">
      <w:pPr>
        <w:spacing w:after="0"/>
        <w:rPr>
          <w:lang w:val="en-GB"/>
        </w:rPr>
      </w:pPr>
      <w:r w:rsidRPr="00974EF9">
        <w:rPr>
          <w:lang w:val="en-GB"/>
        </w:rPr>
        <w:t>IMT</w:t>
      </w:r>
      <w:r w:rsidR="00222E8C" w:rsidRPr="00974EF9">
        <w:rPr>
          <w:lang w:val="en-GB"/>
        </w:rPr>
        <w:t>-</w:t>
      </w:r>
      <w:r w:rsidRPr="00974EF9">
        <w:rPr>
          <w:lang w:val="en-GB"/>
        </w:rPr>
        <w:t xml:space="preserve">2020 will push the broadband user experience and network available in contemporary networks to the new extremes. It will also span the wireless connectivity to new areas such as IoT or </w:t>
      </w:r>
      <w:r w:rsidR="004E22D1" w:rsidRPr="00974EF9">
        <w:rPr>
          <w:lang w:val="en-GB"/>
        </w:rPr>
        <w:t>ITS</w:t>
      </w:r>
      <w:r w:rsidRPr="00974EF9">
        <w:rPr>
          <w:lang w:val="en-GB"/>
        </w:rPr>
        <w:t>. Although solutions addressing these domains are already available, IMT</w:t>
      </w:r>
      <w:r w:rsidR="00222E8C" w:rsidRPr="00974EF9">
        <w:rPr>
          <w:lang w:val="en-GB"/>
        </w:rPr>
        <w:t>-</w:t>
      </w:r>
      <w:r w:rsidRPr="00974EF9">
        <w:rPr>
          <w:lang w:val="en-GB"/>
        </w:rPr>
        <w:t>2020 will cater for them under the umbrella of one system. The level of integration between different Air Interface Variants (AIVs) supporting different IMT</w:t>
      </w:r>
      <w:r w:rsidR="00222E8C" w:rsidRPr="00974EF9">
        <w:rPr>
          <w:lang w:val="en-GB"/>
        </w:rPr>
        <w:t>-</w:t>
      </w:r>
      <w:r w:rsidRPr="00974EF9">
        <w:rPr>
          <w:lang w:val="en-GB"/>
        </w:rPr>
        <w:t xml:space="preserve">2020 </w:t>
      </w:r>
      <w:r w:rsidR="004E22D1" w:rsidRPr="00974EF9">
        <w:rPr>
          <w:lang w:val="en-GB"/>
        </w:rPr>
        <w:t>test</w:t>
      </w:r>
      <w:r w:rsidRPr="00974EF9">
        <w:rPr>
          <w:lang w:val="en-GB"/>
        </w:rPr>
        <w:t xml:space="preserve"> cas</w:t>
      </w:r>
      <w:r w:rsidR="004E22D1" w:rsidRPr="00974EF9">
        <w:rPr>
          <w:lang w:val="en-GB"/>
        </w:rPr>
        <w:t>e</w:t>
      </w:r>
      <w:r w:rsidRPr="00974EF9">
        <w:rPr>
          <w:lang w:val="en-GB"/>
        </w:rPr>
        <w:t>s is still under discussion in many organizations, vendors and research projects. Therefore it is of the uttermost importance to provide a unified evaluation framework that could be used to ap</w:t>
      </w:r>
      <w:r w:rsidR="00974EF9">
        <w:rPr>
          <w:lang w:val="en-GB"/>
        </w:rPr>
        <w:t>p</w:t>
      </w:r>
      <w:r w:rsidRPr="00974EF9">
        <w:rPr>
          <w:lang w:val="en-GB"/>
        </w:rPr>
        <w:t>ropriate assess proposed technical solution with respect to the main IMT</w:t>
      </w:r>
      <w:r w:rsidR="00486878" w:rsidRPr="00974EF9">
        <w:rPr>
          <w:lang w:val="en-GB"/>
        </w:rPr>
        <w:t>-</w:t>
      </w:r>
      <w:r w:rsidRPr="00974EF9">
        <w:rPr>
          <w:lang w:val="en-GB"/>
        </w:rPr>
        <w:t>202</w:t>
      </w:r>
      <w:r w:rsidR="004E22D1" w:rsidRPr="00974EF9">
        <w:rPr>
          <w:lang w:val="en-GB"/>
        </w:rPr>
        <w:t>0</w:t>
      </w:r>
      <w:r w:rsidRPr="00974EF9">
        <w:rPr>
          <w:lang w:val="en-GB"/>
        </w:rPr>
        <w:t xml:space="preserve"> technical performance requirements. This document propo</w:t>
      </w:r>
      <w:r w:rsidR="004E22D1" w:rsidRPr="00974EF9">
        <w:rPr>
          <w:lang w:val="en-GB"/>
        </w:rPr>
        <w:t>s</w:t>
      </w:r>
      <w:r w:rsidRPr="00974EF9">
        <w:rPr>
          <w:lang w:val="en-GB"/>
        </w:rPr>
        <w:t>e</w:t>
      </w:r>
      <w:r w:rsidR="004E22D1" w:rsidRPr="00974EF9">
        <w:rPr>
          <w:lang w:val="en-GB"/>
        </w:rPr>
        <w:t>s</w:t>
      </w:r>
      <w:r w:rsidRPr="00974EF9">
        <w:rPr>
          <w:lang w:val="en-GB"/>
        </w:rPr>
        <w:t xml:space="preserve"> </w:t>
      </w:r>
      <w:r w:rsidR="008F2FDD" w:rsidRPr="00974EF9">
        <w:rPr>
          <w:lang w:val="en-GB"/>
        </w:rPr>
        <w:t xml:space="preserve">one example </w:t>
      </w:r>
      <w:r w:rsidR="00091608" w:rsidRPr="00974EF9">
        <w:rPr>
          <w:lang w:val="en-GB"/>
        </w:rPr>
        <w:t>of a</w:t>
      </w:r>
      <w:r w:rsidR="00974EF9">
        <w:rPr>
          <w:lang w:val="en-GB"/>
        </w:rPr>
        <w:t xml:space="preserve"> </w:t>
      </w:r>
      <w:r w:rsidRPr="00974EF9">
        <w:rPr>
          <w:lang w:val="en-GB"/>
        </w:rPr>
        <w:t>framework</w:t>
      </w:r>
      <w:r w:rsidR="00091608" w:rsidRPr="00974EF9">
        <w:rPr>
          <w:lang w:val="en-GB"/>
        </w:rPr>
        <w:t xml:space="preserve"> </w:t>
      </w:r>
      <w:r w:rsidR="00974EF9">
        <w:rPr>
          <w:lang w:val="en-GB"/>
        </w:rPr>
        <w:t>for</w:t>
      </w:r>
      <w:r w:rsidR="00091608" w:rsidRPr="00974EF9">
        <w:rPr>
          <w:lang w:val="en-GB"/>
        </w:rPr>
        <w:t xml:space="preserve"> </w:t>
      </w:r>
      <w:r w:rsidR="00974EF9">
        <w:rPr>
          <w:lang w:val="en-GB"/>
        </w:rPr>
        <w:t xml:space="preserve">evaluation </w:t>
      </w:r>
      <w:r w:rsidR="00091608" w:rsidRPr="00974EF9">
        <w:rPr>
          <w:lang w:val="en-GB"/>
        </w:rPr>
        <w:t>that is currently under</w:t>
      </w:r>
      <w:r w:rsidR="00974EF9">
        <w:rPr>
          <w:lang w:val="en-GB"/>
        </w:rPr>
        <w:t xml:space="preserve"> </w:t>
      </w:r>
      <w:r w:rsidR="00091608" w:rsidRPr="00974EF9">
        <w:rPr>
          <w:lang w:val="en-GB"/>
        </w:rPr>
        <w:t>st</w:t>
      </w:r>
      <w:r w:rsidR="00974EF9">
        <w:rPr>
          <w:lang w:val="en-GB"/>
        </w:rPr>
        <w:t>u</w:t>
      </w:r>
      <w:r w:rsidR="00091608" w:rsidRPr="00974EF9">
        <w:rPr>
          <w:lang w:val="en-GB"/>
        </w:rPr>
        <w:t xml:space="preserve">dy and </w:t>
      </w:r>
      <w:r w:rsidR="00974EF9" w:rsidRPr="00974EF9">
        <w:rPr>
          <w:lang w:val="en-GB"/>
        </w:rPr>
        <w:t>investiga</w:t>
      </w:r>
      <w:r w:rsidR="00974EF9">
        <w:rPr>
          <w:lang w:val="en-GB"/>
        </w:rPr>
        <w:t>t</w:t>
      </w:r>
      <w:r w:rsidR="00974EF9" w:rsidRPr="00974EF9">
        <w:rPr>
          <w:lang w:val="en-GB"/>
        </w:rPr>
        <w:t>ions</w:t>
      </w:r>
      <w:r w:rsidRPr="00974EF9">
        <w:rPr>
          <w:lang w:val="en-GB"/>
        </w:rPr>
        <w:t>. Proposed methodology covers all relevant aspect of new generation of wireless systems</w:t>
      </w:r>
      <w:r w:rsidR="000E7EF9" w:rsidRPr="00974EF9">
        <w:rPr>
          <w:lang w:val="en-GB"/>
        </w:rPr>
        <w:t>.</w:t>
      </w:r>
    </w:p>
    <w:p w14:paraId="5ECACAB0" w14:textId="77777777" w:rsidR="00305908" w:rsidRDefault="000E7EF9" w:rsidP="00305908">
      <w:pPr>
        <w:pStyle w:val="Titre1"/>
      </w:pPr>
      <w:r>
        <w:t xml:space="preserve">References </w:t>
      </w:r>
    </w:p>
    <w:p w14:paraId="24CEA4B2" w14:textId="77777777" w:rsidR="00305908" w:rsidRPr="008615EA" w:rsidRDefault="00305908" w:rsidP="00305908">
      <w:pPr>
        <w:pStyle w:val="Reference"/>
        <w:ind w:left="2160" w:hanging="2160"/>
        <w:jc w:val="both"/>
        <w:rPr>
          <w:rFonts w:eastAsia="MS Mincho"/>
          <w:sz w:val="22"/>
          <w:szCs w:val="24"/>
          <w:lang w:val="en-GB"/>
        </w:rPr>
      </w:pPr>
      <w:r w:rsidRPr="008615EA">
        <w:rPr>
          <w:rFonts w:eastAsia="MS Mincho"/>
          <w:sz w:val="22"/>
          <w:szCs w:val="24"/>
          <w:lang w:val="en-GB"/>
        </w:rPr>
        <w:t>[ITUR-M</w:t>
      </w:r>
      <w:r w:rsidR="00373E80">
        <w:rPr>
          <w:rFonts w:eastAsia="MS Mincho"/>
          <w:sz w:val="22"/>
          <w:szCs w:val="24"/>
          <w:lang w:val="en-GB"/>
        </w:rPr>
        <w:t>.</w:t>
      </w:r>
      <w:r w:rsidRPr="008615EA">
        <w:rPr>
          <w:rFonts w:eastAsia="MS Mincho"/>
          <w:sz w:val="22"/>
          <w:szCs w:val="24"/>
          <w:lang w:val="en-GB"/>
        </w:rPr>
        <w:t>2135]</w:t>
      </w:r>
      <w:r w:rsidRPr="008615EA">
        <w:rPr>
          <w:rFonts w:eastAsia="MS Mincho"/>
          <w:sz w:val="22"/>
          <w:szCs w:val="24"/>
          <w:lang w:val="en-GB"/>
        </w:rPr>
        <w:tab/>
        <w:t>ITU-R M.2135</w:t>
      </w:r>
      <w:r w:rsidR="00373E80">
        <w:rPr>
          <w:rFonts w:eastAsia="MS Mincho"/>
          <w:sz w:val="22"/>
          <w:szCs w:val="24"/>
          <w:lang w:val="en-GB"/>
        </w:rPr>
        <w:t>-1</w:t>
      </w:r>
      <w:r w:rsidRPr="008615EA">
        <w:rPr>
          <w:rFonts w:eastAsia="MS Mincho"/>
          <w:sz w:val="22"/>
          <w:szCs w:val="24"/>
          <w:lang w:val="en-GB"/>
        </w:rPr>
        <w:t xml:space="preserve"> “Guidelines for evaluation of radio interface technologies for IMT-Advanced”, </w:t>
      </w:r>
      <w:r w:rsidR="00373E80">
        <w:rPr>
          <w:rFonts w:eastAsia="MS Mincho"/>
          <w:sz w:val="22"/>
          <w:szCs w:val="24"/>
          <w:lang w:val="en-GB"/>
        </w:rPr>
        <w:t xml:space="preserve">December </w:t>
      </w:r>
      <w:r w:rsidRPr="008615EA">
        <w:rPr>
          <w:rFonts w:eastAsia="MS Mincho"/>
          <w:sz w:val="22"/>
          <w:szCs w:val="24"/>
          <w:lang w:val="en-GB"/>
        </w:rPr>
        <w:t>200</w:t>
      </w:r>
      <w:r w:rsidR="00373E80">
        <w:rPr>
          <w:rFonts w:eastAsia="MS Mincho"/>
          <w:sz w:val="22"/>
          <w:szCs w:val="24"/>
          <w:lang w:val="en-GB"/>
        </w:rPr>
        <w:t>9</w:t>
      </w:r>
      <w:r w:rsidRPr="008615EA">
        <w:rPr>
          <w:rFonts w:eastAsia="MS Mincho"/>
          <w:sz w:val="22"/>
          <w:szCs w:val="24"/>
          <w:lang w:val="en-GB"/>
        </w:rPr>
        <w:t>.</w:t>
      </w:r>
    </w:p>
    <w:p w14:paraId="26910394" w14:textId="77777777" w:rsidR="00373E80" w:rsidRPr="00577095" w:rsidRDefault="00373E80" w:rsidP="00373E80">
      <w:pPr>
        <w:pStyle w:val="Reference"/>
        <w:ind w:left="2160" w:hanging="2160"/>
        <w:jc w:val="both"/>
        <w:rPr>
          <w:rStyle w:val="Lienhypertexte"/>
          <w:sz w:val="22"/>
          <w:lang w:val="en-GB"/>
        </w:rPr>
      </w:pPr>
      <w:r w:rsidRPr="007A0DF1">
        <w:rPr>
          <w:rFonts w:eastAsia="MS Mincho"/>
          <w:sz w:val="22"/>
          <w:szCs w:val="24"/>
          <w:lang w:val="en-GB"/>
        </w:rPr>
        <w:t>[ITUR-M</w:t>
      </w:r>
      <w:r>
        <w:rPr>
          <w:rFonts w:eastAsia="MS Mincho"/>
          <w:sz w:val="22"/>
          <w:szCs w:val="24"/>
          <w:lang w:val="en-GB"/>
        </w:rPr>
        <w:t>.</w:t>
      </w:r>
      <w:r w:rsidRPr="007A0DF1">
        <w:rPr>
          <w:rFonts w:eastAsia="MS Mincho"/>
          <w:sz w:val="22"/>
          <w:szCs w:val="24"/>
          <w:lang w:val="en-GB"/>
        </w:rPr>
        <w:t>2083]</w:t>
      </w:r>
      <w:r w:rsidRPr="007A0DF1">
        <w:rPr>
          <w:rFonts w:eastAsia="MS Mincho"/>
          <w:sz w:val="22"/>
          <w:szCs w:val="24"/>
          <w:lang w:val="en-GB"/>
        </w:rPr>
        <w:tab/>
        <w:t>ITU-R M.2083 “</w:t>
      </w:r>
      <w:r w:rsidRPr="008615EA">
        <w:rPr>
          <w:rFonts w:eastAsia="MS Mincho"/>
          <w:sz w:val="22"/>
          <w:szCs w:val="24"/>
          <w:lang w:val="en-GB"/>
        </w:rPr>
        <w:t>IMT Vision – Framework and overall objectives of the future development of IMT for 2020 and beyond”, September 2015.</w:t>
      </w:r>
    </w:p>
    <w:p w14:paraId="2443001C" w14:textId="77777777" w:rsidR="00305908" w:rsidRPr="00305908" w:rsidRDefault="00305908" w:rsidP="00305908">
      <w:pPr>
        <w:rPr>
          <w:lang w:val="en-GB"/>
        </w:rPr>
      </w:pPr>
    </w:p>
    <w:p w14:paraId="3968069E" w14:textId="77777777" w:rsidR="00E6432A" w:rsidRDefault="00AF78B3" w:rsidP="00305908">
      <w:pPr>
        <w:pStyle w:val="Titre1"/>
      </w:pPr>
      <w:r>
        <w:br w:type="page"/>
      </w:r>
    </w:p>
    <w:p w14:paraId="66D2AA12" w14:textId="2BCC3527" w:rsidR="00E6432A" w:rsidRDefault="0081450C" w:rsidP="0081450C">
      <w:pPr>
        <w:pStyle w:val="Annex1"/>
      </w:pPr>
      <w:r>
        <w:lastRenderedPageBreak/>
        <w:t>Ex</w:t>
      </w:r>
      <w:r w:rsidR="00974EF9">
        <w:t>a</w:t>
      </w:r>
      <w:r>
        <w:t>mple of depl</w:t>
      </w:r>
      <w:r w:rsidR="00974EF9">
        <w:t>o</w:t>
      </w:r>
      <w:r>
        <w:t>yme</w:t>
      </w:r>
      <w:r w:rsidR="00974EF9">
        <w:t>n</w:t>
      </w:r>
      <w:r>
        <w:t>t sce</w:t>
      </w:r>
      <w:r w:rsidR="00974EF9">
        <w:t>na</w:t>
      </w:r>
      <w:r>
        <w:t xml:space="preserve">rios </w:t>
      </w:r>
    </w:p>
    <w:p w14:paraId="3AD36A1A" w14:textId="77777777" w:rsidR="00E6432A" w:rsidRDefault="00E6432A">
      <w:pPr>
        <w:jc w:val="center"/>
        <w:rPr>
          <w:sz w:val="32"/>
          <w:lang w:val="en-GB"/>
        </w:rPr>
      </w:pPr>
    </w:p>
    <w:p w14:paraId="5B9A410F" w14:textId="77777777" w:rsidR="00E6432A" w:rsidRDefault="00E6432A">
      <w:pPr>
        <w:jc w:val="center"/>
        <w:rPr>
          <w:sz w:val="32"/>
          <w:lang w:val="en-GB"/>
        </w:rPr>
      </w:pPr>
    </w:p>
    <w:p w14:paraId="47BEBF94" w14:textId="77777777" w:rsidR="00AF78B3" w:rsidRDefault="00AF78B3" w:rsidP="0081450C">
      <w:pPr>
        <w:pStyle w:val="Titre2"/>
      </w:pPr>
      <w:bookmarkStart w:id="2" w:name="_Toc439776073"/>
      <w:r>
        <w:t>Synthetic deployment scenarios</w:t>
      </w:r>
      <w:bookmarkEnd w:id="2"/>
    </w:p>
    <w:p w14:paraId="7BC87684" w14:textId="77777777" w:rsidR="00AF78B3" w:rsidRDefault="00AF78B3" w:rsidP="0081450C">
      <w:pPr>
        <w:pStyle w:val="Titre3"/>
        <w:keepNext/>
        <w:keepLines/>
        <w:numPr>
          <w:ilvl w:val="0"/>
          <w:numId w:val="0"/>
        </w:numPr>
        <w:tabs>
          <w:tab w:val="clear" w:pos="851"/>
        </w:tabs>
        <w:spacing w:before="240" w:after="0" w:line="276" w:lineRule="auto"/>
      </w:pPr>
      <w:bookmarkStart w:id="3" w:name="_Ref436057485"/>
      <w:bookmarkStart w:id="4" w:name="_Toc439776074"/>
      <w:r>
        <w:t>InH</w:t>
      </w:r>
      <w:bookmarkEnd w:id="3"/>
      <w:bookmarkEnd w:id="4"/>
    </w:p>
    <w:p w14:paraId="5477996B" w14:textId="77777777" w:rsidR="00AF78B3" w:rsidRDefault="00AF78B3">
      <w:pPr>
        <w:pStyle w:val="Corpsdetexte"/>
        <w:jc w:val="both"/>
      </w:pPr>
      <w:r>
        <w:t xml:space="preserve">The indoor hotspot scenario consists of one floor of a building. The height of the floor is </w:t>
      </w:r>
      <w:r>
        <w:rPr>
          <w:rFonts w:hint="eastAsia"/>
          <w:lang w:eastAsia="zh-CN"/>
        </w:rPr>
        <w:t>3</w:t>
      </w:r>
      <w:r>
        <w:t xml:space="preserve"> m. The floor contains 16 rooms of 15 m × 15 m and a long hall of 120 m × 20 m. </w:t>
      </w:r>
    </w:p>
    <w:p w14:paraId="0B457444" w14:textId="541FDE07" w:rsidR="00E6432A" w:rsidRDefault="00AF78B3">
      <w:pPr>
        <w:pStyle w:val="Corpsdetexte"/>
        <w:jc w:val="both"/>
      </w:pPr>
      <w:r>
        <w:t xml:space="preserve">Proposed BS network layout consist of small cells placed in the corridor, 6 along one long edge and 6 more along the other long edge. The six stations in one edge have an inter-site distance of 20 m, with the first site placed at 10 m with respect to the left side of the building (see </w:t>
      </w:r>
      <w:r w:rsidR="00974EF9">
        <w:t>Figure 2</w:t>
      </w:r>
      <w:r>
        <w:t xml:space="preserve">). </w:t>
      </w:r>
    </w:p>
    <w:p w14:paraId="028A18BE" w14:textId="77777777" w:rsidR="00AF78B3" w:rsidRDefault="00AF78B3" w:rsidP="00AF78B3">
      <w:pPr>
        <w:pStyle w:val="Corpsdetexte"/>
        <w:jc w:val="center"/>
        <w:rPr>
          <w:lang w:val="en-GB"/>
        </w:rPr>
      </w:pPr>
      <w:r w:rsidRPr="00F04096">
        <w:object w:dxaOrig="7635" w:dyaOrig="3570" w14:anchorId="62F2B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80pt" o:ole="">
            <v:imagedata r:id="rId14" o:title=""/>
          </v:shape>
          <o:OLEObject Type="Embed" ProgID="Visio.Drawing.11" ShapeID="_x0000_i1025" DrawAspect="Content" ObjectID="_1514367557" r:id="rId15"/>
        </w:object>
      </w:r>
    </w:p>
    <w:p w14:paraId="06E3E1CE" w14:textId="59E2B0E5" w:rsidR="00AF78B3" w:rsidRPr="00C81755" w:rsidRDefault="0081450C" w:rsidP="00AF78B3">
      <w:pPr>
        <w:pStyle w:val="Lgende"/>
        <w:rPr>
          <w:lang w:val="en-GB"/>
        </w:rPr>
      </w:pPr>
      <w:r>
        <w:rPr>
          <w:lang w:val="en-GB"/>
        </w:rPr>
        <w:t>Figure 2</w:t>
      </w:r>
      <w:r w:rsidR="00AF78B3" w:rsidRPr="00C81755">
        <w:rPr>
          <w:lang w:val="en-GB"/>
        </w:rPr>
        <w:t xml:space="preserve">: </w:t>
      </w:r>
      <w:r w:rsidR="00AF78B3">
        <w:rPr>
          <w:lang w:val="en-GB"/>
        </w:rPr>
        <w:t>Sketch of InH deployment</w:t>
      </w:r>
      <w:r w:rsidR="00974EF9">
        <w:rPr>
          <w:lang w:val="en-GB"/>
        </w:rPr>
        <w:t>.</w:t>
      </w:r>
    </w:p>
    <w:p w14:paraId="6F5A58D4" w14:textId="77777777" w:rsidR="00AF78B3" w:rsidRDefault="00AF78B3" w:rsidP="00AF78B3">
      <w:pPr>
        <w:pStyle w:val="Corpsdetexte"/>
        <w:jc w:val="both"/>
      </w:pPr>
      <w:r>
        <w:t>InH base stations can operate in two configurations:</w:t>
      </w:r>
    </w:p>
    <w:p w14:paraId="780EA84D" w14:textId="77777777" w:rsidR="00AF78B3" w:rsidRDefault="00AF78B3" w:rsidP="00AF78B3">
      <w:pPr>
        <w:pStyle w:val="Corpsdetexte"/>
        <w:numPr>
          <w:ilvl w:val="0"/>
          <w:numId w:val="21"/>
        </w:numPr>
        <w:jc w:val="both"/>
      </w:pPr>
      <w:r>
        <w:t xml:space="preserve">Above 6 GHz band – frequencies of 66-86 GHz with the available bandwidth of 1 GHz </w:t>
      </w:r>
    </w:p>
    <w:p w14:paraId="655B873C" w14:textId="77777777" w:rsidR="00AF78B3" w:rsidRDefault="00AF78B3" w:rsidP="00AF78B3">
      <w:pPr>
        <w:pStyle w:val="Corpsdetexte"/>
        <w:numPr>
          <w:ilvl w:val="0"/>
          <w:numId w:val="21"/>
        </w:numPr>
        <w:jc w:val="both"/>
      </w:pPr>
      <w:r>
        <w:t>Above 6 GHz and below 6 GHz band – same configuration as above and additional 100 MHz bandwidth in 3.5 GHz band</w:t>
      </w:r>
    </w:p>
    <w:p w14:paraId="035FECFB" w14:textId="77777777" w:rsidR="00AF78B3" w:rsidRDefault="00AF78B3" w:rsidP="0081450C">
      <w:pPr>
        <w:pStyle w:val="Titre3"/>
        <w:keepNext/>
        <w:keepLines/>
        <w:numPr>
          <w:ilvl w:val="0"/>
          <w:numId w:val="0"/>
        </w:numPr>
        <w:tabs>
          <w:tab w:val="clear" w:pos="851"/>
        </w:tabs>
        <w:spacing w:before="240" w:after="0" w:line="276" w:lineRule="auto"/>
      </w:pPr>
      <w:bookmarkStart w:id="5" w:name="_Ref439587687"/>
      <w:bookmarkStart w:id="6" w:name="_Ref439592867"/>
      <w:bookmarkStart w:id="7" w:name="_Ref439629547"/>
      <w:bookmarkStart w:id="8" w:name="_Ref439629554"/>
      <w:bookmarkStart w:id="9" w:name="_Toc439776075"/>
      <w:r>
        <w:t>HetNet</w:t>
      </w:r>
      <w:bookmarkEnd w:id="5"/>
      <w:bookmarkEnd w:id="6"/>
      <w:bookmarkEnd w:id="7"/>
      <w:bookmarkEnd w:id="8"/>
      <w:bookmarkEnd w:id="9"/>
    </w:p>
    <w:p w14:paraId="1213070B" w14:textId="77777777" w:rsidR="00AF78B3" w:rsidRPr="003F64AC" w:rsidRDefault="00AF78B3" w:rsidP="00AF78B3">
      <w:pPr>
        <w:pStyle w:val="Corpsdetexte"/>
        <w:jc w:val="both"/>
      </w:pPr>
      <w:r>
        <w:t>The HetNet scenario consist of two cell layers: urban macro</w:t>
      </w:r>
      <w:r w:rsidR="006B6C6E">
        <w:t xml:space="preserve"> </w:t>
      </w:r>
      <w:r>
        <w:t>cellular</w:t>
      </w:r>
      <w:r w:rsidR="006B6C6E">
        <w:t xml:space="preserve"> (UMa)</w:t>
      </w:r>
      <w:r>
        <w:t xml:space="preserve"> </w:t>
      </w:r>
      <w:r w:rsidR="006B6C6E">
        <w:t>BS</w:t>
      </w:r>
      <w:r>
        <w:t xml:space="preserve"> and </w:t>
      </w:r>
      <w:r w:rsidR="000A591F">
        <w:t xml:space="preserve">outdoor </w:t>
      </w:r>
      <w:r>
        <w:t>small cells.</w:t>
      </w:r>
    </w:p>
    <w:p w14:paraId="7F01EAC3" w14:textId="77777777" w:rsidR="00AF78B3" w:rsidRPr="00F75F0C" w:rsidRDefault="00AF78B3" w:rsidP="0081450C">
      <w:pPr>
        <w:pStyle w:val="Titre4"/>
        <w:keepNext/>
        <w:keepLines/>
        <w:numPr>
          <w:ilvl w:val="0"/>
          <w:numId w:val="0"/>
        </w:numPr>
        <w:spacing w:before="200" w:after="0" w:line="276" w:lineRule="auto"/>
        <w:jc w:val="left"/>
      </w:pPr>
      <w:bookmarkStart w:id="10" w:name="_Ref439536527"/>
      <w:r w:rsidRPr="00F75F0C">
        <w:t>U</w:t>
      </w:r>
      <w:r>
        <w:t>M</w:t>
      </w:r>
      <w:r w:rsidRPr="00F75F0C">
        <w:t>a</w:t>
      </w:r>
      <w:bookmarkEnd w:id="10"/>
    </w:p>
    <w:p w14:paraId="07983CC5" w14:textId="32E8380E" w:rsidR="00AF78B3" w:rsidRDefault="00AF78B3" w:rsidP="00AF78B3">
      <w:pPr>
        <w:pStyle w:val="Corpsdetexte"/>
        <w:jc w:val="both"/>
      </w:pPr>
      <w:r>
        <w:t xml:space="preserve">UMa BSs are deployed with fixed ISD of 200 m for </w:t>
      </w:r>
      <w:r w:rsidR="006B6C6E">
        <w:t>Dense Urban Information Society</w:t>
      </w:r>
      <w:r>
        <w:t xml:space="preserve"> and 500 m for </w:t>
      </w:r>
      <w:r w:rsidR="00B57508">
        <w:t>Massive Deployment of Sensors and Actuators</w:t>
      </w:r>
      <w:r>
        <w:t xml:space="preserve"> and </w:t>
      </w:r>
      <w:r w:rsidR="00B57508">
        <w:t>Connected Cars test cases,</w:t>
      </w:r>
      <w:r>
        <w:t xml:space="preserve"> in a regular, hexagonal grid as depicted in</w:t>
      </w:r>
      <w:r w:rsidR="00974EF9">
        <w:t xml:space="preserve"> Figure 3.</w:t>
      </w:r>
      <w:r>
        <w:t xml:space="preserve"> </w:t>
      </w:r>
      <w:r w:rsidR="000A591F">
        <w:t>BS</w:t>
      </w:r>
      <w:r>
        <w:t xml:space="preserve"> are connected to a</w:t>
      </w:r>
      <w:r>
        <w:rPr>
          <w:rFonts w:hint="eastAsia"/>
          <w:lang w:eastAsia="zh-CN"/>
        </w:rPr>
        <w:t xml:space="preserve"> set of</w:t>
      </w:r>
      <w:r>
        <w:t xml:space="preserve"> 3 sector antennas, wh</w:t>
      </w:r>
      <w:r>
        <w:rPr>
          <w:rFonts w:hint="eastAsia"/>
          <w:lang w:eastAsia="zh-CN"/>
        </w:rPr>
        <w:t>ose</w:t>
      </w:r>
      <w:r>
        <w:t xml:space="preserve"> characteristics are defined </w:t>
      </w:r>
      <w:r w:rsidR="00974EF9">
        <w:t>below</w:t>
      </w:r>
      <w:r>
        <w:t xml:space="preserve">. Antennas are mounted at the height of 25 m, above the rooftop.  </w:t>
      </w:r>
    </w:p>
    <w:p w14:paraId="766003D7" w14:textId="77777777" w:rsidR="00AF78B3" w:rsidRDefault="00AF78B3" w:rsidP="00AF78B3">
      <w:pPr>
        <w:pStyle w:val="Corpsdetexte"/>
        <w:jc w:val="both"/>
      </w:pPr>
      <w:r>
        <w:t xml:space="preserve">UMa BSs </w:t>
      </w:r>
      <w:r w:rsidR="000A591F">
        <w:t xml:space="preserve">can </w:t>
      </w:r>
      <w:r>
        <w:t>operate at the frequency of 2</w:t>
      </w:r>
      <w:r w:rsidR="00192AF8">
        <w:t xml:space="preserve"> GHz for Massive Deployment of Sensors and Actuators and Connected Cars (10 MHz available for each UC) and in </w:t>
      </w:r>
      <w:r w:rsidR="000A591F">
        <w:t>3.5</w:t>
      </w:r>
      <w:r>
        <w:t xml:space="preserve"> GHz </w:t>
      </w:r>
      <w:r w:rsidR="00192AF8">
        <w:t>in Dense Urban Information Society (100 MHz is available)</w:t>
      </w:r>
      <w:r>
        <w:t xml:space="preserve">. </w:t>
      </w:r>
    </w:p>
    <w:p w14:paraId="5C804ABC" w14:textId="77777777" w:rsidR="00AF78B3" w:rsidRDefault="00E6432A" w:rsidP="00AF78B3">
      <w:pPr>
        <w:pStyle w:val="Corpsdetexte"/>
        <w:keepNext/>
        <w:jc w:val="center"/>
      </w:pPr>
      <w:r>
        <w:rPr>
          <w:noProof/>
          <w:lang w:val="fr-FR" w:eastAsia="fr-FR"/>
        </w:rPr>
        <w:lastRenderedPageBreak/>
        <w:drawing>
          <wp:inline distT="0" distB="0" distL="0" distR="0" wp14:anchorId="13B38B5D" wp14:editId="69F6361D">
            <wp:extent cx="3543300" cy="3295650"/>
            <wp:effectExtent l="0" t="0" r="0" b="0"/>
            <wp:docPr id="8"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3300" cy="3295650"/>
                    </a:xfrm>
                    <a:prstGeom prst="rect">
                      <a:avLst/>
                    </a:prstGeom>
                    <a:noFill/>
                    <a:ln>
                      <a:noFill/>
                    </a:ln>
                  </pic:spPr>
                </pic:pic>
              </a:graphicData>
            </a:graphic>
          </wp:inline>
        </w:drawing>
      </w:r>
    </w:p>
    <w:p w14:paraId="081F378F" w14:textId="77777777" w:rsidR="00AF78B3" w:rsidRPr="005B7E2D" w:rsidRDefault="0081450C" w:rsidP="00AF78B3">
      <w:pPr>
        <w:pStyle w:val="Lgende"/>
      </w:pPr>
      <w:r>
        <w:t>Figure 3</w:t>
      </w:r>
      <w:r w:rsidR="00AF78B3">
        <w:t xml:space="preserve">. Urban </w:t>
      </w:r>
      <w:r w:rsidR="000A591F">
        <w:t xml:space="preserve">and rural </w:t>
      </w:r>
      <w:r w:rsidR="00AF78B3">
        <w:t>macro BS deployment and antenna orientation</w:t>
      </w:r>
    </w:p>
    <w:p w14:paraId="30A32618" w14:textId="77777777" w:rsidR="00AF78B3" w:rsidRDefault="000A591F" w:rsidP="0081450C">
      <w:pPr>
        <w:pStyle w:val="Titre4"/>
        <w:keepNext/>
        <w:keepLines/>
        <w:numPr>
          <w:ilvl w:val="0"/>
          <w:numId w:val="0"/>
        </w:numPr>
        <w:spacing w:before="200" w:after="0" w:line="276" w:lineRule="auto"/>
        <w:jc w:val="left"/>
      </w:pPr>
      <w:r>
        <w:t xml:space="preserve">Outdoor </w:t>
      </w:r>
      <w:r w:rsidR="00AF78B3">
        <w:t xml:space="preserve">Small </w:t>
      </w:r>
      <w:r>
        <w:t>C</w:t>
      </w:r>
      <w:r w:rsidR="00AF78B3">
        <w:t>ells</w:t>
      </w:r>
    </w:p>
    <w:p w14:paraId="7DF92295" w14:textId="77777777" w:rsidR="000D7B5C" w:rsidRPr="007F4042" w:rsidRDefault="000D7B5C" w:rsidP="000D7B5C">
      <w:pPr>
        <w:pStyle w:val="Corpsdetexte"/>
        <w:jc w:val="both"/>
        <w:rPr>
          <w:lang w:val="en-GB"/>
        </w:rPr>
      </w:pPr>
      <w:r w:rsidRPr="007F4042">
        <w:rPr>
          <w:lang w:val="en-GB"/>
        </w:rPr>
        <w:t>In the HetNet deployment scenario, small cells are deployed as outdoor</w:t>
      </w:r>
      <w:r>
        <w:rPr>
          <w:lang w:val="en-GB"/>
        </w:rPr>
        <w:t xml:space="preserve"> base stations. Each macro</w:t>
      </w:r>
      <w:r w:rsidRPr="007F4042">
        <w:rPr>
          <w:lang w:val="en-GB"/>
        </w:rPr>
        <w:t xml:space="preserve"> sector is complemented with </w:t>
      </w:r>
      <w:r>
        <w:rPr>
          <w:lang w:val="en-GB" w:eastAsia="zh-CN"/>
        </w:rPr>
        <w:t>8</w:t>
      </w:r>
      <w:r w:rsidRPr="007F4042">
        <w:rPr>
          <w:lang w:val="en-GB"/>
        </w:rPr>
        <w:t xml:space="preserve"> small cells</w:t>
      </w:r>
      <w:r w:rsidRPr="007F4042">
        <w:rPr>
          <w:lang w:val="en-GB" w:eastAsia="zh-CN"/>
        </w:rPr>
        <w:t xml:space="preserve"> randomly </w:t>
      </w:r>
      <w:r w:rsidRPr="007F4042">
        <w:rPr>
          <w:lang w:val="en-GB"/>
        </w:rPr>
        <w:t xml:space="preserve">placed in the coverage area of the macro sector. The constraint for the small cell deployment is that the distance between the small cell and the </w:t>
      </w:r>
      <w:r>
        <w:rPr>
          <w:lang w:val="en-GB"/>
        </w:rPr>
        <w:t>Macro BS</w:t>
      </w:r>
      <w:r w:rsidR="00192AF8">
        <w:rPr>
          <w:lang w:val="en-GB"/>
        </w:rPr>
        <w:t xml:space="preserve"> must be greater than 5</w:t>
      </w:r>
      <w:r w:rsidRPr="007F4042">
        <w:rPr>
          <w:lang w:val="en-GB"/>
        </w:rPr>
        <w:t xml:space="preserve">5 m and the distance between the small cell antennas (inter and intra macro sector) shouldn’t be smaller than </w:t>
      </w:r>
      <w:r w:rsidRPr="007F4042">
        <w:rPr>
          <w:lang w:val="en-GB" w:eastAsia="zh-CN"/>
        </w:rPr>
        <w:t xml:space="preserve">20 m </w:t>
      </w:r>
      <w:r w:rsidRPr="007F4042">
        <w:rPr>
          <w:lang w:val="en-GB"/>
        </w:rPr>
        <w:t xml:space="preserve">(as small cells are deployed as outdoor </w:t>
      </w:r>
      <w:r>
        <w:rPr>
          <w:lang w:val="en-GB"/>
        </w:rPr>
        <w:t>BSs</w:t>
      </w:r>
      <w:r w:rsidRPr="007F4042">
        <w:rPr>
          <w:lang w:val="en-GB"/>
        </w:rPr>
        <w:t xml:space="preserve">, most likely by </w:t>
      </w:r>
      <w:r>
        <w:rPr>
          <w:lang w:val="en-GB"/>
        </w:rPr>
        <w:t>mobile network operators</w:t>
      </w:r>
      <w:r w:rsidRPr="007F4042">
        <w:rPr>
          <w:lang w:val="en-GB"/>
        </w:rPr>
        <w:t xml:space="preserve">, it is very likely that similar limitations could be enforced by the operator). </w:t>
      </w:r>
    </w:p>
    <w:p w14:paraId="59B0B35A" w14:textId="3BCFC512" w:rsidR="000D7B5C" w:rsidRPr="007F4042" w:rsidRDefault="000D7B5C" w:rsidP="000D7B5C">
      <w:pPr>
        <w:pStyle w:val="Corpsdetexte"/>
        <w:jc w:val="both"/>
        <w:rPr>
          <w:lang w:val="en-GB"/>
        </w:rPr>
      </w:pPr>
      <w:r w:rsidRPr="007F4042">
        <w:rPr>
          <w:lang w:val="en-GB"/>
        </w:rPr>
        <w:t>Each small cell is equipped with omnidirectional antenna</w:t>
      </w:r>
      <w:r w:rsidRPr="007F4042">
        <w:rPr>
          <w:lang w:val="en-GB" w:eastAsia="zh-CN"/>
        </w:rPr>
        <w:t xml:space="preserve"> at the height of 10 m</w:t>
      </w:r>
      <w:r w:rsidRPr="007F4042">
        <w:rPr>
          <w:lang w:val="en-GB"/>
        </w:rPr>
        <w:t xml:space="preserve"> and operates in the frequency range of 24-27 GHz with available bandwidth of 1 GHz for </w:t>
      </w:r>
      <w:r w:rsidR="0042132B">
        <w:rPr>
          <w:lang w:val="en-GB"/>
        </w:rPr>
        <w:t>Dense Urban Information Society</w:t>
      </w:r>
      <w:r w:rsidRPr="007F4042">
        <w:rPr>
          <w:lang w:val="en-GB"/>
        </w:rPr>
        <w:t xml:space="preserve">, and at 5.9 GHz and </w:t>
      </w:r>
      <w:r w:rsidRPr="009C7500">
        <w:rPr>
          <w:lang w:val="en-GB"/>
        </w:rPr>
        <w:t>10 MHz bandwidth</w:t>
      </w:r>
      <w:r w:rsidR="00974EF9">
        <w:rPr>
          <w:lang w:val="en-GB"/>
        </w:rPr>
        <w:t xml:space="preserve"> </w:t>
      </w:r>
      <w:r w:rsidR="00C34D2A" w:rsidRPr="009C7500">
        <w:rPr>
          <w:lang w:val="en-GB"/>
        </w:rPr>
        <w:t>(FFS)</w:t>
      </w:r>
      <w:r w:rsidRPr="007F4042">
        <w:rPr>
          <w:lang w:val="en-GB"/>
        </w:rPr>
        <w:t>.</w:t>
      </w:r>
    </w:p>
    <w:p w14:paraId="6ADD5C09" w14:textId="77777777" w:rsidR="00AF78B3" w:rsidRDefault="00AF78B3" w:rsidP="0081450C">
      <w:pPr>
        <w:pStyle w:val="Titre3"/>
        <w:keepNext/>
        <w:keepLines/>
        <w:numPr>
          <w:ilvl w:val="0"/>
          <w:numId w:val="0"/>
        </w:numPr>
        <w:tabs>
          <w:tab w:val="clear" w:pos="851"/>
        </w:tabs>
        <w:spacing w:before="240" w:after="0" w:line="276" w:lineRule="auto"/>
      </w:pPr>
      <w:bookmarkStart w:id="11" w:name="_Ref439590135"/>
      <w:bookmarkStart w:id="12" w:name="_Toc439776076"/>
      <w:r>
        <w:t>RMa</w:t>
      </w:r>
      <w:bookmarkEnd w:id="11"/>
      <w:bookmarkEnd w:id="12"/>
    </w:p>
    <w:p w14:paraId="4920A507" w14:textId="2CC827F2" w:rsidR="00AF78B3" w:rsidRDefault="00AF78B3" w:rsidP="00AF78B3">
      <w:pPr>
        <w:pStyle w:val="Corpsdetexte"/>
        <w:jc w:val="both"/>
      </w:pPr>
      <w:r>
        <w:t xml:space="preserve">Rural Macro base stations are deployed with the ISD of 1732 m in a hexagonal cell layout presented in </w:t>
      </w:r>
      <w:r w:rsidR="008B13F6">
        <w:t>Figure 3</w:t>
      </w:r>
      <w:r>
        <w:t xml:space="preserve"> As base stations have to cover large areas, antennas are mounted on a transmission masts at the height of 35 m, above the rooftop. Sector antennas have characteristics as described in </w:t>
      </w:r>
      <w:r w:rsidR="008B13F6">
        <w:t xml:space="preserve">the </w:t>
      </w:r>
      <w:r>
        <w:t xml:space="preserve">Section </w:t>
      </w:r>
      <w:r w:rsidR="008B13F6">
        <w:t>below</w:t>
      </w:r>
    </w:p>
    <w:p w14:paraId="0467DCC8" w14:textId="77777777" w:rsidR="00AF78B3" w:rsidRDefault="00AF78B3" w:rsidP="00AF78B3">
      <w:pPr>
        <w:pStyle w:val="Corpsdetexte"/>
        <w:jc w:val="both"/>
      </w:pPr>
      <w:r>
        <w:t>RMa BSs operate at frequency of 800 GHz where 20 MHz bandwidth is available.</w:t>
      </w:r>
    </w:p>
    <w:p w14:paraId="1F8D92F7" w14:textId="77777777" w:rsidR="00AF78B3" w:rsidRDefault="00AF78B3" w:rsidP="00AF78B3">
      <w:pPr>
        <w:pStyle w:val="Corpsdetexte"/>
        <w:jc w:val="both"/>
      </w:pPr>
    </w:p>
    <w:p w14:paraId="154BCAF3" w14:textId="77777777" w:rsidR="00AF78B3" w:rsidRDefault="00AF78B3" w:rsidP="0081450C">
      <w:pPr>
        <w:pStyle w:val="Titre3"/>
        <w:keepNext/>
        <w:keepLines/>
        <w:numPr>
          <w:ilvl w:val="0"/>
          <w:numId w:val="0"/>
        </w:numPr>
        <w:tabs>
          <w:tab w:val="clear" w:pos="851"/>
        </w:tabs>
        <w:spacing w:before="240" w:after="0" w:line="276" w:lineRule="auto"/>
      </w:pPr>
      <w:bookmarkStart w:id="13" w:name="_Ref439539822"/>
      <w:bookmarkStart w:id="14" w:name="_Toc439776077"/>
      <w:r>
        <w:t>BS antenna pattern</w:t>
      </w:r>
      <w:bookmarkEnd w:id="13"/>
      <w:bookmarkEnd w:id="14"/>
    </w:p>
    <w:p w14:paraId="17B58F1E" w14:textId="77777777" w:rsidR="00676CF0" w:rsidRPr="007F4042" w:rsidRDefault="00676CF0" w:rsidP="00676CF0">
      <w:pPr>
        <w:pStyle w:val="Corpsdetexte"/>
        <w:rPr>
          <w:lang w:val="en-GB"/>
        </w:rPr>
      </w:pPr>
      <w:r w:rsidRPr="007F4042">
        <w:rPr>
          <w:lang w:val="en-GB"/>
        </w:rPr>
        <w:t>For UMa and RMa BS sector, the horizontal antenna pattern is specified as:</w:t>
      </w:r>
    </w:p>
    <w:p w14:paraId="2B402646" w14:textId="77777777" w:rsidR="00676CF0" w:rsidRPr="007F4042" w:rsidRDefault="00676CF0" w:rsidP="00676CF0">
      <w:pPr>
        <w:pStyle w:val="Corpsdetexte"/>
        <w:jc w:val="center"/>
        <w:rPr>
          <w:lang w:val="en-GB"/>
        </w:rPr>
      </w:pPr>
      <m:oMathPara>
        <m:oMath>
          <m:r>
            <w:rPr>
              <w:rFonts w:ascii="Cambria Math" w:hAnsi="Cambria Math"/>
              <w:lang w:val="en-GB"/>
            </w:rPr>
            <m:t>A</m:t>
          </m:r>
          <m:d>
            <m:dPr>
              <m:ctrlPr>
                <w:rPr>
                  <w:rFonts w:ascii="Cambria Math" w:hAnsi="Cambria Math"/>
                  <w:i/>
                  <w:lang w:val="en-GB"/>
                </w:rPr>
              </m:ctrlPr>
            </m:dPr>
            <m:e>
              <m:r>
                <w:rPr>
                  <w:rFonts w:ascii="Cambria Math" w:hAnsi="Cambria Math"/>
                  <w:lang w:val="en-GB"/>
                </w:rPr>
                <m:t>θ</m:t>
              </m:r>
            </m:e>
          </m:d>
          <m:r>
            <w:rPr>
              <w:rFonts w:ascii="Cambria Math" w:hAnsi="Cambria Math"/>
              <w:lang w:val="en-GB"/>
            </w:rPr>
            <m:t>=-min</m:t>
          </m:r>
          <m:d>
            <m:dPr>
              <m:begChr m:val="["/>
              <m:endChr m:val="]"/>
              <m:ctrlPr>
                <w:rPr>
                  <w:rFonts w:ascii="Cambria Math" w:hAnsi="Cambria Math"/>
                  <w:i/>
                  <w:lang w:val="en-GB"/>
                </w:rPr>
              </m:ctrlPr>
            </m:dPr>
            <m:e>
              <m:r>
                <w:rPr>
                  <w:rFonts w:ascii="Cambria Math" w:hAnsi="Cambria Math"/>
                  <w:lang w:val="en-GB"/>
                </w:rPr>
                <m:t>12</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θ</m:t>
                          </m:r>
                        </m:num>
                        <m:den>
                          <m:sSub>
                            <m:sSubPr>
                              <m:ctrlPr>
                                <w:rPr>
                                  <w:rFonts w:ascii="Cambria Math" w:hAnsi="Cambria Math"/>
                                  <w:i/>
                                  <w:lang w:val="en-GB"/>
                                </w:rPr>
                              </m:ctrlPr>
                            </m:sSubPr>
                            <m:e>
                              <m:r>
                                <w:rPr>
                                  <w:rFonts w:ascii="Cambria Math" w:hAnsi="Cambria Math"/>
                                  <w:lang w:val="en-GB"/>
                                </w:rPr>
                                <m:t>θ</m:t>
                              </m:r>
                            </m:e>
                            <m:sub>
                              <m:r>
                                <w:rPr>
                                  <w:rFonts w:ascii="Cambria Math" w:hAnsi="Cambria Math"/>
                                  <w:lang w:val="en-GB"/>
                                </w:rPr>
                                <m:t>3dB</m:t>
                              </m:r>
                            </m:sub>
                          </m:sSub>
                        </m:den>
                      </m:f>
                    </m:e>
                  </m:d>
                </m:e>
                <m:sup>
                  <m:r>
                    <w:rPr>
                      <w:rFonts w:ascii="Cambria Math" w:hAnsi="Cambria Math"/>
                      <w:lang w:val="en-GB"/>
                    </w:rPr>
                    <m:t>2</m:t>
                  </m:r>
                </m:sup>
              </m:sSup>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mh</m:t>
                  </m:r>
                </m:sub>
              </m:sSub>
            </m:e>
          </m:d>
        </m:oMath>
      </m:oMathPara>
    </w:p>
    <w:p w14:paraId="570923FE" w14:textId="77777777" w:rsidR="00676CF0" w:rsidRPr="007F4042" w:rsidRDefault="00676CF0" w:rsidP="00676CF0">
      <w:pPr>
        <w:pStyle w:val="Corpsdetexte"/>
        <w:jc w:val="both"/>
        <w:rPr>
          <w:lang w:val="en-GB"/>
        </w:rPr>
      </w:pPr>
      <w:r w:rsidRPr="007F4042">
        <w:rPr>
          <w:lang w:val="en-GB"/>
        </w:rPr>
        <w:t xml:space="preserve">Where </w:t>
      </w:r>
      <m:oMath>
        <m:r>
          <w:rPr>
            <w:rFonts w:ascii="Cambria Math" w:hAnsi="Cambria Math"/>
            <w:lang w:val="en-GB"/>
          </w:rPr>
          <m:t>A</m:t>
        </m:r>
        <m:d>
          <m:dPr>
            <m:ctrlPr>
              <w:rPr>
                <w:rFonts w:ascii="Cambria Math" w:hAnsi="Cambria Math"/>
                <w:i/>
                <w:lang w:val="en-GB"/>
              </w:rPr>
            </m:ctrlPr>
          </m:dPr>
          <m:e>
            <m:r>
              <w:rPr>
                <w:rFonts w:ascii="Cambria Math" w:hAnsi="Cambria Math"/>
                <w:lang w:val="en-GB"/>
              </w:rPr>
              <m:t>θ</m:t>
            </m:r>
          </m:e>
        </m:d>
      </m:oMath>
      <w:r w:rsidRPr="007F4042">
        <w:rPr>
          <w:lang w:val="en-GB"/>
        </w:rPr>
        <w:t xml:space="preserve"> is the relative antenna gain in horizontal direction (dB)</w:t>
      </w:r>
      <m:oMath>
        <m:r>
          <w:rPr>
            <w:rFonts w:ascii="Cambria Math" w:hAnsi="Cambria Math"/>
            <w:lang w:val="en-GB"/>
          </w:rPr>
          <m:t>, θ</m:t>
        </m:r>
      </m:oMath>
      <w:r w:rsidRPr="007F4042">
        <w:rPr>
          <w:lang w:val="en-GB"/>
        </w:rPr>
        <w:t xml:space="preserve"> is the horizontal angle, </w:t>
      </w:r>
      <m:oMath>
        <m:sSub>
          <m:sSubPr>
            <m:ctrlPr>
              <w:rPr>
                <w:rFonts w:ascii="Cambria Math" w:hAnsi="Cambria Math"/>
                <w:i/>
                <w:lang w:val="en-GB"/>
              </w:rPr>
            </m:ctrlPr>
          </m:sSubPr>
          <m:e>
            <m:r>
              <w:rPr>
                <w:rFonts w:ascii="Cambria Math" w:hAnsi="Cambria Math"/>
                <w:lang w:val="en-GB"/>
              </w:rPr>
              <m:t>θ</m:t>
            </m:r>
          </m:e>
          <m:sub>
            <m:r>
              <w:rPr>
                <w:rFonts w:ascii="Cambria Math" w:hAnsi="Cambria Math"/>
                <w:lang w:val="en-GB"/>
              </w:rPr>
              <m:t>3dB</m:t>
            </m:r>
          </m:sub>
        </m:sSub>
      </m:oMath>
      <w:r w:rsidRPr="007F4042">
        <w:rPr>
          <w:lang w:val="en-GB"/>
        </w:rPr>
        <w:t xml:space="preserve"> is the 3 dB beamwidth and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mh</m:t>
            </m:r>
          </m:sub>
        </m:sSub>
      </m:oMath>
      <w:r w:rsidRPr="007F4042">
        <w:rPr>
          <w:lang w:val="en-GB"/>
        </w:rPr>
        <w:t xml:space="preserve"> is the maximum attenuation of the antenna</w:t>
      </w:r>
      <w:r>
        <w:rPr>
          <w:lang w:val="en-GB"/>
        </w:rPr>
        <w:t xml:space="preserve"> in the horizontal plane</w:t>
      </w:r>
      <w:r w:rsidRPr="007F4042">
        <w:rPr>
          <w:lang w:val="en-GB"/>
        </w:rPr>
        <w:t xml:space="preserve">. For system level simulations values of </w:t>
      </w:r>
      <m:oMath>
        <m:sSub>
          <m:sSubPr>
            <m:ctrlPr>
              <w:rPr>
                <w:rFonts w:ascii="Cambria Math" w:hAnsi="Cambria Math"/>
                <w:i/>
                <w:lang w:val="en-GB"/>
              </w:rPr>
            </m:ctrlPr>
          </m:sSubPr>
          <m:e>
            <m:r>
              <w:rPr>
                <w:rFonts w:ascii="Cambria Math" w:hAnsi="Cambria Math"/>
                <w:lang w:val="en-GB"/>
              </w:rPr>
              <m:t>θ</m:t>
            </m:r>
          </m:e>
          <m:sub>
            <m:r>
              <w:rPr>
                <w:rFonts w:ascii="Cambria Math" w:hAnsi="Cambria Math"/>
                <w:lang w:val="en-GB"/>
              </w:rPr>
              <m:t>3dB</m:t>
            </m:r>
          </m:sub>
        </m:sSub>
      </m:oMath>
      <w:r w:rsidRPr="007F4042">
        <w:rPr>
          <w:lang w:val="en-GB"/>
        </w:rPr>
        <w:t>=70</w:t>
      </w:r>
      <w:r w:rsidRPr="007F4042">
        <w:rPr>
          <w:vertAlign w:val="superscript"/>
          <w:lang w:val="en-GB"/>
        </w:rPr>
        <w:t>0</w:t>
      </w:r>
      <w:r w:rsidRPr="007F4042">
        <w:rPr>
          <w:lang w:val="en-GB"/>
        </w:rPr>
        <w:t xml:space="preserve"> and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mh</m:t>
            </m:r>
          </m:sub>
        </m:sSub>
      </m:oMath>
      <w:r w:rsidRPr="007F4042">
        <w:rPr>
          <w:lang w:val="en-GB"/>
        </w:rPr>
        <w:t>=2</w:t>
      </w:r>
      <w:r>
        <w:rPr>
          <w:lang w:val="en-GB"/>
        </w:rPr>
        <w:t>5</w:t>
      </w:r>
      <w:r w:rsidRPr="007F4042">
        <w:rPr>
          <w:lang w:val="en-GB"/>
        </w:rPr>
        <w:t xml:space="preserve"> dB shall be used.</w:t>
      </w:r>
    </w:p>
    <w:p w14:paraId="14B6BBF1" w14:textId="77777777" w:rsidR="00676CF0" w:rsidRPr="007F4042" w:rsidRDefault="00676CF0" w:rsidP="00676CF0">
      <w:pPr>
        <w:pStyle w:val="Corpsdetexte"/>
        <w:jc w:val="both"/>
        <w:rPr>
          <w:lang w:val="en-GB"/>
        </w:rPr>
      </w:pPr>
      <w:r w:rsidRPr="007F4042">
        <w:rPr>
          <w:lang w:val="en-GB"/>
        </w:rPr>
        <w:t>For elevation angle antenna pattern is defined as:</w:t>
      </w:r>
    </w:p>
    <w:p w14:paraId="4154B8E9" w14:textId="77777777" w:rsidR="00676CF0" w:rsidRPr="007F4042" w:rsidRDefault="004B739E" w:rsidP="00676CF0">
      <w:pPr>
        <w:pStyle w:val="Corpsdetexte"/>
        <w:rPr>
          <w:lang w:val="en-GB"/>
        </w:rPr>
      </w:pPr>
      <m:oMathPara>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e</m:t>
              </m:r>
            </m:sub>
          </m:sSub>
          <m:d>
            <m:dPr>
              <m:ctrlPr>
                <w:rPr>
                  <w:rFonts w:ascii="Cambria Math" w:hAnsi="Cambria Math"/>
                  <w:i/>
                  <w:lang w:val="en-GB"/>
                </w:rPr>
              </m:ctrlPr>
            </m:dPr>
            <m:e>
              <m:r>
                <w:rPr>
                  <w:rFonts w:ascii="Cambria Math" w:hAnsi="Cambria Math"/>
                  <w:lang w:val="en-GB"/>
                </w:rPr>
                <m:t>∅</m:t>
              </m:r>
            </m:e>
          </m:d>
          <m:r>
            <w:rPr>
              <w:rFonts w:ascii="Cambria Math" w:hAnsi="Cambria Math"/>
              <w:lang w:val="en-GB"/>
            </w:rPr>
            <m:t>=-min</m:t>
          </m:r>
          <m:d>
            <m:dPr>
              <m:begChr m:val="["/>
              <m:endChr m:val="]"/>
              <m:ctrlPr>
                <w:rPr>
                  <w:rFonts w:ascii="Cambria Math" w:hAnsi="Cambria Math"/>
                  <w:i/>
                  <w:lang w:val="en-GB"/>
                </w:rPr>
              </m:ctrlPr>
            </m:dPr>
            <m:e>
              <m:r>
                <w:rPr>
                  <w:rFonts w:ascii="Cambria Math" w:hAnsi="Cambria Math"/>
                  <w:lang w:val="en-GB"/>
                </w:rPr>
                <m:t>12</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tilt</m:t>
                              </m:r>
                            </m:sub>
                          </m:sSub>
                        </m:num>
                        <m:den>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3dB</m:t>
                              </m:r>
                            </m:sub>
                          </m:sSub>
                        </m:den>
                      </m:f>
                    </m:e>
                  </m:d>
                </m:e>
                <m:sup>
                  <m:r>
                    <w:rPr>
                      <w:rFonts w:ascii="Cambria Math" w:hAnsi="Cambria Math"/>
                      <w:lang w:val="en-GB"/>
                    </w:rPr>
                    <m:t>2</m:t>
                  </m:r>
                </m:sup>
              </m:sSup>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mv</m:t>
                  </m:r>
                </m:sub>
              </m:sSub>
            </m:e>
          </m:d>
        </m:oMath>
      </m:oMathPara>
    </w:p>
    <w:p w14:paraId="6A468A80" w14:textId="77777777" w:rsidR="00676CF0" w:rsidRPr="007F4042" w:rsidRDefault="00676CF0" w:rsidP="00676CF0">
      <w:pPr>
        <w:pStyle w:val="Corpsdetexte"/>
        <w:jc w:val="both"/>
        <w:rPr>
          <w:lang w:val="en-GB"/>
        </w:rPr>
      </w:pPr>
      <w:r w:rsidRPr="007F4042">
        <w:rPr>
          <w:lang w:val="en-GB"/>
        </w:rPr>
        <w:t xml:space="preserve">Where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e</m:t>
            </m:r>
          </m:sub>
        </m:sSub>
        <m:d>
          <m:dPr>
            <m:ctrlPr>
              <w:rPr>
                <w:rFonts w:ascii="Cambria Math" w:hAnsi="Cambria Math"/>
                <w:i/>
                <w:lang w:val="en-GB"/>
              </w:rPr>
            </m:ctrlPr>
          </m:dPr>
          <m:e>
            <m:r>
              <w:rPr>
                <w:rFonts w:ascii="Cambria Math" w:hAnsi="Cambria Math"/>
                <w:lang w:val="en-GB"/>
              </w:rPr>
              <m:t>∅</m:t>
            </m:r>
          </m:e>
        </m:d>
      </m:oMath>
      <w:r w:rsidRPr="007F4042">
        <w:rPr>
          <w:lang w:val="en-GB"/>
        </w:rPr>
        <w:t xml:space="preserve"> is the relative antenna gain in the elevation direction (dB), </w:t>
      </w:r>
      <m:oMath>
        <m:r>
          <w:rPr>
            <w:rFonts w:ascii="Cambria Math" w:hAnsi="Cambria Math"/>
            <w:lang w:val="en-GB"/>
          </w:rPr>
          <m:t>∅</m:t>
        </m:r>
      </m:oMath>
      <w:r w:rsidRPr="007F4042">
        <w:rPr>
          <w:lang w:val="en-GB"/>
        </w:rPr>
        <w:t xml:space="preserve"> is the elevation angle, </w:t>
      </w:r>
      <m:oMath>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3dB</m:t>
            </m:r>
          </m:sub>
        </m:sSub>
      </m:oMath>
      <w:r w:rsidRPr="007F4042">
        <w:rPr>
          <w:lang w:val="en-GB"/>
        </w:rPr>
        <w:t xml:space="preserve"> is the elevation 3 dB </w:t>
      </w:r>
      <w:r>
        <w:rPr>
          <w:lang w:val="en-GB"/>
        </w:rPr>
        <w:t xml:space="preserve">beamwidth,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mv</m:t>
            </m:r>
          </m:sub>
        </m:sSub>
      </m:oMath>
      <w:r w:rsidRPr="007F4042">
        <w:rPr>
          <w:lang w:val="en-GB"/>
        </w:rPr>
        <w:t xml:space="preserve"> is the maximum attenuation of the antenna</w:t>
      </w:r>
      <w:r>
        <w:rPr>
          <w:lang w:val="en-GB"/>
        </w:rPr>
        <w:t xml:space="preserve"> in the vertical plane</w:t>
      </w:r>
      <w:r w:rsidRPr="007F4042">
        <w:rPr>
          <w:lang w:val="en-GB"/>
        </w:rPr>
        <w:t xml:space="preserve"> and </w:t>
      </w:r>
      <m:oMath>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tilt</m:t>
            </m:r>
          </m:sub>
        </m:sSub>
      </m:oMath>
      <w:r w:rsidRPr="007F4042">
        <w:rPr>
          <w:lang w:val="en-GB"/>
        </w:rPr>
        <w:t xml:space="preserve"> is the tilt angle that can be adjusted in each deployment scenario. For system level simulations values of</w:t>
      </w:r>
      <w:r>
        <w:rPr>
          <w:lang w:val="en-GB"/>
        </w:rPr>
        <w:t xml:space="preserve">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mv</m:t>
            </m:r>
          </m:sub>
        </m:sSub>
      </m:oMath>
      <w:r>
        <w:rPr>
          <w:lang w:val="en-GB"/>
        </w:rPr>
        <w:t>= 20 dB and</w:t>
      </w:r>
      <w:r w:rsidRPr="007F4042">
        <w:rPr>
          <w:lang w:val="en-GB"/>
        </w:rPr>
        <w:t xml:space="preserve"> </w:t>
      </w:r>
      <m:oMath>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3dB</m:t>
            </m:r>
          </m:sub>
        </m:sSub>
      </m:oMath>
      <w:r w:rsidRPr="007F4042">
        <w:rPr>
          <w:lang w:val="en-GB"/>
        </w:rPr>
        <w:t>= 15</w:t>
      </w:r>
      <w:r w:rsidRPr="007F4042">
        <w:rPr>
          <w:vertAlign w:val="superscript"/>
          <w:lang w:val="en-GB"/>
        </w:rPr>
        <w:t xml:space="preserve">0 </w:t>
      </w:r>
      <w:r w:rsidRPr="007F4042">
        <w:rPr>
          <w:lang w:val="en-GB"/>
        </w:rPr>
        <w:t xml:space="preserve">shall be used. </w:t>
      </w:r>
    </w:p>
    <w:p w14:paraId="2F3C31C2" w14:textId="77777777" w:rsidR="00676CF0" w:rsidRPr="007F4042" w:rsidRDefault="00676CF0" w:rsidP="00676CF0">
      <w:pPr>
        <w:pStyle w:val="Corpsdetexte"/>
        <w:jc w:val="both"/>
        <w:rPr>
          <w:lang w:val="en-GB"/>
        </w:rPr>
      </w:pPr>
      <w:r w:rsidRPr="007F4042">
        <w:rPr>
          <w:lang w:val="en-GB"/>
        </w:rPr>
        <w:t>The combined antenna pattern is computed as:</w:t>
      </w:r>
    </w:p>
    <w:p w14:paraId="334DB07A" w14:textId="77777777" w:rsidR="00676CF0" w:rsidRPr="007F4042" w:rsidRDefault="00676CF0" w:rsidP="00676CF0">
      <w:pPr>
        <w:pStyle w:val="Corpsdetexte"/>
        <w:jc w:val="both"/>
        <w:rPr>
          <w:lang w:val="en-GB" w:eastAsia="zh-CN"/>
        </w:rPr>
      </w:pPr>
      <m:oMathPara>
        <m:oMath>
          <m:r>
            <m:rPr>
              <m:sty m:val="p"/>
            </m:rPr>
            <w:rPr>
              <w:rFonts w:ascii="Cambria Math" w:hAnsi="Cambria Math"/>
              <w:lang w:val="en-GB" w:eastAsia="zh-CN"/>
            </w:rPr>
            <m:t>-min</m:t>
          </m:r>
          <m:d>
            <m:dPr>
              <m:begChr m:val="["/>
              <m:endChr m:val="]"/>
              <m:ctrlPr>
                <w:rPr>
                  <w:rFonts w:ascii="Cambria Math" w:hAnsi="Cambria Math"/>
                  <w:lang w:val="en-GB" w:eastAsia="zh-CN"/>
                </w:rPr>
              </m:ctrlPr>
            </m:dPr>
            <m:e>
              <m:r>
                <m:rPr>
                  <m:sty m:val="p"/>
                </m:rPr>
                <w:rPr>
                  <w:rFonts w:ascii="Cambria Math" w:hAnsi="Cambria Math"/>
                  <w:lang w:val="en-GB" w:eastAsia="zh-CN"/>
                </w:rPr>
                <m:t>-</m:t>
              </m:r>
              <m:d>
                <m:dPr>
                  <m:ctrlPr>
                    <w:rPr>
                      <w:rFonts w:ascii="Cambria Math" w:hAnsi="Cambria Math"/>
                      <w:lang w:val="en-GB" w:eastAsia="zh-CN"/>
                    </w:rPr>
                  </m:ctrlPr>
                </m:dPr>
                <m:e>
                  <m:r>
                    <w:rPr>
                      <w:rFonts w:ascii="Cambria Math" w:hAnsi="Cambria Math"/>
                      <w:lang w:val="en-GB"/>
                    </w:rPr>
                    <m:t>A</m:t>
                  </m:r>
                  <m:d>
                    <m:dPr>
                      <m:ctrlPr>
                        <w:rPr>
                          <w:rFonts w:ascii="Cambria Math" w:hAnsi="Cambria Math"/>
                          <w:i/>
                          <w:lang w:val="en-GB"/>
                        </w:rPr>
                      </m:ctrlPr>
                    </m:dPr>
                    <m:e>
                      <m:r>
                        <w:rPr>
                          <w:rFonts w:ascii="Cambria Math" w:hAnsi="Cambria Math"/>
                          <w:lang w:val="en-GB"/>
                        </w:rPr>
                        <m:t>θ</m:t>
                      </m:r>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e</m:t>
                      </m:r>
                    </m:sub>
                  </m:sSub>
                  <m:d>
                    <m:dPr>
                      <m:ctrlPr>
                        <w:rPr>
                          <w:rFonts w:ascii="Cambria Math" w:hAnsi="Cambria Math"/>
                          <w:i/>
                          <w:lang w:val="en-GB"/>
                        </w:rPr>
                      </m:ctrlPr>
                    </m:dPr>
                    <m:e>
                      <m:r>
                        <w:rPr>
                          <w:rFonts w:ascii="Cambria Math" w:hAnsi="Cambria Math"/>
                          <w:lang w:val="en-GB"/>
                        </w:rPr>
                        <m:t>∅</m:t>
                      </m:r>
                    </m:e>
                  </m:d>
                </m:e>
              </m:d>
              <m:r>
                <m:rPr>
                  <m:sty m:val="p"/>
                </m:rPr>
                <w:rPr>
                  <w:rFonts w:ascii="Cambria Math" w:hAnsi="Cambria Math"/>
                  <w:lang w:val="en-GB" w:eastAsia="zh-CN"/>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m</m:t>
                  </m:r>
                </m:sub>
              </m:sSub>
            </m:e>
          </m:d>
        </m:oMath>
      </m:oMathPara>
    </w:p>
    <w:p w14:paraId="4677F95C" w14:textId="77777777" w:rsidR="00AF78B3" w:rsidRDefault="00AF78B3">
      <w:pPr>
        <w:spacing w:after="0"/>
        <w:jc w:val="left"/>
        <w:rPr>
          <w:sz w:val="32"/>
          <w:lang w:val="en-US"/>
        </w:rPr>
      </w:pPr>
    </w:p>
    <w:p w14:paraId="03A60B61" w14:textId="77777777" w:rsidR="00544AA3" w:rsidRDefault="00544AA3">
      <w:pPr>
        <w:spacing w:after="0"/>
        <w:jc w:val="left"/>
        <w:rPr>
          <w:sz w:val="32"/>
          <w:lang w:val="en-US"/>
        </w:rPr>
      </w:pPr>
      <w:r>
        <w:rPr>
          <w:sz w:val="32"/>
          <w:lang w:val="en-US"/>
        </w:rPr>
        <w:br w:type="page"/>
      </w:r>
    </w:p>
    <w:p w14:paraId="6C805EED" w14:textId="7D0F8C7E" w:rsidR="00AF78B3" w:rsidRDefault="00974EF9" w:rsidP="00AF78B3">
      <w:pPr>
        <w:pStyle w:val="Annex2"/>
      </w:pPr>
      <w:bookmarkStart w:id="15" w:name="_Ref439675860"/>
      <w:bookmarkStart w:id="16" w:name="_Toc439776121"/>
      <w:r>
        <w:lastRenderedPageBreak/>
        <w:t>IMT-A evaluation process o</w:t>
      </w:r>
      <w:r w:rsidR="00AF78B3">
        <w:t>verview</w:t>
      </w:r>
      <w:bookmarkEnd w:id="15"/>
      <w:bookmarkEnd w:id="16"/>
    </w:p>
    <w:p w14:paraId="13C6AB21" w14:textId="7E34B2F8" w:rsidR="00AF78B3" w:rsidRPr="00C81755" w:rsidRDefault="00AF78B3" w:rsidP="00AF78B3">
      <w:pPr>
        <w:pStyle w:val="Corpsdetexte"/>
        <w:jc w:val="both"/>
        <w:rPr>
          <w:lang w:val="en-GB"/>
        </w:rPr>
      </w:pPr>
      <w:r w:rsidRPr="00C81755">
        <w:rPr>
          <w:lang w:val="en-GB"/>
        </w:rPr>
        <w:t>IMT-A is recognized as the 4</w:t>
      </w:r>
      <w:r w:rsidRPr="00C81755">
        <w:rPr>
          <w:vertAlign w:val="superscript"/>
          <w:lang w:val="en-GB"/>
        </w:rPr>
        <w:t>th</w:t>
      </w:r>
      <w:r w:rsidRPr="00C81755">
        <w:rPr>
          <w:lang w:val="en-GB"/>
        </w:rPr>
        <w:t xml:space="preserve"> generation (4G) of wireless networks that could provide high data rates to enable various mobile broadband (MBB) applications. In 2007-2008 timeframe, ITU-R Working Party (WP) 5D developed the evaluation guideline for IMT-A for its performance assessment, and defined its performance metrics and technical performance requirements. Summary of these can be found in two ITU-R reports, i.e., the report ITU-R M.2135 “Guidelines for evaluation of radio interface technologies for IMT-Advanced” [ITUR-M2135], and the report ITU-R M.2134 “Requirements related to technical performance for IMT-A radio interface(s)” [ITUR-M2134].</w:t>
      </w:r>
    </w:p>
    <w:p w14:paraId="479FBC5F" w14:textId="77777777" w:rsidR="00AF78B3" w:rsidRPr="00C81755" w:rsidRDefault="00AF78B3" w:rsidP="00AF78B3">
      <w:pPr>
        <w:pStyle w:val="Corpsdetexte"/>
        <w:jc w:val="both"/>
        <w:rPr>
          <w:lang w:val="en-GB"/>
        </w:rPr>
      </w:pPr>
      <w:r w:rsidRPr="00C81755">
        <w:rPr>
          <w:lang w:val="en-GB"/>
        </w:rPr>
        <w:t>The report ITU-R M.2135 defined a complete framework for IMT-A evaluation. It includes three components:</w:t>
      </w:r>
    </w:p>
    <w:p w14:paraId="560A68DE" w14:textId="77777777" w:rsidR="00AF78B3" w:rsidRPr="00C81755" w:rsidRDefault="00AF78B3" w:rsidP="00AF78B3">
      <w:pPr>
        <w:pStyle w:val="Listepuces"/>
        <w:spacing w:after="120"/>
        <w:jc w:val="both"/>
        <w:rPr>
          <w:lang w:val="en-GB"/>
        </w:rPr>
      </w:pPr>
      <w:r w:rsidRPr="00C81755">
        <w:rPr>
          <w:lang w:val="en-GB"/>
        </w:rPr>
        <w:t>Test environments, which consist of:</w:t>
      </w:r>
    </w:p>
    <w:p w14:paraId="6865FD1D" w14:textId="77777777" w:rsidR="00AF78B3" w:rsidRPr="00C81755" w:rsidRDefault="00AF78B3" w:rsidP="00AF78B3">
      <w:pPr>
        <w:pStyle w:val="Listepuces2"/>
        <w:jc w:val="both"/>
        <w:rPr>
          <w:lang w:val="en-GB"/>
        </w:rPr>
      </w:pPr>
      <w:r w:rsidRPr="00C81755">
        <w:rPr>
          <w:lang w:val="en-GB"/>
        </w:rPr>
        <w:t>Traffic model that is characterized by the service to be evaluated.</w:t>
      </w:r>
    </w:p>
    <w:p w14:paraId="2BAC3407" w14:textId="77777777" w:rsidR="00AF78B3" w:rsidRPr="00C81755" w:rsidRDefault="00AF78B3" w:rsidP="00AF78B3">
      <w:pPr>
        <w:pStyle w:val="Listepuces2"/>
        <w:jc w:val="both"/>
        <w:rPr>
          <w:lang w:val="en-GB"/>
        </w:rPr>
      </w:pPr>
      <w:r w:rsidRPr="00C81755">
        <w:rPr>
          <w:lang w:val="en-GB"/>
        </w:rPr>
        <w:t xml:space="preserve">Deployment scenario, which provides the geographical characteristics where the service is deployed (e.g., indoor hotspot, dense urban area). </w:t>
      </w:r>
    </w:p>
    <w:p w14:paraId="0854B901" w14:textId="77777777" w:rsidR="00AF78B3" w:rsidRPr="00C81755" w:rsidRDefault="00AF78B3" w:rsidP="00AF78B3">
      <w:pPr>
        <w:pStyle w:val="Listepuces2"/>
        <w:jc w:val="both"/>
        <w:rPr>
          <w:lang w:val="en-GB"/>
        </w:rPr>
      </w:pPr>
      <w:r w:rsidRPr="00C81755">
        <w:rPr>
          <w:lang w:val="en-GB"/>
        </w:rPr>
        <w:t>Evaluation configuration, i.e., the assumed evaluation parameters applied to the selected traffic (service) and deployment scenario.</w:t>
      </w:r>
    </w:p>
    <w:p w14:paraId="354A0147" w14:textId="77777777" w:rsidR="00AF78B3" w:rsidRPr="00C81755" w:rsidRDefault="00AF78B3" w:rsidP="00AF78B3">
      <w:pPr>
        <w:pStyle w:val="Listepuces"/>
        <w:spacing w:after="120"/>
        <w:jc w:val="both"/>
        <w:rPr>
          <w:lang w:val="en-GB"/>
        </w:rPr>
      </w:pPr>
      <w:r w:rsidRPr="00C81755">
        <w:rPr>
          <w:lang w:val="en-GB"/>
        </w:rPr>
        <w:t>Evaluation methodology and procedure for each of performance metrics:</w:t>
      </w:r>
    </w:p>
    <w:p w14:paraId="731FD72F" w14:textId="77777777" w:rsidR="00AF78B3" w:rsidRPr="00C81755" w:rsidRDefault="00AF78B3" w:rsidP="00AF78B3">
      <w:pPr>
        <w:pStyle w:val="Listepuces2"/>
        <w:jc w:val="both"/>
        <w:rPr>
          <w:lang w:val="en-GB"/>
        </w:rPr>
      </w:pPr>
      <w:r w:rsidRPr="00C81755">
        <w:rPr>
          <w:lang w:val="en-GB"/>
        </w:rPr>
        <w:t>High level assessment method for each of the performance metrics, e.g., inspection, analytical, and simulation.</w:t>
      </w:r>
    </w:p>
    <w:p w14:paraId="278F1079" w14:textId="77777777" w:rsidR="00AF78B3" w:rsidRPr="00C81755" w:rsidRDefault="00AF78B3" w:rsidP="00AF78B3">
      <w:pPr>
        <w:pStyle w:val="Listepuces2"/>
        <w:jc w:val="both"/>
        <w:rPr>
          <w:lang w:val="en-GB"/>
        </w:rPr>
      </w:pPr>
      <w:r w:rsidRPr="00C81755">
        <w:rPr>
          <w:lang w:val="en-GB"/>
        </w:rPr>
        <w:t>Detailed evaluation method and procedure.</w:t>
      </w:r>
    </w:p>
    <w:p w14:paraId="3677C919" w14:textId="77777777" w:rsidR="00AF78B3" w:rsidRPr="00C81755" w:rsidRDefault="00AF78B3" w:rsidP="00AF78B3">
      <w:pPr>
        <w:pStyle w:val="Listepuces"/>
        <w:jc w:val="both"/>
        <w:rPr>
          <w:lang w:val="en-GB"/>
        </w:rPr>
      </w:pPr>
      <w:r w:rsidRPr="00C81755">
        <w:rPr>
          <w:lang w:val="en-GB"/>
        </w:rPr>
        <w:t>Evaluation models, e.g., channel model, etc.</w:t>
      </w:r>
    </w:p>
    <w:p w14:paraId="2C6AA770" w14:textId="77777777" w:rsidR="00AF78B3" w:rsidRPr="00C81755" w:rsidRDefault="00AF78B3" w:rsidP="00AF78B3">
      <w:pPr>
        <w:pStyle w:val="Corpsdetexte"/>
        <w:jc w:val="both"/>
        <w:rPr>
          <w:lang w:val="en-GB"/>
        </w:rPr>
      </w:pPr>
      <w:r w:rsidRPr="00C81755">
        <w:rPr>
          <w:rFonts w:cs="Arial"/>
          <w:szCs w:val="24"/>
          <w:lang w:val="en-GB" w:eastAsia="zh-CN"/>
        </w:rPr>
        <w:t>The following subsections give more detailed information on these three IMT-A evaluation components.</w:t>
      </w:r>
    </w:p>
    <w:p w14:paraId="12A647FC" w14:textId="77777777" w:rsidR="00AF78B3" w:rsidRPr="00C81755" w:rsidRDefault="00AF78B3" w:rsidP="00AF78B3">
      <w:pPr>
        <w:pStyle w:val="Annex3"/>
        <w:rPr>
          <w:lang w:val="en-GB"/>
        </w:rPr>
      </w:pPr>
      <w:bookmarkStart w:id="17" w:name="_Toc431458557"/>
      <w:bookmarkStart w:id="18" w:name="_Toc439776122"/>
      <w:r w:rsidRPr="00C81755">
        <w:rPr>
          <w:lang w:val="en-GB"/>
        </w:rPr>
        <w:t>IMT-A test environments</w:t>
      </w:r>
      <w:bookmarkEnd w:id="17"/>
      <w:bookmarkEnd w:id="18"/>
    </w:p>
    <w:p w14:paraId="10244F4A" w14:textId="5238A8FE" w:rsidR="00AF78B3" w:rsidRPr="00C81755" w:rsidRDefault="00AF78B3" w:rsidP="00AF78B3">
      <w:pPr>
        <w:pStyle w:val="Corpsdetexte"/>
        <w:jc w:val="both"/>
        <w:rPr>
          <w:lang w:val="en-GB"/>
        </w:rPr>
      </w:pPr>
      <w:r w:rsidRPr="00C81755">
        <w:rPr>
          <w:lang w:val="en-GB"/>
        </w:rPr>
        <w:t xml:space="preserve">IMT-A focused on MBB scenarios, where provision of high data rates and voice service were the main </w:t>
      </w:r>
      <w:r>
        <w:rPr>
          <w:lang w:val="en-GB"/>
        </w:rPr>
        <w:t>UC</w:t>
      </w:r>
      <w:r w:rsidRPr="00C81755">
        <w:rPr>
          <w:lang w:val="en-GB"/>
        </w:rPr>
        <w:t xml:space="preserve">, and the human communication environments are the typical application environments for MBB. Accordingly, IMT-A defined four test environments, which are listed in </w:t>
      </w:r>
      <w:r w:rsidR="008B13F6">
        <w:rPr>
          <w:lang w:val="en-GB"/>
        </w:rPr>
        <w:t>the table below</w:t>
      </w:r>
      <w:r w:rsidR="009C7500">
        <w:rPr>
          <w:lang w:val="en-GB"/>
        </w:rPr>
        <w:t>.</w:t>
      </w:r>
      <w:r w:rsidR="008B13F6">
        <w:rPr>
          <w:lang w:val="en-GB"/>
        </w:rPr>
        <w:t xml:space="preserve"> </w:t>
      </w:r>
      <w:r w:rsidRPr="00C81755">
        <w:rPr>
          <w:lang w:val="en-GB"/>
        </w:rPr>
        <w:t xml:space="preserve">The “indoor” and “microcellular” are representatives for high user density scenarios in indoor (e.g., office) and dense urban area, respectively. The “base coverage urban” and “high speed” represent the wide area coverage scenarios with lower user density, but higher user mobility, in urban and rural area, respectively. The corresponding deployment scenarios are also shown in </w:t>
      </w:r>
      <w:r w:rsidR="005128F6" w:rsidRPr="00C81755">
        <w:rPr>
          <w:highlight w:val="yellow"/>
          <w:lang w:val="en-GB"/>
        </w:rPr>
        <w:fldChar w:fldCharType="begin"/>
      </w:r>
      <w:r w:rsidRPr="00C81755">
        <w:rPr>
          <w:lang w:val="en-GB"/>
        </w:rPr>
        <w:instrText xml:space="preserve"> REF _Ref427686848 \h </w:instrText>
      </w:r>
      <w:r w:rsidR="005128F6" w:rsidRPr="00C81755">
        <w:rPr>
          <w:highlight w:val="yellow"/>
          <w:lang w:val="en-GB"/>
        </w:rPr>
      </w:r>
      <w:r w:rsidR="005128F6" w:rsidRPr="00C81755">
        <w:rPr>
          <w:highlight w:val="yellow"/>
          <w:lang w:val="en-GB"/>
        </w:rPr>
        <w:fldChar w:fldCharType="separate"/>
      </w:r>
      <w:r w:rsidR="00C96D1D" w:rsidRPr="00C81755">
        <w:rPr>
          <w:lang w:val="en-GB"/>
        </w:rPr>
        <w:t xml:space="preserve">Table </w:t>
      </w:r>
      <w:r w:rsidR="00C96D1D">
        <w:rPr>
          <w:noProof/>
          <w:lang w:val="en-GB"/>
        </w:rPr>
        <w:t>A</w:t>
      </w:r>
      <w:r w:rsidR="00C96D1D" w:rsidRPr="00C81755">
        <w:rPr>
          <w:lang w:val="en-GB"/>
        </w:rPr>
        <w:noBreakHyphen/>
      </w:r>
      <w:r w:rsidR="00C96D1D">
        <w:rPr>
          <w:noProof/>
          <w:lang w:val="en-GB"/>
        </w:rPr>
        <w:t>4</w:t>
      </w:r>
      <w:r w:rsidR="00C96D1D">
        <w:rPr>
          <w:lang w:val="en-GB"/>
        </w:rPr>
        <w:noBreakHyphen/>
      </w:r>
      <w:r w:rsidR="00C96D1D">
        <w:rPr>
          <w:noProof/>
          <w:lang w:val="en-GB"/>
        </w:rPr>
        <w:t>1</w:t>
      </w:r>
      <w:r w:rsidR="005128F6" w:rsidRPr="00C81755">
        <w:rPr>
          <w:highlight w:val="yellow"/>
          <w:lang w:val="en-GB"/>
        </w:rPr>
        <w:fldChar w:fldCharType="end"/>
      </w:r>
      <w:r w:rsidRPr="00C81755">
        <w:rPr>
          <w:lang w:val="en-GB"/>
        </w:rPr>
        <w:t>. One could refer to [ITUR-M2135] for more details.</w:t>
      </w:r>
    </w:p>
    <w:p w14:paraId="5C027AF6" w14:textId="77777777" w:rsidR="00AF78B3" w:rsidRPr="00C81755" w:rsidRDefault="00AF78B3" w:rsidP="00AF78B3">
      <w:pPr>
        <w:pStyle w:val="Lgende"/>
        <w:keepNext/>
        <w:rPr>
          <w:lang w:val="en-GB"/>
        </w:rPr>
      </w:pPr>
      <w:bookmarkStart w:id="19" w:name="_Ref427686848"/>
      <w:r w:rsidRPr="00C81755">
        <w:rPr>
          <w:lang w:val="en-GB"/>
        </w:rPr>
        <w:t xml:space="preserve">Table </w:t>
      </w:r>
      <w:r>
        <w:rPr>
          <w:noProof/>
          <w:lang w:val="en-GB"/>
        </w:rPr>
        <w:t>A</w:t>
      </w:r>
      <w:r w:rsidRPr="00C81755">
        <w:rPr>
          <w:lang w:val="en-GB"/>
        </w:rPr>
        <w:noBreakHyphen/>
      </w:r>
      <w:r w:rsidR="005128F6">
        <w:rPr>
          <w:lang w:val="en-GB"/>
        </w:rPr>
        <w:fldChar w:fldCharType="begin"/>
      </w:r>
      <w:r>
        <w:rPr>
          <w:lang w:val="en-GB"/>
        </w:rPr>
        <w:instrText xml:space="preserve"> STYLEREF 1 \s </w:instrText>
      </w:r>
      <w:r w:rsidR="005128F6">
        <w:rPr>
          <w:lang w:val="en-GB"/>
        </w:rPr>
        <w:fldChar w:fldCharType="separate"/>
      </w:r>
      <w:r w:rsidR="00C96D1D">
        <w:rPr>
          <w:noProof/>
          <w:lang w:val="en-GB"/>
        </w:rPr>
        <w:t>4</w:t>
      </w:r>
      <w:r w:rsidR="005128F6">
        <w:rPr>
          <w:lang w:val="en-GB"/>
        </w:rPr>
        <w:fldChar w:fldCharType="end"/>
      </w:r>
      <w:r>
        <w:rPr>
          <w:lang w:val="en-GB"/>
        </w:rPr>
        <w:noBreakHyphen/>
      </w:r>
      <w:r w:rsidR="005128F6">
        <w:rPr>
          <w:lang w:val="en-GB"/>
        </w:rPr>
        <w:fldChar w:fldCharType="begin"/>
      </w:r>
      <w:r>
        <w:rPr>
          <w:lang w:val="en-GB"/>
        </w:rPr>
        <w:instrText xml:space="preserve"> SEQ Table \* ARABIC \s 1 </w:instrText>
      </w:r>
      <w:r w:rsidR="005128F6">
        <w:rPr>
          <w:lang w:val="en-GB"/>
        </w:rPr>
        <w:fldChar w:fldCharType="separate"/>
      </w:r>
      <w:r w:rsidR="00C96D1D">
        <w:rPr>
          <w:noProof/>
          <w:lang w:val="en-GB"/>
        </w:rPr>
        <w:t>1</w:t>
      </w:r>
      <w:r w:rsidR="005128F6">
        <w:rPr>
          <w:lang w:val="en-GB"/>
        </w:rPr>
        <w:fldChar w:fldCharType="end"/>
      </w:r>
      <w:bookmarkEnd w:id="19"/>
      <w:r w:rsidRPr="00C81755">
        <w:rPr>
          <w:lang w:val="en-GB"/>
        </w:rPr>
        <w:t>: Test environments and deployment scenarios of IMT-A.</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7"/>
        <w:gridCol w:w="1928"/>
        <w:gridCol w:w="1928"/>
        <w:gridCol w:w="1928"/>
        <w:gridCol w:w="1928"/>
      </w:tblGrid>
      <w:tr w:rsidR="00AF78B3" w:rsidRPr="00C56BB8" w14:paraId="3C20014A" w14:textId="77777777" w:rsidTr="000F5D28">
        <w:trPr>
          <w:jc w:val="center"/>
        </w:trPr>
        <w:tc>
          <w:tcPr>
            <w:tcW w:w="1787" w:type="dxa"/>
            <w:vAlign w:val="center"/>
          </w:tcPr>
          <w:p w14:paraId="6634083B" w14:textId="77777777" w:rsidR="00AF78B3" w:rsidRPr="00C56BB8" w:rsidRDefault="00AF78B3" w:rsidP="000F5D28">
            <w:pPr>
              <w:pStyle w:val="TableHeading"/>
              <w:rPr>
                <w:lang w:val="en-GB"/>
              </w:rPr>
            </w:pPr>
            <w:r w:rsidRPr="00C56BB8">
              <w:rPr>
                <w:lang w:val="en-GB"/>
              </w:rPr>
              <w:t>Test environment</w:t>
            </w:r>
          </w:p>
        </w:tc>
        <w:tc>
          <w:tcPr>
            <w:tcW w:w="1928" w:type="dxa"/>
          </w:tcPr>
          <w:p w14:paraId="752CA99B" w14:textId="77777777" w:rsidR="00AF78B3" w:rsidRPr="00C56BB8" w:rsidRDefault="00AF78B3" w:rsidP="000F5D28">
            <w:pPr>
              <w:pStyle w:val="TableContent"/>
              <w:rPr>
                <w:lang w:val="en-GB"/>
              </w:rPr>
            </w:pPr>
            <w:r w:rsidRPr="00C56BB8">
              <w:rPr>
                <w:lang w:val="en-GB"/>
              </w:rPr>
              <w:t>Indoor</w:t>
            </w:r>
          </w:p>
        </w:tc>
        <w:tc>
          <w:tcPr>
            <w:tcW w:w="1928" w:type="dxa"/>
          </w:tcPr>
          <w:p w14:paraId="4D7387E8" w14:textId="77777777" w:rsidR="00AF78B3" w:rsidRPr="00C56BB8" w:rsidRDefault="00AF78B3" w:rsidP="000F5D28">
            <w:pPr>
              <w:pStyle w:val="TableContent"/>
              <w:rPr>
                <w:lang w:val="en-GB"/>
              </w:rPr>
            </w:pPr>
            <w:r w:rsidRPr="00C56BB8">
              <w:rPr>
                <w:lang w:val="en-GB"/>
              </w:rPr>
              <w:t>Microcellular</w:t>
            </w:r>
          </w:p>
        </w:tc>
        <w:tc>
          <w:tcPr>
            <w:tcW w:w="1928" w:type="dxa"/>
          </w:tcPr>
          <w:p w14:paraId="6431BEFF" w14:textId="77777777" w:rsidR="00AF78B3" w:rsidRPr="00C56BB8" w:rsidRDefault="00AF78B3" w:rsidP="000F5D28">
            <w:pPr>
              <w:pStyle w:val="TableContent"/>
              <w:rPr>
                <w:lang w:val="en-GB"/>
              </w:rPr>
            </w:pPr>
            <w:r w:rsidRPr="00C56BB8">
              <w:rPr>
                <w:lang w:val="en-GB"/>
              </w:rPr>
              <w:t>Base coverage urban</w:t>
            </w:r>
          </w:p>
        </w:tc>
        <w:tc>
          <w:tcPr>
            <w:tcW w:w="1928" w:type="dxa"/>
          </w:tcPr>
          <w:p w14:paraId="6379362B" w14:textId="77777777" w:rsidR="00AF78B3" w:rsidRPr="00C56BB8" w:rsidRDefault="00AF78B3" w:rsidP="000F5D28">
            <w:pPr>
              <w:pStyle w:val="TableContent"/>
              <w:rPr>
                <w:lang w:val="en-GB"/>
              </w:rPr>
            </w:pPr>
            <w:r w:rsidRPr="00C56BB8">
              <w:rPr>
                <w:lang w:val="en-GB"/>
              </w:rPr>
              <w:t>High speed</w:t>
            </w:r>
          </w:p>
        </w:tc>
      </w:tr>
      <w:tr w:rsidR="00AF78B3" w:rsidRPr="00C56BB8" w14:paraId="2EB845C2" w14:textId="77777777" w:rsidTr="000F5D28">
        <w:trPr>
          <w:jc w:val="center"/>
        </w:trPr>
        <w:tc>
          <w:tcPr>
            <w:tcW w:w="1787" w:type="dxa"/>
            <w:vAlign w:val="center"/>
          </w:tcPr>
          <w:p w14:paraId="32DE3C6A" w14:textId="77777777" w:rsidR="00AF78B3" w:rsidRPr="00C56BB8" w:rsidRDefault="00AF78B3" w:rsidP="000F5D28">
            <w:pPr>
              <w:pStyle w:val="TableHeading"/>
              <w:rPr>
                <w:lang w:val="en-GB"/>
              </w:rPr>
            </w:pPr>
            <w:r w:rsidRPr="00C56BB8">
              <w:rPr>
                <w:lang w:val="en-GB"/>
              </w:rPr>
              <w:t>Deployment scenario</w:t>
            </w:r>
          </w:p>
        </w:tc>
        <w:tc>
          <w:tcPr>
            <w:tcW w:w="1928" w:type="dxa"/>
          </w:tcPr>
          <w:p w14:paraId="12C081C2" w14:textId="77777777" w:rsidR="00AF78B3" w:rsidRPr="00C56BB8" w:rsidRDefault="00AF78B3" w:rsidP="000F5D28">
            <w:pPr>
              <w:pStyle w:val="TableContent"/>
              <w:rPr>
                <w:lang w:val="en-GB"/>
              </w:rPr>
            </w:pPr>
            <w:r w:rsidRPr="00C56BB8">
              <w:rPr>
                <w:lang w:val="en-GB"/>
              </w:rPr>
              <w:t>Indoor hotspot scenario (InH)</w:t>
            </w:r>
          </w:p>
        </w:tc>
        <w:tc>
          <w:tcPr>
            <w:tcW w:w="1928" w:type="dxa"/>
          </w:tcPr>
          <w:p w14:paraId="7E3E9B62" w14:textId="77777777" w:rsidR="00AF78B3" w:rsidRPr="00544AA3" w:rsidRDefault="00AF78B3" w:rsidP="000F5D28">
            <w:pPr>
              <w:pStyle w:val="TableContent"/>
              <w:rPr>
                <w:lang w:val="it-IT"/>
              </w:rPr>
            </w:pPr>
            <w:r w:rsidRPr="00544AA3">
              <w:rPr>
                <w:lang w:val="it-IT"/>
              </w:rPr>
              <w:t>Urban micro-cell scenario (UMi)</w:t>
            </w:r>
          </w:p>
        </w:tc>
        <w:tc>
          <w:tcPr>
            <w:tcW w:w="1928" w:type="dxa"/>
          </w:tcPr>
          <w:p w14:paraId="42DBE960" w14:textId="77777777" w:rsidR="00AF78B3" w:rsidRPr="00C56BB8" w:rsidRDefault="00AF78B3" w:rsidP="000F5D28">
            <w:pPr>
              <w:pStyle w:val="TableContent"/>
              <w:keepNext/>
              <w:keepLines/>
              <w:pageBreakBefore/>
              <w:outlineLvl w:val="0"/>
              <w:rPr>
                <w:lang w:val="es-ES"/>
              </w:rPr>
            </w:pPr>
            <w:bookmarkStart w:id="20" w:name="_Toc439776123"/>
            <w:r w:rsidRPr="00C56BB8">
              <w:rPr>
                <w:lang w:val="es-ES"/>
              </w:rPr>
              <w:t>Urban macro-cell scenario (UMa)</w:t>
            </w:r>
            <w:bookmarkEnd w:id="20"/>
          </w:p>
        </w:tc>
        <w:tc>
          <w:tcPr>
            <w:tcW w:w="1928" w:type="dxa"/>
          </w:tcPr>
          <w:p w14:paraId="0994DB93" w14:textId="77777777" w:rsidR="00AF78B3" w:rsidRPr="00544AA3" w:rsidRDefault="00AF78B3" w:rsidP="000F5D28">
            <w:pPr>
              <w:pStyle w:val="TableContent"/>
              <w:rPr>
                <w:lang w:val="it-IT"/>
              </w:rPr>
            </w:pPr>
            <w:r w:rsidRPr="00544AA3">
              <w:rPr>
                <w:lang w:val="it-IT"/>
              </w:rPr>
              <w:t>Rural macro-cell scenario (RMa)</w:t>
            </w:r>
          </w:p>
        </w:tc>
      </w:tr>
    </w:tbl>
    <w:p w14:paraId="6E58F585" w14:textId="77777777" w:rsidR="00AF78B3" w:rsidRPr="00544AA3" w:rsidRDefault="00AF78B3" w:rsidP="00AF78B3">
      <w:pPr>
        <w:pStyle w:val="Corpsdetexte"/>
        <w:jc w:val="both"/>
        <w:rPr>
          <w:lang w:val="it-IT"/>
        </w:rPr>
      </w:pPr>
    </w:p>
    <w:p w14:paraId="65CFEB8C" w14:textId="77777777" w:rsidR="00AF78B3" w:rsidRPr="00C81755" w:rsidRDefault="00AF78B3" w:rsidP="00AF78B3">
      <w:pPr>
        <w:pStyle w:val="Corpsdetexte"/>
        <w:jc w:val="both"/>
        <w:rPr>
          <w:lang w:val="en-GB"/>
        </w:rPr>
      </w:pPr>
      <w:r w:rsidRPr="00C81755">
        <w:rPr>
          <w:lang w:val="en-GB"/>
        </w:rPr>
        <w:t xml:space="preserve">Traffic models employed for IMT-A evaluation were full buffer and Voice over Internet Protocol (VoIP) traffic, representing the capacity and the voice service challenge, respectively. </w:t>
      </w:r>
    </w:p>
    <w:p w14:paraId="748C39FD" w14:textId="77777777" w:rsidR="00AF78B3" w:rsidRPr="00C81755" w:rsidRDefault="00AF78B3" w:rsidP="00AF78B3">
      <w:pPr>
        <w:pStyle w:val="Annex3"/>
        <w:rPr>
          <w:lang w:val="en-GB"/>
        </w:rPr>
      </w:pPr>
      <w:bookmarkStart w:id="21" w:name="_Toc431458558"/>
      <w:bookmarkStart w:id="22" w:name="_Toc439776124"/>
      <w:r w:rsidRPr="00C81755">
        <w:rPr>
          <w:lang w:val="en-GB"/>
        </w:rPr>
        <w:lastRenderedPageBreak/>
        <w:t>Evaluation method and procedure of IMT-A</w:t>
      </w:r>
      <w:bookmarkEnd w:id="21"/>
      <w:bookmarkEnd w:id="22"/>
    </w:p>
    <w:p w14:paraId="4299A0D6" w14:textId="77777777" w:rsidR="00AF78B3" w:rsidRPr="00C81755" w:rsidRDefault="00AF78B3" w:rsidP="00AF78B3">
      <w:pPr>
        <w:rPr>
          <w:lang w:val="en-GB"/>
        </w:rPr>
      </w:pPr>
      <w:r w:rsidRPr="00C81755">
        <w:rPr>
          <w:lang w:val="en-GB"/>
        </w:rPr>
        <w:t xml:space="preserve">IMT-A employed three types of high-level assessment method, i.e., inspection (by reviewing the functionality and parameterisation of the proposal), analytical (via a calculation), and simulation. </w:t>
      </w:r>
      <w:r w:rsidR="005128F6">
        <w:rPr>
          <w:highlight w:val="yellow"/>
          <w:lang w:val="en-GB"/>
        </w:rPr>
        <w:fldChar w:fldCharType="begin"/>
      </w:r>
      <w:r w:rsidR="00C96D1D">
        <w:rPr>
          <w:lang w:val="en-GB"/>
        </w:rPr>
        <w:instrText xml:space="preserve"> REF _Ref440294287 \h </w:instrText>
      </w:r>
      <w:r w:rsidR="005128F6">
        <w:rPr>
          <w:highlight w:val="yellow"/>
          <w:lang w:val="en-GB"/>
        </w:rPr>
      </w:r>
      <w:r w:rsidR="005128F6">
        <w:rPr>
          <w:highlight w:val="yellow"/>
          <w:lang w:val="en-GB"/>
        </w:rPr>
        <w:fldChar w:fldCharType="separate"/>
      </w:r>
      <w:r w:rsidR="00C96D1D" w:rsidRPr="00C81755">
        <w:rPr>
          <w:lang w:val="en-GB"/>
        </w:rPr>
        <w:t xml:space="preserve">Table </w:t>
      </w:r>
      <w:r w:rsidR="00C96D1D">
        <w:rPr>
          <w:noProof/>
          <w:lang w:val="en-GB"/>
        </w:rPr>
        <w:t>A</w:t>
      </w:r>
      <w:r w:rsidR="00C96D1D" w:rsidRPr="00C81755">
        <w:rPr>
          <w:lang w:val="en-GB"/>
        </w:rPr>
        <w:noBreakHyphen/>
      </w:r>
      <w:r w:rsidR="00C96D1D">
        <w:rPr>
          <w:noProof/>
          <w:lang w:val="en-GB"/>
        </w:rPr>
        <w:t>4</w:t>
      </w:r>
      <w:r w:rsidR="00C96D1D">
        <w:rPr>
          <w:lang w:val="en-GB"/>
        </w:rPr>
        <w:noBreakHyphen/>
      </w:r>
      <w:r w:rsidR="00C96D1D">
        <w:rPr>
          <w:noProof/>
          <w:lang w:val="en-GB"/>
        </w:rPr>
        <w:t>2</w:t>
      </w:r>
      <w:r w:rsidR="005128F6">
        <w:rPr>
          <w:highlight w:val="yellow"/>
          <w:lang w:val="en-GB"/>
        </w:rPr>
        <w:fldChar w:fldCharType="end"/>
      </w:r>
      <w:r w:rsidRPr="00C81755">
        <w:rPr>
          <w:lang w:val="en-GB"/>
        </w:rPr>
        <w:t xml:space="preserve"> lists the corresponding method for some of the performance metrics defined in [ITUR-M2134]. The performance metrics that need quantitative evaluation but could not be derived by calculation were evaluated through simulation. In [ITUR-M2135], the procedure of system-level simulation was defined. </w:t>
      </w:r>
      <w:r w:rsidR="005128F6" w:rsidRPr="00C81755">
        <w:rPr>
          <w:highlight w:val="yellow"/>
          <w:lang w:val="en-GB"/>
        </w:rPr>
        <w:fldChar w:fldCharType="begin"/>
      </w:r>
      <w:r w:rsidRPr="00C81755">
        <w:rPr>
          <w:lang w:val="en-GB"/>
        </w:rPr>
        <w:instrText xml:space="preserve"> REF _Ref427686925 \h </w:instrText>
      </w:r>
      <w:r w:rsidR="005128F6" w:rsidRPr="00C81755">
        <w:rPr>
          <w:highlight w:val="yellow"/>
          <w:lang w:val="en-GB"/>
        </w:rPr>
      </w:r>
      <w:r w:rsidR="005128F6" w:rsidRPr="00C81755">
        <w:rPr>
          <w:highlight w:val="yellow"/>
          <w:lang w:val="en-GB"/>
        </w:rPr>
        <w:fldChar w:fldCharType="separate"/>
      </w:r>
      <w:r w:rsidR="00C96D1D" w:rsidRPr="00C81755">
        <w:rPr>
          <w:lang w:val="en-GB"/>
        </w:rPr>
        <w:t xml:space="preserve">Figure </w:t>
      </w:r>
      <w:r w:rsidR="00C96D1D">
        <w:rPr>
          <w:noProof/>
          <w:lang w:val="en-GB"/>
        </w:rPr>
        <w:t>A</w:t>
      </w:r>
      <w:r w:rsidR="00C96D1D">
        <w:rPr>
          <w:lang w:val="en-GB"/>
        </w:rPr>
        <w:noBreakHyphen/>
      </w:r>
      <w:r w:rsidR="00C96D1D">
        <w:rPr>
          <w:noProof/>
          <w:lang w:val="en-GB"/>
        </w:rPr>
        <w:t>4</w:t>
      </w:r>
      <w:r w:rsidR="00C96D1D">
        <w:rPr>
          <w:lang w:val="en-GB"/>
        </w:rPr>
        <w:noBreakHyphen/>
      </w:r>
      <w:r w:rsidR="00C96D1D">
        <w:rPr>
          <w:noProof/>
          <w:lang w:val="en-GB"/>
        </w:rPr>
        <w:t>3</w:t>
      </w:r>
      <w:r w:rsidR="005128F6" w:rsidRPr="00C81755">
        <w:rPr>
          <w:highlight w:val="yellow"/>
          <w:lang w:val="en-GB"/>
        </w:rPr>
        <w:fldChar w:fldCharType="end"/>
      </w:r>
      <w:r w:rsidRPr="00C81755">
        <w:rPr>
          <w:lang w:val="en-GB"/>
        </w:rPr>
        <w:t xml:space="preserve"> illustrates the abstracted simulation procedure according to the principles defined in [ITUR-M2135].</w:t>
      </w:r>
    </w:p>
    <w:p w14:paraId="1ABC0A63" w14:textId="77777777" w:rsidR="00AF78B3" w:rsidRPr="00C81755" w:rsidRDefault="00E6432A" w:rsidP="008B13F6">
      <w:pPr>
        <w:pStyle w:val="Paragraph"/>
        <w:keepNext/>
        <w:spacing w:beforeLines="50" w:before="120"/>
      </w:pPr>
      <w:r>
        <w:rPr>
          <w:rFonts w:cs="Arial"/>
          <w:noProof/>
          <w:szCs w:val="24"/>
          <w:lang w:val="fr-FR" w:eastAsia="fr-FR"/>
        </w:rPr>
        <w:drawing>
          <wp:inline distT="0" distB="0" distL="0" distR="0" wp14:anchorId="2586F3BE" wp14:editId="45418781">
            <wp:extent cx="5800725" cy="1028700"/>
            <wp:effectExtent l="0" t="0" r="9525" b="0"/>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00725" cy="1028700"/>
                    </a:xfrm>
                    <a:prstGeom prst="rect">
                      <a:avLst/>
                    </a:prstGeom>
                    <a:noFill/>
                    <a:ln>
                      <a:noFill/>
                    </a:ln>
                  </pic:spPr>
                </pic:pic>
              </a:graphicData>
            </a:graphic>
          </wp:inline>
        </w:drawing>
      </w:r>
    </w:p>
    <w:p w14:paraId="3AE726DF" w14:textId="77777777" w:rsidR="00AF78B3" w:rsidRPr="00C81755" w:rsidRDefault="00AF78B3" w:rsidP="00AF78B3">
      <w:pPr>
        <w:pStyle w:val="Lgende"/>
        <w:rPr>
          <w:rFonts w:cs="Arial"/>
          <w:szCs w:val="24"/>
          <w:lang w:val="en-GB" w:eastAsia="zh-CN"/>
        </w:rPr>
      </w:pPr>
      <w:bookmarkStart w:id="23" w:name="_Ref427686925"/>
      <w:r w:rsidRPr="00C81755">
        <w:rPr>
          <w:lang w:val="en-GB"/>
        </w:rPr>
        <w:t xml:space="preserve">Figure </w:t>
      </w:r>
      <w:r>
        <w:rPr>
          <w:noProof/>
          <w:lang w:val="en-GB"/>
        </w:rPr>
        <w:t>A</w:t>
      </w:r>
      <w:r>
        <w:rPr>
          <w:lang w:val="en-GB"/>
        </w:rPr>
        <w:noBreakHyphen/>
      </w:r>
      <w:r w:rsidR="005128F6">
        <w:rPr>
          <w:lang w:val="en-GB"/>
        </w:rPr>
        <w:fldChar w:fldCharType="begin"/>
      </w:r>
      <w:r>
        <w:rPr>
          <w:lang w:val="en-GB"/>
        </w:rPr>
        <w:instrText xml:space="preserve"> STYLEREF 1 \s </w:instrText>
      </w:r>
      <w:r w:rsidR="005128F6">
        <w:rPr>
          <w:lang w:val="en-GB"/>
        </w:rPr>
        <w:fldChar w:fldCharType="separate"/>
      </w:r>
      <w:r w:rsidR="00C96D1D">
        <w:rPr>
          <w:noProof/>
          <w:lang w:val="en-GB"/>
        </w:rPr>
        <w:t>4</w:t>
      </w:r>
      <w:r w:rsidR="005128F6">
        <w:rPr>
          <w:lang w:val="en-GB"/>
        </w:rPr>
        <w:fldChar w:fldCharType="end"/>
      </w:r>
      <w:r>
        <w:rPr>
          <w:lang w:val="en-GB"/>
        </w:rPr>
        <w:noBreakHyphen/>
      </w:r>
      <w:r w:rsidR="005128F6">
        <w:rPr>
          <w:lang w:val="en-GB"/>
        </w:rPr>
        <w:fldChar w:fldCharType="begin"/>
      </w:r>
      <w:r>
        <w:rPr>
          <w:lang w:val="en-GB"/>
        </w:rPr>
        <w:instrText xml:space="preserve"> SEQ Figure \* ARABIC \s 1 </w:instrText>
      </w:r>
      <w:r w:rsidR="005128F6">
        <w:rPr>
          <w:lang w:val="en-GB"/>
        </w:rPr>
        <w:fldChar w:fldCharType="separate"/>
      </w:r>
      <w:r w:rsidR="00C96D1D">
        <w:rPr>
          <w:noProof/>
          <w:lang w:val="en-GB"/>
        </w:rPr>
        <w:t>3</w:t>
      </w:r>
      <w:r w:rsidR="005128F6">
        <w:rPr>
          <w:lang w:val="en-GB"/>
        </w:rPr>
        <w:fldChar w:fldCharType="end"/>
      </w:r>
      <w:bookmarkEnd w:id="23"/>
      <w:r w:rsidRPr="00C81755">
        <w:rPr>
          <w:lang w:val="en-GB"/>
        </w:rPr>
        <w:t>: Illustration of the system-level simulation procedure of IMT-A</w:t>
      </w:r>
      <w:r>
        <w:rPr>
          <w:lang w:val="en-GB"/>
        </w:rPr>
        <w:t xml:space="preserve"> [ITUR-M2135]</w:t>
      </w:r>
      <w:r w:rsidRPr="00C81755">
        <w:rPr>
          <w:lang w:val="en-GB"/>
        </w:rPr>
        <w:t>.</w:t>
      </w:r>
    </w:p>
    <w:p w14:paraId="50CB079C" w14:textId="77777777" w:rsidR="00AF78B3" w:rsidRPr="00C81755" w:rsidRDefault="00AF78B3" w:rsidP="00AF78B3">
      <w:pPr>
        <w:rPr>
          <w:lang w:val="en-GB"/>
        </w:rPr>
      </w:pPr>
      <w:r w:rsidRPr="00C81755">
        <w:rPr>
          <w:lang w:val="en-GB"/>
        </w:rPr>
        <w:t>An important issue is to identify which of the metrics will be evaluated simultaneously. It depends on which of the requirements need to be fulfilled simultaneously. In IMT-A, cell spectral efficiency and cell edge spectral efficiency were evaluated jointly, due to the need for IMT-A systems need to provide good cell capacity along with good fairness among users.</w:t>
      </w:r>
    </w:p>
    <w:p w14:paraId="17EFDA45" w14:textId="77777777" w:rsidR="00AF78B3" w:rsidRPr="00C81755" w:rsidRDefault="00AF78B3" w:rsidP="00AF78B3">
      <w:pPr>
        <w:pStyle w:val="Lgende"/>
        <w:keepNext/>
        <w:rPr>
          <w:lang w:val="en-GB"/>
        </w:rPr>
      </w:pPr>
      <w:bookmarkStart w:id="24" w:name="_Ref440294287"/>
      <w:r w:rsidRPr="00C81755">
        <w:rPr>
          <w:lang w:val="en-GB"/>
        </w:rPr>
        <w:t xml:space="preserve">Table </w:t>
      </w:r>
      <w:r>
        <w:rPr>
          <w:noProof/>
          <w:lang w:val="en-GB"/>
        </w:rPr>
        <w:t>A</w:t>
      </w:r>
      <w:r w:rsidRPr="00C81755">
        <w:rPr>
          <w:lang w:val="en-GB"/>
        </w:rPr>
        <w:noBreakHyphen/>
      </w:r>
      <w:r w:rsidR="005128F6">
        <w:rPr>
          <w:lang w:val="en-GB"/>
        </w:rPr>
        <w:fldChar w:fldCharType="begin"/>
      </w:r>
      <w:r>
        <w:rPr>
          <w:lang w:val="en-GB"/>
        </w:rPr>
        <w:instrText xml:space="preserve"> STYLEREF 1 \s </w:instrText>
      </w:r>
      <w:r w:rsidR="005128F6">
        <w:rPr>
          <w:lang w:val="en-GB"/>
        </w:rPr>
        <w:fldChar w:fldCharType="separate"/>
      </w:r>
      <w:r w:rsidR="00C96D1D">
        <w:rPr>
          <w:noProof/>
          <w:lang w:val="en-GB"/>
        </w:rPr>
        <w:t>4</w:t>
      </w:r>
      <w:r w:rsidR="005128F6">
        <w:rPr>
          <w:lang w:val="en-GB"/>
        </w:rPr>
        <w:fldChar w:fldCharType="end"/>
      </w:r>
      <w:r>
        <w:rPr>
          <w:lang w:val="en-GB"/>
        </w:rPr>
        <w:noBreakHyphen/>
      </w:r>
      <w:r w:rsidR="005128F6">
        <w:rPr>
          <w:lang w:val="en-GB"/>
        </w:rPr>
        <w:fldChar w:fldCharType="begin"/>
      </w:r>
      <w:r>
        <w:rPr>
          <w:lang w:val="en-GB"/>
        </w:rPr>
        <w:instrText xml:space="preserve"> SEQ Table \* ARABIC \s 1 </w:instrText>
      </w:r>
      <w:r w:rsidR="005128F6">
        <w:rPr>
          <w:lang w:val="en-GB"/>
        </w:rPr>
        <w:fldChar w:fldCharType="separate"/>
      </w:r>
      <w:r w:rsidR="00C96D1D">
        <w:rPr>
          <w:noProof/>
          <w:lang w:val="en-GB"/>
        </w:rPr>
        <w:t>2</w:t>
      </w:r>
      <w:r w:rsidR="005128F6">
        <w:rPr>
          <w:lang w:val="en-GB"/>
        </w:rPr>
        <w:fldChar w:fldCharType="end"/>
      </w:r>
      <w:bookmarkEnd w:id="24"/>
      <w:r w:rsidRPr="00C81755">
        <w:rPr>
          <w:lang w:val="en-GB"/>
        </w:rPr>
        <w:t>: Evaluation method of IMT-A (for some of performance metrics)</w:t>
      </w:r>
      <w:r>
        <w:rPr>
          <w:lang w:val="en-GB"/>
        </w:rPr>
        <w:t xml:space="preserve"> </w:t>
      </w:r>
      <w:r w:rsidRPr="00C81755">
        <w:rPr>
          <w:lang w:val="en-GB"/>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9"/>
        <w:gridCol w:w="3699"/>
      </w:tblGrid>
      <w:tr w:rsidR="00AF78B3" w:rsidRPr="00C56BB8" w14:paraId="20B63754" w14:textId="77777777" w:rsidTr="000F5D28">
        <w:trPr>
          <w:trHeight w:val="277"/>
          <w:jc w:val="center"/>
        </w:trPr>
        <w:tc>
          <w:tcPr>
            <w:tcW w:w="3809" w:type="dxa"/>
            <w:shd w:val="clear" w:color="auto" w:fill="FFFFFF"/>
          </w:tcPr>
          <w:p w14:paraId="67954070" w14:textId="77777777" w:rsidR="00AF78B3" w:rsidRPr="00C56BB8" w:rsidRDefault="00AF78B3" w:rsidP="000F5D28">
            <w:pPr>
              <w:pStyle w:val="TableHeading"/>
              <w:rPr>
                <w:lang w:val="en-GB" w:eastAsia="zh-CN"/>
              </w:rPr>
            </w:pPr>
            <w:r w:rsidRPr="00C56BB8">
              <w:rPr>
                <w:lang w:val="en-GB" w:eastAsia="zh-CN"/>
              </w:rPr>
              <w:t>Performance metric</w:t>
            </w:r>
          </w:p>
        </w:tc>
        <w:tc>
          <w:tcPr>
            <w:tcW w:w="3699" w:type="dxa"/>
            <w:shd w:val="clear" w:color="auto" w:fill="FFFFFF"/>
          </w:tcPr>
          <w:p w14:paraId="63D5EB71" w14:textId="77777777" w:rsidR="00AF78B3" w:rsidRPr="00C56BB8" w:rsidRDefault="00AF78B3" w:rsidP="000F5D28">
            <w:pPr>
              <w:pStyle w:val="TableHeading"/>
              <w:rPr>
                <w:lang w:val="en-GB"/>
              </w:rPr>
            </w:pPr>
            <w:r w:rsidRPr="00C56BB8">
              <w:rPr>
                <w:lang w:val="en-GB"/>
              </w:rPr>
              <w:t>Method</w:t>
            </w:r>
          </w:p>
        </w:tc>
      </w:tr>
      <w:tr w:rsidR="00AF78B3" w:rsidRPr="00C56BB8" w14:paraId="013AACD4" w14:textId="77777777" w:rsidTr="000F5D28">
        <w:trPr>
          <w:trHeight w:val="70"/>
          <w:jc w:val="center"/>
        </w:trPr>
        <w:tc>
          <w:tcPr>
            <w:tcW w:w="3809" w:type="dxa"/>
          </w:tcPr>
          <w:p w14:paraId="09754CDD" w14:textId="77777777" w:rsidR="00AF78B3" w:rsidRPr="00C56BB8" w:rsidRDefault="00AF78B3" w:rsidP="000F5D28">
            <w:pPr>
              <w:pStyle w:val="TableContent"/>
              <w:rPr>
                <w:lang w:val="en-GB"/>
              </w:rPr>
            </w:pPr>
            <w:r w:rsidRPr="00C56BB8">
              <w:rPr>
                <w:lang w:val="en-GB"/>
              </w:rPr>
              <w:t>Cell spectral efficiency</w:t>
            </w:r>
          </w:p>
        </w:tc>
        <w:tc>
          <w:tcPr>
            <w:tcW w:w="3699" w:type="dxa"/>
          </w:tcPr>
          <w:p w14:paraId="7412685D" w14:textId="77777777" w:rsidR="00AF78B3" w:rsidRPr="00C56BB8" w:rsidRDefault="00AF78B3" w:rsidP="000F5D28">
            <w:pPr>
              <w:pStyle w:val="TableContent"/>
              <w:rPr>
                <w:lang w:val="en-GB"/>
              </w:rPr>
            </w:pPr>
            <w:r w:rsidRPr="00C56BB8">
              <w:rPr>
                <w:lang w:val="en-GB"/>
              </w:rPr>
              <w:t>Simulation</w:t>
            </w:r>
            <w:r w:rsidRPr="00C56BB8">
              <w:rPr>
                <w:lang w:val="en-GB" w:eastAsia="zh-CN"/>
              </w:rPr>
              <w:t xml:space="preserve"> </w:t>
            </w:r>
            <w:r w:rsidRPr="00C56BB8">
              <w:rPr>
                <w:lang w:val="en-GB"/>
              </w:rPr>
              <w:t>(system level)</w:t>
            </w:r>
          </w:p>
        </w:tc>
      </w:tr>
      <w:tr w:rsidR="00AF78B3" w:rsidRPr="00C56BB8" w14:paraId="2EB9AC93" w14:textId="77777777" w:rsidTr="000F5D28">
        <w:trPr>
          <w:jc w:val="center"/>
        </w:trPr>
        <w:tc>
          <w:tcPr>
            <w:tcW w:w="3809" w:type="dxa"/>
          </w:tcPr>
          <w:p w14:paraId="4304EA00" w14:textId="77777777" w:rsidR="00AF78B3" w:rsidRPr="00C56BB8" w:rsidRDefault="00AF78B3" w:rsidP="000F5D28">
            <w:pPr>
              <w:pStyle w:val="TableContent"/>
              <w:rPr>
                <w:lang w:val="en-GB"/>
              </w:rPr>
            </w:pPr>
            <w:r w:rsidRPr="00C56BB8">
              <w:rPr>
                <w:lang w:val="en-GB"/>
              </w:rPr>
              <w:t>Peak spectral efficiency</w:t>
            </w:r>
          </w:p>
        </w:tc>
        <w:tc>
          <w:tcPr>
            <w:tcW w:w="3699" w:type="dxa"/>
          </w:tcPr>
          <w:p w14:paraId="2E91E98E" w14:textId="77777777" w:rsidR="00AF78B3" w:rsidRPr="00C56BB8" w:rsidRDefault="00AF78B3" w:rsidP="000F5D28">
            <w:pPr>
              <w:pStyle w:val="TableContent"/>
              <w:rPr>
                <w:lang w:val="en-GB"/>
              </w:rPr>
            </w:pPr>
            <w:r w:rsidRPr="00C56BB8">
              <w:rPr>
                <w:lang w:val="en-GB"/>
              </w:rPr>
              <w:t>Analytical</w:t>
            </w:r>
          </w:p>
        </w:tc>
      </w:tr>
      <w:tr w:rsidR="00AF78B3" w:rsidRPr="00C56BB8" w14:paraId="18D22DC7" w14:textId="77777777" w:rsidTr="000F5D28">
        <w:trPr>
          <w:jc w:val="center"/>
        </w:trPr>
        <w:tc>
          <w:tcPr>
            <w:tcW w:w="3809" w:type="dxa"/>
          </w:tcPr>
          <w:p w14:paraId="241E61E4" w14:textId="77777777" w:rsidR="00AF78B3" w:rsidRPr="00C56BB8" w:rsidRDefault="00AF78B3" w:rsidP="000F5D28">
            <w:pPr>
              <w:pStyle w:val="TableContent"/>
              <w:rPr>
                <w:lang w:val="en-GB"/>
              </w:rPr>
            </w:pPr>
            <w:r w:rsidRPr="00C56BB8">
              <w:rPr>
                <w:lang w:val="en-GB"/>
              </w:rPr>
              <w:t>Bandwidth</w:t>
            </w:r>
          </w:p>
        </w:tc>
        <w:tc>
          <w:tcPr>
            <w:tcW w:w="3699" w:type="dxa"/>
          </w:tcPr>
          <w:p w14:paraId="3C9E1D2D" w14:textId="77777777" w:rsidR="00AF78B3" w:rsidRPr="00C56BB8" w:rsidRDefault="00AF78B3" w:rsidP="000F5D28">
            <w:pPr>
              <w:pStyle w:val="TableContent"/>
              <w:rPr>
                <w:lang w:val="en-GB"/>
              </w:rPr>
            </w:pPr>
            <w:r w:rsidRPr="00C56BB8">
              <w:rPr>
                <w:lang w:val="en-GB"/>
              </w:rPr>
              <w:t>Inspection</w:t>
            </w:r>
          </w:p>
        </w:tc>
      </w:tr>
      <w:tr w:rsidR="00AF78B3" w:rsidRPr="00C56BB8" w14:paraId="40DA039A" w14:textId="77777777" w:rsidTr="000F5D28">
        <w:trPr>
          <w:jc w:val="center"/>
        </w:trPr>
        <w:tc>
          <w:tcPr>
            <w:tcW w:w="3809" w:type="dxa"/>
          </w:tcPr>
          <w:p w14:paraId="5232EA62" w14:textId="77777777" w:rsidR="00AF78B3" w:rsidRPr="00C56BB8" w:rsidRDefault="00AF78B3" w:rsidP="000F5D28">
            <w:pPr>
              <w:pStyle w:val="TableContent"/>
              <w:rPr>
                <w:lang w:val="en-GB"/>
              </w:rPr>
            </w:pPr>
            <w:r w:rsidRPr="00C56BB8">
              <w:rPr>
                <w:lang w:val="en-GB"/>
              </w:rPr>
              <w:t>Cell edge user spectral efficiency</w:t>
            </w:r>
          </w:p>
        </w:tc>
        <w:tc>
          <w:tcPr>
            <w:tcW w:w="3699" w:type="dxa"/>
          </w:tcPr>
          <w:p w14:paraId="06568932" w14:textId="77777777" w:rsidR="00AF78B3" w:rsidRPr="00C56BB8" w:rsidRDefault="00AF78B3" w:rsidP="000F5D28">
            <w:pPr>
              <w:pStyle w:val="TableContent"/>
              <w:rPr>
                <w:lang w:val="en-GB"/>
              </w:rPr>
            </w:pPr>
            <w:r w:rsidRPr="00C56BB8">
              <w:rPr>
                <w:lang w:val="en-GB"/>
              </w:rPr>
              <w:t>Simulation (system level)</w:t>
            </w:r>
          </w:p>
        </w:tc>
      </w:tr>
      <w:tr w:rsidR="00AF78B3" w:rsidRPr="00C56BB8" w14:paraId="16DD5FE2" w14:textId="77777777" w:rsidTr="000F5D28">
        <w:trPr>
          <w:jc w:val="center"/>
        </w:trPr>
        <w:tc>
          <w:tcPr>
            <w:tcW w:w="3809" w:type="dxa"/>
          </w:tcPr>
          <w:p w14:paraId="06C90CE1" w14:textId="77777777" w:rsidR="00AF78B3" w:rsidRPr="00C56BB8" w:rsidRDefault="00AF78B3" w:rsidP="000F5D28">
            <w:pPr>
              <w:pStyle w:val="TableContent"/>
              <w:rPr>
                <w:lang w:val="en-GB"/>
              </w:rPr>
            </w:pPr>
            <w:r w:rsidRPr="00C56BB8">
              <w:rPr>
                <w:lang w:val="en-GB"/>
              </w:rPr>
              <w:t>Control plane latency</w:t>
            </w:r>
          </w:p>
        </w:tc>
        <w:tc>
          <w:tcPr>
            <w:tcW w:w="3699" w:type="dxa"/>
          </w:tcPr>
          <w:p w14:paraId="69FFD6B9" w14:textId="77777777" w:rsidR="00AF78B3" w:rsidRPr="00C56BB8" w:rsidRDefault="00AF78B3" w:rsidP="000F5D28">
            <w:pPr>
              <w:pStyle w:val="TableContent"/>
              <w:rPr>
                <w:lang w:val="en-GB"/>
              </w:rPr>
            </w:pPr>
            <w:r w:rsidRPr="00C56BB8">
              <w:rPr>
                <w:lang w:val="en-GB"/>
              </w:rPr>
              <w:t>Analytical</w:t>
            </w:r>
          </w:p>
        </w:tc>
      </w:tr>
      <w:tr w:rsidR="00AF78B3" w:rsidRPr="00C56BB8" w14:paraId="19BB38FC" w14:textId="77777777" w:rsidTr="000F5D28">
        <w:trPr>
          <w:jc w:val="center"/>
        </w:trPr>
        <w:tc>
          <w:tcPr>
            <w:tcW w:w="3809" w:type="dxa"/>
          </w:tcPr>
          <w:p w14:paraId="45B4316D" w14:textId="77777777" w:rsidR="00AF78B3" w:rsidRPr="00C56BB8" w:rsidRDefault="00AF78B3" w:rsidP="000F5D28">
            <w:pPr>
              <w:pStyle w:val="TableContent"/>
              <w:rPr>
                <w:lang w:val="en-GB"/>
              </w:rPr>
            </w:pPr>
            <w:r w:rsidRPr="00C56BB8">
              <w:rPr>
                <w:lang w:val="en-GB"/>
              </w:rPr>
              <w:t>User plane latency</w:t>
            </w:r>
          </w:p>
        </w:tc>
        <w:tc>
          <w:tcPr>
            <w:tcW w:w="3699" w:type="dxa"/>
          </w:tcPr>
          <w:p w14:paraId="2CD8F1A6" w14:textId="77777777" w:rsidR="00AF78B3" w:rsidRPr="00C56BB8" w:rsidRDefault="00AF78B3" w:rsidP="000F5D28">
            <w:pPr>
              <w:pStyle w:val="TableContent"/>
              <w:rPr>
                <w:lang w:val="en-GB"/>
              </w:rPr>
            </w:pPr>
            <w:r w:rsidRPr="00C56BB8">
              <w:rPr>
                <w:lang w:val="en-GB"/>
              </w:rPr>
              <w:t>Analytical</w:t>
            </w:r>
          </w:p>
        </w:tc>
      </w:tr>
      <w:tr w:rsidR="00AF78B3" w:rsidRPr="00C56BB8" w14:paraId="16925101" w14:textId="77777777" w:rsidTr="000F5D28">
        <w:trPr>
          <w:jc w:val="center"/>
        </w:trPr>
        <w:tc>
          <w:tcPr>
            <w:tcW w:w="3809" w:type="dxa"/>
          </w:tcPr>
          <w:p w14:paraId="3E85E08E" w14:textId="77777777" w:rsidR="00AF78B3" w:rsidRPr="00C56BB8" w:rsidRDefault="00AF78B3" w:rsidP="000F5D28">
            <w:pPr>
              <w:pStyle w:val="TableContent"/>
              <w:rPr>
                <w:lang w:val="en-GB"/>
              </w:rPr>
            </w:pPr>
            <w:r w:rsidRPr="00C56BB8">
              <w:rPr>
                <w:lang w:val="en-GB"/>
              </w:rPr>
              <w:t>Mobility</w:t>
            </w:r>
          </w:p>
        </w:tc>
        <w:tc>
          <w:tcPr>
            <w:tcW w:w="3699" w:type="dxa"/>
          </w:tcPr>
          <w:p w14:paraId="31048C97" w14:textId="77777777" w:rsidR="00AF78B3" w:rsidRPr="00C56BB8" w:rsidRDefault="00AF78B3" w:rsidP="000F5D28">
            <w:pPr>
              <w:pStyle w:val="TableContent"/>
              <w:rPr>
                <w:lang w:val="en-GB"/>
              </w:rPr>
            </w:pPr>
            <w:r w:rsidRPr="00C56BB8">
              <w:rPr>
                <w:lang w:val="en-GB"/>
              </w:rPr>
              <w:t>Simulation (system and link level)</w:t>
            </w:r>
          </w:p>
        </w:tc>
      </w:tr>
      <w:tr w:rsidR="00AF78B3" w:rsidRPr="00C56BB8" w14:paraId="6CD22DAA" w14:textId="77777777" w:rsidTr="000F5D28">
        <w:trPr>
          <w:jc w:val="center"/>
        </w:trPr>
        <w:tc>
          <w:tcPr>
            <w:tcW w:w="3809" w:type="dxa"/>
          </w:tcPr>
          <w:p w14:paraId="063A462B" w14:textId="77777777" w:rsidR="00AF78B3" w:rsidRPr="00C56BB8" w:rsidRDefault="00AF78B3" w:rsidP="000F5D28">
            <w:pPr>
              <w:pStyle w:val="TableContent"/>
              <w:rPr>
                <w:lang w:val="en-GB"/>
              </w:rPr>
            </w:pPr>
            <w:r w:rsidRPr="00C56BB8">
              <w:rPr>
                <w:lang w:val="en-GB"/>
              </w:rPr>
              <w:t>Inter-system handover</w:t>
            </w:r>
          </w:p>
        </w:tc>
        <w:tc>
          <w:tcPr>
            <w:tcW w:w="3699" w:type="dxa"/>
          </w:tcPr>
          <w:p w14:paraId="04A298F2" w14:textId="77777777" w:rsidR="00AF78B3" w:rsidRPr="00C56BB8" w:rsidRDefault="00AF78B3" w:rsidP="000F5D28">
            <w:pPr>
              <w:pStyle w:val="TableContent"/>
              <w:rPr>
                <w:lang w:val="en-GB"/>
              </w:rPr>
            </w:pPr>
            <w:r w:rsidRPr="00C56BB8">
              <w:rPr>
                <w:lang w:val="en-GB"/>
              </w:rPr>
              <w:t>Inspection</w:t>
            </w:r>
          </w:p>
        </w:tc>
      </w:tr>
      <w:tr w:rsidR="00AF78B3" w:rsidRPr="00C56BB8" w14:paraId="1EE1F3C3" w14:textId="77777777" w:rsidTr="000F5D28">
        <w:trPr>
          <w:jc w:val="center"/>
        </w:trPr>
        <w:tc>
          <w:tcPr>
            <w:tcW w:w="3809" w:type="dxa"/>
          </w:tcPr>
          <w:p w14:paraId="562EC3F9" w14:textId="77777777" w:rsidR="00AF78B3" w:rsidRPr="00C56BB8" w:rsidRDefault="00AF78B3" w:rsidP="000F5D28">
            <w:pPr>
              <w:pStyle w:val="TableContent"/>
              <w:rPr>
                <w:lang w:val="en-GB"/>
              </w:rPr>
            </w:pPr>
            <w:r w:rsidRPr="00C56BB8">
              <w:rPr>
                <w:lang w:val="en-GB"/>
              </w:rPr>
              <w:t>VoIP capacity</w:t>
            </w:r>
          </w:p>
        </w:tc>
        <w:tc>
          <w:tcPr>
            <w:tcW w:w="3699" w:type="dxa"/>
          </w:tcPr>
          <w:p w14:paraId="5B2112FA" w14:textId="77777777" w:rsidR="00AF78B3" w:rsidRPr="00C56BB8" w:rsidRDefault="00AF78B3" w:rsidP="000F5D28">
            <w:pPr>
              <w:pStyle w:val="TableContent"/>
              <w:rPr>
                <w:lang w:val="en-GB"/>
              </w:rPr>
            </w:pPr>
            <w:r w:rsidRPr="00C56BB8">
              <w:rPr>
                <w:lang w:val="en-GB"/>
              </w:rPr>
              <w:t>Simulation (system level)</w:t>
            </w:r>
          </w:p>
        </w:tc>
      </w:tr>
    </w:tbl>
    <w:p w14:paraId="5D514BBE" w14:textId="77777777" w:rsidR="00AF78B3" w:rsidRPr="00C81755" w:rsidRDefault="00AF78B3" w:rsidP="00AF78B3">
      <w:pPr>
        <w:pStyle w:val="Annex3"/>
        <w:rPr>
          <w:lang w:val="en-GB" w:eastAsia="zh-CN"/>
        </w:rPr>
      </w:pPr>
      <w:bookmarkStart w:id="25" w:name="_Toc431458559"/>
      <w:bookmarkStart w:id="26" w:name="_Toc439776125"/>
      <w:r w:rsidRPr="00C81755">
        <w:rPr>
          <w:lang w:val="en-GB" w:eastAsia="zh-CN"/>
        </w:rPr>
        <w:t>Evaluation configurations and evaluation models of IMT-A</w:t>
      </w:r>
      <w:bookmarkEnd w:id="25"/>
      <w:bookmarkEnd w:id="26"/>
    </w:p>
    <w:p w14:paraId="12D391F1" w14:textId="77777777" w:rsidR="00AF78B3" w:rsidRDefault="00AF78B3" w:rsidP="00AF78B3">
      <w:pPr>
        <w:rPr>
          <w:lang w:val="en-GB"/>
        </w:rPr>
      </w:pPr>
      <w:r w:rsidRPr="00C81755">
        <w:rPr>
          <w:lang w:val="en-GB"/>
        </w:rPr>
        <w:t xml:space="preserve">To obtain a fair comparison of results among different proponents, the evaluation configuration and evaluation models for each of the test environment were defined. </w:t>
      </w:r>
      <w:r w:rsidR="005128F6" w:rsidRPr="00C81755">
        <w:rPr>
          <w:lang w:val="en-GB"/>
        </w:rPr>
        <w:fldChar w:fldCharType="begin"/>
      </w:r>
      <w:r w:rsidRPr="00C81755">
        <w:rPr>
          <w:lang w:val="en-GB"/>
        </w:rPr>
        <w:instrText xml:space="preserve"> REF _Ref427687111 \h </w:instrText>
      </w:r>
      <w:r w:rsidR="005128F6" w:rsidRPr="00C81755">
        <w:rPr>
          <w:lang w:val="en-GB"/>
        </w:rPr>
      </w:r>
      <w:r w:rsidR="005128F6" w:rsidRPr="00C81755">
        <w:rPr>
          <w:lang w:val="en-GB"/>
        </w:rPr>
        <w:fldChar w:fldCharType="separate"/>
      </w:r>
      <w:r w:rsidR="00C96D1D" w:rsidRPr="00C81755">
        <w:rPr>
          <w:lang w:val="en-GB"/>
        </w:rPr>
        <w:t xml:space="preserve">Table </w:t>
      </w:r>
      <w:r w:rsidR="00C96D1D">
        <w:rPr>
          <w:noProof/>
          <w:lang w:val="en-GB"/>
        </w:rPr>
        <w:t>A</w:t>
      </w:r>
      <w:r w:rsidR="00C96D1D" w:rsidRPr="00C81755">
        <w:rPr>
          <w:lang w:val="en-GB"/>
        </w:rPr>
        <w:noBreakHyphen/>
      </w:r>
      <w:r w:rsidR="00C96D1D">
        <w:rPr>
          <w:noProof/>
          <w:lang w:val="en-GB"/>
        </w:rPr>
        <w:t>4</w:t>
      </w:r>
      <w:r w:rsidR="00C96D1D">
        <w:rPr>
          <w:lang w:val="en-GB"/>
        </w:rPr>
        <w:noBreakHyphen/>
      </w:r>
      <w:r w:rsidR="00C96D1D">
        <w:rPr>
          <w:noProof/>
          <w:lang w:val="en-GB"/>
        </w:rPr>
        <w:t>3</w:t>
      </w:r>
      <w:r w:rsidR="005128F6" w:rsidRPr="00C81755">
        <w:rPr>
          <w:lang w:val="en-GB"/>
        </w:rPr>
        <w:fldChar w:fldCharType="end"/>
      </w:r>
      <w:r w:rsidRPr="00C81755">
        <w:rPr>
          <w:lang w:val="en-GB"/>
        </w:rPr>
        <w:t xml:space="preserve"> summaries the primary evaluation configurations and evaluation models employed in IMT-A. More details can be found in [ITUR-M2135].</w:t>
      </w:r>
    </w:p>
    <w:p w14:paraId="5F4B7979" w14:textId="77777777" w:rsidR="001D31FE" w:rsidRDefault="001D31FE" w:rsidP="00AF78B3">
      <w:pPr>
        <w:rPr>
          <w:lang w:val="en-GB"/>
        </w:rPr>
      </w:pPr>
    </w:p>
    <w:p w14:paraId="6D8003D3" w14:textId="77777777" w:rsidR="001D31FE" w:rsidRDefault="001D31FE" w:rsidP="00AF78B3">
      <w:pPr>
        <w:rPr>
          <w:lang w:val="en-GB"/>
        </w:rPr>
      </w:pPr>
    </w:p>
    <w:p w14:paraId="631FB2EE" w14:textId="77777777" w:rsidR="001D31FE" w:rsidRPr="00C81755" w:rsidRDefault="001D31FE" w:rsidP="00AF78B3">
      <w:pPr>
        <w:rPr>
          <w:lang w:val="en-GB"/>
        </w:rPr>
      </w:pPr>
    </w:p>
    <w:p w14:paraId="59927CD4" w14:textId="77777777" w:rsidR="00AF78B3" w:rsidRPr="00C81755" w:rsidRDefault="00AF78B3" w:rsidP="00AF78B3">
      <w:pPr>
        <w:pStyle w:val="Lgende"/>
        <w:keepNext/>
        <w:rPr>
          <w:lang w:val="en-GB"/>
        </w:rPr>
      </w:pPr>
      <w:bookmarkStart w:id="27" w:name="_Ref427687111"/>
      <w:r w:rsidRPr="00C81755">
        <w:rPr>
          <w:lang w:val="en-GB"/>
        </w:rPr>
        <w:lastRenderedPageBreak/>
        <w:t xml:space="preserve">Table </w:t>
      </w:r>
      <w:r>
        <w:rPr>
          <w:noProof/>
          <w:lang w:val="en-GB"/>
        </w:rPr>
        <w:t>A</w:t>
      </w:r>
      <w:r w:rsidRPr="00C81755">
        <w:rPr>
          <w:lang w:val="en-GB"/>
        </w:rPr>
        <w:noBreakHyphen/>
      </w:r>
      <w:r w:rsidR="005128F6">
        <w:rPr>
          <w:lang w:val="en-GB"/>
        </w:rPr>
        <w:fldChar w:fldCharType="begin"/>
      </w:r>
      <w:r>
        <w:rPr>
          <w:lang w:val="en-GB"/>
        </w:rPr>
        <w:instrText xml:space="preserve"> STYLEREF 1 \s </w:instrText>
      </w:r>
      <w:r w:rsidR="005128F6">
        <w:rPr>
          <w:lang w:val="en-GB"/>
        </w:rPr>
        <w:fldChar w:fldCharType="separate"/>
      </w:r>
      <w:r w:rsidR="00C96D1D">
        <w:rPr>
          <w:noProof/>
          <w:lang w:val="en-GB"/>
        </w:rPr>
        <w:t>4</w:t>
      </w:r>
      <w:r w:rsidR="005128F6">
        <w:rPr>
          <w:lang w:val="en-GB"/>
        </w:rPr>
        <w:fldChar w:fldCharType="end"/>
      </w:r>
      <w:r>
        <w:rPr>
          <w:lang w:val="en-GB"/>
        </w:rPr>
        <w:noBreakHyphen/>
      </w:r>
      <w:r w:rsidR="005128F6">
        <w:rPr>
          <w:lang w:val="en-GB"/>
        </w:rPr>
        <w:fldChar w:fldCharType="begin"/>
      </w:r>
      <w:r>
        <w:rPr>
          <w:lang w:val="en-GB"/>
        </w:rPr>
        <w:instrText xml:space="preserve"> SEQ Table \* ARABIC \s 1 </w:instrText>
      </w:r>
      <w:r w:rsidR="005128F6">
        <w:rPr>
          <w:lang w:val="en-GB"/>
        </w:rPr>
        <w:fldChar w:fldCharType="separate"/>
      </w:r>
      <w:r w:rsidR="00C96D1D">
        <w:rPr>
          <w:noProof/>
          <w:lang w:val="en-GB"/>
        </w:rPr>
        <w:t>3</w:t>
      </w:r>
      <w:r w:rsidR="005128F6">
        <w:rPr>
          <w:lang w:val="en-GB"/>
        </w:rPr>
        <w:fldChar w:fldCharType="end"/>
      </w:r>
      <w:bookmarkEnd w:id="27"/>
      <w:r w:rsidRPr="00C81755">
        <w:rPr>
          <w:lang w:val="en-GB"/>
        </w:rPr>
        <w:t>: Evaluation configurations and models for system-level simulation of IMT-A</w:t>
      </w:r>
      <w:r>
        <w:rPr>
          <w:lang w:val="en-GB"/>
        </w:rPr>
        <w:t xml:space="preserve"> [ITUR-M2135]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041"/>
        <w:gridCol w:w="1854"/>
        <w:gridCol w:w="1812"/>
        <w:gridCol w:w="1773"/>
      </w:tblGrid>
      <w:tr w:rsidR="00AF78B3" w:rsidRPr="00C56BB8" w14:paraId="4DDE0475" w14:textId="77777777" w:rsidTr="000F5D28">
        <w:trPr>
          <w:trHeight w:val="573"/>
        </w:trPr>
        <w:tc>
          <w:tcPr>
            <w:tcW w:w="2093" w:type="dxa"/>
            <w:shd w:val="clear" w:color="auto" w:fill="FFFFFF"/>
            <w:vAlign w:val="center"/>
          </w:tcPr>
          <w:p w14:paraId="63CBA648" w14:textId="77777777" w:rsidR="00AF78B3" w:rsidRPr="00C56BB8" w:rsidRDefault="00AF78B3" w:rsidP="000F5D28">
            <w:pPr>
              <w:pStyle w:val="TableHeading"/>
              <w:rPr>
                <w:lang w:val="en-GB" w:eastAsia="zh-CN"/>
              </w:rPr>
            </w:pPr>
            <w:r w:rsidRPr="00C56BB8">
              <w:rPr>
                <w:lang w:val="en-GB" w:eastAsia="zh-CN"/>
              </w:rPr>
              <w:t>Parameters/Test environments</w:t>
            </w:r>
          </w:p>
        </w:tc>
        <w:tc>
          <w:tcPr>
            <w:tcW w:w="2041" w:type="dxa"/>
            <w:shd w:val="clear" w:color="auto" w:fill="FFFFFF"/>
            <w:vAlign w:val="center"/>
          </w:tcPr>
          <w:p w14:paraId="16B70D1F" w14:textId="77777777" w:rsidR="00AF78B3" w:rsidRPr="00C56BB8" w:rsidRDefault="00AF78B3" w:rsidP="000F5D28">
            <w:pPr>
              <w:pStyle w:val="TableHeading"/>
              <w:rPr>
                <w:lang w:val="en-GB" w:eastAsia="zh-CN"/>
              </w:rPr>
            </w:pPr>
            <w:r w:rsidRPr="00C56BB8">
              <w:rPr>
                <w:lang w:val="en-GB" w:eastAsia="zh-CN"/>
              </w:rPr>
              <w:t>Indoor</w:t>
            </w:r>
          </w:p>
        </w:tc>
        <w:tc>
          <w:tcPr>
            <w:tcW w:w="1855" w:type="dxa"/>
            <w:shd w:val="clear" w:color="auto" w:fill="FFFFFF"/>
            <w:vAlign w:val="center"/>
          </w:tcPr>
          <w:p w14:paraId="077F267F" w14:textId="77777777" w:rsidR="00AF78B3" w:rsidRPr="00C56BB8" w:rsidRDefault="00AF78B3" w:rsidP="000F5D28">
            <w:pPr>
              <w:pStyle w:val="TableHeading"/>
              <w:rPr>
                <w:lang w:val="en-GB" w:eastAsia="zh-CN"/>
              </w:rPr>
            </w:pPr>
            <w:r w:rsidRPr="00C56BB8">
              <w:rPr>
                <w:lang w:val="en-GB" w:eastAsia="zh-CN"/>
              </w:rPr>
              <w:t>Microcellular</w:t>
            </w:r>
          </w:p>
        </w:tc>
        <w:tc>
          <w:tcPr>
            <w:tcW w:w="1813" w:type="dxa"/>
            <w:shd w:val="clear" w:color="auto" w:fill="FFFFFF"/>
            <w:vAlign w:val="center"/>
          </w:tcPr>
          <w:p w14:paraId="33F48D83" w14:textId="77777777" w:rsidR="00AF78B3" w:rsidRPr="00C56BB8" w:rsidRDefault="00AF78B3" w:rsidP="000F5D28">
            <w:pPr>
              <w:pStyle w:val="TableHeading"/>
              <w:rPr>
                <w:lang w:val="en-GB" w:eastAsia="zh-CN"/>
              </w:rPr>
            </w:pPr>
            <w:r w:rsidRPr="00C56BB8">
              <w:rPr>
                <w:lang w:val="en-GB" w:eastAsia="zh-CN"/>
              </w:rPr>
              <w:t>Urban base coverage</w:t>
            </w:r>
          </w:p>
        </w:tc>
        <w:tc>
          <w:tcPr>
            <w:tcW w:w="1774" w:type="dxa"/>
            <w:shd w:val="clear" w:color="auto" w:fill="FFFFFF"/>
            <w:vAlign w:val="center"/>
          </w:tcPr>
          <w:p w14:paraId="47E596FB" w14:textId="77777777" w:rsidR="00AF78B3" w:rsidRPr="00C56BB8" w:rsidRDefault="00AF78B3" w:rsidP="000F5D28">
            <w:pPr>
              <w:pStyle w:val="TableHeading"/>
              <w:rPr>
                <w:lang w:val="en-GB" w:eastAsia="zh-CN"/>
              </w:rPr>
            </w:pPr>
            <w:r w:rsidRPr="00C56BB8">
              <w:rPr>
                <w:lang w:val="en-GB" w:eastAsia="zh-CN"/>
              </w:rPr>
              <w:t>High speed</w:t>
            </w:r>
          </w:p>
        </w:tc>
      </w:tr>
      <w:tr w:rsidR="00AF78B3" w:rsidRPr="00C56BB8" w14:paraId="264A3E7D" w14:textId="77777777" w:rsidTr="000F5D28">
        <w:tc>
          <w:tcPr>
            <w:tcW w:w="2093" w:type="dxa"/>
            <w:shd w:val="clear" w:color="auto" w:fill="auto"/>
            <w:vAlign w:val="center"/>
          </w:tcPr>
          <w:p w14:paraId="595DDE36" w14:textId="77777777" w:rsidR="00AF78B3" w:rsidRPr="00C56BB8" w:rsidRDefault="00AF78B3" w:rsidP="000F5D28">
            <w:pPr>
              <w:pStyle w:val="TableHeading"/>
              <w:rPr>
                <w:lang w:val="en-GB" w:eastAsia="zh-CN"/>
              </w:rPr>
            </w:pPr>
            <w:r w:rsidRPr="00C56BB8">
              <w:rPr>
                <w:lang w:val="en-GB" w:eastAsia="zh-CN"/>
              </w:rPr>
              <w:t>Traffic model</w:t>
            </w:r>
          </w:p>
        </w:tc>
        <w:tc>
          <w:tcPr>
            <w:tcW w:w="7483" w:type="dxa"/>
            <w:gridSpan w:val="4"/>
            <w:shd w:val="clear" w:color="auto" w:fill="auto"/>
          </w:tcPr>
          <w:p w14:paraId="01229211" w14:textId="77777777" w:rsidR="00AF78B3" w:rsidRPr="00C56BB8" w:rsidRDefault="00AF78B3" w:rsidP="000F5D28">
            <w:pPr>
              <w:pStyle w:val="TableContent"/>
              <w:rPr>
                <w:lang w:val="en-GB" w:eastAsia="zh-CN"/>
              </w:rPr>
            </w:pPr>
            <w:r w:rsidRPr="00C56BB8">
              <w:rPr>
                <w:lang w:val="en-GB" w:eastAsia="zh-CN"/>
              </w:rPr>
              <w:t>Full buffer (for cell spectral efficiency and cell edge spectral efficiency); VoIP (for VoIP capacity)</w:t>
            </w:r>
          </w:p>
        </w:tc>
      </w:tr>
      <w:tr w:rsidR="00AF78B3" w:rsidRPr="00C56BB8" w14:paraId="3A97C550" w14:textId="77777777" w:rsidTr="000F5D28">
        <w:trPr>
          <w:trHeight w:val="954"/>
        </w:trPr>
        <w:tc>
          <w:tcPr>
            <w:tcW w:w="2093" w:type="dxa"/>
            <w:shd w:val="clear" w:color="auto" w:fill="auto"/>
            <w:vAlign w:val="center"/>
          </w:tcPr>
          <w:p w14:paraId="094C109D" w14:textId="77777777" w:rsidR="00AF78B3" w:rsidRPr="00C56BB8" w:rsidRDefault="00AF78B3" w:rsidP="000F5D28">
            <w:pPr>
              <w:pStyle w:val="TableHeading"/>
              <w:rPr>
                <w:lang w:val="en-GB" w:eastAsia="zh-CN"/>
              </w:rPr>
            </w:pPr>
            <w:r w:rsidRPr="00C56BB8">
              <w:rPr>
                <w:lang w:val="en-GB" w:eastAsia="zh-CN"/>
              </w:rPr>
              <w:t xml:space="preserve">Network layout </w:t>
            </w:r>
          </w:p>
        </w:tc>
        <w:tc>
          <w:tcPr>
            <w:tcW w:w="2041" w:type="dxa"/>
            <w:shd w:val="clear" w:color="auto" w:fill="auto"/>
            <w:vAlign w:val="center"/>
          </w:tcPr>
          <w:p w14:paraId="462615CA" w14:textId="77777777" w:rsidR="00AF78B3" w:rsidRPr="00C56BB8" w:rsidRDefault="00E6432A" w:rsidP="000F5D28">
            <w:pPr>
              <w:pStyle w:val="TableContent"/>
              <w:rPr>
                <w:lang w:val="en-GB" w:eastAsia="zh-CN"/>
              </w:rPr>
            </w:pPr>
            <w:r>
              <w:rPr>
                <w:noProof/>
                <w:lang w:val="fr-FR" w:eastAsia="fr-FR"/>
              </w:rPr>
              <w:drawing>
                <wp:inline distT="0" distB="0" distL="0" distR="0" wp14:anchorId="7DF844A3" wp14:editId="386E2D2F">
                  <wp:extent cx="1085850" cy="504825"/>
                  <wp:effectExtent l="0" t="0" r="0" b="9525"/>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504825"/>
                          </a:xfrm>
                          <a:prstGeom prst="rect">
                            <a:avLst/>
                          </a:prstGeom>
                          <a:noFill/>
                          <a:ln>
                            <a:noFill/>
                          </a:ln>
                        </pic:spPr>
                      </pic:pic>
                    </a:graphicData>
                  </a:graphic>
                </wp:inline>
              </w:drawing>
            </w:r>
          </w:p>
        </w:tc>
        <w:tc>
          <w:tcPr>
            <w:tcW w:w="5442" w:type="dxa"/>
            <w:gridSpan w:val="3"/>
            <w:shd w:val="clear" w:color="auto" w:fill="auto"/>
            <w:vAlign w:val="center"/>
          </w:tcPr>
          <w:p w14:paraId="3E1EB1CC" w14:textId="77777777" w:rsidR="00AF78B3" w:rsidRPr="00C56BB8" w:rsidRDefault="00E6432A" w:rsidP="000F5D28">
            <w:pPr>
              <w:pStyle w:val="TableContent"/>
              <w:jc w:val="center"/>
              <w:rPr>
                <w:lang w:val="en-GB" w:eastAsia="zh-CN"/>
              </w:rPr>
            </w:pPr>
            <w:r>
              <w:rPr>
                <w:noProof/>
                <w:lang w:val="fr-FR" w:eastAsia="fr-FR"/>
              </w:rPr>
              <w:drawing>
                <wp:inline distT="0" distB="0" distL="0" distR="0" wp14:anchorId="75C8233C" wp14:editId="19FCB9B9">
                  <wp:extent cx="1228725" cy="723900"/>
                  <wp:effectExtent l="0" t="0" r="9525" b="0"/>
                  <wp:docPr id="7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723900"/>
                          </a:xfrm>
                          <a:prstGeom prst="rect">
                            <a:avLst/>
                          </a:prstGeom>
                          <a:noFill/>
                          <a:ln>
                            <a:noFill/>
                          </a:ln>
                        </pic:spPr>
                      </pic:pic>
                    </a:graphicData>
                  </a:graphic>
                </wp:inline>
              </w:drawing>
            </w:r>
          </w:p>
        </w:tc>
      </w:tr>
      <w:tr w:rsidR="00AF78B3" w:rsidRPr="00C56BB8" w14:paraId="781A61F3" w14:textId="77777777" w:rsidTr="000F5D28">
        <w:tc>
          <w:tcPr>
            <w:tcW w:w="2093" w:type="dxa"/>
            <w:vMerge w:val="restart"/>
            <w:shd w:val="clear" w:color="auto" w:fill="auto"/>
            <w:vAlign w:val="center"/>
          </w:tcPr>
          <w:p w14:paraId="6B795E9C" w14:textId="77777777" w:rsidR="00AF78B3" w:rsidRPr="00C56BB8" w:rsidRDefault="00AF78B3" w:rsidP="000F5D28">
            <w:pPr>
              <w:pStyle w:val="TableHeading"/>
              <w:rPr>
                <w:lang w:val="en-GB" w:eastAsia="zh-CN"/>
              </w:rPr>
            </w:pPr>
            <w:r w:rsidRPr="00C56BB8">
              <w:rPr>
                <w:lang w:val="en-GB" w:eastAsia="zh-CN"/>
              </w:rPr>
              <w:t>User distribution</w:t>
            </w:r>
          </w:p>
        </w:tc>
        <w:tc>
          <w:tcPr>
            <w:tcW w:w="7483" w:type="dxa"/>
            <w:gridSpan w:val="4"/>
            <w:shd w:val="clear" w:color="auto" w:fill="auto"/>
            <w:vAlign w:val="center"/>
          </w:tcPr>
          <w:p w14:paraId="2A2F6AA1" w14:textId="77777777" w:rsidR="00AF78B3" w:rsidRPr="00C56BB8" w:rsidRDefault="00AF78B3" w:rsidP="000F5D28">
            <w:pPr>
              <w:pStyle w:val="TableContent"/>
              <w:rPr>
                <w:rFonts w:ascii="Arial Unicode MS" w:eastAsia="Arial Unicode MS" w:hAnsi="Arial Unicode MS" w:cs="Arial Unicode MS"/>
                <w:lang w:val="en-GB"/>
              </w:rPr>
            </w:pPr>
            <w:r w:rsidRPr="00C56BB8">
              <w:rPr>
                <w:rFonts w:ascii="Arial Unicode MS" w:eastAsia="Arial Unicode MS" w:hAnsi="Arial Unicode MS" w:cs="Arial Unicode MS"/>
                <w:lang w:val="en-GB" w:eastAsia="zh-CN"/>
              </w:rPr>
              <w:t>R</w:t>
            </w:r>
            <w:r w:rsidRPr="00C56BB8">
              <w:rPr>
                <w:rFonts w:ascii="Arial Unicode MS" w:eastAsia="Arial Unicode MS" w:hAnsi="Arial Unicode MS" w:cs="Arial Unicode MS"/>
                <w:lang w:val="en-GB"/>
              </w:rPr>
              <w:t>andomly and uniformly distributed over area</w:t>
            </w:r>
          </w:p>
        </w:tc>
      </w:tr>
      <w:tr w:rsidR="00AF78B3" w:rsidRPr="00C56BB8" w14:paraId="2057B89A" w14:textId="77777777" w:rsidTr="000F5D28">
        <w:tc>
          <w:tcPr>
            <w:tcW w:w="2093" w:type="dxa"/>
            <w:vMerge/>
            <w:shd w:val="clear" w:color="auto" w:fill="auto"/>
            <w:vAlign w:val="center"/>
          </w:tcPr>
          <w:p w14:paraId="272CA1B6" w14:textId="77777777" w:rsidR="00AF78B3" w:rsidRPr="00C56BB8" w:rsidRDefault="00AF78B3" w:rsidP="000F5D28">
            <w:pPr>
              <w:pStyle w:val="TableHeading"/>
              <w:rPr>
                <w:lang w:val="en-GB" w:eastAsia="zh-CN"/>
              </w:rPr>
            </w:pPr>
          </w:p>
        </w:tc>
        <w:tc>
          <w:tcPr>
            <w:tcW w:w="2041" w:type="dxa"/>
            <w:shd w:val="clear" w:color="auto" w:fill="auto"/>
          </w:tcPr>
          <w:p w14:paraId="76449576" w14:textId="77777777" w:rsidR="00AF78B3" w:rsidRPr="00C56BB8" w:rsidRDefault="00AF78B3" w:rsidP="000F5D28">
            <w:pPr>
              <w:pStyle w:val="TableContent"/>
              <w:rPr>
                <w:lang w:val="en-GB" w:eastAsia="zh-CN"/>
              </w:rPr>
            </w:pPr>
            <w:r w:rsidRPr="00C56BB8">
              <w:rPr>
                <w:lang w:val="en-GB" w:eastAsia="zh-CN"/>
              </w:rPr>
              <w:t>100% of users indoor</w:t>
            </w:r>
          </w:p>
        </w:tc>
        <w:tc>
          <w:tcPr>
            <w:tcW w:w="1855" w:type="dxa"/>
            <w:shd w:val="clear" w:color="auto" w:fill="auto"/>
          </w:tcPr>
          <w:p w14:paraId="4026C19C" w14:textId="77777777" w:rsidR="00AF78B3" w:rsidRPr="00C56BB8" w:rsidRDefault="00AF78B3" w:rsidP="000F5D28">
            <w:pPr>
              <w:pStyle w:val="TableContent"/>
              <w:rPr>
                <w:lang w:val="en-GB" w:eastAsia="zh-CN"/>
              </w:rPr>
            </w:pPr>
            <w:r w:rsidRPr="00C56BB8">
              <w:rPr>
                <w:lang w:val="en-GB" w:eastAsia="zh-CN"/>
              </w:rPr>
              <w:t>50% users outdoor and 50% users indoor</w:t>
            </w:r>
          </w:p>
        </w:tc>
        <w:tc>
          <w:tcPr>
            <w:tcW w:w="1813" w:type="dxa"/>
            <w:shd w:val="clear" w:color="auto" w:fill="auto"/>
          </w:tcPr>
          <w:p w14:paraId="29DE4D53" w14:textId="77777777" w:rsidR="00AF78B3" w:rsidRPr="00C56BB8" w:rsidRDefault="00AF78B3" w:rsidP="000F5D28">
            <w:pPr>
              <w:pStyle w:val="TableContent"/>
              <w:rPr>
                <w:lang w:val="en-GB" w:eastAsia="zh-CN"/>
              </w:rPr>
            </w:pPr>
            <w:r w:rsidRPr="00C56BB8">
              <w:rPr>
                <w:lang w:val="en-GB" w:eastAsia="zh-CN"/>
              </w:rPr>
              <w:t>100% of users outdoors in vehicles</w:t>
            </w:r>
          </w:p>
        </w:tc>
        <w:tc>
          <w:tcPr>
            <w:tcW w:w="1774" w:type="dxa"/>
            <w:shd w:val="clear" w:color="auto" w:fill="auto"/>
          </w:tcPr>
          <w:p w14:paraId="50491FD9" w14:textId="77777777" w:rsidR="00AF78B3" w:rsidRPr="00C56BB8" w:rsidRDefault="00AF78B3" w:rsidP="000F5D28">
            <w:pPr>
              <w:pStyle w:val="TableContent"/>
              <w:rPr>
                <w:lang w:val="en-GB" w:eastAsia="zh-CN"/>
              </w:rPr>
            </w:pPr>
            <w:r w:rsidRPr="00C56BB8">
              <w:rPr>
                <w:lang w:val="en-GB" w:eastAsia="zh-CN"/>
              </w:rPr>
              <w:t>100% of users outdoors in high speed vehicles</w:t>
            </w:r>
          </w:p>
        </w:tc>
      </w:tr>
      <w:tr w:rsidR="00AF78B3" w:rsidRPr="00C56BB8" w14:paraId="34E7414F" w14:textId="77777777" w:rsidTr="000F5D28">
        <w:tc>
          <w:tcPr>
            <w:tcW w:w="2093" w:type="dxa"/>
            <w:shd w:val="clear" w:color="auto" w:fill="auto"/>
            <w:vAlign w:val="center"/>
          </w:tcPr>
          <w:p w14:paraId="6051AD95" w14:textId="77777777" w:rsidR="00AF78B3" w:rsidRPr="00C56BB8" w:rsidRDefault="00AF78B3" w:rsidP="000F5D28">
            <w:pPr>
              <w:pStyle w:val="TableHeading"/>
              <w:rPr>
                <w:lang w:val="en-GB" w:eastAsia="zh-CN"/>
              </w:rPr>
            </w:pPr>
            <w:r w:rsidRPr="00C56BB8">
              <w:rPr>
                <w:lang w:val="en-GB" w:eastAsia="zh-CN"/>
              </w:rPr>
              <w:t>Inter-site distance</w:t>
            </w:r>
          </w:p>
        </w:tc>
        <w:tc>
          <w:tcPr>
            <w:tcW w:w="2041" w:type="dxa"/>
            <w:shd w:val="clear" w:color="auto" w:fill="auto"/>
            <w:vAlign w:val="center"/>
          </w:tcPr>
          <w:p w14:paraId="387D0B77" w14:textId="77777777" w:rsidR="00AF78B3" w:rsidRPr="00C56BB8" w:rsidRDefault="00AF78B3" w:rsidP="000F5D28">
            <w:pPr>
              <w:pStyle w:val="TableContent"/>
              <w:rPr>
                <w:lang w:val="en-GB" w:eastAsia="zh-CN"/>
              </w:rPr>
            </w:pPr>
            <w:r w:rsidRPr="00C56BB8">
              <w:rPr>
                <w:lang w:val="en-GB" w:eastAsia="zh-CN"/>
              </w:rPr>
              <w:t>60 m</w:t>
            </w:r>
          </w:p>
        </w:tc>
        <w:tc>
          <w:tcPr>
            <w:tcW w:w="1855" w:type="dxa"/>
            <w:shd w:val="clear" w:color="auto" w:fill="auto"/>
            <w:vAlign w:val="center"/>
          </w:tcPr>
          <w:p w14:paraId="302DA202" w14:textId="77777777" w:rsidR="00AF78B3" w:rsidRPr="00C56BB8" w:rsidRDefault="00AF78B3" w:rsidP="000F5D28">
            <w:pPr>
              <w:pStyle w:val="TableContent"/>
              <w:rPr>
                <w:lang w:val="en-GB" w:eastAsia="zh-CN"/>
              </w:rPr>
            </w:pPr>
            <w:r w:rsidRPr="00C56BB8">
              <w:rPr>
                <w:lang w:val="en-GB" w:eastAsia="zh-CN"/>
              </w:rPr>
              <w:t>200 m</w:t>
            </w:r>
          </w:p>
        </w:tc>
        <w:tc>
          <w:tcPr>
            <w:tcW w:w="1813" w:type="dxa"/>
            <w:shd w:val="clear" w:color="auto" w:fill="auto"/>
            <w:vAlign w:val="center"/>
          </w:tcPr>
          <w:p w14:paraId="61ACEF08" w14:textId="77777777" w:rsidR="00AF78B3" w:rsidRPr="00C56BB8" w:rsidRDefault="00AF78B3" w:rsidP="000F5D28">
            <w:pPr>
              <w:pStyle w:val="TableContent"/>
              <w:rPr>
                <w:lang w:val="en-GB" w:eastAsia="zh-CN"/>
              </w:rPr>
            </w:pPr>
            <w:r w:rsidRPr="00C56BB8">
              <w:rPr>
                <w:lang w:val="en-GB" w:eastAsia="zh-CN"/>
              </w:rPr>
              <w:t>500 m</w:t>
            </w:r>
          </w:p>
        </w:tc>
        <w:tc>
          <w:tcPr>
            <w:tcW w:w="1774" w:type="dxa"/>
            <w:shd w:val="clear" w:color="auto" w:fill="auto"/>
            <w:vAlign w:val="center"/>
          </w:tcPr>
          <w:p w14:paraId="425AEA9C" w14:textId="77777777" w:rsidR="00AF78B3" w:rsidRPr="00C56BB8" w:rsidRDefault="00AF78B3" w:rsidP="000F5D28">
            <w:pPr>
              <w:pStyle w:val="TableContent"/>
              <w:rPr>
                <w:lang w:val="en-GB" w:eastAsia="zh-CN"/>
              </w:rPr>
            </w:pPr>
            <w:r w:rsidRPr="00C56BB8">
              <w:rPr>
                <w:lang w:val="en-GB" w:eastAsia="zh-CN"/>
              </w:rPr>
              <w:t>1 732 m</w:t>
            </w:r>
          </w:p>
        </w:tc>
      </w:tr>
      <w:tr w:rsidR="00AF78B3" w:rsidRPr="00C56BB8" w14:paraId="50D16AEC" w14:textId="77777777" w:rsidTr="000F5D28">
        <w:tc>
          <w:tcPr>
            <w:tcW w:w="2093" w:type="dxa"/>
            <w:shd w:val="clear" w:color="auto" w:fill="auto"/>
            <w:vAlign w:val="center"/>
          </w:tcPr>
          <w:p w14:paraId="26C136FD" w14:textId="77777777" w:rsidR="00AF78B3" w:rsidRPr="00C56BB8" w:rsidRDefault="00AF78B3" w:rsidP="000F5D28">
            <w:pPr>
              <w:pStyle w:val="TableHeading"/>
              <w:rPr>
                <w:lang w:val="en-GB" w:eastAsia="zh-CN"/>
              </w:rPr>
            </w:pPr>
            <w:r w:rsidRPr="00C56BB8">
              <w:rPr>
                <w:lang w:val="en-GB" w:eastAsia="zh-CN"/>
              </w:rPr>
              <w:t>Simulation bandwidth</w:t>
            </w:r>
          </w:p>
        </w:tc>
        <w:tc>
          <w:tcPr>
            <w:tcW w:w="2041" w:type="dxa"/>
            <w:shd w:val="clear" w:color="auto" w:fill="auto"/>
            <w:vAlign w:val="center"/>
          </w:tcPr>
          <w:p w14:paraId="5D673FBB" w14:textId="77777777" w:rsidR="00AF78B3" w:rsidRPr="00C56BB8" w:rsidRDefault="00AF78B3" w:rsidP="000F5D28">
            <w:pPr>
              <w:pStyle w:val="TableContent"/>
              <w:rPr>
                <w:lang w:val="en-GB" w:eastAsia="zh-CN"/>
              </w:rPr>
            </w:pPr>
            <w:r w:rsidRPr="00C56BB8">
              <w:rPr>
                <w:lang w:val="en-GB" w:eastAsia="zh-CN"/>
              </w:rPr>
              <w:t>20+20 MHz (FDD), or 40 MHz (TDD)</w:t>
            </w:r>
          </w:p>
        </w:tc>
        <w:tc>
          <w:tcPr>
            <w:tcW w:w="1855" w:type="dxa"/>
            <w:shd w:val="clear" w:color="auto" w:fill="auto"/>
            <w:vAlign w:val="center"/>
          </w:tcPr>
          <w:p w14:paraId="5D04CF22" w14:textId="77777777" w:rsidR="00AF78B3" w:rsidRPr="00C56BB8" w:rsidRDefault="00AF78B3" w:rsidP="000F5D28">
            <w:pPr>
              <w:pStyle w:val="TableContent"/>
              <w:rPr>
                <w:lang w:val="en-GB" w:eastAsia="zh-CN"/>
              </w:rPr>
            </w:pPr>
            <w:r w:rsidRPr="00C56BB8">
              <w:rPr>
                <w:lang w:val="en-GB" w:eastAsia="zh-CN"/>
              </w:rPr>
              <w:t>10+10 MHz (FDD), or 20 MHz (TDD)</w:t>
            </w:r>
          </w:p>
        </w:tc>
        <w:tc>
          <w:tcPr>
            <w:tcW w:w="1813" w:type="dxa"/>
            <w:shd w:val="clear" w:color="auto" w:fill="auto"/>
            <w:vAlign w:val="center"/>
          </w:tcPr>
          <w:p w14:paraId="1C8B4244" w14:textId="77777777" w:rsidR="00AF78B3" w:rsidRPr="00C56BB8" w:rsidRDefault="00AF78B3" w:rsidP="000F5D28">
            <w:pPr>
              <w:pStyle w:val="TableContent"/>
              <w:rPr>
                <w:lang w:val="en-GB" w:eastAsia="zh-CN"/>
              </w:rPr>
            </w:pPr>
            <w:r w:rsidRPr="00C56BB8">
              <w:rPr>
                <w:lang w:val="en-GB" w:eastAsia="zh-CN"/>
              </w:rPr>
              <w:t>10+10 MHz (FDD), or 20 MHz (TDD)</w:t>
            </w:r>
          </w:p>
        </w:tc>
        <w:tc>
          <w:tcPr>
            <w:tcW w:w="1774" w:type="dxa"/>
            <w:shd w:val="clear" w:color="auto" w:fill="auto"/>
            <w:vAlign w:val="center"/>
          </w:tcPr>
          <w:p w14:paraId="2579E84C" w14:textId="77777777" w:rsidR="00AF78B3" w:rsidRPr="00C56BB8" w:rsidRDefault="00AF78B3" w:rsidP="000F5D28">
            <w:pPr>
              <w:pStyle w:val="TableContent"/>
              <w:rPr>
                <w:lang w:val="en-GB" w:eastAsia="zh-CN"/>
              </w:rPr>
            </w:pPr>
            <w:r w:rsidRPr="00C56BB8">
              <w:rPr>
                <w:lang w:val="en-GB" w:eastAsia="zh-CN"/>
              </w:rPr>
              <w:t>10+10 MHz (FDD), or 20 MHz (TDD)</w:t>
            </w:r>
          </w:p>
        </w:tc>
      </w:tr>
      <w:tr w:rsidR="00AF78B3" w:rsidRPr="00C56BB8" w14:paraId="12C6A9BF" w14:textId="77777777" w:rsidTr="000F5D28">
        <w:tc>
          <w:tcPr>
            <w:tcW w:w="2093" w:type="dxa"/>
            <w:shd w:val="clear" w:color="auto" w:fill="auto"/>
            <w:vAlign w:val="center"/>
          </w:tcPr>
          <w:p w14:paraId="0CFFCC3C" w14:textId="77777777" w:rsidR="00AF78B3" w:rsidRPr="00C56BB8" w:rsidRDefault="00AF78B3" w:rsidP="000F5D28">
            <w:pPr>
              <w:pStyle w:val="TableHeading"/>
              <w:rPr>
                <w:lang w:val="en-GB" w:eastAsia="zh-CN"/>
              </w:rPr>
            </w:pPr>
            <w:r w:rsidRPr="00C56BB8">
              <w:rPr>
                <w:lang w:val="en-GB" w:eastAsia="zh-CN"/>
              </w:rPr>
              <w:t>Carrier frequency</w:t>
            </w:r>
          </w:p>
        </w:tc>
        <w:tc>
          <w:tcPr>
            <w:tcW w:w="2041" w:type="dxa"/>
            <w:shd w:val="clear" w:color="auto" w:fill="auto"/>
            <w:vAlign w:val="center"/>
          </w:tcPr>
          <w:p w14:paraId="4C4ACDDF" w14:textId="77777777" w:rsidR="00AF78B3" w:rsidRPr="00C56BB8" w:rsidRDefault="00AF78B3" w:rsidP="000F5D28">
            <w:pPr>
              <w:pStyle w:val="TableContent"/>
              <w:rPr>
                <w:lang w:val="en-GB" w:eastAsia="zh-CN"/>
              </w:rPr>
            </w:pPr>
            <w:r w:rsidRPr="00C56BB8">
              <w:rPr>
                <w:lang w:val="en-GB" w:eastAsia="zh-CN"/>
              </w:rPr>
              <w:t>3.4 GHz</w:t>
            </w:r>
          </w:p>
        </w:tc>
        <w:tc>
          <w:tcPr>
            <w:tcW w:w="1855" w:type="dxa"/>
            <w:shd w:val="clear" w:color="auto" w:fill="auto"/>
            <w:vAlign w:val="center"/>
          </w:tcPr>
          <w:p w14:paraId="6CC8C711" w14:textId="77777777" w:rsidR="00AF78B3" w:rsidRPr="00C56BB8" w:rsidRDefault="00AF78B3" w:rsidP="000F5D28">
            <w:pPr>
              <w:pStyle w:val="TableContent"/>
              <w:rPr>
                <w:lang w:val="en-GB" w:eastAsia="zh-CN"/>
              </w:rPr>
            </w:pPr>
            <w:r w:rsidRPr="00C56BB8">
              <w:rPr>
                <w:lang w:val="en-GB" w:eastAsia="zh-CN"/>
              </w:rPr>
              <w:t>2.5 GHz</w:t>
            </w:r>
          </w:p>
        </w:tc>
        <w:tc>
          <w:tcPr>
            <w:tcW w:w="1813" w:type="dxa"/>
            <w:shd w:val="clear" w:color="auto" w:fill="auto"/>
            <w:vAlign w:val="center"/>
          </w:tcPr>
          <w:p w14:paraId="6D89B5F5" w14:textId="77777777" w:rsidR="00AF78B3" w:rsidRPr="00C56BB8" w:rsidRDefault="00AF78B3" w:rsidP="000F5D28">
            <w:pPr>
              <w:pStyle w:val="TableContent"/>
              <w:rPr>
                <w:lang w:val="en-GB" w:eastAsia="zh-CN"/>
              </w:rPr>
            </w:pPr>
            <w:r w:rsidRPr="00C56BB8">
              <w:rPr>
                <w:lang w:val="en-GB" w:eastAsia="zh-CN"/>
              </w:rPr>
              <w:t>2 GHz</w:t>
            </w:r>
          </w:p>
        </w:tc>
        <w:tc>
          <w:tcPr>
            <w:tcW w:w="1774" w:type="dxa"/>
            <w:shd w:val="clear" w:color="auto" w:fill="auto"/>
            <w:vAlign w:val="center"/>
          </w:tcPr>
          <w:p w14:paraId="57166FAA" w14:textId="77777777" w:rsidR="00AF78B3" w:rsidRPr="00C56BB8" w:rsidRDefault="00AF78B3" w:rsidP="000F5D28">
            <w:pPr>
              <w:pStyle w:val="TableContent"/>
              <w:rPr>
                <w:lang w:val="en-GB" w:eastAsia="zh-CN"/>
              </w:rPr>
            </w:pPr>
            <w:r w:rsidRPr="00C56BB8">
              <w:rPr>
                <w:lang w:val="en-GB" w:eastAsia="zh-CN"/>
              </w:rPr>
              <w:t>800 MHz</w:t>
            </w:r>
          </w:p>
        </w:tc>
      </w:tr>
      <w:tr w:rsidR="00AF78B3" w:rsidRPr="00C56BB8" w14:paraId="6F8D361A" w14:textId="77777777" w:rsidTr="000F5D28">
        <w:tc>
          <w:tcPr>
            <w:tcW w:w="2093" w:type="dxa"/>
            <w:shd w:val="clear" w:color="auto" w:fill="auto"/>
            <w:vAlign w:val="center"/>
          </w:tcPr>
          <w:p w14:paraId="6A6AC7D2" w14:textId="77777777" w:rsidR="00AF78B3" w:rsidRPr="00C56BB8" w:rsidRDefault="00AF78B3" w:rsidP="000F5D28">
            <w:pPr>
              <w:pStyle w:val="TableHeading"/>
              <w:rPr>
                <w:lang w:val="en-GB" w:eastAsia="zh-CN"/>
              </w:rPr>
            </w:pPr>
            <w:r w:rsidRPr="00C56BB8">
              <w:rPr>
                <w:lang w:val="en-GB" w:eastAsia="zh-CN"/>
              </w:rPr>
              <w:t>Antenna configuration</w:t>
            </w:r>
          </w:p>
        </w:tc>
        <w:tc>
          <w:tcPr>
            <w:tcW w:w="7483" w:type="dxa"/>
            <w:gridSpan w:val="4"/>
            <w:shd w:val="clear" w:color="auto" w:fill="auto"/>
            <w:vAlign w:val="center"/>
          </w:tcPr>
          <w:p w14:paraId="1D80AF6A" w14:textId="77777777" w:rsidR="00AF78B3" w:rsidRPr="00C56BB8" w:rsidRDefault="00AF78B3" w:rsidP="000F5D28">
            <w:pPr>
              <w:pStyle w:val="TableContent"/>
              <w:rPr>
                <w:lang w:val="en-GB" w:eastAsia="zh-CN"/>
              </w:rPr>
            </w:pPr>
            <w:r w:rsidRPr="00C56BB8">
              <w:rPr>
                <w:lang w:val="en-GB" w:eastAsia="zh-CN"/>
              </w:rPr>
              <w:t>Up to 8 antennas at base station (BS)</w:t>
            </w:r>
          </w:p>
          <w:p w14:paraId="6CD62D1A" w14:textId="77777777" w:rsidR="00AF78B3" w:rsidRPr="00C56BB8" w:rsidRDefault="00AF78B3" w:rsidP="000F5D28">
            <w:pPr>
              <w:pStyle w:val="TableContent"/>
              <w:rPr>
                <w:lang w:val="en-GB" w:eastAsia="zh-CN"/>
              </w:rPr>
            </w:pPr>
            <w:r w:rsidRPr="00C56BB8">
              <w:rPr>
                <w:lang w:val="en-GB" w:eastAsia="zh-CN"/>
              </w:rPr>
              <w:t>Up to 2 antennas at user terminal (UT)</w:t>
            </w:r>
          </w:p>
        </w:tc>
      </w:tr>
      <w:tr w:rsidR="00AF78B3" w:rsidRPr="00C56BB8" w14:paraId="278C8F20" w14:textId="77777777" w:rsidTr="000F5D28">
        <w:tc>
          <w:tcPr>
            <w:tcW w:w="2093" w:type="dxa"/>
            <w:shd w:val="clear" w:color="auto" w:fill="auto"/>
            <w:vAlign w:val="center"/>
          </w:tcPr>
          <w:p w14:paraId="176186CC" w14:textId="77777777" w:rsidR="00AF78B3" w:rsidRPr="00C56BB8" w:rsidRDefault="00AF78B3" w:rsidP="000F5D28">
            <w:pPr>
              <w:pStyle w:val="TableHeading"/>
              <w:rPr>
                <w:lang w:val="en-GB" w:eastAsia="zh-CN"/>
              </w:rPr>
            </w:pPr>
            <w:r w:rsidRPr="00C56BB8">
              <w:rPr>
                <w:lang w:val="en-GB" w:eastAsia="zh-CN"/>
              </w:rPr>
              <w:t>User mobility</w:t>
            </w:r>
          </w:p>
        </w:tc>
        <w:tc>
          <w:tcPr>
            <w:tcW w:w="2041" w:type="dxa"/>
            <w:shd w:val="clear" w:color="auto" w:fill="auto"/>
            <w:vAlign w:val="center"/>
          </w:tcPr>
          <w:p w14:paraId="137D039F" w14:textId="77777777" w:rsidR="00AF78B3" w:rsidRPr="00C56BB8" w:rsidRDefault="00AF78B3" w:rsidP="000F5D28">
            <w:pPr>
              <w:pStyle w:val="TableContent"/>
              <w:rPr>
                <w:lang w:val="en-GB" w:eastAsia="zh-CN"/>
              </w:rPr>
            </w:pPr>
            <w:r w:rsidRPr="00C56BB8">
              <w:rPr>
                <w:lang w:val="en-GB" w:eastAsia="zh-CN"/>
              </w:rPr>
              <w:t>3 km/h</w:t>
            </w:r>
          </w:p>
        </w:tc>
        <w:tc>
          <w:tcPr>
            <w:tcW w:w="1855" w:type="dxa"/>
            <w:shd w:val="clear" w:color="auto" w:fill="auto"/>
            <w:vAlign w:val="center"/>
          </w:tcPr>
          <w:p w14:paraId="3E00B77D" w14:textId="77777777" w:rsidR="00AF78B3" w:rsidRPr="00C56BB8" w:rsidRDefault="00AF78B3" w:rsidP="000F5D28">
            <w:pPr>
              <w:pStyle w:val="TableContent"/>
              <w:rPr>
                <w:lang w:val="en-GB" w:eastAsia="zh-CN"/>
              </w:rPr>
            </w:pPr>
            <w:r w:rsidRPr="00C56BB8">
              <w:rPr>
                <w:lang w:val="en-GB" w:eastAsia="zh-CN"/>
              </w:rPr>
              <w:t>3 km/h</w:t>
            </w:r>
          </w:p>
        </w:tc>
        <w:tc>
          <w:tcPr>
            <w:tcW w:w="1813" w:type="dxa"/>
            <w:shd w:val="clear" w:color="auto" w:fill="auto"/>
            <w:vAlign w:val="center"/>
          </w:tcPr>
          <w:p w14:paraId="3C8C1040" w14:textId="77777777" w:rsidR="00AF78B3" w:rsidRPr="00C56BB8" w:rsidRDefault="00AF78B3" w:rsidP="000F5D28">
            <w:pPr>
              <w:pStyle w:val="TableContent"/>
              <w:rPr>
                <w:lang w:val="en-GB" w:eastAsia="zh-CN"/>
              </w:rPr>
            </w:pPr>
            <w:r w:rsidRPr="00C56BB8">
              <w:rPr>
                <w:lang w:val="en-GB" w:eastAsia="zh-CN"/>
              </w:rPr>
              <w:t>30 km/h</w:t>
            </w:r>
          </w:p>
        </w:tc>
        <w:tc>
          <w:tcPr>
            <w:tcW w:w="1774" w:type="dxa"/>
            <w:shd w:val="clear" w:color="auto" w:fill="auto"/>
            <w:vAlign w:val="center"/>
          </w:tcPr>
          <w:p w14:paraId="645838EC" w14:textId="77777777" w:rsidR="00AF78B3" w:rsidRPr="00C56BB8" w:rsidRDefault="00AF78B3" w:rsidP="000F5D28">
            <w:pPr>
              <w:pStyle w:val="TableContent"/>
              <w:rPr>
                <w:lang w:val="en-GB" w:eastAsia="zh-CN"/>
              </w:rPr>
            </w:pPr>
            <w:r w:rsidRPr="00C56BB8">
              <w:rPr>
                <w:lang w:val="en-GB" w:eastAsia="zh-CN"/>
              </w:rPr>
              <w:t>120 km/h</w:t>
            </w:r>
          </w:p>
        </w:tc>
      </w:tr>
      <w:tr w:rsidR="00AF78B3" w:rsidRPr="00C56BB8" w14:paraId="1616FCAD" w14:textId="77777777" w:rsidTr="000F5D28">
        <w:tc>
          <w:tcPr>
            <w:tcW w:w="2093" w:type="dxa"/>
            <w:shd w:val="clear" w:color="auto" w:fill="auto"/>
            <w:vAlign w:val="center"/>
          </w:tcPr>
          <w:p w14:paraId="565B8CD9" w14:textId="77777777" w:rsidR="00AF78B3" w:rsidRPr="00C56BB8" w:rsidRDefault="00AF78B3" w:rsidP="000F5D28">
            <w:pPr>
              <w:pStyle w:val="TableHeading"/>
              <w:rPr>
                <w:lang w:val="en-GB" w:eastAsia="zh-CN"/>
              </w:rPr>
            </w:pPr>
            <w:r w:rsidRPr="00C56BB8">
              <w:rPr>
                <w:lang w:val="en-GB" w:eastAsia="zh-CN"/>
              </w:rPr>
              <w:t>BS transmit power</w:t>
            </w:r>
          </w:p>
        </w:tc>
        <w:tc>
          <w:tcPr>
            <w:tcW w:w="2041" w:type="dxa"/>
            <w:shd w:val="clear" w:color="auto" w:fill="auto"/>
            <w:vAlign w:val="center"/>
          </w:tcPr>
          <w:p w14:paraId="113752F3" w14:textId="77777777" w:rsidR="00AF78B3" w:rsidRPr="00C56BB8" w:rsidRDefault="00AF78B3" w:rsidP="000F5D28">
            <w:pPr>
              <w:pStyle w:val="TableContent"/>
              <w:rPr>
                <w:lang w:val="en-GB" w:eastAsia="zh-CN"/>
              </w:rPr>
            </w:pPr>
            <w:r w:rsidRPr="00C56BB8">
              <w:rPr>
                <w:lang w:val="en-GB" w:eastAsia="zh-CN"/>
              </w:rPr>
              <w:t>21 dBm/20 MHz</w:t>
            </w:r>
          </w:p>
        </w:tc>
        <w:tc>
          <w:tcPr>
            <w:tcW w:w="1855" w:type="dxa"/>
            <w:shd w:val="clear" w:color="auto" w:fill="auto"/>
            <w:vAlign w:val="center"/>
          </w:tcPr>
          <w:p w14:paraId="12760042" w14:textId="77777777" w:rsidR="00AF78B3" w:rsidRPr="00C56BB8" w:rsidRDefault="00AF78B3" w:rsidP="000F5D28">
            <w:pPr>
              <w:pStyle w:val="TableContent"/>
              <w:rPr>
                <w:lang w:val="en-GB" w:eastAsia="zh-CN"/>
              </w:rPr>
            </w:pPr>
            <w:r w:rsidRPr="00C56BB8">
              <w:rPr>
                <w:lang w:val="en-GB" w:eastAsia="zh-CN"/>
              </w:rPr>
              <w:t>41 dBm/10 MHz</w:t>
            </w:r>
          </w:p>
        </w:tc>
        <w:tc>
          <w:tcPr>
            <w:tcW w:w="1813" w:type="dxa"/>
            <w:shd w:val="clear" w:color="auto" w:fill="auto"/>
            <w:vAlign w:val="center"/>
          </w:tcPr>
          <w:p w14:paraId="53F49E7F" w14:textId="77777777" w:rsidR="00AF78B3" w:rsidRPr="00C56BB8" w:rsidRDefault="00AF78B3" w:rsidP="000F5D28">
            <w:pPr>
              <w:pStyle w:val="TableContent"/>
              <w:rPr>
                <w:lang w:val="en-GB" w:eastAsia="zh-CN"/>
              </w:rPr>
            </w:pPr>
            <w:r w:rsidRPr="00C56BB8">
              <w:rPr>
                <w:lang w:val="en-GB" w:eastAsia="zh-CN"/>
              </w:rPr>
              <w:t>46 dBm/10 MHz</w:t>
            </w:r>
          </w:p>
        </w:tc>
        <w:tc>
          <w:tcPr>
            <w:tcW w:w="1774" w:type="dxa"/>
            <w:shd w:val="clear" w:color="auto" w:fill="auto"/>
            <w:vAlign w:val="center"/>
          </w:tcPr>
          <w:p w14:paraId="6A7142A7" w14:textId="77777777" w:rsidR="00AF78B3" w:rsidRPr="00C56BB8" w:rsidRDefault="00AF78B3" w:rsidP="000F5D28">
            <w:pPr>
              <w:pStyle w:val="TableContent"/>
              <w:rPr>
                <w:lang w:val="en-GB" w:eastAsia="zh-CN"/>
              </w:rPr>
            </w:pPr>
            <w:r w:rsidRPr="00C56BB8">
              <w:rPr>
                <w:lang w:val="en-GB" w:eastAsia="zh-CN"/>
              </w:rPr>
              <w:t>46 dBm/ 10 MHz</w:t>
            </w:r>
          </w:p>
        </w:tc>
      </w:tr>
      <w:tr w:rsidR="00AF78B3" w:rsidRPr="00C56BB8" w14:paraId="40184560" w14:textId="77777777" w:rsidTr="000F5D28">
        <w:tc>
          <w:tcPr>
            <w:tcW w:w="2093" w:type="dxa"/>
            <w:shd w:val="clear" w:color="auto" w:fill="auto"/>
            <w:vAlign w:val="center"/>
          </w:tcPr>
          <w:p w14:paraId="0AE843EE" w14:textId="77777777" w:rsidR="00AF78B3" w:rsidRPr="00C56BB8" w:rsidRDefault="00AF78B3" w:rsidP="000F5D28">
            <w:pPr>
              <w:pStyle w:val="TableHeading"/>
              <w:rPr>
                <w:lang w:val="en-GB" w:eastAsia="zh-CN"/>
              </w:rPr>
            </w:pPr>
            <w:r w:rsidRPr="00C56BB8">
              <w:rPr>
                <w:lang w:val="en-GB" w:eastAsia="zh-CN"/>
              </w:rPr>
              <w:t>UT power class</w:t>
            </w:r>
          </w:p>
        </w:tc>
        <w:tc>
          <w:tcPr>
            <w:tcW w:w="2041" w:type="dxa"/>
            <w:shd w:val="clear" w:color="auto" w:fill="auto"/>
            <w:vAlign w:val="center"/>
          </w:tcPr>
          <w:p w14:paraId="0B82B517" w14:textId="77777777" w:rsidR="00AF78B3" w:rsidRPr="00C56BB8" w:rsidRDefault="00AF78B3" w:rsidP="000F5D28">
            <w:pPr>
              <w:pStyle w:val="TableContent"/>
              <w:rPr>
                <w:lang w:val="en-GB" w:eastAsia="zh-CN"/>
              </w:rPr>
            </w:pPr>
            <w:r w:rsidRPr="00C56BB8">
              <w:rPr>
                <w:lang w:val="en-GB" w:eastAsia="zh-CN"/>
              </w:rPr>
              <w:t>21 dBm</w:t>
            </w:r>
          </w:p>
        </w:tc>
        <w:tc>
          <w:tcPr>
            <w:tcW w:w="1855" w:type="dxa"/>
            <w:shd w:val="clear" w:color="auto" w:fill="auto"/>
            <w:vAlign w:val="center"/>
          </w:tcPr>
          <w:p w14:paraId="3069EC9A" w14:textId="77777777" w:rsidR="00AF78B3" w:rsidRPr="00C56BB8" w:rsidRDefault="00AF78B3" w:rsidP="000F5D28">
            <w:pPr>
              <w:pStyle w:val="TableContent"/>
              <w:rPr>
                <w:lang w:val="en-GB" w:eastAsia="zh-CN"/>
              </w:rPr>
            </w:pPr>
            <w:r w:rsidRPr="00C56BB8">
              <w:rPr>
                <w:lang w:val="en-GB" w:eastAsia="zh-CN"/>
              </w:rPr>
              <w:t>24 dBm</w:t>
            </w:r>
          </w:p>
        </w:tc>
        <w:tc>
          <w:tcPr>
            <w:tcW w:w="1813" w:type="dxa"/>
            <w:shd w:val="clear" w:color="auto" w:fill="auto"/>
            <w:vAlign w:val="center"/>
          </w:tcPr>
          <w:p w14:paraId="6AA6A117" w14:textId="77777777" w:rsidR="00AF78B3" w:rsidRPr="00C56BB8" w:rsidRDefault="00AF78B3" w:rsidP="000F5D28">
            <w:pPr>
              <w:pStyle w:val="TableContent"/>
              <w:rPr>
                <w:lang w:val="en-GB" w:eastAsia="zh-CN"/>
              </w:rPr>
            </w:pPr>
            <w:r w:rsidRPr="00C56BB8">
              <w:rPr>
                <w:lang w:val="en-GB" w:eastAsia="zh-CN"/>
              </w:rPr>
              <w:t>24 dBm</w:t>
            </w:r>
          </w:p>
        </w:tc>
        <w:tc>
          <w:tcPr>
            <w:tcW w:w="1774" w:type="dxa"/>
            <w:shd w:val="clear" w:color="auto" w:fill="auto"/>
            <w:vAlign w:val="center"/>
          </w:tcPr>
          <w:p w14:paraId="157EE4B2" w14:textId="77777777" w:rsidR="00AF78B3" w:rsidRPr="00C56BB8" w:rsidRDefault="00AF78B3" w:rsidP="000F5D28">
            <w:pPr>
              <w:pStyle w:val="TableContent"/>
              <w:rPr>
                <w:lang w:val="en-GB" w:eastAsia="zh-CN"/>
              </w:rPr>
            </w:pPr>
            <w:r w:rsidRPr="00C56BB8">
              <w:rPr>
                <w:lang w:val="en-GB" w:eastAsia="zh-CN"/>
              </w:rPr>
              <w:t>24 dBm</w:t>
            </w:r>
          </w:p>
        </w:tc>
      </w:tr>
    </w:tbl>
    <w:p w14:paraId="7E2A3D00" w14:textId="77777777" w:rsidR="00AF78B3" w:rsidRPr="00D37A3F" w:rsidRDefault="00AF78B3" w:rsidP="00AF78B3">
      <w:pPr>
        <w:pStyle w:val="Corpsdetexte"/>
        <w:rPr>
          <w:lang w:val="en-GB"/>
        </w:rPr>
      </w:pPr>
    </w:p>
    <w:p w14:paraId="357333FE" w14:textId="77777777" w:rsidR="00AF78B3" w:rsidRDefault="00AF78B3" w:rsidP="00AF78B3">
      <w:pPr>
        <w:pStyle w:val="Annex2"/>
      </w:pPr>
      <w:bookmarkStart w:id="28" w:name="_Toc432439783"/>
      <w:bookmarkStart w:id="29" w:name="_Toc439776126"/>
      <w:r>
        <w:t xml:space="preserve">Updates needed for </w:t>
      </w:r>
      <w:bookmarkEnd w:id="28"/>
      <w:bookmarkEnd w:id="29"/>
      <w:r w:rsidR="002C3E49">
        <w:t>IMT</w:t>
      </w:r>
      <w:r w:rsidR="00C34D2A">
        <w:t xml:space="preserve"> </w:t>
      </w:r>
      <w:r w:rsidR="002C3E49">
        <w:t xml:space="preserve">2020 </w:t>
      </w:r>
    </w:p>
    <w:p w14:paraId="1F9E6F04" w14:textId="77777777" w:rsidR="00AF78B3" w:rsidRPr="00C56BB8" w:rsidRDefault="00AF78B3" w:rsidP="00AF78B3">
      <w:pPr>
        <w:pStyle w:val="Paragraph"/>
        <w:spacing w:line="276" w:lineRule="auto"/>
        <w:rPr>
          <w:rFonts w:eastAsia="Calibri"/>
          <w:sz w:val="22"/>
          <w:szCs w:val="22"/>
        </w:rPr>
      </w:pPr>
      <w:r w:rsidRPr="00C56BB8">
        <w:rPr>
          <w:rFonts w:eastAsia="Calibri"/>
          <w:sz w:val="22"/>
          <w:szCs w:val="22"/>
        </w:rPr>
        <w:t>Based on the information from</w:t>
      </w:r>
      <w:r>
        <w:rPr>
          <w:rFonts w:eastAsia="Calibri"/>
          <w:sz w:val="22"/>
          <w:szCs w:val="22"/>
        </w:rPr>
        <w:t xml:space="preserve"> </w:t>
      </w:r>
      <w:r w:rsidRPr="00C56BB8">
        <w:rPr>
          <w:rFonts w:eastAsia="Calibri"/>
          <w:sz w:val="22"/>
          <w:szCs w:val="22"/>
        </w:rPr>
        <w:t xml:space="preserve">Annex </w:t>
      </w:r>
      <w:r w:rsidR="00FC42FA">
        <w:fldChar w:fldCharType="begin"/>
      </w:r>
      <w:r w:rsidR="00FC42FA">
        <w:instrText xml:space="preserve"> REF _Ref439675860 \r \h  \* MERGEFORMAT </w:instrText>
      </w:r>
      <w:r w:rsidR="00FC42FA">
        <w:fldChar w:fldCharType="separate"/>
      </w:r>
      <w:r w:rsidR="00C96D1D" w:rsidRPr="00C96D1D">
        <w:rPr>
          <w:rFonts w:eastAsia="Calibri"/>
          <w:sz w:val="22"/>
          <w:szCs w:val="22"/>
        </w:rPr>
        <w:t>A.1</w:t>
      </w:r>
      <w:r w:rsidR="00FC42FA">
        <w:fldChar w:fldCharType="end"/>
      </w:r>
      <w:r w:rsidRPr="00C56BB8">
        <w:rPr>
          <w:rFonts w:eastAsia="Calibri"/>
          <w:sz w:val="22"/>
          <w:szCs w:val="22"/>
        </w:rPr>
        <w:t xml:space="preserve"> and </w:t>
      </w:r>
      <w:r w:rsidR="00C96D1D">
        <w:rPr>
          <w:rFonts w:eastAsia="Calibri"/>
          <w:sz w:val="22"/>
          <w:szCs w:val="22"/>
        </w:rPr>
        <w:t>IMT-2020</w:t>
      </w:r>
      <w:r w:rsidRPr="00C56BB8">
        <w:rPr>
          <w:rFonts w:eastAsia="Calibri"/>
          <w:sz w:val="22"/>
          <w:szCs w:val="22"/>
        </w:rPr>
        <w:t xml:space="preserve"> </w:t>
      </w:r>
      <w:r w:rsidR="008B13F6">
        <w:rPr>
          <w:rFonts w:eastAsia="Calibri"/>
          <w:sz w:val="22"/>
          <w:szCs w:val="22"/>
        </w:rPr>
        <w:t xml:space="preserve">test cases described </w:t>
      </w:r>
      <w:r w:rsidR="008B13F6" w:rsidRPr="00C56BB8">
        <w:rPr>
          <w:rFonts w:eastAsia="Calibri"/>
          <w:sz w:val="22"/>
          <w:szCs w:val="22"/>
        </w:rPr>
        <w:t>in</w:t>
      </w:r>
      <w:r w:rsidRPr="00C56BB8">
        <w:rPr>
          <w:rFonts w:eastAsia="Calibri"/>
          <w:sz w:val="22"/>
          <w:szCs w:val="22"/>
        </w:rPr>
        <w:t xml:space="preserve"> Section</w:t>
      </w:r>
      <w:r w:rsidR="00C96D1D">
        <w:t xml:space="preserve"> </w:t>
      </w:r>
      <w:r w:rsidR="005128F6">
        <w:fldChar w:fldCharType="begin"/>
      </w:r>
      <w:r w:rsidR="00C96D1D">
        <w:instrText xml:space="preserve"> REF _Ref440294352 \r \h </w:instrText>
      </w:r>
      <w:r w:rsidR="005128F6">
        <w:fldChar w:fldCharType="separate"/>
      </w:r>
      <w:r w:rsidR="00C96D1D">
        <w:t>3</w:t>
      </w:r>
      <w:r w:rsidR="005128F6">
        <w:fldChar w:fldCharType="end"/>
      </w:r>
      <w:r w:rsidRPr="00C56BB8">
        <w:rPr>
          <w:rFonts w:eastAsia="Calibri"/>
          <w:sz w:val="22"/>
          <w:szCs w:val="22"/>
        </w:rPr>
        <w:t xml:space="preserve">, it becomes evident, that in comparison to evaluation method proposed for 4G/IMT-A by ITU-R in [ITUR-M2134], [ITUR-M2135], performance evaluation framework </w:t>
      </w:r>
      <w:r w:rsidR="00192AF8">
        <w:rPr>
          <w:rFonts w:eastAsia="Calibri"/>
          <w:sz w:val="22"/>
          <w:szCs w:val="22"/>
        </w:rPr>
        <w:t>proposed</w:t>
      </w:r>
      <w:r w:rsidRPr="00C56BB8">
        <w:rPr>
          <w:rFonts w:eastAsia="Calibri"/>
          <w:sz w:val="22"/>
          <w:szCs w:val="22"/>
        </w:rPr>
        <w:t xml:space="preserve"> for evaluation of </w:t>
      </w:r>
      <w:r w:rsidR="00C96D1D">
        <w:rPr>
          <w:rFonts w:eastAsia="Calibri"/>
          <w:sz w:val="22"/>
          <w:szCs w:val="22"/>
        </w:rPr>
        <w:t>IMT-2020</w:t>
      </w:r>
      <w:r w:rsidRPr="00C56BB8">
        <w:rPr>
          <w:rFonts w:eastAsia="Calibri"/>
          <w:sz w:val="22"/>
          <w:szCs w:val="22"/>
        </w:rPr>
        <w:t xml:space="preserve"> solutions should bring several key differences and additions. </w:t>
      </w:r>
    </w:p>
    <w:p w14:paraId="08AD30B5" w14:textId="3D3BC08A" w:rsidR="00AF78B3" w:rsidRPr="00974EF9" w:rsidRDefault="00C96D1D" w:rsidP="00974EF9">
      <w:pPr>
        <w:pStyle w:val="Listepuces"/>
        <w:numPr>
          <w:ilvl w:val="0"/>
          <w:numId w:val="0"/>
        </w:numPr>
        <w:spacing w:after="120"/>
        <w:ind w:left="641"/>
        <w:jc w:val="both"/>
        <w:rPr>
          <w:lang w:val="en-GB"/>
        </w:rPr>
      </w:pPr>
      <w:r w:rsidRPr="00974EF9">
        <w:rPr>
          <w:b/>
          <w:lang w:val="en-GB"/>
        </w:rPr>
        <w:t>Deployment scenarios</w:t>
      </w:r>
      <w:r w:rsidR="00AF78B3" w:rsidRPr="00974EF9">
        <w:rPr>
          <w:lang w:val="en-GB"/>
        </w:rPr>
        <w:t xml:space="preserve">. </w:t>
      </w:r>
      <w:r w:rsidR="00974EF9">
        <w:rPr>
          <w:lang w:val="en-GB"/>
        </w:rPr>
        <w:t>T</w:t>
      </w:r>
      <w:r w:rsidR="00AF78B3" w:rsidRPr="00974EF9">
        <w:rPr>
          <w:lang w:val="en-GB"/>
        </w:rPr>
        <w:t xml:space="preserve">est environments were adjusted to reflect </w:t>
      </w:r>
      <w:r w:rsidRPr="00974EF9">
        <w:rPr>
          <w:lang w:val="en-GB"/>
        </w:rPr>
        <w:t xml:space="preserve">e.g. higher number of antennas, </w:t>
      </w:r>
      <w:r w:rsidR="00AF78B3" w:rsidRPr="00974EF9">
        <w:rPr>
          <w:lang w:val="en-GB"/>
        </w:rPr>
        <w:t>justified by mov</w:t>
      </w:r>
      <w:r w:rsidRPr="00974EF9">
        <w:rPr>
          <w:lang w:val="en-GB"/>
        </w:rPr>
        <w:t>ing to higher frequency regimes,</w:t>
      </w:r>
      <w:r w:rsidR="00AF78B3" w:rsidRPr="00974EF9">
        <w:rPr>
          <w:lang w:val="en-GB"/>
        </w:rPr>
        <w:t xml:space="preserve"> or TDD configuration that mirrors the expectation of wireless community for this duplexing method to be an important mode i</w:t>
      </w:r>
      <w:r w:rsidRPr="00974EF9">
        <w:rPr>
          <w:lang w:val="en-GB"/>
        </w:rPr>
        <w:t>n case of small cell deployment</w:t>
      </w:r>
      <w:r w:rsidR="00AF78B3" w:rsidRPr="00974EF9">
        <w:rPr>
          <w:lang w:val="en-GB"/>
        </w:rPr>
        <w:t xml:space="preserve">. </w:t>
      </w:r>
    </w:p>
    <w:p w14:paraId="7732537C" w14:textId="77777777" w:rsidR="00AF78B3" w:rsidRPr="00C81755" w:rsidRDefault="008B13F6" w:rsidP="00AF78B3">
      <w:pPr>
        <w:pStyle w:val="Listepuces"/>
        <w:numPr>
          <w:ilvl w:val="0"/>
          <w:numId w:val="0"/>
        </w:numPr>
        <w:spacing w:after="120"/>
        <w:ind w:left="641"/>
        <w:jc w:val="both"/>
        <w:rPr>
          <w:lang w:val="en-GB"/>
        </w:rPr>
      </w:pPr>
      <w:r w:rsidRPr="00C81755">
        <w:rPr>
          <w:lang w:val="en-GB" w:eastAsia="zh-CN"/>
        </w:rPr>
        <w:t xml:space="preserve">In addition, new test environments are required to evaluate the mMTC and </w:t>
      </w:r>
      <w:r>
        <w:rPr>
          <w:lang w:val="en-GB" w:eastAsia="zh-CN"/>
        </w:rPr>
        <w:t>URLLC</w:t>
      </w:r>
      <w:r w:rsidRPr="00C81755">
        <w:rPr>
          <w:lang w:val="en-GB" w:eastAsia="zh-CN"/>
        </w:rPr>
        <w:t xml:space="preserve"> </w:t>
      </w:r>
      <w:r>
        <w:rPr>
          <w:lang w:val="en-GB" w:eastAsia="zh-CN"/>
        </w:rPr>
        <w:t>usage scenarios</w:t>
      </w:r>
      <w:r w:rsidRPr="00C81755">
        <w:rPr>
          <w:lang w:val="en-GB" w:eastAsia="zh-CN"/>
        </w:rPr>
        <w:t xml:space="preserve"> which are</w:t>
      </w:r>
      <w:r>
        <w:rPr>
          <w:lang w:val="en-GB" w:eastAsia="zh-CN"/>
        </w:rPr>
        <w:t xml:space="preserve"> not </w:t>
      </w:r>
      <w:r w:rsidRPr="00C81755">
        <w:rPr>
          <w:lang w:val="en-GB" w:eastAsia="zh-CN"/>
        </w:rPr>
        <w:t xml:space="preserve">considered in </w:t>
      </w:r>
      <w:r>
        <w:rPr>
          <w:lang w:val="en-GB" w:eastAsia="zh-CN"/>
        </w:rPr>
        <w:t xml:space="preserve">evaluation framework for </w:t>
      </w:r>
      <w:r w:rsidRPr="00C81755">
        <w:rPr>
          <w:lang w:val="en-GB" w:eastAsia="zh-CN"/>
        </w:rPr>
        <w:t>IMT-A</w:t>
      </w:r>
      <w:r>
        <w:rPr>
          <w:lang w:val="en-GB" w:eastAsia="zh-CN"/>
        </w:rPr>
        <w:t xml:space="preserve"> proposed in </w:t>
      </w:r>
      <w:r w:rsidRPr="00C56BB8">
        <w:rPr>
          <w:rFonts w:eastAsia="Calibri"/>
        </w:rPr>
        <w:t>[ITUR-M2135]</w:t>
      </w:r>
      <w:r w:rsidR="00AF78B3" w:rsidRPr="00C81755">
        <w:rPr>
          <w:lang w:val="en-GB" w:eastAsia="zh-CN"/>
        </w:rPr>
        <w:t>.</w:t>
      </w:r>
    </w:p>
    <w:p w14:paraId="60B9C40A" w14:textId="7CAF52ED" w:rsidR="00C96D1D" w:rsidRDefault="002C3E49" w:rsidP="00AF78B3">
      <w:pPr>
        <w:pStyle w:val="Listepuces"/>
        <w:spacing w:after="120"/>
        <w:jc w:val="both"/>
        <w:rPr>
          <w:lang w:val="en-GB"/>
        </w:rPr>
      </w:pPr>
      <w:r>
        <w:rPr>
          <w:b/>
          <w:lang w:val="en-GB"/>
        </w:rPr>
        <w:lastRenderedPageBreak/>
        <w:t xml:space="preserve">Technical </w:t>
      </w:r>
      <w:r w:rsidR="006C78E2" w:rsidRPr="00C96D1D">
        <w:rPr>
          <w:b/>
          <w:lang w:val="en-GB"/>
        </w:rPr>
        <w:t>performance</w:t>
      </w:r>
      <w:r>
        <w:rPr>
          <w:b/>
          <w:lang w:val="en-GB"/>
        </w:rPr>
        <w:t xml:space="preserve"> requirements</w:t>
      </w:r>
      <w:r w:rsidR="00AF78B3" w:rsidRPr="00C81755">
        <w:rPr>
          <w:lang w:val="en-GB"/>
        </w:rPr>
        <w:t xml:space="preserve">. </w:t>
      </w:r>
      <w:r w:rsidR="001D31FE">
        <w:rPr>
          <w:lang w:val="en-GB"/>
        </w:rPr>
        <w:t>IMT-</w:t>
      </w:r>
      <w:r>
        <w:rPr>
          <w:lang w:val="en-GB"/>
        </w:rPr>
        <w:t>2020</w:t>
      </w:r>
      <w:r w:rsidR="00C96D1D">
        <w:rPr>
          <w:lang w:val="en-GB"/>
        </w:rPr>
        <w:t xml:space="preserve"> </w:t>
      </w:r>
      <w:r>
        <w:rPr>
          <w:lang w:val="en-GB"/>
        </w:rPr>
        <w:t xml:space="preserve">is expected to provide new usage scenarios </w:t>
      </w:r>
      <w:r w:rsidR="00AF78B3" w:rsidRPr="00C81755">
        <w:rPr>
          <w:lang w:val="en-GB"/>
        </w:rPr>
        <w:t>families (mMTC,</w:t>
      </w:r>
      <w:r>
        <w:rPr>
          <w:lang w:val="en-GB"/>
        </w:rPr>
        <w:t xml:space="preserve"> </w:t>
      </w:r>
      <w:r w:rsidR="00C96D1D">
        <w:rPr>
          <w:lang w:val="en-GB"/>
        </w:rPr>
        <w:t>URLLC</w:t>
      </w:r>
      <w:r w:rsidR="00AF78B3" w:rsidRPr="00C81755">
        <w:rPr>
          <w:lang w:val="en-GB"/>
        </w:rPr>
        <w:t xml:space="preserve">C) </w:t>
      </w:r>
      <w:r w:rsidR="006C78E2" w:rsidRPr="00C81755">
        <w:rPr>
          <w:lang w:val="en-GB"/>
        </w:rPr>
        <w:t xml:space="preserve">that </w:t>
      </w:r>
      <w:r w:rsidR="006C78E2">
        <w:rPr>
          <w:lang w:val="en-GB"/>
        </w:rPr>
        <w:t>would</w:t>
      </w:r>
      <w:r w:rsidR="001D31FE">
        <w:rPr>
          <w:lang w:val="en-GB"/>
        </w:rPr>
        <w:t xml:space="preserve"> require </w:t>
      </w:r>
      <w:r>
        <w:rPr>
          <w:lang w:val="en-GB"/>
        </w:rPr>
        <w:t xml:space="preserve">defining different technical performance requirements </w:t>
      </w:r>
      <w:r w:rsidR="00AF78B3" w:rsidRPr="00C81755">
        <w:rPr>
          <w:lang w:val="en-GB"/>
        </w:rPr>
        <w:t xml:space="preserve">to be used for benchmarking individual solutions. As an example </w:t>
      </w:r>
      <w:r w:rsidR="00C96D1D">
        <w:rPr>
          <w:lang w:val="en-GB"/>
        </w:rPr>
        <w:t xml:space="preserve">device </w:t>
      </w:r>
      <w:r w:rsidR="00AF78B3" w:rsidRPr="00C81755">
        <w:rPr>
          <w:lang w:val="en-GB"/>
        </w:rPr>
        <w:t xml:space="preserve">energy consumption </w:t>
      </w:r>
      <w:r>
        <w:rPr>
          <w:lang w:val="en-GB"/>
        </w:rPr>
        <w:t xml:space="preserve">is envisaged to be </w:t>
      </w:r>
      <w:r w:rsidR="00C96D1D">
        <w:rPr>
          <w:lang w:val="en-GB"/>
        </w:rPr>
        <w:t xml:space="preserve">one of </w:t>
      </w:r>
      <w:r>
        <w:rPr>
          <w:lang w:val="en-GB"/>
        </w:rPr>
        <w:t xml:space="preserve">the main </w:t>
      </w:r>
      <w:r w:rsidR="008B13F6">
        <w:rPr>
          <w:lang w:val="en-GB"/>
        </w:rPr>
        <w:t xml:space="preserve">performance </w:t>
      </w:r>
      <w:r w:rsidR="001D31FE">
        <w:rPr>
          <w:lang w:val="en-GB"/>
        </w:rPr>
        <w:t>indicator</w:t>
      </w:r>
      <w:r w:rsidR="008B13F6">
        <w:rPr>
          <w:lang w:val="en-GB"/>
        </w:rPr>
        <w:t>/</w:t>
      </w:r>
      <w:r w:rsidR="002F1FB8">
        <w:rPr>
          <w:lang w:val="en-GB"/>
        </w:rPr>
        <w:t>KPI for</w:t>
      </w:r>
      <w:r>
        <w:rPr>
          <w:lang w:val="en-GB"/>
        </w:rPr>
        <w:t xml:space="preserve"> </w:t>
      </w:r>
      <w:r w:rsidR="00AF78B3" w:rsidRPr="00C81755">
        <w:rPr>
          <w:lang w:val="en-GB"/>
        </w:rPr>
        <w:t xml:space="preserve">consideration </w:t>
      </w:r>
      <w:r>
        <w:rPr>
          <w:lang w:val="en-GB"/>
        </w:rPr>
        <w:t xml:space="preserve">in </w:t>
      </w:r>
      <w:r w:rsidR="00AF78B3" w:rsidRPr="00C81755">
        <w:rPr>
          <w:lang w:val="en-GB"/>
        </w:rPr>
        <w:t xml:space="preserve">mMTC, </w:t>
      </w:r>
      <w:r>
        <w:rPr>
          <w:lang w:val="en-GB"/>
        </w:rPr>
        <w:t xml:space="preserve">where as for </w:t>
      </w:r>
      <w:r w:rsidR="00C96D1D">
        <w:rPr>
          <w:lang w:val="en-GB"/>
        </w:rPr>
        <w:t>URLLC</w:t>
      </w:r>
      <w:r>
        <w:rPr>
          <w:lang w:val="en-GB"/>
        </w:rPr>
        <w:t xml:space="preserve"> case </w:t>
      </w:r>
      <w:r w:rsidR="00AF78B3" w:rsidRPr="00C81755">
        <w:rPr>
          <w:lang w:val="en-GB"/>
        </w:rPr>
        <w:t xml:space="preserve">reliability </w:t>
      </w:r>
      <w:r>
        <w:rPr>
          <w:lang w:val="en-GB"/>
        </w:rPr>
        <w:t xml:space="preserve">would </w:t>
      </w:r>
      <w:r w:rsidR="00C96D1D">
        <w:rPr>
          <w:lang w:val="en-GB"/>
        </w:rPr>
        <w:t xml:space="preserve">be </w:t>
      </w:r>
      <w:r>
        <w:rPr>
          <w:lang w:val="en-GB"/>
        </w:rPr>
        <w:t xml:space="preserve">considered a </w:t>
      </w:r>
      <w:r w:rsidR="002F1FB8">
        <w:rPr>
          <w:lang w:val="en-GB"/>
        </w:rPr>
        <w:t xml:space="preserve">relevant </w:t>
      </w:r>
      <w:r>
        <w:rPr>
          <w:lang w:val="en-GB"/>
        </w:rPr>
        <w:t>performance indicator</w:t>
      </w:r>
      <w:r w:rsidR="00AF78B3" w:rsidRPr="00C81755">
        <w:rPr>
          <w:lang w:val="en-GB"/>
        </w:rPr>
        <w:t xml:space="preserve">, etc. </w:t>
      </w:r>
      <w:r w:rsidR="00C96D1D">
        <w:rPr>
          <w:lang w:val="en-GB"/>
        </w:rPr>
        <w:t>F</w:t>
      </w:r>
      <w:r w:rsidR="006C78E2">
        <w:rPr>
          <w:lang w:val="en-GB"/>
        </w:rPr>
        <w:t>or e</w:t>
      </w:r>
      <w:r w:rsidR="006C78E2" w:rsidRPr="00C81755">
        <w:rPr>
          <w:lang w:val="en-GB"/>
        </w:rPr>
        <w:t xml:space="preserve">MBB </w:t>
      </w:r>
      <w:r w:rsidR="00AF78B3" w:rsidRPr="00C81755">
        <w:rPr>
          <w:lang w:val="en-GB"/>
        </w:rPr>
        <w:t xml:space="preserve">which was a focus area of </w:t>
      </w:r>
      <w:r w:rsidR="006C78E2">
        <w:rPr>
          <w:lang w:val="en-GB"/>
        </w:rPr>
        <w:t xml:space="preserve">IMT-A </w:t>
      </w:r>
      <w:r w:rsidR="00AF78B3" w:rsidRPr="00C81755">
        <w:rPr>
          <w:lang w:val="en-GB"/>
        </w:rPr>
        <w:t>candidates</w:t>
      </w:r>
      <w:r w:rsidR="006C78E2">
        <w:rPr>
          <w:lang w:val="en-GB"/>
        </w:rPr>
        <w:t xml:space="preserve"> technolog</w:t>
      </w:r>
      <w:r w:rsidR="00C96D1D">
        <w:rPr>
          <w:lang w:val="en-GB"/>
        </w:rPr>
        <w:t>ies</w:t>
      </w:r>
      <w:r w:rsidR="006C78E2">
        <w:rPr>
          <w:lang w:val="en-GB"/>
        </w:rPr>
        <w:t>, a</w:t>
      </w:r>
      <w:r w:rsidR="00AF78B3" w:rsidRPr="00C81755">
        <w:rPr>
          <w:lang w:val="en-GB"/>
        </w:rPr>
        <w:t xml:space="preserve"> new or updated metrics </w:t>
      </w:r>
      <w:r w:rsidR="006C78E2">
        <w:rPr>
          <w:lang w:val="en-GB"/>
        </w:rPr>
        <w:t xml:space="preserve">would be needed </w:t>
      </w:r>
      <w:r w:rsidR="00AF78B3" w:rsidRPr="00C81755">
        <w:rPr>
          <w:lang w:val="en-GB"/>
        </w:rPr>
        <w:t xml:space="preserve">such as network energy efficiency, ability to exploit heterogeneous environment, etc. Also multiplicity of connectivity options and possible solutions (as well as maturity of cellular ecosystem that manifest in existence of multiple network/service operators) incline the importance of cost and complexity analysis that will allow the choice of economically justified solutions. </w:t>
      </w:r>
      <w:r w:rsidR="00AF78B3" w:rsidRPr="00C81755">
        <w:rPr>
          <w:lang w:val="en-GB" w:eastAsia="zh-CN"/>
        </w:rPr>
        <w:t xml:space="preserve">In addition, the </w:t>
      </w:r>
      <w:r w:rsidR="00C96D1D">
        <w:rPr>
          <w:lang w:val="en-GB" w:eastAsia="zh-CN"/>
        </w:rPr>
        <w:t>t</w:t>
      </w:r>
      <w:r w:rsidR="006C78E2" w:rsidRPr="00C96D1D">
        <w:rPr>
          <w:lang w:val="en-GB"/>
        </w:rPr>
        <w:t xml:space="preserve">echnical </w:t>
      </w:r>
      <w:r w:rsidR="006C78E2">
        <w:rPr>
          <w:lang w:val="en-GB"/>
        </w:rPr>
        <w:t>performance</w:t>
      </w:r>
      <w:r w:rsidR="006C78E2">
        <w:rPr>
          <w:b/>
          <w:lang w:val="en-GB"/>
        </w:rPr>
        <w:t xml:space="preserve"> </w:t>
      </w:r>
      <w:r w:rsidR="006C78E2" w:rsidRPr="00C96D1D">
        <w:rPr>
          <w:lang w:val="en-GB"/>
        </w:rPr>
        <w:t>requirements</w:t>
      </w:r>
      <w:r w:rsidR="006C78E2">
        <w:rPr>
          <w:b/>
          <w:lang w:val="en-GB"/>
        </w:rPr>
        <w:t xml:space="preserve"> </w:t>
      </w:r>
      <w:r w:rsidR="00AF78B3" w:rsidRPr="00C81755">
        <w:rPr>
          <w:lang w:val="en-GB" w:eastAsia="zh-CN"/>
        </w:rPr>
        <w:t>definition</w:t>
      </w:r>
      <w:r w:rsidR="00C96D1D">
        <w:rPr>
          <w:lang w:val="en-GB" w:eastAsia="zh-CN"/>
        </w:rPr>
        <w:t>s</w:t>
      </w:r>
      <w:r w:rsidR="00AF78B3" w:rsidRPr="00C81755">
        <w:rPr>
          <w:lang w:val="en-GB" w:eastAsia="zh-CN"/>
        </w:rPr>
        <w:t xml:space="preserve"> need to accommodate new technology trends to keep it technology-agnostic, and some of the</w:t>
      </w:r>
      <w:r w:rsidR="006C78E2">
        <w:rPr>
          <w:lang w:val="en-GB" w:eastAsia="zh-CN"/>
        </w:rPr>
        <w:t>se requirements</w:t>
      </w:r>
      <w:r w:rsidR="00AF78B3" w:rsidRPr="00C81755">
        <w:rPr>
          <w:lang w:val="en-GB" w:eastAsia="zh-CN"/>
        </w:rPr>
        <w:t xml:space="preserve"> defined in IMT-A may need update to achieve this. </w:t>
      </w:r>
    </w:p>
    <w:p w14:paraId="51A2A78C" w14:textId="77777777" w:rsidR="00AF78B3" w:rsidRPr="006C78E2" w:rsidRDefault="00AF78B3" w:rsidP="00AF78B3">
      <w:pPr>
        <w:pStyle w:val="Listepuces"/>
        <w:spacing w:after="120"/>
        <w:jc w:val="both"/>
        <w:rPr>
          <w:lang w:val="en-GB"/>
        </w:rPr>
      </w:pPr>
      <w:r w:rsidRPr="006C78E2">
        <w:rPr>
          <w:b/>
          <w:lang w:val="en-GB"/>
        </w:rPr>
        <w:t>Higher frequency bands</w:t>
      </w:r>
      <w:r w:rsidRPr="00C96D1D">
        <w:rPr>
          <w:b/>
          <w:lang w:val="en-GB"/>
        </w:rPr>
        <w:t xml:space="preserve">. </w:t>
      </w:r>
      <w:r w:rsidRPr="00C96D1D">
        <w:rPr>
          <w:lang w:val="en-GB"/>
        </w:rPr>
        <w:t xml:space="preserve">New frequency </w:t>
      </w:r>
      <w:r w:rsidRPr="006C78E2">
        <w:rPr>
          <w:lang w:val="en-GB"/>
        </w:rPr>
        <w:t xml:space="preserve">bands (especially in the mmW region) require substantial redefinition of channel models, both for small scale (fast fading) and large scale (slow fading). </w:t>
      </w:r>
    </w:p>
    <w:p w14:paraId="68027F9F" w14:textId="3BA7E316" w:rsidR="00AF78B3" w:rsidRPr="006C78E2" w:rsidRDefault="00AF78B3" w:rsidP="00AF78B3">
      <w:pPr>
        <w:pStyle w:val="Listepuces"/>
        <w:spacing w:after="120"/>
        <w:jc w:val="both"/>
        <w:rPr>
          <w:lang w:val="en-GB"/>
        </w:rPr>
      </w:pPr>
      <w:r w:rsidRPr="006C78E2">
        <w:rPr>
          <w:b/>
          <w:lang w:val="en-GB"/>
        </w:rPr>
        <w:t>Traffic</w:t>
      </w:r>
      <w:r w:rsidRPr="006C78E2">
        <w:rPr>
          <w:lang w:val="en-GB"/>
        </w:rPr>
        <w:t xml:space="preserve">. Although prediction of future applications and related traffic models is always incurred with considerable errors, several trends for future </w:t>
      </w:r>
      <w:r w:rsidR="001D31FE">
        <w:rPr>
          <w:lang w:val="en-GB"/>
        </w:rPr>
        <w:t>IMT-</w:t>
      </w:r>
      <w:r w:rsidR="006C78E2">
        <w:rPr>
          <w:lang w:val="en-GB"/>
        </w:rPr>
        <w:t xml:space="preserve">2020 air interface </w:t>
      </w:r>
      <w:r w:rsidRPr="006C78E2">
        <w:rPr>
          <w:lang w:val="en-GB"/>
        </w:rPr>
        <w:t xml:space="preserve">solutions can be outlined. First of all, full buffer metrics may not be sufficient to capture all the relevant user experience statistics. Full buffer evaluation is a very good mean for quantification of maximum capacity and high load condition. However, when evaluating e.g. </w:t>
      </w:r>
      <w:r w:rsidR="000E7EF9">
        <w:rPr>
          <w:lang w:val="en-GB"/>
        </w:rPr>
        <w:t>experienced user throughput</w:t>
      </w:r>
      <w:r w:rsidRPr="006C78E2">
        <w:rPr>
          <w:lang w:val="en-GB"/>
        </w:rPr>
        <w:t xml:space="preserve"> or fulfilment of QoS requirements, finite traffic models are more suitable. They are also needed for mMTC and </w:t>
      </w:r>
      <w:r w:rsidR="00C96D1D">
        <w:rPr>
          <w:lang w:val="en-GB"/>
        </w:rPr>
        <w:t>URLLC</w:t>
      </w:r>
      <w:r w:rsidRPr="006C78E2">
        <w:rPr>
          <w:lang w:val="en-GB"/>
        </w:rPr>
        <w:t xml:space="preserve"> services.</w:t>
      </w:r>
    </w:p>
    <w:p w14:paraId="42E6E7D4" w14:textId="77777777" w:rsidR="00AF78B3" w:rsidRDefault="00AF78B3" w:rsidP="00AF78B3">
      <w:pPr>
        <w:pStyle w:val="Corpsdetexte"/>
        <w:rPr>
          <w:lang w:val="en-GB"/>
        </w:rPr>
      </w:pPr>
    </w:p>
    <w:p w14:paraId="2F588D87" w14:textId="77777777" w:rsidR="00AF78B3" w:rsidRDefault="00AF78B3" w:rsidP="00AF78B3">
      <w:pPr>
        <w:rPr>
          <w:lang w:val="en-GB"/>
        </w:rPr>
      </w:pPr>
    </w:p>
    <w:p w14:paraId="733A41E4" w14:textId="77777777" w:rsidR="00AF78B3" w:rsidRDefault="00AF78B3" w:rsidP="00AF78B3">
      <w:pPr>
        <w:rPr>
          <w:lang w:val="en-GB"/>
        </w:rPr>
      </w:pPr>
    </w:p>
    <w:p w14:paraId="1CFEBD78" w14:textId="77777777" w:rsidR="00AF78B3" w:rsidRDefault="00AF78B3" w:rsidP="00AF78B3">
      <w:pPr>
        <w:rPr>
          <w:lang w:val="en-GB"/>
        </w:rPr>
      </w:pPr>
    </w:p>
    <w:p w14:paraId="73B75EF6" w14:textId="77777777" w:rsidR="00AF78B3" w:rsidRDefault="00AF78B3" w:rsidP="00AF78B3">
      <w:pPr>
        <w:rPr>
          <w:lang w:val="en-GB"/>
        </w:rPr>
      </w:pPr>
    </w:p>
    <w:p w14:paraId="5CC2F050" w14:textId="77777777" w:rsidR="00AF78B3" w:rsidRDefault="00AF78B3" w:rsidP="00AF78B3">
      <w:pPr>
        <w:rPr>
          <w:lang w:val="en-GB"/>
        </w:rPr>
      </w:pPr>
    </w:p>
    <w:p w14:paraId="3D8A0B19" w14:textId="77777777" w:rsidR="00AF78B3" w:rsidRDefault="00AF78B3" w:rsidP="00AF78B3">
      <w:pPr>
        <w:rPr>
          <w:lang w:val="en-GB"/>
        </w:rPr>
      </w:pPr>
    </w:p>
    <w:p w14:paraId="73D89658" w14:textId="77777777" w:rsidR="00E6432A" w:rsidRDefault="00E6432A">
      <w:pPr>
        <w:jc w:val="center"/>
        <w:rPr>
          <w:sz w:val="32"/>
          <w:lang w:val="en-GB"/>
        </w:rPr>
      </w:pPr>
    </w:p>
    <w:sectPr w:rsidR="00E6432A" w:rsidSect="000E7EF9">
      <w:footerReference w:type="even" r:id="rId20"/>
      <w:footerReference w:type="default" r:id="rId21"/>
      <w:headerReference w:type="first" r:id="rId22"/>
      <w:pgSz w:w="11907" w:h="16840" w:code="9"/>
      <w:pgMar w:top="1134" w:right="1275" w:bottom="1134" w:left="1276" w:header="720" w:footer="720" w:gutter="0"/>
      <w:paperSrc w:first="1" w:other="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5FB5E" w14:textId="77777777" w:rsidR="004B739E" w:rsidRDefault="004B739E">
      <w:r>
        <w:separator/>
      </w:r>
    </w:p>
  </w:endnote>
  <w:endnote w:type="continuationSeparator" w:id="0">
    <w:p w14:paraId="48CE73F2" w14:textId="77777777" w:rsidR="004B739E" w:rsidRDefault="004B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8D66" w14:textId="77777777" w:rsidR="00091608" w:rsidRDefault="00091608">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E644424" w14:textId="77777777" w:rsidR="00091608" w:rsidRDefault="000916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2A555" w14:textId="77777777" w:rsidR="00091608" w:rsidRDefault="00091608">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024432">
      <w:rPr>
        <w:rStyle w:val="Numrodepage"/>
        <w:noProof/>
        <w:sz w:val="20"/>
      </w:rPr>
      <w:t>14</w:t>
    </w:r>
    <w:r>
      <w:rPr>
        <w:rStyle w:val="Numrodepage"/>
        <w:sz w:val="20"/>
      </w:rPr>
      <w:fldChar w:fldCharType="end"/>
    </w:r>
  </w:p>
  <w:p w14:paraId="2A2D9ECC" w14:textId="77777777" w:rsidR="00091608" w:rsidRDefault="000916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AEF0C" w14:textId="77777777" w:rsidR="004B739E" w:rsidRDefault="004B739E">
      <w:r>
        <w:separator/>
      </w:r>
    </w:p>
  </w:footnote>
  <w:footnote w:type="continuationSeparator" w:id="0">
    <w:p w14:paraId="0B039090" w14:textId="77777777" w:rsidR="004B739E" w:rsidRDefault="004B739E">
      <w:r>
        <w:continuationSeparator/>
      </w:r>
    </w:p>
  </w:footnote>
  <w:footnote w:id="1">
    <w:p w14:paraId="55F966FC" w14:textId="77777777" w:rsidR="00091608" w:rsidRPr="00091608" w:rsidRDefault="00091608">
      <w:pPr>
        <w:pStyle w:val="Notedebasdepage"/>
        <w:rPr>
          <w:lang w:val="en-US"/>
        </w:rPr>
      </w:pPr>
      <w:r>
        <w:rPr>
          <w:rStyle w:val="Appelnotedebasdep"/>
        </w:rPr>
        <w:footnoteRef/>
      </w:r>
      <w:r>
        <w:t xml:space="preserve"> </w:t>
      </w:r>
      <w:r w:rsidR="00310401" w:rsidRPr="009C7500">
        <w:t>The content of this contribution originates from the work done in METIS-II but does not necessarily reflect the viewpoints of all partners in the METIS-II project</w:t>
      </w:r>
      <w:r w:rsidRPr="009C750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93A8A" w14:textId="77777777" w:rsidR="00091608" w:rsidRDefault="00091608" w:rsidP="00501798">
    <w:pPr>
      <w:pStyle w:val="ECCHeader"/>
    </w:pPr>
    <w:r w:rsidRPr="008742E3">
      <w:rPr>
        <w:noProof/>
        <w:lang w:val="fr-FR" w:eastAsia="fr-FR"/>
      </w:rPr>
      <w:drawing>
        <wp:inline distT="0" distB="0" distL="0" distR="0" wp14:anchorId="48803BC5" wp14:editId="7A81C3EA">
          <wp:extent cx="889000" cy="889000"/>
          <wp:effectExtent l="0" t="0" r="6350" b="6350"/>
          <wp:docPr id="3"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8742E3">
      <w:rPr>
        <w:noProof/>
        <w:lang w:val="fr-FR" w:eastAsia="fr-FR"/>
      </w:rPr>
      <w:drawing>
        <wp:inline distT="0" distB="0" distL="0" distR="0" wp14:anchorId="5F45CF8F" wp14:editId="14387BFD">
          <wp:extent cx="1461770" cy="546100"/>
          <wp:effectExtent l="0" t="0" r="5080" b="6350"/>
          <wp:docPr id="4"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1DD78A8A" w14:textId="77777777" w:rsidR="00091608" w:rsidRDefault="0009160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D8E9960"/>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FFFFFF89"/>
    <w:multiLevelType w:val="singleLevel"/>
    <w:tmpl w:val="C6C03FBC"/>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0E03FA8"/>
    <w:multiLevelType w:val="hybridMultilevel"/>
    <w:tmpl w:val="4D1A35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17B114F5"/>
    <w:multiLevelType w:val="hybridMultilevel"/>
    <w:tmpl w:val="6ED20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677C5E"/>
    <w:multiLevelType w:val="hybridMultilevel"/>
    <w:tmpl w:val="1AC6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1143C"/>
    <w:multiLevelType w:val="multilevel"/>
    <w:tmpl w:val="729088C0"/>
    <w:lvl w:ilvl="0">
      <w:start w:val="1"/>
      <w:numFmt w:val="upperLetter"/>
      <w:pStyle w:val="Annex1"/>
      <w:lvlText w:val="%1"/>
      <w:lvlJc w:val="left"/>
      <w:pPr>
        <w:ind w:left="1418" w:hanging="1418"/>
      </w:pPr>
      <w:rPr>
        <w:rFonts w:hint="default"/>
      </w:rPr>
    </w:lvl>
    <w:lvl w:ilvl="1">
      <w:start w:val="1"/>
      <w:numFmt w:val="decimal"/>
      <w:pStyle w:val="Annex2"/>
      <w:lvlText w:val="%1.%2"/>
      <w:lvlJc w:val="left"/>
      <w:pPr>
        <w:ind w:left="1418" w:hanging="1418"/>
      </w:pPr>
      <w:rPr>
        <w:rFonts w:hint="default"/>
      </w:rPr>
    </w:lvl>
    <w:lvl w:ilvl="2">
      <w:start w:val="1"/>
      <w:numFmt w:val="decimal"/>
      <w:pStyle w:val="Annex3"/>
      <w:lvlText w:val="%1.%2.%3"/>
      <w:lvlJc w:val="left"/>
      <w:pPr>
        <w:ind w:left="1418" w:hanging="1418"/>
      </w:pPr>
      <w:rPr>
        <w:rFonts w:hint="default"/>
      </w:rPr>
    </w:lvl>
    <w:lvl w:ilvl="3">
      <w:start w:val="1"/>
      <w:numFmt w:val="none"/>
      <w:pStyle w:val="Annex4"/>
      <w:suff w:val="nothing"/>
      <w:lvlText w:val=""/>
      <w:lvlJc w:val="left"/>
      <w:pPr>
        <w:ind w:left="0" w:firstLine="0"/>
      </w:pPr>
      <w:rPr>
        <w:rFonts w:hint="default"/>
      </w:rPr>
    </w:lvl>
    <w:lvl w:ilvl="4">
      <w:start w:val="1"/>
      <w:numFmt w:val="none"/>
      <w:pStyle w:val="Annex5"/>
      <w:suff w:val="nothing"/>
      <w:lvlText w:val=""/>
      <w:lvlJc w:val="left"/>
      <w:pPr>
        <w:ind w:left="0" w:firstLine="0"/>
      </w:pPr>
      <w:rPr>
        <w:rFonts w:hint="default"/>
      </w:rPr>
    </w:lvl>
    <w:lvl w:ilvl="5">
      <w:start w:val="1"/>
      <w:numFmt w:val="none"/>
      <w:lvlText w:val=""/>
      <w:lvlJc w:val="left"/>
      <w:pPr>
        <w:ind w:left="1418" w:hanging="1418"/>
      </w:pPr>
      <w:rPr>
        <w:rFonts w:hint="default"/>
      </w:rPr>
    </w:lvl>
    <w:lvl w:ilvl="6">
      <w:start w:val="1"/>
      <w:numFmt w:val="none"/>
      <w:lvlText w:val=""/>
      <w:lvlJc w:val="left"/>
      <w:pPr>
        <w:ind w:left="1418" w:hanging="1418"/>
      </w:pPr>
      <w:rPr>
        <w:rFonts w:hint="default"/>
      </w:rPr>
    </w:lvl>
    <w:lvl w:ilvl="7">
      <w:start w:val="1"/>
      <w:numFmt w:val="none"/>
      <w:lvlText w:val=""/>
      <w:lvlJc w:val="left"/>
      <w:pPr>
        <w:ind w:left="1418" w:hanging="1418"/>
      </w:pPr>
      <w:rPr>
        <w:rFonts w:hint="default"/>
      </w:rPr>
    </w:lvl>
    <w:lvl w:ilvl="8">
      <w:start w:val="1"/>
      <w:numFmt w:val="none"/>
      <w:lvlText w:val=""/>
      <w:lvlJc w:val="left"/>
      <w:pPr>
        <w:ind w:left="1418" w:hanging="1418"/>
      </w:pPr>
      <w:rPr>
        <w:rFonts w:hint="default"/>
      </w:rPr>
    </w:lvl>
  </w:abstractNum>
  <w:abstractNum w:abstractNumId="7">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9">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1">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2">
    <w:nsid w:val="52485FFF"/>
    <w:multiLevelType w:val="hybridMultilevel"/>
    <w:tmpl w:val="11924FA6"/>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3">
    <w:nsid w:val="53621DC9"/>
    <w:multiLevelType w:val="hybridMultilevel"/>
    <w:tmpl w:val="A82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5DDC087D"/>
    <w:multiLevelType w:val="hybridMultilevel"/>
    <w:tmpl w:val="DFAA32F8"/>
    <w:lvl w:ilvl="0" w:tplc="A86235D6">
      <w:start w:val="2"/>
      <w:numFmt w:val="bullet"/>
      <w:lvlText w:val="-"/>
      <w:lvlJc w:val="left"/>
      <w:pPr>
        <w:ind w:left="4950" w:hanging="360"/>
      </w:pPr>
      <w:rPr>
        <w:rFonts w:ascii="Arial" w:eastAsia="Calibri" w:hAnsi="Arial" w:cs="Aria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7">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6DE37717"/>
    <w:multiLevelType w:val="hybridMultilevel"/>
    <w:tmpl w:val="1444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07767BF"/>
    <w:multiLevelType w:val="multilevel"/>
    <w:tmpl w:val="ABC8CC86"/>
    <w:lvl w:ilvl="0">
      <w:start w:val="1"/>
      <w:numFmt w:val="decimal"/>
      <w:pStyle w:val="Titre1"/>
      <w:lvlText w:val="%1"/>
      <w:lvlJc w:val="left"/>
      <w:pPr>
        <w:tabs>
          <w:tab w:val="num" w:pos="432"/>
        </w:tabs>
        <w:ind w:left="432" w:hanging="432"/>
      </w:pPr>
    </w:lvl>
    <w:lvl w:ilvl="1">
      <w:start w:val="1"/>
      <w:numFmt w:val="upperRoman"/>
      <w:pStyle w:val="Titre2"/>
      <w:lvlText w:val="%2."/>
      <w:lvlJc w:val="righ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0">
    <w:nsid w:val="794A66B5"/>
    <w:multiLevelType w:val="hybridMultilevel"/>
    <w:tmpl w:val="1412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9"/>
  </w:num>
  <w:num w:numId="4">
    <w:abstractNumId w:val="19"/>
  </w:num>
  <w:num w:numId="5">
    <w:abstractNumId w:val="19"/>
  </w:num>
  <w:num w:numId="6">
    <w:abstractNumId w:val="17"/>
  </w:num>
  <w:num w:numId="7">
    <w:abstractNumId w:val="19"/>
  </w:num>
  <w:num w:numId="8">
    <w:abstractNumId w:val="19"/>
  </w:num>
  <w:num w:numId="9">
    <w:abstractNumId w:val="8"/>
  </w:num>
  <w:num w:numId="10">
    <w:abstractNumId w:val="11"/>
  </w:num>
  <w:num w:numId="11">
    <w:abstractNumId w:val="10"/>
  </w:num>
  <w:num w:numId="12">
    <w:abstractNumId w:val="14"/>
  </w:num>
  <w:num w:numId="13">
    <w:abstractNumId w:val="9"/>
  </w:num>
  <w:num w:numId="14">
    <w:abstractNumId w:val="7"/>
  </w:num>
  <w:num w:numId="15">
    <w:abstractNumId w:val="4"/>
  </w:num>
  <w:num w:numId="16">
    <w:abstractNumId w:val="5"/>
  </w:num>
  <w:num w:numId="17">
    <w:abstractNumId w:val="13"/>
  </w:num>
  <w:num w:numId="18">
    <w:abstractNumId w:val="6"/>
  </w:num>
  <w:num w:numId="19">
    <w:abstractNumId w:val="2"/>
  </w:num>
  <w:num w:numId="20">
    <w:abstractNumId w:val="12"/>
  </w:num>
  <w:num w:numId="21">
    <w:abstractNumId w:val="18"/>
  </w:num>
  <w:num w:numId="22">
    <w:abstractNumId w:val="1"/>
  </w:num>
  <w:num w:numId="23">
    <w:abstractNumId w:val="0"/>
  </w:num>
  <w:num w:numId="24">
    <w:abstractNumId w:val="16"/>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it-IT" w:vendorID="64" w:dllVersion="131078" w:nlCheck="1" w:checkStyle="0"/>
  <w:activeWritingStyle w:appName="MSWord" w:lang="es-ES"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26C68"/>
    <w:rsid w:val="00001DE3"/>
    <w:rsid w:val="000020FA"/>
    <w:rsid w:val="000024DF"/>
    <w:rsid w:val="00017416"/>
    <w:rsid w:val="000233C6"/>
    <w:rsid w:val="00024432"/>
    <w:rsid w:val="00033112"/>
    <w:rsid w:val="000364E2"/>
    <w:rsid w:val="00041790"/>
    <w:rsid w:val="00042E6D"/>
    <w:rsid w:val="000448F6"/>
    <w:rsid w:val="00053F4E"/>
    <w:rsid w:val="000641A7"/>
    <w:rsid w:val="00086867"/>
    <w:rsid w:val="00091608"/>
    <w:rsid w:val="00095D52"/>
    <w:rsid w:val="00095F49"/>
    <w:rsid w:val="00097E34"/>
    <w:rsid w:val="000A591F"/>
    <w:rsid w:val="000B0905"/>
    <w:rsid w:val="000B48F9"/>
    <w:rsid w:val="000D0F3C"/>
    <w:rsid w:val="000D7B5C"/>
    <w:rsid w:val="000E1102"/>
    <w:rsid w:val="000E346F"/>
    <w:rsid w:val="000E7EF9"/>
    <w:rsid w:val="000F1373"/>
    <w:rsid w:val="000F2408"/>
    <w:rsid w:val="000F3F32"/>
    <w:rsid w:val="000F5D28"/>
    <w:rsid w:val="00103932"/>
    <w:rsid w:val="00106047"/>
    <w:rsid w:val="00113B49"/>
    <w:rsid w:val="00116815"/>
    <w:rsid w:val="00135FE7"/>
    <w:rsid w:val="0014275E"/>
    <w:rsid w:val="00150F75"/>
    <w:rsid w:val="00152D28"/>
    <w:rsid w:val="00157279"/>
    <w:rsid w:val="00161D26"/>
    <w:rsid w:val="00162CBB"/>
    <w:rsid w:val="0016435A"/>
    <w:rsid w:val="00165DFA"/>
    <w:rsid w:val="00177566"/>
    <w:rsid w:val="00192AF8"/>
    <w:rsid w:val="001C5966"/>
    <w:rsid w:val="001D181E"/>
    <w:rsid w:val="001D31FE"/>
    <w:rsid w:val="001E0E49"/>
    <w:rsid w:val="001F2614"/>
    <w:rsid w:val="00215746"/>
    <w:rsid w:val="00222E8C"/>
    <w:rsid w:val="00222F7B"/>
    <w:rsid w:val="00232F5E"/>
    <w:rsid w:val="002334AA"/>
    <w:rsid w:val="00260D98"/>
    <w:rsid w:val="00261DE2"/>
    <w:rsid w:val="00264024"/>
    <w:rsid w:val="0026766F"/>
    <w:rsid w:val="00270BC6"/>
    <w:rsid w:val="00275507"/>
    <w:rsid w:val="002766DF"/>
    <w:rsid w:val="00277BC1"/>
    <w:rsid w:val="0028051D"/>
    <w:rsid w:val="00282091"/>
    <w:rsid w:val="00292CC2"/>
    <w:rsid w:val="00294331"/>
    <w:rsid w:val="002A02A3"/>
    <w:rsid w:val="002B169D"/>
    <w:rsid w:val="002B47FC"/>
    <w:rsid w:val="002B683F"/>
    <w:rsid w:val="002C3E49"/>
    <w:rsid w:val="002C7114"/>
    <w:rsid w:val="002F1FB8"/>
    <w:rsid w:val="00305908"/>
    <w:rsid w:val="00310401"/>
    <w:rsid w:val="00314E5E"/>
    <w:rsid w:val="00324D10"/>
    <w:rsid w:val="00326C68"/>
    <w:rsid w:val="00346C62"/>
    <w:rsid w:val="00350901"/>
    <w:rsid w:val="00357A5F"/>
    <w:rsid w:val="00373E80"/>
    <w:rsid w:val="00381C68"/>
    <w:rsid w:val="00384821"/>
    <w:rsid w:val="00390143"/>
    <w:rsid w:val="0039030E"/>
    <w:rsid w:val="003A57CC"/>
    <w:rsid w:val="003A6D65"/>
    <w:rsid w:val="003B1654"/>
    <w:rsid w:val="003C2268"/>
    <w:rsid w:val="003C4848"/>
    <w:rsid w:val="003C53D0"/>
    <w:rsid w:val="003E22E2"/>
    <w:rsid w:val="003E76E9"/>
    <w:rsid w:val="003F73E2"/>
    <w:rsid w:val="004002F7"/>
    <w:rsid w:val="00414EB5"/>
    <w:rsid w:val="0042132B"/>
    <w:rsid w:val="00430369"/>
    <w:rsid w:val="00431D12"/>
    <w:rsid w:val="004369DC"/>
    <w:rsid w:val="00440B69"/>
    <w:rsid w:val="00442D63"/>
    <w:rsid w:val="00443C40"/>
    <w:rsid w:val="00444703"/>
    <w:rsid w:val="004465A9"/>
    <w:rsid w:val="004643AC"/>
    <w:rsid w:val="004648A4"/>
    <w:rsid w:val="004662F9"/>
    <w:rsid w:val="00483D13"/>
    <w:rsid w:val="00486369"/>
    <w:rsid w:val="00486878"/>
    <w:rsid w:val="00493F86"/>
    <w:rsid w:val="004A099D"/>
    <w:rsid w:val="004A47FF"/>
    <w:rsid w:val="004A64C0"/>
    <w:rsid w:val="004B23D3"/>
    <w:rsid w:val="004B739E"/>
    <w:rsid w:val="004C2128"/>
    <w:rsid w:val="004D2527"/>
    <w:rsid w:val="004E22D1"/>
    <w:rsid w:val="004F061E"/>
    <w:rsid w:val="004F2824"/>
    <w:rsid w:val="004F2E89"/>
    <w:rsid w:val="00500553"/>
    <w:rsid w:val="00501798"/>
    <w:rsid w:val="005128F6"/>
    <w:rsid w:val="0052181A"/>
    <w:rsid w:val="005269EA"/>
    <w:rsid w:val="0053015C"/>
    <w:rsid w:val="00533846"/>
    <w:rsid w:val="005348B2"/>
    <w:rsid w:val="005434C4"/>
    <w:rsid w:val="00544AA3"/>
    <w:rsid w:val="00546D18"/>
    <w:rsid w:val="00554550"/>
    <w:rsid w:val="005549FF"/>
    <w:rsid w:val="00562E1E"/>
    <w:rsid w:val="00567A72"/>
    <w:rsid w:val="005719B8"/>
    <w:rsid w:val="005761BB"/>
    <w:rsid w:val="00585F7E"/>
    <w:rsid w:val="005D0FEA"/>
    <w:rsid w:val="005F1C1F"/>
    <w:rsid w:val="00600BA1"/>
    <w:rsid w:val="00616265"/>
    <w:rsid w:val="0063524D"/>
    <w:rsid w:val="006542C3"/>
    <w:rsid w:val="0065588F"/>
    <w:rsid w:val="00662842"/>
    <w:rsid w:val="00664805"/>
    <w:rsid w:val="00676CF0"/>
    <w:rsid w:val="00684589"/>
    <w:rsid w:val="006845C9"/>
    <w:rsid w:val="006902F9"/>
    <w:rsid w:val="00690B4B"/>
    <w:rsid w:val="0069180A"/>
    <w:rsid w:val="006A2EDF"/>
    <w:rsid w:val="006B6C6E"/>
    <w:rsid w:val="006C4BCC"/>
    <w:rsid w:val="006C78E2"/>
    <w:rsid w:val="006D0F4F"/>
    <w:rsid w:val="006D1EAC"/>
    <w:rsid w:val="006E1FA9"/>
    <w:rsid w:val="0070740D"/>
    <w:rsid w:val="00711F10"/>
    <w:rsid w:val="00724902"/>
    <w:rsid w:val="00724CE5"/>
    <w:rsid w:val="00735CC3"/>
    <w:rsid w:val="007538DB"/>
    <w:rsid w:val="0075560F"/>
    <w:rsid w:val="007658EC"/>
    <w:rsid w:val="00782F34"/>
    <w:rsid w:val="007925CA"/>
    <w:rsid w:val="00793843"/>
    <w:rsid w:val="00795363"/>
    <w:rsid w:val="007A0090"/>
    <w:rsid w:val="007A1831"/>
    <w:rsid w:val="007A49AD"/>
    <w:rsid w:val="007C5D4C"/>
    <w:rsid w:val="007E3535"/>
    <w:rsid w:val="007E47B5"/>
    <w:rsid w:val="007E4936"/>
    <w:rsid w:val="00802521"/>
    <w:rsid w:val="00807AA2"/>
    <w:rsid w:val="00807F54"/>
    <w:rsid w:val="0081450C"/>
    <w:rsid w:val="00820168"/>
    <w:rsid w:val="008379A2"/>
    <w:rsid w:val="00844418"/>
    <w:rsid w:val="008665A0"/>
    <w:rsid w:val="00884205"/>
    <w:rsid w:val="008A0FAD"/>
    <w:rsid w:val="008A37BA"/>
    <w:rsid w:val="008A74E3"/>
    <w:rsid w:val="008B13F6"/>
    <w:rsid w:val="008C3BF9"/>
    <w:rsid w:val="008D2718"/>
    <w:rsid w:val="008D36AA"/>
    <w:rsid w:val="008D4942"/>
    <w:rsid w:val="008D6A33"/>
    <w:rsid w:val="008D763E"/>
    <w:rsid w:val="008E11CD"/>
    <w:rsid w:val="008E3C05"/>
    <w:rsid w:val="008E47BA"/>
    <w:rsid w:val="008F2FDD"/>
    <w:rsid w:val="008F33D5"/>
    <w:rsid w:val="008F5596"/>
    <w:rsid w:val="008F5ECB"/>
    <w:rsid w:val="008F677F"/>
    <w:rsid w:val="00906FE2"/>
    <w:rsid w:val="00937537"/>
    <w:rsid w:val="0094670B"/>
    <w:rsid w:val="00946DF0"/>
    <w:rsid w:val="009600BE"/>
    <w:rsid w:val="00966316"/>
    <w:rsid w:val="00974EF9"/>
    <w:rsid w:val="009834F1"/>
    <w:rsid w:val="009852E6"/>
    <w:rsid w:val="0098621D"/>
    <w:rsid w:val="009920F0"/>
    <w:rsid w:val="00997A4D"/>
    <w:rsid w:val="009A0A82"/>
    <w:rsid w:val="009B3CB6"/>
    <w:rsid w:val="009C0A96"/>
    <w:rsid w:val="009C2F3B"/>
    <w:rsid w:val="009C2F63"/>
    <w:rsid w:val="009C7500"/>
    <w:rsid w:val="009D242F"/>
    <w:rsid w:val="009D4B2F"/>
    <w:rsid w:val="009E4C57"/>
    <w:rsid w:val="009F250B"/>
    <w:rsid w:val="00A024A8"/>
    <w:rsid w:val="00A13503"/>
    <w:rsid w:val="00A16CEF"/>
    <w:rsid w:val="00A235AB"/>
    <w:rsid w:val="00A267CE"/>
    <w:rsid w:val="00A4512E"/>
    <w:rsid w:val="00A4746B"/>
    <w:rsid w:val="00A477F3"/>
    <w:rsid w:val="00A64930"/>
    <w:rsid w:val="00A77E89"/>
    <w:rsid w:val="00A8289C"/>
    <w:rsid w:val="00A87C8C"/>
    <w:rsid w:val="00A95309"/>
    <w:rsid w:val="00AA26E7"/>
    <w:rsid w:val="00AA3CFD"/>
    <w:rsid w:val="00AA59E8"/>
    <w:rsid w:val="00AB2A2B"/>
    <w:rsid w:val="00AB474E"/>
    <w:rsid w:val="00AC0304"/>
    <w:rsid w:val="00AC345D"/>
    <w:rsid w:val="00AC565D"/>
    <w:rsid w:val="00AD241F"/>
    <w:rsid w:val="00AD5421"/>
    <w:rsid w:val="00AE7906"/>
    <w:rsid w:val="00AF78B3"/>
    <w:rsid w:val="00B0161E"/>
    <w:rsid w:val="00B04F79"/>
    <w:rsid w:val="00B1073A"/>
    <w:rsid w:val="00B1660B"/>
    <w:rsid w:val="00B57508"/>
    <w:rsid w:val="00B6512A"/>
    <w:rsid w:val="00B70CD3"/>
    <w:rsid w:val="00B90507"/>
    <w:rsid w:val="00BA56D5"/>
    <w:rsid w:val="00BB27C5"/>
    <w:rsid w:val="00BB7C49"/>
    <w:rsid w:val="00BC2918"/>
    <w:rsid w:val="00BC6A54"/>
    <w:rsid w:val="00BE4CC9"/>
    <w:rsid w:val="00BF2999"/>
    <w:rsid w:val="00C154C2"/>
    <w:rsid w:val="00C20CB8"/>
    <w:rsid w:val="00C22723"/>
    <w:rsid w:val="00C309B1"/>
    <w:rsid w:val="00C34D2A"/>
    <w:rsid w:val="00C43796"/>
    <w:rsid w:val="00C47BE9"/>
    <w:rsid w:val="00C5418E"/>
    <w:rsid w:val="00C60D46"/>
    <w:rsid w:val="00C62218"/>
    <w:rsid w:val="00C6546B"/>
    <w:rsid w:val="00C71FB0"/>
    <w:rsid w:val="00C75E0E"/>
    <w:rsid w:val="00C76C32"/>
    <w:rsid w:val="00C82BC5"/>
    <w:rsid w:val="00C911ED"/>
    <w:rsid w:val="00C96D1D"/>
    <w:rsid w:val="00CB0BBB"/>
    <w:rsid w:val="00CB228E"/>
    <w:rsid w:val="00CB4E10"/>
    <w:rsid w:val="00CC08F5"/>
    <w:rsid w:val="00CD4FA2"/>
    <w:rsid w:val="00CD51FD"/>
    <w:rsid w:val="00CE263D"/>
    <w:rsid w:val="00CE40EE"/>
    <w:rsid w:val="00CE6591"/>
    <w:rsid w:val="00D004D0"/>
    <w:rsid w:val="00D00B4F"/>
    <w:rsid w:val="00D05F6A"/>
    <w:rsid w:val="00D14191"/>
    <w:rsid w:val="00D149DA"/>
    <w:rsid w:val="00D34708"/>
    <w:rsid w:val="00D53B5D"/>
    <w:rsid w:val="00D671A5"/>
    <w:rsid w:val="00DA36A2"/>
    <w:rsid w:val="00DB6EAC"/>
    <w:rsid w:val="00DC55AC"/>
    <w:rsid w:val="00DD08BA"/>
    <w:rsid w:val="00DE2E80"/>
    <w:rsid w:val="00DE5325"/>
    <w:rsid w:val="00DE5E01"/>
    <w:rsid w:val="00DF1C98"/>
    <w:rsid w:val="00DF2A80"/>
    <w:rsid w:val="00DF6E9F"/>
    <w:rsid w:val="00DF755A"/>
    <w:rsid w:val="00E232D3"/>
    <w:rsid w:val="00E2796D"/>
    <w:rsid w:val="00E27C6A"/>
    <w:rsid w:val="00E3408C"/>
    <w:rsid w:val="00E40873"/>
    <w:rsid w:val="00E40F9E"/>
    <w:rsid w:val="00E46598"/>
    <w:rsid w:val="00E51FB5"/>
    <w:rsid w:val="00E561B8"/>
    <w:rsid w:val="00E577A4"/>
    <w:rsid w:val="00E6432A"/>
    <w:rsid w:val="00E779E2"/>
    <w:rsid w:val="00E87AEF"/>
    <w:rsid w:val="00E93323"/>
    <w:rsid w:val="00E95CFE"/>
    <w:rsid w:val="00ED1A90"/>
    <w:rsid w:val="00ED6CE8"/>
    <w:rsid w:val="00ED7AEC"/>
    <w:rsid w:val="00EE07DC"/>
    <w:rsid w:val="00EE6D93"/>
    <w:rsid w:val="00EF1568"/>
    <w:rsid w:val="00F05B26"/>
    <w:rsid w:val="00F110B9"/>
    <w:rsid w:val="00F20526"/>
    <w:rsid w:val="00F22950"/>
    <w:rsid w:val="00F311FB"/>
    <w:rsid w:val="00F31EAB"/>
    <w:rsid w:val="00F37A73"/>
    <w:rsid w:val="00F43BE8"/>
    <w:rsid w:val="00F53012"/>
    <w:rsid w:val="00F613A3"/>
    <w:rsid w:val="00F63D92"/>
    <w:rsid w:val="00F907EA"/>
    <w:rsid w:val="00FA15BA"/>
    <w:rsid w:val="00FA6EBF"/>
    <w:rsid w:val="00FA7FC5"/>
    <w:rsid w:val="00FB4F0E"/>
    <w:rsid w:val="00FC42FA"/>
    <w:rsid w:val="00FD0B6D"/>
    <w:rsid w:val="00FD7E46"/>
    <w:rsid w:val="00FE1DCB"/>
    <w:rsid w:val="00FE61C8"/>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7"/>
    <o:shapelayout v:ext="edit">
      <o:idmap v:ext="edit" data="1"/>
    </o:shapelayout>
  </w:shapeDefaults>
  <w:decimalSymbol w:val=","/>
  <w:listSeparator w:val=";"/>
  <w14:docId w14:val="6077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spacing w:before="120"/>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sid w:val="00E40F9E"/>
    <w:rPr>
      <w:position w:val="6"/>
      <w:sz w:val="16"/>
    </w:rPr>
  </w:style>
  <w:style w:type="paragraph" w:styleId="Notedebasdepage">
    <w:name w:val="footnote text"/>
    <w:basedOn w:val="Normal"/>
    <w:semiHidden/>
    <w:rsid w:val="00E40F9E"/>
    <w:rPr>
      <w:sz w:val="20"/>
    </w:rPr>
  </w:style>
  <w:style w:type="character" w:styleId="Numrodepage">
    <w:name w:val="page number"/>
    <w:basedOn w:val="Policepardfaut"/>
    <w:rsid w:val="00E40F9E"/>
  </w:style>
  <w:style w:type="paragraph" w:styleId="Explorateurdedocuments">
    <w:name w:val="Document Map"/>
    <w:basedOn w:val="Normal"/>
    <w:semiHidden/>
    <w:rsid w:val="00E40F9E"/>
    <w:pPr>
      <w:shd w:val="clear" w:color="auto" w:fill="000080"/>
    </w:pPr>
    <w:rPr>
      <w:rFonts w:ascii="Tahoma" w:hAnsi="Tahoma"/>
    </w:rPr>
  </w:style>
  <w:style w:type="paragraph" w:styleId="Tabledesillustrations">
    <w:name w:val="table of figures"/>
    <w:basedOn w:val="Normal"/>
    <w:next w:val="Normal"/>
    <w:semiHidden/>
    <w:rsid w:val="00E40F9E"/>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Textedebulles">
    <w:name w:val="Balloon Text"/>
    <w:basedOn w:val="Normal"/>
    <w:link w:val="TextedebullesCar"/>
    <w:rsid w:val="007A0090"/>
    <w:pPr>
      <w:spacing w:after="0"/>
    </w:pPr>
    <w:rPr>
      <w:rFonts w:ascii="Tahoma" w:hAnsi="Tahoma" w:cs="Tahoma"/>
      <w:sz w:val="16"/>
      <w:szCs w:val="16"/>
    </w:rPr>
  </w:style>
  <w:style w:type="character" w:customStyle="1" w:styleId="TextedebullesCar">
    <w:name w:val="Texte de bulles Car"/>
    <w:basedOn w:val="Policepardfaut"/>
    <w:link w:val="Textedebulles"/>
    <w:rsid w:val="007A0090"/>
    <w:rPr>
      <w:rFonts w:ascii="Tahoma" w:hAnsi="Tahoma" w:cs="Tahoma"/>
      <w:sz w:val="16"/>
      <w:szCs w:val="16"/>
      <w:lang w:val="nb-NO" w:eastAsia="de-DE"/>
    </w:rPr>
  </w:style>
  <w:style w:type="paragraph" w:styleId="Pieddepage">
    <w:name w:val="footer"/>
    <w:basedOn w:val="Normal"/>
    <w:link w:val="PieddepageCar"/>
    <w:rsid w:val="00501798"/>
    <w:pPr>
      <w:tabs>
        <w:tab w:val="center" w:pos="4536"/>
        <w:tab w:val="right" w:pos="9072"/>
      </w:tabs>
      <w:spacing w:after="0"/>
    </w:pPr>
  </w:style>
  <w:style w:type="character" w:customStyle="1" w:styleId="PieddepageCar">
    <w:name w:val="Pied de page Car"/>
    <w:basedOn w:val="Policepardfaut"/>
    <w:link w:val="Pieddepage"/>
    <w:rsid w:val="00501798"/>
    <w:rPr>
      <w:rFonts w:ascii="Arial" w:hAnsi="Arial"/>
      <w:sz w:val="22"/>
      <w:lang w:val="nb-NO" w:eastAsia="de-DE"/>
    </w:rPr>
  </w:style>
  <w:style w:type="paragraph" w:customStyle="1" w:styleId="ECCHeader">
    <w:name w:val="ECC Header"/>
    <w:rsid w:val="00501798"/>
    <w:pPr>
      <w:tabs>
        <w:tab w:val="left" w:pos="0"/>
        <w:tab w:val="center" w:pos="4820"/>
        <w:tab w:val="right" w:pos="9639"/>
      </w:tabs>
      <w:spacing w:before="60" w:after="120"/>
    </w:pPr>
    <w:rPr>
      <w:rFonts w:ascii="Arial" w:hAnsi="Arial"/>
      <w:b/>
      <w:sz w:val="16"/>
      <w:lang w:val="da-DK" w:eastAsia="en-US"/>
    </w:rPr>
  </w:style>
  <w:style w:type="paragraph" w:styleId="Corpsdetexte">
    <w:name w:val="Body Text"/>
    <w:aliases w:val="bt,AvtalBrödtext,ändrad,Bodytext,AvtalBrodtext,andrad,EHPT,Body Text2,Corpo,del,testo,Body Text Char Char,Body3,compact,paragraph 2,body indent"/>
    <w:basedOn w:val="Normal"/>
    <w:link w:val="CorpsdetexteCar"/>
    <w:uiPriority w:val="99"/>
    <w:unhideWhenUsed/>
    <w:rsid w:val="00384821"/>
    <w:pPr>
      <w:spacing w:line="276" w:lineRule="auto"/>
      <w:jc w:val="left"/>
    </w:pPr>
    <w:rPr>
      <w:rFonts w:eastAsia="SimSun"/>
      <w:szCs w:val="22"/>
      <w:lang w:val="en-US" w:eastAsia="en-US"/>
    </w:rPr>
  </w:style>
  <w:style w:type="character" w:customStyle="1" w:styleId="CorpsdetexteCar">
    <w:name w:val="Corps de texte Car"/>
    <w:aliases w:val="bt Car,AvtalBrödtext Car,ändrad Car,Bodytext Car,AvtalBrodtext Car,andrad Car,EHPT Car,Body Text2 Car,Corpo Car,del Car,testo Car,Body Text Char Char Car,Body3 Car,compact Car,paragraph 2 Car,body indent Car"/>
    <w:basedOn w:val="Policepardfaut"/>
    <w:link w:val="Corpsdetexte"/>
    <w:uiPriority w:val="99"/>
    <w:rsid w:val="00384821"/>
    <w:rPr>
      <w:rFonts w:ascii="Arial" w:eastAsia="SimSun" w:hAnsi="Arial"/>
      <w:sz w:val="22"/>
      <w:szCs w:val="22"/>
      <w:lang w:val="en-US" w:eastAsia="en-US"/>
    </w:rPr>
  </w:style>
  <w:style w:type="paragraph" w:styleId="Lgende">
    <w:name w:val="caption"/>
    <w:aliases w:val="cap,Caption Char1,Caption Char Char,Caption Char1 Char,Caption Char2,Caption Char Char Char,Caption Char Char1,Caption Char,fig and tbl,fighead2,Table Caption,fighead21,fighead22,fighead23,Table Caption1,fighead211,fighead24,Table Caption2"/>
    <w:basedOn w:val="Normal"/>
    <w:next w:val="Normal"/>
    <w:link w:val="LgendeCar"/>
    <w:unhideWhenUsed/>
    <w:qFormat/>
    <w:rsid w:val="005D0FEA"/>
    <w:pPr>
      <w:spacing w:after="200"/>
    </w:pPr>
    <w:rPr>
      <w:i/>
      <w:iCs/>
      <w:color w:val="1F497D" w:themeColor="text2"/>
      <w:sz w:val="18"/>
      <w:szCs w:val="18"/>
    </w:rPr>
  </w:style>
  <w:style w:type="character" w:styleId="Marquedecommentaire">
    <w:name w:val="annotation reference"/>
    <w:uiPriority w:val="99"/>
    <w:semiHidden/>
    <w:unhideWhenUsed/>
    <w:rsid w:val="00A4746B"/>
    <w:rPr>
      <w:sz w:val="16"/>
      <w:szCs w:val="16"/>
    </w:rPr>
  </w:style>
  <w:style w:type="paragraph" w:styleId="Commentaire">
    <w:name w:val="annotation text"/>
    <w:basedOn w:val="Normal"/>
    <w:link w:val="CommentaireCar"/>
    <w:uiPriority w:val="99"/>
    <w:unhideWhenUsed/>
    <w:rsid w:val="00A4746B"/>
    <w:pPr>
      <w:spacing w:after="200"/>
      <w:jc w:val="left"/>
    </w:pPr>
    <w:rPr>
      <w:rFonts w:eastAsia="SimSun"/>
      <w:sz w:val="20"/>
      <w:lang w:val="en-US" w:eastAsia="en-US"/>
    </w:rPr>
  </w:style>
  <w:style w:type="character" w:customStyle="1" w:styleId="CommentaireCar">
    <w:name w:val="Commentaire Car"/>
    <w:basedOn w:val="Policepardfaut"/>
    <w:link w:val="Commentaire"/>
    <w:uiPriority w:val="99"/>
    <w:rsid w:val="00A4746B"/>
    <w:rPr>
      <w:rFonts w:ascii="Arial" w:eastAsia="SimSun" w:hAnsi="Arial"/>
      <w:lang w:val="en-US" w:eastAsia="en-US"/>
    </w:rPr>
  </w:style>
  <w:style w:type="paragraph" w:customStyle="1" w:styleId="TableHeading">
    <w:name w:val="Table Heading"/>
    <w:basedOn w:val="Corpsdetexte"/>
    <w:qFormat/>
    <w:rsid w:val="00A4746B"/>
    <w:pPr>
      <w:spacing w:before="120" w:line="240" w:lineRule="auto"/>
    </w:pPr>
    <w:rPr>
      <w:b/>
    </w:rPr>
  </w:style>
  <w:style w:type="character" w:customStyle="1" w:styleId="LgendeCar">
    <w:name w:val="Légende Car"/>
    <w:aliases w:val="cap Car,Caption Char1 Car,Caption Char Char Car,Caption Char1 Char Car,Caption Char2 Car,Caption Char Char Char Car,Caption Char Char1 Car,Caption Char Car,fig and tbl Car,fighead2 Car,Table Caption Car,fighead21 Car,fighead22 Car"/>
    <w:link w:val="Lgende"/>
    <w:locked/>
    <w:rsid w:val="00A4746B"/>
    <w:rPr>
      <w:rFonts w:ascii="Arial" w:hAnsi="Arial"/>
      <w:i/>
      <w:iCs/>
      <w:color w:val="1F497D" w:themeColor="text2"/>
      <w:sz w:val="18"/>
      <w:szCs w:val="18"/>
      <w:lang w:val="nb-NO" w:eastAsia="de-DE"/>
    </w:rPr>
  </w:style>
  <w:style w:type="paragraph" w:customStyle="1" w:styleId="TableContent">
    <w:name w:val="Table Content"/>
    <w:basedOn w:val="Corpsdetexte"/>
    <w:qFormat/>
    <w:rsid w:val="00724CE5"/>
    <w:pPr>
      <w:spacing w:before="120" w:line="240" w:lineRule="auto"/>
    </w:pPr>
  </w:style>
  <w:style w:type="paragraph" w:styleId="Objetducommentaire">
    <w:name w:val="annotation subject"/>
    <w:basedOn w:val="Commentaire"/>
    <w:next w:val="Commentaire"/>
    <w:link w:val="ObjetducommentaireCar"/>
    <w:semiHidden/>
    <w:unhideWhenUsed/>
    <w:rsid w:val="00AB474E"/>
    <w:pPr>
      <w:spacing w:after="120"/>
      <w:jc w:val="both"/>
    </w:pPr>
    <w:rPr>
      <w:rFonts w:eastAsia="Times New Roman"/>
      <w:b/>
      <w:bCs/>
      <w:lang w:val="nb-NO" w:eastAsia="de-DE"/>
    </w:rPr>
  </w:style>
  <w:style w:type="character" w:customStyle="1" w:styleId="ObjetducommentaireCar">
    <w:name w:val="Objet du commentaire Car"/>
    <w:basedOn w:val="CommentaireCar"/>
    <w:link w:val="Objetducommentaire"/>
    <w:semiHidden/>
    <w:rsid w:val="00AB474E"/>
    <w:rPr>
      <w:rFonts w:ascii="Arial" w:eastAsia="SimSun" w:hAnsi="Arial"/>
      <w:b/>
      <w:bCs/>
      <w:lang w:val="nb-NO" w:eastAsia="de-DE"/>
    </w:rPr>
  </w:style>
  <w:style w:type="paragraph" w:styleId="Paragraphedeliste">
    <w:name w:val="List Paragraph"/>
    <w:basedOn w:val="Normal"/>
    <w:uiPriority w:val="34"/>
    <w:qFormat/>
    <w:rsid w:val="004C2128"/>
    <w:pPr>
      <w:ind w:left="720"/>
      <w:contextualSpacing/>
    </w:pPr>
  </w:style>
  <w:style w:type="table" w:styleId="Grilledutableau">
    <w:name w:val="Table Grid"/>
    <w:basedOn w:val="TableauNormal"/>
    <w:uiPriority w:val="59"/>
    <w:rsid w:val="00152D28"/>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1">
    <w:name w:val="Annex 1"/>
    <w:basedOn w:val="Titre1"/>
    <w:next w:val="Corpsdetexte"/>
    <w:qFormat/>
    <w:rsid w:val="00AF78B3"/>
    <w:pPr>
      <w:keepNext/>
      <w:keepLines/>
      <w:pageBreakBefore/>
      <w:numPr>
        <w:numId w:val="18"/>
      </w:numPr>
      <w:tabs>
        <w:tab w:val="clear" w:pos="851"/>
      </w:tabs>
      <w:spacing w:before="480" w:after="0" w:line="276" w:lineRule="auto"/>
    </w:pPr>
    <w:rPr>
      <w:rFonts w:eastAsia="SimSun" w:cs="Times New Roman"/>
      <w:bCs/>
      <w:sz w:val="48"/>
      <w:lang w:val="en-US" w:eastAsia="en-US"/>
    </w:rPr>
  </w:style>
  <w:style w:type="paragraph" w:customStyle="1" w:styleId="Annex2">
    <w:name w:val="Annex 2"/>
    <w:basedOn w:val="Titre2"/>
    <w:next w:val="Corpsdetexte"/>
    <w:qFormat/>
    <w:rsid w:val="00AF78B3"/>
    <w:pPr>
      <w:keepNext/>
      <w:keepLines/>
      <w:numPr>
        <w:numId w:val="18"/>
      </w:numPr>
      <w:tabs>
        <w:tab w:val="clear" w:pos="851"/>
      </w:tabs>
      <w:spacing w:before="200" w:after="0" w:line="276" w:lineRule="auto"/>
    </w:pPr>
    <w:rPr>
      <w:rFonts w:eastAsia="SimSun" w:cs="Times New Roman"/>
      <w:bCs/>
      <w:sz w:val="36"/>
      <w:szCs w:val="26"/>
      <w:lang w:val="en-US" w:eastAsia="en-US"/>
    </w:rPr>
  </w:style>
  <w:style w:type="paragraph" w:customStyle="1" w:styleId="Annex3">
    <w:name w:val="Annex 3"/>
    <w:basedOn w:val="Titre3"/>
    <w:next w:val="Corpsdetexte"/>
    <w:qFormat/>
    <w:rsid w:val="00AF78B3"/>
    <w:pPr>
      <w:keepNext/>
      <w:keepLines/>
      <w:numPr>
        <w:numId w:val="18"/>
      </w:numPr>
      <w:tabs>
        <w:tab w:val="clear" w:pos="851"/>
      </w:tabs>
      <w:spacing w:before="240" w:after="0" w:line="276" w:lineRule="auto"/>
    </w:pPr>
    <w:rPr>
      <w:rFonts w:eastAsia="SimSun" w:cs="Times New Roman"/>
      <w:bCs/>
      <w:i w:val="0"/>
      <w:sz w:val="28"/>
      <w:szCs w:val="22"/>
      <w:lang w:val="en-US" w:eastAsia="en-US"/>
    </w:rPr>
  </w:style>
  <w:style w:type="paragraph" w:customStyle="1" w:styleId="Annex4">
    <w:name w:val="Annex 4"/>
    <w:basedOn w:val="Titre4"/>
    <w:next w:val="Corpsdetexte"/>
    <w:qFormat/>
    <w:rsid w:val="00AF78B3"/>
    <w:pPr>
      <w:keepNext/>
      <w:keepLines/>
      <w:numPr>
        <w:numId w:val="18"/>
      </w:numPr>
      <w:spacing w:before="200" w:after="0" w:line="276" w:lineRule="auto"/>
      <w:jc w:val="left"/>
    </w:pPr>
    <w:rPr>
      <w:rFonts w:eastAsia="SimSun"/>
      <w:b/>
      <w:bCs/>
      <w:iCs/>
      <w:sz w:val="24"/>
      <w:szCs w:val="22"/>
      <w:u w:val="none"/>
      <w:lang w:val="en-US" w:eastAsia="en-US"/>
    </w:rPr>
  </w:style>
  <w:style w:type="paragraph" w:customStyle="1" w:styleId="Annex5">
    <w:name w:val="Annex 5"/>
    <w:basedOn w:val="Titre5"/>
    <w:next w:val="Corpsdetexte"/>
    <w:qFormat/>
    <w:rsid w:val="00AF78B3"/>
    <w:pPr>
      <w:keepNext/>
      <w:keepLines/>
      <w:numPr>
        <w:numId w:val="18"/>
      </w:numPr>
      <w:spacing w:before="200" w:after="0" w:line="276" w:lineRule="auto"/>
      <w:jc w:val="left"/>
    </w:pPr>
    <w:rPr>
      <w:rFonts w:eastAsia="SimSun"/>
      <w:sz w:val="22"/>
      <w:szCs w:val="22"/>
      <w:lang w:val="en-US" w:eastAsia="en-US"/>
    </w:rPr>
  </w:style>
  <w:style w:type="paragraph" w:customStyle="1" w:styleId="Default">
    <w:name w:val="Default"/>
    <w:rsid w:val="00AF78B3"/>
    <w:pPr>
      <w:autoSpaceDE w:val="0"/>
      <w:autoSpaceDN w:val="0"/>
      <w:adjustRightInd w:val="0"/>
    </w:pPr>
    <w:rPr>
      <w:rFonts w:ascii="Arial" w:eastAsia="SimSun" w:hAnsi="Arial" w:cs="Arial"/>
      <w:color w:val="000000"/>
      <w:sz w:val="24"/>
      <w:szCs w:val="24"/>
      <w:lang w:val="es-ES" w:eastAsia="en-US"/>
    </w:rPr>
  </w:style>
  <w:style w:type="paragraph" w:customStyle="1" w:styleId="Paragraph">
    <w:name w:val="Paragraph"/>
    <w:basedOn w:val="Corpsdetexte"/>
    <w:link w:val="ParagraphChar"/>
    <w:uiPriority w:val="99"/>
    <w:qFormat/>
    <w:rsid w:val="00AF78B3"/>
    <w:pPr>
      <w:spacing w:line="240" w:lineRule="auto"/>
      <w:jc w:val="both"/>
    </w:pPr>
    <w:rPr>
      <w:rFonts w:eastAsia="Times New Roman"/>
      <w:sz w:val="24"/>
      <w:szCs w:val="20"/>
      <w:lang w:val="en-GB"/>
    </w:rPr>
  </w:style>
  <w:style w:type="character" w:customStyle="1" w:styleId="ParagraphChar">
    <w:name w:val="Paragraph Char"/>
    <w:link w:val="Paragraph"/>
    <w:uiPriority w:val="99"/>
    <w:locked/>
    <w:rsid w:val="00AF78B3"/>
    <w:rPr>
      <w:rFonts w:ascii="Arial" w:hAnsi="Arial"/>
      <w:sz w:val="24"/>
      <w:lang w:val="en-GB" w:eastAsia="en-US"/>
    </w:rPr>
  </w:style>
  <w:style w:type="paragraph" w:styleId="Listepuces">
    <w:name w:val="List Bullet"/>
    <w:basedOn w:val="Normal"/>
    <w:uiPriority w:val="99"/>
    <w:unhideWhenUsed/>
    <w:rsid w:val="00AF78B3"/>
    <w:pPr>
      <w:numPr>
        <w:numId w:val="22"/>
      </w:numPr>
      <w:spacing w:after="200" w:line="276" w:lineRule="auto"/>
      <w:ind w:left="641" w:hanging="357"/>
      <w:contextualSpacing/>
      <w:jc w:val="left"/>
    </w:pPr>
    <w:rPr>
      <w:rFonts w:eastAsia="SimSun"/>
      <w:szCs w:val="22"/>
      <w:lang w:val="en-US" w:eastAsia="en-US"/>
    </w:rPr>
  </w:style>
  <w:style w:type="paragraph" w:styleId="Listepuces2">
    <w:name w:val="List Bullet 2"/>
    <w:basedOn w:val="Normal"/>
    <w:uiPriority w:val="99"/>
    <w:unhideWhenUsed/>
    <w:rsid w:val="00AF78B3"/>
    <w:pPr>
      <w:numPr>
        <w:numId w:val="23"/>
      </w:numPr>
      <w:spacing w:after="200" w:line="276" w:lineRule="auto"/>
      <w:ind w:left="924" w:hanging="357"/>
      <w:contextualSpacing/>
      <w:jc w:val="left"/>
    </w:pPr>
    <w:rPr>
      <w:rFonts w:eastAsia="SimSun"/>
      <w:szCs w:val="22"/>
      <w:lang w:val="en-US" w:eastAsia="en-US"/>
    </w:rPr>
  </w:style>
  <w:style w:type="paragraph" w:styleId="Rvision">
    <w:name w:val="Revision"/>
    <w:hidden/>
    <w:uiPriority w:val="99"/>
    <w:semiHidden/>
    <w:rsid w:val="00544AA3"/>
    <w:rPr>
      <w:rFonts w:ascii="Arial" w:hAnsi="Arial"/>
      <w:sz w:val="22"/>
      <w:lang w:val="nb-NO" w:eastAsia="de-DE"/>
    </w:rPr>
  </w:style>
  <w:style w:type="paragraph" w:customStyle="1" w:styleId="Reference">
    <w:name w:val="Reference"/>
    <w:basedOn w:val="Corpsdetexte"/>
    <w:qFormat/>
    <w:rsid w:val="00305908"/>
    <w:pPr>
      <w:ind w:left="1985" w:hanging="1985"/>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ernational meeting document" ma:contentTypeID="0x010100881CCF0D51742848833979853844A403000A02169AA8AD05498421DDB800F2EC76" ma:contentTypeVersion="2" ma:contentTypeDescription="" ma:contentTypeScope="" ma:versionID="27a1534c9d7056221152ca0f6fe03c56">
  <xsd:schema xmlns:xsd="http://www.w3.org/2001/XMLSchema" xmlns:xs="http://www.w3.org/2001/XMLSchema" xmlns:p="http://schemas.microsoft.com/office/2006/metadata/properties" xmlns:ns3="341f3a21-500e-418d-b220-102a9842abf4" xmlns:ns4="4e6bc73a-4154-4813-8bb0-6efa9f7add65" targetNamespace="http://schemas.microsoft.com/office/2006/metadata/properties" ma:root="true" ma:fieldsID="0a7fa12709f6a7b396ff97ebd0d008fc" ns3:_="" ns4:_="">
    <xsd:import namespace="341f3a21-500e-418d-b220-102a9842abf4"/>
    <xsd:import namespace="4e6bc73a-4154-4813-8bb0-6efa9f7add65"/>
    <xsd:element name="properties">
      <xsd:complexType>
        <xsd:sequence>
          <xsd:element name="documentManagement">
            <xsd:complexType>
              <xsd:all>
                <xsd:element ref="ns3:Meeting_x0020_Date" minOccurs="0"/>
                <xsd:element ref="ns3:Organisation" minOccurs="0"/>
                <xsd:element ref="ns4: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a21-500e-418d-b220-102a9842abf4" elementFormDefault="qualified">
    <xsd:import namespace="http://schemas.microsoft.com/office/2006/documentManagement/types"/>
    <xsd:import namespace="http://schemas.microsoft.com/office/infopath/2007/PartnerControls"/>
    <xsd:element name="Meeting_x0020_Date" ma:index="9" nillable="true" ma:displayName="Meeting date" ma:format="DateOnly" ma:internalName="Meeting_x0020_Date">
      <xsd:simpleType>
        <xsd:restriction base="dms:DateTime"/>
      </xsd:simpleType>
    </xsd:element>
    <xsd:element name="Organisation" ma:index="10" nillable="true" ma:displayName="Organisation" ma:internalName="Organis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bc73a-4154-4813-8bb0-6efa9f7add65" elementFormDefault="qualified">
    <xsd:import namespace="http://schemas.microsoft.com/office/2006/documentManagement/types"/>
    <xsd:import namespace="http://schemas.microsoft.com/office/infopath/2007/PartnerControls"/>
    <xsd:element name="Country" ma:index="11" nillable="true" ma:displayName="Country" ma:format="Dropdown" ma:internalName="Country">
      <xsd:simpleType>
        <xsd:union memberTypes="dms:Text">
          <xsd:simpleType>
            <xsd:restriction base="dms:Choice">
              <xsd:enumeration value="Belgium"/>
              <xsd:enumeration value="Ireland"/>
              <xsd:enumeration value="France"/>
              <xsd:enumeration value="Holland"/>
              <xsd:enumeration value="Norway"/>
              <xsd:enumeration value="Germany"/>
              <xsd:enumeration value="Luxembourg"/>
              <xsd:enumeration value="Denmark"/>
              <xsd:enumeration value="Spain"/>
              <xsd:enumeration value="Isle of Ma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Date xmlns="341f3a21-500e-418d-b220-102a9842abf4" xsi:nil="true"/>
    <Country xmlns="4e6bc73a-4154-4813-8bb0-6efa9f7add65" xsi:nil="true"/>
    <Organisation xmlns="341f3a21-500e-418d-b220-102a9842ab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80423-5195-4545-9C21-92BBDAD8B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a21-500e-418d-b220-102a9842abf4"/>
    <ds:schemaRef ds:uri="4e6bc73a-4154-4813-8bb0-6efa9f7a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BDCBA-95AC-486A-8A5D-B27A09604E69}">
  <ds:schemaRefs>
    <ds:schemaRef ds:uri="http://schemas.microsoft.com/sharepoint/v3/contenttype/forms"/>
  </ds:schemaRefs>
</ds:datastoreItem>
</file>

<file path=customXml/itemProps3.xml><?xml version="1.0" encoding="utf-8"?>
<ds:datastoreItem xmlns:ds="http://schemas.openxmlformats.org/officeDocument/2006/customXml" ds:itemID="{867F758E-7FFC-449D-A739-AEEA670821CF}">
  <ds:schemaRefs>
    <ds:schemaRef ds:uri="http://schemas.microsoft.com/office/2006/metadata/properties"/>
    <ds:schemaRef ds:uri="http://schemas.microsoft.com/office/infopath/2007/PartnerControls"/>
    <ds:schemaRef ds:uri="341f3a21-500e-418d-b220-102a9842abf4"/>
    <ds:schemaRef ds:uri="4e6bc73a-4154-4813-8bb0-6efa9f7add65"/>
  </ds:schemaRefs>
</ds:datastoreItem>
</file>

<file path=customXml/itemProps4.xml><?xml version="1.0" encoding="utf-8"?>
<ds:datastoreItem xmlns:ds="http://schemas.openxmlformats.org/officeDocument/2006/customXml" ds:itemID="{3C47637D-0B59-4A7C-9B65-7A7CC221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FORM01_Input_contribution[1]</Template>
  <TotalTime>7</TotalTime>
  <Pages>14</Pages>
  <Words>3882</Words>
  <Characters>21352</Characters>
  <Application>Microsoft Office Word</Application>
  <DocSecurity>0</DocSecurity>
  <Lines>177</Lines>
  <Paragraphs>50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25184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Lingwei</cp:lastModifiedBy>
  <cp:revision>5</cp:revision>
  <cp:lastPrinted>1999-09-27T13:20:00Z</cp:lastPrinted>
  <dcterms:created xsi:type="dcterms:W3CDTF">2016-01-15T11:11:00Z</dcterms:created>
  <dcterms:modified xsi:type="dcterms:W3CDTF">2016-01-15T11:53:00Z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0x010100881CCF0D51742848833979853844A403000A02169AA8AD05498421DDB800F2EC76</vt:lpwstr>
  </property>
</Properties>
</file>