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4E5354FA" w14:textId="77777777" w:rsidTr="000E3E4D">
        <w:trPr>
          <w:cantSplit/>
          <w:trHeight w:val="1560"/>
        </w:trPr>
        <w:tc>
          <w:tcPr>
            <w:tcW w:w="4820" w:type="dxa"/>
            <w:gridSpan w:val="2"/>
            <w:tcBorders>
              <w:top w:val="nil"/>
              <w:left w:val="nil"/>
              <w:bottom w:val="nil"/>
              <w:right w:val="nil"/>
            </w:tcBorders>
            <w:vAlign w:val="center"/>
          </w:tcPr>
          <w:p w14:paraId="03DD08EC" w14:textId="77777777" w:rsidR="00265F50" w:rsidRPr="00265F50" w:rsidRDefault="00265F50" w:rsidP="00450199">
            <w:pPr>
              <w:pStyle w:val="ECCLetterHead"/>
            </w:pPr>
            <w:r w:rsidRPr="00265F50">
              <w:rPr>
                <w:noProof/>
                <w:lang w:eastAsia="en-GB"/>
              </w:rPr>
              <w:drawing>
                <wp:inline distT="0" distB="0" distL="0" distR="0" wp14:anchorId="1F384372" wp14:editId="4C803E16">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450199">
              <w:t>SE19</w:t>
            </w:r>
          </w:p>
        </w:tc>
        <w:tc>
          <w:tcPr>
            <w:tcW w:w="4961" w:type="dxa"/>
            <w:tcBorders>
              <w:top w:val="nil"/>
              <w:left w:val="nil"/>
              <w:bottom w:val="nil"/>
              <w:right w:val="nil"/>
            </w:tcBorders>
          </w:tcPr>
          <w:p w14:paraId="51ABFE9B" w14:textId="7C7322E0" w:rsidR="00265F50" w:rsidRPr="00265F50" w:rsidRDefault="00265F50" w:rsidP="00B12195">
            <w:pPr>
              <w:pStyle w:val="ECCLetterHead"/>
              <w:jc w:val="right"/>
            </w:pPr>
            <w:r>
              <w:tab/>
            </w:r>
            <w:r w:rsidR="00B12195">
              <w:t>ECC PT1(17)119</w:t>
            </w:r>
            <w:r w:rsidR="00B12195">
              <w:br/>
            </w:r>
            <w:bookmarkStart w:id="0" w:name="_GoBack"/>
            <w:bookmarkEnd w:id="0"/>
            <w:r w:rsidR="00E91502">
              <w:t>SE19(17)30</w:t>
            </w:r>
          </w:p>
        </w:tc>
      </w:tr>
      <w:tr w:rsidR="00F11542" w:rsidRPr="00A3755D" w14:paraId="2633D842" w14:textId="77777777" w:rsidTr="006D6CB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DEFDE66" w14:textId="77777777" w:rsidR="00F11542" w:rsidRPr="0011705C" w:rsidRDefault="00DE224B" w:rsidP="00DE224B">
            <w:pPr>
              <w:pStyle w:val="ECCLetterHead"/>
            </w:pPr>
            <w:r w:rsidRPr="00DE224B">
              <w:t>#2</w:t>
            </w:r>
            <w:r>
              <w:t xml:space="preserve"> </w:t>
            </w:r>
            <w:r w:rsidR="00450199">
              <w:t xml:space="preserve">SE19 Web-meeting on </w:t>
            </w:r>
            <w:r w:rsidR="00450199" w:rsidRPr="00DE224B">
              <w:t>FS parameters in 26 GHz</w:t>
            </w:r>
          </w:p>
        </w:tc>
      </w:tr>
      <w:tr w:rsidR="00F11542" w:rsidRPr="00A3755D" w14:paraId="3A0C2543" w14:textId="77777777" w:rsidTr="003B120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2DFC105A" w14:textId="77777777" w:rsidR="00F11542" w:rsidRPr="0011705C" w:rsidRDefault="00DE224B" w:rsidP="00DE224B">
            <w:pPr>
              <w:pStyle w:val="ECCLetterHead"/>
            </w:pPr>
            <w:r>
              <w:t>Web-meeting</w:t>
            </w:r>
            <w:r w:rsidR="00F11542" w:rsidRPr="00265F50">
              <w:t xml:space="preserve">, </w:t>
            </w:r>
            <w:r>
              <w:t>12 July 2017</w:t>
            </w:r>
          </w:p>
        </w:tc>
      </w:tr>
      <w:tr w:rsidR="00F11542" w:rsidRPr="00A3755D" w14:paraId="7C5BEB4C" w14:textId="77777777" w:rsidTr="00FB4A71">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7EFE49A3" w14:textId="77777777" w:rsidR="00F11542" w:rsidRPr="00A3755D" w:rsidRDefault="00F11542" w:rsidP="00263FFB">
            <w:pPr>
              <w:pStyle w:val="ECCLetterHead"/>
            </w:pPr>
          </w:p>
        </w:tc>
      </w:tr>
      <w:tr w:rsidR="00263FFB" w:rsidRPr="00A3755D" w14:paraId="323EAC60"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6D5EB0D4"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64B29658" w14:textId="77777777" w:rsidR="00263FFB" w:rsidRPr="00263FFB" w:rsidRDefault="007F500A" w:rsidP="00263FFB">
            <w:pPr>
              <w:pStyle w:val="ECCLetterHead"/>
            </w:pPr>
            <w:r>
              <w:t>20 July 2017</w:t>
            </w:r>
          </w:p>
        </w:tc>
      </w:tr>
      <w:tr w:rsidR="00263FFB" w:rsidRPr="00A3755D" w14:paraId="18957D99"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2967A2C3"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07DBDC0C" w14:textId="77777777" w:rsidR="00263FFB" w:rsidRPr="00263FFB" w:rsidRDefault="00DE224B" w:rsidP="00DE224B">
            <w:pPr>
              <w:pStyle w:val="ECCLetterHead"/>
            </w:pPr>
            <w:r>
              <w:rPr>
                <w:rFonts w:cs="Arial"/>
                <w:szCs w:val="22"/>
              </w:rPr>
              <w:t xml:space="preserve">Reply on </w:t>
            </w:r>
            <w:r>
              <w:rPr>
                <w:rFonts w:cs="Arial"/>
                <w:szCs w:val="22"/>
                <w:lang w:val="en-US"/>
              </w:rPr>
              <w:t>parameters for F</w:t>
            </w:r>
            <w:r w:rsidRPr="00CE3B84">
              <w:rPr>
                <w:rFonts w:cs="Arial"/>
                <w:szCs w:val="22"/>
                <w:lang w:val="en-US"/>
              </w:rPr>
              <w:t xml:space="preserve">ixed </w:t>
            </w:r>
            <w:r>
              <w:rPr>
                <w:rFonts w:cs="Arial"/>
                <w:szCs w:val="22"/>
                <w:lang w:val="en-US"/>
              </w:rPr>
              <w:t>Links in 26 GHz</w:t>
            </w:r>
          </w:p>
        </w:tc>
      </w:tr>
      <w:tr w:rsidR="00555127" w:rsidRPr="0073433F" w14:paraId="695BD4DC" w14:textId="77777777" w:rsidTr="007F0617">
        <w:tblPrEx>
          <w:tblCellMar>
            <w:left w:w="108" w:type="dxa"/>
            <w:right w:w="108" w:type="dxa"/>
          </w:tblCellMar>
        </w:tblPrEx>
        <w:trPr>
          <w:cantSplit/>
          <w:trHeight w:val="405"/>
        </w:trPr>
        <w:tc>
          <w:tcPr>
            <w:tcW w:w="1819" w:type="dxa"/>
            <w:tcBorders>
              <w:top w:val="nil"/>
              <w:left w:val="nil"/>
              <w:bottom w:val="nil"/>
              <w:right w:val="nil"/>
            </w:tcBorders>
            <w:vAlign w:val="center"/>
          </w:tcPr>
          <w:p w14:paraId="3A0003C4" w14:textId="77777777" w:rsidR="00555127" w:rsidRPr="00555127" w:rsidRDefault="00555127" w:rsidP="0085656F">
            <w:pPr>
              <w:pStyle w:val="Heading4"/>
              <w:numPr>
                <w:ilvl w:val="0"/>
                <w:numId w:val="0"/>
              </w:numPr>
              <w:spacing w:before="0" w:after="120"/>
              <w:ind w:left="862" w:right="-321" w:hanging="862"/>
              <w:rPr>
                <w:rFonts w:eastAsia="Calibri" w:cs="Times New Roman"/>
                <w:b/>
                <w:bCs w:val="0"/>
                <w:i w:val="0"/>
                <w:color w:val="auto"/>
                <w:sz w:val="22"/>
                <w:szCs w:val="20"/>
                <w:lang w:val="en-GB"/>
              </w:rPr>
            </w:pPr>
            <w:r>
              <w:rPr>
                <w:rFonts w:eastAsia="Calibri" w:cs="Times New Roman"/>
                <w:b/>
                <w:bCs w:val="0"/>
                <w:i w:val="0"/>
                <w:color w:val="auto"/>
                <w:sz w:val="22"/>
                <w:szCs w:val="20"/>
                <w:lang w:val="en-GB"/>
              </w:rPr>
              <w:t>To</w:t>
            </w:r>
            <w:r w:rsidRPr="00555127">
              <w:rPr>
                <w:rFonts w:eastAsia="Calibri" w:cs="Times New Roman"/>
                <w:b/>
                <w:bCs w:val="0"/>
                <w:i w:val="0"/>
                <w:color w:val="auto"/>
                <w:sz w:val="22"/>
                <w:szCs w:val="20"/>
                <w:lang w:val="en-GB"/>
              </w:rPr>
              <w:t>:</w:t>
            </w:r>
          </w:p>
        </w:tc>
        <w:tc>
          <w:tcPr>
            <w:tcW w:w="7962" w:type="dxa"/>
            <w:gridSpan w:val="2"/>
            <w:tcBorders>
              <w:top w:val="nil"/>
              <w:left w:val="nil"/>
              <w:bottom w:val="nil"/>
              <w:right w:val="nil"/>
            </w:tcBorders>
            <w:vAlign w:val="center"/>
          </w:tcPr>
          <w:p w14:paraId="2D9D3DFC" w14:textId="77777777" w:rsidR="00555127" w:rsidRPr="007F500A" w:rsidRDefault="00555127" w:rsidP="007F500A">
            <w:pPr>
              <w:spacing w:before="0" w:after="0"/>
              <w:rPr>
                <w:rFonts w:cs="Arial"/>
                <w:sz w:val="22"/>
              </w:rPr>
            </w:pPr>
            <w:r w:rsidRPr="007F500A">
              <w:rPr>
                <w:sz w:val="22"/>
              </w:rPr>
              <w:t xml:space="preserve">Mr </w:t>
            </w:r>
            <w:r w:rsidR="007F500A" w:rsidRPr="007F500A">
              <w:rPr>
                <w:rFonts w:cs="Arial"/>
                <w:sz w:val="22"/>
              </w:rPr>
              <w:t>Steve Green</w:t>
            </w:r>
            <w:r w:rsidRPr="007F500A">
              <w:rPr>
                <w:sz w:val="22"/>
              </w:rPr>
              <w:t xml:space="preserve">, </w:t>
            </w:r>
            <w:r w:rsidR="007F500A" w:rsidRPr="007F500A">
              <w:rPr>
                <w:sz w:val="22"/>
              </w:rPr>
              <w:t>ECC PT1</w:t>
            </w:r>
            <w:r w:rsidRPr="007F500A">
              <w:rPr>
                <w:sz w:val="22"/>
              </w:rPr>
              <w:t xml:space="preserve"> Chairman </w:t>
            </w:r>
          </w:p>
          <w:p w14:paraId="045FC6D7" w14:textId="77777777" w:rsidR="00555127" w:rsidRPr="00E91502" w:rsidRDefault="00555127" w:rsidP="007F500A">
            <w:pPr>
              <w:spacing w:before="0" w:after="120"/>
              <w:rPr>
                <w:rFonts w:cs="Arial"/>
                <w:sz w:val="22"/>
                <w:lang w:val="fr-FR"/>
              </w:rPr>
            </w:pPr>
            <w:r w:rsidRPr="00E91502">
              <w:rPr>
                <w:sz w:val="22"/>
                <w:lang w:val="fr-FR"/>
              </w:rPr>
              <w:t xml:space="preserve">E-mail: </w:t>
            </w:r>
            <w:hyperlink r:id="rId9" w:history="1">
              <w:r w:rsidR="007F500A" w:rsidRPr="00E91502">
                <w:rPr>
                  <w:rStyle w:val="Hyperlink"/>
                  <w:rFonts w:cs="Arial"/>
                  <w:sz w:val="22"/>
                  <w:lang w:val="fr-FR"/>
                </w:rPr>
                <w:t>steve.green@ofcom.org.uk</w:t>
              </w:r>
            </w:hyperlink>
          </w:p>
        </w:tc>
      </w:tr>
      <w:tr w:rsidR="00555127" w:rsidRPr="0073433F" w14:paraId="6C66FB19" w14:textId="77777777" w:rsidTr="00555127">
        <w:tblPrEx>
          <w:tblCellMar>
            <w:left w:w="108" w:type="dxa"/>
            <w:right w:w="108" w:type="dxa"/>
          </w:tblCellMar>
        </w:tblPrEx>
        <w:trPr>
          <w:cantSplit/>
          <w:trHeight w:val="405"/>
        </w:trPr>
        <w:tc>
          <w:tcPr>
            <w:tcW w:w="1819" w:type="dxa"/>
            <w:tcBorders>
              <w:top w:val="nil"/>
              <w:left w:val="nil"/>
              <w:bottom w:val="nil"/>
              <w:right w:val="nil"/>
            </w:tcBorders>
            <w:vAlign w:val="center"/>
          </w:tcPr>
          <w:p w14:paraId="0301E2F4" w14:textId="77777777" w:rsidR="00555127" w:rsidRPr="00555127" w:rsidRDefault="00555127" w:rsidP="0085656F">
            <w:pPr>
              <w:pStyle w:val="Heading4"/>
              <w:numPr>
                <w:ilvl w:val="0"/>
                <w:numId w:val="0"/>
              </w:numPr>
              <w:spacing w:before="0" w:after="120"/>
              <w:ind w:left="862" w:right="-321" w:hanging="862"/>
              <w:rPr>
                <w:rFonts w:eastAsia="Calibri" w:cs="Times New Roman"/>
                <w:b/>
                <w:bCs w:val="0"/>
                <w:i w:val="0"/>
                <w:color w:val="auto"/>
                <w:sz w:val="22"/>
                <w:szCs w:val="20"/>
                <w:lang w:val="en-GB"/>
              </w:rPr>
            </w:pPr>
            <w:r>
              <w:rPr>
                <w:rFonts w:eastAsia="Calibri" w:cs="Times New Roman"/>
                <w:b/>
                <w:bCs w:val="0"/>
                <w:i w:val="0"/>
                <w:color w:val="auto"/>
                <w:sz w:val="22"/>
                <w:szCs w:val="20"/>
                <w:lang w:val="en-GB"/>
              </w:rPr>
              <w:t>C</w:t>
            </w:r>
            <w:r w:rsidR="0085656F">
              <w:rPr>
                <w:rFonts w:eastAsia="Calibri" w:cs="Times New Roman"/>
                <w:b/>
                <w:bCs w:val="0"/>
                <w:i w:val="0"/>
                <w:color w:val="auto"/>
                <w:sz w:val="22"/>
                <w:szCs w:val="20"/>
                <w:lang w:val="en-GB"/>
              </w:rPr>
              <w:t>c</w:t>
            </w:r>
            <w:r w:rsidRPr="00555127">
              <w:rPr>
                <w:rFonts w:eastAsia="Calibri" w:cs="Times New Roman"/>
                <w:b/>
                <w:bCs w:val="0"/>
                <w:i w:val="0"/>
                <w:color w:val="auto"/>
                <w:sz w:val="22"/>
                <w:szCs w:val="20"/>
                <w:lang w:val="en-GB"/>
              </w:rPr>
              <w:t>:</w:t>
            </w:r>
          </w:p>
        </w:tc>
        <w:tc>
          <w:tcPr>
            <w:tcW w:w="7962" w:type="dxa"/>
            <w:gridSpan w:val="2"/>
            <w:tcBorders>
              <w:top w:val="nil"/>
              <w:left w:val="nil"/>
              <w:bottom w:val="nil"/>
              <w:right w:val="nil"/>
            </w:tcBorders>
            <w:vAlign w:val="center"/>
          </w:tcPr>
          <w:p w14:paraId="7A6C54BF" w14:textId="77777777" w:rsidR="00555127" w:rsidRPr="007F500A" w:rsidRDefault="007F500A" w:rsidP="007F500A">
            <w:pPr>
              <w:spacing w:before="0" w:after="0"/>
              <w:rPr>
                <w:rFonts w:cs="Arial"/>
                <w:sz w:val="22"/>
              </w:rPr>
            </w:pPr>
            <w:r w:rsidRPr="007F500A">
              <w:rPr>
                <w:sz w:val="22"/>
              </w:rPr>
              <w:t xml:space="preserve">Mr </w:t>
            </w:r>
            <w:r w:rsidRPr="007F500A">
              <w:rPr>
                <w:rFonts w:cs="Arial"/>
                <w:sz w:val="22"/>
              </w:rPr>
              <w:t>Karl Löw</w:t>
            </w:r>
            <w:r w:rsidR="00555127" w:rsidRPr="007F500A">
              <w:rPr>
                <w:sz w:val="22"/>
              </w:rPr>
              <w:t xml:space="preserve">, </w:t>
            </w:r>
            <w:r w:rsidRPr="007F500A">
              <w:rPr>
                <w:sz w:val="22"/>
              </w:rPr>
              <w:t xml:space="preserve">WG SE </w:t>
            </w:r>
            <w:r w:rsidR="00555127" w:rsidRPr="007F500A">
              <w:rPr>
                <w:sz w:val="22"/>
              </w:rPr>
              <w:t xml:space="preserve">Chairman </w:t>
            </w:r>
          </w:p>
          <w:p w14:paraId="28FC26BD" w14:textId="77777777" w:rsidR="00555127" w:rsidRPr="00E91502" w:rsidRDefault="00555127" w:rsidP="007F500A">
            <w:pPr>
              <w:pStyle w:val="ECCLetterHead"/>
              <w:spacing w:before="0" w:after="0"/>
              <w:rPr>
                <w:b w:val="0"/>
                <w:szCs w:val="22"/>
                <w:lang w:val="fr-FR"/>
              </w:rPr>
            </w:pPr>
            <w:r w:rsidRPr="00E91502">
              <w:rPr>
                <w:b w:val="0"/>
                <w:szCs w:val="22"/>
                <w:lang w:val="fr-FR"/>
              </w:rPr>
              <w:t xml:space="preserve">E-mail: </w:t>
            </w:r>
            <w:hyperlink r:id="rId10" w:history="1">
              <w:r w:rsidR="007F500A" w:rsidRPr="00E91502">
                <w:rPr>
                  <w:rStyle w:val="Hyperlink"/>
                  <w:rFonts w:cs="Arial"/>
                  <w:b w:val="0"/>
                  <w:szCs w:val="22"/>
                  <w:lang w:val="fr-FR"/>
                </w:rPr>
                <w:t>karl.loew@bnetza.de</w:t>
              </w:r>
            </w:hyperlink>
          </w:p>
        </w:tc>
      </w:tr>
    </w:tbl>
    <w:p w14:paraId="45BBD123" w14:textId="77777777" w:rsidR="00555127" w:rsidRPr="00450199" w:rsidRDefault="00555127" w:rsidP="00555127">
      <w:pPr>
        <w:rPr>
          <w:rStyle w:val="ECCParagraph"/>
          <w:sz w:val="22"/>
          <w:lang w:val="en-US"/>
        </w:rPr>
      </w:pPr>
      <w:r w:rsidRPr="00450199">
        <w:rPr>
          <w:rStyle w:val="ECCParagraph"/>
          <w:sz w:val="22"/>
        </w:rPr>
        <w:t xml:space="preserve">Dear </w:t>
      </w:r>
      <w:r w:rsidR="007F500A" w:rsidRPr="00450199">
        <w:rPr>
          <w:rStyle w:val="ECCParagraph"/>
          <w:sz w:val="22"/>
          <w:lang w:val="en-US"/>
        </w:rPr>
        <w:t>Steve,</w:t>
      </w:r>
    </w:p>
    <w:p w14:paraId="51530AA6" w14:textId="77777777" w:rsidR="007F500A" w:rsidRPr="00450199" w:rsidRDefault="007F500A" w:rsidP="007F500A">
      <w:pPr>
        <w:spacing w:before="120" w:after="120"/>
        <w:rPr>
          <w:rFonts w:cs="Arial"/>
          <w:sz w:val="22"/>
          <w:lang w:val="en-US"/>
        </w:rPr>
      </w:pPr>
      <w:r w:rsidRPr="00450199">
        <w:rPr>
          <w:rFonts w:cs="Arial"/>
          <w:sz w:val="22"/>
          <w:lang w:val="en-US"/>
        </w:rPr>
        <w:t>The PT SE19 considered your request for guidance on FS system parameters and protection requirements for the 26 GHz (24.5 – 26.5 GHz) band. PT SE19 is pleased to provide following information.</w:t>
      </w:r>
    </w:p>
    <w:p w14:paraId="79CC6176" w14:textId="77777777" w:rsidR="007F500A" w:rsidRPr="00450199" w:rsidRDefault="007F500A" w:rsidP="007F500A">
      <w:pPr>
        <w:pStyle w:val="ListParagraph"/>
        <w:numPr>
          <w:ilvl w:val="0"/>
          <w:numId w:val="12"/>
        </w:numPr>
        <w:spacing w:before="120" w:after="120"/>
        <w:contextualSpacing w:val="0"/>
        <w:rPr>
          <w:rFonts w:cs="Arial"/>
          <w:b/>
          <w:sz w:val="22"/>
          <w:lang w:val="en-US"/>
        </w:rPr>
      </w:pPr>
      <w:r w:rsidRPr="00450199">
        <w:rPr>
          <w:rFonts w:cs="Arial"/>
          <w:b/>
          <w:sz w:val="22"/>
          <w:lang w:val="en-US"/>
        </w:rPr>
        <w:t>FS System Parameters</w:t>
      </w:r>
    </w:p>
    <w:p w14:paraId="30C3DFEF" w14:textId="77777777" w:rsidR="007F500A" w:rsidRPr="00450199" w:rsidRDefault="00450199" w:rsidP="007F500A">
      <w:pPr>
        <w:spacing w:before="120" w:after="120"/>
        <w:rPr>
          <w:rFonts w:cs="Arial"/>
          <w:sz w:val="22"/>
          <w:lang w:val="en-US"/>
        </w:rPr>
      </w:pPr>
      <w:r>
        <w:rPr>
          <w:rFonts w:cs="Arial"/>
          <w:sz w:val="22"/>
          <w:lang w:val="en-US"/>
        </w:rPr>
        <w:t xml:space="preserve">PT </w:t>
      </w:r>
      <w:r w:rsidR="007F500A" w:rsidRPr="00450199">
        <w:rPr>
          <w:rFonts w:cs="Arial"/>
          <w:sz w:val="22"/>
          <w:lang w:val="en-US"/>
        </w:rPr>
        <w:t>SE19 informs ECC PT1 that ITU-R Recommendation F.758-6 is currently going through</w:t>
      </w:r>
      <w:r w:rsidR="00DE224B">
        <w:rPr>
          <w:rFonts w:cs="Arial"/>
          <w:sz w:val="22"/>
          <w:lang w:val="en-US"/>
        </w:rPr>
        <w:t xml:space="preserve"> a</w:t>
      </w:r>
      <w:r w:rsidR="007F500A" w:rsidRPr="00450199">
        <w:rPr>
          <w:rFonts w:cs="Arial"/>
          <w:sz w:val="22"/>
          <w:lang w:val="en-US"/>
        </w:rPr>
        <w:t xml:space="preserve"> </w:t>
      </w:r>
      <w:r w:rsidR="007F500A" w:rsidRPr="00DE224B">
        <w:rPr>
          <w:rFonts w:cs="Arial"/>
          <w:noProof/>
          <w:sz w:val="22"/>
          <w:lang w:val="en-US"/>
        </w:rPr>
        <w:t>revision</w:t>
      </w:r>
      <w:r w:rsidR="007F500A" w:rsidRPr="00450199">
        <w:rPr>
          <w:rFonts w:cs="Arial"/>
          <w:sz w:val="22"/>
          <w:lang w:val="en-US"/>
        </w:rPr>
        <w:t xml:space="preserve"> in ITU-R WP 5C. It has to be noted that some FS systems parameters are either missing or requiring updating. Therefore, </w:t>
      </w:r>
      <w:r>
        <w:rPr>
          <w:rFonts w:cs="Arial"/>
          <w:sz w:val="22"/>
          <w:lang w:val="en-US"/>
        </w:rPr>
        <w:t>PT </w:t>
      </w:r>
      <w:r w:rsidR="007F500A" w:rsidRPr="00450199">
        <w:rPr>
          <w:rFonts w:cs="Arial"/>
          <w:sz w:val="22"/>
          <w:lang w:val="en-US"/>
        </w:rPr>
        <w:t xml:space="preserve">SE19 provides in Annex 1 to this document P-P FS parameters. </w:t>
      </w:r>
    </w:p>
    <w:p w14:paraId="6572953C" w14:textId="77777777" w:rsidR="007F500A" w:rsidRPr="00450199" w:rsidRDefault="007F500A" w:rsidP="007F500A">
      <w:pPr>
        <w:spacing w:before="120" w:after="120"/>
        <w:rPr>
          <w:rFonts w:cs="Arial"/>
          <w:sz w:val="22"/>
          <w:lang w:val="en-US"/>
        </w:rPr>
      </w:pPr>
      <w:r w:rsidRPr="00450199">
        <w:rPr>
          <w:rFonts w:cs="Arial"/>
          <w:sz w:val="22"/>
          <w:lang w:val="en-US"/>
        </w:rPr>
        <w:t>If ECC PT1 decides to investigate adjacent channel compatibility for P-P FS links, Tx spectrum masks and guidance on</w:t>
      </w:r>
      <w:r w:rsidR="00DE224B">
        <w:rPr>
          <w:rFonts w:cs="Arial"/>
          <w:sz w:val="22"/>
          <w:lang w:val="en-US"/>
        </w:rPr>
        <w:t xml:space="preserve"> the</w:t>
      </w:r>
      <w:r w:rsidRPr="00450199">
        <w:rPr>
          <w:rFonts w:cs="Arial"/>
          <w:sz w:val="22"/>
          <w:lang w:val="en-US"/>
        </w:rPr>
        <w:t xml:space="preserve"> </w:t>
      </w:r>
      <w:r w:rsidRPr="00DE224B">
        <w:rPr>
          <w:rFonts w:cs="Arial"/>
          <w:noProof/>
          <w:sz w:val="22"/>
          <w:lang w:val="en-US"/>
        </w:rPr>
        <w:t>derivation</w:t>
      </w:r>
      <w:r w:rsidRPr="00450199">
        <w:rPr>
          <w:rFonts w:cs="Arial"/>
          <w:sz w:val="22"/>
          <w:lang w:val="en-US"/>
        </w:rPr>
        <w:t xml:space="preserve"> of Rx selectivity mask can be found in ETSI EN 302 217-2. </w:t>
      </w:r>
      <w:r w:rsidR="00450199">
        <w:rPr>
          <w:rFonts w:cs="Arial"/>
          <w:sz w:val="22"/>
          <w:lang w:val="en-US"/>
        </w:rPr>
        <w:t>PT </w:t>
      </w:r>
      <w:r w:rsidRPr="00450199">
        <w:rPr>
          <w:rFonts w:cs="Arial"/>
          <w:sz w:val="22"/>
          <w:lang w:val="en-US"/>
        </w:rPr>
        <w:t>SE19 will be glad to provide further detailed information on these masks if required.</w:t>
      </w:r>
    </w:p>
    <w:p w14:paraId="77D40E96" w14:textId="77777777" w:rsidR="007F500A" w:rsidRDefault="00450199" w:rsidP="007F500A">
      <w:pPr>
        <w:spacing w:before="120" w:after="120"/>
        <w:rPr>
          <w:rFonts w:cs="Arial"/>
          <w:sz w:val="22"/>
          <w:lang w:val="en-US"/>
        </w:rPr>
      </w:pPr>
      <w:r>
        <w:rPr>
          <w:rFonts w:cs="Arial"/>
          <w:sz w:val="22"/>
          <w:lang w:val="en-US"/>
        </w:rPr>
        <w:t>PT </w:t>
      </w:r>
      <w:r w:rsidRPr="00450199">
        <w:rPr>
          <w:rFonts w:cs="Arial"/>
          <w:sz w:val="22"/>
          <w:lang w:val="en-US"/>
        </w:rPr>
        <w:t>SE19</w:t>
      </w:r>
      <w:r w:rsidR="007F500A" w:rsidRPr="00450199">
        <w:rPr>
          <w:rFonts w:cs="Arial"/>
          <w:sz w:val="22"/>
          <w:lang w:val="en-US"/>
        </w:rPr>
        <w:t xml:space="preserve"> has also considered P-MP fixed service parameters provided in Table 12 of ITU-R F.758-6 and notes that there is a difference between these parameters and those that are currently presented in ETSI standards (e.g. EN 302 326). </w:t>
      </w:r>
      <w:r>
        <w:rPr>
          <w:rFonts w:cs="Arial"/>
          <w:sz w:val="22"/>
          <w:lang w:val="en-US"/>
        </w:rPr>
        <w:t>PT </w:t>
      </w:r>
      <w:r w:rsidR="007F500A" w:rsidRPr="00450199">
        <w:rPr>
          <w:rFonts w:cs="Arial"/>
          <w:sz w:val="22"/>
          <w:lang w:val="en-US"/>
        </w:rPr>
        <w:t>SE19 assumes that CEPT FS deployment is based on those ETSI standards</w:t>
      </w:r>
      <w:r w:rsidR="00A62F7C">
        <w:rPr>
          <w:rFonts w:cs="Arial"/>
          <w:sz w:val="22"/>
          <w:lang w:val="en-US"/>
        </w:rPr>
        <w:t xml:space="preserve"> and</w:t>
      </w:r>
      <w:r w:rsidR="007F500A" w:rsidRPr="00450199">
        <w:rPr>
          <w:rFonts w:cs="Arial"/>
          <w:sz w:val="22"/>
          <w:lang w:val="en-US"/>
        </w:rPr>
        <w:t xml:space="preserve"> will </w:t>
      </w:r>
      <w:r w:rsidR="007F500A" w:rsidRPr="00DE224B">
        <w:rPr>
          <w:rFonts w:cs="Arial"/>
          <w:noProof/>
          <w:sz w:val="22"/>
          <w:lang w:val="en-US"/>
        </w:rPr>
        <w:t>provide</w:t>
      </w:r>
      <w:r w:rsidR="007F500A" w:rsidRPr="00450199">
        <w:rPr>
          <w:rFonts w:cs="Arial"/>
          <w:sz w:val="22"/>
          <w:lang w:val="en-US"/>
        </w:rPr>
        <w:t xml:space="preserve"> some further clarifications on FS P-MP parameters </w:t>
      </w:r>
      <w:r w:rsidR="00DE224B">
        <w:rPr>
          <w:rFonts w:cs="Arial"/>
          <w:noProof/>
          <w:sz w:val="22"/>
          <w:lang w:val="en-US"/>
        </w:rPr>
        <w:t>at</w:t>
      </w:r>
      <w:r w:rsidR="007F500A" w:rsidRPr="00450199">
        <w:rPr>
          <w:rFonts w:cs="Arial"/>
          <w:sz w:val="22"/>
          <w:lang w:val="en-US"/>
        </w:rPr>
        <w:t xml:space="preserve"> a later stage.</w:t>
      </w:r>
    </w:p>
    <w:p w14:paraId="1D4090FF" w14:textId="77777777" w:rsidR="007C759C" w:rsidRPr="00450199" w:rsidRDefault="007C759C" w:rsidP="007C759C">
      <w:pPr>
        <w:pStyle w:val="ListParagraph"/>
        <w:numPr>
          <w:ilvl w:val="0"/>
          <w:numId w:val="12"/>
        </w:numPr>
        <w:spacing w:before="120" w:after="120"/>
        <w:contextualSpacing w:val="0"/>
        <w:rPr>
          <w:rFonts w:cs="Arial"/>
          <w:b/>
          <w:sz w:val="22"/>
          <w:lang w:val="en-US"/>
        </w:rPr>
      </w:pPr>
      <w:r w:rsidRPr="00450199">
        <w:rPr>
          <w:rFonts w:cs="Arial"/>
          <w:b/>
          <w:sz w:val="22"/>
          <w:lang w:val="en-US"/>
        </w:rPr>
        <w:t>FS antenna Patterns</w:t>
      </w:r>
    </w:p>
    <w:p w14:paraId="51074DE5" w14:textId="77777777" w:rsidR="007C759C" w:rsidRPr="00450199" w:rsidRDefault="007C759C" w:rsidP="007C759C">
      <w:pPr>
        <w:spacing w:before="120" w:after="120"/>
        <w:rPr>
          <w:rFonts w:cs="Arial"/>
          <w:sz w:val="22"/>
          <w:lang w:val="en-US"/>
        </w:rPr>
      </w:pPr>
      <w:r w:rsidRPr="00450199">
        <w:rPr>
          <w:rFonts w:cs="Arial"/>
          <w:sz w:val="22"/>
          <w:lang w:val="en-US"/>
        </w:rPr>
        <w:t>The FS antenna patterns for P-P FS are given in ITU-R Recommendations F.699 (for single entry analysis) and F.1245 (for aggregate analysis). For P-MP FS, ITU-R Recommendation F.1336 is relevant.</w:t>
      </w:r>
    </w:p>
    <w:p w14:paraId="20441A11" w14:textId="77777777" w:rsidR="00F86E15" w:rsidRDefault="007C759C" w:rsidP="007C759C">
      <w:pPr>
        <w:pStyle w:val="ListParagraph"/>
        <w:numPr>
          <w:ilvl w:val="0"/>
          <w:numId w:val="12"/>
        </w:numPr>
        <w:spacing w:before="120" w:after="120"/>
        <w:contextualSpacing w:val="0"/>
        <w:rPr>
          <w:rFonts w:cs="Arial"/>
          <w:b/>
          <w:sz w:val="22"/>
          <w:lang w:val="en-US"/>
        </w:rPr>
      </w:pPr>
      <w:r w:rsidRPr="00450199">
        <w:rPr>
          <w:rFonts w:cs="Arial"/>
          <w:b/>
          <w:sz w:val="22"/>
          <w:lang w:val="en-US"/>
        </w:rPr>
        <w:t>FS Protection Criteria</w:t>
      </w:r>
    </w:p>
    <w:p w14:paraId="6FA8C9C7" w14:textId="77777777" w:rsidR="00F86E15" w:rsidRPr="00E91502" w:rsidRDefault="00D4512E" w:rsidP="00E91502">
      <w:pPr>
        <w:rPr>
          <w:b/>
          <w:i/>
          <w:sz w:val="22"/>
        </w:rPr>
      </w:pPr>
      <w:r w:rsidRPr="00E91502">
        <w:rPr>
          <w:b/>
          <w:i/>
          <w:sz w:val="22"/>
        </w:rPr>
        <w:t>General provisions</w:t>
      </w:r>
    </w:p>
    <w:p w14:paraId="3951BBB3" w14:textId="77777777" w:rsidR="00F86E15" w:rsidRPr="008B72F8" w:rsidRDefault="00F86E15" w:rsidP="00E91502">
      <w:pPr>
        <w:spacing w:before="120" w:after="120"/>
        <w:rPr>
          <w:rFonts w:cs="Arial"/>
          <w:sz w:val="22"/>
          <w:lang w:val="en-US" w:eastAsia="ru-RU"/>
        </w:rPr>
      </w:pPr>
      <w:r w:rsidRPr="00E91502">
        <w:rPr>
          <w:rFonts w:cs="Arial"/>
          <w:sz w:val="22"/>
          <w:lang w:val="en-US" w:eastAsia="ru-RU"/>
        </w:rPr>
        <w:t xml:space="preserve">According to </w:t>
      </w:r>
      <w:r w:rsidRPr="00F86E15">
        <w:rPr>
          <w:rFonts w:cs="Arial"/>
          <w:sz w:val="22"/>
          <w:lang w:val="en-US" w:eastAsia="ru-RU"/>
        </w:rPr>
        <w:t>Annex 1 section 4 Recom</w:t>
      </w:r>
      <w:r w:rsidRPr="008B72F8">
        <w:rPr>
          <w:rFonts w:cs="Arial"/>
          <w:sz w:val="22"/>
          <w:lang w:val="en-US" w:eastAsia="ru-RU"/>
        </w:rPr>
        <w:t>mendation ITU-R F.758-6:</w:t>
      </w:r>
    </w:p>
    <w:p w14:paraId="0F9A84CB" w14:textId="77777777" w:rsidR="008B72F8" w:rsidRPr="00D4512E" w:rsidRDefault="00F86E15" w:rsidP="00E91502">
      <w:pPr>
        <w:pStyle w:val="ListParagraph"/>
        <w:numPr>
          <w:ilvl w:val="0"/>
          <w:numId w:val="14"/>
        </w:numPr>
        <w:spacing w:before="120" w:after="120"/>
        <w:rPr>
          <w:sz w:val="23"/>
          <w:szCs w:val="23"/>
        </w:rPr>
      </w:pPr>
      <w:r w:rsidRPr="00E91502">
        <w:rPr>
          <w:rFonts w:cs="Arial"/>
          <w:i/>
          <w:iCs/>
          <w:sz w:val="22"/>
          <w:lang w:val="en-US" w:eastAsia="ru-RU"/>
        </w:rPr>
        <w:t>“To simplify the analysis of interference, separate consideration is given to short-term interference, which is the term used to describe the highest levels of interference power that occur for less than 1 per cent of the time, and to long-term interference, which addresses the remaining portion of the interference power distribution.”</w:t>
      </w:r>
      <w:r w:rsidRPr="00D4512E">
        <w:rPr>
          <w:sz w:val="23"/>
          <w:szCs w:val="23"/>
        </w:rPr>
        <w:t xml:space="preserve"> </w:t>
      </w:r>
    </w:p>
    <w:p w14:paraId="35E50D27" w14:textId="77777777" w:rsidR="00D4512E" w:rsidRPr="00E91502" w:rsidRDefault="00237C12" w:rsidP="00E91502">
      <w:pPr>
        <w:pStyle w:val="ListParagraph"/>
        <w:numPr>
          <w:ilvl w:val="0"/>
          <w:numId w:val="14"/>
        </w:numPr>
        <w:spacing w:before="120" w:after="120"/>
        <w:rPr>
          <w:rFonts w:cs="Arial"/>
          <w:sz w:val="22"/>
          <w:lang w:val="en-US"/>
        </w:rPr>
      </w:pPr>
      <w:r w:rsidRPr="00D4512E">
        <w:rPr>
          <w:sz w:val="23"/>
          <w:szCs w:val="23"/>
        </w:rPr>
        <w:lastRenderedPageBreak/>
        <w:t>“</w:t>
      </w:r>
      <w:r w:rsidRPr="00E91502">
        <w:rPr>
          <w:rFonts w:cs="Arial"/>
          <w:i/>
          <w:sz w:val="22"/>
          <w:lang w:val="en-US"/>
        </w:rPr>
        <w:t>A short-term interference criterion is set based on the interference power necessary to cause a particular error performance defect (such as an errored second) when the desired signal is unfaded.</w:t>
      </w:r>
      <w:r w:rsidRPr="00E91502">
        <w:rPr>
          <w:rFonts w:cs="Arial"/>
          <w:sz w:val="22"/>
          <w:lang w:val="en-US"/>
        </w:rPr>
        <w:t>”</w:t>
      </w:r>
    </w:p>
    <w:p w14:paraId="2F366DDB" w14:textId="77777777" w:rsidR="007C759C" w:rsidRPr="00E91502" w:rsidRDefault="00D4512E" w:rsidP="00E91502">
      <w:pPr>
        <w:pStyle w:val="ListParagraph"/>
        <w:numPr>
          <w:ilvl w:val="0"/>
          <w:numId w:val="14"/>
        </w:numPr>
        <w:spacing w:before="120" w:after="120"/>
        <w:rPr>
          <w:rFonts w:cs="Arial"/>
          <w:b/>
          <w:sz w:val="22"/>
          <w:lang w:val="en-US"/>
        </w:rPr>
      </w:pPr>
      <w:r>
        <w:t>“</w:t>
      </w:r>
      <w:r w:rsidRPr="00E91502">
        <w:rPr>
          <w:rFonts w:cs="Arial"/>
          <w:i/>
          <w:spacing w:val="-3"/>
          <w:sz w:val="22"/>
          <w:lang w:eastAsia="ja-JP"/>
        </w:rPr>
        <w:t>In sharing and compatibility studies, long-term interference is usually characterized as the interference power that is exceeded by 20% of the time, at the victim receiver input</w:t>
      </w:r>
      <w:r w:rsidRPr="00E91502">
        <w:rPr>
          <w:rFonts w:cs="Arial"/>
          <w:spacing w:val="-3"/>
          <w:sz w:val="22"/>
          <w:lang w:eastAsia="ja-JP"/>
        </w:rPr>
        <w:t>.”</w:t>
      </w:r>
    </w:p>
    <w:p w14:paraId="5621387C" w14:textId="77777777" w:rsidR="007C759C" w:rsidRPr="00450199" w:rsidRDefault="007C759C" w:rsidP="007C759C">
      <w:pPr>
        <w:spacing w:before="120" w:after="120"/>
        <w:rPr>
          <w:rFonts w:cs="Arial"/>
          <w:b/>
          <w:i/>
          <w:sz w:val="22"/>
          <w:lang w:val="en-US"/>
        </w:rPr>
      </w:pPr>
      <w:r w:rsidRPr="00450199">
        <w:rPr>
          <w:rFonts w:cs="Arial"/>
          <w:b/>
          <w:i/>
          <w:sz w:val="22"/>
          <w:lang w:val="en-US"/>
        </w:rPr>
        <w:t>Long-term</w:t>
      </w:r>
      <w:r w:rsidR="00325330">
        <w:rPr>
          <w:rFonts w:cs="Arial"/>
          <w:b/>
          <w:i/>
          <w:sz w:val="22"/>
          <w:lang w:val="en-US"/>
        </w:rPr>
        <w:t xml:space="preserve"> Criteria</w:t>
      </w:r>
    </w:p>
    <w:p w14:paraId="5380C34A" w14:textId="77777777" w:rsidR="008B72F8" w:rsidRDefault="0073433F" w:rsidP="007C759C">
      <w:pPr>
        <w:spacing w:before="120" w:after="120"/>
      </w:pPr>
      <w:r w:rsidRPr="0073433F">
        <w:rPr>
          <w:rFonts w:cs="Arial"/>
          <w:spacing w:val="-3"/>
          <w:sz w:val="22"/>
          <w:lang w:eastAsia="ja-JP"/>
        </w:rPr>
        <w:t xml:space="preserve">Table 4 of </w:t>
      </w:r>
      <w:r w:rsidRPr="0073433F">
        <w:rPr>
          <w:rFonts w:cs="Arial"/>
          <w:sz w:val="22"/>
          <w:lang w:val="en-US"/>
        </w:rPr>
        <w:t xml:space="preserve">Recommendation ITU-R F. 758 defines long-term criteria applicable for sharing with more than one co-primary service in frequency bands above 3 GHz as </w:t>
      </w:r>
      <w:r w:rsidRPr="0073433F">
        <w:rPr>
          <w:rFonts w:cs="Arial"/>
          <w:i/>
          <w:spacing w:val="-3"/>
          <w:sz w:val="22"/>
          <w:lang w:eastAsia="ja-JP"/>
        </w:rPr>
        <w:t>I</w:t>
      </w:r>
      <w:r w:rsidRPr="0073433F">
        <w:rPr>
          <w:rFonts w:cs="Arial"/>
          <w:spacing w:val="-3"/>
          <w:sz w:val="22"/>
          <w:lang w:eastAsia="ja-JP"/>
        </w:rPr>
        <w:t>/</w:t>
      </w:r>
      <w:r w:rsidRPr="0073433F">
        <w:rPr>
          <w:rFonts w:cs="Arial"/>
          <w:i/>
          <w:spacing w:val="-3"/>
          <w:sz w:val="22"/>
          <w:lang w:eastAsia="ja-JP"/>
        </w:rPr>
        <w:t>N</w:t>
      </w:r>
      <w:r w:rsidRPr="0073433F">
        <w:rPr>
          <w:rFonts w:cs="Arial"/>
          <w:spacing w:val="-3"/>
          <w:sz w:val="22"/>
          <w:lang w:eastAsia="ja-JP"/>
        </w:rPr>
        <w:t xml:space="preserve"> value of -10 dB not to be exceeded for more than 20% of the </w:t>
      </w:r>
      <w:r w:rsidRPr="0073433F">
        <w:rPr>
          <w:rFonts w:cs="Arial"/>
          <w:noProof/>
          <w:spacing w:val="-3"/>
          <w:sz w:val="22"/>
          <w:lang w:eastAsia="ja-JP"/>
        </w:rPr>
        <w:t>time</w:t>
      </w:r>
      <w:r w:rsidRPr="0073433F">
        <w:rPr>
          <w:rFonts w:cs="Arial"/>
          <w:spacing w:val="-3"/>
          <w:sz w:val="22"/>
          <w:lang w:eastAsia="ja-JP"/>
        </w:rPr>
        <w:t>.</w:t>
      </w:r>
    </w:p>
    <w:p w14:paraId="0DD0CA59" w14:textId="77777777" w:rsidR="007C759C" w:rsidRPr="0073433F" w:rsidRDefault="007C759C" w:rsidP="007C759C">
      <w:pPr>
        <w:spacing w:before="120" w:after="120"/>
        <w:rPr>
          <w:rFonts w:cs="Arial"/>
          <w:sz w:val="22"/>
          <w:lang w:val="en-US"/>
        </w:rPr>
      </w:pPr>
      <w:r w:rsidRPr="0073433F">
        <w:rPr>
          <w:rFonts w:cs="Arial"/>
          <w:sz w:val="22"/>
          <w:lang w:val="en-US"/>
        </w:rPr>
        <w:t>However according to Recommendation ITU-R F. 758:</w:t>
      </w:r>
    </w:p>
    <w:p w14:paraId="1DEF715B" w14:textId="77777777" w:rsidR="0089452B" w:rsidRPr="00D4512E" w:rsidRDefault="007C759C" w:rsidP="007C759C">
      <w:pPr>
        <w:spacing w:before="120" w:after="120"/>
        <w:rPr>
          <w:rFonts w:cs="Arial"/>
          <w:sz w:val="22"/>
          <w:lang w:val="fr-FR" w:eastAsia="ru-RU"/>
        </w:rPr>
      </w:pPr>
      <w:r w:rsidRPr="00F86E15" w:rsidDel="0073433F">
        <w:rPr>
          <w:rFonts w:cs="Arial"/>
          <w:sz w:val="22"/>
          <w:lang w:val="fr-FR" w:eastAsia="ru-RU"/>
        </w:rPr>
        <w:t>"</w:t>
      </w:r>
      <w:r w:rsidRPr="00F86E15" w:rsidDel="0073433F">
        <w:rPr>
          <w:rFonts w:cs="Arial"/>
          <w:i/>
          <w:iCs/>
          <w:sz w:val="22"/>
          <w:lang w:val="fr-FR" w:eastAsia="ru-RU"/>
        </w:rPr>
        <w:t xml:space="preserve">Interference power that is </w:t>
      </w:r>
      <w:r w:rsidRPr="00F86E15" w:rsidDel="0073433F">
        <w:rPr>
          <w:rFonts w:cs="Arial"/>
          <w:i/>
          <w:iCs/>
          <w:noProof/>
          <w:sz w:val="22"/>
          <w:lang w:val="fr-FR" w:eastAsia="ru-RU"/>
        </w:rPr>
        <w:t xml:space="preserve">between </w:t>
      </w:r>
      <w:r w:rsidRPr="00F86E15" w:rsidDel="0073433F">
        <w:rPr>
          <w:rFonts w:cs="Arial"/>
          <w:i/>
          <w:iCs/>
          <w:sz w:val="22"/>
          <w:lang w:val="fr-FR" w:eastAsia="ru-RU"/>
        </w:rPr>
        <w:t xml:space="preserve">the percentage of time defined for short-term criteria (&lt; 1% of the time) and the time defined </w:t>
      </w:r>
      <w:r w:rsidRPr="00F86E15" w:rsidDel="0073433F">
        <w:rPr>
          <w:rFonts w:cs="Arial"/>
          <w:i/>
          <w:iCs/>
          <w:noProof/>
          <w:sz w:val="22"/>
          <w:lang w:val="fr-FR" w:eastAsia="ru-RU"/>
        </w:rPr>
        <w:t>for</w:t>
      </w:r>
      <w:r w:rsidRPr="00F86E15" w:rsidDel="0073433F">
        <w:rPr>
          <w:rFonts w:cs="Arial"/>
          <w:i/>
          <w:iCs/>
          <w:sz w:val="22"/>
          <w:lang w:val="fr-FR" w:eastAsia="ru-RU"/>
        </w:rPr>
        <w:t xml:space="preserve"> the long-term criteria (&gt; 20% of the time) could be evaluated on a case-by-case basis, but such considerations should take into account also </w:t>
      </w:r>
      <w:r w:rsidRPr="00D4512E" w:rsidDel="0073433F">
        <w:rPr>
          <w:rFonts w:cs="Arial"/>
          <w:b/>
          <w:bCs/>
          <w:i/>
          <w:iCs/>
          <w:sz w:val="22"/>
          <w:lang w:val="fr-FR" w:eastAsia="ru-RU"/>
        </w:rPr>
        <w:t>the occurrence of interference power levels that are less than that expected for 20% of the time</w:t>
      </w:r>
      <w:r w:rsidRPr="00F86E15" w:rsidDel="0073433F">
        <w:rPr>
          <w:rFonts w:cs="Arial"/>
          <w:sz w:val="22"/>
          <w:lang w:val="fr-FR" w:eastAsia="ru-RU"/>
        </w:rPr>
        <w:t>."</w:t>
      </w:r>
    </w:p>
    <w:p w14:paraId="05DC6C4E" w14:textId="77777777" w:rsidR="00FB1B64" w:rsidRPr="00E91502" w:rsidRDefault="007C759C" w:rsidP="007C759C">
      <w:pPr>
        <w:spacing w:before="120" w:after="120"/>
        <w:rPr>
          <w:rFonts w:cs="Arial"/>
          <w:sz w:val="22"/>
          <w:lang w:val="en-US" w:eastAsia="ru-RU"/>
        </w:rPr>
      </w:pPr>
      <w:r w:rsidRPr="00D4512E">
        <w:rPr>
          <w:rFonts w:cs="Arial"/>
          <w:sz w:val="22"/>
          <w:lang w:val="fr-FR" w:eastAsia="ru-RU"/>
        </w:rPr>
        <w:t xml:space="preserve">Therefore ECC PT1 should concider </w:t>
      </w:r>
      <w:r w:rsidRPr="00D4512E">
        <w:rPr>
          <w:rFonts w:cs="Arial"/>
          <w:noProof/>
          <w:sz w:val="22"/>
          <w:lang w:val="fr-FR" w:eastAsia="ru-RU"/>
        </w:rPr>
        <w:t xml:space="preserve">if </w:t>
      </w:r>
      <w:r w:rsidR="00F86E15">
        <w:rPr>
          <w:rFonts w:cs="Arial"/>
          <w:noProof/>
          <w:sz w:val="22"/>
          <w:lang w:val="en-US" w:eastAsia="ru-RU"/>
        </w:rPr>
        <w:t xml:space="preserve">the </w:t>
      </w:r>
      <w:r w:rsidR="00F86E15" w:rsidRPr="00D4512E">
        <w:rPr>
          <w:rFonts w:cs="Arial"/>
          <w:sz w:val="22"/>
          <w:lang w:val="fr-FR" w:eastAsia="ru-RU"/>
        </w:rPr>
        <w:t xml:space="preserve">dynamic characteristics of IMT systems </w:t>
      </w:r>
      <w:r w:rsidRPr="00D4512E">
        <w:rPr>
          <w:rFonts w:cs="Arial"/>
          <w:noProof/>
          <w:sz w:val="22"/>
          <w:lang w:val="fr-FR" w:eastAsia="ru-RU"/>
        </w:rPr>
        <w:t>the</w:t>
      </w:r>
      <w:r w:rsidRPr="00D4512E">
        <w:rPr>
          <w:rFonts w:cs="Arial"/>
          <w:sz w:val="22"/>
          <w:lang w:val="fr-FR" w:eastAsia="ru-RU"/>
        </w:rPr>
        <w:t xml:space="preserve"> relevent time persentage limit is appropriate taking into account </w:t>
      </w:r>
      <w:r w:rsidR="001258E3">
        <w:rPr>
          <w:rFonts w:cs="Arial"/>
          <w:sz w:val="22"/>
          <w:lang w:val="fr-FR" w:eastAsia="ru-RU"/>
        </w:rPr>
        <w:t xml:space="preserve">one </w:t>
      </w:r>
      <w:r w:rsidRPr="00D4512E">
        <w:rPr>
          <w:rFonts w:cs="Arial"/>
          <w:sz w:val="22"/>
          <w:lang w:val="fr-FR" w:eastAsia="ru-RU"/>
        </w:rPr>
        <w:t xml:space="preserve">the for the long term criteria. In </w:t>
      </w:r>
      <w:r w:rsidRPr="00D4512E">
        <w:rPr>
          <w:rFonts w:cs="Arial"/>
          <w:noProof/>
          <w:sz w:val="22"/>
          <w:lang w:val="fr-FR" w:eastAsia="ru-RU"/>
        </w:rPr>
        <w:t>fact</w:t>
      </w:r>
      <w:r w:rsidR="00DE224B" w:rsidRPr="00D4512E">
        <w:rPr>
          <w:rFonts w:cs="Arial"/>
          <w:noProof/>
          <w:sz w:val="22"/>
          <w:lang w:val="fr-FR" w:eastAsia="ru-RU"/>
        </w:rPr>
        <w:t>,</w:t>
      </w:r>
      <w:r w:rsidRPr="00D4512E">
        <w:rPr>
          <w:rFonts w:cs="Arial"/>
          <w:sz w:val="22"/>
          <w:lang w:val="fr-FR" w:eastAsia="ru-RU"/>
        </w:rPr>
        <w:t xml:space="preserve"> any phenomena affecting </w:t>
      </w:r>
      <w:r w:rsidR="00057111" w:rsidRPr="00D4512E">
        <w:rPr>
          <w:rFonts w:cs="Arial"/>
          <w:noProof/>
          <w:sz w:val="22"/>
          <w:lang w:val="fr-FR" w:eastAsia="ru-RU"/>
        </w:rPr>
        <w:t>an FS</w:t>
      </w:r>
      <w:r w:rsidR="00057111" w:rsidRPr="00D4512E">
        <w:rPr>
          <w:rFonts w:cs="Arial"/>
          <w:sz w:val="22"/>
          <w:lang w:val="fr-FR" w:eastAsia="ru-RU"/>
        </w:rPr>
        <w:t xml:space="preserve"> receiver </w:t>
      </w:r>
      <w:r w:rsidR="00057111">
        <w:rPr>
          <w:rFonts w:cs="Arial"/>
          <w:sz w:val="22"/>
          <w:lang w:val="fr-FR" w:eastAsia="ru-RU"/>
        </w:rPr>
        <w:t>every</w:t>
      </w:r>
      <w:r w:rsidRPr="00D4512E">
        <w:rPr>
          <w:rFonts w:cs="Arial"/>
          <w:sz w:val="22"/>
          <w:lang w:val="fr-FR" w:eastAsia="ru-RU"/>
        </w:rPr>
        <w:t xml:space="preserve"> second should be considered as a long-term interference (Annex 1 section 4 Recomendation ITU-R F.758-6, Annex 1 section 2.1.4 ECC Report 64). If necessary SE19 could further ellaborate this issue.</w:t>
      </w:r>
    </w:p>
    <w:p w14:paraId="7433A14F" w14:textId="77777777" w:rsidR="007C759C" w:rsidRPr="00450199" w:rsidRDefault="00450199" w:rsidP="007C759C">
      <w:pPr>
        <w:spacing w:before="120" w:after="120"/>
        <w:rPr>
          <w:rFonts w:cs="Arial"/>
          <w:b/>
          <w:i/>
          <w:sz w:val="22"/>
          <w:lang w:val="en-US"/>
        </w:rPr>
      </w:pPr>
      <w:r>
        <w:rPr>
          <w:rFonts w:cs="Arial"/>
          <w:b/>
          <w:i/>
          <w:sz w:val="22"/>
          <w:lang w:val="en-US"/>
        </w:rPr>
        <w:t>Short term</w:t>
      </w:r>
      <w:r w:rsidR="00325330">
        <w:rPr>
          <w:rFonts w:cs="Arial"/>
          <w:b/>
          <w:i/>
          <w:sz w:val="22"/>
          <w:lang w:val="en-US"/>
        </w:rPr>
        <w:t xml:space="preserve"> Criteria</w:t>
      </w:r>
    </w:p>
    <w:p w14:paraId="7BC03DA5" w14:textId="77777777" w:rsidR="007C759C" w:rsidRPr="00450199" w:rsidRDefault="007C759C" w:rsidP="007C759C">
      <w:pPr>
        <w:spacing w:before="120" w:after="120"/>
        <w:rPr>
          <w:rFonts w:cs="Arial"/>
          <w:sz w:val="22"/>
          <w:lang w:val="en-US"/>
        </w:rPr>
      </w:pPr>
      <w:r w:rsidRPr="00450199">
        <w:rPr>
          <w:rFonts w:cs="Arial"/>
          <w:sz w:val="22"/>
          <w:lang w:val="en-US"/>
        </w:rPr>
        <w:t>Based on methodology given in ITU-R Recommendations F.1495</w:t>
      </w:r>
      <w:r w:rsidR="00091C4C">
        <w:rPr>
          <w:rFonts w:cs="Arial"/>
          <w:sz w:val="22"/>
          <w:lang w:val="en-US"/>
        </w:rPr>
        <w:t>,</w:t>
      </w:r>
      <w:r w:rsidRPr="00450199">
        <w:rPr>
          <w:rFonts w:cs="Arial"/>
          <w:sz w:val="22"/>
          <w:lang w:val="en-US"/>
        </w:rPr>
        <w:t xml:space="preserve"> and </w:t>
      </w:r>
      <w:r w:rsidR="00091C4C" w:rsidRPr="00450199">
        <w:rPr>
          <w:rFonts w:cs="Arial"/>
          <w:sz w:val="22"/>
          <w:lang w:val="en-US"/>
        </w:rPr>
        <w:t xml:space="preserve">information </w:t>
      </w:r>
      <w:r w:rsidR="00091C4C">
        <w:rPr>
          <w:rFonts w:cs="Arial"/>
          <w:sz w:val="22"/>
          <w:lang w:val="en-US"/>
        </w:rPr>
        <w:t xml:space="preserve">provided in </w:t>
      </w:r>
      <w:r w:rsidRPr="00450199">
        <w:rPr>
          <w:rFonts w:cs="Arial"/>
          <w:sz w:val="22"/>
          <w:lang w:val="en-US"/>
        </w:rPr>
        <w:t>F.1565</w:t>
      </w:r>
      <w:r w:rsidR="00091C4C">
        <w:rPr>
          <w:rFonts w:cs="Arial"/>
          <w:sz w:val="22"/>
          <w:lang w:val="en-US"/>
        </w:rPr>
        <w:t>,</w:t>
      </w:r>
      <w:r w:rsidRPr="00450199">
        <w:rPr>
          <w:rFonts w:cs="Arial"/>
          <w:sz w:val="22"/>
          <w:lang w:val="en-US"/>
        </w:rPr>
        <w:t xml:space="preserve"> and </w:t>
      </w:r>
      <w:r w:rsidR="00091C4C">
        <w:rPr>
          <w:rFonts w:cs="Arial"/>
          <w:sz w:val="22"/>
          <w:lang w:val="en-US"/>
        </w:rPr>
        <w:t>assum</w:t>
      </w:r>
      <w:r w:rsidR="00091C4C" w:rsidRPr="00450199">
        <w:rPr>
          <w:rFonts w:cs="Arial"/>
          <w:sz w:val="22"/>
          <w:lang w:val="en-US"/>
        </w:rPr>
        <w:t xml:space="preserve">ing </w:t>
      </w:r>
      <w:r w:rsidR="00091C4C">
        <w:rPr>
          <w:rFonts w:cs="Arial"/>
          <w:sz w:val="22"/>
          <w:lang w:val="en-US"/>
        </w:rPr>
        <w:t xml:space="preserve">a net </w:t>
      </w:r>
      <w:r w:rsidRPr="00450199">
        <w:rPr>
          <w:rFonts w:cs="Arial"/>
          <w:sz w:val="22"/>
          <w:lang w:val="en-US"/>
        </w:rPr>
        <w:t xml:space="preserve">fade margin of 10 dB </w:t>
      </w:r>
      <w:r w:rsidR="00091C4C">
        <w:rPr>
          <w:rFonts w:cs="Arial"/>
          <w:sz w:val="22"/>
          <w:lang w:val="en-US"/>
        </w:rPr>
        <w:t xml:space="preserve">for </w:t>
      </w:r>
      <w:r w:rsidRPr="00450199">
        <w:rPr>
          <w:rFonts w:cs="Arial"/>
          <w:sz w:val="22"/>
          <w:lang w:val="en-US"/>
        </w:rPr>
        <w:t>BER 1 x 10</w:t>
      </w:r>
      <w:r w:rsidRPr="00450199">
        <w:rPr>
          <w:rFonts w:cs="Arial"/>
          <w:sz w:val="22"/>
          <w:vertAlign w:val="superscript"/>
          <w:lang w:val="en-US"/>
        </w:rPr>
        <w:t>-6</w:t>
      </w:r>
      <w:r w:rsidRPr="00450199">
        <w:rPr>
          <w:rFonts w:cs="Arial"/>
          <w:sz w:val="22"/>
          <w:lang w:val="en-US"/>
        </w:rPr>
        <w:t xml:space="preserve"> and 12dB </w:t>
      </w:r>
      <w:r w:rsidR="00091C4C">
        <w:rPr>
          <w:rFonts w:cs="Arial"/>
          <w:sz w:val="22"/>
          <w:lang w:val="en-US"/>
        </w:rPr>
        <w:t xml:space="preserve">for </w:t>
      </w:r>
      <w:r w:rsidRPr="00450199">
        <w:rPr>
          <w:rFonts w:cs="Arial"/>
          <w:sz w:val="22"/>
          <w:lang w:val="en-US"/>
        </w:rPr>
        <w:t>BER 1 x 10</w:t>
      </w:r>
      <w:r w:rsidRPr="00450199">
        <w:rPr>
          <w:rFonts w:cs="Arial"/>
          <w:sz w:val="22"/>
          <w:vertAlign w:val="superscript"/>
          <w:lang w:val="en-US"/>
        </w:rPr>
        <w:t>-3</w:t>
      </w:r>
      <w:r w:rsidRPr="00450199">
        <w:rPr>
          <w:rFonts w:cs="Arial"/>
          <w:sz w:val="22"/>
          <w:lang w:val="en-US"/>
        </w:rPr>
        <w:t xml:space="preserve">, the short-term criteria </w:t>
      </w:r>
      <w:r w:rsidR="00091C4C">
        <w:rPr>
          <w:rFonts w:cs="Arial"/>
          <w:sz w:val="22"/>
          <w:lang w:val="en-US"/>
        </w:rPr>
        <w:t>has been estimated</w:t>
      </w:r>
      <w:r w:rsidRPr="00450199">
        <w:rPr>
          <w:rFonts w:cs="Arial"/>
          <w:sz w:val="22"/>
          <w:lang w:val="en-US"/>
        </w:rPr>
        <w:t xml:space="preserve"> </w:t>
      </w:r>
      <w:r w:rsidR="002D6156">
        <w:rPr>
          <w:rFonts w:cs="Arial"/>
          <w:sz w:val="22"/>
          <w:lang w:val="en-US"/>
        </w:rPr>
        <w:t xml:space="preserve">by SE19 </w:t>
      </w:r>
      <w:r w:rsidRPr="00DE224B">
        <w:rPr>
          <w:rFonts w:cs="Arial"/>
          <w:noProof/>
          <w:sz w:val="22"/>
          <w:lang w:val="en-US"/>
        </w:rPr>
        <w:t>for</w:t>
      </w:r>
      <w:r w:rsidRPr="00450199">
        <w:rPr>
          <w:rFonts w:cs="Arial"/>
          <w:sz w:val="22"/>
          <w:lang w:val="en-US"/>
        </w:rPr>
        <w:t xml:space="preserve"> this </w:t>
      </w:r>
      <w:r w:rsidR="00091C4C">
        <w:rPr>
          <w:rFonts w:cs="Arial"/>
          <w:sz w:val="22"/>
          <w:lang w:val="en-US"/>
        </w:rPr>
        <w:t>scenario</w:t>
      </w:r>
      <w:r w:rsidRPr="00450199">
        <w:rPr>
          <w:rFonts w:cs="Arial"/>
          <w:sz w:val="22"/>
          <w:lang w:val="en-US"/>
        </w:rPr>
        <w:t xml:space="preserve"> as follows</w:t>
      </w:r>
      <w:r w:rsidR="00450199">
        <w:rPr>
          <w:rFonts w:cs="Arial"/>
          <w:sz w:val="22"/>
          <w:lang w:val="en-US"/>
        </w:rPr>
        <w:t>:</w:t>
      </w:r>
    </w:p>
    <w:p w14:paraId="1909DD27" w14:textId="77777777" w:rsidR="007C759C" w:rsidRPr="00450199" w:rsidRDefault="00A41586" w:rsidP="007C759C">
      <w:pPr>
        <w:pStyle w:val="ListParagraph"/>
        <w:numPr>
          <w:ilvl w:val="0"/>
          <w:numId w:val="13"/>
        </w:numPr>
        <w:spacing w:before="120" w:after="120"/>
        <w:contextualSpacing w:val="0"/>
        <w:rPr>
          <w:rFonts w:cs="Arial"/>
          <w:sz w:val="22"/>
          <w:lang w:val="en-US"/>
        </w:rPr>
      </w:pPr>
      <w:r w:rsidRPr="00A41586">
        <w:rPr>
          <w:rFonts w:cs="Arial"/>
          <w:i/>
          <w:sz w:val="22"/>
          <w:lang w:val="en-US"/>
        </w:rPr>
        <w:t>I</w:t>
      </w:r>
      <w:r w:rsidR="007C759C" w:rsidRPr="00450199">
        <w:rPr>
          <w:rFonts w:cs="Arial"/>
          <w:sz w:val="22"/>
          <w:lang w:val="en-US"/>
        </w:rPr>
        <w:t>/</w:t>
      </w:r>
      <w:r w:rsidR="007C759C" w:rsidRPr="00A41586">
        <w:rPr>
          <w:rFonts w:cs="Arial"/>
          <w:i/>
          <w:sz w:val="22"/>
          <w:lang w:val="en-US"/>
        </w:rPr>
        <w:t>N</w:t>
      </w:r>
      <w:r w:rsidR="007C759C" w:rsidRPr="00450199">
        <w:rPr>
          <w:rFonts w:cs="Arial"/>
          <w:sz w:val="22"/>
          <w:lang w:val="en-US"/>
        </w:rPr>
        <w:t xml:space="preserve"> of 7 dB not to be exceeded for more than 0.0051% of </w:t>
      </w:r>
      <w:r w:rsidR="00A62F7C">
        <w:rPr>
          <w:rFonts w:cs="Arial"/>
          <w:sz w:val="22"/>
          <w:lang w:val="en-US"/>
        </w:rPr>
        <w:t xml:space="preserve">the </w:t>
      </w:r>
      <w:r w:rsidR="007C759C" w:rsidRPr="00450199">
        <w:rPr>
          <w:rFonts w:cs="Arial"/>
          <w:sz w:val="22"/>
          <w:lang w:val="en-US"/>
        </w:rPr>
        <w:t xml:space="preserve">time </w:t>
      </w:r>
      <w:r w:rsidR="00D4512E">
        <w:rPr>
          <w:rFonts w:cs="Arial"/>
          <w:sz w:val="22"/>
          <w:lang w:val="en-US"/>
        </w:rPr>
        <w:t>in any month</w:t>
      </w:r>
      <w:r w:rsidR="00D4512E" w:rsidRPr="00450199">
        <w:rPr>
          <w:rFonts w:cs="Arial"/>
          <w:sz w:val="22"/>
          <w:lang w:val="en-US"/>
        </w:rPr>
        <w:t xml:space="preserve"> </w:t>
      </w:r>
      <w:r w:rsidR="007C759C" w:rsidRPr="00450199">
        <w:rPr>
          <w:rFonts w:cs="Arial"/>
          <w:sz w:val="22"/>
          <w:lang w:val="en-US"/>
        </w:rPr>
        <w:t>(for errored seconds (ES))</w:t>
      </w:r>
      <w:r w:rsidR="00450199">
        <w:rPr>
          <w:rFonts w:cs="Arial"/>
          <w:sz w:val="22"/>
          <w:lang w:val="en-US"/>
        </w:rPr>
        <w:t>;</w:t>
      </w:r>
    </w:p>
    <w:p w14:paraId="2A75DE89" w14:textId="77777777" w:rsidR="007C759C" w:rsidRDefault="007C759C" w:rsidP="007C759C">
      <w:pPr>
        <w:pStyle w:val="ListParagraph"/>
        <w:numPr>
          <w:ilvl w:val="0"/>
          <w:numId w:val="13"/>
        </w:numPr>
        <w:spacing w:before="120" w:after="120"/>
        <w:contextualSpacing w:val="0"/>
        <w:rPr>
          <w:rFonts w:cs="Arial"/>
          <w:sz w:val="22"/>
          <w:lang w:val="en-US"/>
        </w:rPr>
      </w:pPr>
      <w:r w:rsidRPr="00A41586">
        <w:rPr>
          <w:rFonts w:cs="Arial"/>
          <w:i/>
          <w:sz w:val="22"/>
          <w:lang w:val="en-US"/>
        </w:rPr>
        <w:t>I</w:t>
      </w:r>
      <w:r w:rsidRPr="00450199">
        <w:rPr>
          <w:rFonts w:cs="Arial"/>
          <w:sz w:val="22"/>
          <w:lang w:val="en-US"/>
        </w:rPr>
        <w:t>/</w:t>
      </w:r>
      <w:r w:rsidRPr="00A41586">
        <w:rPr>
          <w:rFonts w:cs="Arial"/>
          <w:i/>
          <w:sz w:val="22"/>
          <w:lang w:val="en-US"/>
        </w:rPr>
        <w:t>N</w:t>
      </w:r>
      <w:r w:rsidRPr="00450199">
        <w:rPr>
          <w:rFonts w:cs="Arial"/>
          <w:sz w:val="22"/>
          <w:lang w:val="en-US"/>
        </w:rPr>
        <w:t xml:space="preserve"> of 11 dB not to be exceeded for more than 0.0003% of </w:t>
      </w:r>
      <w:r w:rsidR="00A62F7C">
        <w:rPr>
          <w:rFonts w:cs="Arial"/>
          <w:sz w:val="22"/>
          <w:lang w:val="en-US"/>
        </w:rPr>
        <w:t xml:space="preserve">the </w:t>
      </w:r>
      <w:r w:rsidRPr="00DE224B">
        <w:rPr>
          <w:rFonts w:cs="Arial"/>
          <w:noProof/>
          <w:sz w:val="22"/>
          <w:lang w:val="en-US"/>
        </w:rPr>
        <w:t>time</w:t>
      </w:r>
      <w:r w:rsidRPr="00450199">
        <w:rPr>
          <w:rFonts w:cs="Arial"/>
          <w:sz w:val="22"/>
          <w:lang w:val="en-US"/>
        </w:rPr>
        <w:t xml:space="preserve"> </w:t>
      </w:r>
      <w:r w:rsidR="00D4512E">
        <w:rPr>
          <w:rFonts w:cs="Arial"/>
          <w:sz w:val="22"/>
          <w:lang w:val="en-US"/>
        </w:rPr>
        <w:t>in any month</w:t>
      </w:r>
      <w:r w:rsidR="00D4512E" w:rsidRPr="00450199" w:rsidDel="006C7D55">
        <w:rPr>
          <w:rFonts w:cs="Arial"/>
          <w:sz w:val="22"/>
          <w:lang w:val="en-US"/>
        </w:rPr>
        <w:t xml:space="preserve"> </w:t>
      </w:r>
      <w:r w:rsidRPr="00450199">
        <w:rPr>
          <w:rFonts w:cs="Arial"/>
          <w:sz w:val="22"/>
          <w:lang w:val="en-US"/>
        </w:rPr>
        <w:t>(for severely errored seconds (SES))</w:t>
      </w:r>
      <w:r w:rsidR="00450199">
        <w:rPr>
          <w:rFonts w:cs="Arial"/>
          <w:sz w:val="22"/>
          <w:lang w:val="en-US"/>
        </w:rPr>
        <w:t>.</w:t>
      </w:r>
    </w:p>
    <w:p w14:paraId="06E6FE8C" w14:textId="77777777" w:rsidR="007C759C" w:rsidRPr="00450199" w:rsidRDefault="007C759C" w:rsidP="007C759C">
      <w:pPr>
        <w:pStyle w:val="ListParagraph"/>
        <w:numPr>
          <w:ilvl w:val="0"/>
          <w:numId w:val="12"/>
        </w:numPr>
        <w:spacing w:before="120" w:after="120"/>
        <w:contextualSpacing w:val="0"/>
        <w:rPr>
          <w:rFonts w:cs="Arial"/>
          <w:b/>
          <w:sz w:val="22"/>
          <w:lang w:val="en-US"/>
        </w:rPr>
      </w:pPr>
      <w:r w:rsidRPr="00450199">
        <w:rPr>
          <w:rFonts w:cs="Arial"/>
          <w:b/>
          <w:sz w:val="22"/>
          <w:lang w:val="en-US"/>
        </w:rPr>
        <w:t xml:space="preserve">Antenna height and elevation angle </w:t>
      </w:r>
    </w:p>
    <w:p w14:paraId="66BFECFD" w14:textId="77777777" w:rsidR="007C759C" w:rsidRPr="00450199" w:rsidRDefault="007C759C" w:rsidP="007C759C">
      <w:pPr>
        <w:spacing w:before="120" w:after="120"/>
        <w:rPr>
          <w:rFonts w:cs="Arial"/>
          <w:sz w:val="22"/>
          <w:lang w:val="en-US"/>
        </w:rPr>
      </w:pPr>
      <w:r w:rsidRPr="00450199">
        <w:rPr>
          <w:rFonts w:cs="Arial"/>
          <w:sz w:val="22"/>
          <w:lang w:eastAsia="ja-JP"/>
        </w:rPr>
        <w:t>ITU-R Recommendation F.2086 provides antenna height and elevation angle information for some administrations. PT SE19 would recommend using the antenna heights of 5, 15, 30 and 60 m, noting that an antenna height of 5 m would only be utilised in a rural environment. The appropriate antenna elevation angle would be in the range −2.5 to 2.5 degrees.</w:t>
      </w:r>
    </w:p>
    <w:p w14:paraId="6BF3A596" w14:textId="77777777" w:rsidR="007C759C" w:rsidRPr="00450199" w:rsidRDefault="007C759C" w:rsidP="007C759C">
      <w:pPr>
        <w:spacing w:before="120" w:after="120"/>
        <w:rPr>
          <w:rFonts w:cs="Arial"/>
          <w:sz w:val="22"/>
          <w:lang w:val="en-US"/>
        </w:rPr>
      </w:pPr>
      <w:r w:rsidRPr="00450199">
        <w:rPr>
          <w:rFonts w:cs="Arial"/>
          <w:sz w:val="22"/>
          <w:lang w:val="en-US"/>
        </w:rPr>
        <w:t>PT SE19 would be happy to provide further information and guidance for PT1 as necessary.</w:t>
      </w:r>
    </w:p>
    <w:p w14:paraId="7D24591C" w14:textId="77777777" w:rsidR="00555127" w:rsidRPr="00450199" w:rsidRDefault="00555127" w:rsidP="00555127">
      <w:pPr>
        <w:rPr>
          <w:rStyle w:val="ECCParagraph"/>
          <w:sz w:val="22"/>
        </w:rPr>
      </w:pPr>
    </w:p>
    <w:p w14:paraId="767B7D7B" w14:textId="77777777" w:rsidR="00555127" w:rsidRPr="00450199" w:rsidRDefault="00555127" w:rsidP="00555127">
      <w:pPr>
        <w:rPr>
          <w:rStyle w:val="ECCParagraph"/>
          <w:sz w:val="22"/>
        </w:rPr>
      </w:pPr>
      <w:r w:rsidRPr="00450199">
        <w:rPr>
          <w:rStyle w:val="ECCParagraph"/>
          <w:sz w:val="22"/>
        </w:rPr>
        <w:t>Best regards,</w:t>
      </w:r>
    </w:p>
    <w:p w14:paraId="7A89D0B1" w14:textId="77777777" w:rsidR="00555127" w:rsidRPr="00450199" w:rsidRDefault="007C759C" w:rsidP="00555127">
      <w:pPr>
        <w:ind w:right="-426"/>
        <w:rPr>
          <w:rStyle w:val="ECCParagraph"/>
          <w:sz w:val="22"/>
        </w:rPr>
      </w:pPr>
      <w:r w:rsidRPr="00450199">
        <w:rPr>
          <w:rFonts w:cs="Arial"/>
          <w:bCs/>
          <w:sz w:val="22"/>
        </w:rPr>
        <w:t>S</w:t>
      </w:r>
      <w:r w:rsidRPr="00450199">
        <w:rPr>
          <w:rFonts w:cs="Arial"/>
          <w:sz w:val="22"/>
        </w:rPr>
        <w:t>tanislava Tereshchenko</w:t>
      </w:r>
    </w:p>
    <w:p w14:paraId="1417FDA1" w14:textId="77777777" w:rsidR="00555127" w:rsidRPr="00450199" w:rsidRDefault="007C759C" w:rsidP="00555127">
      <w:pPr>
        <w:ind w:right="-426"/>
        <w:rPr>
          <w:rStyle w:val="ECCParagraph"/>
          <w:sz w:val="22"/>
        </w:rPr>
      </w:pPr>
      <w:r w:rsidRPr="00450199">
        <w:rPr>
          <w:rStyle w:val="ECCParagraph"/>
          <w:sz w:val="22"/>
        </w:rPr>
        <w:t xml:space="preserve">PT SE19 </w:t>
      </w:r>
      <w:r w:rsidR="00555127" w:rsidRPr="00450199">
        <w:rPr>
          <w:rStyle w:val="ECCParagraph"/>
          <w:sz w:val="22"/>
        </w:rPr>
        <w:t>Chair</w:t>
      </w:r>
      <w:r w:rsidRPr="00450199">
        <w:rPr>
          <w:rStyle w:val="ECCParagraph"/>
          <w:sz w:val="22"/>
        </w:rPr>
        <w:t>person</w:t>
      </w:r>
    </w:p>
    <w:p w14:paraId="7769CF8B" w14:textId="77777777" w:rsidR="00555127" w:rsidRPr="00450199" w:rsidRDefault="00555127" w:rsidP="007C759C">
      <w:pPr>
        <w:rPr>
          <w:rStyle w:val="ECCParagraph"/>
          <w:sz w:val="22"/>
        </w:rPr>
      </w:pPr>
      <w:r w:rsidRPr="00450199">
        <w:rPr>
          <w:rStyle w:val="ECCParagraph"/>
          <w:sz w:val="22"/>
        </w:rPr>
        <w:t xml:space="preserve">E-mail: </w:t>
      </w:r>
      <w:hyperlink r:id="rId11" w:history="1">
        <w:r w:rsidR="007C759C" w:rsidRPr="00450199">
          <w:rPr>
            <w:rStyle w:val="Hyperlink"/>
            <w:sz w:val="22"/>
          </w:rPr>
          <w:t>stanislava.tereshchenko@ties.itu.int</w:t>
        </w:r>
      </w:hyperlink>
    </w:p>
    <w:p w14:paraId="314C0155" w14:textId="77777777" w:rsidR="007C759C" w:rsidRDefault="007C759C">
      <w:pPr>
        <w:rPr>
          <w:rStyle w:val="ECCParagraph"/>
        </w:rPr>
      </w:pPr>
      <w:r>
        <w:rPr>
          <w:rStyle w:val="ECCParagraph"/>
        </w:rPr>
        <w:br w:type="page"/>
      </w:r>
    </w:p>
    <w:p w14:paraId="4BDBDAD7" w14:textId="77777777" w:rsidR="007C759C" w:rsidRPr="007C759C" w:rsidRDefault="007C759C" w:rsidP="007C759C">
      <w:pPr>
        <w:jc w:val="center"/>
        <w:rPr>
          <w:rFonts w:cs="Arial"/>
          <w:sz w:val="22"/>
          <w:lang w:val="en-US"/>
        </w:rPr>
      </w:pPr>
      <w:r w:rsidRPr="007C759C">
        <w:rPr>
          <w:rFonts w:cs="Arial"/>
          <w:sz w:val="22"/>
          <w:lang w:val="en-US"/>
        </w:rPr>
        <w:lastRenderedPageBreak/>
        <w:t>Annex 1</w:t>
      </w:r>
    </w:p>
    <w:p w14:paraId="4C675674" w14:textId="77777777" w:rsidR="007C759C" w:rsidRPr="007C759C" w:rsidRDefault="007C759C" w:rsidP="00450199">
      <w:pPr>
        <w:pStyle w:val="Tabletitle"/>
        <w:spacing w:after="240"/>
        <w:rPr>
          <w:rFonts w:ascii="Arial" w:hAnsi="Arial" w:cs="Arial"/>
          <w:sz w:val="22"/>
          <w:szCs w:val="22"/>
          <w:lang w:val="en-US" w:eastAsia="ja-JP"/>
        </w:rPr>
      </w:pPr>
      <w:r w:rsidRPr="007C759C">
        <w:rPr>
          <w:rFonts w:ascii="Arial" w:hAnsi="Arial" w:cs="Arial"/>
          <w:sz w:val="22"/>
          <w:szCs w:val="22"/>
          <w:lang w:val="en-US" w:eastAsia="ja-JP"/>
        </w:rPr>
        <w:t>System parameters for PP FS systems in 26GHz band (24.5 – 26.5 GHz)</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3769"/>
      </w:tblGrid>
      <w:tr w:rsidR="0070550F" w:rsidRPr="007C759C" w14:paraId="085E016A" w14:textId="77777777" w:rsidTr="00E91502">
        <w:trPr>
          <w:jc w:val="center"/>
        </w:trPr>
        <w:tc>
          <w:tcPr>
            <w:tcW w:w="3314" w:type="dxa"/>
            <w:tcMar>
              <w:left w:w="57" w:type="dxa"/>
              <w:right w:w="57" w:type="dxa"/>
            </w:tcMar>
            <w:vAlign w:val="center"/>
          </w:tcPr>
          <w:p w14:paraId="336C6CA5" w14:textId="77777777" w:rsidR="0070550F" w:rsidRPr="007C759C" w:rsidRDefault="0070550F" w:rsidP="009A03DA">
            <w:pPr>
              <w:pStyle w:val="Tablehead"/>
              <w:spacing w:before="50" w:after="50"/>
              <w:rPr>
                <w:rFonts w:ascii="Arial" w:hAnsi="Arial" w:cs="Arial"/>
                <w:szCs w:val="22"/>
              </w:rPr>
            </w:pPr>
            <w:r w:rsidRPr="007C759C">
              <w:rPr>
                <w:rFonts w:ascii="Arial" w:hAnsi="Arial" w:cs="Arial"/>
                <w:szCs w:val="22"/>
                <w:lang w:eastAsia="ja-JP"/>
              </w:rPr>
              <w:t>Frequency range (GHz)</w:t>
            </w:r>
          </w:p>
        </w:tc>
        <w:tc>
          <w:tcPr>
            <w:tcW w:w="3769" w:type="dxa"/>
          </w:tcPr>
          <w:p w14:paraId="6190BAE0" w14:textId="77777777" w:rsidR="0070550F" w:rsidRPr="007C759C" w:rsidRDefault="0070550F" w:rsidP="009A03DA">
            <w:pPr>
              <w:pStyle w:val="Tablehead"/>
              <w:spacing w:before="50" w:after="50"/>
              <w:rPr>
                <w:rFonts w:ascii="Arial" w:hAnsi="Arial" w:cs="Arial"/>
                <w:szCs w:val="22"/>
              </w:rPr>
            </w:pPr>
            <w:r w:rsidRPr="007C759C">
              <w:rPr>
                <w:rFonts w:ascii="Arial" w:hAnsi="Arial" w:cs="Arial"/>
                <w:szCs w:val="22"/>
                <w:lang w:val="en-US" w:eastAsia="ja-JP"/>
              </w:rPr>
              <w:t>24.5 – 26.5 GHz</w:t>
            </w:r>
          </w:p>
        </w:tc>
      </w:tr>
      <w:tr w:rsidR="0070550F" w:rsidRPr="007C759C" w14:paraId="6EDCB107" w14:textId="77777777" w:rsidTr="00E91502">
        <w:trPr>
          <w:jc w:val="center"/>
        </w:trPr>
        <w:tc>
          <w:tcPr>
            <w:tcW w:w="3314" w:type="dxa"/>
            <w:tcMar>
              <w:left w:w="57" w:type="dxa"/>
              <w:right w:w="57" w:type="dxa"/>
            </w:tcMar>
            <w:vAlign w:val="center"/>
          </w:tcPr>
          <w:p w14:paraId="1968F16A" w14:textId="77777777" w:rsidR="0070550F" w:rsidRPr="007C759C" w:rsidRDefault="0070550F" w:rsidP="00E91502">
            <w:pPr>
              <w:pStyle w:val="Tabletext"/>
              <w:spacing w:before="20" w:after="20" w:line="240" w:lineRule="exact"/>
              <w:jc w:val="left"/>
              <w:rPr>
                <w:rFonts w:ascii="Arial" w:hAnsi="Arial" w:cs="Arial"/>
                <w:szCs w:val="22"/>
              </w:rPr>
            </w:pPr>
            <w:r w:rsidRPr="007C759C">
              <w:rPr>
                <w:rFonts w:ascii="Arial" w:hAnsi="Arial" w:cs="Arial"/>
                <w:szCs w:val="22"/>
              </w:rPr>
              <w:t>Reference ITU-R Recommendation</w:t>
            </w:r>
          </w:p>
        </w:tc>
        <w:tc>
          <w:tcPr>
            <w:tcW w:w="3769" w:type="dxa"/>
          </w:tcPr>
          <w:p w14:paraId="6A0221EF" w14:textId="77777777" w:rsidR="0070550F" w:rsidRPr="007C759C" w:rsidRDefault="0070550F" w:rsidP="009A03DA">
            <w:pPr>
              <w:pStyle w:val="Tabletext"/>
              <w:spacing w:before="20" w:after="20" w:line="240" w:lineRule="exact"/>
              <w:jc w:val="center"/>
              <w:rPr>
                <w:rFonts w:ascii="Arial" w:hAnsi="Arial" w:cs="Arial"/>
                <w:szCs w:val="22"/>
              </w:rPr>
            </w:pPr>
            <w:r w:rsidRPr="007C759C">
              <w:rPr>
                <w:rFonts w:ascii="Arial" w:hAnsi="Arial" w:cs="Arial"/>
                <w:szCs w:val="22"/>
              </w:rPr>
              <w:t>F.</w:t>
            </w:r>
            <w:r>
              <w:rPr>
                <w:rFonts w:ascii="Arial" w:hAnsi="Arial" w:cs="Arial"/>
                <w:szCs w:val="22"/>
                <w:lang w:eastAsia="ja-JP"/>
              </w:rPr>
              <w:t>748 (channel</w:t>
            </w:r>
            <w:r w:rsidRPr="007C759C">
              <w:rPr>
                <w:rFonts w:ascii="Arial" w:hAnsi="Arial" w:cs="Arial"/>
                <w:szCs w:val="22"/>
                <w:lang w:eastAsia="ja-JP"/>
              </w:rPr>
              <w:t xml:space="preserve"> arrangment) </w:t>
            </w:r>
          </w:p>
        </w:tc>
      </w:tr>
      <w:tr w:rsidR="0070550F" w:rsidRPr="007C759C" w14:paraId="28DD5B23" w14:textId="77777777" w:rsidTr="00E91502">
        <w:trPr>
          <w:jc w:val="center"/>
        </w:trPr>
        <w:tc>
          <w:tcPr>
            <w:tcW w:w="3314" w:type="dxa"/>
            <w:tcMar>
              <w:left w:w="57" w:type="dxa"/>
              <w:right w:w="57" w:type="dxa"/>
            </w:tcMar>
            <w:vAlign w:val="center"/>
          </w:tcPr>
          <w:p w14:paraId="23804644" w14:textId="77777777" w:rsidR="0070550F" w:rsidRPr="007C759C" w:rsidRDefault="0070550F" w:rsidP="009A03DA">
            <w:pPr>
              <w:pStyle w:val="Tabletext"/>
              <w:spacing w:before="20" w:after="20" w:line="240" w:lineRule="exact"/>
              <w:rPr>
                <w:rFonts w:ascii="Arial" w:hAnsi="Arial" w:cs="Arial"/>
                <w:szCs w:val="22"/>
              </w:rPr>
            </w:pPr>
            <w:r w:rsidRPr="007C759C">
              <w:rPr>
                <w:rFonts w:ascii="Arial" w:hAnsi="Arial" w:cs="Arial"/>
                <w:szCs w:val="22"/>
              </w:rPr>
              <w:t>Modulation (for info)</w:t>
            </w:r>
          </w:p>
        </w:tc>
        <w:tc>
          <w:tcPr>
            <w:tcW w:w="3769" w:type="dxa"/>
          </w:tcPr>
          <w:p w14:paraId="0B1467C3" w14:textId="77777777" w:rsidR="0070550F" w:rsidRPr="007C759C" w:rsidRDefault="0070550F" w:rsidP="0070550F">
            <w:pPr>
              <w:pStyle w:val="Tabletext"/>
              <w:spacing w:before="20" w:after="20" w:line="240" w:lineRule="exact"/>
              <w:jc w:val="center"/>
              <w:rPr>
                <w:rFonts w:ascii="Arial" w:hAnsi="Arial" w:cs="Arial"/>
                <w:szCs w:val="22"/>
                <w:lang w:val="en-US" w:eastAsia="ja-JP"/>
              </w:rPr>
            </w:pPr>
            <w:r w:rsidRPr="007C759C">
              <w:rPr>
                <w:rFonts w:ascii="Arial" w:hAnsi="Arial" w:cs="Arial"/>
                <w:szCs w:val="22"/>
                <w:lang w:val="en-US" w:eastAsia="ja-JP"/>
              </w:rPr>
              <w:t xml:space="preserve">QPSK </w:t>
            </w:r>
            <w:r>
              <w:rPr>
                <w:rFonts w:ascii="Arial" w:hAnsi="Arial" w:cs="Arial"/>
                <w:szCs w:val="22"/>
                <w:lang w:val="en-US" w:eastAsia="ja-JP"/>
              </w:rPr>
              <w:t>and</w:t>
            </w:r>
            <w:r w:rsidRPr="007C759C">
              <w:rPr>
                <w:rFonts w:ascii="Arial" w:hAnsi="Arial" w:cs="Arial"/>
                <w:szCs w:val="22"/>
                <w:lang w:val="en-US" w:eastAsia="ja-JP"/>
              </w:rPr>
              <w:t xml:space="preserve"> </w:t>
            </w:r>
            <w:r>
              <w:rPr>
                <w:rFonts w:ascii="Arial" w:hAnsi="Arial" w:cs="Arial"/>
                <w:szCs w:val="22"/>
                <w:lang w:val="en-US" w:eastAsia="ja-JP"/>
              </w:rPr>
              <w:t>16/64/</w:t>
            </w:r>
            <w:r w:rsidRPr="007C759C">
              <w:rPr>
                <w:rFonts w:ascii="Arial" w:hAnsi="Arial" w:cs="Arial"/>
                <w:szCs w:val="22"/>
                <w:lang w:val="en-US" w:eastAsia="ja-JP"/>
              </w:rPr>
              <w:t>128/512 QAM</w:t>
            </w:r>
          </w:p>
        </w:tc>
      </w:tr>
      <w:tr w:rsidR="0070550F" w:rsidRPr="006F06D6" w14:paraId="7AAE3285" w14:textId="77777777" w:rsidTr="00E91502">
        <w:trPr>
          <w:jc w:val="center"/>
        </w:trPr>
        <w:tc>
          <w:tcPr>
            <w:tcW w:w="3314" w:type="dxa"/>
            <w:tcMar>
              <w:left w:w="57" w:type="dxa"/>
              <w:right w:w="57" w:type="dxa"/>
            </w:tcMar>
          </w:tcPr>
          <w:p w14:paraId="4EFE2980" w14:textId="77777777" w:rsidR="0070550F" w:rsidRPr="007C759C" w:rsidRDefault="0070550F" w:rsidP="009A03DA">
            <w:pPr>
              <w:pStyle w:val="Tabletext"/>
              <w:spacing w:before="20" w:after="20" w:line="240" w:lineRule="exact"/>
              <w:jc w:val="left"/>
              <w:rPr>
                <w:rFonts w:ascii="Arial" w:hAnsi="Arial" w:cs="Arial"/>
                <w:szCs w:val="22"/>
                <w:lang w:val="en-US"/>
              </w:rPr>
            </w:pPr>
            <w:r w:rsidRPr="007C759C">
              <w:rPr>
                <w:rFonts w:ascii="Arial" w:hAnsi="Arial" w:cs="Arial"/>
                <w:szCs w:val="22"/>
                <w:lang w:val="en-US"/>
              </w:rPr>
              <w:t>Channel spacing (MHz)</w:t>
            </w:r>
          </w:p>
        </w:tc>
        <w:tc>
          <w:tcPr>
            <w:tcW w:w="3769" w:type="dxa"/>
          </w:tcPr>
          <w:p w14:paraId="078B00E6" w14:textId="77777777" w:rsidR="0070550F" w:rsidRPr="007C759C" w:rsidRDefault="0070550F" w:rsidP="009A03DA">
            <w:pPr>
              <w:pStyle w:val="Tabletext"/>
              <w:spacing w:before="20" w:after="20" w:line="240" w:lineRule="exact"/>
              <w:jc w:val="center"/>
              <w:rPr>
                <w:rFonts w:ascii="Arial" w:hAnsi="Arial" w:cs="Arial"/>
                <w:szCs w:val="22"/>
                <w:lang w:eastAsia="ja-JP"/>
              </w:rPr>
            </w:pPr>
            <w:r w:rsidRPr="007C759C">
              <w:rPr>
                <w:rFonts w:ascii="Arial" w:hAnsi="Arial" w:cs="Arial"/>
                <w:szCs w:val="22"/>
                <w:lang w:eastAsia="ja-JP"/>
              </w:rPr>
              <w:t>3.5, 7, 14, 28, 56, 112</w:t>
            </w:r>
          </w:p>
        </w:tc>
      </w:tr>
      <w:tr w:rsidR="0070550F" w:rsidRPr="007C759C" w14:paraId="6E9F66C6" w14:textId="77777777" w:rsidTr="00E91502">
        <w:trPr>
          <w:jc w:val="center"/>
        </w:trPr>
        <w:tc>
          <w:tcPr>
            <w:tcW w:w="3314" w:type="dxa"/>
            <w:tcMar>
              <w:left w:w="57" w:type="dxa"/>
              <w:right w:w="57" w:type="dxa"/>
            </w:tcMar>
          </w:tcPr>
          <w:p w14:paraId="07D516A6" w14:textId="77777777" w:rsidR="0070550F" w:rsidRPr="007C759C" w:rsidRDefault="0070550F" w:rsidP="009A03DA">
            <w:pPr>
              <w:pStyle w:val="Tabletext"/>
              <w:spacing w:before="20" w:after="20" w:line="240" w:lineRule="exact"/>
              <w:jc w:val="left"/>
              <w:rPr>
                <w:rFonts w:ascii="Arial" w:hAnsi="Arial" w:cs="Arial"/>
                <w:szCs w:val="22"/>
                <w:lang w:val="en-US"/>
              </w:rPr>
            </w:pPr>
            <w:r w:rsidRPr="007C759C">
              <w:rPr>
                <w:rFonts w:ascii="Arial" w:hAnsi="Arial" w:cs="Arial"/>
                <w:szCs w:val="22"/>
                <w:lang w:val="en-US"/>
              </w:rPr>
              <w:t>Feeder/multiplexer loss (dB)</w:t>
            </w:r>
          </w:p>
        </w:tc>
        <w:tc>
          <w:tcPr>
            <w:tcW w:w="3769" w:type="dxa"/>
          </w:tcPr>
          <w:p w14:paraId="14D29B60" w14:textId="77777777" w:rsidR="0070550F" w:rsidRPr="007C759C" w:rsidRDefault="0070550F" w:rsidP="009A03DA">
            <w:pPr>
              <w:pStyle w:val="Tabletext"/>
              <w:spacing w:before="20" w:after="20" w:line="240" w:lineRule="exact"/>
              <w:jc w:val="center"/>
              <w:rPr>
                <w:rFonts w:ascii="Arial" w:hAnsi="Arial" w:cs="Arial"/>
                <w:szCs w:val="22"/>
                <w:lang w:eastAsia="ja-JP"/>
              </w:rPr>
            </w:pPr>
            <w:r w:rsidRPr="007C759C">
              <w:rPr>
                <w:rFonts w:ascii="Arial" w:hAnsi="Arial" w:cs="Arial"/>
                <w:szCs w:val="22"/>
                <w:lang w:eastAsia="ja-JP"/>
              </w:rPr>
              <w:t>0</w:t>
            </w:r>
          </w:p>
        </w:tc>
      </w:tr>
      <w:tr w:rsidR="0070550F" w:rsidRPr="0070550F" w14:paraId="763CE26E" w14:textId="77777777" w:rsidTr="00E91502">
        <w:trPr>
          <w:jc w:val="center"/>
        </w:trPr>
        <w:tc>
          <w:tcPr>
            <w:tcW w:w="3314" w:type="dxa"/>
            <w:tcMar>
              <w:left w:w="57" w:type="dxa"/>
              <w:right w:w="57" w:type="dxa"/>
            </w:tcMar>
          </w:tcPr>
          <w:p w14:paraId="74369CE8" w14:textId="77777777" w:rsidR="0070550F" w:rsidRPr="007C759C" w:rsidRDefault="0070550F" w:rsidP="009A03DA">
            <w:pPr>
              <w:pStyle w:val="Tabletext"/>
              <w:spacing w:before="20" w:after="20" w:line="240" w:lineRule="exact"/>
              <w:jc w:val="left"/>
              <w:rPr>
                <w:rFonts w:ascii="Arial" w:hAnsi="Arial" w:cs="Arial"/>
                <w:szCs w:val="22"/>
              </w:rPr>
            </w:pPr>
            <w:r w:rsidRPr="007C759C">
              <w:rPr>
                <w:rFonts w:ascii="Arial" w:hAnsi="Arial" w:cs="Arial"/>
                <w:szCs w:val="22"/>
              </w:rPr>
              <w:t>Antenna gain range (dBi)</w:t>
            </w:r>
          </w:p>
        </w:tc>
        <w:tc>
          <w:tcPr>
            <w:tcW w:w="3769" w:type="dxa"/>
          </w:tcPr>
          <w:p w14:paraId="6E2E6E88" w14:textId="77777777" w:rsidR="0070550F" w:rsidRPr="00E91502" w:rsidRDefault="0070550F" w:rsidP="009A03DA">
            <w:pPr>
              <w:pStyle w:val="Tabletext"/>
              <w:spacing w:before="20" w:after="20" w:line="240" w:lineRule="exact"/>
              <w:jc w:val="center"/>
              <w:rPr>
                <w:rFonts w:ascii="Arial" w:hAnsi="Arial" w:cs="Arial"/>
                <w:szCs w:val="22"/>
                <w:lang w:val="en-US" w:eastAsia="ja-JP"/>
              </w:rPr>
            </w:pPr>
            <w:r w:rsidRPr="00E91502">
              <w:rPr>
                <w:rFonts w:ascii="Arial" w:hAnsi="Arial" w:cs="Arial"/>
                <w:szCs w:val="22"/>
                <w:lang w:val="en-US" w:eastAsia="ja-JP"/>
              </w:rPr>
              <w:t>0.2 m antenna diameter: 31.5</w:t>
            </w:r>
            <w:r>
              <w:rPr>
                <w:rFonts w:ascii="Arial" w:hAnsi="Arial" w:cs="Arial"/>
                <w:szCs w:val="22"/>
                <w:lang w:val="en-US" w:eastAsia="ja-JP"/>
              </w:rPr>
              <w:t xml:space="preserve"> </w:t>
            </w:r>
          </w:p>
          <w:p w14:paraId="06535A29" w14:textId="77777777" w:rsidR="0070550F" w:rsidRPr="00E91502" w:rsidRDefault="0070550F" w:rsidP="009A03DA">
            <w:pPr>
              <w:pStyle w:val="Tabletext"/>
              <w:spacing w:before="20" w:after="20" w:line="240" w:lineRule="exact"/>
              <w:jc w:val="center"/>
              <w:rPr>
                <w:rFonts w:ascii="Arial" w:hAnsi="Arial" w:cs="Arial"/>
                <w:szCs w:val="22"/>
                <w:lang w:val="en-US" w:eastAsia="ja-JP"/>
              </w:rPr>
            </w:pPr>
            <w:r w:rsidRPr="00E91502">
              <w:rPr>
                <w:rFonts w:ascii="Arial" w:hAnsi="Arial" w:cs="Arial"/>
                <w:szCs w:val="22"/>
                <w:lang w:val="en-US" w:eastAsia="ja-JP"/>
              </w:rPr>
              <w:t>0.3 m antenna diameter: 36.6</w:t>
            </w:r>
          </w:p>
          <w:p w14:paraId="46B68905" w14:textId="77777777" w:rsidR="0070550F" w:rsidRPr="00E91502" w:rsidRDefault="0070550F" w:rsidP="009A03DA">
            <w:pPr>
              <w:pStyle w:val="Tabletext"/>
              <w:spacing w:before="20" w:after="20" w:line="240" w:lineRule="exact"/>
              <w:jc w:val="center"/>
              <w:rPr>
                <w:rFonts w:ascii="Arial" w:hAnsi="Arial" w:cs="Arial"/>
                <w:szCs w:val="22"/>
                <w:lang w:val="en-US" w:eastAsia="ja-JP"/>
              </w:rPr>
            </w:pPr>
            <w:r w:rsidRPr="00E91502">
              <w:rPr>
                <w:rFonts w:ascii="Arial" w:hAnsi="Arial" w:cs="Arial"/>
                <w:szCs w:val="22"/>
                <w:lang w:val="en-US" w:eastAsia="ja-JP"/>
              </w:rPr>
              <w:t>0.6 m antenna diameter: 42</w:t>
            </w:r>
          </w:p>
          <w:p w14:paraId="63B37282" w14:textId="77777777" w:rsidR="0070550F" w:rsidRPr="00E91502" w:rsidRDefault="0070550F" w:rsidP="009A03DA">
            <w:pPr>
              <w:pStyle w:val="Tabletext"/>
              <w:spacing w:before="20" w:after="20" w:line="240" w:lineRule="exact"/>
              <w:jc w:val="center"/>
              <w:rPr>
                <w:rFonts w:ascii="Arial" w:hAnsi="Arial" w:cs="Arial"/>
                <w:szCs w:val="22"/>
                <w:lang w:val="en-US" w:eastAsia="ja-JP"/>
              </w:rPr>
            </w:pPr>
            <w:r w:rsidRPr="00E91502">
              <w:rPr>
                <w:rFonts w:ascii="Arial" w:hAnsi="Arial" w:cs="Arial"/>
                <w:szCs w:val="22"/>
                <w:lang w:val="en-US" w:eastAsia="ja-JP"/>
              </w:rPr>
              <w:t>1.2 m antenna diameter: 47</w:t>
            </w:r>
          </w:p>
        </w:tc>
      </w:tr>
      <w:tr w:rsidR="0070550F" w:rsidRPr="007C759C" w14:paraId="765EDE60" w14:textId="77777777" w:rsidTr="00E91502">
        <w:trPr>
          <w:jc w:val="center"/>
        </w:trPr>
        <w:tc>
          <w:tcPr>
            <w:tcW w:w="3314" w:type="dxa"/>
            <w:tcMar>
              <w:left w:w="57" w:type="dxa"/>
              <w:right w:w="57" w:type="dxa"/>
            </w:tcMar>
          </w:tcPr>
          <w:p w14:paraId="18C783CF" w14:textId="77777777" w:rsidR="0070550F" w:rsidRPr="007C759C" w:rsidRDefault="0070550F" w:rsidP="009A03DA">
            <w:pPr>
              <w:pStyle w:val="Tabletext"/>
              <w:spacing w:before="20" w:after="20" w:line="240" w:lineRule="exact"/>
              <w:jc w:val="left"/>
              <w:rPr>
                <w:rFonts w:ascii="Arial" w:hAnsi="Arial" w:cs="Arial"/>
                <w:szCs w:val="22"/>
              </w:rPr>
            </w:pPr>
            <w:r w:rsidRPr="007C759C">
              <w:rPr>
                <w:rFonts w:ascii="Arial" w:hAnsi="Arial" w:cs="Arial"/>
                <w:szCs w:val="22"/>
              </w:rPr>
              <w:t>e.i.r.p.</w:t>
            </w:r>
            <w:r w:rsidRPr="007C759C">
              <w:rPr>
                <w:rFonts w:ascii="Arial" w:hAnsi="Arial" w:cs="Arial"/>
                <w:szCs w:val="22"/>
                <w:lang w:eastAsia="ja-JP"/>
              </w:rPr>
              <w:t xml:space="preserve"> </w:t>
            </w:r>
            <w:r w:rsidRPr="007C759C">
              <w:rPr>
                <w:rFonts w:ascii="Arial" w:hAnsi="Arial" w:cs="Arial"/>
                <w:szCs w:val="22"/>
              </w:rPr>
              <w:t xml:space="preserve">range </w:t>
            </w:r>
            <w:r w:rsidRPr="00E91502">
              <w:rPr>
                <w:rFonts w:ascii="Arial" w:hAnsi="Arial" w:cs="Arial"/>
                <w:szCs w:val="22"/>
              </w:rPr>
              <w:t>(dBW)</w:t>
            </w:r>
          </w:p>
        </w:tc>
        <w:tc>
          <w:tcPr>
            <w:tcW w:w="3769" w:type="dxa"/>
          </w:tcPr>
          <w:p w14:paraId="39185AC4" w14:textId="77777777" w:rsidR="0070550F" w:rsidRPr="007C759C" w:rsidRDefault="0070550F">
            <w:pPr>
              <w:pStyle w:val="Tabletext"/>
              <w:spacing w:before="20" w:after="20" w:line="240" w:lineRule="exact"/>
              <w:jc w:val="center"/>
              <w:rPr>
                <w:rFonts w:ascii="Arial" w:hAnsi="Arial" w:cs="Arial"/>
                <w:szCs w:val="22"/>
                <w:lang w:val="en-US"/>
              </w:rPr>
            </w:pPr>
            <w:r w:rsidRPr="007C759C">
              <w:rPr>
                <w:rFonts w:ascii="Arial" w:hAnsi="Arial" w:cs="Arial"/>
                <w:szCs w:val="22"/>
                <w:lang w:eastAsia="ja-JP"/>
              </w:rPr>
              <w:t>−</w:t>
            </w:r>
            <w:r w:rsidRPr="007C759C">
              <w:rPr>
                <w:rFonts w:ascii="Arial" w:hAnsi="Arial" w:cs="Arial"/>
                <w:szCs w:val="22"/>
              </w:rPr>
              <w:t>8...38</w:t>
            </w:r>
            <w:r w:rsidR="003470F1">
              <w:rPr>
                <w:rFonts w:ascii="Arial" w:hAnsi="Arial" w:cs="Arial"/>
                <w:szCs w:val="22"/>
              </w:rPr>
              <w:t xml:space="preserve"> </w:t>
            </w:r>
          </w:p>
        </w:tc>
      </w:tr>
      <w:tr w:rsidR="0070550F" w:rsidRPr="00882F90" w14:paraId="5E5B586B" w14:textId="77777777" w:rsidTr="003470F1">
        <w:trPr>
          <w:jc w:val="center"/>
        </w:trPr>
        <w:tc>
          <w:tcPr>
            <w:tcW w:w="3314" w:type="dxa"/>
            <w:tcMar>
              <w:left w:w="57" w:type="dxa"/>
              <w:right w:w="57" w:type="dxa"/>
            </w:tcMar>
          </w:tcPr>
          <w:p w14:paraId="30860C86" w14:textId="77777777" w:rsidR="0070550F" w:rsidRPr="007C759C" w:rsidRDefault="0070550F" w:rsidP="009A03DA">
            <w:pPr>
              <w:pStyle w:val="Tabletext"/>
              <w:spacing w:before="20" w:after="20" w:line="240" w:lineRule="exact"/>
              <w:jc w:val="left"/>
              <w:rPr>
                <w:rFonts w:ascii="Arial" w:hAnsi="Arial" w:cs="Arial"/>
                <w:szCs w:val="22"/>
                <w:lang w:val="en-US"/>
              </w:rPr>
            </w:pPr>
            <w:r w:rsidRPr="00E91502">
              <w:rPr>
                <w:rFonts w:ascii="Arial" w:hAnsi="Arial" w:cs="Arial"/>
                <w:szCs w:val="22"/>
                <w:lang w:val="en-US"/>
              </w:rPr>
              <w:t>Receiver noise figure typical (dB)</w:t>
            </w:r>
          </w:p>
        </w:tc>
        <w:tc>
          <w:tcPr>
            <w:tcW w:w="3769" w:type="dxa"/>
          </w:tcPr>
          <w:p w14:paraId="219B5011" w14:textId="77777777" w:rsidR="0070550F" w:rsidRPr="00E91502" w:rsidRDefault="0070550F" w:rsidP="009A03DA">
            <w:pPr>
              <w:pStyle w:val="Tabletext"/>
              <w:spacing w:before="20" w:after="20" w:line="240" w:lineRule="exact"/>
              <w:jc w:val="center"/>
              <w:rPr>
                <w:rFonts w:ascii="Arial" w:hAnsi="Arial" w:cs="Arial"/>
                <w:szCs w:val="22"/>
                <w:lang w:val="en-US" w:eastAsia="ja-JP"/>
              </w:rPr>
            </w:pPr>
            <w:r w:rsidRPr="003470F1">
              <w:rPr>
                <w:rFonts w:ascii="Arial" w:hAnsi="Arial" w:cs="Arial"/>
                <w:szCs w:val="22"/>
                <w:lang w:eastAsia="ja-JP"/>
              </w:rPr>
              <w:t xml:space="preserve">6.5 </w:t>
            </w:r>
          </w:p>
        </w:tc>
      </w:tr>
      <w:tr w:rsidR="0070550F" w:rsidRPr="00882F90" w14:paraId="00B5E9BD" w14:textId="77777777" w:rsidTr="003470F1">
        <w:trPr>
          <w:jc w:val="center"/>
        </w:trPr>
        <w:tc>
          <w:tcPr>
            <w:tcW w:w="3314" w:type="dxa"/>
            <w:tcMar>
              <w:left w:w="57" w:type="dxa"/>
              <w:right w:w="57" w:type="dxa"/>
            </w:tcMar>
          </w:tcPr>
          <w:p w14:paraId="715BDC35" w14:textId="77777777" w:rsidR="0070550F" w:rsidRPr="007C759C" w:rsidRDefault="0070550F" w:rsidP="009A03DA">
            <w:pPr>
              <w:pStyle w:val="Tabletext"/>
              <w:spacing w:before="20" w:after="20" w:line="240" w:lineRule="exact"/>
              <w:jc w:val="left"/>
              <w:rPr>
                <w:rFonts w:ascii="Arial" w:hAnsi="Arial" w:cs="Arial"/>
                <w:szCs w:val="22"/>
                <w:lang w:val="en-US"/>
              </w:rPr>
            </w:pPr>
            <w:r w:rsidRPr="007C759C">
              <w:rPr>
                <w:rFonts w:ascii="Arial" w:hAnsi="Arial" w:cs="Arial"/>
                <w:szCs w:val="22"/>
                <w:lang w:val="en-US"/>
              </w:rPr>
              <w:t xml:space="preserve">Receiver noise power density typical </w:t>
            </w:r>
            <w:r w:rsidRPr="007C759C">
              <w:rPr>
                <w:rFonts w:ascii="Arial" w:hAnsi="Arial" w:cs="Arial"/>
                <w:szCs w:val="22"/>
                <w:lang w:val="en-US" w:eastAsia="ja-JP"/>
              </w:rPr>
              <w:t>(=</w:t>
            </w:r>
            <w:r w:rsidRPr="007C759C">
              <w:rPr>
                <w:rFonts w:ascii="Arial" w:hAnsi="Arial" w:cs="Arial"/>
                <w:i/>
                <w:iCs/>
                <w:szCs w:val="22"/>
                <w:lang w:val="en-US"/>
              </w:rPr>
              <w:t>N</w:t>
            </w:r>
            <w:r w:rsidRPr="007C759C">
              <w:rPr>
                <w:rFonts w:ascii="Arial" w:hAnsi="Arial" w:cs="Arial"/>
                <w:i/>
                <w:iCs/>
                <w:szCs w:val="22"/>
                <w:vertAlign w:val="subscript"/>
                <w:lang w:val="en-US"/>
              </w:rPr>
              <w:t>RX</w:t>
            </w:r>
            <w:r w:rsidRPr="007C759C">
              <w:rPr>
                <w:rFonts w:ascii="Arial" w:hAnsi="Arial" w:cs="Arial"/>
                <w:szCs w:val="22"/>
                <w:lang w:val="en-US" w:eastAsia="ja-JP"/>
              </w:rPr>
              <w:t>)</w:t>
            </w:r>
            <w:r w:rsidRPr="007C759C">
              <w:rPr>
                <w:rFonts w:ascii="Arial" w:hAnsi="Arial" w:cs="Arial"/>
                <w:szCs w:val="22"/>
                <w:lang w:val="en-US"/>
              </w:rPr>
              <w:t xml:space="preserve"> (dBW/MHz)</w:t>
            </w:r>
          </w:p>
        </w:tc>
        <w:tc>
          <w:tcPr>
            <w:tcW w:w="3769" w:type="dxa"/>
          </w:tcPr>
          <w:p w14:paraId="6C1BC733" w14:textId="77777777" w:rsidR="0070550F" w:rsidRPr="00E91502" w:rsidRDefault="0070550F" w:rsidP="0070550F">
            <w:pPr>
              <w:pStyle w:val="Tabletext"/>
              <w:spacing w:before="20" w:after="20" w:line="240" w:lineRule="exact"/>
              <w:jc w:val="center"/>
              <w:rPr>
                <w:rFonts w:ascii="Arial" w:hAnsi="Arial" w:cs="Arial"/>
                <w:szCs w:val="22"/>
                <w:lang w:val="en-US" w:eastAsia="ja-JP"/>
              </w:rPr>
            </w:pPr>
            <w:r w:rsidRPr="00E91502">
              <w:rPr>
                <w:rFonts w:ascii="Arial" w:hAnsi="Arial" w:cs="Arial"/>
                <w:szCs w:val="22"/>
                <w:lang w:val="en-US" w:eastAsia="ja-JP"/>
              </w:rPr>
              <w:t>−</w:t>
            </w:r>
            <w:r w:rsidRPr="003470F1">
              <w:rPr>
                <w:rFonts w:ascii="Arial" w:hAnsi="Arial" w:cs="Arial"/>
                <w:szCs w:val="22"/>
                <w:lang w:eastAsia="ja-JP"/>
              </w:rPr>
              <w:t>137.5</w:t>
            </w:r>
          </w:p>
        </w:tc>
      </w:tr>
      <w:tr w:rsidR="0070550F" w:rsidRPr="007C759C" w14:paraId="3E936763" w14:textId="77777777" w:rsidTr="00E91502">
        <w:trPr>
          <w:jc w:val="center"/>
        </w:trPr>
        <w:tc>
          <w:tcPr>
            <w:tcW w:w="3314" w:type="dxa"/>
            <w:tcBorders>
              <w:bottom w:val="single" w:sz="4" w:space="0" w:color="auto"/>
            </w:tcBorders>
            <w:tcMar>
              <w:left w:w="57" w:type="dxa"/>
              <w:right w:w="57" w:type="dxa"/>
            </w:tcMar>
          </w:tcPr>
          <w:p w14:paraId="5DD4B506" w14:textId="77777777" w:rsidR="0070550F" w:rsidRPr="007C759C" w:rsidDel="00981BB7" w:rsidRDefault="0070550F" w:rsidP="009A03DA">
            <w:pPr>
              <w:pStyle w:val="Tabletext"/>
              <w:spacing w:before="20" w:after="20" w:line="240" w:lineRule="exact"/>
              <w:jc w:val="left"/>
              <w:rPr>
                <w:rFonts w:ascii="Arial" w:hAnsi="Arial" w:cs="Arial"/>
                <w:szCs w:val="22"/>
                <w:lang w:val="en-US"/>
              </w:rPr>
            </w:pPr>
            <w:r w:rsidRPr="007C759C">
              <w:rPr>
                <w:rFonts w:ascii="Arial" w:hAnsi="Arial" w:cs="Arial"/>
                <w:szCs w:val="22"/>
                <w:lang w:val="en-US"/>
              </w:rPr>
              <w:t xml:space="preserve">Polarization </w:t>
            </w:r>
          </w:p>
        </w:tc>
        <w:tc>
          <w:tcPr>
            <w:tcW w:w="3769" w:type="dxa"/>
            <w:tcBorders>
              <w:bottom w:val="single" w:sz="4" w:space="0" w:color="auto"/>
            </w:tcBorders>
          </w:tcPr>
          <w:p w14:paraId="44319E51" w14:textId="77777777" w:rsidR="0070550F" w:rsidRPr="007C759C" w:rsidRDefault="0070550F" w:rsidP="009A03DA">
            <w:pPr>
              <w:pStyle w:val="Tabletext"/>
              <w:spacing w:before="20" w:after="20" w:line="240" w:lineRule="exact"/>
              <w:jc w:val="center"/>
              <w:rPr>
                <w:rFonts w:ascii="Arial" w:hAnsi="Arial" w:cs="Arial"/>
                <w:szCs w:val="22"/>
                <w:lang w:eastAsia="ja-JP"/>
              </w:rPr>
            </w:pPr>
            <w:r w:rsidRPr="007C759C">
              <w:rPr>
                <w:rFonts w:ascii="Arial" w:hAnsi="Arial" w:cs="Arial"/>
                <w:szCs w:val="22"/>
                <w:lang w:eastAsia="ja-JP"/>
              </w:rPr>
              <w:t>V, H or both</w:t>
            </w:r>
          </w:p>
        </w:tc>
      </w:tr>
    </w:tbl>
    <w:p w14:paraId="37F21243" w14:textId="77777777" w:rsidR="007C759C" w:rsidRPr="00E91502" w:rsidRDefault="007C759C" w:rsidP="007C759C">
      <w:pPr>
        <w:rPr>
          <w:rStyle w:val="ECCParagraph"/>
          <w:rFonts w:cs="Arial"/>
          <w:sz w:val="22"/>
          <w:lang w:val="en-US"/>
        </w:rPr>
      </w:pPr>
    </w:p>
    <w:sectPr w:rsidR="007C759C" w:rsidRPr="00E91502" w:rsidSect="00797DEE">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CF308" w14:textId="77777777" w:rsidR="00646251" w:rsidRDefault="00646251" w:rsidP="00DB17F9">
      <w:r>
        <w:separator/>
      </w:r>
    </w:p>
    <w:p w14:paraId="7064347F" w14:textId="77777777" w:rsidR="00646251" w:rsidRDefault="00646251"/>
  </w:endnote>
  <w:endnote w:type="continuationSeparator" w:id="0">
    <w:p w14:paraId="4F3EEDFD" w14:textId="77777777" w:rsidR="00646251" w:rsidRDefault="00646251" w:rsidP="00DB17F9">
      <w:r>
        <w:continuationSeparator/>
      </w:r>
    </w:p>
    <w:p w14:paraId="3C3CD482" w14:textId="77777777" w:rsidR="00646251" w:rsidRDefault="00646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917A" w14:textId="77777777" w:rsidR="00102A2C" w:rsidRDefault="00102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32E0" w14:textId="77777777" w:rsidR="00102A2C" w:rsidRDefault="00102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7297" w14:textId="77777777" w:rsidR="00102A2C" w:rsidRDefault="00102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D868" w14:textId="77777777" w:rsidR="00646251" w:rsidRPr="00F51BD6" w:rsidRDefault="00646251" w:rsidP="00CD07E7">
      <w:pPr>
        <w:spacing w:before="120" w:after="0"/>
      </w:pPr>
      <w:r>
        <w:separator/>
      </w:r>
    </w:p>
  </w:footnote>
  <w:footnote w:type="continuationSeparator" w:id="0">
    <w:p w14:paraId="7D85E78B" w14:textId="77777777" w:rsidR="00646251" w:rsidRDefault="00646251" w:rsidP="00CD07E7">
      <w:pPr>
        <w:spacing w:before="120" w:after="0"/>
      </w:pPr>
      <w:r>
        <w:continuationSeparator/>
      </w:r>
    </w:p>
  </w:footnote>
  <w:footnote w:type="continuationNotice" w:id="1">
    <w:p w14:paraId="3F828960" w14:textId="77777777" w:rsidR="00646251" w:rsidRPr="00CD07E7" w:rsidRDefault="00646251"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8714" w14:textId="77777777"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2AF6" w14:textId="292623FB"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B12195">
      <w:rPr>
        <w:noProof/>
      </w:rPr>
      <w:t>2</w:t>
    </w:r>
    <w:r w:rsidRPr="00714F0F">
      <w:fldChar w:fldCharType="end"/>
    </w:r>
  </w:p>
  <w:p w14:paraId="3CAE0220" w14:textId="77777777" w:rsidR="00E11D7E" w:rsidRDefault="00E11D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C0E0" w14:textId="77777777" w:rsidR="00102A2C" w:rsidRDefault="00102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5pt;height:59.5pt" o:bullet="t">
        <v:imagedata r:id="rId1" o:title="Editor's Note"/>
      </v:shape>
    </w:pict>
  </w:numPicBullet>
  <w:abstractNum w:abstractNumId="0" w15:restartNumberingAfterBreak="0">
    <w:nsid w:val="05A41C72"/>
    <w:multiLevelType w:val="hybridMultilevel"/>
    <w:tmpl w:val="DDE8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87912"/>
    <w:multiLevelType w:val="hybridMultilevel"/>
    <w:tmpl w:val="B776D530"/>
    <w:lvl w:ilvl="0" w:tplc="C160FF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5C80964"/>
    <w:multiLevelType w:val="hybridMultilevel"/>
    <w:tmpl w:val="E9C00184"/>
    <w:lvl w:ilvl="0" w:tplc="3978F7FA">
      <w:start w:val="1"/>
      <w:numFmt w:val="decimal"/>
      <w:pStyle w:val="BN"/>
      <w:lvlText w:val="%1)"/>
      <w:lvlJc w:val="left"/>
      <w:pPr>
        <w:tabs>
          <w:tab w:val="num" w:pos="737"/>
        </w:tabs>
        <w:ind w:left="737" w:hanging="453"/>
      </w:pPr>
      <w:rPr>
        <w:rFonts w:hint="default"/>
      </w:rPr>
    </w:lvl>
    <w:lvl w:ilvl="1" w:tplc="040C000B" w:tentative="1">
      <w:start w:val="1"/>
      <w:numFmt w:val="lowerLetter"/>
      <w:lvlText w:val="%2."/>
      <w:lvlJc w:val="left"/>
      <w:pPr>
        <w:tabs>
          <w:tab w:val="num" w:pos="1440"/>
        </w:tabs>
        <w:ind w:left="1440" w:hanging="360"/>
      </w:pPr>
    </w:lvl>
    <w:lvl w:ilvl="2" w:tplc="35D8F3E4" w:tentative="1">
      <w:start w:val="1"/>
      <w:numFmt w:val="lowerRoman"/>
      <w:lvlText w:val="%3."/>
      <w:lvlJc w:val="right"/>
      <w:pPr>
        <w:tabs>
          <w:tab w:val="num" w:pos="2160"/>
        </w:tabs>
        <w:ind w:left="2160" w:hanging="180"/>
      </w:pPr>
    </w:lvl>
    <w:lvl w:ilvl="3" w:tplc="F9FE2900" w:tentative="1">
      <w:start w:val="1"/>
      <w:numFmt w:val="decimal"/>
      <w:lvlText w:val="%4."/>
      <w:lvlJc w:val="left"/>
      <w:pPr>
        <w:tabs>
          <w:tab w:val="num" w:pos="2880"/>
        </w:tabs>
        <w:ind w:left="2880" w:hanging="360"/>
      </w:pPr>
    </w:lvl>
    <w:lvl w:ilvl="4" w:tplc="27EA7E46" w:tentative="1">
      <w:start w:val="1"/>
      <w:numFmt w:val="lowerLetter"/>
      <w:lvlText w:val="%5."/>
      <w:lvlJc w:val="left"/>
      <w:pPr>
        <w:tabs>
          <w:tab w:val="num" w:pos="3600"/>
        </w:tabs>
        <w:ind w:left="3600" w:hanging="360"/>
      </w:pPr>
    </w:lvl>
    <w:lvl w:ilvl="5" w:tplc="D61C8882" w:tentative="1">
      <w:start w:val="1"/>
      <w:numFmt w:val="lowerRoman"/>
      <w:lvlText w:val="%6."/>
      <w:lvlJc w:val="right"/>
      <w:pPr>
        <w:tabs>
          <w:tab w:val="num" w:pos="4320"/>
        </w:tabs>
        <w:ind w:left="4320" w:hanging="180"/>
      </w:pPr>
    </w:lvl>
    <w:lvl w:ilvl="6" w:tplc="4802E618" w:tentative="1">
      <w:start w:val="1"/>
      <w:numFmt w:val="decimal"/>
      <w:lvlText w:val="%7."/>
      <w:lvlJc w:val="left"/>
      <w:pPr>
        <w:tabs>
          <w:tab w:val="num" w:pos="5040"/>
        </w:tabs>
        <w:ind w:left="5040" w:hanging="360"/>
      </w:pPr>
    </w:lvl>
    <w:lvl w:ilvl="7" w:tplc="CCA2FE5E" w:tentative="1">
      <w:start w:val="1"/>
      <w:numFmt w:val="lowerLetter"/>
      <w:lvlText w:val="%8."/>
      <w:lvlJc w:val="left"/>
      <w:pPr>
        <w:tabs>
          <w:tab w:val="num" w:pos="5760"/>
        </w:tabs>
        <w:ind w:left="5760" w:hanging="360"/>
      </w:pPr>
    </w:lvl>
    <w:lvl w:ilvl="8" w:tplc="0FD0192C" w:tentative="1">
      <w:start w:val="1"/>
      <w:numFmt w:val="lowerRoman"/>
      <w:lvlText w:val="%9."/>
      <w:lvlJc w:val="right"/>
      <w:pPr>
        <w:tabs>
          <w:tab w:val="num" w:pos="6480"/>
        </w:tabs>
        <w:ind w:left="6480" w:hanging="180"/>
      </w:pPr>
    </w:lvl>
  </w:abstractNum>
  <w:abstractNum w:abstractNumId="7"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520023DC"/>
    <w:multiLevelType w:val="hybridMultilevel"/>
    <w:tmpl w:val="D2189500"/>
    <w:lvl w:ilvl="0" w:tplc="9F8E77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23715E"/>
    <w:multiLevelType w:val="multilevel"/>
    <w:tmpl w:val="FC78219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10"/>
  </w:num>
  <w:num w:numId="4">
    <w:abstractNumId w:val="5"/>
  </w:num>
  <w:num w:numId="5">
    <w:abstractNumId w:val="8"/>
  </w:num>
  <w:num w:numId="6">
    <w:abstractNumId w:val="7"/>
  </w:num>
  <w:num w:numId="7">
    <w:abstractNumId w:val="9"/>
  </w:num>
  <w:num w:numId="8">
    <w:abstractNumId w:val="4"/>
  </w:num>
  <w:num w:numId="9">
    <w:abstractNumId w:val="4"/>
  </w:num>
  <w:num w:numId="10">
    <w:abstractNumId w:val="12"/>
  </w:num>
  <w:num w:numId="11">
    <w:abstractNumId w:val="6"/>
  </w:num>
  <w:num w:numId="12">
    <w:abstractNumId w:val="2"/>
  </w:num>
  <w:num w:numId="13">
    <w:abstractNumId w:val="11"/>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3sTCwtDQ1NTWxMDFW0lEKTi0uzszPAykwqwUA/bhhKSwAAAA="/>
  </w:docVars>
  <w:rsids>
    <w:rsidRoot w:val="00265F50"/>
    <w:rsid w:val="0001112E"/>
    <w:rsid w:val="00012E3B"/>
    <w:rsid w:val="00027302"/>
    <w:rsid w:val="00041A18"/>
    <w:rsid w:val="0004622B"/>
    <w:rsid w:val="00057111"/>
    <w:rsid w:val="00067793"/>
    <w:rsid w:val="00080D4D"/>
    <w:rsid w:val="00082DD7"/>
    <w:rsid w:val="00091C4C"/>
    <w:rsid w:val="00095620"/>
    <w:rsid w:val="000A3940"/>
    <w:rsid w:val="000B6D45"/>
    <w:rsid w:val="000C028F"/>
    <w:rsid w:val="000D1710"/>
    <w:rsid w:val="000D43BB"/>
    <w:rsid w:val="000E3E4D"/>
    <w:rsid w:val="000E42F5"/>
    <w:rsid w:val="000F0594"/>
    <w:rsid w:val="000F0CA8"/>
    <w:rsid w:val="000F24F5"/>
    <w:rsid w:val="000F2ED9"/>
    <w:rsid w:val="001006CA"/>
    <w:rsid w:val="00100F8B"/>
    <w:rsid w:val="00102172"/>
    <w:rsid w:val="00102A2C"/>
    <w:rsid w:val="00110652"/>
    <w:rsid w:val="001258E3"/>
    <w:rsid w:val="001526A2"/>
    <w:rsid w:val="00154F16"/>
    <w:rsid w:val="00156314"/>
    <w:rsid w:val="00172B28"/>
    <w:rsid w:val="00174948"/>
    <w:rsid w:val="00183FE0"/>
    <w:rsid w:val="0018553F"/>
    <w:rsid w:val="001A01CA"/>
    <w:rsid w:val="001B0583"/>
    <w:rsid w:val="001C30A8"/>
    <w:rsid w:val="0020079A"/>
    <w:rsid w:val="00222F9E"/>
    <w:rsid w:val="002302A9"/>
    <w:rsid w:val="00231A0F"/>
    <w:rsid w:val="00237C12"/>
    <w:rsid w:val="00263FFB"/>
    <w:rsid w:val="00265F50"/>
    <w:rsid w:val="00274F84"/>
    <w:rsid w:val="0027787F"/>
    <w:rsid w:val="0028060B"/>
    <w:rsid w:val="0028120C"/>
    <w:rsid w:val="00283417"/>
    <w:rsid w:val="00295827"/>
    <w:rsid w:val="00295F16"/>
    <w:rsid w:val="00296C44"/>
    <w:rsid w:val="002A033F"/>
    <w:rsid w:val="002C6DC3"/>
    <w:rsid w:val="002D1FA9"/>
    <w:rsid w:val="002D50A3"/>
    <w:rsid w:val="002D6156"/>
    <w:rsid w:val="002F70E6"/>
    <w:rsid w:val="003007C0"/>
    <w:rsid w:val="00307A79"/>
    <w:rsid w:val="003204D5"/>
    <w:rsid w:val="00320ED0"/>
    <w:rsid w:val="00322E6A"/>
    <w:rsid w:val="00325330"/>
    <w:rsid w:val="003314A0"/>
    <w:rsid w:val="003470F1"/>
    <w:rsid w:val="003508F2"/>
    <w:rsid w:val="003751BE"/>
    <w:rsid w:val="00381169"/>
    <w:rsid w:val="0038287C"/>
    <w:rsid w:val="0038358E"/>
    <w:rsid w:val="00387DDE"/>
    <w:rsid w:val="00391A01"/>
    <w:rsid w:val="00392A41"/>
    <w:rsid w:val="00394AD1"/>
    <w:rsid w:val="003A0EB5"/>
    <w:rsid w:val="003A5711"/>
    <w:rsid w:val="003C64D9"/>
    <w:rsid w:val="003E2E42"/>
    <w:rsid w:val="003E70E0"/>
    <w:rsid w:val="00403CE6"/>
    <w:rsid w:val="004110CA"/>
    <w:rsid w:val="0041160E"/>
    <w:rsid w:val="0042761F"/>
    <w:rsid w:val="00431162"/>
    <w:rsid w:val="00441EE0"/>
    <w:rsid w:val="00443482"/>
    <w:rsid w:val="00450199"/>
    <w:rsid w:val="00450308"/>
    <w:rsid w:val="00457AD1"/>
    <w:rsid w:val="0046427F"/>
    <w:rsid w:val="004731F9"/>
    <w:rsid w:val="00474936"/>
    <w:rsid w:val="00483682"/>
    <w:rsid w:val="00485665"/>
    <w:rsid w:val="00491977"/>
    <w:rsid w:val="004A1329"/>
    <w:rsid w:val="004B651C"/>
    <w:rsid w:val="004C1A87"/>
    <w:rsid w:val="004C4A2E"/>
    <w:rsid w:val="004E057E"/>
    <w:rsid w:val="004E44C8"/>
    <w:rsid w:val="004E53BE"/>
    <w:rsid w:val="004E7F82"/>
    <w:rsid w:val="004F3EA9"/>
    <w:rsid w:val="00501992"/>
    <w:rsid w:val="005026AC"/>
    <w:rsid w:val="00507B16"/>
    <w:rsid w:val="00510AE7"/>
    <w:rsid w:val="0052021C"/>
    <w:rsid w:val="00520EFD"/>
    <w:rsid w:val="0053062A"/>
    <w:rsid w:val="00535050"/>
    <w:rsid w:val="00536F3C"/>
    <w:rsid w:val="0054260E"/>
    <w:rsid w:val="0054499F"/>
    <w:rsid w:val="00550D79"/>
    <w:rsid w:val="005545C4"/>
    <w:rsid w:val="00555127"/>
    <w:rsid w:val="005559AC"/>
    <w:rsid w:val="00555FB3"/>
    <w:rsid w:val="00557B5A"/>
    <w:rsid w:val="005611D0"/>
    <w:rsid w:val="00566BD4"/>
    <w:rsid w:val="00576411"/>
    <w:rsid w:val="00577CAF"/>
    <w:rsid w:val="00580223"/>
    <w:rsid w:val="00594186"/>
    <w:rsid w:val="005A05D1"/>
    <w:rsid w:val="005A53B8"/>
    <w:rsid w:val="005A608C"/>
    <w:rsid w:val="005B202B"/>
    <w:rsid w:val="005C10EB"/>
    <w:rsid w:val="005C2301"/>
    <w:rsid w:val="005C5A96"/>
    <w:rsid w:val="005D371D"/>
    <w:rsid w:val="005E7495"/>
    <w:rsid w:val="005F6ABC"/>
    <w:rsid w:val="00621C12"/>
    <w:rsid w:val="00623E18"/>
    <w:rsid w:val="00625C5D"/>
    <w:rsid w:val="006313D8"/>
    <w:rsid w:val="00635A22"/>
    <w:rsid w:val="00642083"/>
    <w:rsid w:val="00646251"/>
    <w:rsid w:val="0065550D"/>
    <w:rsid w:val="00664295"/>
    <w:rsid w:val="00665364"/>
    <w:rsid w:val="00667B35"/>
    <w:rsid w:val="006713EB"/>
    <w:rsid w:val="00673A9B"/>
    <w:rsid w:val="006876A8"/>
    <w:rsid w:val="006A3B77"/>
    <w:rsid w:val="006A49E3"/>
    <w:rsid w:val="006A719D"/>
    <w:rsid w:val="006B1EFD"/>
    <w:rsid w:val="006C14E4"/>
    <w:rsid w:val="006C6DA8"/>
    <w:rsid w:val="006C7D55"/>
    <w:rsid w:val="006C7F61"/>
    <w:rsid w:val="006D407F"/>
    <w:rsid w:val="006F0442"/>
    <w:rsid w:val="006F06D6"/>
    <w:rsid w:val="0070550F"/>
    <w:rsid w:val="00714F0F"/>
    <w:rsid w:val="007160BE"/>
    <w:rsid w:val="00716B7C"/>
    <w:rsid w:val="00722F65"/>
    <w:rsid w:val="007257CD"/>
    <w:rsid w:val="0073433F"/>
    <w:rsid w:val="00734A4F"/>
    <w:rsid w:val="00735167"/>
    <w:rsid w:val="007414C6"/>
    <w:rsid w:val="00762BCC"/>
    <w:rsid w:val="00763BA3"/>
    <w:rsid w:val="00765B66"/>
    <w:rsid w:val="00766CB1"/>
    <w:rsid w:val="00767BB2"/>
    <w:rsid w:val="0077159C"/>
    <w:rsid w:val="00776D23"/>
    <w:rsid w:val="00780376"/>
    <w:rsid w:val="00780EE3"/>
    <w:rsid w:val="00791AAC"/>
    <w:rsid w:val="00797D4C"/>
    <w:rsid w:val="00797DEE"/>
    <w:rsid w:val="007C0E7E"/>
    <w:rsid w:val="007C4098"/>
    <w:rsid w:val="007C759C"/>
    <w:rsid w:val="007D17C5"/>
    <w:rsid w:val="007D52EC"/>
    <w:rsid w:val="007E1A57"/>
    <w:rsid w:val="007F1CEE"/>
    <w:rsid w:val="007F500A"/>
    <w:rsid w:val="00807C77"/>
    <w:rsid w:val="00837537"/>
    <w:rsid w:val="00842766"/>
    <w:rsid w:val="00854EBF"/>
    <w:rsid w:val="0085656F"/>
    <w:rsid w:val="0086094D"/>
    <w:rsid w:val="0086731C"/>
    <w:rsid w:val="00872382"/>
    <w:rsid w:val="00882F90"/>
    <w:rsid w:val="00886906"/>
    <w:rsid w:val="008912FE"/>
    <w:rsid w:val="0089452B"/>
    <w:rsid w:val="008A245D"/>
    <w:rsid w:val="008A54FC"/>
    <w:rsid w:val="008B70CD"/>
    <w:rsid w:val="008B72F8"/>
    <w:rsid w:val="008D141C"/>
    <w:rsid w:val="008D2C13"/>
    <w:rsid w:val="008E6109"/>
    <w:rsid w:val="008F47AB"/>
    <w:rsid w:val="00907A34"/>
    <w:rsid w:val="009105A8"/>
    <w:rsid w:val="009170EA"/>
    <w:rsid w:val="0092076F"/>
    <w:rsid w:val="00930439"/>
    <w:rsid w:val="00937AEB"/>
    <w:rsid w:val="00956037"/>
    <w:rsid w:val="009662E3"/>
    <w:rsid w:val="00966DD9"/>
    <w:rsid w:val="0097039E"/>
    <w:rsid w:val="00986677"/>
    <w:rsid w:val="0099421C"/>
    <w:rsid w:val="009A2F3A"/>
    <w:rsid w:val="009A7A45"/>
    <w:rsid w:val="009C3803"/>
    <w:rsid w:val="009D2C13"/>
    <w:rsid w:val="009D3BA5"/>
    <w:rsid w:val="009D4BA1"/>
    <w:rsid w:val="009D56DB"/>
    <w:rsid w:val="009D7D5A"/>
    <w:rsid w:val="009E47EB"/>
    <w:rsid w:val="009F3A37"/>
    <w:rsid w:val="009F6EA2"/>
    <w:rsid w:val="00A02090"/>
    <w:rsid w:val="00A03731"/>
    <w:rsid w:val="00A061CE"/>
    <w:rsid w:val="00A076B5"/>
    <w:rsid w:val="00A17F69"/>
    <w:rsid w:val="00A23870"/>
    <w:rsid w:val="00A274DB"/>
    <w:rsid w:val="00A41586"/>
    <w:rsid w:val="00A41E1E"/>
    <w:rsid w:val="00A62F7C"/>
    <w:rsid w:val="00A6411D"/>
    <w:rsid w:val="00A673EB"/>
    <w:rsid w:val="00A73298"/>
    <w:rsid w:val="00A751C0"/>
    <w:rsid w:val="00A95ACB"/>
    <w:rsid w:val="00A97942"/>
    <w:rsid w:val="00AA079B"/>
    <w:rsid w:val="00AA086A"/>
    <w:rsid w:val="00AC0EA5"/>
    <w:rsid w:val="00AC2686"/>
    <w:rsid w:val="00AC611B"/>
    <w:rsid w:val="00AD1BE1"/>
    <w:rsid w:val="00AD7257"/>
    <w:rsid w:val="00AE321B"/>
    <w:rsid w:val="00AF0889"/>
    <w:rsid w:val="00AF2D0C"/>
    <w:rsid w:val="00AF4C0E"/>
    <w:rsid w:val="00B12195"/>
    <w:rsid w:val="00B14E5E"/>
    <w:rsid w:val="00B25910"/>
    <w:rsid w:val="00B26973"/>
    <w:rsid w:val="00B30D3B"/>
    <w:rsid w:val="00B432D4"/>
    <w:rsid w:val="00B5315C"/>
    <w:rsid w:val="00B576D7"/>
    <w:rsid w:val="00B80892"/>
    <w:rsid w:val="00B8226B"/>
    <w:rsid w:val="00B82735"/>
    <w:rsid w:val="00B92306"/>
    <w:rsid w:val="00B92861"/>
    <w:rsid w:val="00BA7A69"/>
    <w:rsid w:val="00BB15E2"/>
    <w:rsid w:val="00BD28DF"/>
    <w:rsid w:val="00BD6876"/>
    <w:rsid w:val="00BE2864"/>
    <w:rsid w:val="00C00565"/>
    <w:rsid w:val="00C076BF"/>
    <w:rsid w:val="00C212B5"/>
    <w:rsid w:val="00C25F81"/>
    <w:rsid w:val="00C27F02"/>
    <w:rsid w:val="00C32C20"/>
    <w:rsid w:val="00C44908"/>
    <w:rsid w:val="00C504F4"/>
    <w:rsid w:val="00C512DE"/>
    <w:rsid w:val="00C57E85"/>
    <w:rsid w:val="00C65BB4"/>
    <w:rsid w:val="00C8071C"/>
    <w:rsid w:val="00C816CB"/>
    <w:rsid w:val="00C82461"/>
    <w:rsid w:val="00C91E3B"/>
    <w:rsid w:val="00CA07CC"/>
    <w:rsid w:val="00CA25B5"/>
    <w:rsid w:val="00CA4FCE"/>
    <w:rsid w:val="00CA5F8F"/>
    <w:rsid w:val="00CC5A6F"/>
    <w:rsid w:val="00CD07E7"/>
    <w:rsid w:val="00CE25FD"/>
    <w:rsid w:val="00CE271A"/>
    <w:rsid w:val="00CE6FF5"/>
    <w:rsid w:val="00CF5245"/>
    <w:rsid w:val="00D06683"/>
    <w:rsid w:val="00D07B1A"/>
    <w:rsid w:val="00D1101B"/>
    <w:rsid w:val="00D1167E"/>
    <w:rsid w:val="00D234E7"/>
    <w:rsid w:val="00D30E46"/>
    <w:rsid w:val="00D3663D"/>
    <w:rsid w:val="00D4349F"/>
    <w:rsid w:val="00D4512E"/>
    <w:rsid w:val="00D47EF6"/>
    <w:rsid w:val="00D50AC8"/>
    <w:rsid w:val="00D60A44"/>
    <w:rsid w:val="00D729F7"/>
    <w:rsid w:val="00D7390F"/>
    <w:rsid w:val="00D74F04"/>
    <w:rsid w:val="00D90913"/>
    <w:rsid w:val="00D92BEC"/>
    <w:rsid w:val="00DA18F2"/>
    <w:rsid w:val="00DB17F9"/>
    <w:rsid w:val="00DD5136"/>
    <w:rsid w:val="00DD6973"/>
    <w:rsid w:val="00DE224B"/>
    <w:rsid w:val="00DF2C67"/>
    <w:rsid w:val="00DF3AE2"/>
    <w:rsid w:val="00DF401C"/>
    <w:rsid w:val="00DF7D21"/>
    <w:rsid w:val="00E03771"/>
    <w:rsid w:val="00E059C5"/>
    <w:rsid w:val="00E11D7E"/>
    <w:rsid w:val="00E14334"/>
    <w:rsid w:val="00E2303A"/>
    <w:rsid w:val="00E26B56"/>
    <w:rsid w:val="00E343BD"/>
    <w:rsid w:val="00E348D9"/>
    <w:rsid w:val="00E36601"/>
    <w:rsid w:val="00E46600"/>
    <w:rsid w:val="00E60351"/>
    <w:rsid w:val="00E668CE"/>
    <w:rsid w:val="00E71AE7"/>
    <w:rsid w:val="00E752E6"/>
    <w:rsid w:val="00E91502"/>
    <w:rsid w:val="00EA2ED5"/>
    <w:rsid w:val="00EA6088"/>
    <w:rsid w:val="00EC1A2C"/>
    <w:rsid w:val="00ED2C10"/>
    <w:rsid w:val="00F11542"/>
    <w:rsid w:val="00F212EB"/>
    <w:rsid w:val="00F23D13"/>
    <w:rsid w:val="00F32DEC"/>
    <w:rsid w:val="00F43E24"/>
    <w:rsid w:val="00F45561"/>
    <w:rsid w:val="00F465D3"/>
    <w:rsid w:val="00F51BD6"/>
    <w:rsid w:val="00F56F06"/>
    <w:rsid w:val="00F56F62"/>
    <w:rsid w:val="00F62D48"/>
    <w:rsid w:val="00F73815"/>
    <w:rsid w:val="00F7770D"/>
    <w:rsid w:val="00F86E15"/>
    <w:rsid w:val="00F905E7"/>
    <w:rsid w:val="00F91FDD"/>
    <w:rsid w:val="00F93115"/>
    <w:rsid w:val="00FA4E32"/>
    <w:rsid w:val="00FA5792"/>
    <w:rsid w:val="00FB04BE"/>
    <w:rsid w:val="00FB1B64"/>
    <w:rsid w:val="00FB200D"/>
    <w:rsid w:val="00FB3571"/>
    <w:rsid w:val="00FB4F1D"/>
    <w:rsid w:val="00FE7EEC"/>
    <w:rsid w:val="00FF0E5A"/>
    <w:rsid w:val="00FF7C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0717D977"/>
  <w15:docId w15:val="{8932CE8D-85DE-4AC5-A089-BDF6A7DC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4">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styleId="BodyText">
    <w:name w:val="Body Text"/>
    <w:basedOn w:val="Normal"/>
    <w:link w:val="BodyTextChar"/>
    <w:locked/>
    <w:rsid w:val="00555127"/>
    <w:pPr>
      <w:spacing w:before="0" w:after="120"/>
      <w:jc w:val="left"/>
    </w:pPr>
    <w:rPr>
      <w:rFonts w:eastAsia="Times New Roman"/>
      <w:sz w:val="22"/>
      <w:lang w:eastAsia="fr-FR"/>
    </w:rPr>
  </w:style>
  <w:style w:type="character" w:customStyle="1" w:styleId="BodyTextChar">
    <w:name w:val="Body Text Char"/>
    <w:basedOn w:val="DefaultParagraphFont"/>
    <w:link w:val="BodyText"/>
    <w:rsid w:val="00555127"/>
    <w:rPr>
      <w:sz w:val="22"/>
      <w:szCs w:val="22"/>
      <w:lang w:val="en-GB" w:eastAsia="fr-FR"/>
    </w:rPr>
  </w:style>
  <w:style w:type="paragraph" w:customStyle="1" w:styleId="BN">
    <w:name w:val="BN"/>
    <w:basedOn w:val="Normal"/>
    <w:rsid w:val="00555127"/>
    <w:pPr>
      <w:numPr>
        <w:numId w:val="11"/>
      </w:numPr>
      <w:overflowPunct w:val="0"/>
      <w:autoSpaceDE w:val="0"/>
      <w:autoSpaceDN w:val="0"/>
      <w:adjustRightInd w:val="0"/>
      <w:spacing w:before="0" w:after="180"/>
      <w:jc w:val="left"/>
      <w:textAlignment w:val="baseline"/>
    </w:pPr>
    <w:rPr>
      <w:rFonts w:eastAsia="Times New Roman"/>
      <w:szCs w:val="20"/>
    </w:rPr>
  </w:style>
  <w:style w:type="paragraph" w:customStyle="1" w:styleId="Tablehead">
    <w:name w:val="Table_head"/>
    <w:basedOn w:val="Normal"/>
    <w:next w:val="Normal"/>
    <w:rsid w:val="007C759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MS Mincho" w:hAnsi="Times New Roman"/>
      <w:b/>
      <w:sz w:val="22"/>
      <w:szCs w:val="20"/>
      <w:lang w:val="fr-FR"/>
    </w:rPr>
  </w:style>
  <w:style w:type="paragraph" w:customStyle="1" w:styleId="Tabletext">
    <w:name w:val="Table_text"/>
    <w:basedOn w:val="Normal"/>
    <w:link w:val="TabletextChar"/>
    <w:rsid w:val="007C75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MS Mincho" w:hAnsi="Times New Roman"/>
      <w:sz w:val="22"/>
      <w:szCs w:val="20"/>
      <w:lang w:val="fr-FR"/>
    </w:rPr>
  </w:style>
  <w:style w:type="paragraph" w:customStyle="1" w:styleId="Tabletitle">
    <w:name w:val="Table_title"/>
    <w:basedOn w:val="Normal"/>
    <w:next w:val="Tablehead"/>
    <w:rsid w:val="007C759C"/>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New Roman" w:eastAsia="MS Mincho" w:hAnsi="Times New Roman"/>
      <w:b/>
      <w:sz w:val="24"/>
      <w:szCs w:val="20"/>
      <w:lang w:val="fr-FR"/>
    </w:rPr>
  </w:style>
  <w:style w:type="character" w:customStyle="1" w:styleId="TabletextChar">
    <w:name w:val="Table_text Char"/>
    <w:basedOn w:val="DefaultParagraphFont"/>
    <w:link w:val="Tabletext"/>
    <w:locked/>
    <w:rsid w:val="007C759C"/>
    <w:rPr>
      <w:rFonts w:ascii="Times New Roman" w:eastAsia="MS Mincho" w:hAnsi="Times New Roman"/>
      <w:sz w:val="22"/>
      <w:lang w:val="fr-FR"/>
    </w:rPr>
  </w:style>
  <w:style w:type="paragraph" w:customStyle="1" w:styleId="Default">
    <w:name w:val="Default"/>
    <w:rsid w:val="0070550F"/>
    <w:pPr>
      <w:autoSpaceDE w:val="0"/>
      <w:autoSpaceDN w:val="0"/>
      <w:adjustRightInd w:val="0"/>
      <w:spacing w:before="0" w:after="0"/>
      <w:jc w:val="left"/>
    </w:pPr>
    <w:rPr>
      <w:rFonts w:ascii="Times New Roman" w:hAnsi="Times New Roman"/>
      <w:color w:val="000000"/>
      <w:sz w:val="24"/>
      <w:szCs w:val="24"/>
      <w:lang w:val="fr-FR"/>
    </w:rPr>
  </w:style>
  <w:style w:type="paragraph" w:styleId="Footer">
    <w:name w:val="footer"/>
    <w:basedOn w:val="Normal"/>
    <w:link w:val="FooterChar"/>
    <w:uiPriority w:val="99"/>
    <w:unhideWhenUsed/>
    <w:locked/>
    <w:rsid w:val="00102A2C"/>
    <w:pPr>
      <w:tabs>
        <w:tab w:val="center" w:pos="4513"/>
        <w:tab w:val="right" w:pos="9026"/>
      </w:tabs>
      <w:spacing w:before="0" w:after="0"/>
    </w:pPr>
  </w:style>
  <w:style w:type="character" w:customStyle="1" w:styleId="FooterChar">
    <w:name w:val="Footer Char"/>
    <w:basedOn w:val="DefaultParagraphFont"/>
    <w:link w:val="Footer"/>
    <w:uiPriority w:val="99"/>
    <w:rsid w:val="00102A2C"/>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va.tereshchenko@ties.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rl.loew@bnetz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green@ofcom.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66A6-ED5E-4B09-89B0-B033A78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12</TotalTime>
  <Pages>3</Pages>
  <Words>820</Words>
  <Characters>4678</Characters>
  <Application>Microsoft Office Word</Application>
  <DocSecurity>0</DocSecurity>
  <Lines>38</Lines>
  <Paragraphs>10</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XXX(YY)XX - Source - Content</vt:lpstr>
      <vt:lpstr>XXX(YY)XX - Source - Content</vt:lpstr>
      <vt:lpstr>XXX(YY)XX - Source - Content</vt:lpstr>
      <vt:lpstr>XXX(YY)XX - Source - Content</vt:lpstr>
    </vt:vector>
  </TitlesOfParts>
  <Manager>ECC</Manager>
  <Company>ECO</Company>
  <LinksUpToDate>false</LinksUpToDate>
  <CharactersWithSpaces>5488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Steve Green</cp:lastModifiedBy>
  <cp:revision>6</cp:revision>
  <cp:lastPrinted>2017-07-18T08:19:00Z</cp:lastPrinted>
  <dcterms:created xsi:type="dcterms:W3CDTF">2017-07-19T15:20:00Z</dcterms:created>
  <dcterms:modified xsi:type="dcterms:W3CDTF">2017-07-20T11:29:00Z</dcterms:modified>
  <cp:category>protected templates</cp:category>
  <cp:contentStatus>Template ECC</cp:contentStatus>
</cp:coreProperties>
</file>