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70" w:type="dxa"/>
          <w:right w:w="70" w:type="dxa"/>
        </w:tblCellMar>
        <w:tblLook w:val="0000" w:firstRow="0" w:lastRow="0" w:firstColumn="0" w:lastColumn="0" w:noHBand="0" w:noVBand="0"/>
      </w:tblPr>
      <w:tblGrid>
        <w:gridCol w:w="5194"/>
        <w:gridCol w:w="1149"/>
        <w:gridCol w:w="2823"/>
      </w:tblGrid>
      <w:tr w:rsidR="009E346F" w:rsidRPr="005A270A" w14:paraId="3AF2FB53" w14:textId="77777777" w:rsidTr="00EA3AA8">
        <w:trPr>
          <w:cantSplit/>
        </w:trPr>
        <w:tc>
          <w:tcPr>
            <w:tcW w:w="3460" w:type="pct"/>
            <w:gridSpan w:val="2"/>
          </w:tcPr>
          <w:p w14:paraId="3AF2FB51" w14:textId="06A930D1" w:rsidR="009E346F" w:rsidRPr="00A90D7B" w:rsidRDefault="009E346F" w:rsidP="005C63C6">
            <w:pPr>
              <w:ind w:right="282"/>
              <w:jc w:val="right"/>
              <w:rPr>
                <w:lang w:val="en-US"/>
              </w:rPr>
            </w:pPr>
          </w:p>
        </w:tc>
        <w:tc>
          <w:tcPr>
            <w:tcW w:w="1528" w:type="pct"/>
          </w:tcPr>
          <w:p w14:paraId="3AF2FB52" w14:textId="77777777" w:rsidR="009E346F" w:rsidRPr="005A270A" w:rsidRDefault="009E346F" w:rsidP="00EA3AA8">
            <w:pPr>
              <w:ind w:right="282"/>
              <w:jc w:val="right"/>
            </w:pPr>
            <w:r w:rsidRPr="005A270A">
              <w:rPr>
                <w:b/>
                <w:bCs/>
                <w:noProof/>
                <w:lang w:eastAsia="en-GB" w:bidi="he-IL"/>
              </w:rPr>
              <w:drawing>
                <wp:anchor distT="0" distB="0" distL="114300" distR="114300" simplePos="0" relativeHeight="251658240" behindDoc="0" locked="0" layoutInCell="1" allowOverlap="1" wp14:anchorId="3AF2FB71" wp14:editId="3AF2FB72">
                  <wp:simplePos x="0" y="0"/>
                  <wp:positionH relativeFrom="column">
                    <wp:posOffset>107950</wp:posOffset>
                  </wp:positionH>
                  <wp:positionV relativeFrom="paragraph">
                    <wp:posOffset>-9525</wp:posOffset>
                  </wp:positionV>
                  <wp:extent cx="1626870" cy="838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6870" cy="838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9E346F" w:rsidRPr="005A270A" w14:paraId="3AF2FB5B" w14:textId="77777777" w:rsidTr="00C269B2">
        <w:trPr>
          <w:cantSplit/>
          <w:trHeight w:val="1243"/>
        </w:trPr>
        <w:tc>
          <w:tcPr>
            <w:tcW w:w="2833" w:type="pct"/>
          </w:tcPr>
          <w:p w14:paraId="18A730DE" w14:textId="610A61BF" w:rsidR="00DF75F4" w:rsidRDefault="009E346F" w:rsidP="00DF75F4">
            <w:pPr>
              <w:spacing w:after="0"/>
              <w:ind w:right="282"/>
              <w:jc w:val="both"/>
              <w:rPr>
                <w:rFonts w:ascii="Arial" w:hAnsi="Arial" w:cs="Arial"/>
              </w:rPr>
            </w:pPr>
            <w:r w:rsidRPr="00C269B2">
              <w:rPr>
                <w:rFonts w:ascii="Arial" w:hAnsi="Arial" w:cs="Arial"/>
              </w:rPr>
              <w:t>To</w:t>
            </w:r>
            <w:r w:rsidR="00C269B2">
              <w:rPr>
                <w:rFonts w:ascii="Arial" w:hAnsi="Arial" w:cs="Arial"/>
              </w:rPr>
              <w:t>:</w:t>
            </w:r>
            <w:r w:rsidR="00DF75F4">
              <w:rPr>
                <w:rFonts w:ascii="Arial" w:hAnsi="Arial" w:cs="Arial"/>
              </w:rPr>
              <w:t xml:space="preserve"> </w:t>
            </w:r>
          </w:p>
          <w:p w14:paraId="061DBB11" w14:textId="00BE1E90" w:rsidR="00DF75F4" w:rsidRPr="00DF75F4" w:rsidRDefault="00DF75F4" w:rsidP="00DF75F4">
            <w:pPr>
              <w:spacing w:after="0"/>
              <w:ind w:right="282"/>
              <w:jc w:val="both"/>
              <w:rPr>
                <w:rFonts w:ascii="Arial" w:hAnsi="Arial" w:cs="Arial"/>
              </w:rPr>
            </w:pPr>
            <w:r w:rsidRPr="00C447F2">
              <w:t>Steve Green</w:t>
            </w:r>
          </w:p>
          <w:p w14:paraId="3D9E2F40" w14:textId="77777777" w:rsidR="00DF75F4" w:rsidRPr="00C447F2" w:rsidRDefault="00DF75F4" w:rsidP="00DF75F4">
            <w:r w:rsidRPr="00C447F2">
              <w:t>ECC PT1 Chairman</w:t>
            </w:r>
          </w:p>
          <w:p w14:paraId="78878D4D" w14:textId="77777777" w:rsidR="00DF75F4" w:rsidRPr="003C3215" w:rsidRDefault="00DF75F4" w:rsidP="00DF75F4">
            <w:pPr>
              <w:rPr>
                <w:lang w:val="en-US"/>
              </w:rPr>
            </w:pPr>
            <w:r w:rsidRPr="003C3215">
              <w:rPr>
                <w:lang w:val="en-US"/>
              </w:rPr>
              <w:t xml:space="preserve">Email : </w:t>
            </w:r>
            <w:hyperlink r:id="rId10" w:history="1">
              <w:r w:rsidRPr="006011C9">
                <w:rPr>
                  <w:rStyle w:val="Hyperlink"/>
                  <w:lang w:val="en-US"/>
                </w:rPr>
                <w:t>steve.green@ofcom.org.uk</w:t>
              </w:r>
            </w:hyperlink>
            <w:r>
              <w:rPr>
                <w:lang w:val="en-US"/>
              </w:rPr>
              <w:t xml:space="preserve"> </w:t>
            </w:r>
          </w:p>
          <w:p w14:paraId="3AF2FB58" w14:textId="77777777" w:rsidR="009E346F" w:rsidRPr="00C269B2" w:rsidRDefault="009E346F" w:rsidP="00C269B2">
            <w:pPr>
              <w:spacing w:after="0"/>
              <w:rPr>
                <w:rFonts w:ascii="Arial" w:hAnsi="Arial"/>
                <w:lang w:val="en-US"/>
              </w:rPr>
            </w:pPr>
          </w:p>
        </w:tc>
        <w:tc>
          <w:tcPr>
            <w:tcW w:w="627" w:type="pct"/>
          </w:tcPr>
          <w:p w14:paraId="3AF2FB59" w14:textId="77777777" w:rsidR="009E346F" w:rsidRPr="005A270A" w:rsidRDefault="009E346F" w:rsidP="009E346F">
            <w:pPr>
              <w:spacing w:after="0"/>
              <w:ind w:right="282"/>
              <w:rPr>
                <w:rFonts w:ascii="Times New Roman" w:hAnsi="Times New Roman"/>
              </w:rPr>
            </w:pPr>
          </w:p>
        </w:tc>
        <w:tc>
          <w:tcPr>
            <w:tcW w:w="1528" w:type="pct"/>
          </w:tcPr>
          <w:p w14:paraId="3AF2FB5A" w14:textId="7897C73A" w:rsidR="009E346F" w:rsidRPr="005A270A" w:rsidRDefault="00DF75F4" w:rsidP="009E346F">
            <w:pPr>
              <w:pStyle w:val="Heading1"/>
              <w:jc w:val="center"/>
              <w:rPr>
                <w:lang w:val="en-GB"/>
              </w:rPr>
            </w:pPr>
            <w:r>
              <w:rPr>
                <w:lang w:val="en-GB"/>
              </w:rPr>
              <w:t>ECC/WG SE/STG</w:t>
            </w:r>
          </w:p>
        </w:tc>
      </w:tr>
      <w:tr w:rsidR="009E346F" w:rsidRPr="005A270A" w14:paraId="3AF2FB5E" w14:textId="77777777" w:rsidTr="00EA3AA8">
        <w:trPr>
          <w:cantSplit/>
        </w:trPr>
        <w:tc>
          <w:tcPr>
            <w:tcW w:w="3460" w:type="pct"/>
            <w:gridSpan w:val="2"/>
          </w:tcPr>
          <w:p w14:paraId="3AF2FB5C" w14:textId="77777777" w:rsidR="009E346F" w:rsidRPr="005A270A" w:rsidRDefault="009E346F" w:rsidP="00D5620E">
            <w:pPr>
              <w:ind w:right="282"/>
              <w:rPr>
                <w:rFonts w:ascii="Arial" w:hAnsi="Arial"/>
              </w:rPr>
            </w:pPr>
          </w:p>
        </w:tc>
        <w:tc>
          <w:tcPr>
            <w:tcW w:w="1540" w:type="pct"/>
          </w:tcPr>
          <w:p w14:paraId="3AF2FB5D" w14:textId="7A96D67F" w:rsidR="009E346F" w:rsidRPr="005A270A" w:rsidRDefault="00F5530D" w:rsidP="00E37C96">
            <w:pPr>
              <w:jc w:val="right"/>
              <w:rPr>
                <w:rFonts w:ascii="Arial" w:hAnsi="Arial"/>
              </w:rPr>
            </w:pPr>
            <w:r>
              <w:rPr>
                <w:rFonts w:ascii="Arial" w:hAnsi="Arial"/>
              </w:rPr>
              <w:t>09 June</w:t>
            </w:r>
            <w:r w:rsidR="00B10FAF">
              <w:rPr>
                <w:rFonts w:ascii="Arial" w:hAnsi="Arial"/>
              </w:rPr>
              <w:t xml:space="preserve"> </w:t>
            </w:r>
            <w:r w:rsidR="005C63C6">
              <w:rPr>
                <w:rFonts w:ascii="Arial" w:hAnsi="Arial"/>
              </w:rPr>
              <w:t>2017</w:t>
            </w:r>
          </w:p>
        </w:tc>
      </w:tr>
      <w:tr w:rsidR="009E346F" w:rsidRPr="005A270A" w14:paraId="3AF2FB61" w14:textId="77777777" w:rsidTr="00EA3AA8">
        <w:trPr>
          <w:cantSplit/>
        </w:trPr>
        <w:tc>
          <w:tcPr>
            <w:tcW w:w="3460" w:type="pct"/>
            <w:gridSpan w:val="2"/>
          </w:tcPr>
          <w:p w14:paraId="3AF2FB5F" w14:textId="77777777" w:rsidR="009E346F" w:rsidRPr="005A270A" w:rsidRDefault="009E346F" w:rsidP="00D5620E">
            <w:pPr>
              <w:ind w:right="282"/>
              <w:rPr>
                <w:rFonts w:ascii="Times New Roman" w:hAnsi="Times New Roman"/>
              </w:rPr>
            </w:pPr>
          </w:p>
        </w:tc>
        <w:tc>
          <w:tcPr>
            <w:tcW w:w="1540" w:type="pct"/>
          </w:tcPr>
          <w:p w14:paraId="3AF2FB60" w14:textId="77777777" w:rsidR="009E346F" w:rsidRPr="005A270A" w:rsidRDefault="009E346F" w:rsidP="00D5620E">
            <w:pPr>
              <w:rPr>
                <w:rFonts w:ascii="Arial" w:hAnsi="Arial"/>
              </w:rPr>
            </w:pPr>
          </w:p>
        </w:tc>
      </w:tr>
    </w:tbl>
    <w:p w14:paraId="3128CA63" w14:textId="7AB267DF" w:rsidR="001E326A" w:rsidRDefault="004D2496" w:rsidP="001E326A">
      <w:pPr>
        <w:ind w:right="282"/>
        <w:jc w:val="both"/>
        <w:rPr>
          <w:rFonts w:ascii="Arial" w:hAnsi="Arial" w:cs="Arial"/>
          <w:b/>
          <w:bCs/>
        </w:rPr>
      </w:pPr>
      <w:r>
        <w:rPr>
          <w:rFonts w:ascii="Arial" w:hAnsi="Arial" w:cs="Arial"/>
          <w:b/>
          <w:bCs/>
        </w:rPr>
        <w:t xml:space="preserve">Subject: </w:t>
      </w:r>
      <w:r w:rsidR="00F5530D">
        <w:rPr>
          <w:rFonts w:ascii="Arial" w:hAnsi="Arial" w:cs="Arial"/>
          <w:b/>
          <w:bCs/>
        </w:rPr>
        <w:t>5G implementation in SEAMCAT</w:t>
      </w:r>
    </w:p>
    <w:p w14:paraId="2947C3DC" w14:textId="77777777" w:rsidR="00F5530D" w:rsidRDefault="00F5530D" w:rsidP="00DF75F4">
      <w:pPr>
        <w:spacing w:after="240"/>
      </w:pPr>
    </w:p>
    <w:p w14:paraId="3AF2FB64" w14:textId="163B7E59" w:rsidR="00C83DFA" w:rsidRDefault="003A5A02" w:rsidP="00DF75F4">
      <w:pPr>
        <w:spacing w:after="240"/>
      </w:pPr>
      <w:r w:rsidRPr="005A270A">
        <w:t xml:space="preserve">Dear </w:t>
      </w:r>
      <w:r w:rsidR="00DF75F4">
        <w:t>Steve</w:t>
      </w:r>
      <w:r w:rsidR="003C3215">
        <w:t>,</w:t>
      </w:r>
    </w:p>
    <w:p w14:paraId="6BEC02F2" w14:textId="722264BC" w:rsidR="001E326A" w:rsidRDefault="00DF75F4" w:rsidP="00C41E8C">
      <w:pPr>
        <w:spacing w:after="240"/>
        <w:jc w:val="both"/>
      </w:pPr>
      <w:r>
        <w:t>First of all, thank you for your liaison statement</w:t>
      </w:r>
      <w:r w:rsidR="00F5530D">
        <w:t>s</w:t>
      </w:r>
      <w:r>
        <w:t xml:space="preserve"> on </w:t>
      </w:r>
      <w:r w:rsidR="00F5530D">
        <w:t>28</w:t>
      </w:r>
      <w:r w:rsidR="00C41E8C" w:rsidRPr="00C41E8C">
        <w:rPr>
          <w:vertAlign w:val="superscript"/>
        </w:rPr>
        <w:t>th</w:t>
      </w:r>
      <w:r w:rsidR="00C41E8C">
        <w:t xml:space="preserve"> </w:t>
      </w:r>
      <w:r w:rsidR="00F5530D">
        <w:t>of April</w:t>
      </w:r>
      <w:r w:rsidR="00C41E8C">
        <w:t xml:space="preserve"> (document </w:t>
      </w:r>
      <w:proofErr w:type="gramStart"/>
      <w:r w:rsidR="00C41E8C">
        <w:t>STG(</w:t>
      </w:r>
      <w:proofErr w:type="gramEnd"/>
      <w:r w:rsidR="00C41E8C">
        <w:t>17)075)</w:t>
      </w:r>
      <w:r w:rsidR="00F5530D">
        <w:t xml:space="preserve"> and 31</w:t>
      </w:r>
      <w:r w:rsidR="00F5530D" w:rsidRPr="00F5530D">
        <w:rPr>
          <w:vertAlign w:val="superscript"/>
        </w:rPr>
        <w:t>st</w:t>
      </w:r>
      <w:r w:rsidR="00F5530D">
        <w:t xml:space="preserve"> of May</w:t>
      </w:r>
      <w:r w:rsidR="001E326A">
        <w:t xml:space="preserve"> 2017</w:t>
      </w:r>
      <w:r w:rsidR="00C41E8C">
        <w:t xml:space="preserve"> </w:t>
      </w:r>
      <w:r w:rsidR="00C41E8C">
        <w:t>(document STG(17)0</w:t>
      </w:r>
      <w:r w:rsidR="00C41E8C">
        <w:t>92)</w:t>
      </w:r>
      <w:r w:rsidR="001E326A">
        <w:t xml:space="preserve">. </w:t>
      </w:r>
    </w:p>
    <w:p w14:paraId="6C3171A2" w14:textId="7A846802" w:rsidR="00ED2D9D" w:rsidRDefault="001E326A" w:rsidP="00F5530D">
      <w:pPr>
        <w:spacing w:after="240"/>
        <w:jc w:val="both"/>
      </w:pPr>
      <w:r>
        <w:t xml:space="preserve">STG would like to inform PT1 that the group has continued the discussions on the implementation of 5G systems in SEAMCAT. </w:t>
      </w:r>
    </w:p>
    <w:p w14:paraId="2DDCE610" w14:textId="0969F84B" w:rsidR="00F5530D" w:rsidRDefault="00F5530D" w:rsidP="00C41E8C">
      <w:pPr>
        <w:spacing w:after="240"/>
        <w:jc w:val="both"/>
      </w:pPr>
      <w:r w:rsidRPr="00F5530D">
        <w:t>With regards to a possible revision of Recommendation ITU-R M.2101,</w:t>
      </w:r>
      <w:r w:rsidR="00C41E8C">
        <w:t xml:space="preserve"> </w:t>
      </w:r>
      <w:r>
        <w:t>STG took note of the information provided by</w:t>
      </w:r>
      <w:r w:rsidRPr="00F5530D">
        <w:t xml:space="preserve"> PT1</w:t>
      </w:r>
      <w:r>
        <w:t xml:space="preserve"> and that PT1 will contribute to ITU</w:t>
      </w:r>
      <w:r w:rsidR="00C41E8C">
        <w:t>-R SG5</w:t>
      </w:r>
      <w:r>
        <w:t xml:space="preserve"> at the appropriate point of time to reflect the improvements </w:t>
      </w:r>
      <w:r w:rsidR="00C41E8C">
        <w:t>to</w:t>
      </w:r>
      <w:r>
        <w:t xml:space="preserve"> the Recommendation, as suggested by STG</w:t>
      </w:r>
      <w:r w:rsidR="00C41E8C">
        <w:t>, for</w:t>
      </w:r>
      <w:r>
        <w:t xml:space="preserve"> sections 3.3, 3.4.1, 3.4.2 and 8.</w:t>
      </w:r>
    </w:p>
    <w:p w14:paraId="1C2D77D8" w14:textId="70776120" w:rsidR="00115776" w:rsidRPr="00F222ED" w:rsidRDefault="00810B67" w:rsidP="00BD117F">
      <w:pPr>
        <w:pStyle w:val="ListParagraph"/>
        <w:numPr>
          <w:ilvl w:val="0"/>
          <w:numId w:val="11"/>
        </w:numPr>
        <w:spacing w:after="240"/>
        <w:jc w:val="both"/>
        <w:rPr>
          <w:b/>
          <w:bCs/>
        </w:rPr>
      </w:pPr>
      <w:r w:rsidRPr="00F222ED">
        <w:rPr>
          <w:b/>
          <w:bCs/>
        </w:rPr>
        <w:t>D</w:t>
      </w:r>
      <w:r w:rsidR="00115776" w:rsidRPr="00F222ED">
        <w:rPr>
          <w:b/>
          <w:bCs/>
        </w:rPr>
        <w:t>efinition of sector, cell and cell radius in Report ITU-R M.2292 and in ITU-R Recommendation M.2101</w:t>
      </w:r>
      <w:r w:rsidRPr="00F222ED">
        <w:rPr>
          <w:b/>
          <w:bCs/>
        </w:rPr>
        <w:t>.</w:t>
      </w:r>
    </w:p>
    <w:p w14:paraId="74BFFD6F" w14:textId="78B68D8A" w:rsidR="00F5530D" w:rsidRPr="00F5530D" w:rsidRDefault="00F5530D" w:rsidP="00BD117F">
      <w:pPr>
        <w:spacing w:after="240"/>
        <w:jc w:val="both"/>
      </w:pPr>
      <w:r>
        <w:t>STG has updated the SEAMCAT Handbook (ECC Report 252) to reflect the different definitions of sector, cell and cell radius. This will appear soon in the online version of the handbook.</w:t>
      </w:r>
    </w:p>
    <w:p w14:paraId="6184CCB3" w14:textId="76EC5B1B" w:rsidR="006B4F0F" w:rsidRDefault="006B4F0F" w:rsidP="00BD117F">
      <w:pPr>
        <w:pStyle w:val="ListParagraph"/>
        <w:numPr>
          <w:ilvl w:val="0"/>
          <w:numId w:val="11"/>
        </w:numPr>
        <w:spacing w:after="240"/>
        <w:jc w:val="both"/>
        <w:rPr>
          <w:b/>
          <w:bCs/>
        </w:rPr>
      </w:pPr>
      <w:r>
        <w:rPr>
          <w:b/>
          <w:bCs/>
        </w:rPr>
        <w:t>Simulation Methodology for IMT downlink</w:t>
      </w:r>
      <w:r w:rsidR="000F0E00">
        <w:rPr>
          <w:b/>
          <w:bCs/>
        </w:rPr>
        <w:t xml:space="preserve"> and uplink</w:t>
      </w:r>
      <w:r>
        <w:rPr>
          <w:b/>
          <w:bCs/>
        </w:rPr>
        <w:t xml:space="preserve"> in </w:t>
      </w:r>
      <w:r w:rsidR="00CD18AF">
        <w:rPr>
          <w:b/>
          <w:bCs/>
        </w:rPr>
        <w:t xml:space="preserve">Recommendation </w:t>
      </w:r>
      <w:r w:rsidRPr="007F5FA7">
        <w:rPr>
          <w:b/>
          <w:bCs/>
        </w:rPr>
        <w:t>ITU</w:t>
      </w:r>
      <w:r w:rsidR="00C41E8C">
        <w:rPr>
          <w:b/>
          <w:bCs/>
        </w:rPr>
        <w:noBreakHyphen/>
      </w:r>
      <w:r w:rsidRPr="007F5FA7">
        <w:rPr>
          <w:b/>
          <w:bCs/>
        </w:rPr>
        <w:t>R M.2101</w:t>
      </w:r>
      <w:r w:rsidR="00C41E8C">
        <w:rPr>
          <w:b/>
          <w:bCs/>
        </w:rPr>
        <w:t xml:space="preserve">, </w:t>
      </w:r>
      <w:r>
        <w:rPr>
          <w:b/>
          <w:bCs/>
        </w:rPr>
        <w:t>section 3.4.</w:t>
      </w:r>
    </w:p>
    <w:p w14:paraId="2F77BE4D" w14:textId="77777777" w:rsidR="00F222ED" w:rsidRDefault="00C41E8C" w:rsidP="00BD117F">
      <w:pPr>
        <w:spacing w:after="240"/>
        <w:jc w:val="both"/>
      </w:pPr>
      <w:r>
        <w:t>In order to use time efficiently and to provide a draft implementation of 5G systems in SEAMCAT, a</w:t>
      </w:r>
      <w:r w:rsidR="00F5530D">
        <w:t>t its 56</w:t>
      </w:r>
      <w:r w:rsidR="00F5530D" w:rsidRPr="00BD117F">
        <w:rPr>
          <w:vertAlign w:val="superscript"/>
        </w:rPr>
        <w:t>th</w:t>
      </w:r>
      <w:r w:rsidR="00F5530D">
        <w:t xml:space="preserve"> </w:t>
      </w:r>
      <w:r>
        <w:t xml:space="preserve">meeting </w:t>
      </w:r>
      <w:r w:rsidR="00F5530D">
        <w:t xml:space="preserve">STG decided to start </w:t>
      </w:r>
      <w:r w:rsidR="00F222ED">
        <w:t>the work based on</w:t>
      </w:r>
      <w:r w:rsidR="00F5530D">
        <w:t xml:space="preserve"> the algorithms for IMT </w:t>
      </w:r>
      <w:r>
        <w:t xml:space="preserve">downlink and uplink according to the </w:t>
      </w:r>
      <w:r w:rsidR="00F222ED">
        <w:t xml:space="preserve">revised </w:t>
      </w:r>
      <w:r>
        <w:t xml:space="preserve">flowcharts </w:t>
      </w:r>
      <w:r w:rsidR="00F222ED">
        <w:t>which have been</w:t>
      </w:r>
      <w:r>
        <w:t xml:space="preserve"> liaised to PT1. </w:t>
      </w:r>
    </w:p>
    <w:p w14:paraId="61FAE72F" w14:textId="70399859" w:rsidR="00F5530D" w:rsidRPr="00F5530D" w:rsidRDefault="00F222ED" w:rsidP="00BD117F">
      <w:pPr>
        <w:spacing w:after="240"/>
        <w:jc w:val="both"/>
      </w:pPr>
      <w:r>
        <w:t>In the meantime, before the next PT1 meeting in September 2017, if the correspondence group established by PT1 to deal with SEAMCAT issues has further information, it could be liaised directly with the STG Chairman who will keep his group informed.</w:t>
      </w:r>
    </w:p>
    <w:p w14:paraId="5BDFCC8B" w14:textId="2919FB51" w:rsidR="001331B5" w:rsidRDefault="001331B5" w:rsidP="00BD117F">
      <w:pPr>
        <w:pStyle w:val="ListParagraph"/>
        <w:numPr>
          <w:ilvl w:val="0"/>
          <w:numId w:val="11"/>
        </w:numPr>
        <w:spacing w:after="240"/>
        <w:jc w:val="both"/>
        <w:rPr>
          <w:b/>
          <w:bCs/>
        </w:rPr>
      </w:pPr>
      <w:r>
        <w:rPr>
          <w:b/>
          <w:bCs/>
        </w:rPr>
        <w:lastRenderedPageBreak/>
        <w:t>BS and MS activity factor</w:t>
      </w:r>
      <w:r w:rsidRPr="001331B5">
        <w:rPr>
          <w:b/>
          <w:bCs/>
        </w:rPr>
        <w:t xml:space="preserve"> </w:t>
      </w:r>
      <w:r>
        <w:rPr>
          <w:b/>
          <w:bCs/>
        </w:rPr>
        <w:t xml:space="preserve">in </w:t>
      </w:r>
      <w:r w:rsidR="00CD18AF">
        <w:rPr>
          <w:b/>
          <w:bCs/>
        </w:rPr>
        <w:t xml:space="preserve">Recommendation </w:t>
      </w:r>
      <w:r w:rsidRPr="007F5FA7">
        <w:rPr>
          <w:b/>
          <w:bCs/>
        </w:rPr>
        <w:t>ITU-R M.2101</w:t>
      </w:r>
      <w:r>
        <w:rPr>
          <w:b/>
          <w:bCs/>
        </w:rPr>
        <w:t xml:space="preserve"> in sections 3.4.1 and 3.4.2.</w:t>
      </w:r>
    </w:p>
    <w:p w14:paraId="5399628D" w14:textId="5D3D6898" w:rsidR="00EC71B8" w:rsidRDefault="00F222ED" w:rsidP="00BD117F">
      <w:r>
        <w:t xml:space="preserve">STG took note of the confirmation by </w:t>
      </w:r>
      <w:r w:rsidR="00C41E8C">
        <w:t>PT1 t</w:t>
      </w:r>
      <w:r>
        <w:t xml:space="preserve">hat the activity factors for uplink and downlink need to be aligned and </w:t>
      </w:r>
      <w:r w:rsidR="00BD117F">
        <w:t xml:space="preserve">therefore </w:t>
      </w:r>
      <w:r w:rsidR="004B0699">
        <w:t>STG will implement in SEAMCAT the same values for uplink and downlink</w:t>
      </w:r>
      <w:r w:rsidR="00C41E8C">
        <w:t>.</w:t>
      </w:r>
    </w:p>
    <w:p w14:paraId="4BC6B6A2" w14:textId="672B9DFB" w:rsidR="00B515BA" w:rsidRDefault="00B515BA" w:rsidP="00BD117F">
      <w:pPr>
        <w:pStyle w:val="ListParagraph"/>
        <w:numPr>
          <w:ilvl w:val="0"/>
          <w:numId w:val="11"/>
        </w:numPr>
        <w:spacing w:after="240"/>
        <w:jc w:val="both"/>
        <w:rPr>
          <w:b/>
          <w:bCs/>
        </w:rPr>
      </w:pPr>
      <w:r w:rsidRPr="006F21BB">
        <w:rPr>
          <w:b/>
          <w:bCs/>
        </w:rPr>
        <w:t xml:space="preserve">Definition of the power control algorithm in </w:t>
      </w:r>
      <w:r w:rsidR="00CD18AF">
        <w:rPr>
          <w:b/>
          <w:bCs/>
        </w:rPr>
        <w:t xml:space="preserve">Recommendation </w:t>
      </w:r>
      <w:r w:rsidRPr="006F21BB">
        <w:rPr>
          <w:b/>
          <w:bCs/>
        </w:rPr>
        <w:t>ITU-R M.2101, section 4.1.</w:t>
      </w:r>
    </w:p>
    <w:p w14:paraId="6AB54458" w14:textId="57792680" w:rsidR="00F5530D" w:rsidRPr="00F5530D" w:rsidRDefault="00F5530D" w:rsidP="00BD117F">
      <w:pPr>
        <w:spacing w:after="240"/>
        <w:jc w:val="both"/>
      </w:pPr>
      <w:r w:rsidRPr="00F5530D">
        <w:t xml:space="preserve">STG </w:t>
      </w:r>
      <w:r w:rsidR="00BD117F">
        <w:t>took note to</w:t>
      </w:r>
      <w:r w:rsidRPr="00F5530D">
        <w:t xml:space="preserve"> reference to the algorithm </w:t>
      </w:r>
      <w:r w:rsidR="00BD117F" w:rsidRPr="00F5530D">
        <w:t>describing</w:t>
      </w:r>
      <w:r w:rsidRPr="00F5530D">
        <w:t xml:space="preserve"> the power control </w:t>
      </w:r>
      <w:r w:rsidR="00BD117F">
        <w:t xml:space="preserve">(i.e. </w:t>
      </w:r>
      <w:r w:rsidRPr="00F5530D">
        <w:t>3GPP TS 36.213</w:t>
      </w:r>
      <w:r w:rsidR="00BD117F">
        <w:t>).</w:t>
      </w:r>
    </w:p>
    <w:p w14:paraId="548988BA" w14:textId="56A65921" w:rsidR="00AE5368" w:rsidRDefault="00AE5368" w:rsidP="00BD117F">
      <w:pPr>
        <w:pStyle w:val="ListParagraph"/>
        <w:numPr>
          <w:ilvl w:val="0"/>
          <w:numId w:val="11"/>
        </w:numPr>
        <w:spacing w:after="240"/>
        <w:jc w:val="both"/>
        <w:rPr>
          <w:b/>
          <w:bCs/>
        </w:rPr>
      </w:pPr>
      <w:r w:rsidRPr="00AE5368">
        <w:rPr>
          <w:b/>
          <w:bCs/>
          <w:lang w:val="en-US" w:eastAsia="zh-CN"/>
        </w:rPr>
        <w:t xml:space="preserve">Determination of aggregate interference </w:t>
      </w:r>
      <w:r w:rsidRPr="00AE5368">
        <w:rPr>
          <w:b/>
          <w:bCs/>
        </w:rPr>
        <w:t xml:space="preserve">in </w:t>
      </w:r>
      <w:r w:rsidR="00CD18AF">
        <w:rPr>
          <w:b/>
          <w:bCs/>
        </w:rPr>
        <w:t xml:space="preserve">Recommendation </w:t>
      </w:r>
      <w:r w:rsidRPr="00AE5368">
        <w:rPr>
          <w:b/>
          <w:bCs/>
        </w:rPr>
        <w:t>ITU-R M.2101, section 7.</w:t>
      </w:r>
    </w:p>
    <w:p w14:paraId="754C6424" w14:textId="4BF5724C" w:rsidR="00C41E8C" w:rsidRPr="00C41E8C" w:rsidRDefault="00C41E8C" w:rsidP="00BD117F">
      <w:pPr>
        <w:spacing w:after="240"/>
        <w:jc w:val="both"/>
      </w:pPr>
      <w:r>
        <w:t xml:space="preserve">STG confirms that the implementation </w:t>
      </w:r>
      <w:r w:rsidR="00BD117F">
        <w:t xml:space="preserve">in SEAMCAT </w:t>
      </w:r>
      <w:r w:rsidR="00BD117F">
        <w:t xml:space="preserve">of aggregate interference </w:t>
      </w:r>
      <w:r>
        <w:t xml:space="preserve">is aligned with the description in </w:t>
      </w:r>
      <w:r w:rsidRPr="00C41E8C">
        <w:t>Recommendation ITU-R M.2101, section 7</w:t>
      </w:r>
      <w:r>
        <w:t>.</w:t>
      </w:r>
    </w:p>
    <w:p w14:paraId="183F3E9A" w14:textId="28686E82" w:rsidR="00C823E9" w:rsidRDefault="00C823E9" w:rsidP="00BD117F">
      <w:pPr>
        <w:pStyle w:val="ListParagraph"/>
        <w:numPr>
          <w:ilvl w:val="0"/>
          <w:numId w:val="11"/>
        </w:numPr>
        <w:spacing w:after="240"/>
        <w:jc w:val="both"/>
        <w:rPr>
          <w:b/>
          <w:bCs/>
        </w:rPr>
      </w:pPr>
      <w:r w:rsidRPr="00C823E9">
        <w:rPr>
          <w:b/>
          <w:bCs/>
        </w:rPr>
        <w:t>Wrap around technique in Attachment 2 to Annex 1</w:t>
      </w:r>
    </w:p>
    <w:p w14:paraId="531CE126" w14:textId="222E9937" w:rsidR="00C41E8C" w:rsidRPr="00BD117F" w:rsidRDefault="00C41E8C" w:rsidP="00BD117F">
      <w:pPr>
        <w:spacing w:after="240"/>
        <w:jc w:val="both"/>
        <w:rPr>
          <w:bCs/>
        </w:rPr>
      </w:pPr>
      <w:r>
        <w:t xml:space="preserve">STG would like to clarify </w:t>
      </w:r>
      <w:r w:rsidRPr="00BD117F">
        <w:t>that t</w:t>
      </w:r>
      <w:r w:rsidRPr="00BD117F">
        <w:t>he definition of wrap around in Recommendation ITU-R M.2101</w:t>
      </w:r>
      <w:r w:rsidR="00BD117F">
        <w:t>,</w:t>
      </w:r>
      <w:r w:rsidRPr="00BD117F">
        <w:t xml:space="preserve"> </w:t>
      </w:r>
      <w:r w:rsidRPr="00BD117F">
        <w:t xml:space="preserve">which </w:t>
      </w:r>
      <w:r w:rsidRPr="00BD117F">
        <w:t xml:space="preserve">defines the MS as being located </w:t>
      </w:r>
      <w:r w:rsidRPr="00BD117F">
        <w:t>in</w:t>
      </w:r>
      <w:r w:rsidRPr="00BD117F">
        <w:t xml:space="preserve">side the central cluster but connected to one of the BS </w:t>
      </w:r>
      <w:r w:rsidRPr="00BD117F">
        <w:t>out</w:t>
      </w:r>
      <w:r w:rsidRPr="00BD117F">
        <w:t>side the central cluster</w:t>
      </w:r>
      <w:r w:rsidRPr="00BD117F">
        <w:rPr>
          <w:bCs/>
        </w:rPr>
        <w:t>, is well aligned with the current implementation in SEAMCAT</w:t>
      </w:r>
      <w:r w:rsidRPr="00BD117F">
        <w:rPr>
          <w:bCs/>
        </w:rPr>
        <w:t>.</w:t>
      </w:r>
    </w:p>
    <w:p w14:paraId="70B89105" w14:textId="1E94F257" w:rsidR="00BD117F" w:rsidRDefault="00BD117F" w:rsidP="00BD117F">
      <w:pPr>
        <w:spacing w:after="240"/>
        <w:jc w:val="both"/>
        <w:rPr>
          <w:bCs/>
        </w:rPr>
      </w:pPr>
      <w:r w:rsidRPr="00BD117F">
        <w:rPr>
          <w:bCs/>
        </w:rPr>
        <w:t>Regarding the option to locate the reference cell at the left or at the right of the network edge, STG took note of the view of PT1 and will consequently deactivate these options when selecting the wrap around in the upcoming official version of the software.</w:t>
      </w:r>
    </w:p>
    <w:p w14:paraId="6BDA8408" w14:textId="77777777" w:rsidR="00BD117F" w:rsidRPr="00BD117F" w:rsidRDefault="00BD117F" w:rsidP="00BD117F">
      <w:pPr>
        <w:pStyle w:val="ListParagraph"/>
        <w:numPr>
          <w:ilvl w:val="0"/>
          <w:numId w:val="11"/>
        </w:numPr>
        <w:spacing w:after="240"/>
        <w:rPr>
          <w:b/>
        </w:rPr>
      </w:pPr>
      <w:r w:rsidRPr="00BD117F">
        <w:rPr>
          <w:b/>
        </w:rPr>
        <w:t>Number of dropped MSs in section 3.4.1 footnote 2.</w:t>
      </w:r>
    </w:p>
    <w:p w14:paraId="7C826335" w14:textId="19032B92" w:rsidR="008B4536" w:rsidRDefault="008B4536" w:rsidP="008B4536">
      <w:pPr>
        <w:spacing w:after="240"/>
        <w:jc w:val="both"/>
        <w:rPr>
          <w:bCs/>
        </w:rPr>
      </w:pPr>
      <w:r>
        <w:rPr>
          <w:bCs/>
        </w:rPr>
        <w:t xml:space="preserve">STG took note of the view of PT1 that the parameter </w:t>
      </w:r>
      <w:r w:rsidRPr="00BD117F">
        <w:rPr>
          <w:bCs/>
        </w:rPr>
        <w:t>“OFDMA capacity”</w:t>
      </w:r>
      <w:r>
        <w:rPr>
          <w:bCs/>
        </w:rPr>
        <w:t xml:space="preserve"> could be suppressed in OFDMA UL and DL systems, leading to an effective number of simulated MS equal to the number of active MS (i.e. K=1).</w:t>
      </w:r>
    </w:p>
    <w:p w14:paraId="29AB3DA2" w14:textId="2A5321D3" w:rsidR="008B4536" w:rsidRDefault="008B4536" w:rsidP="008B4536">
      <w:pPr>
        <w:spacing w:after="240"/>
        <w:jc w:val="both"/>
        <w:rPr>
          <w:bCs/>
        </w:rPr>
      </w:pPr>
      <w:r>
        <w:rPr>
          <w:bCs/>
        </w:rPr>
        <w:t>After some investigations, STG can confirm that this parameter does</w:t>
      </w:r>
      <w:r>
        <w:rPr>
          <w:bCs/>
        </w:rPr>
        <w:t xml:space="preserve"> not impact the simulation results</w:t>
      </w:r>
      <w:r>
        <w:rPr>
          <w:bCs/>
        </w:rPr>
        <w:t xml:space="preserve"> therefore can be suppressed from SEAMCAT. Nevertheless, STG will await a final confirmation from PT1 to do that in the upcoming official version of SEAMCAT.</w:t>
      </w:r>
    </w:p>
    <w:p w14:paraId="526307D0" w14:textId="419C75BD" w:rsidR="00C50F65" w:rsidRPr="005A270A" w:rsidRDefault="00DF75F4" w:rsidP="008B4536">
      <w:pPr>
        <w:spacing w:after="240"/>
        <w:jc w:val="both"/>
      </w:pPr>
      <w:r>
        <w:t>STG</w:t>
      </w:r>
      <w:r w:rsidR="007A1030">
        <w:t xml:space="preserve"> </w:t>
      </w:r>
      <w:r w:rsidR="00EC7330">
        <w:t>look</w:t>
      </w:r>
      <w:r>
        <w:t>s</w:t>
      </w:r>
      <w:r w:rsidR="00C50F65">
        <w:t xml:space="preserve"> forward</w:t>
      </w:r>
      <w:r w:rsidR="00EC7330">
        <w:t xml:space="preserve"> to </w:t>
      </w:r>
      <w:r w:rsidR="008B4536">
        <w:t>continuing the</w:t>
      </w:r>
      <w:r w:rsidR="00EC7330">
        <w:t xml:space="preserve"> cooperation with </w:t>
      </w:r>
      <w:r>
        <w:t>PT1</w:t>
      </w:r>
      <w:r w:rsidR="00C50F65">
        <w:t>.</w:t>
      </w:r>
    </w:p>
    <w:p w14:paraId="3AF2FB6C" w14:textId="63681DC5" w:rsidR="009E346F" w:rsidRDefault="00C307DB" w:rsidP="00975523">
      <w:pPr>
        <w:jc w:val="both"/>
      </w:pPr>
      <w:r>
        <w:t>Best regards,</w:t>
      </w:r>
    </w:p>
    <w:p w14:paraId="66CD0C92" w14:textId="77777777" w:rsidR="00C307DB" w:rsidRPr="00C447F2" w:rsidRDefault="00C307DB" w:rsidP="00975523">
      <w:pPr>
        <w:jc w:val="both"/>
      </w:pPr>
    </w:p>
    <w:p w14:paraId="789BD552" w14:textId="77777777" w:rsidR="00DF75F4" w:rsidRPr="005A270A" w:rsidRDefault="00DF75F4" w:rsidP="00DF75F4">
      <w:pPr>
        <w:spacing w:after="0"/>
        <w:rPr>
          <w:rFonts w:ascii="Arial" w:hAnsi="Arial"/>
          <w:lang w:val="en-US"/>
        </w:rPr>
      </w:pPr>
      <w:r>
        <w:rPr>
          <w:rFonts w:ascii="Arial" w:hAnsi="Arial"/>
          <w:lang w:val="en-US"/>
        </w:rPr>
        <w:t>José Carrascosa</w:t>
      </w:r>
    </w:p>
    <w:p w14:paraId="2C4AFB83" w14:textId="77777777" w:rsidR="00C307DB" w:rsidRDefault="00C307DB" w:rsidP="00DF75F4">
      <w:pPr>
        <w:spacing w:after="0"/>
        <w:rPr>
          <w:rFonts w:ascii="Arial" w:hAnsi="Arial"/>
          <w:lang w:val="en-US"/>
        </w:rPr>
      </w:pPr>
    </w:p>
    <w:p w14:paraId="0D539052" w14:textId="77777777" w:rsidR="00DF75F4" w:rsidRPr="005A270A" w:rsidRDefault="00DF75F4" w:rsidP="00DF75F4">
      <w:pPr>
        <w:spacing w:after="0"/>
        <w:rPr>
          <w:rFonts w:ascii="Arial" w:hAnsi="Arial"/>
          <w:lang w:val="en-US"/>
        </w:rPr>
      </w:pPr>
      <w:r>
        <w:rPr>
          <w:rFonts w:ascii="Arial" w:hAnsi="Arial"/>
          <w:lang w:val="en-US"/>
        </w:rPr>
        <w:t>STG Chairman</w:t>
      </w:r>
    </w:p>
    <w:p w14:paraId="5AE0ADB2" w14:textId="6FF0E956" w:rsidR="00DF75F4" w:rsidRDefault="00DF75F4" w:rsidP="00C307DB">
      <w:bookmarkStart w:id="0" w:name="_GoBack"/>
      <w:bookmarkEnd w:id="0"/>
      <w:r w:rsidRPr="005A270A">
        <w:rPr>
          <w:rFonts w:ascii="Arial" w:hAnsi="Arial"/>
          <w:lang w:val="en-US"/>
        </w:rPr>
        <w:t xml:space="preserve">Email: </w:t>
      </w:r>
      <w:hyperlink r:id="rId11" w:history="1">
        <w:r w:rsidRPr="006011C9">
          <w:rPr>
            <w:rStyle w:val="Hyperlink"/>
          </w:rPr>
          <w:t>Jose.Carrascosa@eco.cept.org</w:t>
        </w:r>
      </w:hyperlink>
    </w:p>
    <w:sectPr w:rsidR="00DF75F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8380A" w14:textId="77777777" w:rsidR="004E29D8" w:rsidRDefault="004E29D8" w:rsidP="003B42D2">
      <w:pPr>
        <w:spacing w:after="0" w:line="240" w:lineRule="auto"/>
      </w:pPr>
      <w:r>
        <w:separator/>
      </w:r>
    </w:p>
  </w:endnote>
  <w:endnote w:type="continuationSeparator" w:id="0">
    <w:p w14:paraId="3188037A" w14:textId="77777777" w:rsidR="004E29D8" w:rsidRDefault="004E29D8" w:rsidP="003B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71635"/>
      <w:docPartObj>
        <w:docPartGallery w:val="Page Numbers (Bottom of Page)"/>
        <w:docPartUnique/>
      </w:docPartObj>
    </w:sdtPr>
    <w:sdtEndPr>
      <w:rPr>
        <w:noProof/>
      </w:rPr>
    </w:sdtEndPr>
    <w:sdtContent>
      <w:p w14:paraId="6EA6C528" w14:textId="3C5EC57A" w:rsidR="00092A69" w:rsidRDefault="00092A69">
        <w:pPr>
          <w:pStyle w:val="Footer"/>
          <w:jc w:val="center"/>
        </w:pPr>
        <w:r>
          <w:fldChar w:fldCharType="begin"/>
        </w:r>
        <w:r>
          <w:instrText xml:space="preserve"> PAGE   \* MERGEFORMAT </w:instrText>
        </w:r>
        <w:r>
          <w:fldChar w:fldCharType="separate"/>
        </w:r>
        <w:r w:rsidR="00430E3A">
          <w:rPr>
            <w:noProof/>
          </w:rPr>
          <w:t>1</w:t>
        </w:r>
        <w:r>
          <w:rPr>
            <w:noProof/>
          </w:rPr>
          <w:fldChar w:fldCharType="end"/>
        </w:r>
      </w:p>
    </w:sdtContent>
  </w:sdt>
  <w:p w14:paraId="11561B93" w14:textId="77777777" w:rsidR="00092A69" w:rsidRDefault="00092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75B79" w14:textId="77777777" w:rsidR="004E29D8" w:rsidRDefault="004E29D8" w:rsidP="003B42D2">
      <w:pPr>
        <w:spacing w:after="0" w:line="240" w:lineRule="auto"/>
      </w:pPr>
      <w:r>
        <w:separator/>
      </w:r>
    </w:p>
  </w:footnote>
  <w:footnote w:type="continuationSeparator" w:id="0">
    <w:p w14:paraId="263F8FD1" w14:textId="77777777" w:rsidR="004E29D8" w:rsidRDefault="004E29D8" w:rsidP="003B42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1C5"/>
    <w:multiLevelType w:val="hybridMultilevel"/>
    <w:tmpl w:val="9F0AB81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cs="Times New Roman"/>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8D201CE"/>
    <w:multiLevelType w:val="hybridMultilevel"/>
    <w:tmpl w:val="4502B028"/>
    <w:lvl w:ilvl="0" w:tplc="EC3A1FAA">
      <w:start w:val="9"/>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635C2D"/>
    <w:multiLevelType w:val="hybridMultilevel"/>
    <w:tmpl w:val="11D09C68"/>
    <w:lvl w:ilvl="0" w:tplc="0406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nsid w:val="165C090D"/>
    <w:multiLevelType w:val="hybridMultilevel"/>
    <w:tmpl w:val="E1EA735A"/>
    <w:lvl w:ilvl="0" w:tplc="EC3A1FAA">
      <w:start w:val="9"/>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nsid w:val="340B469F"/>
    <w:multiLevelType w:val="hybridMultilevel"/>
    <w:tmpl w:val="07605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8D650D"/>
    <w:multiLevelType w:val="hybridMultilevel"/>
    <w:tmpl w:val="5E50A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527279"/>
    <w:multiLevelType w:val="hybridMultilevel"/>
    <w:tmpl w:val="CC628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DA61A0"/>
    <w:multiLevelType w:val="hybridMultilevel"/>
    <w:tmpl w:val="E936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4D6854"/>
    <w:multiLevelType w:val="hybridMultilevel"/>
    <w:tmpl w:val="5FF6B5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421FB0"/>
    <w:multiLevelType w:val="hybridMultilevel"/>
    <w:tmpl w:val="AC442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Override w:ilvl="1">
      <w:startOverride w:val="1"/>
    </w:lvlOverride>
    <w:lvlOverride w:ilvl="2"/>
    <w:lvlOverride w:ilvl="3"/>
    <w:lvlOverride w:ilvl="4"/>
    <w:lvlOverride w:ilvl="5"/>
    <w:lvlOverride w:ilvl="6"/>
    <w:lvlOverride w:ilvl="7"/>
    <w:lvlOverride w:ilvl="8"/>
  </w:num>
  <w:num w:numId="3">
    <w:abstractNumId w:val="8"/>
  </w:num>
  <w:num w:numId="4">
    <w:abstractNumId w:val="0"/>
  </w:num>
  <w:num w:numId="5">
    <w:abstractNumId w:val="6"/>
  </w:num>
  <w:num w:numId="6">
    <w:abstractNumId w:val="7"/>
  </w:num>
  <w:num w:numId="7">
    <w:abstractNumId w:val="4"/>
  </w:num>
  <w:num w:numId="8">
    <w:abstractNumId w:val="5"/>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02"/>
    <w:rsid w:val="000226AA"/>
    <w:rsid w:val="000437AE"/>
    <w:rsid w:val="0005209D"/>
    <w:rsid w:val="000574FA"/>
    <w:rsid w:val="000874F2"/>
    <w:rsid w:val="00092A69"/>
    <w:rsid w:val="00093CFC"/>
    <w:rsid w:val="000A3433"/>
    <w:rsid w:val="000B2EA7"/>
    <w:rsid w:val="000E1FDA"/>
    <w:rsid w:val="000F0E00"/>
    <w:rsid w:val="00105F1D"/>
    <w:rsid w:val="0011516E"/>
    <w:rsid w:val="00115776"/>
    <w:rsid w:val="00124AC8"/>
    <w:rsid w:val="00133140"/>
    <w:rsid w:val="001331B5"/>
    <w:rsid w:val="00150387"/>
    <w:rsid w:val="001A1D77"/>
    <w:rsid w:val="001D2652"/>
    <w:rsid w:val="001E326A"/>
    <w:rsid w:val="001F36B8"/>
    <w:rsid w:val="0022001C"/>
    <w:rsid w:val="00237710"/>
    <w:rsid w:val="00240C80"/>
    <w:rsid w:val="00244000"/>
    <w:rsid w:val="00245B57"/>
    <w:rsid w:val="0025034F"/>
    <w:rsid w:val="00257A92"/>
    <w:rsid w:val="00281848"/>
    <w:rsid w:val="002968F2"/>
    <w:rsid w:val="00297698"/>
    <w:rsid w:val="00300E00"/>
    <w:rsid w:val="00321EFF"/>
    <w:rsid w:val="00336830"/>
    <w:rsid w:val="003443C3"/>
    <w:rsid w:val="0035465C"/>
    <w:rsid w:val="003639D0"/>
    <w:rsid w:val="003A5A02"/>
    <w:rsid w:val="003B42D2"/>
    <w:rsid w:val="003C3215"/>
    <w:rsid w:val="003E0385"/>
    <w:rsid w:val="003E76BF"/>
    <w:rsid w:val="004038E3"/>
    <w:rsid w:val="004276E7"/>
    <w:rsid w:val="00430E3A"/>
    <w:rsid w:val="00443665"/>
    <w:rsid w:val="0046300B"/>
    <w:rsid w:val="004908B1"/>
    <w:rsid w:val="004B0699"/>
    <w:rsid w:val="004B3A80"/>
    <w:rsid w:val="004D2496"/>
    <w:rsid w:val="004E29D8"/>
    <w:rsid w:val="00503789"/>
    <w:rsid w:val="00510627"/>
    <w:rsid w:val="00517CFF"/>
    <w:rsid w:val="00561EAF"/>
    <w:rsid w:val="005A270A"/>
    <w:rsid w:val="005B0F77"/>
    <w:rsid w:val="005B514C"/>
    <w:rsid w:val="005C12E5"/>
    <w:rsid w:val="005C63C6"/>
    <w:rsid w:val="005D413F"/>
    <w:rsid w:val="006139CC"/>
    <w:rsid w:val="0062583B"/>
    <w:rsid w:val="00651305"/>
    <w:rsid w:val="006540A1"/>
    <w:rsid w:val="00654DCC"/>
    <w:rsid w:val="006631E8"/>
    <w:rsid w:val="0069273E"/>
    <w:rsid w:val="006B4F0F"/>
    <w:rsid w:val="006F21BB"/>
    <w:rsid w:val="006F4F36"/>
    <w:rsid w:val="007622E4"/>
    <w:rsid w:val="007A1030"/>
    <w:rsid w:val="007A4F2F"/>
    <w:rsid w:val="007F5FA7"/>
    <w:rsid w:val="00810B67"/>
    <w:rsid w:val="008213CD"/>
    <w:rsid w:val="008266B9"/>
    <w:rsid w:val="0083699B"/>
    <w:rsid w:val="00843F3B"/>
    <w:rsid w:val="008512F9"/>
    <w:rsid w:val="0085283E"/>
    <w:rsid w:val="00863BFB"/>
    <w:rsid w:val="00870059"/>
    <w:rsid w:val="008A1BF9"/>
    <w:rsid w:val="008B2722"/>
    <w:rsid w:val="008B4536"/>
    <w:rsid w:val="008B7E3F"/>
    <w:rsid w:val="00943158"/>
    <w:rsid w:val="0094711D"/>
    <w:rsid w:val="00975523"/>
    <w:rsid w:val="00992FF6"/>
    <w:rsid w:val="009B7121"/>
    <w:rsid w:val="009D0DDE"/>
    <w:rsid w:val="009E06CB"/>
    <w:rsid w:val="009E346F"/>
    <w:rsid w:val="009E3A59"/>
    <w:rsid w:val="009F2CCB"/>
    <w:rsid w:val="00A22D36"/>
    <w:rsid w:val="00A24AA9"/>
    <w:rsid w:val="00A32316"/>
    <w:rsid w:val="00A378E5"/>
    <w:rsid w:val="00A41A05"/>
    <w:rsid w:val="00A60792"/>
    <w:rsid w:val="00A763B0"/>
    <w:rsid w:val="00A76BB5"/>
    <w:rsid w:val="00AE2F62"/>
    <w:rsid w:val="00AE5368"/>
    <w:rsid w:val="00AF78A6"/>
    <w:rsid w:val="00B10FAF"/>
    <w:rsid w:val="00B150F5"/>
    <w:rsid w:val="00B45127"/>
    <w:rsid w:val="00B515BA"/>
    <w:rsid w:val="00B636AB"/>
    <w:rsid w:val="00B731A4"/>
    <w:rsid w:val="00BA6767"/>
    <w:rsid w:val="00BD117F"/>
    <w:rsid w:val="00BE7D19"/>
    <w:rsid w:val="00C003AD"/>
    <w:rsid w:val="00C03010"/>
    <w:rsid w:val="00C12B0E"/>
    <w:rsid w:val="00C17E77"/>
    <w:rsid w:val="00C20D0E"/>
    <w:rsid w:val="00C24DE8"/>
    <w:rsid w:val="00C25668"/>
    <w:rsid w:val="00C269B2"/>
    <w:rsid w:val="00C307DB"/>
    <w:rsid w:val="00C331E0"/>
    <w:rsid w:val="00C41E8C"/>
    <w:rsid w:val="00C447F2"/>
    <w:rsid w:val="00C50F65"/>
    <w:rsid w:val="00C672CB"/>
    <w:rsid w:val="00C741CF"/>
    <w:rsid w:val="00C823E9"/>
    <w:rsid w:val="00C83DFA"/>
    <w:rsid w:val="00C86DAD"/>
    <w:rsid w:val="00CB7212"/>
    <w:rsid w:val="00CC5594"/>
    <w:rsid w:val="00CD18AF"/>
    <w:rsid w:val="00CE51E1"/>
    <w:rsid w:val="00CF1321"/>
    <w:rsid w:val="00CF60B1"/>
    <w:rsid w:val="00D16D68"/>
    <w:rsid w:val="00D259E0"/>
    <w:rsid w:val="00D263CB"/>
    <w:rsid w:val="00D3322A"/>
    <w:rsid w:val="00D67F37"/>
    <w:rsid w:val="00DA51D7"/>
    <w:rsid w:val="00DB3545"/>
    <w:rsid w:val="00DB4D0C"/>
    <w:rsid w:val="00DC2DA8"/>
    <w:rsid w:val="00DD513E"/>
    <w:rsid w:val="00DE2437"/>
    <w:rsid w:val="00DF75F4"/>
    <w:rsid w:val="00E12EA3"/>
    <w:rsid w:val="00E37C96"/>
    <w:rsid w:val="00E45EEB"/>
    <w:rsid w:val="00EA3AA8"/>
    <w:rsid w:val="00EA6BE5"/>
    <w:rsid w:val="00EC71B8"/>
    <w:rsid w:val="00EC7330"/>
    <w:rsid w:val="00ED2D9D"/>
    <w:rsid w:val="00EE0F09"/>
    <w:rsid w:val="00EF5C5B"/>
    <w:rsid w:val="00F222ED"/>
    <w:rsid w:val="00F312C3"/>
    <w:rsid w:val="00F44DFB"/>
    <w:rsid w:val="00F4500F"/>
    <w:rsid w:val="00F5530D"/>
    <w:rsid w:val="00F64163"/>
    <w:rsid w:val="00F802DF"/>
    <w:rsid w:val="00F85018"/>
    <w:rsid w:val="00FA2C79"/>
    <w:rsid w:val="00FE4E40"/>
    <w:rsid w:val="00FE53BA"/>
    <w:rsid w:val="00FF1E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F2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h1,h11,h12,h13,h14,h15,h16,h17,h111,h121,h131,h141,h151,h161,h18,h112,h122,h132,h142,h152,h162,h19,h113,h123,h133,h143,h153,h163,1,l1,II+,I,Section Head,Chapter Heading,h:1,h:1app,app heading 1,Head 1 (Chapter heading),Titre§,H11"/>
    <w:basedOn w:val="Normal"/>
    <w:next w:val="Normal"/>
    <w:link w:val="Heading1Char"/>
    <w:qFormat/>
    <w:rsid w:val="009E346F"/>
    <w:pPr>
      <w:keepNext/>
      <w:overflowPunct w:val="0"/>
      <w:autoSpaceDE w:val="0"/>
      <w:autoSpaceDN w:val="0"/>
      <w:adjustRightInd w:val="0"/>
      <w:spacing w:after="0" w:line="240" w:lineRule="auto"/>
      <w:ind w:right="282"/>
      <w:textAlignment w:val="baseline"/>
      <w:outlineLvl w:val="0"/>
    </w:pPr>
    <w:rPr>
      <w:rFonts w:ascii="Arial" w:eastAsia="Times New Roman" w:hAnsi="Arial" w:cs="Arial"/>
      <w:b/>
      <w:bCs/>
      <w:color w:val="808080"/>
      <w:sz w:val="28"/>
      <w:szCs w:val="20"/>
      <w:lang w:val="nb-NO"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83B"/>
    <w:pPr>
      <w:spacing w:after="200"/>
      <w:ind w:left="720"/>
    </w:pPr>
  </w:style>
  <w:style w:type="paragraph" w:styleId="FootnoteText">
    <w:name w:val="footnote text"/>
    <w:basedOn w:val="Normal"/>
    <w:link w:val="FootnoteTextChar"/>
    <w:uiPriority w:val="99"/>
    <w:semiHidden/>
    <w:unhideWhenUsed/>
    <w:rsid w:val="003B42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42D2"/>
    <w:rPr>
      <w:sz w:val="20"/>
      <w:szCs w:val="20"/>
    </w:rPr>
  </w:style>
  <w:style w:type="character" w:styleId="FootnoteReference">
    <w:name w:val="footnote reference"/>
    <w:basedOn w:val="DefaultParagraphFont"/>
    <w:uiPriority w:val="99"/>
    <w:semiHidden/>
    <w:unhideWhenUsed/>
    <w:rsid w:val="003B42D2"/>
    <w:rPr>
      <w:vertAlign w:val="superscript"/>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rsid w:val="009E346F"/>
    <w:rPr>
      <w:rFonts w:ascii="Arial" w:eastAsia="Times New Roman" w:hAnsi="Arial" w:cs="Arial"/>
      <w:b/>
      <w:bCs/>
      <w:color w:val="808080"/>
      <w:sz w:val="28"/>
      <w:szCs w:val="20"/>
      <w:lang w:val="nb-NO" w:eastAsia="de-DE"/>
    </w:rPr>
  </w:style>
  <w:style w:type="character" w:styleId="Hyperlink">
    <w:name w:val="Hyperlink"/>
    <w:rsid w:val="009E346F"/>
    <w:rPr>
      <w:color w:val="0000FF"/>
      <w:u w:val="single"/>
    </w:rPr>
  </w:style>
  <w:style w:type="paragraph" w:styleId="BalloonText">
    <w:name w:val="Balloon Text"/>
    <w:basedOn w:val="Normal"/>
    <w:link w:val="BalloonTextChar"/>
    <w:uiPriority w:val="99"/>
    <w:semiHidden/>
    <w:unhideWhenUsed/>
    <w:rsid w:val="009E3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46F"/>
    <w:rPr>
      <w:rFonts w:ascii="Tahoma" w:hAnsi="Tahoma" w:cs="Tahoma"/>
      <w:sz w:val="16"/>
      <w:szCs w:val="16"/>
    </w:rPr>
  </w:style>
  <w:style w:type="paragraph" w:styleId="PlainText">
    <w:name w:val="Plain Text"/>
    <w:basedOn w:val="Normal"/>
    <w:link w:val="PlainTextChar"/>
    <w:uiPriority w:val="99"/>
    <w:semiHidden/>
    <w:unhideWhenUsed/>
    <w:rsid w:val="000226AA"/>
    <w:pPr>
      <w:spacing w:after="0" w:line="240" w:lineRule="auto"/>
    </w:pPr>
    <w:rPr>
      <w:rFonts w:ascii="Calibri" w:hAnsi="Calibri"/>
      <w:szCs w:val="21"/>
      <w:lang w:val="de-DE"/>
    </w:rPr>
  </w:style>
  <w:style w:type="character" w:customStyle="1" w:styleId="PlainTextChar">
    <w:name w:val="Plain Text Char"/>
    <w:basedOn w:val="DefaultParagraphFont"/>
    <w:link w:val="PlainText"/>
    <w:uiPriority w:val="99"/>
    <w:semiHidden/>
    <w:rsid w:val="000226AA"/>
    <w:rPr>
      <w:rFonts w:ascii="Calibri" w:hAnsi="Calibri"/>
      <w:szCs w:val="21"/>
      <w:lang w:val="de-DE"/>
    </w:rPr>
  </w:style>
  <w:style w:type="paragraph" w:styleId="Header">
    <w:name w:val="header"/>
    <w:basedOn w:val="Normal"/>
    <w:link w:val="HeaderChar"/>
    <w:uiPriority w:val="99"/>
    <w:unhideWhenUsed/>
    <w:rsid w:val="004908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08B1"/>
  </w:style>
  <w:style w:type="paragraph" w:styleId="Footer">
    <w:name w:val="footer"/>
    <w:basedOn w:val="Normal"/>
    <w:link w:val="FooterChar"/>
    <w:uiPriority w:val="99"/>
    <w:unhideWhenUsed/>
    <w:rsid w:val="004908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08B1"/>
  </w:style>
  <w:style w:type="character" w:styleId="FollowedHyperlink">
    <w:name w:val="FollowedHyperlink"/>
    <w:basedOn w:val="DefaultParagraphFont"/>
    <w:uiPriority w:val="99"/>
    <w:semiHidden/>
    <w:unhideWhenUsed/>
    <w:rsid w:val="00124AC8"/>
    <w:rPr>
      <w:color w:val="A67DAA" w:themeColor="followedHyperlink"/>
      <w:u w:val="single"/>
    </w:rPr>
  </w:style>
  <w:style w:type="paragraph" w:customStyle="1" w:styleId="TH">
    <w:name w:val="TH"/>
    <w:basedOn w:val="Normal"/>
    <w:link w:val="THChar"/>
    <w:rsid w:val="00115776"/>
    <w:pPr>
      <w:keepNext/>
      <w:keepLines/>
      <w:spacing w:before="60" w:after="180" w:line="240" w:lineRule="auto"/>
      <w:jc w:val="center"/>
    </w:pPr>
    <w:rPr>
      <w:rFonts w:ascii="Arial" w:eastAsia="Times New Roman" w:hAnsi="Arial" w:cs="Times New Roman"/>
      <w:b/>
      <w:sz w:val="20"/>
      <w:szCs w:val="20"/>
    </w:rPr>
  </w:style>
  <w:style w:type="paragraph" w:customStyle="1" w:styleId="TF">
    <w:name w:val="TF"/>
    <w:basedOn w:val="TH"/>
    <w:rsid w:val="00115776"/>
    <w:pPr>
      <w:keepNext w:val="0"/>
      <w:spacing w:before="0" w:after="240"/>
    </w:pPr>
  </w:style>
  <w:style w:type="character" w:customStyle="1" w:styleId="THChar">
    <w:name w:val="TH Char"/>
    <w:basedOn w:val="DefaultParagraphFont"/>
    <w:link w:val="TH"/>
    <w:rsid w:val="00115776"/>
    <w:rPr>
      <w:rFonts w:ascii="Arial" w:eastAsia="Times New Roman" w:hAnsi="Arial" w:cs="Times New Roman"/>
      <w:b/>
      <w:sz w:val="20"/>
      <w:szCs w:val="20"/>
    </w:rPr>
  </w:style>
  <w:style w:type="table" w:styleId="TableGrid">
    <w:name w:val="Table Grid"/>
    <w:basedOn w:val="TableNormal"/>
    <w:uiPriority w:val="59"/>
    <w:rsid w:val="00836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h1,h11,h12,h13,h14,h15,h16,h17,h111,h121,h131,h141,h151,h161,h18,h112,h122,h132,h142,h152,h162,h19,h113,h123,h133,h143,h153,h163,1,l1,II+,I,Section Head,Chapter Heading,h:1,h:1app,app heading 1,Head 1 (Chapter heading),Titre§,H11"/>
    <w:basedOn w:val="Normal"/>
    <w:next w:val="Normal"/>
    <w:link w:val="Heading1Char"/>
    <w:qFormat/>
    <w:rsid w:val="009E346F"/>
    <w:pPr>
      <w:keepNext/>
      <w:overflowPunct w:val="0"/>
      <w:autoSpaceDE w:val="0"/>
      <w:autoSpaceDN w:val="0"/>
      <w:adjustRightInd w:val="0"/>
      <w:spacing w:after="0" w:line="240" w:lineRule="auto"/>
      <w:ind w:right="282"/>
      <w:textAlignment w:val="baseline"/>
      <w:outlineLvl w:val="0"/>
    </w:pPr>
    <w:rPr>
      <w:rFonts w:ascii="Arial" w:eastAsia="Times New Roman" w:hAnsi="Arial" w:cs="Arial"/>
      <w:b/>
      <w:bCs/>
      <w:color w:val="808080"/>
      <w:sz w:val="28"/>
      <w:szCs w:val="20"/>
      <w:lang w:val="nb-NO"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83B"/>
    <w:pPr>
      <w:spacing w:after="200"/>
      <w:ind w:left="720"/>
    </w:pPr>
  </w:style>
  <w:style w:type="paragraph" w:styleId="FootnoteText">
    <w:name w:val="footnote text"/>
    <w:basedOn w:val="Normal"/>
    <w:link w:val="FootnoteTextChar"/>
    <w:uiPriority w:val="99"/>
    <w:semiHidden/>
    <w:unhideWhenUsed/>
    <w:rsid w:val="003B42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42D2"/>
    <w:rPr>
      <w:sz w:val="20"/>
      <w:szCs w:val="20"/>
    </w:rPr>
  </w:style>
  <w:style w:type="character" w:styleId="FootnoteReference">
    <w:name w:val="footnote reference"/>
    <w:basedOn w:val="DefaultParagraphFont"/>
    <w:uiPriority w:val="99"/>
    <w:semiHidden/>
    <w:unhideWhenUsed/>
    <w:rsid w:val="003B42D2"/>
    <w:rPr>
      <w:vertAlign w:val="superscript"/>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rsid w:val="009E346F"/>
    <w:rPr>
      <w:rFonts w:ascii="Arial" w:eastAsia="Times New Roman" w:hAnsi="Arial" w:cs="Arial"/>
      <w:b/>
      <w:bCs/>
      <w:color w:val="808080"/>
      <w:sz w:val="28"/>
      <w:szCs w:val="20"/>
      <w:lang w:val="nb-NO" w:eastAsia="de-DE"/>
    </w:rPr>
  </w:style>
  <w:style w:type="character" w:styleId="Hyperlink">
    <w:name w:val="Hyperlink"/>
    <w:rsid w:val="009E346F"/>
    <w:rPr>
      <w:color w:val="0000FF"/>
      <w:u w:val="single"/>
    </w:rPr>
  </w:style>
  <w:style w:type="paragraph" w:styleId="BalloonText">
    <w:name w:val="Balloon Text"/>
    <w:basedOn w:val="Normal"/>
    <w:link w:val="BalloonTextChar"/>
    <w:uiPriority w:val="99"/>
    <w:semiHidden/>
    <w:unhideWhenUsed/>
    <w:rsid w:val="009E3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46F"/>
    <w:rPr>
      <w:rFonts w:ascii="Tahoma" w:hAnsi="Tahoma" w:cs="Tahoma"/>
      <w:sz w:val="16"/>
      <w:szCs w:val="16"/>
    </w:rPr>
  </w:style>
  <w:style w:type="paragraph" w:styleId="PlainText">
    <w:name w:val="Plain Text"/>
    <w:basedOn w:val="Normal"/>
    <w:link w:val="PlainTextChar"/>
    <w:uiPriority w:val="99"/>
    <w:semiHidden/>
    <w:unhideWhenUsed/>
    <w:rsid w:val="000226AA"/>
    <w:pPr>
      <w:spacing w:after="0" w:line="240" w:lineRule="auto"/>
    </w:pPr>
    <w:rPr>
      <w:rFonts w:ascii="Calibri" w:hAnsi="Calibri"/>
      <w:szCs w:val="21"/>
      <w:lang w:val="de-DE"/>
    </w:rPr>
  </w:style>
  <w:style w:type="character" w:customStyle="1" w:styleId="PlainTextChar">
    <w:name w:val="Plain Text Char"/>
    <w:basedOn w:val="DefaultParagraphFont"/>
    <w:link w:val="PlainText"/>
    <w:uiPriority w:val="99"/>
    <w:semiHidden/>
    <w:rsid w:val="000226AA"/>
    <w:rPr>
      <w:rFonts w:ascii="Calibri" w:hAnsi="Calibri"/>
      <w:szCs w:val="21"/>
      <w:lang w:val="de-DE"/>
    </w:rPr>
  </w:style>
  <w:style w:type="paragraph" w:styleId="Header">
    <w:name w:val="header"/>
    <w:basedOn w:val="Normal"/>
    <w:link w:val="HeaderChar"/>
    <w:uiPriority w:val="99"/>
    <w:unhideWhenUsed/>
    <w:rsid w:val="004908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08B1"/>
  </w:style>
  <w:style w:type="paragraph" w:styleId="Footer">
    <w:name w:val="footer"/>
    <w:basedOn w:val="Normal"/>
    <w:link w:val="FooterChar"/>
    <w:uiPriority w:val="99"/>
    <w:unhideWhenUsed/>
    <w:rsid w:val="004908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08B1"/>
  </w:style>
  <w:style w:type="character" w:styleId="FollowedHyperlink">
    <w:name w:val="FollowedHyperlink"/>
    <w:basedOn w:val="DefaultParagraphFont"/>
    <w:uiPriority w:val="99"/>
    <w:semiHidden/>
    <w:unhideWhenUsed/>
    <w:rsid w:val="00124AC8"/>
    <w:rPr>
      <w:color w:val="A67DAA" w:themeColor="followedHyperlink"/>
      <w:u w:val="single"/>
    </w:rPr>
  </w:style>
  <w:style w:type="paragraph" w:customStyle="1" w:styleId="TH">
    <w:name w:val="TH"/>
    <w:basedOn w:val="Normal"/>
    <w:link w:val="THChar"/>
    <w:rsid w:val="00115776"/>
    <w:pPr>
      <w:keepNext/>
      <w:keepLines/>
      <w:spacing w:before="60" w:after="180" w:line="240" w:lineRule="auto"/>
      <w:jc w:val="center"/>
    </w:pPr>
    <w:rPr>
      <w:rFonts w:ascii="Arial" w:eastAsia="Times New Roman" w:hAnsi="Arial" w:cs="Times New Roman"/>
      <w:b/>
      <w:sz w:val="20"/>
      <w:szCs w:val="20"/>
    </w:rPr>
  </w:style>
  <w:style w:type="paragraph" w:customStyle="1" w:styleId="TF">
    <w:name w:val="TF"/>
    <w:basedOn w:val="TH"/>
    <w:rsid w:val="00115776"/>
    <w:pPr>
      <w:keepNext w:val="0"/>
      <w:spacing w:before="0" w:after="240"/>
    </w:pPr>
  </w:style>
  <w:style w:type="character" w:customStyle="1" w:styleId="THChar">
    <w:name w:val="TH Char"/>
    <w:basedOn w:val="DefaultParagraphFont"/>
    <w:link w:val="TH"/>
    <w:rsid w:val="00115776"/>
    <w:rPr>
      <w:rFonts w:ascii="Arial" w:eastAsia="Times New Roman" w:hAnsi="Arial" w:cs="Times New Roman"/>
      <w:b/>
      <w:sz w:val="20"/>
      <w:szCs w:val="20"/>
    </w:rPr>
  </w:style>
  <w:style w:type="table" w:styleId="TableGrid">
    <w:name w:val="Table Grid"/>
    <w:basedOn w:val="TableNormal"/>
    <w:uiPriority w:val="59"/>
    <w:rsid w:val="00836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se.Carrascosa@eco.cept.org" TargetMode="External"/><Relationship Id="rId5" Type="http://schemas.openxmlformats.org/officeDocument/2006/relationships/settings" Target="settings.xml"/><Relationship Id="rId10" Type="http://schemas.openxmlformats.org/officeDocument/2006/relationships/hyperlink" Target="mailto:steve.green@ofcom.org.uk"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com">
  <a:themeElements>
    <a:clrScheme name="Ofcom">
      <a:dk1>
        <a:srgbClr val="000000"/>
      </a:dk1>
      <a:lt1>
        <a:srgbClr val="FFFFFF"/>
      </a:lt1>
      <a:dk2>
        <a:srgbClr val="5E243C"/>
      </a:dk2>
      <a:lt2>
        <a:srgbClr val="F7941D"/>
      </a:lt2>
      <a:accent1>
        <a:srgbClr val="C90044"/>
      </a:accent1>
      <a:accent2>
        <a:srgbClr val="642566"/>
      </a:accent2>
      <a:accent3>
        <a:srgbClr val="FFF200"/>
      </a:accent3>
      <a:accent4>
        <a:srgbClr val="A9CF38"/>
      </a:accent4>
      <a:accent5>
        <a:srgbClr val="00ABBD"/>
      </a:accent5>
      <a:accent6>
        <a:srgbClr val="EF0973"/>
      </a:accent6>
      <a:hlink>
        <a:srgbClr val="C90044"/>
      </a:hlink>
      <a:folHlink>
        <a:srgbClr val="A67DA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0AB91-462D-4039-A918-0B78EA144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3114</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2017-03-14T15:12:00Z</dcterms:created>
  <dcterms:modified xsi:type="dcterms:W3CDTF">2017-06-08T14:44:00Z</dcterms:modified>
</cp:coreProperties>
</file>