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265F50" w:rsidRPr="00A3755D" w:rsidTr="000E3E4D">
        <w:trPr>
          <w:cantSplit/>
          <w:trHeight w:val="1560"/>
        </w:trPr>
        <w:tc>
          <w:tcPr>
            <w:tcW w:w="4820" w:type="dxa"/>
            <w:gridSpan w:val="2"/>
            <w:tcBorders>
              <w:top w:val="nil"/>
              <w:left w:val="nil"/>
              <w:bottom w:val="nil"/>
              <w:right w:val="nil"/>
            </w:tcBorders>
            <w:vAlign w:val="center"/>
          </w:tcPr>
          <w:p w:rsidR="00265F50" w:rsidRPr="00265F50" w:rsidRDefault="00265F50" w:rsidP="000C78BA">
            <w:pPr>
              <w:pStyle w:val="ECCLetterHead"/>
            </w:pPr>
            <w:r w:rsidRPr="00265F50">
              <w:rPr>
                <w:noProof/>
                <w:lang w:val="da-DK" w:eastAsia="da-DK"/>
              </w:rPr>
              <w:drawing>
                <wp:inline distT="0" distB="0" distL="0" distR="0" wp14:anchorId="794FBF8D" wp14:editId="03748421">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r w:rsidR="000C78BA">
              <w:t>Plenary</w:t>
            </w:r>
          </w:p>
        </w:tc>
        <w:tc>
          <w:tcPr>
            <w:tcW w:w="4961" w:type="dxa"/>
            <w:tcBorders>
              <w:top w:val="nil"/>
              <w:left w:val="nil"/>
              <w:bottom w:val="nil"/>
              <w:right w:val="nil"/>
            </w:tcBorders>
          </w:tcPr>
          <w:p w:rsidR="00265F50" w:rsidRPr="00265F50" w:rsidRDefault="00265F50" w:rsidP="00823E83">
            <w:pPr>
              <w:pStyle w:val="ECCLetterHead"/>
            </w:pPr>
            <w:r>
              <w:tab/>
              <w:t xml:space="preserve">Doc. </w:t>
            </w:r>
            <w:r w:rsidR="000C78BA">
              <w:t>ECC(17</w:t>
            </w:r>
            <w:r w:rsidRPr="00265F50">
              <w:t>)</w:t>
            </w:r>
            <w:r w:rsidR="00823E83">
              <w:t>040</w:t>
            </w:r>
          </w:p>
        </w:tc>
      </w:tr>
      <w:tr w:rsidR="00F11542" w:rsidRPr="00A3755D" w:rsidTr="00AF4545">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0C78BA" w:rsidP="00DD5136">
            <w:pPr>
              <w:pStyle w:val="ECCLetterHead"/>
            </w:pPr>
            <w:r>
              <w:t>45</w:t>
            </w:r>
            <w:r w:rsidRPr="000C78BA">
              <w:rPr>
                <w:vertAlign w:val="superscript"/>
              </w:rPr>
              <w:t>th</w:t>
            </w:r>
            <w:r>
              <w:t xml:space="preserve"> Meeting</w:t>
            </w:r>
          </w:p>
        </w:tc>
      </w:tr>
      <w:tr w:rsidR="00F11542" w:rsidRPr="00A3755D" w:rsidTr="00AF4545">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rsidR="00F11542" w:rsidRPr="0011705C" w:rsidRDefault="000C78BA" w:rsidP="000C78BA">
            <w:pPr>
              <w:pStyle w:val="ECCLetterHead"/>
            </w:pPr>
            <w:r>
              <w:t>Rotterdam</w:t>
            </w:r>
            <w:r w:rsidR="00F11542" w:rsidRPr="00265F50">
              <w:t xml:space="preserve">, </w:t>
            </w:r>
            <w:r>
              <w:t>27 – 30 June 2017</w:t>
            </w:r>
          </w:p>
        </w:tc>
      </w:tr>
      <w:tr w:rsidR="00F11542" w:rsidRPr="00A3755D" w:rsidTr="00AF4545">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rsidR="00F11542" w:rsidRPr="00A3755D" w:rsidRDefault="00F11542" w:rsidP="00263FFB">
            <w:pPr>
              <w:pStyle w:val="ECCLetterHead"/>
            </w:pP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Date issued: </w:t>
            </w:r>
          </w:p>
        </w:tc>
        <w:tc>
          <w:tcPr>
            <w:tcW w:w="7962" w:type="dxa"/>
            <w:gridSpan w:val="2"/>
            <w:tcBorders>
              <w:top w:val="nil"/>
              <w:left w:val="nil"/>
              <w:bottom w:val="nil"/>
              <w:right w:val="nil"/>
            </w:tcBorders>
            <w:vAlign w:val="center"/>
          </w:tcPr>
          <w:p w:rsidR="00263FFB" w:rsidRPr="00263FFB" w:rsidRDefault="00823E83" w:rsidP="00263FFB">
            <w:pPr>
              <w:pStyle w:val="ECCLetterHead"/>
            </w:pPr>
            <w:r>
              <w:t>21 June 2017</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Source: </w:t>
            </w:r>
          </w:p>
        </w:tc>
        <w:tc>
          <w:tcPr>
            <w:tcW w:w="7962" w:type="dxa"/>
            <w:gridSpan w:val="2"/>
            <w:tcBorders>
              <w:top w:val="nil"/>
              <w:left w:val="nil"/>
              <w:bottom w:val="nil"/>
              <w:right w:val="nil"/>
            </w:tcBorders>
            <w:vAlign w:val="center"/>
          </w:tcPr>
          <w:p w:rsidR="00263FFB" w:rsidRPr="00263FFB" w:rsidRDefault="00823E83" w:rsidP="00263FFB">
            <w:pPr>
              <w:pStyle w:val="ECCLetterHead"/>
            </w:pPr>
            <w:r>
              <w:t>ECO</w:t>
            </w:r>
          </w:p>
        </w:tc>
      </w:tr>
      <w:tr w:rsidR="00263FFB" w:rsidRPr="00A3755D" w:rsidTr="001B0583">
        <w:tblPrEx>
          <w:tblCellMar>
            <w:left w:w="108" w:type="dxa"/>
            <w:right w:w="108" w:type="dxa"/>
          </w:tblCellMar>
        </w:tblPrEx>
        <w:trPr>
          <w:cantSplit/>
          <w:trHeight w:val="405"/>
        </w:trPr>
        <w:tc>
          <w:tcPr>
            <w:tcW w:w="1819" w:type="dxa"/>
            <w:tcBorders>
              <w:top w:val="nil"/>
              <w:left w:val="nil"/>
              <w:bottom w:val="nil"/>
              <w:right w:val="nil"/>
            </w:tcBorders>
            <w:vAlign w:val="center"/>
          </w:tcPr>
          <w:p w:rsidR="00263FFB" w:rsidRPr="00263FFB" w:rsidRDefault="00263FFB" w:rsidP="00263FFB">
            <w:pPr>
              <w:pStyle w:val="ECCLetterHead"/>
            </w:pPr>
            <w:r w:rsidRPr="00A3755D">
              <w:t xml:space="preserve">Subject: </w:t>
            </w:r>
          </w:p>
        </w:tc>
        <w:tc>
          <w:tcPr>
            <w:tcW w:w="7962" w:type="dxa"/>
            <w:gridSpan w:val="2"/>
            <w:tcBorders>
              <w:top w:val="nil"/>
              <w:left w:val="nil"/>
              <w:bottom w:val="nil"/>
              <w:right w:val="nil"/>
            </w:tcBorders>
            <w:vAlign w:val="center"/>
          </w:tcPr>
          <w:p w:rsidR="00263FFB" w:rsidRPr="00263FFB" w:rsidRDefault="00823E83" w:rsidP="00263FFB">
            <w:pPr>
              <w:pStyle w:val="ECCLetterHead"/>
            </w:pPr>
            <w:r w:rsidRPr="00A82B1F">
              <w:t>ECO Bulletin on on</w:t>
            </w:r>
            <w:r>
              <w:t>-</w:t>
            </w:r>
            <w:r w:rsidRPr="00A82B1F">
              <w:t>going/new issues in other regions or organisations</w:t>
            </w:r>
          </w:p>
        </w:tc>
      </w:tr>
      <w:tr w:rsidR="00263FFB" w:rsidRPr="00A3755D" w:rsidTr="001B0583">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rsidR="00263FFB" w:rsidRPr="00263FFB" w:rsidRDefault="00263FFB" w:rsidP="00263FFB">
            <w:pPr>
              <w:pStyle w:val="ECCTabletext"/>
            </w:pPr>
            <w:r w:rsidRPr="00263FFB">
              <w:rPr>
                <w:noProof/>
                <w:lang w:val="da-DK" w:eastAsia="da-DK"/>
              </w:rPr>
              <mc:AlternateContent>
                <mc:Choice Requires="wps">
                  <w:drawing>
                    <wp:anchor distT="0" distB="0" distL="114300" distR="114300" simplePos="0" relativeHeight="251662336" behindDoc="0" locked="1" layoutInCell="0" allowOverlap="1" wp14:anchorId="6BE019FC" wp14:editId="0F51D18F">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rsidR="002376BE" w:rsidRPr="00F45561" w:rsidRDefault="002376BE"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rsidR="002376BE" w:rsidRPr="00F45561" w:rsidRDefault="002376BE" w:rsidP="00F45561">
                            <w:pPr>
                              <w:pStyle w:val="ECCTabletext"/>
                              <w:jc w:val="center"/>
                              <w:rPr>
                                <w:lang w:val="de-DE"/>
                              </w:rPr>
                            </w:pPr>
                            <w:r>
                              <w:rPr>
                                <w:lang w:val="de-DE"/>
                              </w:rPr>
                              <w:t>N</w:t>
                            </w:r>
                          </w:p>
                        </w:txbxContent>
                      </v:textbox>
                      <w10:anchorlock/>
                    </v:shape>
                  </w:pict>
                </mc:Fallback>
              </mc:AlternateContent>
            </w:r>
            <w:r w:rsidRPr="00263FFB">
              <w:t>Group membership required to read? (Y/N)</w:t>
            </w:r>
          </w:p>
        </w:tc>
      </w:tr>
      <w:tr w:rsidR="00263FFB" w:rsidRPr="00A3755D" w:rsidTr="001B0583">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rsidR="00263FFB" w:rsidRPr="00F32DEC" w:rsidRDefault="00263FFB" w:rsidP="00263FFB">
            <w:pPr>
              <w:rPr>
                <w:rStyle w:val="ECCParagraph"/>
              </w:rPr>
            </w:pPr>
          </w:p>
          <w:p w:rsidR="00263FFB" w:rsidRPr="00A3755D" w:rsidRDefault="00263FFB" w:rsidP="00263FFB"/>
        </w:tc>
      </w:tr>
      <w:tr w:rsidR="00263FFB" w:rsidRPr="00A3755D" w:rsidTr="00A7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 xml:space="preserve">Summary: </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rsidR="00823E83" w:rsidRPr="00523220" w:rsidRDefault="00823E83" w:rsidP="00823E83">
            <w:r w:rsidRPr="00523220">
              <w:t>This ECO Bulletin provides a summary update on aspects of progress in spectrum management outside the CEPT. The items in this bulletin include:</w:t>
            </w:r>
          </w:p>
          <w:p w:rsidR="00823E83" w:rsidRPr="00BE306E" w:rsidRDefault="00823E83" w:rsidP="00823E83">
            <w:pPr>
              <w:pStyle w:val="ListParagraph"/>
              <w:numPr>
                <w:ilvl w:val="0"/>
                <w:numId w:val="10"/>
              </w:numPr>
              <w:spacing w:before="0" w:after="120"/>
              <w:contextualSpacing w:val="0"/>
            </w:pPr>
            <w:r w:rsidRPr="00BE306E">
              <w:t>Update from APT (new APT Re</w:t>
            </w:r>
            <w:r>
              <w:t>commendations, Reports, questionnaires and further on-going work</w:t>
            </w:r>
            <w:r w:rsidRPr="00BE306E">
              <w:t xml:space="preserve">, </w:t>
            </w:r>
            <w:r>
              <w:t>work on strategic plan</w:t>
            </w:r>
            <w:r w:rsidRPr="00BE306E">
              <w:t>);</w:t>
            </w:r>
          </w:p>
          <w:p w:rsidR="00823E83" w:rsidRDefault="00823E83" w:rsidP="00823E83">
            <w:pPr>
              <w:pStyle w:val="ListParagraph"/>
              <w:numPr>
                <w:ilvl w:val="0"/>
                <w:numId w:val="10"/>
              </w:numPr>
              <w:spacing w:before="0" w:after="120"/>
              <w:contextualSpacing w:val="0"/>
            </w:pPr>
            <w:r w:rsidRPr="001A5672">
              <w:t>Preliminary position of the RCC Administrations on Agenda Items for the WRC-19</w:t>
            </w:r>
            <w:r>
              <w:t>;</w:t>
            </w:r>
          </w:p>
          <w:p w:rsidR="00823E83" w:rsidRDefault="00823E83" w:rsidP="00823E83">
            <w:pPr>
              <w:pStyle w:val="ListParagraph"/>
              <w:numPr>
                <w:ilvl w:val="0"/>
                <w:numId w:val="10"/>
              </w:numPr>
              <w:spacing w:before="0" w:after="120"/>
              <w:contextualSpacing w:val="0"/>
            </w:pPr>
            <w:r w:rsidRPr="001A5672">
              <w:t>450-470 MHz : Developments in China and 3GPP</w:t>
            </w:r>
            <w:r>
              <w:t>;</w:t>
            </w:r>
            <w:r w:rsidRPr="001A5672">
              <w:t xml:space="preserve"> </w:t>
            </w:r>
          </w:p>
          <w:p w:rsidR="00823E83" w:rsidRPr="00BE0094" w:rsidRDefault="00823E83" w:rsidP="00823E83">
            <w:pPr>
              <w:pStyle w:val="ListParagraph"/>
              <w:numPr>
                <w:ilvl w:val="0"/>
                <w:numId w:val="10"/>
              </w:numPr>
              <w:spacing w:before="0" w:after="120"/>
              <w:contextualSpacing w:val="0"/>
            </w:pPr>
            <w:r w:rsidRPr="00BD3A5C">
              <w:t>Broadband DA2G - USA</w:t>
            </w:r>
            <w:r>
              <w:t>;</w:t>
            </w:r>
          </w:p>
          <w:p w:rsidR="00823E83" w:rsidRDefault="00823E83" w:rsidP="00823E83">
            <w:pPr>
              <w:pStyle w:val="ListParagraph"/>
              <w:numPr>
                <w:ilvl w:val="0"/>
                <w:numId w:val="10"/>
              </w:numPr>
              <w:spacing w:before="0" w:after="120"/>
              <w:contextualSpacing w:val="0"/>
            </w:pPr>
            <w:r>
              <w:t xml:space="preserve">New </w:t>
            </w:r>
            <w:r w:rsidRPr="00C61542">
              <w:t xml:space="preserve">57 – 64 GHz Outdoor Use Rules </w:t>
            </w:r>
            <w:r>
              <w:t>(Argentina, Mexico);</w:t>
            </w:r>
          </w:p>
          <w:p w:rsidR="00823E83" w:rsidRDefault="00823E83" w:rsidP="00823E83">
            <w:pPr>
              <w:pStyle w:val="ListParagraph"/>
              <w:numPr>
                <w:ilvl w:val="0"/>
                <w:numId w:val="10"/>
              </w:numPr>
              <w:spacing w:before="0" w:after="120"/>
              <w:contextualSpacing w:val="0"/>
            </w:pPr>
            <w:r w:rsidRPr="00C61542">
              <w:t>Canada - Technical Requirements for Fixed Line of-Sight Radio Systems Operating in the Bands 71-76 GHz and 81-86 GHz</w:t>
            </w:r>
            <w:r>
              <w:t>;</w:t>
            </w:r>
          </w:p>
          <w:p w:rsidR="00823E83" w:rsidRDefault="00823E83" w:rsidP="00823E83">
            <w:pPr>
              <w:pStyle w:val="ListParagraph"/>
              <w:numPr>
                <w:ilvl w:val="0"/>
                <w:numId w:val="10"/>
              </w:numPr>
              <w:spacing w:before="0" w:after="120"/>
              <w:contextualSpacing w:val="0"/>
            </w:pPr>
            <w:r w:rsidRPr="00DE17D4">
              <w:t>Canada – outdoor use in 5150-5250 MHz permitted</w:t>
            </w:r>
            <w:r>
              <w:t>;</w:t>
            </w:r>
          </w:p>
          <w:p w:rsidR="00823E83" w:rsidRPr="00BE0094" w:rsidRDefault="00823E83" w:rsidP="00823E83">
            <w:pPr>
              <w:pStyle w:val="ListParagraph"/>
              <w:numPr>
                <w:ilvl w:val="0"/>
                <w:numId w:val="10"/>
              </w:numPr>
              <w:spacing w:before="0" w:after="120"/>
              <w:contextualSpacing w:val="0"/>
            </w:pPr>
            <w:r w:rsidRPr="00C3348A">
              <w:t xml:space="preserve">FCC </w:t>
            </w:r>
            <w:r>
              <w:t>m</w:t>
            </w:r>
            <w:r w:rsidRPr="00C3348A">
              <w:t>oves to combat scam robocalls &amp; malicious Caller ID spoofing</w:t>
            </w:r>
            <w:r w:rsidRPr="00BE0094">
              <w:t>;</w:t>
            </w:r>
          </w:p>
          <w:p w:rsidR="00823E83" w:rsidRDefault="00823E83" w:rsidP="00823E83">
            <w:pPr>
              <w:pStyle w:val="ListParagraph"/>
              <w:numPr>
                <w:ilvl w:val="0"/>
                <w:numId w:val="10"/>
              </w:numPr>
              <w:spacing w:before="0" w:after="120"/>
              <w:contextualSpacing w:val="0"/>
            </w:pPr>
            <w:r w:rsidRPr="00C3348A">
              <w:t>FCC – Update to 800 MHz Band</w:t>
            </w:r>
            <w:r>
              <w:t>;</w:t>
            </w:r>
          </w:p>
          <w:p w:rsidR="00823E83" w:rsidRDefault="00823E83" w:rsidP="00823E83">
            <w:pPr>
              <w:pStyle w:val="ListParagraph"/>
              <w:numPr>
                <w:ilvl w:val="0"/>
                <w:numId w:val="10"/>
              </w:numPr>
              <w:spacing w:before="0" w:after="120"/>
              <w:contextualSpacing w:val="0"/>
            </w:pPr>
            <w:r w:rsidRPr="005D02D5">
              <w:t>FCC – Guidance on Antennas (Part 15 ‘SRD’ equipment)</w:t>
            </w:r>
            <w:r>
              <w:t>;</w:t>
            </w:r>
            <w:r w:rsidRPr="005D02D5">
              <w:t xml:space="preserve"> </w:t>
            </w:r>
            <w:r w:rsidRPr="00826D66">
              <w:t xml:space="preserve"> </w:t>
            </w:r>
          </w:p>
          <w:p w:rsidR="00823E83" w:rsidRPr="00273ECA" w:rsidRDefault="00823E83" w:rsidP="00823E83">
            <w:pPr>
              <w:pStyle w:val="ListParagraph"/>
              <w:numPr>
                <w:ilvl w:val="0"/>
                <w:numId w:val="10"/>
              </w:numPr>
              <w:spacing w:before="0" w:after="120"/>
              <w:contextualSpacing w:val="0"/>
            </w:pPr>
            <w:r w:rsidRPr="00273ECA">
              <w:t>FCC: Change of Part 95 rules (wireless devices that are used by the general public but not included in Part 15)</w:t>
            </w:r>
            <w:r>
              <w:t>;</w:t>
            </w:r>
          </w:p>
          <w:p w:rsidR="00823E83" w:rsidRPr="007E5F6B" w:rsidRDefault="00823E83" w:rsidP="00823E83">
            <w:pPr>
              <w:pStyle w:val="ListParagraph"/>
              <w:numPr>
                <w:ilvl w:val="0"/>
                <w:numId w:val="10"/>
              </w:numPr>
              <w:spacing w:before="0" w:after="120"/>
              <w:contextualSpacing w:val="0"/>
            </w:pPr>
            <w:r w:rsidRPr="007E5F6B">
              <w:t>FCC: Cut-off established for additional NGSO satellite applications in the 12.75-13.25 GHz, 13.85-14.0 GHz, 18.6-18.8 GHz, 19.3-20.2 GHz, and 29.1-29.5 GHz bands</w:t>
            </w:r>
            <w:r>
              <w:t>;</w:t>
            </w:r>
          </w:p>
          <w:p w:rsidR="00823E83" w:rsidRDefault="00823E83" w:rsidP="00823E83">
            <w:pPr>
              <w:pStyle w:val="ListParagraph"/>
              <w:numPr>
                <w:ilvl w:val="0"/>
                <w:numId w:val="10"/>
              </w:numPr>
              <w:spacing w:before="0" w:after="120"/>
              <w:contextualSpacing w:val="0"/>
            </w:pPr>
            <w:r>
              <w:t xml:space="preserve">FCC: Proposed rulemaking </w:t>
            </w:r>
            <w:r w:rsidRPr="007326C5">
              <w:t xml:space="preserve">to </w:t>
            </w:r>
            <w:r>
              <w:t>f</w:t>
            </w:r>
            <w:r w:rsidRPr="007326C5">
              <w:t xml:space="preserve">acilitate the </w:t>
            </w:r>
            <w:r>
              <w:t>u</w:t>
            </w:r>
            <w:r w:rsidRPr="007326C5">
              <w:t xml:space="preserve">se of </w:t>
            </w:r>
            <w:r>
              <w:t>e</w:t>
            </w:r>
            <w:r w:rsidRPr="007326C5">
              <w:t xml:space="preserve">arth </w:t>
            </w:r>
            <w:r>
              <w:t>s</w:t>
            </w:r>
            <w:r w:rsidRPr="007326C5">
              <w:t xml:space="preserve">tations in </w:t>
            </w:r>
            <w:r>
              <w:t>m</w:t>
            </w:r>
            <w:r w:rsidRPr="007326C5">
              <w:t xml:space="preserve">otion </w:t>
            </w:r>
            <w:r>
              <w:t>(ESIM) c</w:t>
            </w:r>
            <w:r w:rsidRPr="007326C5">
              <w:t xml:space="preserve">ommunicating with </w:t>
            </w:r>
            <w:r>
              <w:t>GSO satellites in bands allocated to the FSS;</w:t>
            </w:r>
          </w:p>
          <w:p w:rsidR="00263FFB" w:rsidRDefault="00823E83" w:rsidP="00823E83">
            <w:pPr>
              <w:pStyle w:val="ListParagraph"/>
              <w:numPr>
                <w:ilvl w:val="0"/>
                <w:numId w:val="10"/>
              </w:numPr>
              <w:spacing w:before="0" w:after="120"/>
              <w:contextualSpacing w:val="0"/>
            </w:pPr>
            <w:r>
              <w:t>Information about 3GPP V2X standardisation and related (China CCSA, 5GAA, USA, Canada).</w:t>
            </w:r>
          </w:p>
          <w:p w:rsidR="002F70E6" w:rsidRPr="00263FFB" w:rsidRDefault="002F70E6" w:rsidP="00263FFB">
            <w:pPr>
              <w:pStyle w:val="ECCTabletext"/>
            </w:pP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Proposal:</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6" w:space="0" w:color="C00000"/>
              <w:bottom w:val="single" w:sz="6" w:space="0" w:color="C00000"/>
              <w:right w:val="single" w:sz="6" w:space="0" w:color="C00000"/>
            </w:tcBorders>
          </w:tcPr>
          <w:p w:rsidR="00263FFB" w:rsidRDefault="000C78BA" w:rsidP="00263FFB">
            <w:pPr>
              <w:pStyle w:val="ECCTabletext"/>
            </w:pPr>
            <w:r>
              <w:lastRenderedPageBreak/>
              <w:t>ECC is invited</w:t>
            </w:r>
            <w:r w:rsidR="00265F50">
              <w:t xml:space="preserve"> to</w:t>
            </w:r>
            <w:r w:rsidR="00823E83">
              <w:t xml:space="preserve"> note this bulletin. </w:t>
            </w:r>
            <w:r w:rsidR="00823E83" w:rsidRPr="00523220">
              <w:t>More detailed input on some of the subjects covered is being input to the groups dealing with the respective subjects.</w:t>
            </w:r>
          </w:p>
          <w:p w:rsidR="00823E83" w:rsidRDefault="00823E83" w:rsidP="00823E83">
            <w:r w:rsidRPr="00523220">
              <w:t xml:space="preserve">Several of the issues </w:t>
            </w:r>
            <w:r>
              <w:t xml:space="preserve">covered in this bulletin </w:t>
            </w:r>
            <w:r w:rsidRPr="00523220">
              <w:t xml:space="preserve">should be noted or discussed </w:t>
            </w:r>
            <w:r w:rsidR="00C2287A">
              <w:t xml:space="preserve">in detail </w:t>
            </w:r>
            <w:r w:rsidRPr="00523220">
              <w:t>at the respective WG/ PT level</w:t>
            </w:r>
            <w:r>
              <w:t xml:space="preserve">. </w:t>
            </w:r>
          </w:p>
          <w:p w:rsidR="00823E83" w:rsidRDefault="00823E83" w:rsidP="00823E83">
            <w:pPr>
              <w:pStyle w:val="ECCTabletext"/>
            </w:pPr>
            <w:r>
              <w:t xml:space="preserve">This includes </w:t>
            </w:r>
            <w:r w:rsidRPr="00523220">
              <w:t xml:space="preserve">information related to </w:t>
            </w:r>
            <w:r>
              <w:t>satellite issues (items 12 and 13), fixed service</w:t>
            </w:r>
            <w:r w:rsidRPr="0061565F">
              <w:t xml:space="preserve"> </w:t>
            </w:r>
            <w:r>
              <w:t>(item 6),  for CPG (item 2), for items in relation to SRD or SRD/MG activities (items 5, 10, 11 and 14), PPDR (items 1 and 3), some activities in 3GPP (items 3 and 14), of general interest for WG FM on DA2G (item 4), 5150-5250 MHz WAS/RLAN outdoor use (item 7), or for PT1 (</w:t>
            </w:r>
            <w:r w:rsidR="00D640BE">
              <w:t>items 1,2, 3, 9, 14</w:t>
            </w:r>
            <w:r>
              <w:t>).  Some elements may be of interest for WG SE and SE19 or SE24 (items 1, 5, and 6). Item 8 is for information of WG NaN.</w:t>
            </w:r>
          </w:p>
          <w:p w:rsidR="002F70E6" w:rsidRPr="00263FFB" w:rsidRDefault="00C2287A" w:rsidP="00C2287A">
            <w:pPr>
              <w:pStyle w:val="ECCTabletext"/>
            </w:pPr>
            <w:r>
              <w:t>Especially items 7 (5150-52350 MHz WAS/RLAN outdoor), item 8 (t</w:t>
            </w:r>
            <w:r w:rsidRPr="00C2287A">
              <w:t>his information is relevant to ECC WG NaN’</w:t>
            </w:r>
            <w:r>
              <w:t xml:space="preserve">s </w:t>
            </w:r>
            <w:r w:rsidRPr="00C2287A">
              <w:t>ongoing work on the role of E.164 numbers in facilitating international fraud</w:t>
            </w:r>
            <w:r>
              <w:t xml:space="preserve">), item 12 (handling of several NGSO system filings) and item 14 (C-V2X vs IEEE 802.11/11p/ ETSI G5) are recommended for detailed discussions in the respective working groups and project teams. </w:t>
            </w:r>
          </w:p>
        </w:tc>
      </w:tr>
      <w:tr w:rsidR="00263FFB"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rsidR="00263FFB" w:rsidRPr="00263FFB" w:rsidRDefault="00263FFB" w:rsidP="00263FFB">
            <w:pPr>
              <w:pStyle w:val="ECCLetterHead"/>
            </w:pPr>
            <w:r w:rsidRPr="00A3755D">
              <w:t>Background:</w:t>
            </w:r>
          </w:p>
        </w:tc>
      </w:tr>
      <w:tr w:rsidR="00265F50" w:rsidRPr="00A3755D" w:rsidTr="0079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6" w:space="0" w:color="C00000"/>
              <w:bottom w:val="single" w:sz="6" w:space="0" w:color="C00000"/>
              <w:right w:val="single" w:sz="6" w:space="0" w:color="C00000"/>
            </w:tcBorders>
          </w:tcPr>
          <w:p w:rsidR="00823E83" w:rsidRPr="00523220" w:rsidRDefault="00823E83" w:rsidP="00823E83">
            <w:pPr>
              <w:rPr>
                <w:bCs/>
                <w:szCs w:val="24"/>
              </w:rPr>
            </w:pPr>
            <w:r w:rsidRPr="00523220">
              <w:rPr>
                <w:bCs/>
                <w:szCs w:val="24"/>
              </w:rPr>
              <w:t xml:space="preserve">The Office brings to each ECC meeting a bulletin on activities in radio communications in other world regions, where a regulatory dimension is raised (e.g. by innovative services or technology). </w:t>
            </w:r>
          </w:p>
          <w:p w:rsidR="002F70E6" w:rsidRPr="00265F50" w:rsidRDefault="00823E83" w:rsidP="00823E83">
            <w:pPr>
              <w:pStyle w:val="ECCTabletext"/>
            </w:pPr>
            <w:r w:rsidRPr="00523220">
              <w:rPr>
                <w:bCs/>
                <w:szCs w:val="24"/>
              </w:rPr>
              <w:t>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1B0583" w:rsidRDefault="001B0583" w:rsidP="001B0583">
      <w:pPr>
        <w:pStyle w:val="ECCTablenote"/>
        <w:rPr>
          <w:rStyle w:val="ECCParagraph"/>
        </w:rPr>
      </w:pPr>
    </w:p>
    <w:p w:rsidR="00231A0F" w:rsidRDefault="00231A0F">
      <w:pPr>
        <w:rPr>
          <w:rStyle w:val="ECCParagraph"/>
          <w:rFonts w:eastAsia="Times New Roman"/>
          <w:szCs w:val="16"/>
        </w:rPr>
      </w:pPr>
      <w:r>
        <w:rPr>
          <w:rStyle w:val="ECCParagraph"/>
        </w:rPr>
        <w:br w:type="page"/>
      </w:r>
    </w:p>
    <w:p w:rsidR="00C32C20" w:rsidRDefault="00823E83" w:rsidP="00231A0F">
      <w:pPr>
        <w:pStyle w:val="Heading1"/>
        <w:rPr>
          <w:rStyle w:val="ECCParagraph"/>
        </w:rPr>
      </w:pPr>
      <w:r>
        <w:rPr>
          <w:rStyle w:val="ECCParagraph"/>
        </w:rPr>
        <w:lastRenderedPageBreak/>
        <w:t>News from APT</w:t>
      </w:r>
    </w:p>
    <w:p w:rsidR="00823E83" w:rsidRPr="00823E83" w:rsidRDefault="00823E83" w:rsidP="00823E83">
      <w:pPr>
        <w:pStyle w:val="ECCTablenote"/>
        <w:ind w:left="0" w:firstLine="0"/>
        <w:rPr>
          <w:rStyle w:val="ECCParagraph"/>
        </w:rPr>
      </w:pPr>
      <w:r w:rsidRPr="00823E83">
        <w:rPr>
          <w:rStyle w:val="ECCParagraph"/>
        </w:rPr>
        <w:t xml:space="preserve">The 21st Meeting of the APT Wireless Group (AWG-21) was held from 3 to 7 April 2017 in Bangkok, Thailand. </w:t>
      </w:r>
    </w:p>
    <w:p w:rsidR="00DD5136" w:rsidRPr="00823E83" w:rsidRDefault="00823E83" w:rsidP="00823E83">
      <w:pPr>
        <w:pStyle w:val="ECCTablenote"/>
        <w:ind w:left="0" w:firstLine="0"/>
        <w:rPr>
          <w:rStyle w:val="ECCParagraph"/>
        </w:rPr>
      </w:pPr>
      <w:r w:rsidRPr="00823E83">
        <w:rPr>
          <w:rStyle w:val="ECCParagraph"/>
        </w:rPr>
        <w:t xml:space="preserve">AWG-21 developed two Draft New APT Recommendations which </w:t>
      </w:r>
      <w:r w:rsidR="002B6420">
        <w:rPr>
          <w:rStyle w:val="ECCParagraph"/>
        </w:rPr>
        <w:t>have</w:t>
      </w:r>
      <w:r w:rsidR="002B6420" w:rsidRPr="00823E83">
        <w:rPr>
          <w:rStyle w:val="ECCParagraph"/>
        </w:rPr>
        <w:t xml:space="preserve"> </w:t>
      </w:r>
      <w:r w:rsidRPr="00823E83">
        <w:rPr>
          <w:rStyle w:val="ECCParagraph"/>
        </w:rPr>
        <w:t xml:space="preserve">now </w:t>
      </w:r>
      <w:r w:rsidR="002B6420">
        <w:rPr>
          <w:rStyle w:val="ECCParagraph"/>
        </w:rPr>
        <w:t xml:space="preserve">been </w:t>
      </w:r>
      <w:r w:rsidRPr="00823E83">
        <w:rPr>
          <w:rStyle w:val="ECCParagraph"/>
        </w:rPr>
        <w:t xml:space="preserve">submitted </w:t>
      </w:r>
      <w:r w:rsidR="002B6420">
        <w:rPr>
          <w:rStyle w:val="ECCParagraph"/>
        </w:rPr>
        <w:t>for</w:t>
      </w:r>
      <w:r w:rsidR="002B6420" w:rsidRPr="00823E83">
        <w:rPr>
          <w:rStyle w:val="ECCParagraph"/>
        </w:rPr>
        <w:t xml:space="preserve"> </w:t>
      </w:r>
      <w:r w:rsidRPr="00823E83">
        <w:rPr>
          <w:rStyle w:val="ECCParagraph"/>
        </w:rPr>
        <w:t>the approval process in APT:</w:t>
      </w:r>
    </w:p>
    <w:p w:rsidR="00D1101B" w:rsidRPr="00823E83" w:rsidRDefault="002376BE" w:rsidP="00823E83">
      <w:pPr>
        <w:pStyle w:val="ECCBulletsLv1"/>
      </w:pPr>
      <w:hyperlink r:id="rId10" w:history="1">
        <w:r w:rsidR="00823E83" w:rsidRPr="00823E83">
          <w:rPr>
            <w:rStyle w:val="Hyperlink"/>
            <w:rFonts w:eastAsia="Times New Roman"/>
            <w:lang w:val="en-US"/>
          </w:rPr>
          <w:t>Draft APT Recommendation on Frequency Arrangements in the Range 694-894 MHz for Broadband Public Protection and Disaster Relief (PPDR)</w:t>
        </w:r>
      </w:hyperlink>
      <w:r w:rsidR="00823E83" w:rsidRPr="00823E83">
        <w:rPr>
          <w:lang w:val="en-US"/>
        </w:rPr>
        <w:t>; recommending to APT administrations that spectrum within parts of the 3GPP Band 5 (824-849/869-894 MHz), 3GPP Band 26 (814-849/859-894 MHz), 3GPP Band 27 (807 824/852-869 MHz), and 3GPP Band 28 (703-748/758-803 MHz) is made available on a national basis for BB-PPDR.</w:t>
      </w:r>
    </w:p>
    <w:p w:rsidR="00823E83" w:rsidRPr="00823E83" w:rsidRDefault="002376BE" w:rsidP="00823E83">
      <w:pPr>
        <w:pStyle w:val="ECCBulletsLv1"/>
      </w:pPr>
      <w:hyperlink r:id="rId11" w:history="1">
        <w:r w:rsidR="00823E83" w:rsidRPr="004E5B54">
          <w:rPr>
            <w:rFonts w:cs="Arial"/>
            <w:color w:val="0000FF"/>
            <w:u w:val="single"/>
            <w:lang w:val="en-US"/>
          </w:rPr>
          <w:t>Draft APT Recommendation on Licensed Shared Access (LSA)</w:t>
        </w:r>
      </w:hyperlink>
      <w:r w:rsidR="00823E83">
        <w:rPr>
          <w:rFonts w:cs="Arial"/>
          <w:lang w:val="en-US"/>
        </w:rPr>
        <w:t>;</w:t>
      </w:r>
      <w:r w:rsidR="00823E83" w:rsidRPr="00732E93">
        <w:t xml:space="preserve"> </w:t>
      </w:r>
      <w:r w:rsidR="00823E83" w:rsidRPr="00732E93">
        <w:rPr>
          <w:rFonts w:cs="Arial"/>
          <w:lang w:val="en-US"/>
        </w:rPr>
        <w:t xml:space="preserve">referring to APT Report 68 and hence </w:t>
      </w:r>
      <w:r w:rsidR="00823E83">
        <w:rPr>
          <w:rFonts w:cs="Arial"/>
          <w:lang w:val="en-US"/>
        </w:rPr>
        <w:t xml:space="preserve">over APT Report 68 </w:t>
      </w:r>
      <w:r w:rsidR="00823E83" w:rsidRPr="00732E93">
        <w:rPr>
          <w:rFonts w:cs="Arial"/>
          <w:lang w:val="en-US"/>
        </w:rPr>
        <w:t>includes many references to ECC as well as FCC deliverables.</w:t>
      </w:r>
    </w:p>
    <w:p w:rsidR="00823E83" w:rsidRDefault="00823E83" w:rsidP="00823E83">
      <w:pPr>
        <w:pStyle w:val="ECCBulletsLv1"/>
        <w:numPr>
          <w:ilvl w:val="0"/>
          <w:numId w:val="0"/>
        </w:numPr>
        <w:rPr>
          <w:rFonts w:cs="Arial"/>
          <w:lang w:val="en-US"/>
        </w:rPr>
      </w:pPr>
    </w:p>
    <w:p w:rsidR="00823E83" w:rsidRDefault="00823E83" w:rsidP="00823E83">
      <w:pPr>
        <w:pStyle w:val="Caption"/>
        <w:rPr>
          <w:rStyle w:val="ECCParagraph"/>
        </w:rPr>
      </w:pPr>
      <w:r w:rsidRPr="00823E83">
        <w:rPr>
          <w:lang w:val="en-US"/>
        </w:rPr>
        <w:t xml:space="preserve">Table </w:t>
      </w:r>
      <w:r>
        <w:fldChar w:fldCharType="begin"/>
      </w:r>
      <w:r w:rsidRPr="00823E83">
        <w:rPr>
          <w:lang w:val="en-US"/>
        </w:rPr>
        <w:instrText xml:space="preserve"> SEQ Table \* ARABIC </w:instrText>
      </w:r>
      <w:r>
        <w:fldChar w:fldCharType="separate"/>
      </w:r>
      <w:r w:rsidRPr="00823E83">
        <w:rPr>
          <w:noProof/>
          <w:lang w:val="en-US"/>
        </w:rPr>
        <w:t>1</w:t>
      </w:r>
      <w:r>
        <w:rPr>
          <w:noProof/>
        </w:rPr>
        <w:fldChar w:fldCharType="end"/>
      </w:r>
      <w:r w:rsidRPr="00823E83">
        <w:rPr>
          <w:lang w:val="en-US"/>
        </w:rPr>
        <w:t xml:space="preserve">: </w:t>
      </w:r>
      <w:r>
        <w:rPr>
          <w:rFonts w:cs="Arial"/>
          <w:lang w:val="en-US"/>
        </w:rPr>
        <w:t>New APT Reports (approved and published)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794"/>
        <w:gridCol w:w="5953"/>
      </w:tblGrid>
      <w:tr w:rsidR="00211FA9" w:rsidRPr="00FE1795" w:rsidTr="00211FA9">
        <w:trPr>
          <w:tblHeader/>
        </w:trPr>
        <w:tc>
          <w:tcPr>
            <w:tcW w:w="3794" w:type="dxa"/>
            <w:tcBorders>
              <w:top w:val="single" w:sz="4" w:space="0" w:color="D2232A"/>
              <w:left w:val="single" w:sz="4" w:space="0" w:color="D2232A"/>
              <w:bottom w:val="single" w:sz="4" w:space="0" w:color="D2232A"/>
              <w:right w:val="nil"/>
            </w:tcBorders>
            <w:shd w:val="clear" w:color="auto" w:fill="D2232A"/>
            <w:vAlign w:val="center"/>
          </w:tcPr>
          <w:p w:rsidR="00211FA9" w:rsidRPr="002F70E6" w:rsidRDefault="00211FA9" w:rsidP="00AF4545">
            <w:pPr>
              <w:pStyle w:val="ECCTableHeaderwhitefont"/>
              <w:rPr>
                <w:rStyle w:val="ECCHLbold"/>
              </w:rPr>
            </w:pPr>
            <w:r>
              <w:rPr>
                <w:rStyle w:val="ECCHLbold"/>
              </w:rPr>
              <w:t>Reference</w:t>
            </w:r>
            <w:r w:rsidRPr="002F70E6">
              <w:rPr>
                <w:rStyle w:val="ECCHLbold"/>
              </w:rPr>
              <w:t xml:space="preserve"> </w:t>
            </w:r>
          </w:p>
        </w:tc>
        <w:tc>
          <w:tcPr>
            <w:tcW w:w="5953" w:type="dxa"/>
            <w:tcBorders>
              <w:top w:val="single" w:sz="4" w:space="0" w:color="D2232A"/>
              <w:left w:val="nil"/>
              <w:bottom w:val="single" w:sz="4" w:space="0" w:color="D2232A"/>
              <w:right w:val="nil"/>
            </w:tcBorders>
            <w:shd w:val="clear" w:color="auto" w:fill="D2232A"/>
            <w:vAlign w:val="center"/>
          </w:tcPr>
          <w:p w:rsidR="00211FA9" w:rsidRPr="002F70E6" w:rsidRDefault="00211FA9" w:rsidP="00AF4545">
            <w:pPr>
              <w:pStyle w:val="ECCTableHeaderwhitefont"/>
              <w:rPr>
                <w:rStyle w:val="ECCHLbold"/>
              </w:rPr>
            </w:pPr>
            <w:r>
              <w:rPr>
                <w:rStyle w:val="ECCHLbold"/>
              </w:rPr>
              <w:t>Topic</w:t>
            </w:r>
          </w:p>
        </w:tc>
      </w:tr>
      <w:tr w:rsidR="00211FA9" w:rsidTr="00AF4545">
        <w:tc>
          <w:tcPr>
            <w:tcW w:w="3794" w:type="dxa"/>
            <w:tcBorders>
              <w:top w:val="single" w:sz="4" w:space="0" w:color="D2232A"/>
              <w:left w:val="single" w:sz="4" w:space="0" w:color="D2232A"/>
              <w:bottom w:val="single" w:sz="4" w:space="0" w:color="D2232A"/>
              <w:right w:val="single" w:sz="4" w:space="0" w:color="D2232A"/>
            </w:tcBorders>
          </w:tcPr>
          <w:p w:rsidR="00211FA9" w:rsidRPr="00211FA9" w:rsidRDefault="002376BE" w:rsidP="00211FA9">
            <w:pPr>
              <w:spacing w:after="0" w:line="234" w:lineRule="atLeast"/>
              <w:jc w:val="left"/>
              <w:rPr>
                <w:rStyle w:val="Hyperlink"/>
              </w:rPr>
            </w:pPr>
            <w:hyperlink r:id="rId12" w:history="1">
              <w:r w:rsidR="00211FA9" w:rsidRPr="00211FA9">
                <w:rPr>
                  <w:rStyle w:val="Hyperlink"/>
                </w:rPr>
                <w:t>APT/AWG/REP-69</w:t>
              </w:r>
            </w:hyperlink>
          </w:p>
        </w:tc>
        <w:tc>
          <w:tcPr>
            <w:tcW w:w="5953" w:type="dxa"/>
            <w:tcBorders>
              <w:top w:val="single" w:sz="4" w:space="0" w:color="D2232A"/>
              <w:left w:val="single" w:sz="4" w:space="0" w:color="D2232A"/>
              <w:bottom w:val="single" w:sz="4" w:space="0" w:color="D2232A"/>
              <w:right w:val="single" w:sz="4" w:space="0" w:color="D2232A"/>
            </w:tcBorders>
          </w:tcPr>
          <w:p w:rsidR="00211FA9" w:rsidRPr="00526420" w:rsidRDefault="00211FA9" w:rsidP="00AF4545">
            <w:r w:rsidRPr="00526420">
              <w:t>APT Report on Survey Study on Frequency Usage of the Bands 108 – 117.975 MHz, 328.6 – 335.4 MHz and 960 – 1 164 MHz for Aeronautical Radionavigation Service in APT Region</w:t>
            </w:r>
          </w:p>
        </w:tc>
      </w:tr>
      <w:tr w:rsidR="00211FA9" w:rsidTr="00AF4545">
        <w:tc>
          <w:tcPr>
            <w:tcW w:w="3794" w:type="dxa"/>
            <w:tcBorders>
              <w:top w:val="single" w:sz="4" w:space="0" w:color="D2232A"/>
              <w:left w:val="single" w:sz="4" w:space="0" w:color="D2232A"/>
              <w:bottom w:val="single" w:sz="4" w:space="0" w:color="D2232A"/>
              <w:right w:val="single" w:sz="4" w:space="0" w:color="D2232A"/>
            </w:tcBorders>
          </w:tcPr>
          <w:p w:rsidR="00211FA9" w:rsidRPr="00211FA9" w:rsidRDefault="002376BE" w:rsidP="00211FA9">
            <w:pPr>
              <w:spacing w:after="0" w:line="234" w:lineRule="atLeast"/>
              <w:jc w:val="left"/>
              <w:rPr>
                <w:rStyle w:val="Hyperlink"/>
              </w:rPr>
            </w:pPr>
            <w:hyperlink r:id="rId13" w:history="1">
              <w:r w:rsidR="00211FA9" w:rsidRPr="00211FA9">
                <w:rPr>
                  <w:rStyle w:val="Hyperlink"/>
                </w:rPr>
                <w:t>APT/AWG/REP-70</w:t>
              </w:r>
            </w:hyperlink>
          </w:p>
        </w:tc>
        <w:tc>
          <w:tcPr>
            <w:tcW w:w="5953" w:type="dxa"/>
            <w:tcBorders>
              <w:top w:val="single" w:sz="4" w:space="0" w:color="D2232A"/>
              <w:left w:val="single" w:sz="4" w:space="0" w:color="D2232A"/>
              <w:bottom w:val="single" w:sz="4" w:space="0" w:color="D2232A"/>
              <w:right w:val="single" w:sz="4" w:space="0" w:color="D2232A"/>
            </w:tcBorders>
          </w:tcPr>
          <w:p w:rsidR="00211FA9" w:rsidRPr="00526420" w:rsidRDefault="00211FA9" w:rsidP="00AF4545">
            <w:r w:rsidRPr="00526420">
              <w:t>APT Report on Survey Study on the Usage and Future Plans of the Bands 17.7-20.2 GHz and 27.5-30 GHz in the Asia-Pacific Region</w:t>
            </w:r>
          </w:p>
        </w:tc>
      </w:tr>
      <w:tr w:rsidR="00211FA9" w:rsidTr="00AF4545">
        <w:tc>
          <w:tcPr>
            <w:tcW w:w="3794" w:type="dxa"/>
            <w:tcBorders>
              <w:top w:val="single" w:sz="4" w:space="0" w:color="D2232A"/>
              <w:left w:val="single" w:sz="4" w:space="0" w:color="D2232A"/>
              <w:bottom w:val="single" w:sz="4" w:space="0" w:color="D2232A"/>
              <w:right w:val="single" w:sz="4" w:space="0" w:color="D2232A"/>
            </w:tcBorders>
          </w:tcPr>
          <w:p w:rsidR="00211FA9" w:rsidRPr="00211FA9" w:rsidRDefault="002376BE" w:rsidP="00211FA9">
            <w:pPr>
              <w:spacing w:after="0" w:line="234" w:lineRule="atLeast"/>
              <w:jc w:val="left"/>
              <w:rPr>
                <w:rStyle w:val="Hyperlink"/>
              </w:rPr>
            </w:pPr>
            <w:hyperlink r:id="rId14" w:history="1">
              <w:r w:rsidR="00211FA9" w:rsidRPr="00211FA9">
                <w:rPr>
                  <w:rStyle w:val="Hyperlink"/>
                </w:rPr>
                <w:t>APT/AWG/REP-71</w:t>
              </w:r>
            </w:hyperlink>
          </w:p>
        </w:tc>
        <w:tc>
          <w:tcPr>
            <w:tcW w:w="5953" w:type="dxa"/>
            <w:tcBorders>
              <w:top w:val="single" w:sz="4" w:space="0" w:color="D2232A"/>
              <w:left w:val="single" w:sz="4" w:space="0" w:color="D2232A"/>
              <w:bottom w:val="single" w:sz="4" w:space="0" w:color="D2232A"/>
              <w:right w:val="single" w:sz="4" w:space="0" w:color="D2232A"/>
            </w:tcBorders>
          </w:tcPr>
          <w:p w:rsidR="00211FA9" w:rsidRPr="00526420" w:rsidRDefault="00211FA9" w:rsidP="00AF4545">
            <w:r w:rsidRPr="00526420">
              <w:t xml:space="preserve">APT Report on Services and Applications of Wireless Power Transmission Technology </w:t>
            </w:r>
          </w:p>
        </w:tc>
      </w:tr>
      <w:tr w:rsidR="00211FA9" w:rsidTr="00AF4545">
        <w:tc>
          <w:tcPr>
            <w:tcW w:w="3794" w:type="dxa"/>
            <w:tcBorders>
              <w:top w:val="single" w:sz="4" w:space="0" w:color="D2232A"/>
              <w:left w:val="single" w:sz="4" w:space="0" w:color="D2232A"/>
              <w:bottom w:val="single" w:sz="4" w:space="0" w:color="D2232A"/>
              <w:right w:val="single" w:sz="4" w:space="0" w:color="D2232A"/>
            </w:tcBorders>
          </w:tcPr>
          <w:p w:rsidR="00211FA9" w:rsidRPr="00211FA9" w:rsidRDefault="002376BE" w:rsidP="00211FA9">
            <w:pPr>
              <w:spacing w:after="0" w:line="234" w:lineRule="atLeast"/>
              <w:jc w:val="left"/>
              <w:rPr>
                <w:rStyle w:val="Hyperlink"/>
              </w:rPr>
            </w:pPr>
            <w:hyperlink r:id="rId15" w:history="1">
              <w:r w:rsidR="00211FA9" w:rsidRPr="00211FA9">
                <w:rPr>
                  <w:rStyle w:val="Hyperlink"/>
                </w:rPr>
                <w:t>APT/AWG/REP-72</w:t>
              </w:r>
            </w:hyperlink>
          </w:p>
        </w:tc>
        <w:tc>
          <w:tcPr>
            <w:tcW w:w="5953" w:type="dxa"/>
            <w:tcBorders>
              <w:top w:val="single" w:sz="4" w:space="0" w:color="D2232A"/>
              <w:left w:val="single" w:sz="4" w:space="0" w:color="D2232A"/>
              <w:bottom w:val="single" w:sz="4" w:space="0" w:color="D2232A"/>
              <w:right w:val="single" w:sz="4" w:space="0" w:color="D2232A"/>
            </w:tcBorders>
          </w:tcPr>
          <w:p w:rsidR="00211FA9" w:rsidRPr="00526420" w:rsidRDefault="00211FA9" w:rsidP="00AF4545">
            <w:r w:rsidRPr="00526420">
              <w:t>APT Report on Grid Monitoring Network Using TDOA Technology</w:t>
            </w:r>
          </w:p>
        </w:tc>
      </w:tr>
      <w:tr w:rsidR="00211FA9" w:rsidTr="00AF4545">
        <w:tc>
          <w:tcPr>
            <w:tcW w:w="3794" w:type="dxa"/>
            <w:tcBorders>
              <w:top w:val="single" w:sz="4" w:space="0" w:color="D2232A"/>
              <w:left w:val="single" w:sz="4" w:space="0" w:color="D2232A"/>
              <w:bottom w:val="single" w:sz="4" w:space="0" w:color="D2232A"/>
              <w:right w:val="single" w:sz="4" w:space="0" w:color="D2232A"/>
            </w:tcBorders>
          </w:tcPr>
          <w:p w:rsidR="00211FA9" w:rsidRPr="00211FA9" w:rsidRDefault="002376BE" w:rsidP="00211FA9">
            <w:pPr>
              <w:spacing w:after="0" w:line="234" w:lineRule="atLeast"/>
              <w:jc w:val="left"/>
              <w:rPr>
                <w:rStyle w:val="Hyperlink"/>
              </w:rPr>
            </w:pPr>
            <w:hyperlink r:id="rId16" w:history="1">
              <w:r w:rsidR="00211FA9" w:rsidRPr="00211FA9">
                <w:rPr>
                  <w:rStyle w:val="Hyperlink"/>
                </w:rPr>
                <w:t>APT/AWG/REP-73</w:t>
              </w:r>
            </w:hyperlink>
          </w:p>
        </w:tc>
        <w:tc>
          <w:tcPr>
            <w:tcW w:w="5953" w:type="dxa"/>
            <w:tcBorders>
              <w:top w:val="single" w:sz="4" w:space="0" w:color="D2232A"/>
              <w:left w:val="single" w:sz="4" w:space="0" w:color="D2232A"/>
              <w:bottom w:val="single" w:sz="4" w:space="0" w:color="D2232A"/>
              <w:right w:val="single" w:sz="4" w:space="0" w:color="D2232A"/>
            </w:tcBorders>
          </w:tcPr>
          <w:p w:rsidR="00211FA9" w:rsidRPr="00526420" w:rsidRDefault="00211FA9" w:rsidP="00AF4545">
            <w:r w:rsidRPr="00526420">
              <w:t>APT Report on Harmonization of Frequency Ranges Use by Wireless PPDR Applications in Asia-Pacific Region</w:t>
            </w:r>
          </w:p>
        </w:tc>
      </w:tr>
      <w:tr w:rsidR="00211FA9" w:rsidTr="00AF4545">
        <w:tc>
          <w:tcPr>
            <w:tcW w:w="3794" w:type="dxa"/>
            <w:tcBorders>
              <w:top w:val="single" w:sz="4" w:space="0" w:color="D2232A"/>
              <w:left w:val="single" w:sz="4" w:space="0" w:color="D2232A"/>
              <w:bottom w:val="single" w:sz="4" w:space="0" w:color="D2232A"/>
              <w:right w:val="single" w:sz="4" w:space="0" w:color="D2232A"/>
            </w:tcBorders>
          </w:tcPr>
          <w:p w:rsidR="00211FA9" w:rsidRPr="00211FA9" w:rsidRDefault="002376BE" w:rsidP="00211FA9">
            <w:pPr>
              <w:spacing w:after="0" w:line="234" w:lineRule="atLeast"/>
              <w:jc w:val="left"/>
              <w:rPr>
                <w:rStyle w:val="Hyperlink"/>
              </w:rPr>
            </w:pPr>
            <w:hyperlink r:id="rId17" w:history="1">
              <w:r w:rsidR="00211FA9" w:rsidRPr="00211FA9">
                <w:rPr>
                  <w:rStyle w:val="Hyperlink"/>
                </w:rPr>
                <w:t>APT/AWG/REP-57(Rev.1)</w:t>
              </w:r>
            </w:hyperlink>
          </w:p>
        </w:tc>
        <w:tc>
          <w:tcPr>
            <w:tcW w:w="5953" w:type="dxa"/>
            <w:tcBorders>
              <w:top w:val="single" w:sz="4" w:space="0" w:color="D2232A"/>
              <w:left w:val="single" w:sz="4" w:space="0" w:color="D2232A"/>
              <w:bottom w:val="single" w:sz="4" w:space="0" w:color="D2232A"/>
              <w:right w:val="single" w:sz="4" w:space="0" w:color="D2232A"/>
            </w:tcBorders>
          </w:tcPr>
          <w:p w:rsidR="00211FA9" w:rsidRPr="00526420" w:rsidRDefault="00211FA9" w:rsidP="00AF4545">
            <w:r w:rsidRPr="00526420">
              <w:t>Note: APT Report 73 includes also opportunities for BB-PPDR at 1 447-1 467 MHz and 4 940–4 990 MHz</w:t>
            </w:r>
          </w:p>
        </w:tc>
      </w:tr>
      <w:tr w:rsidR="00211FA9" w:rsidTr="00AF4545">
        <w:tc>
          <w:tcPr>
            <w:tcW w:w="3794" w:type="dxa"/>
            <w:tcBorders>
              <w:top w:val="single" w:sz="4" w:space="0" w:color="D2232A"/>
              <w:left w:val="single" w:sz="4" w:space="0" w:color="D2232A"/>
              <w:bottom w:val="single" w:sz="4" w:space="0" w:color="D2232A"/>
              <w:right w:val="single" w:sz="4" w:space="0" w:color="D2232A"/>
            </w:tcBorders>
          </w:tcPr>
          <w:p w:rsidR="00211FA9" w:rsidRPr="00211FA9" w:rsidRDefault="002376BE" w:rsidP="00211FA9">
            <w:pPr>
              <w:spacing w:after="200" w:line="234" w:lineRule="atLeast"/>
              <w:jc w:val="left"/>
              <w:rPr>
                <w:rStyle w:val="Hyperlink"/>
              </w:rPr>
            </w:pPr>
            <w:hyperlink r:id="rId18" w:history="1">
              <w:r w:rsidR="00211FA9" w:rsidRPr="00211FA9">
                <w:rPr>
                  <w:rStyle w:val="Hyperlink"/>
                </w:rPr>
                <w:t>APT/AWG/REP-46(Rev.1)</w:t>
              </w:r>
            </w:hyperlink>
          </w:p>
        </w:tc>
        <w:tc>
          <w:tcPr>
            <w:tcW w:w="5953" w:type="dxa"/>
            <w:tcBorders>
              <w:top w:val="single" w:sz="4" w:space="0" w:color="D2232A"/>
              <w:left w:val="single" w:sz="4" w:space="0" w:color="D2232A"/>
              <w:bottom w:val="single" w:sz="4" w:space="0" w:color="D2232A"/>
              <w:right w:val="single" w:sz="4" w:space="0" w:color="D2232A"/>
            </w:tcBorders>
          </w:tcPr>
          <w:p w:rsidR="00211FA9" w:rsidRPr="00526420" w:rsidRDefault="00211FA9" w:rsidP="00AF4545">
            <w:r w:rsidRPr="00526420">
              <w:t>APT Report on "Studies within the Architecture and Performance of Integrated MSS System and Hybrid Satellite/ Terrestrial Systems below the 3GHz Band"</w:t>
            </w:r>
          </w:p>
        </w:tc>
      </w:tr>
    </w:tbl>
    <w:p w:rsidR="00823E83" w:rsidRDefault="00823E83" w:rsidP="00823E83">
      <w:pPr>
        <w:pStyle w:val="ECCBulletsLv1"/>
        <w:numPr>
          <w:ilvl w:val="0"/>
          <w:numId w:val="0"/>
        </w:numPr>
        <w:rPr>
          <w:rStyle w:val="ECCParagraph"/>
        </w:rPr>
      </w:pPr>
    </w:p>
    <w:p w:rsidR="00211FA9" w:rsidRDefault="00211FA9" w:rsidP="00823E83">
      <w:pPr>
        <w:pStyle w:val="ECCBulletsLv1"/>
        <w:numPr>
          <w:ilvl w:val="0"/>
          <w:numId w:val="0"/>
        </w:numPr>
        <w:rPr>
          <w:rFonts w:cs="Arial"/>
          <w:lang w:val="en-US"/>
        </w:rPr>
      </w:pPr>
      <w:r>
        <w:rPr>
          <w:rFonts w:cs="Arial"/>
          <w:lang w:val="en-US"/>
        </w:rPr>
        <w:t>AWG-21 agreed to distribute several questionnaires:</w:t>
      </w:r>
    </w:p>
    <w:p w:rsidR="00211FA9" w:rsidRPr="00211FA9" w:rsidRDefault="002376BE" w:rsidP="00211FA9">
      <w:pPr>
        <w:pStyle w:val="ECCBulletsLv1"/>
        <w:ind w:left="0" w:firstLine="0"/>
      </w:pPr>
      <w:hyperlink r:id="rId19" w:history="1">
        <w:r w:rsidR="00211FA9" w:rsidRPr="00952320">
          <w:rPr>
            <w:rFonts w:cs="Arial"/>
            <w:color w:val="0000FF"/>
            <w:u w:val="single"/>
            <w:lang w:val="en-US"/>
          </w:rPr>
          <w:t>on current spectrum usage and future plan of unmanned aircraft system</w:t>
        </w:r>
      </w:hyperlink>
      <w:r w:rsidR="00211FA9" w:rsidRPr="00952320">
        <w:rPr>
          <w:rFonts w:cs="Arial"/>
          <w:lang w:val="en-US"/>
        </w:rPr>
        <w:t>;</w:t>
      </w:r>
    </w:p>
    <w:p w:rsidR="00211FA9" w:rsidRPr="00211FA9" w:rsidRDefault="002376BE" w:rsidP="00211FA9">
      <w:pPr>
        <w:pStyle w:val="ECCBulletsLv1"/>
        <w:ind w:left="0" w:firstLine="0"/>
      </w:pPr>
      <w:hyperlink r:id="rId20" w:history="1">
        <w:r w:rsidR="00211FA9" w:rsidRPr="00952320">
          <w:rPr>
            <w:rFonts w:cs="Arial"/>
            <w:color w:val="0000FF"/>
            <w:u w:val="single"/>
            <w:lang w:val="en-US"/>
          </w:rPr>
          <w:t>on usage and future plan of the band 3300-3400 MHz in AsiaPacific region</w:t>
        </w:r>
      </w:hyperlink>
      <w:r w:rsidR="00211FA9" w:rsidRPr="00952320">
        <w:rPr>
          <w:rFonts w:cs="Arial"/>
          <w:lang w:val="en-US"/>
        </w:rPr>
        <w:t>;</w:t>
      </w:r>
    </w:p>
    <w:p w:rsidR="00211FA9" w:rsidRPr="00211FA9" w:rsidRDefault="002376BE" w:rsidP="00211FA9">
      <w:pPr>
        <w:pStyle w:val="ECCBulletsLv1"/>
        <w:ind w:left="0" w:firstLine="0"/>
      </w:pPr>
      <w:hyperlink r:id="rId21" w:history="1">
        <w:r w:rsidR="00211FA9" w:rsidRPr="00952320">
          <w:rPr>
            <w:rFonts w:cs="Arial"/>
            <w:color w:val="0000FF"/>
            <w:u w:val="single"/>
            <w:lang w:val="en-US"/>
          </w:rPr>
          <w:t>on usage and future plan of the band 4800-4990 MHz in AsiaPacific region</w:t>
        </w:r>
      </w:hyperlink>
      <w:r w:rsidR="00211FA9" w:rsidRPr="00952320">
        <w:rPr>
          <w:rFonts w:cs="Arial"/>
          <w:lang w:val="en-US"/>
        </w:rPr>
        <w:t>; and</w:t>
      </w:r>
    </w:p>
    <w:p w:rsidR="00211FA9" w:rsidRPr="00211FA9" w:rsidRDefault="002376BE" w:rsidP="00211FA9">
      <w:pPr>
        <w:pStyle w:val="ECCBulletsLv1"/>
        <w:ind w:left="0" w:firstLine="0"/>
      </w:pPr>
      <w:hyperlink r:id="rId22" w:history="1">
        <w:r w:rsidR="00211FA9" w:rsidRPr="00952320">
          <w:rPr>
            <w:rFonts w:cs="Arial"/>
            <w:color w:val="0000FF"/>
            <w:u w:val="single"/>
            <w:lang w:val="en-US"/>
          </w:rPr>
          <w:t>on potential implementation of IMT in the frequency band 1427-1518 MHz in Asia-Pacific region</w:t>
        </w:r>
      </w:hyperlink>
      <w:r w:rsidR="00211FA9" w:rsidRPr="00952320">
        <w:rPr>
          <w:rFonts w:cs="Arial"/>
          <w:lang w:val="en-US"/>
        </w:rPr>
        <w:t>.</w:t>
      </w:r>
    </w:p>
    <w:p w:rsidR="00211FA9" w:rsidRDefault="00211FA9" w:rsidP="00211FA9">
      <w:pPr>
        <w:pStyle w:val="ECCBulletsLv1"/>
        <w:numPr>
          <w:ilvl w:val="0"/>
          <w:numId w:val="0"/>
        </w:numPr>
        <w:rPr>
          <w:rFonts w:cs="Arial"/>
          <w:lang w:val="en-US"/>
        </w:rPr>
      </w:pPr>
    </w:p>
    <w:p w:rsidR="00211FA9" w:rsidRPr="00952320" w:rsidRDefault="00211FA9" w:rsidP="00211FA9">
      <w:pPr>
        <w:rPr>
          <w:rFonts w:cs="Arial"/>
          <w:lang w:val="en-US"/>
        </w:rPr>
      </w:pPr>
      <w:r w:rsidRPr="00952320">
        <w:rPr>
          <w:rFonts w:cs="Arial"/>
          <w:lang w:val="en-US"/>
        </w:rPr>
        <w:t xml:space="preserve">AWG-21 also approved the re-circulation of </w:t>
      </w:r>
      <w:r>
        <w:rPr>
          <w:rFonts w:cs="Arial"/>
          <w:lang w:val="en-US"/>
        </w:rPr>
        <w:t>a q</w:t>
      </w:r>
      <w:r w:rsidRPr="00952320">
        <w:rPr>
          <w:rFonts w:cs="Arial"/>
          <w:lang w:val="en-US"/>
        </w:rPr>
        <w:t>uestionnaire on usage and future plan of frequency bands in relation to studies on WRC-19 Agenda Item 1.13 in Asia-Pacific region.</w:t>
      </w:r>
    </w:p>
    <w:p w:rsidR="00211FA9" w:rsidRDefault="00211FA9" w:rsidP="00211FA9">
      <w:pPr>
        <w:rPr>
          <w:rFonts w:cs="Arial"/>
          <w:lang w:val="en-US"/>
        </w:rPr>
      </w:pPr>
    </w:p>
    <w:p w:rsidR="00211FA9" w:rsidRDefault="00211FA9" w:rsidP="00211FA9">
      <w:pPr>
        <w:pStyle w:val="ECCBulletsLv1"/>
        <w:numPr>
          <w:ilvl w:val="0"/>
          <w:numId w:val="0"/>
        </w:numPr>
        <w:rPr>
          <w:rFonts w:cs="Arial"/>
          <w:lang w:val="en-US"/>
        </w:rPr>
      </w:pPr>
      <w:r>
        <w:rPr>
          <w:rFonts w:cs="Arial"/>
          <w:lang w:val="en-US"/>
        </w:rPr>
        <w:t>Other items discussed in AWG-21 which could be of interest to the ECC and its subordinate groups:</w:t>
      </w:r>
    </w:p>
    <w:p w:rsidR="00211FA9" w:rsidRDefault="00211FA9" w:rsidP="00211FA9">
      <w:pPr>
        <w:pStyle w:val="ECCBulletsLv1"/>
        <w:rPr>
          <w:lang w:val="en-US"/>
        </w:rPr>
      </w:pPr>
      <w:r>
        <w:rPr>
          <w:lang w:val="en-US"/>
        </w:rPr>
        <w:t xml:space="preserve">an information ‘white paper’ document from Qualcomm Hongkong and the </w:t>
      </w:r>
      <w:r w:rsidRPr="00AA2399">
        <w:rPr>
          <w:lang w:val="en-US"/>
        </w:rPr>
        <w:t>5G Automotive Association (5GAA</w:t>
      </w:r>
      <w:r>
        <w:rPr>
          <w:lang w:val="en-US"/>
        </w:rPr>
        <w:t>) lobbying for V2X as currently standardisied in 3GPP. The paper includes statements such as:</w:t>
      </w:r>
    </w:p>
    <w:p w:rsidR="00211FA9" w:rsidRDefault="00211FA9" w:rsidP="00211FA9">
      <w:pPr>
        <w:pStyle w:val="ECCBulletsLv2"/>
        <w:rPr>
          <w:i/>
          <w:lang w:val="en-US"/>
        </w:rPr>
      </w:pPr>
      <w:r w:rsidRPr="00211FA9">
        <w:rPr>
          <w:i/>
          <w:lang w:val="en-US"/>
        </w:rPr>
        <w:t>It is important to recognize that in the device-to-device mode (V2V, V2I, V2P) operation, C-V2X does not necessarily require any network infrastructure. In short, C-V2X could and should be used for the public good. 5GAA therefore firmly believes that the device-to-device modes must be enabled and not prohibited by regulatory frameworks because such modes could also be operated in the 5.9 GHz ITS band without any required subscription or payment;</w:t>
      </w:r>
    </w:p>
    <w:p w:rsidR="00211FA9" w:rsidRPr="00211FA9" w:rsidRDefault="00211FA9" w:rsidP="00211FA9">
      <w:pPr>
        <w:pStyle w:val="ECCBulletsLv2"/>
        <w:rPr>
          <w:i/>
          <w:lang w:val="en-US"/>
        </w:rPr>
      </w:pPr>
      <w:r w:rsidRPr="00211FA9">
        <w:rPr>
          <w:rFonts w:cs="Arial"/>
          <w:i/>
          <w:lang w:val="en-US"/>
        </w:rPr>
        <w:t>Co-existence of different technologies in the same 5.9 GHz ITS band, using such schemes as different channel assignments, are under study in 3GPP Release 14 and in other standards fora. These studies have merit, because regardless of the outcome, it is good policy to provide sufficient harmonized spectrum for the best low latency vehicle-to-vehicle communication technology in order to save lives and to usher in a future of connected and automated driving.</w:t>
      </w:r>
    </w:p>
    <w:p w:rsidR="00211FA9" w:rsidRDefault="00211FA9" w:rsidP="00211FA9">
      <w:pPr>
        <w:pStyle w:val="ECCBulletsLv1"/>
        <w:ind w:left="340" w:hanging="340"/>
        <w:rPr>
          <w:rFonts w:cs="Arial"/>
          <w:lang w:val="en-US"/>
        </w:rPr>
      </w:pPr>
      <w:r w:rsidRPr="004A3E2A">
        <w:rPr>
          <w:rFonts w:cs="Arial"/>
          <w:lang w:val="en-US"/>
        </w:rPr>
        <w:t xml:space="preserve">A </w:t>
      </w:r>
      <w:r w:rsidRPr="00211FA9">
        <w:rPr>
          <w:lang w:val="en-US"/>
        </w:rPr>
        <w:t>proposal</w:t>
      </w:r>
      <w:r w:rsidRPr="004A3E2A">
        <w:rPr>
          <w:rFonts w:cs="Arial"/>
          <w:lang w:val="en-US"/>
        </w:rPr>
        <w:t xml:space="preserve"> from Apple to develop an APT Recommendation on frequency ranges for non-beam WPT technologies for mobile devices. Apple recommends to identify 205 – 500 kHz as needing further study for worldwide harmonisation of WPT frequencies. </w:t>
      </w:r>
      <w:r>
        <w:rPr>
          <w:rFonts w:cs="Arial"/>
          <w:lang w:val="en-US"/>
        </w:rPr>
        <w:t xml:space="preserve">In addition, Apple </w:t>
      </w:r>
      <w:r w:rsidRPr="004A3E2A">
        <w:rPr>
          <w:rFonts w:cs="Arial"/>
          <w:lang w:val="en-US"/>
        </w:rPr>
        <w:t>propose</w:t>
      </w:r>
      <w:r>
        <w:rPr>
          <w:rFonts w:cs="Arial"/>
          <w:lang w:val="en-US"/>
        </w:rPr>
        <w:t>s</w:t>
      </w:r>
      <w:r w:rsidRPr="004A3E2A">
        <w:rPr>
          <w:rFonts w:cs="Arial"/>
          <w:lang w:val="en-US"/>
        </w:rPr>
        <w:t xml:space="preserve"> APT to submit the new frequency range to ITU-R WP1A and WP1B for WPT </w:t>
      </w:r>
      <w:r>
        <w:rPr>
          <w:rFonts w:cs="Arial"/>
          <w:lang w:val="en-US"/>
        </w:rPr>
        <w:t>as a recommendation;</w:t>
      </w:r>
    </w:p>
    <w:p w:rsidR="00211FA9" w:rsidRDefault="00211FA9" w:rsidP="00211FA9">
      <w:pPr>
        <w:pStyle w:val="ECCBulletsLv1"/>
        <w:ind w:left="340" w:hanging="340"/>
        <w:rPr>
          <w:rFonts w:cs="Arial"/>
          <w:lang w:val="en-US"/>
        </w:rPr>
      </w:pPr>
      <w:r w:rsidRPr="00211FA9">
        <w:rPr>
          <w:rFonts w:cs="Arial"/>
          <w:lang w:val="en-US"/>
        </w:rPr>
        <w:t>Australia (Telstra) recommending a new APT Recommendation on harmonised arrangements for BB-DA2G links with passenger aircraft and referring to developments in 3GPP (ref: work on-going in 3GPP for TR</w:t>
      </w:r>
      <w:r w:rsidR="002B6420">
        <w:rPr>
          <w:rFonts w:cs="Arial"/>
          <w:lang w:val="en-US"/>
        </w:rPr>
        <w:t xml:space="preserve"> </w:t>
      </w:r>
      <w:r w:rsidRPr="00211FA9">
        <w:rPr>
          <w:rFonts w:cs="Arial"/>
          <w:lang w:val="en-US"/>
        </w:rPr>
        <w:t>38.913, LTE-based for ‘in the air’ macro-cells up to 100 km radius and below 4 GHz);</w:t>
      </w:r>
    </w:p>
    <w:p w:rsidR="00211FA9" w:rsidRPr="00211FA9" w:rsidRDefault="00211FA9" w:rsidP="00211FA9">
      <w:pPr>
        <w:pStyle w:val="ECCBulletsLv1"/>
        <w:ind w:left="340" w:hanging="340"/>
        <w:rPr>
          <w:rFonts w:cs="Arial"/>
          <w:lang w:val="en-US"/>
        </w:rPr>
      </w:pPr>
      <w:r w:rsidRPr="00211FA9">
        <w:rPr>
          <w:rFonts w:cs="Arial"/>
          <w:lang w:val="en-US"/>
        </w:rPr>
        <w:t xml:space="preserve">APT is working on a new APT Report on sharing and compatibility studies above 24 GHz for IMT-2020. The bands included at this stage are: 24.25-27.5GHz, 31.8-33.4 GHz, 37-43.5 GHz, 45.5-50.2 GHz, 50.4-52.6 GHz, 66-76 GHz and 81-86 GHz. </w:t>
      </w:r>
    </w:p>
    <w:p w:rsidR="00211FA9" w:rsidRDefault="00211FA9" w:rsidP="00211FA9">
      <w:pPr>
        <w:pStyle w:val="ECCBulletsLv1"/>
        <w:numPr>
          <w:ilvl w:val="0"/>
          <w:numId w:val="0"/>
        </w:numPr>
        <w:rPr>
          <w:rStyle w:val="ECCParagraph"/>
          <w:lang w:val="en-US"/>
        </w:rPr>
      </w:pPr>
    </w:p>
    <w:p w:rsidR="00211FA9" w:rsidRPr="00952320" w:rsidRDefault="00211FA9" w:rsidP="00211FA9">
      <w:pPr>
        <w:rPr>
          <w:rFonts w:cs="Arial"/>
          <w:lang w:val="en-US"/>
        </w:rPr>
      </w:pPr>
      <w:r>
        <w:rPr>
          <w:rFonts w:cs="Arial"/>
          <w:lang w:val="en-US"/>
        </w:rPr>
        <w:t xml:space="preserve">From the APT </w:t>
      </w:r>
      <w:r w:rsidRPr="00952320">
        <w:rPr>
          <w:rFonts w:cs="Arial"/>
          <w:lang w:val="en-US"/>
        </w:rPr>
        <w:t>Standardization Program (ASTAP)</w:t>
      </w:r>
      <w:r>
        <w:rPr>
          <w:rFonts w:cs="Arial"/>
          <w:lang w:val="en-US"/>
        </w:rPr>
        <w:t>, the following questionnaires and a new Report was noted:</w:t>
      </w:r>
    </w:p>
    <w:p w:rsidR="00211FA9" w:rsidRPr="00211FA9" w:rsidRDefault="002376BE" w:rsidP="00211FA9">
      <w:pPr>
        <w:pStyle w:val="ECCBulletsLv1"/>
        <w:rPr>
          <w:rFonts w:cs="Arial"/>
          <w:color w:val="000000"/>
          <w:sz w:val="18"/>
          <w:szCs w:val="18"/>
          <w:lang w:val="en-US" w:eastAsia="da-DK"/>
        </w:rPr>
      </w:pPr>
      <w:hyperlink r:id="rId23" w:history="1">
        <w:r w:rsidR="00211FA9" w:rsidRPr="00952320">
          <w:rPr>
            <w:rFonts w:cs="Arial"/>
            <w:color w:val="0000FF"/>
            <w:u w:val="single"/>
            <w:lang w:val="en-US"/>
          </w:rPr>
          <w:t>Questionnaire on Requirement of Future Transport Network Technologies</w:t>
        </w:r>
      </w:hyperlink>
      <w:r w:rsidR="00211FA9">
        <w:rPr>
          <w:rFonts w:cs="Arial"/>
          <w:color w:val="095E54"/>
          <w:sz w:val="18"/>
          <w:szCs w:val="18"/>
          <w:u w:val="single"/>
          <w:lang w:val="en-US" w:eastAsia="da-DK"/>
        </w:rPr>
        <w:t xml:space="preserve"> </w:t>
      </w:r>
      <w:r w:rsidR="00211FA9" w:rsidRPr="00952320">
        <w:rPr>
          <w:rFonts w:cs="Arial"/>
          <w:color w:val="000000"/>
          <w:sz w:val="18"/>
          <w:szCs w:val="18"/>
          <w:lang w:val="en-US" w:eastAsia="da-DK"/>
        </w:rPr>
        <w:t>/ </w:t>
      </w:r>
      <w:hyperlink r:id="rId24" w:history="1">
        <w:r w:rsidR="00211FA9" w:rsidRPr="00952320">
          <w:rPr>
            <w:rFonts w:cs="Arial"/>
            <w:color w:val="095E54"/>
            <w:sz w:val="18"/>
            <w:szCs w:val="18"/>
            <w:lang w:val="en-US" w:eastAsia="da-DK"/>
          </w:rPr>
          <w:t>Circular Letter</w:t>
        </w:r>
      </w:hyperlink>
    </w:p>
    <w:p w:rsidR="00211FA9" w:rsidRPr="00211FA9" w:rsidRDefault="002376BE" w:rsidP="00211FA9">
      <w:pPr>
        <w:pStyle w:val="ECCBulletsLv1"/>
        <w:rPr>
          <w:rFonts w:cs="Arial"/>
          <w:color w:val="000000"/>
          <w:sz w:val="18"/>
          <w:szCs w:val="18"/>
          <w:lang w:val="en-US" w:eastAsia="da-DK"/>
        </w:rPr>
      </w:pPr>
      <w:hyperlink r:id="rId25" w:history="1">
        <w:r w:rsidR="00211FA9" w:rsidRPr="00211FA9">
          <w:rPr>
            <w:rFonts w:cs="Arial"/>
            <w:color w:val="0000FF"/>
            <w:u w:val="single"/>
            <w:lang w:val="en-US"/>
          </w:rPr>
          <w:t>Questionnaire on Smart City Applications for the future case study report</w:t>
        </w:r>
      </w:hyperlink>
      <w:r w:rsidR="00211FA9" w:rsidRPr="00211FA9">
        <w:rPr>
          <w:rFonts w:cs="Arial"/>
          <w:color w:val="095E54"/>
          <w:sz w:val="18"/>
          <w:szCs w:val="18"/>
          <w:u w:val="single"/>
          <w:lang w:val="en-US" w:eastAsia="da-DK"/>
        </w:rPr>
        <w:t xml:space="preserve"> </w:t>
      </w:r>
      <w:r w:rsidR="00211FA9" w:rsidRPr="00211FA9">
        <w:rPr>
          <w:rFonts w:cs="Arial"/>
          <w:color w:val="000000"/>
          <w:sz w:val="18"/>
          <w:szCs w:val="18"/>
          <w:lang w:val="en-US" w:eastAsia="da-DK"/>
        </w:rPr>
        <w:t>/ </w:t>
      </w:r>
      <w:hyperlink r:id="rId26" w:history="1">
        <w:r w:rsidR="00211FA9" w:rsidRPr="00211FA9">
          <w:rPr>
            <w:rFonts w:cs="Arial"/>
            <w:color w:val="095E54"/>
            <w:sz w:val="18"/>
            <w:szCs w:val="18"/>
            <w:lang w:val="en-US" w:eastAsia="da-DK"/>
          </w:rPr>
          <w:t>Circular Letter</w:t>
        </w:r>
      </w:hyperlink>
    </w:p>
    <w:p w:rsidR="00211FA9" w:rsidRPr="006378B0" w:rsidRDefault="002376BE" w:rsidP="00211FA9">
      <w:pPr>
        <w:pStyle w:val="ECCBulletsLv1"/>
        <w:rPr>
          <w:rFonts w:cs="Arial"/>
          <w:color w:val="000000"/>
          <w:szCs w:val="20"/>
          <w:lang w:val="en-US" w:eastAsia="da-DK"/>
        </w:rPr>
      </w:pPr>
      <w:hyperlink r:id="rId27" w:history="1">
        <w:r w:rsidR="00211FA9" w:rsidRPr="00211FA9">
          <w:rPr>
            <w:rStyle w:val="Hyperlink"/>
            <w:lang w:val="en-US"/>
          </w:rPr>
          <w:t>APT/ASTAP/REPT-25</w:t>
        </w:r>
      </w:hyperlink>
      <w:r w:rsidR="00211FA9">
        <w:rPr>
          <w:rStyle w:val="Hyperlink"/>
        </w:rPr>
        <w:t>:</w:t>
      </w:r>
      <w:r w:rsidR="00211FA9" w:rsidRPr="00952320">
        <w:rPr>
          <w:rFonts w:cs="Arial"/>
          <w:color w:val="000000"/>
          <w:sz w:val="24"/>
          <w:szCs w:val="24"/>
          <w:lang w:val="en-US" w:eastAsia="da-DK"/>
        </w:rPr>
        <w:t xml:space="preserve"> </w:t>
      </w:r>
      <w:r w:rsidR="00211FA9" w:rsidRPr="00211FA9">
        <w:rPr>
          <w:rFonts w:cs="Arial"/>
          <w:color w:val="000000"/>
          <w:szCs w:val="20"/>
          <w:lang w:val="en-US" w:eastAsia="da-DK"/>
        </w:rPr>
        <w:t>APT Report on Fronthaul/ Backhaul using Millimeter-wave Radio over Fiber Technologies</w:t>
      </w:r>
      <w:r w:rsidR="00211FA9">
        <w:rPr>
          <w:rFonts w:cs="Arial"/>
          <w:color w:val="000000"/>
          <w:szCs w:val="20"/>
          <w:lang w:val="en-US" w:eastAsia="da-DK"/>
        </w:rPr>
        <w:t xml:space="preserve"> </w:t>
      </w:r>
      <w:r w:rsidR="00211FA9" w:rsidRPr="00211FA9">
        <w:rPr>
          <w:rFonts w:cs="Arial"/>
          <w:color w:val="000000"/>
          <w:szCs w:val="20"/>
          <w:lang w:val="en-US" w:eastAsia="da-DK"/>
        </w:rPr>
        <w:t>(</w:t>
      </w:r>
      <w:r w:rsidR="00211FA9" w:rsidRPr="00211FA9">
        <w:rPr>
          <w:rFonts w:cs="Arial"/>
          <w:i/>
          <w:color w:val="000000"/>
          <w:szCs w:val="20"/>
          <w:lang w:val="en-US" w:eastAsia="da-DK"/>
        </w:rPr>
        <w:t>Note: this includes also some information about 60 GHz</w:t>
      </w:r>
      <w:r w:rsidR="00211FA9">
        <w:rPr>
          <w:rFonts w:cs="Arial"/>
          <w:i/>
          <w:color w:val="000000"/>
          <w:szCs w:val="20"/>
          <w:lang w:val="en-US" w:eastAsia="da-DK"/>
        </w:rPr>
        <w:t>)</w:t>
      </w:r>
    </w:p>
    <w:p w:rsidR="00211FA9" w:rsidRDefault="00211FA9" w:rsidP="00211FA9">
      <w:pPr>
        <w:rPr>
          <w:rFonts w:cs="Arial"/>
          <w:lang w:val="en-US"/>
        </w:rPr>
      </w:pPr>
      <w:r>
        <w:rPr>
          <w:rFonts w:cs="Arial"/>
          <w:lang w:val="en-US"/>
        </w:rPr>
        <w:t xml:space="preserve">As indicated in the last ECO Bulletin, APT is also developing a Strategic Plan of APT for 2018-2020. Priority areas (strategic pillars) have been defined in the embedded document here: </w:t>
      </w:r>
    </w:p>
    <w:bookmarkStart w:id="0" w:name="_MON_1559031847"/>
    <w:bookmarkEnd w:id="0"/>
    <w:p w:rsidR="00211FA9" w:rsidRDefault="00211FA9" w:rsidP="00211FA9">
      <w:pPr>
        <w:rPr>
          <w:rFonts w:cs="Arial"/>
          <w:lang w:val="en-US"/>
        </w:rPr>
      </w:pPr>
      <w:r>
        <w:rPr>
          <w:rFonts w:cs="Arial"/>
          <w:lang w:val="en-US"/>
        </w:rPr>
        <w:object w:dxaOrig="1531" w:dyaOrig="1002">
          <v:shape id="_x0000_i1025" type="#_x0000_t75" style="width:76.75pt;height:50.25pt" o:ole="">
            <v:imagedata r:id="rId28" o:title=""/>
          </v:shape>
          <o:OLEObject Type="Embed" ProgID="Word.Document.12" ShapeID="_x0000_i1025" DrawAspect="Icon" ObjectID="_1559477184" r:id="rId29">
            <o:FieldCodes>\s</o:FieldCodes>
          </o:OLEObject>
        </w:object>
      </w:r>
    </w:p>
    <w:p w:rsidR="006378B0" w:rsidRDefault="006378B0" w:rsidP="006378B0">
      <w:pPr>
        <w:rPr>
          <w:rFonts w:cs="Arial"/>
          <w:lang w:val="en-US"/>
        </w:rPr>
      </w:pPr>
      <w:r w:rsidRPr="001A5672">
        <w:rPr>
          <w:rFonts w:cs="Arial"/>
          <w:lang w:val="en-US"/>
        </w:rPr>
        <w:t xml:space="preserve">The first and initial draft </w:t>
      </w:r>
      <w:r>
        <w:rPr>
          <w:rFonts w:cs="Arial"/>
          <w:lang w:val="en-US"/>
        </w:rPr>
        <w:t xml:space="preserve">has been </w:t>
      </w:r>
      <w:r w:rsidRPr="001A5672">
        <w:rPr>
          <w:rFonts w:cs="Arial"/>
          <w:lang w:val="en-US"/>
        </w:rPr>
        <w:t xml:space="preserve">circulated to APT members in May to get feedback from members and the 2nd Meeting of CGSP which will be held on 27 July 2017 will further discuss </w:t>
      </w:r>
      <w:r>
        <w:rPr>
          <w:rFonts w:cs="Arial"/>
          <w:lang w:val="en-US"/>
        </w:rPr>
        <w:t xml:space="preserve">a more detailed </w:t>
      </w:r>
      <w:r w:rsidRPr="001A5672">
        <w:rPr>
          <w:rFonts w:cs="Arial"/>
          <w:lang w:val="en-US"/>
        </w:rPr>
        <w:t>Strategic Plan.</w:t>
      </w:r>
    </w:p>
    <w:p w:rsidR="006378B0" w:rsidRPr="008808E8" w:rsidRDefault="006378B0" w:rsidP="006378B0">
      <w:pPr>
        <w:rPr>
          <w:rFonts w:cs="Arial"/>
        </w:rPr>
      </w:pPr>
      <w:r w:rsidRPr="008808E8">
        <w:rPr>
          <w:rFonts w:cs="Arial"/>
        </w:rPr>
        <w:t xml:space="preserve">The recent </w:t>
      </w:r>
      <w:r w:rsidRPr="00AC756D">
        <w:rPr>
          <w:rFonts w:cs="Arial"/>
        </w:rPr>
        <w:t>APT e-Newsletters</w:t>
      </w:r>
      <w:r w:rsidRPr="008808E8">
        <w:rPr>
          <w:rFonts w:cs="Arial"/>
        </w:rPr>
        <w:t xml:space="preserve"> are available under: </w:t>
      </w:r>
      <w:hyperlink r:id="rId30" w:history="1">
        <w:r w:rsidRPr="008808E8">
          <w:rPr>
            <w:rStyle w:val="Hyperlink"/>
            <w:rFonts w:cs="Arial"/>
          </w:rPr>
          <w:t>http://www.apt.int/Publications</w:t>
        </w:r>
      </w:hyperlink>
      <w:r w:rsidRPr="008808E8">
        <w:rPr>
          <w:rFonts w:cs="Arial"/>
        </w:rPr>
        <w:t xml:space="preserve"> (last edition from </w:t>
      </w:r>
      <w:r>
        <w:rPr>
          <w:rFonts w:cs="Arial"/>
        </w:rPr>
        <w:t>May</w:t>
      </w:r>
      <w:r w:rsidRPr="008808E8">
        <w:rPr>
          <w:rFonts w:cs="Arial"/>
        </w:rPr>
        <w:t xml:space="preserve"> 2017). </w:t>
      </w:r>
    </w:p>
    <w:p w:rsidR="006378B0" w:rsidRPr="006378B0" w:rsidRDefault="006378B0" w:rsidP="006378B0">
      <w:pPr>
        <w:rPr>
          <w:rFonts w:cs="Arial"/>
          <w:b/>
          <w:lang w:val="en-US"/>
        </w:rPr>
      </w:pPr>
      <w:r w:rsidRPr="006378B0">
        <w:rPr>
          <w:rFonts w:cs="Arial"/>
          <w:b/>
        </w:rPr>
        <w:t>(of interest for ECC PT1, WG FM (incl. PTs  and SRD/MG) , and WG SE)</w:t>
      </w:r>
    </w:p>
    <w:p w:rsidR="00C32C20" w:rsidRDefault="006378B0" w:rsidP="00231A0F">
      <w:pPr>
        <w:pStyle w:val="Heading1"/>
        <w:rPr>
          <w:rStyle w:val="ECCParagraph"/>
        </w:rPr>
      </w:pPr>
      <w:r w:rsidRPr="006378B0">
        <w:rPr>
          <w:lang w:val="en-US"/>
        </w:rPr>
        <w:lastRenderedPageBreak/>
        <w:t>Preliminary position of the RCC Administrations on Agenda Items for the WRC-19</w:t>
      </w:r>
    </w:p>
    <w:p w:rsidR="006378B0" w:rsidRDefault="006378B0" w:rsidP="006378B0">
      <w:pPr>
        <w:spacing w:after="0"/>
        <w:jc w:val="left"/>
        <w:rPr>
          <w:rFonts w:cs="Arial"/>
        </w:rPr>
      </w:pPr>
      <w:r>
        <w:rPr>
          <w:rFonts w:cs="Arial"/>
        </w:rPr>
        <w:t xml:space="preserve">The </w:t>
      </w:r>
      <w:r w:rsidRPr="001A5672">
        <w:rPr>
          <w:rFonts w:cs="Arial"/>
        </w:rPr>
        <w:t>Regional Commonwealth in the field of Communications (RCC)</w:t>
      </w:r>
      <w:r>
        <w:rPr>
          <w:rFonts w:cs="Arial"/>
        </w:rPr>
        <w:t xml:space="preserve"> published a preliminary position paper on </w:t>
      </w:r>
      <w:r w:rsidRPr="001A5672">
        <w:rPr>
          <w:rFonts w:cs="Arial"/>
        </w:rPr>
        <w:t>14 April, 2017</w:t>
      </w:r>
      <w:r>
        <w:rPr>
          <w:rFonts w:cs="Arial"/>
        </w:rPr>
        <w:t>:</w:t>
      </w:r>
    </w:p>
    <w:p w:rsidR="006378B0" w:rsidRDefault="006378B0" w:rsidP="006378B0">
      <w:pPr>
        <w:spacing w:after="0"/>
        <w:jc w:val="left"/>
        <w:rPr>
          <w:rFonts w:cs="Arial"/>
        </w:rPr>
      </w:pPr>
    </w:p>
    <w:bookmarkStart w:id="1" w:name="_MON_1557142539"/>
    <w:bookmarkEnd w:id="1"/>
    <w:p w:rsidR="006378B0" w:rsidRDefault="006378B0" w:rsidP="006378B0">
      <w:pPr>
        <w:spacing w:after="0"/>
        <w:jc w:val="left"/>
        <w:rPr>
          <w:rFonts w:cs="Arial"/>
        </w:rPr>
      </w:pPr>
      <w:r w:rsidRPr="001A5672">
        <w:rPr>
          <w:rFonts w:ascii="Calibri" w:hAnsi="Calibri"/>
          <w:lang w:val="en-US"/>
        </w:rPr>
        <w:object w:dxaOrig="1530" w:dyaOrig="990">
          <v:shape id="_x0000_i1026" type="#_x0000_t75" style="width:76.75pt;height:49.6pt" o:ole="">
            <v:imagedata r:id="rId31" o:title=""/>
          </v:shape>
          <o:OLEObject Type="Embed" ProgID="Word.Document.12" ShapeID="_x0000_i1026" DrawAspect="Icon" ObjectID="_1559477185" r:id="rId32">
            <o:FieldCodes>\s</o:FieldCodes>
          </o:OLEObject>
        </w:object>
      </w:r>
    </w:p>
    <w:p w:rsidR="006378B0" w:rsidRDefault="006378B0" w:rsidP="006378B0">
      <w:pPr>
        <w:pStyle w:val="ECCTablenote"/>
        <w:rPr>
          <w:rStyle w:val="ECCParagraph"/>
          <w:b/>
        </w:rPr>
      </w:pPr>
      <w:r w:rsidRPr="006378B0">
        <w:rPr>
          <w:rStyle w:val="ECCParagraph"/>
          <w:b/>
        </w:rPr>
        <w:t xml:space="preserve">(of interest </w:t>
      </w:r>
      <w:r>
        <w:rPr>
          <w:rStyle w:val="ECCParagraph"/>
          <w:b/>
        </w:rPr>
        <w:t>for</w:t>
      </w:r>
      <w:r w:rsidRPr="006378B0">
        <w:rPr>
          <w:rStyle w:val="ECCParagraph"/>
          <w:b/>
        </w:rPr>
        <w:t xml:space="preserve"> CPG</w:t>
      </w:r>
      <w:r>
        <w:rPr>
          <w:rStyle w:val="ECCParagraph"/>
          <w:b/>
        </w:rPr>
        <w:t xml:space="preserve"> and</w:t>
      </w:r>
      <w:r w:rsidRPr="006378B0">
        <w:rPr>
          <w:rStyle w:val="ECCParagraph"/>
          <w:b/>
        </w:rPr>
        <w:t xml:space="preserve"> PT1 </w:t>
      </w:r>
      <w:r>
        <w:rPr>
          <w:rStyle w:val="ECCParagraph"/>
          <w:b/>
        </w:rPr>
        <w:t>mainly)</w:t>
      </w:r>
    </w:p>
    <w:p w:rsidR="006378B0" w:rsidRDefault="006378B0" w:rsidP="006378B0">
      <w:pPr>
        <w:pStyle w:val="Heading1"/>
        <w:rPr>
          <w:rStyle w:val="ECCParagraph"/>
        </w:rPr>
      </w:pPr>
      <w:r w:rsidRPr="006378B0">
        <w:rPr>
          <w:lang w:val="en-US"/>
        </w:rPr>
        <w:t>450-470 MHz: Developments in China and 3GPP</w:t>
      </w:r>
    </w:p>
    <w:p w:rsidR="0032246B" w:rsidRPr="0032246B" w:rsidRDefault="0032246B" w:rsidP="0032246B">
      <w:pPr>
        <w:spacing w:after="0"/>
        <w:jc w:val="left"/>
        <w:rPr>
          <w:rStyle w:val="ECCParagraph"/>
        </w:rPr>
      </w:pPr>
      <w:r w:rsidRPr="0032246B">
        <w:rPr>
          <w:rStyle w:val="ECCParagraph"/>
        </w:rPr>
        <w:t>The Chinese Government has adopted 10MHz within 450MHz to 470MHz for LTE trial</w:t>
      </w:r>
      <w:r w:rsidR="00232594">
        <w:rPr>
          <w:rStyle w:val="ECCParagraph"/>
        </w:rPr>
        <w:t>s</w:t>
      </w:r>
      <w:r w:rsidRPr="0032246B">
        <w:rPr>
          <w:rStyle w:val="ECCParagraph"/>
        </w:rPr>
        <w:t xml:space="preserve"> in 8 cities of China, which aims to clear 10 MHz for mobile broadband services. The related agreement that IMT systems would be allocated within a 2x5MHz FDD band from 450MHz to 470MHz have been approved recently in the CCSA (China Communications Standards Association) TC5 WG8 #79 meeting, and the final licensing e of 450MHz is expected in the near future in China.  </w:t>
      </w:r>
    </w:p>
    <w:p w:rsidR="0032246B" w:rsidRPr="0032246B" w:rsidRDefault="0032246B" w:rsidP="0032246B">
      <w:pPr>
        <w:spacing w:after="0"/>
        <w:jc w:val="left"/>
        <w:rPr>
          <w:rStyle w:val="ECCParagraph"/>
        </w:rPr>
      </w:pPr>
      <w:r w:rsidRPr="0032246B">
        <w:rPr>
          <w:rStyle w:val="ECCParagraph"/>
        </w:rPr>
        <w:t>Meanwhile, during February 2017 meeting of ITU Working Party 5D , many countries are working on IMT frequency planning entitled “ Recommendation ITU-R M. 1036”, in which the frequency arrangements on 450MHz should be determined. Input document (R15-WP 5D/515-E) from China (People’s Republic of), provides a proposal on the frequency arrangement in the frequency band 450-470MHz.</w:t>
      </w:r>
    </w:p>
    <w:p w:rsidR="0032246B" w:rsidRPr="00E72097" w:rsidRDefault="0032246B" w:rsidP="0032246B">
      <w:pPr>
        <w:spacing w:after="0"/>
        <w:jc w:val="left"/>
        <w:rPr>
          <w:rFonts w:cs="Arial"/>
        </w:rPr>
      </w:pPr>
      <w:r w:rsidRPr="00E72097">
        <w:rPr>
          <w:rFonts w:cs="Arial"/>
        </w:rPr>
        <w:t>The arrangement is shown as following:</w:t>
      </w:r>
    </w:p>
    <w:p w:rsidR="0032246B" w:rsidRPr="0032246B" w:rsidRDefault="0032246B" w:rsidP="0032246B">
      <w:pPr>
        <w:pStyle w:val="ECCBulletsLv1"/>
      </w:pPr>
      <w:r w:rsidRPr="0032246B">
        <w:t>Bandwidth: 5 MHz</w:t>
      </w:r>
    </w:p>
    <w:p w:rsidR="0032246B" w:rsidRPr="0032246B" w:rsidRDefault="0032246B" w:rsidP="0032246B">
      <w:pPr>
        <w:pStyle w:val="ECCBulletsLv1"/>
      </w:pPr>
      <w:r w:rsidRPr="0032246B">
        <w:t>Uplink: 450-455 MHz</w:t>
      </w:r>
    </w:p>
    <w:p w:rsidR="0032246B" w:rsidRDefault="0032246B" w:rsidP="0032246B">
      <w:pPr>
        <w:pStyle w:val="ECCBulletsLv1"/>
      </w:pPr>
      <w:r w:rsidRPr="0032246B">
        <w:t>Downlink: 460-465 MHz</w:t>
      </w:r>
    </w:p>
    <w:p w:rsidR="0032246B" w:rsidRDefault="0032246B" w:rsidP="0032246B">
      <w:pPr>
        <w:pStyle w:val="ECCBulletsLv1"/>
      </w:pPr>
      <w:r w:rsidRPr="0032246B">
        <w:t>Centre gap: 5 MHz</w:t>
      </w:r>
    </w:p>
    <w:p w:rsidR="0032246B" w:rsidRPr="0032246B" w:rsidRDefault="0032246B" w:rsidP="0032246B">
      <w:pPr>
        <w:pStyle w:val="ECCBulletsLv1"/>
        <w:rPr>
          <w:rStyle w:val="ECCParagraph"/>
        </w:rPr>
      </w:pPr>
      <w:r w:rsidRPr="0032246B">
        <w:rPr>
          <w:rStyle w:val="ECCParagraph"/>
        </w:rPr>
        <w:t>Duplex separation: 10 MHz</w:t>
      </w:r>
    </w:p>
    <w:p w:rsidR="0032246B" w:rsidRPr="0032246B" w:rsidRDefault="0032246B" w:rsidP="0032246B">
      <w:pPr>
        <w:spacing w:after="0"/>
        <w:jc w:val="left"/>
        <w:rPr>
          <w:rStyle w:val="ECCParagraph"/>
        </w:rPr>
      </w:pPr>
      <w:r w:rsidRPr="0032246B">
        <w:rPr>
          <w:rStyle w:val="ECCParagraph"/>
        </w:rPr>
        <w:t>To facilitate 450 MHz eco-system development in Region 3 including China in a timely manner, it is proposed by China to standardisze a new E-UTRA operating band based on this band plan. Besides, due to the propagation behaviour, 450MHz is taken into into account as good candidate band for NB-IoT or eMTC.</w:t>
      </w:r>
    </w:p>
    <w:p w:rsidR="0032246B" w:rsidRDefault="0032246B" w:rsidP="0032246B">
      <w:pPr>
        <w:keepLines/>
        <w:tabs>
          <w:tab w:val="left" w:pos="0"/>
          <w:tab w:val="center" w:pos="4820"/>
          <w:tab w:val="right" w:pos="9639"/>
        </w:tabs>
        <w:spacing w:after="240"/>
        <w:contextualSpacing/>
        <w:jc w:val="center"/>
        <w:rPr>
          <w:b/>
          <w:bCs/>
          <w:color w:val="D2232A"/>
        </w:rPr>
      </w:pPr>
    </w:p>
    <w:p w:rsidR="0032246B" w:rsidRPr="00E72097" w:rsidRDefault="0032246B" w:rsidP="0032246B">
      <w:pPr>
        <w:keepLines/>
        <w:tabs>
          <w:tab w:val="left" w:pos="0"/>
          <w:tab w:val="center" w:pos="4820"/>
          <w:tab w:val="right" w:pos="9639"/>
        </w:tabs>
        <w:spacing w:after="240"/>
        <w:contextualSpacing/>
        <w:jc w:val="left"/>
        <w:rPr>
          <w:b/>
          <w:bCs/>
        </w:rPr>
      </w:pPr>
      <w:r w:rsidRPr="00E72097">
        <w:rPr>
          <w:b/>
          <w:bCs/>
        </w:rPr>
        <w:t>3GPP:</w:t>
      </w:r>
    </w:p>
    <w:p w:rsidR="0032246B" w:rsidRPr="00E72097" w:rsidRDefault="0032246B" w:rsidP="0032246B">
      <w:pPr>
        <w:keepLines/>
        <w:tabs>
          <w:tab w:val="left" w:pos="0"/>
          <w:tab w:val="center" w:pos="4820"/>
          <w:tab w:val="right" w:pos="9639"/>
        </w:tabs>
        <w:spacing w:after="240"/>
        <w:contextualSpacing/>
        <w:jc w:val="center"/>
        <w:rPr>
          <w:b/>
          <w:bCs/>
          <w:color w:val="D2232A"/>
        </w:rPr>
      </w:pPr>
    </w:p>
    <w:p w:rsidR="0032246B" w:rsidRPr="00E72097" w:rsidRDefault="0032246B" w:rsidP="0032246B">
      <w:pPr>
        <w:keepLines/>
        <w:tabs>
          <w:tab w:val="left" w:pos="0"/>
          <w:tab w:val="center" w:pos="4820"/>
          <w:tab w:val="right" w:pos="9639"/>
        </w:tabs>
        <w:spacing w:after="240"/>
        <w:contextualSpacing/>
        <w:jc w:val="center"/>
        <w:rPr>
          <w:b/>
          <w:bCs/>
          <w:color w:val="D2232A"/>
        </w:rPr>
      </w:pPr>
      <w:r w:rsidRPr="00E72097">
        <w:rPr>
          <w:noProof/>
          <w:szCs w:val="24"/>
          <w:lang w:val="da-DK" w:eastAsia="da-DK"/>
        </w:rPr>
        <w:drawing>
          <wp:inline distT="0" distB="0" distL="0" distR="0" wp14:anchorId="6AC180AC" wp14:editId="1C723083">
            <wp:extent cx="466725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0" cy="1104900"/>
                    </a:xfrm>
                    <a:prstGeom prst="rect">
                      <a:avLst/>
                    </a:prstGeom>
                    <a:noFill/>
                    <a:ln>
                      <a:noFill/>
                    </a:ln>
                  </pic:spPr>
                </pic:pic>
              </a:graphicData>
            </a:graphic>
          </wp:inline>
        </w:drawing>
      </w:r>
    </w:p>
    <w:p w:rsidR="0032246B" w:rsidRPr="00E72097" w:rsidRDefault="0032246B" w:rsidP="0032246B">
      <w:pPr>
        <w:keepLines/>
        <w:tabs>
          <w:tab w:val="left" w:pos="0"/>
          <w:tab w:val="center" w:pos="4820"/>
          <w:tab w:val="right" w:pos="9639"/>
        </w:tabs>
        <w:spacing w:after="240"/>
        <w:contextualSpacing/>
        <w:jc w:val="center"/>
        <w:rPr>
          <w:b/>
          <w:bCs/>
          <w:color w:val="D2232A"/>
        </w:rPr>
      </w:pPr>
    </w:p>
    <w:p w:rsidR="0032246B" w:rsidRPr="00E72097" w:rsidRDefault="0032246B" w:rsidP="0032246B">
      <w:pPr>
        <w:spacing w:after="0"/>
        <w:jc w:val="left"/>
        <w:rPr>
          <w:rFonts w:cs="Arial"/>
        </w:rPr>
      </w:pPr>
      <w:r w:rsidRPr="00E72097">
        <w:rPr>
          <w:rFonts w:cs="Arial"/>
        </w:rPr>
        <w:t xml:space="preserve">Technical Report 3GPP TR 36.748 </w:t>
      </w:r>
      <w:r>
        <w:rPr>
          <w:rFonts w:cs="Arial"/>
        </w:rPr>
        <w:t xml:space="preserve">(Release 15) </w:t>
      </w:r>
      <w:r w:rsidRPr="00E72097">
        <w:rPr>
          <w:rFonts w:cs="Arial"/>
        </w:rPr>
        <w:t>for 450MHz E-UTRA FDD Band for LTE PPDR and PMR/PAMR in Europe is currently under preparation and includes the existing 3GPP band 31 and a new 3GPP band 72 of uplink = 451 - 456 MHz and downlink = 461 – 466 MHz, see figure above.</w:t>
      </w:r>
    </w:p>
    <w:p w:rsidR="0032246B" w:rsidRPr="00E72097" w:rsidRDefault="0032246B" w:rsidP="0032246B">
      <w:pPr>
        <w:spacing w:after="0"/>
        <w:jc w:val="left"/>
        <w:rPr>
          <w:rFonts w:cs="Arial"/>
        </w:rPr>
      </w:pPr>
    </w:p>
    <w:p w:rsidR="0032246B" w:rsidRPr="00F22504" w:rsidRDefault="0032246B" w:rsidP="0032246B">
      <w:pPr>
        <w:spacing w:after="0"/>
        <w:jc w:val="left"/>
        <w:rPr>
          <w:rFonts w:cs="Arial"/>
        </w:rPr>
      </w:pPr>
      <w:r w:rsidRPr="00E72097">
        <w:rPr>
          <w:rFonts w:cs="Arial"/>
        </w:rPr>
        <w:t>3GPP is of the view that 2x5 MHz band plans are feasible but 2x5.5 MHz band plans are not suitable for full duplex operation.</w:t>
      </w:r>
      <w:r>
        <w:rPr>
          <w:rFonts w:cs="Arial"/>
        </w:rPr>
        <w:t xml:space="preserve"> Note that ECC/DEC/(16)02 defines </w:t>
      </w:r>
    </w:p>
    <w:p w:rsidR="0032246B" w:rsidRPr="00F22504" w:rsidRDefault="0032246B" w:rsidP="0032246B">
      <w:pPr>
        <w:spacing w:after="0"/>
        <w:ind w:left="1134"/>
        <w:jc w:val="left"/>
        <w:rPr>
          <w:rFonts w:cs="Arial"/>
        </w:rPr>
      </w:pPr>
      <w:r w:rsidRPr="00F22504">
        <w:rPr>
          <w:rFonts w:cs="Arial"/>
        </w:rPr>
        <w:lastRenderedPageBreak/>
        <w:t>a)</w:t>
      </w:r>
      <w:r w:rsidRPr="00F22504">
        <w:rPr>
          <w:rFonts w:cs="Arial"/>
        </w:rPr>
        <w:tab/>
        <w:t>450.5 - 456.0 MHz (Uplink) / 460.5 - 466.0 MHz (Downlink);</w:t>
      </w:r>
    </w:p>
    <w:p w:rsidR="0032246B" w:rsidRPr="00E72097" w:rsidRDefault="0032246B" w:rsidP="0032246B">
      <w:pPr>
        <w:spacing w:after="0"/>
        <w:ind w:left="1134"/>
        <w:jc w:val="left"/>
        <w:rPr>
          <w:rFonts w:cs="Arial"/>
        </w:rPr>
      </w:pPr>
      <w:r w:rsidRPr="00F22504">
        <w:rPr>
          <w:rFonts w:cs="Arial"/>
        </w:rPr>
        <w:t>b)</w:t>
      </w:r>
      <w:r w:rsidRPr="00F22504">
        <w:rPr>
          <w:rFonts w:cs="Arial"/>
        </w:rPr>
        <w:tab/>
        <w:t>452.0 - 457.5 MHz (Uplink) / 462.0 - 467.5 MHz (Downlink)</w:t>
      </w:r>
      <w:r>
        <w:rPr>
          <w:rFonts w:cs="Arial"/>
        </w:rPr>
        <w:t>.</w:t>
      </w:r>
    </w:p>
    <w:p w:rsidR="0032246B" w:rsidRDefault="0032246B" w:rsidP="0032246B">
      <w:pPr>
        <w:spacing w:after="0"/>
        <w:jc w:val="left"/>
        <w:rPr>
          <w:rFonts w:cs="Arial"/>
        </w:rPr>
      </w:pPr>
      <w:r w:rsidRPr="00E72097">
        <w:rPr>
          <w:rFonts w:cs="Arial"/>
        </w:rPr>
        <w:t>The possibilities include channel bandwidths of 1.4MHz, 3MHz and 5MHz. The new band(s) will be supported by eMTC and NB-IoT. This new FDD E-UTRA opportunities are expected to be available from Release 15 onwards.</w:t>
      </w:r>
    </w:p>
    <w:p w:rsidR="0032246B" w:rsidRPr="00E72097" w:rsidRDefault="0032246B" w:rsidP="0032246B">
      <w:pPr>
        <w:spacing w:after="0"/>
        <w:jc w:val="left"/>
        <w:rPr>
          <w:rFonts w:cs="Arial"/>
        </w:rPr>
      </w:pPr>
      <w:r w:rsidRPr="00E72097">
        <w:rPr>
          <w:rFonts w:cs="Arial"/>
        </w:rPr>
        <w:t xml:space="preserve">The above shows that there are </w:t>
      </w:r>
      <w:r>
        <w:rPr>
          <w:rFonts w:cs="Arial"/>
        </w:rPr>
        <w:t xml:space="preserve">currently </w:t>
      </w:r>
      <w:r w:rsidRPr="00E72097">
        <w:rPr>
          <w:rFonts w:cs="Arial"/>
        </w:rPr>
        <w:t>3 options (3GPP bands 31 and 72 as well as the ‘Chinese’ option</w:t>
      </w:r>
      <w:r>
        <w:rPr>
          <w:rFonts w:cs="Arial"/>
        </w:rPr>
        <w:t>)</w:t>
      </w:r>
      <w:r w:rsidRPr="00E72097">
        <w:rPr>
          <w:rFonts w:cs="Arial"/>
        </w:rPr>
        <w:t xml:space="preserve"> in the standardisation process.</w:t>
      </w:r>
    </w:p>
    <w:p w:rsidR="0032246B" w:rsidRDefault="0032246B" w:rsidP="0032246B">
      <w:pPr>
        <w:pStyle w:val="ECCTablenote"/>
        <w:rPr>
          <w:rStyle w:val="ECCParagraph"/>
          <w:b/>
        </w:rPr>
      </w:pPr>
    </w:p>
    <w:p w:rsidR="006378B0" w:rsidRDefault="0032246B" w:rsidP="0032246B">
      <w:pPr>
        <w:pStyle w:val="ECCTablenote"/>
        <w:rPr>
          <w:rStyle w:val="ECCParagraph"/>
          <w:b/>
        </w:rPr>
      </w:pPr>
      <w:r w:rsidRPr="0032246B">
        <w:rPr>
          <w:rStyle w:val="ECCParagraph"/>
          <w:b/>
        </w:rPr>
        <w:t>(Relevant for WG FM and FM54</w:t>
      </w:r>
      <w:r w:rsidR="002B6420">
        <w:rPr>
          <w:rStyle w:val="ECCParagraph"/>
          <w:b/>
        </w:rPr>
        <w:t>, of interest for PT1</w:t>
      </w:r>
      <w:r w:rsidRPr="0032246B">
        <w:rPr>
          <w:rStyle w:val="ECCParagraph"/>
          <w:b/>
        </w:rPr>
        <w:t>)</w:t>
      </w:r>
    </w:p>
    <w:p w:rsidR="00744EDF" w:rsidRDefault="00744EDF" w:rsidP="00744EDF">
      <w:pPr>
        <w:pStyle w:val="Heading1"/>
        <w:rPr>
          <w:rStyle w:val="ECCParagraph"/>
        </w:rPr>
      </w:pPr>
      <w:r w:rsidRPr="00744EDF">
        <w:rPr>
          <w:lang w:val="fr-FR"/>
        </w:rPr>
        <w:t>Broadband DA2G - USA</w:t>
      </w:r>
    </w:p>
    <w:p w:rsidR="00744EDF" w:rsidRDefault="00744EDF" w:rsidP="00744EDF">
      <w:pPr>
        <w:rPr>
          <w:rFonts w:cs="Arial"/>
          <w:lang w:val="en-US"/>
        </w:rPr>
      </w:pPr>
      <w:r>
        <w:rPr>
          <w:rFonts w:cs="Arial"/>
          <w:lang w:val="en-US"/>
        </w:rPr>
        <w:t>In addition to the Australian initiative in APT reported under item 1, the following information was noted from press releases with regard to the situation in the USA:</w:t>
      </w:r>
    </w:p>
    <w:p w:rsidR="00744EDF" w:rsidRPr="00847C96" w:rsidRDefault="00744EDF" w:rsidP="00744EDF">
      <w:pPr>
        <w:rPr>
          <w:rFonts w:cs="Arial"/>
          <w:b/>
        </w:rPr>
      </w:pPr>
      <w:r w:rsidRPr="00847C96">
        <w:rPr>
          <w:rFonts w:cs="Arial"/>
          <w:b/>
        </w:rPr>
        <w:t>Gogo:</w:t>
      </w:r>
    </w:p>
    <w:p w:rsidR="00744EDF" w:rsidRPr="009C30D5" w:rsidRDefault="00744EDF" w:rsidP="00744EDF">
      <w:pPr>
        <w:rPr>
          <w:rFonts w:cs="Arial"/>
        </w:rPr>
      </w:pPr>
      <w:r>
        <w:rPr>
          <w:rFonts w:cs="Arial"/>
        </w:rPr>
        <w:t xml:space="preserve">The existing DA2G service provider </w:t>
      </w:r>
      <w:r w:rsidRPr="009C30D5">
        <w:rPr>
          <w:rFonts w:cs="Arial"/>
        </w:rPr>
        <w:t>Gogo announced plans for a next-generation ground-based network in September 2016</w:t>
      </w:r>
      <w:r>
        <w:rPr>
          <w:rFonts w:cs="Arial"/>
        </w:rPr>
        <w:t xml:space="preserve"> and confirmed more precise information on 1 March 2017. </w:t>
      </w:r>
      <w:r w:rsidRPr="009C30D5">
        <w:rPr>
          <w:rFonts w:cs="Arial"/>
        </w:rPr>
        <w:t xml:space="preserve">It </w:t>
      </w:r>
      <w:r>
        <w:rPr>
          <w:rFonts w:cs="Arial"/>
        </w:rPr>
        <w:t xml:space="preserve">was said </w:t>
      </w:r>
      <w:r w:rsidRPr="009C30D5">
        <w:rPr>
          <w:rFonts w:cs="Arial"/>
        </w:rPr>
        <w:t>that the new network would use unlicensed spectrum</w:t>
      </w:r>
      <w:r>
        <w:rPr>
          <w:rFonts w:cs="Arial"/>
        </w:rPr>
        <w:t xml:space="preserve"> (2.4 GHz) and LTE technology</w:t>
      </w:r>
      <w:r w:rsidRPr="009C30D5">
        <w:rPr>
          <w:rFonts w:cs="Arial"/>
        </w:rPr>
        <w:t>, a proprietary modem and a new beam-forming antenna. The existing Gogo ATG network features 250 cellular towers, but with limited bandwidth, the service has struggled to provide adequate service</w:t>
      </w:r>
      <w:r w:rsidR="002B6420">
        <w:rPr>
          <w:rFonts w:cs="Arial"/>
        </w:rPr>
        <w:t>, even</w:t>
      </w:r>
      <w:r w:rsidRPr="009C30D5">
        <w:rPr>
          <w:rFonts w:cs="Arial"/>
        </w:rPr>
        <w:t xml:space="preserve"> for low intensity cabin-based </w:t>
      </w:r>
      <w:r>
        <w:rPr>
          <w:rFonts w:cs="Arial"/>
        </w:rPr>
        <w:t>in-flight communication</w:t>
      </w:r>
      <w:r w:rsidRPr="009C30D5">
        <w:rPr>
          <w:rFonts w:cs="Arial"/>
        </w:rPr>
        <w:t xml:space="preserve"> applications </w:t>
      </w:r>
      <w:r>
        <w:rPr>
          <w:rFonts w:cs="Arial"/>
        </w:rPr>
        <w:t xml:space="preserve">such as </w:t>
      </w:r>
      <w:r w:rsidRPr="009C30D5">
        <w:rPr>
          <w:rFonts w:cs="Arial"/>
        </w:rPr>
        <w:t>email.</w:t>
      </w:r>
    </w:p>
    <w:p w:rsidR="00744EDF" w:rsidRDefault="002B6420" w:rsidP="00744EDF">
      <w:pPr>
        <w:rPr>
          <w:rFonts w:cs="Arial"/>
        </w:rPr>
      </w:pPr>
      <w:r>
        <w:rPr>
          <w:rFonts w:cs="Arial"/>
        </w:rPr>
        <w:t>However</w:t>
      </w:r>
      <w:r w:rsidRPr="009C30D5">
        <w:rPr>
          <w:rFonts w:cs="Arial"/>
        </w:rPr>
        <w:t xml:space="preserve"> </w:t>
      </w:r>
      <w:r w:rsidR="00744EDF" w:rsidRPr="009C30D5">
        <w:rPr>
          <w:rFonts w:cs="Arial"/>
        </w:rPr>
        <w:t xml:space="preserve">with the use of unlicensed spectrum, and the upgraded aircraft modem and antenna, Gogo is promising speeds of 100 </w:t>
      </w:r>
      <w:r w:rsidR="00744EDF">
        <w:rPr>
          <w:rFonts w:cs="Arial"/>
        </w:rPr>
        <w:t>Mbit/s</w:t>
      </w:r>
      <w:r w:rsidR="00744EDF" w:rsidRPr="009C30D5">
        <w:rPr>
          <w:rFonts w:cs="Arial"/>
        </w:rPr>
        <w:t>, which would then be broken down in terms of connection speeds based on passenger use, device type and other individual user factors. If this becomes a reality, the new ATG network would deliver speeds about 10 times as fast as Gogo’s existing ATG system.</w:t>
      </w:r>
      <w:r w:rsidR="00744EDF">
        <w:rPr>
          <w:rFonts w:cs="Arial"/>
        </w:rPr>
        <w:t xml:space="preserve"> </w:t>
      </w:r>
      <w:r w:rsidR="00744EDF" w:rsidRPr="009C30D5">
        <w:rPr>
          <w:rFonts w:cs="Arial"/>
        </w:rPr>
        <w:t xml:space="preserve">The network is planned for a 2018 launch. Aircraft equipped with older versions of Gogo’s air-to-ground technologies will need new modems and blade antennas to use the new service. </w:t>
      </w:r>
    </w:p>
    <w:p w:rsidR="00744EDF" w:rsidRPr="00847C96" w:rsidRDefault="00744EDF" w:rsidP="00744EDF">
      <w:pPr>
        <w:rPr>
          <w:rFonts w:cs="Arial"/>
          <w:b/>
        </w:rPr>
      </w:pPr>
      <w:r w:rsidRPr="00847C96">
        <w:rPr>
          <w:rFonts w:cs="Arial"/>
          <w:b/>
        </w:rPr>
        <w:t>SmartSky Networks:</w:t>
      </w:r>
    </w:p>
    <w:p w:rsidR="00744EDF" w:rsidRDefault="00744EDF" w:rsidP="00744EDF">
      <w:pPr>
        <w:rPr>
          <w:rFonts w:cs="Arial"/>
        </w:rPr>
      </w:pPr>
      <w:r w:rsidRPr="00BD3A5C">
        <w:rPr>
          <w:rFonts w:cs="Arial"/>
        </w:rPr>
        <w:t xml:space="preserve">SmartSky Networks’ </w:t>
      </w:r>
      <w:r>
        <w:rPr>
          <w:rFonts w:cs="Arial"/>
        </w:rPr>
        <w:t xml:space="preserve">announced again that their </w:t>
      </w:r>
      <w:r w:rsidRPr="00BD3A5C">
        <w:rPr>
          <w:rFonts w:cs="Arial"/>
        </w:rPr>
        <w:t>patented SmartSky 4G radio system completed the major milestone of receiving FCC certification, clearing the way for deployment of the ultra-fast SmartSky 4G air-to-ground network later this year, with nationwide service launching in mid-2017. Haynes Griffin, SmartSky Chairman and CEO, stated, “After investing tens of millions of dollars and over five years of research and development effort, SmartSky’s now certified technology has unlocked enough spectrum to be able to offer, for the first time, the reliable use of a sophisticated, custom-designed 4G system that can deliver an office-like internet experience in the air for both business aviation and commercial aviation customers.”</w:t>
      </w:r>
    </w:p>
    <w:p w:rsidR="00744EDF" w:rsidRPr="00BD3A5C" w:rsidRDefault="00744EDF" w:rsidP="00744EDF">
      <w:pPr>
        <w:rPr>
          <w:rFonts w:cs="Arial"/>
        </w:rPr>
      </w:pPr>
      <w:r w:rsidRPr="00BD3A5C">
        <w:rPr>
          <w:rFonts w:cs="Arial"/>
        </w:rPr>
        <w:t>FCC certification is the culmination of work to develop and patent protect the multiple bodies of technology that uniquely enable SmartSky to make use of the unlicensed 2.4 GHz spectrum band, all without causing harmful interference to or receiving interference from the operation of the same band on the ground. Despite the widespread assertion that aviation-related spectrum reuse in the unlicensed band would not be feasible, SmartSky has successfully solved the challenge by implementing new technical methods that are broadly covered by its robust and growing portfolio of 20 granted patents. Additional patents are pending.</w:t>
      </w:r>
    </w:p>
    <w:p w:rsidR="00744EDF" w:rsidRPr="00BD3A5C" w:rsidRDefault="00744EDF" w:rsidP="00744EDF">
      <w:pPr>
        <w:rPr>
          <w:rFonts w:cs="Arial"/>
        </w:rPr>
      </w:pPr>
      <w:r w:rsidRPr="00BD3A5C">
        <w:rPr>
          <w:rFonts w:cs="Arial"/>
        </w:rPr>
        <w:t>Reed Hundt, SmartSky’s Vice Chairman of the Board and former Chairman of the FCC, remarked, “Long ago, the FCC authorized the allocation of large blocks of unlicensed spectrum to foster innovation and encourage competition. Today, we see the amazing results of that prescient regulation, which has resulted in ubiquitous Wi-Fi on the ground. By application of novel technologies using 2.4 GHz unlicensed spectrum, SmartSky’s breakthrough will finally give the aviation industry the superior connectivity now taken for granted terrestrially.”</w:t>
      </w:r>
    </w:p>
    <w:p w:rsidR="00744EDF" w:rsidRPr="00BD3A5C" w:rsidRDefault="00744EDF" w:rsidP="00744EDF">
      <w:pPr>
        <w:rPr>
          <w:rFonts w:cs="Arial"/>
        </w:rPr>
      </w:pPr>
      <w:r w:rsidRPr="00BD3A5C">
        <w:rPr>
          <w:rFonts w:cs="Arial"/>
        </w:rPr>
        <w:lastRenderedPageBreak/>
        <w:t>Roberson and Associates, a highly regarded independent wireless industry consulting firm, investigated the ability of SmartSky’s radio technology to seamlessly coexist with terrestrial Wi-Fi. CEO Dennis Roberson, who is also Chairman of the FCC’s Technical Advisory Council, commented, “SmartSky’s technology solution is transparent to Wi-Fi users on the ground, enabling the air-to-ground sharing of the 2.4 GHz unlicensed band.”</w:t>
      </w:r>
    </w:p>
    <w:p w:rsidR="00744EDF" w:rsidRDefault="00744EDF" w:rsidP="00744EDF">
      <w:pPr>
        <w:rPr>
          <w:rFonts w:cs="Arial"/>
        </w:rPr>
      </w:pPr>
      <w:r w:rsidRPr="00BD3A5C">
        <w:rPr>
          <w:rFonts w:cs="Arial"/>
        </w:rPr>
        <w:t>SmartSky’s technology and patent portfolio is not limited to the unlicensed band. Most of the patents apply to any frequency and any waveform in any high speed air-to-ground network. Because these are broad patents, SmartSky enables underlying technical advances to be incorporated into its conceptual solution. “Over time, this will allow SmartSky to keep pace with the latest advances in computing, antennas, radios and networking while still being protected by our foundational patents,” said Griffin</w:t>
      </w:r>
    </w:p>
    <w:p w:rsidR="002E0308" w:rsidRDefault="00744EDF" w:rsidP="00744EDF">
      <w:pPr>
        <w:rPr>
          <w:rFonts w:cs="Arial"/>
        </w:rPr>
      </w:pPr>
      <w:r>
        <w:rPr>
          <w:rFonts w:cs="Arial"/>
        </w:rPr>
        <w:t xml:space="preserve">The above information provided to the public from Gogo (seeking a solution for service continuation for DA2G) and SmartSky actually suggests that these networks (or one network) is already under construction. In addition, an indicative pricing list (see below) was also published in some aviation magazines. SmartSky Network (as the ‘newcomer’) seems also to have </w:t>
      </w:r>
      <w:r w:rsidRPr="006A2DEE">
        <w:rPr>
          <w:rFonts w:cs="Arial"/>
        </w:rPr>
        <w:t>secured more than 170 million</w:t>
      </w:r>
      <w:r>
        <w:rPr>
          <w:rFonts w:cs="Arial"/>
        </w:rPr>
        <w:t xml:space="preserve"> USD </w:t>
      </w:r>
      <w:r w:rsidRPr="006A2DEE">
        <w:rPr>
          <w:rFonts w:cs="Arial"/>
        </w:rPr>
        <w:t>in financing</w:t>
      </w:r>
      <w:r>
        <w:rPr>
          <w:rFonts w:cs="Arial"/>
        </w:rPr>
        <w:t xml:space="preserve"> in March 2017</w:t>
      </w:r>
      <w:r w:rsidRPr="006A2DEE">
        <w:rPr>
          <w:rFonts w:cs="Arial"/>
        </w:rPr>
        <w:t>, completing the equity funding for the deployment of its nationwide network.</w:t>
      </w:r>
      <w:r w:rsidR="002E0308">
        <w:rPr>
          <w:rFonts w:cs="Arial"/>
        </w:rPr>
        <w:t xml:space="preserve"> In addition, SmartSky works together with the equipment manufacturer Harris and also with the aircraft manufacturer Bombardier. Harris got an equipment type approval from the FCC (</w:t>
      </w:r>
      <w:hyperlink r:id="rId34" w:history="1">
        <w:r w:rsidR="002E0308" w:rsidRPr="00D30CBE">
          <w:rPr>
            <w:rStyle w:val="Hyperlink"/>
            <w:rFonts w:cs="Arial"/>
          </w:rPr>
          <w:t>http://www.satcom.guru/2016/10/fcc-grants-harris-authorization-for.html</w:t>
        </w:r>
      </w:hyperlink>
      <w:r w:rsidR="002E0308">
        <w:rPr>
          <w:rFonts w:cs="Arial"/>
        </w:rPr>
        <w:t xml:space="preserve">) under which Ground Station equipment with roughly 150 mW output power and with an antenna gain of 20 to 30 dBi (phased array antenna, steerable beams) can operate with 42 to 53 dBm in the 2.4 GHz range </w:t>
      </w:r>
      <w:r w:rsidR="002E0308" w:rsidRPr="002E0308">
        <w:rPr>
          <w:rFonts w:cs="Arial"/>
        </w:rPr>
        <w:t>(</w:t>
      </w:r>
      <w:r w:rsidR="002E0308">
        <w:rPr>
          <w:rFonts w:cs="Arial"/>
        </w:rPr>
        <w:t>s</w:t>
      </w:r>
      <w:r w:rsidR="002E0308" w:rsidRPr="002E0308">
        <w:rPr>
          <w:rFonts w:cs="Arial"/>
        </w:rPr>
        <w:t xml:space="preserve">mart </w:t>
      </w:r>
      <w:r w:rsidR="002E0308">
        <w:rPr>
          <w:rFonts w:cs="Arial"/>
        </w:rPr>
        <w:t>a</w:t>
      </w:r>
      <w:r w:rsidR="002E0308" w:rsidRPr="002E0308">
        <w:rPr>
          <w:rFonts w:cs="Arial"/>
        </w:rPr>
        <w:t xml:space="preserve">ntenna </w:t>
      </w:r>
      <w:r w:rsidR="002E0308">
        <w:rPr>
          <w:rFonts w:cs="Arial"/>
        </w:rPr>
        <w:t>s</w:t>
      </w:r>
      <w:r w:rsidR="002E0308" w:rsidRPr="002E0308">
        <w:rPr>
          <w:rFonts w:cs="Arial"/>
        </w:rPr>
        <w:t xml:space="preserve">ystems </w:t>
      </w:r>
      <w:r w:rsidR="002E0308">
        <w:rPr>
          <w:rFonts w:cs="Arial"/>
        </w:rPr>
        <w:t xml:space="preserve">following FCC </w:t>
      </w:r>
      <w:r w:rsidR="002E0308" w:rsidRPr="002E0308">
        <w:rPr>
          <w:rFonts w:cs="Arial"/>
        </w:rPr>
        <w:t>§15.247)</w:t>
      </w:r>
      <w:r w:rsidR="002E0308">
        <w:rPr>
          <w:rFonts w:cs="Arial"/>
        </w:rPr>
        <w:t xml:space="preserve"> and under the current regulations</w:t>
      </w:r>
      <w:r w:rsidR="002E0308" w:rsidRPr="002E0308">
        <w:rPr>
          <w:rFonts w:cs="Arial"/>
        </w:rPr>
        <w:t>.</w:t>
      </w:r>
    </w:p>
    <w:p w:rsidR="00744EDF" w:rsidRDefault="00744EDF" w:rsidP="00744EDF">
      <w:pPr>
        <w:rPr>
          <w:rFonts w:cs="Arial"/>
        </w:rPr>
      </w:pPr>
      <w:r>
        <w:rPr>
          <w:rFonts w:cs="Arial"/>
          <w:noProof/>
          <w:lang w:val="da-DK" w:eastAsia="da-DK"/>
        </w:rPr>
        <w:drawing>
          <wp:inline distT="0" distB="0" distL="0" distR="0" wp14:anchorId="34BD9DC9" wp14:editId="695AF126">
            <wp:extent cx="6120765" cy="3712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712845"/>
                    </a:xfrm>
                    <a:prstGeom prst="rect">
                      <a:avLst/>
                    </a:prstGeom>
                    <a:noFill/>
                  </pic:spPr>
                </pic:pic>
              </a:graphicData>
            </a:graphic>
          </wp:inline>
        </w:drawing>
      </w:r>
    </w:p>
    <w:p w:rsidR="00744EDF" w:rsidRPr="00E72097" w:rsidRDefault="00744EDF" w:rsidP="00744EDF">
      <w:pPr>
        <w:rPr>
          <w:rFonts w:cs="Arial"/>
        </w:rPr>
      </w:pPr>
      <w:r>
        <w:rPr>
          <w:rFonts w:cs="Arial"/>
        </w:rPr>
        <w:t>FCC:</w:t>
      </w:r>
    </w:p>
    <w:p w:rsidR="00744EDF" w:rsidRDefault="00744EDF" w:rsidP="00744EDF">
      <w:pPr>
        <w:rPr>
          <w:rFonts w:cs="Arial"/>
          <w:lang w:val="en-US"/>
        </w:rPr>
      </w:pPr>
      <w:r w:rsidRPr="006A2DEE">
        <w:rPr>
          <w:rFonts w:cs="Arial"/>
          <w:u w:val="single"/>
        </w:rPr>
        <w:t>No confirmation or statements from the FCC</w:t>
      </w:r>
      <w:r w:rsidRPr="009C30D5">
        <w:rPr>
          <w:rFonts w:cs="Arial"/>
        </w:rPr>
        <w:t xml:space="preserve"> have been </w:t>
      </w:r>
      <w:r>
        <w:rPr>
          <w:rFonts w:cs="Arial"/>
        </w:rPr>
        <w:t xml:space="preserve">given or </w:t>
      </w:r>
      <w:r w:rsidRPr="009C30D5">
        <w:rPr>
          <w:rFonts w:cs="Arial"/>
        </w:rPr>
        <w:t>received with reg</w:t>
      </w:r>
      <w:r>
        <w:rPr>
          <w:rFonts w:cs="Arial"/>
        </w:rPr>
        <w:t>ard to these DA2G network plans. In other words, neither the FCC nor Canada do seem to have dedicated plans for a specific new regulation for DA2G</w:t>
      </w:r>
      <w:r w:rsidRPr="009C30D5">
        <w:rPr>
          <w:rFonts w:cs="Arial"/>
          <w:lang w:val="en-US"/>
        </w:rPr>
        <w:t xml:space="preserve">. </w:t>
      </w:r>
      <w:r>
        <w:rPr>
          <w:rFonts w:cs="Arial"/>
          <w:lang w:val="en-US"/>
        </w:rPr>
        <w:t>It is therefore assumed that the approach from Gogo and SmartSky is based on using the current 2.4 GHz regulations which do not necessarily exclude an ATG utilisation. In addition, also the 14 GHz process (Qualcomm initiative) is ‘still pending’.</w:t>
      </w:r>
    </w:p>
    <w:p w:rsidR="002E0308" w:rsidRPr="002E0308" w:rsidRDefault="002E0308" w:rsidP="002E0308">
      <w:pPr>
        <w:rPr>
          <w:rFonts w:cs="Arial"/>
          <w:lang w:val="en-US"/>
        </w:rPr>
      </w:pPr>
    </w:p>
    <w:p w:rsidR="00744EDF" w:rsidRDefault="00744EDF" w:rsidP="0032246B">
      <w:pPr>
        <w:pStyle w:val="ECCTablenote"/>
        <w:rPr>
          <w:rStyle w:val="ECCParagraph"/>
          <w:b/>
        </w:rPr>
      </w:pPr>
      <w:r w:rsidRPr="00744EDF">
        <w:rPr>
          <w:rFonts w:cs="Arial"/>
          <w:b/>
          <w:sz w:val="20"/>
          <w:szCs w:val="20"/>
          <w:lang w:val="en-US"/>
        </w:rPr>
        <w:t>(of interest for WG FM)</w:t>
      </w:r>
    </w:p>
    <w:p w:rsidR="00744EDF" w:rsidRDefault="00744EDF" w:rsidP="00744EDF">
      <w:pPr>
        <w:pStyle w:val="Heading1"/>
        <w:rPr>
          <w:rStyle w:val="ECCParagraph"/>
        </w:rPr>
      </w:pPr>
      <w:r w:rsidRPr="00744EDF">
        <w:rPr>
          <w:lang w:val="en-GB"/>
        </w:rPr>
        <w:lastRenderedPageBreak/>
        <w:t>57 – 64 GHz Outdoor Use Rules</w:t>
      </w:r>
    </w:p>
    <w:p w:rsidR="00744EDF" w:rsidRDefault="00744EDF" w:rsidP="00744EDF">
      <w:pPr>
        <w:spacing w:after="240"/>
        <w:rPr>
          <w:rFonts w:cs="Arial"/>
        </w:rPr>
      </w:pPr>
      <w:r>
        <w:rPr>
          <w:rFonts w:cs="Arial"/>
        </w:rPr>
        <w:t>Two countries were noted to have introduced outdoor use rules in the frequency range 57-64 GHz:</w:t>
      </w:r>
    </w:p>
    <w:p w:rsidR="00744EDF" w:rsidRPr="006A2DEE" w:rsidRDefault="00744EDF" w:rsidP="00744EDF">
      <w:pPr>
        <w:pStyle w:val="ECCLetteredList"/>
      </w:pPr>
      <w:r w:rsidRPr="006A2DEE">
        <w:t xml:space="preserve">Argentina </w:t>
      </w:r>
    </w:p>
    <w:p w:rsidR="00744EDF" w:rsidRPr="006A2DEE" w:rsidRDefault="00744EDF" w:rsidP="00744EDF">
      <w:pPr>
        <w:spacing w:after="240"/>
        <w:rPr>
          <w:rFonts w:cs="Arial"/>
        </w:rPr>
      </w:pPr>
      <w:r w:rsidRPr="006A2DEE">
        <w:rPr>
          <w:rFonts w:cs="Arial"/>
        </w:rPr>
        <w:t>On March 10, 2017, Argentina’s Regulator, Ente Nacional de Comunicaciones (ENACOM0) published Resolution 1336-E/2017 advising that the 57 – 64 GHz frequency range is now allocated for the use of multi-gigabit wireless systems (MGW) in Argentina. The technical requirements for equipment and systems operating within the 57 - 64 GHz band are:</w:t>
      </w:r>
    </w:p>
    <w:p w:rsidR="00744EDF" w:rsidRDefault="00744EDF" w:rsidP="00744EDF">
      <w:pPr>
        <w:pStyle w:val="ECCNumberedList"/>
      </w:pPr>
      <w:r w:rsidRPr="006A2DEE">
        <w:t>Average Equivalent Isotropically Radiated Power (EIRP) shall not exceed 40 dBm.</w:t>
      </w:r>
    </w:p>
    <w:p w:rsidR="00744EDF" w:rsidRPr="006A2DEE" w:rsidRDefault="00744EDF" w:rsidP="00744EDF">
      <w:pPr>
        <w:pStyle w:val="ECCNumberedList"/>
      </w:pPr>
      <w:r w:rsidRPr="006A2DEE">
        <w:t>Peak Equivalent Isotropically Radiated Power (EIRP) shall not exceed the value of 43 dBm.</w:t>
      </w:r>
    </w:p>
    <w:p w:rsidR="00744EDF" w:rsidRPr="006A2DEE" w:rsidRDefault="00744EDF" w:rsidP="00744EDF">
      <w:pPr>
        <w:pStyle w:val="ECCNumberedList"/>
      </w:pPr>
      <w:r w:rsidRPr="006A2DEE">
        <w:t>Average Equivalent Isotropically Radiated Power (EIRP) Spectrum spectral density shall not exceed 13 dBm/MHz.</w:t>
      </w:r>
    </w:p>
    <w:p w:rsidR="00744EDF" w:rsidRPr="006A2DEE" w:rsidRDefault="00744EDF" w:rsidP="00744EDF">
      <w:pPr>
        <w:pStyle w:val="ECCNumberedList"/>
      </w:pPr>
      <w:r w:rsidRPr="006A2DEE">
        <w:t>The Peak Conducted Power shall not exceed 500 mW.</w:t>
      </w:r>
    </w:p>
    <w:p w:rsidR="00744EDF" w:rsidRDefault="00744EDF" w:rsidP="00744EDF">
      <w:pPr>
        <w:pStyle w:val="ECCNumberedList"/>
      </w:pPr>
      <w:r w:rsidRPr="006A2DEE">
        <w:t>Antenna gain and output power shall be adjusted in such a way that the limits established in items (1), (2), (3) and (4) are not exceeded.</w:t>
      </w:r>
    </w:p>
    <w:p w:rsidR="00744EDF" w:rsidRDefault="00744EDF" w:rsidP="00744EDF">
      <w:pPr>
        <w:spacing w:after="0"/>
        <w:ind w:left="1134" w:hanging="567"/>
        <w:rPr>
          <w:rFonts w:cs="Arial"/>
        </w:rPr>
      </w:pPr>
    </w:p>
    <w:p w:rsidR="00744EDF" w:rsidRDefault="00744EDF" w:rsidP="00744EDF">
      <w:pPr>
        <w:pStyle w:val="ECCLetteredList"/>
      </w:pPr>
      <w:r>
        <w:t>Mexico</w:t>
      </w:r>
    </w:p>
    <w:p w:rsidR="00744EDF" w:rsidRDefault="00744EDF" w:rsidP="00744EDF">
      <w:pPr>
        <w:spacing w:after="240"/>
        <w:rPr>
          <w:rFonts w:cs="Arial"/>
        </w:rPr>
      </w:pPr>
      <w:r w:rsidRPr="00B37366">
        <w:rPr>
          <w:rFonts w:cs="Arial"/>
        </w:rPr>
        <w:t>On May 9, 2017, Mexico’s Regulator Instituto Federal de Telecomunicaciones (IFT) classified the 57-64 GHz band as free use</w:t>
      </w:r>
      <w:r>
        <w:rPr>
          <w:rFonts w:cs="Arial"/>
        </w:rPr>
        <w:t xml:space="preserve">, including outdoor use, </w:t>
      </w:r>
      <w:r w:rsidRPr="00B37366">
        <w:rPr>
          <w:rFonts w:cs="Arial"/>
        </w:rPr>
        <w:t xml:space="preserve">whereby devices operating in the 57-64 GHz band </w:t>
      </w:r>
      <w:r>
        <w:rPr>
          <w:rFonts w:cs="Arial"/>
        </w:rPr>
        <w:t xml:space="preserve">should not be used onboard aircraft or satellites. </w:t>
      </w:r>
      <w:r w:rsidRPr="00B37366">
        <w:rPr>
          <w:rFonts w:cs="Arial"/>
        </w:rPr>
        <w:t xml:space="preserve">Point-to-point transmitters located outdoors shall </w:t>
      </w:r>
      <w:r>
        <w:rPr>
          <w:rFonts w:cs="Arial"/>
        </w:rPr>
        <w:t xml:space="preserve">amongst other technical restrictions (spectrum power density, </w:t>
      </w:r>
      <w:r w:rsidRPr="00B37366">
        <w:rPr>
          <w:rFonts w:cs="Arial"/>
        </w:rPr>
        <w:t xml:space="preserve">operate with an average </w:t>
      </w:r>
      <w:r>
        <w:rPr>
          <w:rFonts w:cs="Arial"/>
        </w:rPr>
        <w:t xml:space="preserve">e.i.r.p. </w:t>
      </w:r>
      <w:r w:rsidRPr="00B37366">
        <w:rPr>
          <w:rFonts w:cs="Arial"/>
        </w:rPr>
        <w:t>not exceeding 82 dBm and a maximum EIRP not exceeding 85 dBm. In cases where the antenna gain is less than 51 dBi, 2 dB should be subtracted from the average EIRP and the maximum EIRP, for each dB the gain is less than 51 dBi.</w:t>
      </w:r>
    </w:p>
    <w:p w:rsidR="00744EDF" w:rsidRDefault="00744EDF" w:rsidP="007529AB">
      <w:pPr>
        <w:spacing w:after="240"/>
        <w:rPr>
          <w:rFonts w:cs="Arial"/>
          <w:b/>
          <w:lang w:val="da-DK"/>
        </w:rPr>
      </w:pPr>
      <w:r w:rsidRPr="007529AB">
        <w:rPr>
          <w:rFonts w:cs="Arial"/>
          <w:b/>
          <w:lang w:val="da-DK"/>
        </w:rPr>
        <w:t>(WG FM, WG SE, SRD/MG and SE19)</w:t>
      </w:r>
    </w:p>
    <w:p w:rsidR="00AE673B" w:rsidRDefault="00AE673B" w:rsidP="00AE673B">
      <w:pPr>
        <w:pStyle w:val="Heading1"/>
        <w:rPr>
          <w:rStyle w:val="ECCParagraph"/>
        </w:rPr>
      </w:pPr>
      <w:r w:rsidRPr="00AE673B">
        <w:rPr>
          <w:lang w:val="en-GB"/>
        </w:rPr>
        <w:t>Canada - Technical Requirements for Fixed Line of-Sight Radio Systems Operating in the Bands 71-76 GHz and 81-86 GHz</w:t>
      </w:r>
    </w:p>
    <w:p w:rsidR="00AE673B" w:rsidRPr="00C61542" w:rsidRDefault="00AE673B" w:rsidP="00AE673B">
      <w:pPr>
        <w:spacing w:after="240"/>
        <w:rPr>
          <w:rFonts w:cs="Arial"/>
        </w:rPr>
      </w:pPr>
      <w:r w:rsidRPr="00C61542">
        <w:rPr>
          <w:rFonts w:cs="Arial"/>
        </w:rPr>
        <w:t xml:space="preserve">During May 2017, Industry Canada released SRSP-371.0, Issue 1, Technical Requirements for Fixed Line of-Sight Radio Systems Operating in the Bands 71-76 GHz and 81-86 GHz. This SRSP outlines the minimum technical requirements for the efficient use of the frequency bands 71-76 GHz and 81-86 GHz by point-to-point digital line-of-sight radio systems in the fixed service. The SRSP </w:t>
      </w:r>
      <w:r>
        <w:rPr>
          <w:rFonts w:cs="Arial"/>
        </w:rPr>
        <w:t>(</w:t>
      </w:r>
      <w:r w:rsidRPr="00C61542">
        <w:rPr>
          <w:rFonts w:cs="Arial"/>
        </w:rPr>
        <w:t>Standard Radio System Plan</w:t>
      </w:r>
      <w:r>
        <w:rPr>
          <w:rFonts w:cs="Arial"/>
        </w:rPr>
        <w:t xml:space="preserve">) </w:t>
      </w:r>
      <w:r w:rsidRPr="00C61542">
        <w:rPr>
          <w:rFonts w:cs="Arial"/>
        </w:rPr>
        <w:t xml:space="preserve">is intended to be employed in the design and specification of radio systems and equipment. It specifies equipment characteristics relating to efficient spectrum usage only, and is not to be regarded as a comprehensive specification for equipment design and/or selection. For details, see this </w:t>
      </w:r>
      <w:hyperlink r:id="rId36" w:tgtFrame="_blank" w:history="1">
        <w:r w:rsidRPr="00AE673B">
          <w:rPr>
            <w:rStyle w:val="Hyperlink"/>
          </w:rPr>
          <w:t>link</w:t>
        </w:r>
      </w:hyperlink>
      <w:r w:rsidRPr="00C61542">
        <w:rPr>
          <w:rFonts w:cs="Arial"/>
        </w:rPr>
        <w:t>.</w:t>
      </w:r>
    </w:p>
    <w:p w:rsidR="00AE673B" w:rsidRPr="002376BE" w:rsidRDefault="00AE673B" w:rsidP="00AE673B">
      <w:pPr>
        <w:spacing w:after="240"/>
        <w:rPr>
          <w:rFonts w:cs="Arial"/>
          <w:b/>
          <w:lang w:val="en-US" w:eastAsia="da-DK"/>
        </w:rPr>
      </w:pPr>
      <w:r w:rsidRPr="00AE673B">
        <w:rPr>
          <w:rFonts w:cs="Arial"/>
          <w:lang w:val="en-US" w:eastAsia="da-DK"/>
        </w:rPr>
        <w:t xml:space="preserve"> </w:t>
      </w:r>
      <w:r w:rsidRPr="002376BE">
        <w:rPr>
          <w:rFonts w:cs="Arial"/>
          <w:b/>
          <w:lang w:val="en-US" w:eastAsia="da-DK"/>
        </w:rPr>
        <w:t>(</w:t>
      </w:r>
      <w:proofErr w:type="gramStart"/>
      <w:r w:rsidRPr="002376BE">
        <w:rPr>
          <w:rFonts w:cs="Arial"/>
          <w:b/>
          <w:lang w:val="en-US" w:eastAsia="da-DK"/>
        </w:rPr>
        <w:t>for</w:t>
      </w:r>
      <w:proofErr w:type="gramEnd"/>
      <w:r w:rsidRPr="002376BE">
        <w:rPr>
          <w:rFonts w:cs="Arial"/>
          <w:b/>
          <w:lang w:val="en-US" w:eastAsia="da-DK"/>
        </w:rPr>
        <w:t xml:space="preserve"> information WG SE, SE19)</w:t>
      </w:r>
    </w:p>
    <w:p w:rsidR="00AE673B" w:rsidRDefault="00AE673B" w:rsidP="00AE673B">
      <w:pPr>
        <w:pStyle w:val="Heading1"/>
        <w:rPr>
          <w:rStyle w:val="ECCParagraph"/>
        </w:rPr>
      </w:pPr>
      <w:r w:rsidRPr="00AE673B">
        <w:rPr>
          <w:lang w:val="en-GB"/>
        </w:rPr>
        <w:t>Canada - outdoor use in 5150-5250 MHz permitted</w:t>
      </w:r>
    </w:p>
    <w:p w:rsidR="00AE673B" w:rsidRPr="00E04B61" w:rsidRDefault="00AE673B" w:rsidP="00AE673B">
      <w:pPr>
        <w:spacing w:after="240"/>
        <w:rPr>
          <w:rFonts w:cs="Arial"/>
        </w:rPr>
      </w:pPr>
      <w:r w:rsidRPr="00E04B61">
        <w:rPr>
          <w:rFonts w:cs="Arial"/>
        </w:rPr>
        <w:t>Canada has changed the rules for the 5150 – 5250 MHz band. Similar to the US</w:t>
      </w:r>
      <w:r>
        <w:rPr>
          <w:rFonts w:cs="Arial"/>
        </w:rPr>
        <w:t>A</w:t>
      </w:r>
      <w:r w:rsidRPr="00E04B61">
        <w:rPr>
          <w:rFonts w:cs="Arial"/>
        </w:rPr>
        <w:t>, also Canada now allows higher power and outdoor usage in this band.</w:t>
      </w:r>
    </w:p>
    <w:p w:rsidR="00AE673B" w:rsidRPr="00AE673B" w:rsidRDefault="002376BE" w:rsidP="00AE673B">
      <w:pPr>
        <w:spacing w:after="0"/>
        <w:jc w:val="left"/>
        <w:rPr>
          <w:rStyle w:val="Hyperlink"/>
        </w:rPr>
      </w:pPr>
      <w:hyperlink r:id="rId37" w:anchor="sA" w:history="1">
        <w:r w:rsidR="00AE673B" w:rsidRPr="00AE673B">
          <w:rPr>
            <w:rStyle w:val="Hyperlink"/>
          </w:rPr>
          <w:t>http://www.ic.gc.ca/eic/site/smt-gst.nsf/eng/sf11294.html#sA</w:t>
        </w:r>
      </w:hyperlink>
    </w:p>
    <w:p w:rsidR="00AE673B" w:rsidRDefault="00AE673B" w:rsidP="00AE673B">
      <w:pPr>
        <w:spacing w:after="240"/>
        <w:rPr>
          <w:rFonts w:cs="Arial"/>
        </w:rPr>
      </w:pPr>
      <w:r w:rsidRPr="00E04B61">
        <w:rPr>
          <w:rFonts w:cs="Arial"/>
        </w:rPr>
        <w:lastRenderedPageBreak/>
        <w:t>The rulings in the USA and now also in Canada are equivalent. Cable operators in North America are interested in such outdoor WAS/RLAN. Professional operators can switch off or reduce power in order to avoid interferences.</w:t>
      </w:r>
      <w:r>
        <w:rPr>
          <w:rFonts w:cs="Arial"/>
        </w:rPr>
        <w:t xml:space="preserve"> Interestingly, Canada considers the use inside of cars as indoor use.</w:t>
      </w:r>
    </w:p>
    <w:p w:rsidR="00AE673B" w:rsidRDefault="00AE673B" w:rsidP="00AE673B">
      <w:pPr>
        <w:spacing w:after="240"/>
        <w:rPr>
          <w:rFonts w:ascii="Helvetica" w:hAnsi="Helvetica"/>
          <w:i/>
          <w:iCs/>
          <w:color w:val="0070C0"/>
          <w:shd w:val="clear" w:color="auto" w:fill="FFFFFF"/>
        </w:rPr>
      </w:pPr>
      <w:r w:rsidRPr="00F22504">
        <w:rPr>
          <w:rFonts w:cs="Arial"/>
        </w:rPr>
        <w:t>In relation, on February 23, 2017, Industry Canada released RSS-247, Issue 2 Digital Transmission Systems (DTSs), Frequency Hopping Systems (FHSs) and Licen</w:t>
      </w:r>
      <w:r>
        <w:rPr>
          <w:rFonts w:cs="Arial"/>
        </w:rPr>
        <w:t>s</w:t>
      </w:r>
      <w:r w:rsidRPr="00F22504">
        <w:rPr>
          <w:rFonts w:cs="Arial"/>
        </w:rPr>
        <w:t>e-Exempt Local Area Network (LE-LAN) Devices, replacing RSS-247, Issue 1, dated May 2015.</w:t>
      </w:r>
      <w:r>
        <w:rPr>
          <w:rFonts w:cs="Arial"/>
        </w:rPr>
        <w:t xml:space="preserve"> </w:t>
      </w:r>
      <w:r w:rsidRPr="00F22504">
        <w:rPr>
          <w:rFonts w:ascii="Helvetica" w:hAnsi="Helvetica"/>
          <w:color w:val="333333"/>
          <w:shd w:val="clear" w:color="auto" w:fill="FFFFFF"/>
        </w:rPr>
        <w:t>RSS-247</w:t>
      </w:r>
      <w:r w:rsidRPr="00F22504">
        <w:rPr>
          <w:rFonts w:ascii="Helvetica" w:hAnsi="Helvetica"/>
          <w:i/>
          <w:iCs/>
          <w:color w:val="333333"/>
          <w:shd w:val="clear" w:color="auto" w:fill="FFFFFF"/>
        </w:rPr>
        <w:t>, </w:t>
      </w:r>
      <w:hyperlink r:id="rId38" w:history="1">
        <w:r w:rsidRPr="00AE673B">
          <w:rPr>
            <w:rStyle w:val="Hyperlink"/>
          </w:rPr>
          <w:t>Digital Transmission Systems (DTSs), Frequency Hopping Systems (FHSs) and Licence-Exempt Local Area Network (LE-LAN) Devices</w:t>
        </w:r>
      </w:hyperlink>
    </w:p>
    <w:p w:rsidR="00AE673B" w:rsidRDefault="00AE673B" w:rsidP="00AE673B">
      <w:pPr>
        <w:spacing w:after="240"/>
        <w:rPr>
          <w:rFonts w:cs="Arial"/>
        </w:rPr>
      </w:pPr>
      <w:r>
        <w:rPr>
          <w:rFonts w:cs="Arial"/>
        </w:rPr>
        <w:t>There seems to be an agreement with Globalstar. As such, this possibility may also exist for Europe.</w:t>
      </w:r>
    </w:p>
    <w:p w:rsidR="00AE673B" w:rsidRDefault="00AE673B" w:rsidP="00AE673B">
      <w:pPr>
        <w:spacing w:after="240"/>
        <w:rPr>
          <w:rFonts w:ascii="Calibri" w:eastAsia="MS PGothic" w:hAnsi="Calibri" w:cs="MS PGothic"/>
          <w:lang w:val="en-US"/>
        </w:rPr>
      </w:pPr>
      <w:r>
        <w:rPr>
          <w:rFonts w:cs="Arial"/>
        </w:rPr>
        <w:t xml:space="preserve">Background: </w:t>
      </w:r>
      <w:r w:rsidRPr="00DE17D4">
        <w:rPr>
          <w:rFonts w:cs="Arial"/>
        </w:rPr>
        <w:t>Aggregated Interference into MSS satellite front end, see earlier contribution from Globalstar to the process when the FCC was abolishing the indoor restriction</w:t>
      </w:r>
      <w:r>
        <w:rPr>
          <w:rFonts w:cs="Arial"/>
        </w:rPr>
        <w:t xml:space="preserve"> (</w:t>
      </w:r>
      <w:hyperlink r:id="rId39" w:history="1">
        <w:r w:rsidRPr="00F22504">
          <w:rPr>
            <w:rFonts w:ascii="Calibri" w:eastAsia="MS PGothic" w:hAnsi="Calibri" w:cs="MS PGothic"/>
            <w:color w:val="0000FF"/>
            <w:u w:val="single"/>
            <w:lang w:val="en-US"/>
          </w:rPr>
          <w:t>https://ecfsapi.fcc.gov/file/7520959857.pdf</w:t>
        </w:r>
      </w:hyperlink>
      <w:r>
        <w:rPr>
          <w:rFonts w:ascii="Calibri" w:eastAsia="MS PGothic" w:hAnsi="Calibri" w:cs="MS PGothic"/>
          <w:lang w:val="en-US"/>
        </w:rPr>
        <w:t>).</w:t>
      </w:r>
    </w:p>
    <w:p w:rsidR="00AE673B" w:rsidRPr="00F22504" w:rsidRDefault="00AE673B" w:rsidP="00AE673B">
      <w:pPr>
        <w:spacing w:after="240"/>
        <w:rPr>
          <w:rFonts w:cs="Arial"/>
        </w:rPr>
      </w:pPr>
      <w:r w:rsidRPr="00DE17D4">
        <w:rPr>
          <w:rFonts w:cs="Arial"/>
        </w:rPr>
        <w:t xml:space="preserve">Nevertheless, the FCC changed the rules </w:t>
      </w:r>
      <w:r w:rsidRPr="00F22504">
        <w:rPr>
          <w:rFonts w:cs="Arial"/>
        </w:rPr>
        <w:t xml:space="preserve">in 2014 </w:t>
      </w:r>
      <w:r w:rsidRPr="00DE17D4">
        <w:rPr>
          <w:rFonts w:cs="Arial"/>
        </w:rPr>
        <w:t>and abolished the indoor restriction:</w:t>
      </w:r>
    </w:p>
    <w:p w:rsidR="00AE673B" w:rsidRPr="00AE673B" w:rsidRDefault="00AE673B" w:rsidP="00AE673B">
      <w:pPr>
        <w:spacing w:after="0"/>
        <w:ind w:left="1416"/>
        <w:jc w:val="left"/>
        <w:rPr>
          <w:rFonts w:eastAsia="MS PGothic" w:cs="Arial"/>
          <w:i/>
          <w:lang w:val="en-US"/>
        </w:rPr>
      </w:pPr>
      <w:r w:rsidRPr="00AE673B">
        <w:rPr>
          <w:rFonts w:eastAsia="MS PGothic" w:cs="Arial"/>
          <w:i/>
          <w:lang w:val="en-US"/>
        </w:rPr>
        <w:t>U-NII Low (U-NII-1): 5.150-5.250 GHz. Originally limited to indoor use only. Regulations required use of an integrated antenna, with power limited to 50 mW. Rules changed in 2014 to permit outdoor operation, maximum fixed power 1 watt, maximum fixed EIRP 4 watts (+36 dBm) point-to-multipoint, 200 watts (+53 dBm) point-to-point. However, strict out-of-band emission rules limit practical point-to-point power to lower levels. For the protection of Globalstar, the limitation are strict vertical emission limits, i.e. limitation to fixed infrastructure, no electrical or mechanical steerable beam antenna.</w:t>
      </w:r>
    </w:p>
    <w:p w:rsidR="00AE673B" w:rsidRPr="00F22504" w:rsidRDefault="00AE673B" w:rsidP="00AE673B">
      <w:pPr>
        <w:spacing w:after="0"/>
        <w:ind w:left="1416"/>
        <w:jc w:val="left"/>
        <w:rPr>
          <w:rFonts w:ascii="Calibri" w:eastAsia="MS PGothic" w:hAnsi="Calibri" w:cs="MS PGothic"/>
          <w:lang w:val="de-DE"/>
        </w:rPr>
      </w:pPr>
      <w:r>
        <w:rPr>
          <w:rFonts w:ascii="Calibri" w:eastAsia="MS PGothic" w:hAnsi="Calibri" w:cs="MS PGothic"/>
          <w:lang w:val="de-DE"/>
        </w:rPr>
        <w:t>(</w:t>
      </w:r>
      <w:r w:rsidRPr="00AE673B">
        <w:rPr>
          <w:rFonts w:eastAsia="MS PGothic" w:cs="Arial"/>
          <w:lang w:val="de-DE"/>
        </w:rPr>
        <w:t>See FCC</w:t>
      </w:r>
      <w:r w:rsidRPr="00F22504">
        <w:rPr>
          <w:rFonts w:ascii="Calibri" w:eastAsia="MS PGothic" w:hAnsi="Calibri" w:cs="MS PGothic"/>
          <w:lang w:val="de-DE"/>
        </w:rPr>
        <w:t xml:space="preserve">: </w:t>
      </w:r>
      <w:hyperlink r:id="rId40" w:history="1">
        <w:r w:rsidRPr="00AE673B">
          <w:rPr>
            <w:rStyle w:val="Hyperlink"/>
          </w:rPr>
          <w:t>https://transition.fcc.gov/bureaus/oet/ea/presentations/files/oct14/51-New-Rules-for-UNII-Bands,-Oct-2014-TN.pdf</w:t>
        </w:r>
      </w:hyperlink>
      <w:r w:rsidRPr="00F22504">
        <w:rPr>
          <w:rFonts w:ascii="Calibri" w:eastAsia="MS PGothic" w:hAnsi="Calibri" w:cs="MS PGothic"/>
          <w:lang w:val="de-DE"/>
        </w:rPr>
        <w:t xml:space="preserve"> </w:t>
      </w:r>
      <w:r>
        <w:rPr>
          <w:rFonts w:ascii="Calibri" w:eastAsia="MS PGothic" w:hAnsi="Calibri" w:cs="MS PGothic"/>
          <w:lang w:val="de-DE"/>
        </w:rPr>
        <w:t>)</w:t>
      </w:r>
    </w:p>
    <w:p w:rsidR="002E0308" w:rsidRDefault="002E0308" w:rsidP="00AE673B">
      <w:pPr>
        <w:spacing w:after="240"/>
        <w:rPr>
          <w:rFonts w:cs="Arial"/>
          <w:lang w:val="en-US"/>
        </w:rPr>
      </w:pPr>
      <w:r>
        <w:rPr>
          <w:rFonts w:cs="Arial"/>
          <w:lang w:val="en-US"/>
        </w:rPr>
        <w:t xml:space="preserve">There is also </w:t>
      </w:r>
      <w:r w:rsidR="00016D48">
        <w:rPr>
          <w:rFonts w:cs="Arial"/>
          <w:lang w:val="en-US"/>
        </w:rPr>
        <w:t>AI</w:t>
      </w:r>
      <w:r w:rsidR="00016D48" w:rsidRPr="002E0308">
        <w:rPr>
          <w:rFonts w:cs="Arial"/>
          <w:lang w:val="en-US"/>
        </w:rPr>
        <w:t xml:space="preserve"> </w:t>
      </w:r>
      <w:r w:rsidRPr="002E0308">
        <w:rPr>
          <w:rFonts w:cs="Arial"/>
          <w:lang w:val="en-US"/>
        </w:rPr>
        <w:t xml:space="preserve">1.16 </w:t>
      </w:r>
      <w:r>
        <w:rPr>
          <w:rFonts w:cs="Arial"/>
          <w:lang w:val="en-US"/>
        </w:rPr>
        <w:t xml:space="preserve">of </w:t>
      </w:r>
      <w:r w:rsidRPr="002E0308">
        <w:rPr>
          <w:rFonts w:cs="Arial"/>
          <w:lang w:val="en-US"/>
        </w:rPr>
        <w:t xml:space="preserve">WRC-19 </w:t>
      </w:r>
      <w:r>
        <w:rPr>
          <w:rFonts w:cs="Arial"/>
          <w:lang w:val="en-US"/>
        </w:rPr>
        <w:t xml:space="preserve">referring to the whole frequency range </w:t>
      </w:r>
      <w:r w:rsidRPr="002E0308">
        <w:rPr>
          <w:rFonts w:cs="Arial"/>
          <w:lang w:val="en-US"/>
        </w:rPr>
        <w:t xml:space="preserve">5150 MHz </w:t>
      </w:r>
      <w:r>
        <w:rPr>
          <w:rFonts w:cs="Arial"/>
          <w:lang w:val="en-US"/>
        </w:rPr>
        <w:t xml:space="preserve">to </w:t>
      </w:r>
      <w:r w:rsidRPr="002E0308">
        <w:rPr>
          <w:rFonts w:cs="Arial"/>
          <w:lang w:val="en-US"/>
        </w:rPr>
        <w:t>5925 MHz</w:t>
      </w:r>
      <w:r>
        <w:rPr>
          <w:rFonts w:cs="Arial"/>
          <w:lang w:val="en-US"/>
        </w:rPr>
        <w:t xml:space="preserve">. </w:t>
      </w:r>
      <w:r w:rsidR="00016D48">
        <w:rPr>
          <w:rFonts w:cs="Arial"/>
          <w:lang w:val="en-US"/>
        </w:rPr>
        <w:t>- i</w:t>
      </w:r>
      <w:r>
        <w:rPr>
          <w:rFonts w:cs="Arial"/>
          <w:lang w:val="en-US"/>
        </w:rPr>
        <w:t xml:space="preserve">.e. all current utilisation conditions including the indoor restriction could potentially be reconsidered. It would make sense to know details of a possible agreement between </w:t>
      </w:r>
      <w:r w:rsidR="002B10D7">
        <w:rPr>
          <w:rFonts w:cs="Arial"/>
          <w:lang w:val="en-US"/>
        </w:rPr>
        <w:t>G</w:t>
      </w:r>
      <w:r>
        <w:rPr>
          <w:rFonts w:cs="Arial"/>
          <w:lang w:val="en-US"/>
        </w:rPr>
        <w:t xml:space="preserve">lobalstar </w:t>
      </w:r>
      <w:r w:rsidR="002B10D7">
        <w:rPr>
          <w:rFonts w:cs="Arial"/>
          <w:lang w:val="en-US"/>
        </w:rPr>
        <w:t>on one hand and the regulators and proponents on the other hand.</w:t>
      </w:r>
    </w:p>
    <w:p w:rsidR="00AE673B" w:rsidRDefault="00AE673B" w:rsidP="00AE673B">
      <w:pPr>
        <w:spacing w:after="240"/>
        <w:rPr>
          <w:rFonts w:cs="Arial"/>
          <w:b/>
          <w:lang w:val="en-US"/>
        </w:rPr>
      </w:pPr>
      <w:r w:rsidRPr="00DE17D4">
        <w:rPr>
          <w:rFonts w:cs="Arial"/>
          <w:lang w:val="en-US"/>
        </w:rPr>
        <w:t>(</w:t>
      </w:r>
      <w:r w:rsidR="00E94D84" w:rsidRPr="00E94D84">
        <w:rPr>
          <w:rFonts w:cs="Arial"/>
          <w:b/>
          <w:lang w:val="en-US"/>
        </w:rPr>
        <w:t xml:space="preserve">For consideration </w:t>
      </w:r>
      <w:r w:rsidRPr="00E94D84">
        <w:rPr>
          <w:rFonts w:cs="Arial"/>
          <w:b/>
          <w:lang w:val="en-US"/>
        </w:rPr>
        <w:t xml:space="preserve">in </w:t>
      </w:r>
      <w:r w:rsidR="00E94D84" w:rsidRPr="00E94D84">
        <w:rPr>
          <w:rFonts w:cs="Arial"/>
          <w:b/>
          <w:lang w:val="en-US"/>
        </w:rPr>
        <w:t xml:space="preserve">CPG and </w:t>
      </w:r>
      <w:r w:rsidRPr="00E94D84">
        <w:rPr>
          <w:rFonts w:cs="Arial"/>
          <w:b/>
          <w:lang w:val="en-US"/>
        </w:rPr>
        <w:t>WG FM)</w:t>
      </w:r>
    </w:p>
    <w:p w:rsidR="00E94D84" w:rsidRDefault="00E94D84" w:rsidP="00E94D84">
      <w:pPr>
        <w:pStyle w:val="Heading1"/>
        <w:rPr>
          <w:rStyle w:val="ECCParagraph"/>
        </w:rPr>
      </w:pPr>
      <w:r w:rsidRPr="00E94D84">
        <w:rPr>
          <w:lang w:val="en-GB"/>
        </w:rPr>
        <w:t>FCC Moves to combat scam robocalls &amp; malicious Caller ID spoofing</w:t>
      </w:r>
    </w:p>
    <w:p w:rsidR="00E94D84" w:rsidRPr="00C3348A" w:rsidRDefault="00E94D84" w:rsidP="00E94D84">
      <w:pPr>
        <w:spacing w:after="0"/>
      </w:pPr>
      <w:r w:rsidRPr="00C3348A">
        <w:t xml:space="preserve">On Thursday 23 March 2017, the FCC voted to pass a rule proposal that could eventually let carriers block more unwanted calls. The FCC’s current rules prevent the proactive blocking of calls. The proposed new rules would permit carriers to block any robocaller that uses a number that has not been assigned to any customer or that has a non-existent area code. The proposal was established in collaboration with a “strike force” that included AT&amp;T, Apple, Google, and Comcast. </w:t>
      </w:r>
    </w:p>
    <w:p w:rsidR="00E94D84" w:rsidRPr="00C3348A" w:rsidRDefault="00E94D84" w:rsidP="00E94D84">
      <w:pPr>
        <w:spacing w:after="0"/>
      </w:pPr>
      <w:r w:rsidRPr="00C3348A">
        <w:t>“Robocalls are the number one consumer complaint to the FCC from members of the American public,” FCC chairman Ajit Pai said. “We aim to take an important first step in ending the scourge of illegal robocalls.”</w:t>
      </w:r>
    </w:p>
    <w:p w:rsidR="00E94D84" w:rsidRPr="00C3348A" w:rsidRDefault="00E94D84" w:rsidP="00E94D84">
      <w:pPr>
        <w:spacing w:after="0"/>
      </w:pPr>
      <w:r w:rsidRPr="00C3348A">
        <w:t>Robocalling when used in conjunction with C</w:t>
      </w:r>
      <w:r>
        <w:t xml:space="preserve">aller ID </w:t>
      </w:r>
      <w:r w:rsidRPr="00C3348A">
        <w:t xml:space="preserve">spoofing </w:t>
      </w:r>
      <w:r w:rsidR="00064E05">
        <w:t>(</w:t>
      </w:r>
      <w:r w:rsidR="00064E05" w:rsidRPr="00064E05">
        <w:rPr>
          <w:b/>
        </w:rPr>
        <w:t>Caller ID, also known as Calling Line Identification – CLI – in Europe</w:t>
      </w:r>
      <w:r w:rsidR="00064E05">
        <w:t xml:space="preserve">) </w:t>
      </w:r>
      <w:r w:rsidRPr="00C3348A">
        <w:t>is a serious threat to consumer protection. C</w:t>
      </w:r>
      <w:r>
        <w:t>aller ID</w:t>
      </w:r>
      <w:r w:rsidRPr="00C3348A">
        <w:t xml:space="preserve"> spoofing helps robocallers get around the Do Not Call registry, which allows people to block unwanted calls from telemarketers. Scammers also use spoofing to trick people into thinking a call is coming from the IRS, according to the FCC. This can lead to “vishing” where an unsuspecting caller may give out personal information or credit card details to the calling party. This is also a problem currently being experienced in many European countries.</w:t>
      </w:r>
    </w:p>
    <w:p w:rsidR="00E94D84" w:rsidRPr="00C3348A" w:rsidRDefault="00E94D84" w:rsidP="00E94D84">
      <w:pPr>
        <w:spacing w:after="0"/>
      </w:pPr>
      <w:r w:rsidRPr="00C3348A">
        <w:t>Once the proposal’s rules go into effect, carriers will have permission to block all calls from numbers that can’t possibly be valid, such as those that aren’t assigned to anyone or phone numbers that simply don’t exist (like “000-000-0000”). Mr. Pai added that “there is no reason why any legitimate caller should be spoofing an unassigned or invalid phone number. It’s just a way for scammers to evade the law.”</w:t>
      </w:r>
    </w:p>
    <w:p w:rsidR="00E94D84" w:rsidRPr="00C3348A" w:rsidRDefault="00E94D84" w:rsidP="00E94D84">
      <w:r w:rsidRPr="00C3348A">
        <w:lastRenderedPageBreak/>
        <w:t xml:space="preserve">If a robocaller decides to spoof another phone number — making it appear that they’re calling from a different line to hide their identity — phone providers would be able to block them if they use a number that clearly can’t exist because it hasn’t been assigned or that an existing subscriber has asked not to </w:t>
      </w:r>
      <w:r w:rsidR="00016D48">
        <w:t>be</w:t>
      </w:r>
      <w:r w:rsidR="00016D48" w:rsidRPr="00C3348A">
        <w:t xml:space="preserve"> </w:t>
      </w:r>
      <w:r w:rsidRPr="00C3348A">
        <w:t>spoofed.</w:t>
      </w:r>
    </w:p>
    <w:p w:rsidR="00E94D84" w:rsidRPr="00C3348A" w:rsidRDefault="00E94D84" w:rsidP="00E94D84">
      <w:pPr>
        <w:rPr>
          <w:lang w:val="en-US"/>
        </w:rPr>
      </w:pPr>
      <w:r w:rsidRPr="00C3348A">
        <w:t xml:space="preserve">The measure will now head into a public comment period, where phone companies and consumers can comment on the changes. In particular, the FCC is asking what it can do to better combat spoofed calls that begin in other countries and what it can do to minimise legitimate, legal calls from getting blocked by accident. </w:t>
      </w:r>
      <w:r w:rsidR="00016D48" w:rsidRPr="00C3348A">
        <w:t>There</w:t>
      </w:r>
      <w:r w:rsidR="00016D48">
        <w:t xml:space="preserve"> wi</w:t>
      </w:r>
      <w:r w:rsidR="00016D48" w:rsidRPr="00C3348A">
        <w:t xml:space="preserve">ll </w:t>
      </w:r>
      <w:r w:rsidRPr="00C3348A">
        <w:t>then be a final vote, likely later this year, on an amended version of the rules.</w:t>
      </w:r>
      <w:r w:rsidRPr="00C3348A">
        <w:rPr>
          <w:lang w:val="en-US"/>
        </w:rPr>
        <w:t xml:space="preserve"> </w:t>
      </w:r>
    </w:p>
    <w:p w:rsidR="00E94D84" w:rsidRPr="00C3348A" w:rsidRDefault="00E94D84" w:rsidP="00E94D84">
      <w:pPr>
        <w:rPr>
          <w:lang w:val="en-US"/>
        </w:rPr>
      </w:pPr>
      <w:r w:rsidRPr="00C3348A">
        <w:rPr>
          <w:lang w:val="en-US"/>
        </w:rPr>
        <w:t>This information is relevant to ECC WG NaN’S ongoing work on the role of E.164 numbers in facilitating international fraud.</w:t>
      </w:r>
    </w:p>
    <w:p w:rsidR="00E94D84" w:rsidRPr="00C3348A" w:rsidRDefault="00E94D84" w:rsidP="00E94D84">
      <w:pPr>
        <w:rPr>
          <w:lang w:val="en-US"/>
        </w:rPr>
      </w:pPr>
      <w:r w:rsidRPr="00C3348A">
        <w:rPr>
          <w:lang w:val="en-US"/>
        </w:rPr>
        <w:t xml:space="preserve">More information is available at: </w:t>
      </w:r>
      <w:hyperlink r:id="rId41" w:history="1">
        <w:r w:rsidRPr="00C3348A">
          <w:rPr>
            <w:color w:val="0000FF"/>
            <w:u w:val="single"/>
            <w:lang w:val="en-US"/>
          </w:rPr>
          <w:t>https://www.fcc.gov/document/fcc-moves-confront-scam-robocalls-malicious-spoofing</w:t>
        </w:r>
      </w:hyperlink>
      <w:r w:rsidRPr="00C3348A">
        <w:rPr>
          <w:lang w:val="en-US"/>
        </w:rPr>
        <w:t xml:space="preserve"> </w:t>
      </w:r>
      <w:r>
        <w:rPr>
          <w:lang w:val="en-US"/>
        </w:rPr>
        <w:t>.</w:t>
      </w:r>
    </w:p>
    <w:p w:rsidR="00E94D84" w:rsidRDefault="00E94D84" w:rsidP="00E94D84">
      <w:pPr>
        <w:spacing w:after="240"/>
        <w:rPr>
          <w:b/>
          <w:lang w:val="da-DK"/>
        </w:rPr>
      </w:pPr>
      <w:r w:rsidRPr="00E94D84">
        <w:rPr>
          <w:b/>
          <w:lang w:val="da-DK"/>
        </w:rPr>
        <w:t>(for information for WG NaN)</w:t>
      </w:r>
    </w:p>
    <w:p w:rsidR="00E94D84" w:rsidRDefault="00E94D84" w:rsidP="00E94D84">
      <w:pPr>
        <w:pStyle w:val="Heading1"/>
        <w:rPr>
          <w:rStyle w:val="ECCParagraph"/>
        </w:rPr>
      </w:pPr>
      <w:r w:rsidRPr="00E94D84">
        <w:rPr>
          <w:lang w:val="en-GB"/>
        </w:rPr>
        <w:t>FCC – Update to 800 MHz Band</w:t>
      </w:r>
    </w:p>
    <w:p w:rsidR="00E94D84" w:rsidRPr="00C3348A" w:rsidRDefault="00E94D84" w:rsidP="00E94D84">
      <w:pPr>
        <w:rPr>
          <w:rFonts w:cs="Arial"/>
        </w:rPr>
      </w:pPr>
      <w:r w:rsidRPr="00C3348A">
        <w:rPr>
          <w:rFonts w:cs="Arial"/>
        </w:rPr>
        <w:t>On March 23, 2017, the FCC took steps to reform certain outdated rules applicable to the 800 MHz cellular service band to facilitate the use of cellular spectrum for mobile broadband services such as long term evolution (LTE). Specific reforms adopted in this revision include:</w:t>
      </w:r>
    </w:p>
    <w:p w:rsidR="00E94D84" w:rsidRPr="00C3348A" w:rsidRDefault="00E94D84" w:rsidP="00E94D84">
      <w:pPr>
        <w:pStyle w:val="ECCBulletsLv1"/>
        <w:ind w:left="0" w:firstLine="0"/>
        <w:rPr>
          <w:rFonts w:cs="Arial"/>
        </w:rPr>
      </w:pPr>
      <w:r w:rsidRPr="00C3348A">
        <w:rPr>
          <w:rFonts w:cs="Arial"/>
        </w:rPr>
        <w:t>•</w:t>
      </w:r>
      <w:r w:rsidRPr="00C3348A">
        <w:rPr>
          <w:rFonts w:cs="Arial"/>
        </w:rPr>
        <w:tab/>
        <w:t>Power Reform: FCC will facilitate broadband technologies by changing its technical rules to permit cellular licensees to transmit the same amount of power across the spectrum band, whether they are deploying a legacy (narrow bandwidth) technology or modern (wider bandwidth) technology like LTE</w:t>
      </w:r>
      <w:r>
        <w:rPr>
          <w:rFonts w:cs="Arial"/>
        </w:rPr>
        <w:t>;</w:t>
      </w:r>
    </w:p>
    <w:p w:rsidR="00E94D84" w:rsidRPr="00C3348A" w:rsidRDefault="00E94D84" w:rsidP="00E94D84">
      <w:pPr>
        <w:pStyle w:val="ECCBulletsLv1"/>
        <w:ind w:left="0" w:firstLine="0"/>
        <w:rPr>
          <w:rFonts w:cs="Arial"/>
        </w:rPr>
      </w:pPr>
      <w:r w:rsidRPr="00C3348A">
        <w:rPr>
          <w:rFonts w:cs="Arial"/>
        </w:rPr>
        <w:t>•</w:t>
      </w:r>
      <w:r w:rsidRPr="00C3348A">
        <w:rPr>
          <w:rFonts w:cs="Arial"/>
        </w:rPr>
        <w:tab/>
        <w:t>Co-existence with Public Safety: FCC will continue to ensure co-existence of cellular and neighboring public safety systems by retaining cellular-specific interference resolution rules and procedures, and by engaging stakeholders via a public forum</w:t>
      </w:r>
      <w:r>
        <w:rPr>
          <w:rFonts w:cs="Arial"/>
        </w:rPr>
        <w:t>;</w:t>
      </w:r>
    </w:p>
    <w:p w:rsidR="00E94D84" w:rsidRPr="00C3348A" w:rsidRDefault="00E94D84" w:rsidP="00E94D84">
      <w:pPr>
        <w:pStyle w:val="ECCBulletsLv1"/>
        <w:ind w:left="0" w:firstLine="0"/>
        <w:rPr>
          <w:rFonts w:cs="Arial"/>
        </w:rPr>
      </w:pPr>
      <w:r w:rsidRPr="00C3348A">
        <w:rPr>
          <w:rFonts w:cs="Arial"/>
        </w:rPr>
        <w:t>•</w:t>
      </w:r>
      <w:r w:rsidRPr="00C3348A">
        <w:rPr>
          <w:rFonts w:cs="Arial"/>
        </w:rPr>
        <w:tab/>
        <w:t>Consistent Treatment with Similar Spectrum Bands: FCC will treat cellular spectrum consistently with other similar commercial wireless spectrum bands by conforming rules related to power measurement, out of band emissions, field strength, and discontinuance of operations</w:t>
      </w:r>
      <w:r>
        <w:rPr>
          <w:rFonts w:cs="Arial"/>
        </w:rPr>
        <w:t>;</w:t>
      </w:r>
    </w:p>
    <w:p w:rsidR="00E94D84" w:rsidRDefault="00E94D84" w:rsidP="00E94D84">
      <w:pPr>
        <w:pStyle w:val="ECCBulletsLv1"/>
        <w:ind w:left="0" w:firstLine="0"/>
        <w:rPr>
          <w:rFonts w:cs="Arial"/>
        </w:rPr>
      </w:pPr>
      <w:r w:rsidRPr="00C3348A">
        <w:rPr>
          <w:rFonts w:cs="Arial"/>
        </w:rPr>
        <w:t>•</w:t>
      </w:r>
      <w:r w:rsidRPr="00C3348A">
        <w:rPr>
          <w:rFonts w:cs="Arial"/>
        </w:rPr>
        <w:tab/>
        <w:t>Unnecessary rules/burdens: FCC will eliminate unnecessary rules and burdens related to application filings, domestic and international coordination, and comparative renewal.</w:t>
      </w:r>
    </w:p>
    <w:p w:rsidR="00E94D84" w:rsidRDefault="00E94D84" w:rsidP="00E94D84">
      <w:pPr>
        <w:ind w:left="567" w:hanging="141"/>
        <w:rPr>
          <w:rFonts w:cs="Arial"/>
        </w:rPr>
      </w:pPr>
    </w:p>
    <w:p w:rsidR="00E94D84" w:rsidRPr="00E94D84" w:rsidRDefault="00E94D84" w:rsidP="00E94D84">
      <w:pPr>
        <w:rPr>
          <w:rFonts w:cs="Arial"/>
          <w:b/>
        </w:rPr>
      </w:pPr>
      <w:r w:rsidRPr="00E94D84">
        <w:rPr>
          <w:rFonts w:cs="Arial"/>
          <w:b/>
        </w:rPr>
        <w:t>(for information for ECC PT1)</w:t>
      </w:r>
    </w:p>
    <w:p w:rsidR="00E94D84" w:rsidRDefault="00E94D84" w:rsidP="00E94D84">
      <w:pPr>
        <w:pStyle w:val="Heading1"/>
        <w:rPr>
          <w:rStyle w:val="ECCParagraph"/>
        </w:rPr>
      </w:pPr>
      <w:r w:rsidRPr="00E94D84">
        <w:rPr>
          <w:lang w:val="en-GB"/>
        </w:rPr>
        <w:t>FCC – Guidance on Antennas (Part 15 ‘SRD’ equipment)</w:t>
      </w:r>
    </w:p>
    <w:p w:rsidR="00E94D84" w:rsidRPr="005D02D5" w:rsidRDefault="00E94D84" w:rsidP="00E94D84">
      <w:pPr>
        <w:spacing w:before="100" w:beforeAutospacing="1" w:after="100" w:afterAutospacing="1" w:line="360" w:lineRule="auto"/>
        <w:jc w:val="left"/>
        <w:rPr>
          <w:rFonts w:cs="Arial"/>
        </w:rPr>
      </w:pPr>
      <w:r w:rsidRPr="005D02D5">
        <w:rPr>
          <w:rFonts w:cs="Arial"/>
        </w:rPr>
        <w:t>On April 4, 2017, the FCC issued</w:t>
      </w:r>
      <w:r w:rsidRPr="005D02D5">
        <w:rPr>
          <w:rFonts w:ascii="Helvetica" w:hAnsi="Helvetica"/>
          <w:color w:val="505050"/>
          <w:sz w:val="21"/>
          <w:szCs w:val="21"/>
          <w:lang w:val="en-US" w:eastAsia="da-DK"/>
        </w:rPr>
        <w:t xml:space="preserve"> </w:t>
      </w:r>
      <w:hyperlink r:id="rId42" w:tgtFrame="_blank" w:history="1">
        <w:r w:rsidRPr="00E94D84">
          <w:rPr>
            <w:rStyle w:val="Hyperlink"/>
          </w:rPr>
          <w:t>353028 D01 Antennas Part 15 Transmitters v01</w:t>
        </w:r>
      </w:hyperlink>
      <w:r w:rsidRPr="005D02D5">
        <w:rPr>
          <w:rFonts w:ascii="Helvetica" w:hAnsi="Helvetica"/>
          <w:color w:val="505050"/>
          <w:sz w:val="21"/>
          <w:szCs w:val="21"/>
          <w:lang w:val="en-US" w:eastAsia="da-DK"/>
        </w:rPr>
        <w:t xml:space="preserve"> </w:t>
      </w:r>
      <w:r w:rsidRPr="005D02D5">
        <w:rPr>
          <w:rFonts w:cs="Arial"/>
        </w:rPr>
        <w:t>summari</w:t>
      </w:r>
      <w:r>
        <w:rPr>
          <w:rFonts w:cs="Arial"/>
        </w:rPr>
        <w:t>s</w:t>
      </w:r>
      <w:r w:rsidRPr="005D02D5">
        <w:rPr>
          <w:rFonts w:cs="Arial"/>
        </w:rPr>
        <w:t>ing the equipment authori</w:t>
      </w:r>
      <w:r>
        <w:rPr>
          <w:rFonts w:cs="Arial"/>
        </w:rPr>
        <w:t>s</w:t>
      </w:r>
      <w:r w:rsidRPr="005D02D5">
        <w:rPr>
          <w:rFonts w:cs="Arial"/>
        </w:rPr>
        <w:t>ation policies and rules for antennas used with Part 15 intentional radiator (transmitter) devices.</w:t>
      </w:r>
    </w:p>
    <w:p w:rsidR="00E94D84" w:rsidRDefault="00E94D84" w:rsidP="00E94D84">
      <w:pPr>
        <w:spacing w:after="240"/>
        <w:rPr>
          <w:rFonts w:cs="Arial"/>
          <w:b/>
          <w:lang w:val="en-US"/>
        </w:rPr>
      </w:pPr>
      <w:r w:rsidRPr="00E94D84">
        <w:rPr>
          <w:rFonts w:cs="Arial"/>
          <w:b/>
          <w:lang w:val="en-US"/>
        </w:rPr>
        <w:t>(for information: SRD/MG and SE24)</w:t>
      </w:r>
    </w:p>
    <w:p w:rsidR="00E94D84" w:rsidRDefault="00E94D84" w:rsidP="00E94D84">
      <w:pPr>
        <w:pStyle w:val="Heading1"/>
        <w:rPr>
          <w:rStyle w:val="ECCParagraph"/>
        </w:rPr>
      </w:pPr>
      <w:r w:rsidRPr="00E94D84">
        <w:rPr>
          <w:lang w:val="en-GB"/>
        </w:rPr>
        <w:lastRenderedPageBreak/>
        <w:t>FCC – Change of Part 95 rules (wireless devices that are used by the general public but not included in Part 15)</w:t>
      </w:r>
    </w:p>
    <w:p w:rsidR="00E94D84" w:rsidRDefault="00016D48" w:rsidP="00E94D84">
      <w:pPr>
        <w:rPr>
          <w:rFonts w:cs="Arial"/>
          <w:u w:val="single"/>
        </w:rPr>
      </w:pPr>
      <w:r w:rsidRPr="00A73530">
        <w:rPr>
          <w:rFonts w:ascii="Calibri" w:hAnsi="Calibri"/>
          <w:lang w:val="en-US"/>
        </w:rPr>
        <w:object w:dxaOrig="1530" w:dyaOrig="990">
          <v:shape id="_x0000_i1027" type="#_x0000_t75" style="width:76.1pt;height:49.6pt" o:ole="">
            <v:imagedata r:id="rId43" o:title=""/>
          </v:shape>
          <o:OLEObject Type="Embed" ProgID="AcroExch.Document.DC" ShapeID="_x0000_i1027" DrawAspect="Icon" ObjectID="_1559477186" r:id="rId44"/>
        </w:object>
      </w:r>
      <w:r w:rsidR="00E94D84">
        <w:rPr>
          <w:rFonts w:ascii="Calibri" w:hAnsi="Calibri"/>
          <w:lang w:val="en-US"/>
        </w:rPr>
        <w:t xml:space="preserve">May 19, </w:t>
      </w:r>
      <w:proofErr w:type="gramStart"/>
      <w:r w:rsidR="00E94D84">
        <w:rPr>
          <w:rFonts w:ascii="Calibri" w:hAnsi="Calibri"/>
          <w:lang w:val="en-US"/>
        </w:rPr>
        <w:t>2017  -</w:t>
      </w:r>
      <w:proofErr w:type="gramEnd"/>
      <w:r w:rsidR="00E94D84">
        <w:rPr>
          <w:rFonts w:ascii="Calibri" w:hAnsi="Calibri"/>
          <w:lang w:val="en-US"/>
        </w:rPr>
        <w:t xml:space="preserve"> Report and Order</w:t>
      </w:r>
    </w:p>
    <w:p w:rsidR="00E94D84" w:rsidRDefault="00E94D84" w:rsidP="00E94D84">
      <w:pPr>
        <w:rPr>
          <w:rFonts w:cs="Arial"/>
          <w:u w:val="single"/>
        </w:rPr>
      </w:pPr>
    </w:p>
    <w:p w:rsidR="00E94D84" w:rsidRPr="00A73530" w:rsidRDefault="00E94D84" w:rsidP="00E94D84">
      <w:pPr>
        <w:rPr>
          <w:rFonts w:cs="Arial"/>
        </w:rPr>
      </w:pPr>
      <w:r w:rsidRPr="00A73530">
        <w:rPr>
          <w:rFonts w:cs="Arial"/>
        </w:rPr>
        <w:t xml:space="preserve">This Report and Order is a major re-write of the Part 95 Rules. According to the FCC, the rules are being overhauled "to modernise them, remove outdated requirements, and reorganise them to make it easier to find information. In re-writing the rules, the commission hopes to make them "consistent, clear and concise". </w:t>
      </w:r>
    </w:p>
    <w:p w:rsidR="00E94D84" w:rsidRPr="00A73530" w:rsidRDefault="00E94D84" w:rsidP="00E94D84">
      <w:pPr>
        <w:rPr>
          <w:rFonts w:cs="Arial"/>
        </w:rPr>
      </w:pPr>
      <w:r w:rsidRPr="00A73530">
        <w:rPr>
          <w:rFonts w:cs="Arial"/>
        </w:rPr>
        <w:t>Here is a summary of key changes to those services</w:t>
      </w:r>
      <w:r>
        <w:rPr>
          <w:rFonts w:cs="Arial"/>
        </w:rPr>
        <w:t>:</w:t>
      </w:r>
      <w:r w:rsidRPr="00A73530">
        <w:rPr>
          <w:rFonts w:cs="Arial"/>
        </w:rPr>
        <w:t xml:space="preserve"> </w:t>
      </w:r>
    </w:p>
    <w:p w:rsidR="00E94D84" w:rsidRPr="005D02D5" w:rsidRDefault="00E94D84" w:rsidP="00E94D84">
      <w:pPr>
        <w:rPr>
          <w:rFonts w:cs="Arial"/>
          <w:u w:val="single"/>
        </w:rPr>
      </w:pPr>
      <w:r w:rsidRPr="005D02D5">
        <w:rPr>
          <w:rFonts w:cs="Arial"/>
          <w:u w:val="single"/>
        </w:rPr>
        <w:t xml:space="preserve">Family Radio Service (FRS) </w:t>
      </w:r>
    </w:p>
    <w:p w:rsidR="00E94D84" w:rsidRPr="00A73530" w:rsidRDefault="00E94D84" w:rsidP="00E94D84">
      <w:pPr>
        <w:rPr>
          <w:rFonts w:cs="Arial"/>
        </w:rPr>
      </w:pPr>
      <w:r w:rsidRPr="00A73530">
        <w:rPr>
          <w:rFonts w:cs="Arial"/>
        </w:rPr>
        <w:t xml:space="preserve">FRS would now have more, i.e. 22 channels. All 22 channels that today's combination FRS/GMRS radios use will become part of FRS. All FRS channels are also allotted to the GMRS channels on a shared basis. </w:t>
      </w:r>
    </w:p>
    <w:p w:rsidR="00E94D84" w:rsidRPr="00A73530" w:rsidRDefault="00E94D84" w:rsidP="00E94D84">
      <w:pPr>
        <w:rPr>
          <w:rFonts w:cs="Arial"/>
        </w:rPr>
      </w:pPr>
      <w:r w:rsidRPr="00A73530">
        <w:rPr>
          <w:rFonts w:cs="Arial"/>
        </w:rPr>
        <w:t xml:space="preserve">FRS would now have higher power. Previously, FRS was limited to 500 mW to 1 W. The new rules allow FRS radios to transmit at up to 2 W. According to the FCC's new rules, "Each FRS transmitter type must be designed such that the effective radiated power (ERP) on channels 8 through 14 does not exceed 0.5 Watts and the ERP on channels 1 through 7 and 15 through 22 does not exceed 2 Watts." </w:t>
      </w:r>
    </w:p>
    <w:p w:rsidR="00E94D84" w:rsidRPr="00A73530" w:rsidRDefault="00E94D84" w:rsidP="00E94D84">
      <w:pPr>
        <w:rPr>
          <w:rFonts w:cs="Arial"/>
        </w:rPr>
      </w:pPr>
      <w:r w:rsidRPr="00A73530">
        <w:rPr>
          <w:rFonts w:cs="Arial"/>
        </w:rPr>
        <w:t>FRS radios may transmit digital data</w:t>
      </w:r>
      <w:r>
        <w:rPr>
          <w:rFonts w:cs="Arial"/>
        </w:rPr>
        <w:t xml:space="preserve">. </w:t>
      </w:r>
      <w:r w:rsidRPr="00A73530">
        <w:rPr>
          <w:rFonts w:cs="Arial"/>
        </w:rPr>
        <w:t xml:space="preserve">Previously, FRS transmissions were limited to voice conversations. Now, these units may also transmit and receive digital data as well. This includes location information or brief text messages to and from other FRS or GMRS stations. The FCC states "Digital data transmissions must be initiated by a manual action of the operator, except that a FRS unit receiving an interrogation request may automatically respond with its location." </w:t>
      </w:r>
    </w:p>
    <w:p w:rsidR="00E94D84" w:rsidRPr="00A73530" w:rsidRDefault="00E94D84" w:rsidP="00E94D84">
      <w:pPr>
        <w:rPr>
          <w:rFonts w:cs="Arial"/>
        </w:rPr>
      </w:pPr>
      <w:r w:rsidRPr="00A73530">
        <w:rPr>
          <w:rFonts w:cs="Arial"/>
        </w:rPr>
        <w:t xml:space="preserve">FRS will be allowed to be combined with Part 15 devices. This would permit combination with technologies such as Wi-Fi and Bluetooth. </w:t>
      </w:r>
    </w:p>
    <w:p w:rsidR="00E94D84" w:rsidRPr="00A73530" w:rsidRDefault="00E94D84" w:rsidP="00E94D84">
      <w:pPr>
        <w:rPr>
          <w:rFonts w:cs="Arial"/>
        </w:rPr>
      </w:pPr>
      <w:r w:rsidRPr="00A73530">
        <w:rPr>
          <w:rFonts w:cs="Arial"/>
        </w:rPr>
        <w:t xml:space="preserve">Both individuals and businesses now seem to </w:t>
      </w:r>
      <w:r w:rsidR="00CC774C">
        <w:rPr>
          <w:rFonts w:cs="Arial"/>
        </w:rPr>
        <w:t xml:space="preserve">be </w:t>
      </w:r>
      <w:r w:rsidRPr="00A73530">
        <w:rPr>
          <w:rFonts w:cs="Arial"/>
        </w:rPr>
        <w:t xml:space="preserve">explicitly authorized for use (license-exempt use) on the FRS. </w:t>
      </w:r>
    </w:p>
    <w:p w:rsidR="00E94D84" w:rsidRPr="005D02D5" w:rsidRDefault="00E94D84" w:rsidP="00E94D84">
      <w:pPr>
        <w:rPr>
          <w:rFonts w:cs="Arial"/>
          <w:u w:val="single"/>
        </w:rPr>
      </w:pPr>
      <w:r w:rsidRPr="005D02D5">
        <w:rPr>
          <w:rFonts w:cs="Arial"/>
          <w:u w:val="single"/>
        </w:rPr>
        <w:t xml:space="preserve">General Mobile Radio Service (GMRS) </w:t>
      </w:r>
    </w:p>
    <w:p w:rsidR="00E94D84" w:rsidRPr="00A73530" w:rsidRDefault="00E94D84" w:rsidP="00E94D84">
      <w:pPr>
        <w:rPr>
          <w:rFonts w:cs="Arial"/>
        </w:rPr>
      </w:pPr>
      <w:r w:rsidRPr="00A73530">
        <w:rPr>
          <w:rFonts w:cs="Arial"/>
        </w:rPr>
        <w:t xml:space="preserve">GMRS would have 30 channels. The GMRS is allotted 30 total channels consisting of 16 main channels and 14 interstitial channels. The GMRS operators may use their GMRS station for two-way plain language voice communications with other GMRS stations and with FRS units for personal or business activities. </w:t>
      </w:r>
    </w:p>
    <w:p w:rsidR="00E94D84" w:rsidRPr="00A73530" w:rsidRDefault="00E94D84" w:rsidP="00E94D84">
      <w:pPr>
        <w:rPr>
          <w:rFonts w:cs="Arial"/>
        </w:rPr>
      </w:pPr>
      <w:r w:rsidRPr="00A73530">
        <w:rPr>
          <w:rFonts w:cs="Arial"/>
        </w:rPr>
        <w:t xml:space="preserve">GMRS can still be used with repeaters. The rules allow for use of GMRS with repeaters on specified channels. GMRS repeater, base and fixed stations may be operated by remote control. </w:t>
      </w:r>
    </w:p>
    <w:p w:rsidR="00E94D84" w:rsidRPr="00A73530" w:rsidRDefault="00E94D84" w:rsidP="00E94D84">
      <w:pPr>
        <w:rPr>
          <w:rFonts w:cs="Arial"/>
        </w:rPr>
      </w:pPr>
      <w:r w:rsidRPr="00A73530">
        <w:rPr>
          <w:rFonts w:cs="Arial"/>
        </w:rPr>
        <w:t xml:space="preserve">GMRS radios may transmit digital data. As with FRS, digital location information, requests for location information, and brief text messages to another specific unit is now allowed to be transmitted over GMRS. Previously this was allowed to Garmin through a special waiver. </w:t>
      </w:r>
    </w:p>
    <w:p w:rsidR="00E94D84" w:rsidRPr="00A73530" w:rsidRDefault="00E94D84" w:rsidP="00E94D84">
      <w:pPr>
        <w:rPr>
          <w:rFonts w:cs="Arial"/>
        </w:rPr>
      </w:pPr>
      <w:r w:rsidRPr="00A73530">
        <w:rPr>
          <w:rFonts w:cs="Arial"/>
        </w:rPr>
        <w:t xml:space="preserve">GMRS still requires a </w:t>
      </w:r>
      <w:r w:rsidR="00CC774C" w:rsidRPr="00A73530">
        <w:rPr>
          <w:rFonts w:cs="Arial"/>
        </w:rPr>
        <w:t>licen</w:t>
      </w:r>
      <w:r w:rsidR="00CC774C">
        <w:rPr>
          <w:rFonts w:cs="Arial"/>
        </w:rPr>
        <w:t>c</w:t>
      </w:r>
      <w:r w:rsidR="00CC774C" w:rsidRPr="00A73530">
        <w:rPr>
          <w:rFonts w:cs="Arial"/>
        </w:rPr>
        <w:t xml:space="preserve">e </w:t>
      </w:r>
      <w:r w:rsidRPr="00A73530">
        <w:rPr>
          <w:rFonts w:cs="Arial"/>
        </w:rPr>
        <w:t xml:space="preserve">but for a longer term. Previously, a GMRS </w:t>
      </w:r>
      <w:r w:rsidR="00CC774C" w:rsidRPr="00A73530">
        <w:rPr>
          <w:rFonts w:cs="Arial"/>
        </w:rPr>
        <w:t>licen</w:t>
      </w:r>
      <w:r w:rsidR="00CC774C">
        <w:rPr>
          <w:rFonts w:cs="Arial"/>
        </w:rPr>
        <w:t>c</w:t>
      </w:r>
      <w:r w:rsidR="00CC774C" w:rsidRPr="00A73530">
        <w:rPr>
          <w:rFonts w:cs="Arial"/>
        </w:rPr>
        <w:t xml:space="preserve">e </w:t>
      </w:r>
      <w:r w:rsidRPr="00A73530">
        <w:rPr>
          <w:rFonts w:cs="Arial"/>
        </w:rPr>
        <w:t xml:space="preserve">was valid for 5 years. </w:t>
      </w:r>
      <w:r w:rsidR="00CC774C" w:rsidRPr="00A73530">
        <w:rPr>
          <w:rFonts w:cs="Arial"/>
        </w:rPr>
        <w:t>Licen</w:t>
      </w:r>
      <w:r w:rsidR="00CC774C">
        <w:rPr>
          <w:rFonts w:cs="Arial"/>
        </w:rPr>
        <w:t>c</w:t>
      </w:r>
      <w:r w:rsidR="00CC774C" w:rsidRPr="00A73530">
        <w:rPr>
          <w:rFonts w:cs="Arial"/>
        </w:rPr>
        <w:t xml:space="preserve">es </w:t>
      </w:r>
      <w:r w:rsidRPr="00A73530">
        <w:rPr>
          <w:rFonts w:cs="Arial"/>
        </w:rPr>
        <w:t xml:space="preserve">are now valid for 10 years. As for current FRS/GMRS radios, If it transmits above 2 watts, it's a GMRS radio and needs a </w:t>
      </w:r>
      <w:r w:rsidR="00CC774C" w:rsidRPr="00A73530">
        <w:rPr>
          <w:rFonts w:cs="Arial"/>
        </w:rPr>
        <w:t>licen</w:t>
      </w:r>
      <w:r w:rsidR="00CC774C">
        <w:rPr>
          <w:rFonts w:cs="Arial"/>
        </w:rPr>
        <w:t>c</w:t>
      </w:r>
      <w:r w:rsidR="00CC774C" w:rsidRPr="00A73530">
        <w:rPr>
          <w:rFonts w:cs="Arial"/>
        </w:rPr>
        <w:t>e</w:t>
      </w:r>
      <w:r w:rsidRPr="00A73530">
        <w:rPr>
          <w:rFonts w:cs="Arial"/>
        </w:rPr>
        <w:t xml:space="preserve">. Current repeater capable FRS/GMRS radios will be classified as GMRS and require a </w:t>
      </w:r>
      <w:r w:rsidR="00CC774C" w:rsidRPr="00A73530">
        <w:rPr>
          <w:rFonts w:cs="Arial"/>
        </w:rPr>
        <w:t>licen</w:t>
      </w:r>
      <w:r w:rsidR="00CC774C">
        <w:rPr>
          <w:rFonts w:cs="Arial"/>
        </w:rPr>
        <w:t>c</w:t>
      </w:r>
      <w:r w:rsidR="00CC774C" w:rsidRPr="00A73530">
        <w:rPr>
          <w:rFonts w:cs="Arial"/>
        </w:rPr>
        <w:t>e</w:t>
      </w:r>
      <w:r w:rsidRPr="00A73530">
        <w:rPr>
          <w:rFonts w:cs="Arial"/>
        </w:rPr>
        <w:t xml:space="preserve">. A </w:t>
      </w:r>
      <w:r w:rsidR="00CC774C" w:rsidRPr="00A73530">
        <w:rPr>
          <w:rFonts w:cs="Arial"/>
        </w:rPr>
        <w:t>licen</w:t>
      </w:r>
      <w:r w:rsidR="00CC774C">
        <w:rPr>
          <w:rFonts w:cs="Arial"/>
        </w:rPr>
        <w:t>c</w:t>
      </w:r>
      <w:r w:rsidR="00CC774C" w:rsidRPr="00A73530">
        <w:rPr>
          <w:rFonts w:cs="Arial"/>
        </w:rPr>
        <w:t xml:space="preserve">e </w:t>
      </w:r>
      <w:r w:rsidRPr="00A73530">
        <w:rPr>
          <w:rFonts w:cs="Arial"/>
        </w:rPr>
        <w:t xml:space="preserve">is still issued for use by individuals and their immediate families. Immediate family members are the licensee's spouse, children, grandchildren, stepchildren, parents, grandparents, stepparents, brothers, sisters, aunts, uncles, nieces, nephews and in-laws. Non-individuals are grandfathered in. </w:t>
      </w:r>
    </w:p>
    <w:p w:rsidR="00E94D84" w:rsidRPr="005D02D5" w:rsidRDefault="00E94D84" w:rsidP="00E94D84">
      <w:pPr>
        <w:rPr>
          <w:rFonts w:cs="Arial"/>
          <w:u w:val="single"/>
        </w:rPr>
      </w:pPr>
      <w:r w:rsidRPr="005D02D5">
        <w:rPr>
          <w:rFonts w:cs="Arial"/>
          <w:u w:val="single"/>
        </w:rPr>
        <w:lastRenderedPageBreak/>
        <w:t xml:space="preserve">Citizen's Band Radio Service (CBRS) </w:t>
      </w:r>
    </w:p>
    <w:p w:rsidR="00E94D84" w:rsidRPr="00A73530" w:rsidRDefault="00E94D84" w:rsidP="00E94D84">
      <w:pPr>
        <w:rPr>
          <w:rFonts w:cs="Arial"/>
        </w:rPr>
      </w:pPr>
      <w:r w:rsidRPr="00A73530">
        <w:rPr>
          <w:rFonts w:cs="Arial"/>
        </w:rPr>
        <w:t xml:space="preserve">"Citizens Band Radio Service" would be officially named "CB Radio Service". Cordless microphones are allowed on CB. The restriction of long-range communications for CB has been eliminated, however the power limit was not increased. The CB serial number </w:t>
      </w:r>
      <w:r w:rsidR="00CC774C">
        <w:rPr>
          <w:rFonts w:cs="Arial"/>
        </w:rPr>
        <w:t xml:space="preserve">is </w:t>
      </w:r>
      <w:r w:rsidRPr="00A73530">
        <w:rPr>
          <w:rFonts w:cs="Arial"/>
        </w:rPr>
        <w:t xml:space="preserve">no longer required to be engraved into the transmitter chassis. Manufacturers are no longer required to include the FCC rules with CB radios. </w:t>
      </w:r>
    </w:p>
    <w:p w:rsidR="00E94D84" w:rsidRDefault="00E94D84" w:rsidP="00E94D84">
      <w:pPr>
        <w:rPr>
          <w:rFonts w:cs="Arial"/>
          <w:u w:val="single"/>
        </w:rPr>
      </w:pPr>
      <w:r w:rsidRPr="005D02D5">
        <w:rPr>
          <w:rFonts w:cs="Arial"/>
          <w:u w:val="single"/>
        </w:rPr>
        <w:t>Other notable changes affecting all of these services</w:t>
      </w:r>
      <w:r>
        <w:rPr>
          <w:rFonts w:cs="Arial"/>
          <w:u w:val="single"/>
        </w:rPr>
        <w:t>:</w:t>
      </w:r>
      <w:r w:rsidRPr="005D02D5">
        <w:rPr>
          <w:rFonts w:cs="Arial"/>
          <w:u w:val="single"/>
        </w:rPr>
        <w:t xml:space="preserve"> </w:t>
      </w:r>
    </w:p>
    <w:p w:rsidR="00E94D84" w:rsidRPr="00A73530" w:rsidRDefault="00E94D84" w:rsidP="00E94D84">
      <w:pPr>
        <w:pStyle w:val="ECCBulletsLv1"/>
        <w:ind w:left="0" w:firstLine="0"/>
        <w:rPr>
          <w:rFonts w:cs="Arial"/>
        </w:rPr>
      </w:pPr>
      <w:r w:rsidRPr="00A73530">
        <w:rPr>
          <w:rFonts w:cs="Arial"/>
        </w:rPr>
        <w:t>•Voice obscuring features would be prohibited across the entire PRS</w:t>
      </w:r>
      <w:r>
        <w:rPr>
          <w:rFonts w:cs="Arial"/>
        </w:rPr>
        <w:t>;</w:t>
      </w:r>
    </w:p>
    <w:p w:rsidR="00E94D84" w:rsidRPr="00A73530" w:rsidRDefault="00E94D84" w:rsidP="00E94D84">
      <w:pPr>
        <w:pStyle w:val="ECCBulletsLv1"/>
        <w:ind w:left="0" w:firstLine="0"/>
        <w:rPr>
          <w:rFonts w:cs="Arial"/>
        </w:rPr>
      </w:pPr>
      <w:r w:rsidRPr="00A73530">
        <w:rPr>
          <w:rFonts w:cs="Arial"/>
        </w:rPr>
        <w:t>•Continued use of existing radios that include scrambling features are not prohibited</w:t>
      </w:r>
      <w:r>
        <w:rPr>
          <w:rFonts w:cs="Arial"/>
        </w:rPr>
        <w:t>;</w:t>
      </w:r>
    </w:p>
    <w:p w:rsidR="00E94D84" w:rsidRPr="00A73530" w:rsidRDefault="00E94D84" w:rsidP="00E94D84">
      <w:pPr>
        <w:pStyle w:val="ECCBulletsLv1"/>
        <w:ind w:left="0" w:firstLine="0"/>
        <w:rPr>
          <w:rFonts w:cs="Arial"/>
        </w:rPr>
      </w:pPr>
      <w:r w:rsidRPr="00A73530">
        <w:rPr>
          <w:rFonts w:cs="Arial"/>
        </w:rPr>
        <w:t>•18 months after adoption, no person shall be permitted to manufacture, import, sell, or offer for sale any equipment that incorporates voice scrambling or obscuring for any of the PRS regardless of previous certification</w:t>
      </w:r>
      <w:r>
        <w:rPr>
          <w:rFonts w:cs="Arial"/>
        </w:rPr>
        <w:t>;</w:t>
      </w:r>
    </w:p>
    <w:p w:rsidR="00E94D84" w:rsidRPr="00A73530" w:rsidRDefault="00E94D84" w:rsidP="00E94D84">
      <w:pPr>
        <w:pStyle w:val="ECCBulletsLv1"/>
        <w:ind w:left="0" w:firstLine="0"/>
        <w:rPr>
          <w:rFonts w:cs="Arial"/>
        </w:rPr>
      </w:pPr>
      <w:r w:rsidRPr="00A73530">
        <w:rPr>
          <w:rFonts w:cs="Arial"/>
        </w:rPr>
        <w:t>•Radios combining multiple services will no longer be approved. This includes FRS and GMRS (although GMRS is compatible with FRS)</w:t>
      </w:r>
      <w:r>
        <w:rPr>
          <w:rFonts w:cs="Arial"/>
        </w:rPr>
        <w:t>;</w:t>
      </w:r>
    </w:p>
    <w:p w:rsidR="00E94D84" w:rsidRDefault="00E94D84" w:rsidP="00E94D84">
      <w:pPr>
        <w:ind w:left="1276" w:hanging="1276"/>
        <w:rPr>
          <w:rFonts w:cs="Arial"/>
        </w:rPr>
      </w:pPr>
      <w:r w:rsidRPr="00A73530">
        <w:rPr>
          <w:rFonts w:cs="Arial"/>
        </w:rPr>
        <w:t>Note: Th</w:t>
      </w:r>
      <w:r>
        <w:rPr>
          <w:rFonts w:cs="Arial"/>
        </w:rPr>
        <w:t>is is now in the rulemaking process, the new rulemaking is not finalised.</w:t>
      </w:r>
    </w:p>
    <w:p w:rsidR="00E94D84" w:rsidRDefault="00E94D84" w:rsidP="00E94D84">
      <w:pPr>
        <w:rPr>
          <w:rFonts w:cs="Arial"/>
        </w:rPr>
      </w:pPr>
      <w:r>
        <w:rPr>
          <w:rFonts w:cs="Arial"/>
        </w:rPr>
        <w:t>Part 95 also includes other applications such as MBANS or PLB, but no obvious change seems to be proposed.</w:t>
      </w:r>
    </w:p>
    <w:p w:rsidR="00E94D84" w:rsidRPr="00E94D84" w:rsidRDefault="00E94D84" w:rsidP="00E94D84">
      <w:pPr>
        <w:spacing w:after="240"/>
        <w:rPr>
          <w:rFonts w:cs="Arial"/>
          <w:b/>
        </w:rPr>
      </w:pPr>
      <w:r w:rsidRPr="00E94D84">
        <w:rPr>
          <w:rFonts w:cs="Arial"/>
          <w:b/>
          <w:lang w:val="en-US"/>
        </w:rPr>
        <w:t>(for information: SRD/MG and FM54)</w:t>
      </w:r>
    </w:p>
    <w:p w:rsidR="00E94D84" w:rsidRDefault="00E94D84" w:rsidP="00E94D84">
      <w:pPr>
        <w:pStyle w:val="Heading1"/>
        <w:rPr>
          <w:rStyle w:val="ECCParagraph"/>
        </w:rPr>
      </w:pPr>
      <w:r w:rsidRPr="00E94D84">
        <w:rPr>
          <w:lang w:val="en-GB"/>
        </w:rPr>
        <w:t>FCC – Cut-off established for additional NGSO satellite applications in the 12.75-13.25 GHz, 13.85-14.0 GHz, 18.6-18.8 GHz, 19.3-20.2 GHz, and 29.1-29.5 GHz bands</w:t>
      </w:r>
    </w:p>
    <w:p w:rsidR="00E94D84" w:rsidRDefault="00E94D84" w:rsidP="00E94D84">
      <w:pPr>
        <w:rPr>
          <w:rFonts w:cs="Arial"/>
        </w:rPr>
      </w:pPr>
      <w:r w:rsidRPr="00273ECA">
        <w:rPr>
          <w:rFonts w:cs="Arial"/>
        </w:rPr>
        <w:t xml:space="preserve">Applications for NGSO satellites are reviewed in groups for a given frequency band. The review process starts when someone files an application to use spectrum. At this point, the FCC </w:t>
      </w:r>
      <w:r>
        <w:rPr>
          <w:rFonts w:cs="Arial"/>
        </w:rPr>
        <w:t xml:space="preserve">issued </w:t>
      </w:r>
      <w:r w:rsidRPr="00273ECA">
        <w:rPr>
          <w:rFonts w:cs="Arial"/>
        </w:rPr>
        <w:t>a public notice</w:t>
      </w:r>
      <w:r>
        <w:rPr>
          <w:rFonts w:cs="Arial"/>
        </w:rPr>
        <w:t xml:space="preserve"> </w:t>
      </w:r>
      <w:r w:rsidRPr="00273ECA">
        <w:rPr>
          <w:rFonts w:cs="Arial"/>
        </w:rPr>
        <w:t>inviting comment and establishing a cut-off date for additional applications to be considered together with the lead application.</w:t>
      </w:r>
      <w:r>
        <w:rPr>
          <w:rFonts w:cs="Arial"/>
        </w:rPr>
        <w:t xml:space="preserve"> </w:t>
      </w:r>
      <w:r w:rsidRPr="007E5F6B">
        <w:rPr>
          <w:rFonts w:cs="Arial"/>
        </w:rPr>
        <w:t>Once the cut</w:t>
      </w:r>
      <w:r>
        <w:rPr>
          <w:rFonts w:cs="Arial"/>
        </w:rPr>
        <w:t>-</w:t>
      </w:r>
      <w:r w:rsidRPr="007E5F6B">
        <w:rPr>
          <w:rFonts w:cs="Arial"/>
        </w:rPr>
        <w:t>off date passes and all applications are reviewed, the FCC dismisses unacceptable applications such as when the application does not demonstrate that the applicant is qualified to operate a satellite system. After the short list of successful applications is complete, the spectrum is divided equally among those applicants.</w:t>
      </w:r>
      <w:r>
        <w:rPr>
          <w:rFonts w:cs="Arial"/>
        </w:rPr>
        <w:t xml:space="preserve"> On 26 May 2017, the FCC published </w:t>
      </w:r>
      <w:r w:rsidR="00AF4545">
        <w:rPr>
          <w:rFonts w:cs="Arial"/>
        </w:rPr>
        <w:t xml:space="preserve">a further </w:t>
      </w:r>
      <w:r>
        <w:rPr>
          <w:rFonts w:cs="Arial"/>
        </w:rPr>
        <w:t>list of systems accepted for filing.</w:t>
      </w:r>
    </w:p>
    <w:p w:rsidR="00AF4545" w:rsidRDefault="00AF4545" w:rsidP="00E94D84">
      <w:pPr>
        <w:rPr>
          <w:rFonts w:cs="Arial"/>
        </w:rPr>
      </w:pPr>
      <w:r>
        <w:rPr>
          <w:rFonts w:cs="Arial"/>
        </w:rPr>
        <w:t>In detail:</w:t>
      </w:r>
    </w:p>
    <w:p w:rsidR="00AF4545" w:rsidRDefault="00AF4545" w:rsidP="00E94D84">
      <w:pPr>
        <w:rPr>
          <w:rFonts w:cs="Arial"/>
        </w:rPr>
      </w:pPr>
      <w:r>
        <w:rPr>
          <w:rFonts w:cs="Arial"/>
        </w:rPr>
        <w:t xml:space="preserve">For the </w:t>
      </w:r>
      <w:r w:rsidR="00CC774C">
        <w:rPr>
          <w:rFonts w:cs="Arial"/>
        </w:rPr>
        <w:t>Ku</w:t>
      </w:r>
      <w:r>
        <w:rPr>
          <w:rFonts w:cs="Arial"/>
        </w:rPr>
        <w:t>- and Ka-bands:</w:t>
      </w:r>
    </w:p>
    <w:p w:rsidR="00AF4545" w:rsidRPr="00AF4545" w:rsidRDefault="00AF4545" w:rsidP="00AF4545">
      <w:pPr>
        <w:rPr>
          <w:rFonts w:cs="Arial"/>
        </w:rPr>
      </w:pPr>
      <w:r w:rsidRPr="00AF4545">
        <w:rPr>
          <w:rFonts w:cs="Arial"/>
        </w:rPr>
        <w:t>On April 28, 2016, OneWeb submitted a request for U.S. market access for a constellation of 720 satellites, using the following frequency bands:</w:t>
      </w:r>
      <w:r>
        <w:rPr>
          <w:rFonts w:cs="Arial"/>
        </w:rPr>
        <w:t xml:space="preserve"> </w:t>
      </w:r>
      <w:r w:rsidRPr="00AF4545">
        <w:rPr>
          <w:rFonts w:cs="Arial"/>
        </w:rPr>
        <w:t>10.7-12.7 GHz (↓); 14-14.5 GHz (↑); 17.8-18.6 GHz (↓); 18.8-19.3 GHz (↓); 27.5-29.1 GHz (↑); 29.5-30 GHz (↑).</w:t>
      </w:r>
    </w:p>
    <w:p w:rsidR="00AF4545" w:rsidRPr="00AF4545" w:rsidRDefault="00AF4545" w:rsidP="00AF4545">
      <w:pPr>
        <w:rPr>
          <w:rFonts w:cs="Arial"/>
        </w:rPr>
      </w:pPr>
      <w:r w:rsidRPr="00AF4545">
        <w:rPr>
          <w:rFonts w:cs="Arial"/>
        </w:rPr>
        <w:t>The OneWeb application was placed on Public Notice (PN) on July 15, 2016, and a processing round (“Ku-/Ka-band processing round”) was announced. Competing NGSO-like applications were due November 15, 2016.</w:t>
      </w:r>
    </w:p>
    <w:p w:rsidR="00AF4545" w:rsidRDefault="00AF4545" w:rsidP="00AF4545">
      <w:pPr>
        <w:rPr>
          <w:rFonts w:cs="Arial"/>
        </w:rPr>
      </w:pPr>
      <w:r w:rsidRPr="00AF4545">
        <w:rPr>
          <w:rFonts w:cs="Arial"/>
        </w:rPr>
        <w:t>Eleven other applications were received by this closing date</w:t>
      </w:r>
      <w:r>
        <w:rPr>
          <w:rFonts w:cs="Arial"/>
        </w:rPr>
        <w:t xml:space="preserve">. </w:t>
      </w:r>
      <w:r w:rsidRPr="00AF4545">
        <w:rPr>
          <w:rFonts w:cs="Arial"/>
        </w:rPr>
        <w:t>Ten of these applications have gone on P</w:t>
      </w:r>
      <w:r>
        <w:rPr>
          <w:rFonts w:cs="Arial"/>
        </w:rPr>
        <w:t xml:space="preserve">ublic </w:t>
      </w:r>
      <w:r w:rsidRPr="00AF4545">
        <w:rPr>
          <w:rFonts w:cs="Arial"/>
        </w:rPr>
        <w:t>N</w:t>
      </w:r>
      <w:r>
        <w:rPr>
          <w:rFonts w:cs="Arial"/>
        </w:rPr>
        <w:t xml:space="preserve">otice </w:t>
      </w:r>
      <w:r w:rsidRPr="00AF4545">
        <w:rPr>
          <w:rFonts w:cs="Arial"/>
        </w:rPr>
        <w:t>on May 26,</w:t>
      </w:r>
      <w:r>
        <w:rPr>
          <w:rFonts w:cs="Arial"/>
        </w:rPr>
        <w:t xml:space="preserve"> </w:t>
      </w:r>
      <w:r w:rsidRPr="00AF4545">
        <w:rPr>
          <w:rFonts w:cs="Arial"/>
        </w:rPr>
        <w:t>2017</w:t>
      </w:r>
      <w:r>
        <w:rPr>
          <w:rFonts w:cs="Arial"/>
        </w:rPr>
        <w:t xml:space="preserve">. </w:t>
      </w:r>
      <w:r w:rsidRPr="00AF4545">
        <w:rPr>
          <w:rFonts w:cs="Arial"/>
        </w:rPr>
        <w:t>These applications included frequencies that were not in the OneWeb applications</w:t>
      </w:r>
      <w:r>
        <w:rPr>
          <w:rFonts w:cs="Arial"/>
        </w:rPr>
        <w:t xml:space="preserve">. </w:t>
      </w:r>
      <w:r w:rsidRPr="00AF4545">
        <w:rPr>
          <w:rFonts w:cs="Arial"/>
        </w:rPr>
        <w:t>A new processing round was initiated: 12.75-13.25 GHz (↑); 13.85-14.0 GHz (↑); 18.6-18.8 GHz (↓); 19.3-20.2 GHz (↓); 29.1-29.5 GHz (↑) (July 26, 2017 cut-off date)</w:t>
      </w:r>
      <w:r>
        <w:rPr>
          <w:rFonts w:cs="Arial"/>
        </w:rPr>
        <w:t>.</w:t>
      </w:r>
      <w:r w:rsidRPr="00AF4545">
        <w:rPr>
          <w:rFonts w:cs="Arial"/>
        </w:rPr>
        <w:t xml:space="preserve">  </w:t>
      </w:r>
    </w:p>
    <w:p w:rsidR="00AF4545" w:rsidRPr="00273ECA" w:rsidRDefault="00AF4545" w:rsidP="00E94D84">
      <w:pPr>
        <w:rPr>
          <w:rFonts w:cs="Arial"/>
        </w:rPr>
      </w:pPr>
    </w:p>
    <w:bookmarkStart w:id="2" w:name="_MON_1557654938"/>
    <w:bookmarkEnd w:id="2"/>
    <w:p w:rsidR="00AF4545" w:rsidRDefault="00E94D84" w:rsidP="00E94D84">
      <w:pPr>
        <w:rPr>
          <w:rFonts w:ascii="Calibri" w:hAnsi="Calibri"/>
          <w:lang w:val="da-DK"/>
        </w:rPr>
      </w:pPr>
      <w:r w:rsidRPr="00273ECA">
        <w:rPr>
          <w:rFonts w:ascii="Calibri" w:hAnsi="Calibri"/>
          <w:lang w:val="da-DK"/>
        </w:rPr>
        <w:object w:dxaOrig="1530" w:dyaOrig="990">
          <v:shape id="_x0000_i1028" type="#_x0000_t75" style="width:76.75pt;height:49.6pt" o:ole="">
            <v:imagedata r:id="rId45" o:title=""/>
          </v:shape>
          <o:OLEObject Type="Embed" ProgID="Word.Document.12" ShapeID="_x0000_i1028" DrawAspect="Icon" ObjectID="_1559477187" r:id="rId46">
            <o:FieldCodes>\s</o:FieldCodes>
          </o:OLEObject>
        </w:object>
      </w:r>
    </w:p>
    <w:p w:rsidR="00AF4545" w:rsidRDefault="00AF4545" w:rsidP="00E94D84">
      <w:pPr>
        <w:rPr>
          <w:rFonts w:cs="Arial"/>
        </w:rPr>
      </w:pPr>
    </w:p>
    <w:p w:rsidR="00AF4545" w:rsidRDefault="00AF4545" w:rsidP="00E94D84">
      <w:pPr>
        <w:rPr>
          <w:rFonts w:cs="Arial"/>
        </w:rPr>
      </w:pPr>
      <w:r w:rsidRPr="00AF4545">
        <w:rPr>
          <w:rFonts w:cs="Arial"/>
        </w:rPr>
        <w:t xml:space="preserve">The total list </w:t>
      </w:r>
      <w:r>
        <w:rPr>
          <w:rFonts w:cs="Arial"/>
        </w:rPr>
        <w:t xml:space="preserve">of NGSO systems at the FCC </w:t>
      </w:r>
      <w:r w:rsidRPr="00AF4545">
        <w:rPr>
          <w:rFonts w:cs="Arial"/>
        </w:rPr>
        <w:t xml:space="preserve">of system accepted for filing (including earlier requests) </w:t>
      </w:r>
      <w:r>
        <w:rPr>
          <w:rFonts w:cs="Arial"/>
        </w:rPr>
        <w:t>includes:</w:t>
      </w:r>
    </w:p>
    <w:tbl>
      <w:tblPr>
        <w:tblStyle w:val="ECCTable-redheader"/>
        <w:tblW w:w="0" w:type="auto"/>
        <w:tblInd w:w="0" w:type="dxa"/>
        <w:tblLook w:val="04A0" w:firstRow="1" w:lastRow="0" w:firstColumn="1" w:lastColumn="0" w:noHBand="0" w:noVBand="1"/>
      </w:tblPr>
      <w:tblGrid>
        <w:gridCol w:w="3331"/>
        <w:gridCol w:w="6448"/>
      </w:tblGrid>
      <w:tr w:rsidR="002376BE" w:rsidTr="002376BE">
        <w:trPr>
          <w:cnfStyle w:val="100000000000" w:firstRow="1" w:lastRow="0" w:firstColumn="0" w:lastColumn="0" w:oddVBand="0" w:evenVBand="0" w:oddHBand="0" w:evenHBand="0" w:firstRowFirstColumn="0" w:firstRowLastColumn="0" w:lastRowFirstColumn="0" w:lastRowLastColumn="0"/>
        </w:trPr>
        <w:tc>
          <w:tcPr>
            <w:tcW w:w="3331" w:type="dxa"/>
          </w:tcPr>
          <w:p w:rsidR="002376BE" w:rsidRPr="002376BE" w:rsidRDefault="002376BE" w:rsidP="00E94D84">
            <w:pPr>
              <w:rPr>
                <w:rFonts w:cs="Arial"/>
                <w:i w:val="0"/>
              </w:rPr>
            </w:pPr>
            <w:r w:rsidRPr="002376BE">
              <w:rPr>
                <w:rFonts w:cs="Arial"/>
                <w:i w:val="0"/>
              </w:rPr>
              <w:t xml:space="preserve">Applicant </w:t>
            </w:r>
          </w:p>
        </w:tc>
        <w:tc>
          <w:tcPr>
            <w:tcW w:w="6448" w:type="dxa"/>
          </w:tcPr>
          <w:p w:rsidR="002376BE" w:rsidRPr="002376BE" w:rsidRDefault="002376BE" w:rsidP="00E94D84">
            <w:pPr>
              <w:rPr>
                <w:rFonts w:cs="Arial"/>
                <w:i w:val="0"/>
              </w:rPr>
            </w:pPr>
            <w:r>
              <w:rPr>
                <w:rFonts w:cs="Arial"/>
                <w:i w:val="0"/>
              </w:rPr>
              <w:t>Constellation structure</w:t>
            </w:r>
          </w:p>
        </w:tc>
      </w:tr>
      <w:tr w:rsidR="002376BE" w:rsidRPr="002376BE" w:rsidTr="002376BE">
        <w:tc>
          <w:tcPr>
            <w:tcW w:w="3331" w:type="dxa"/>
          </w:tcPr>
          <w:p w:rsidR="002376BE" w:rsidRPr="002376BE" w:rsidRDefault="002376BE" w:rsidP="00E94D84">
            <w:pPr>
              <w:rPr>
                <w:rFonts w:cs="Arial"/>
              </w:rPr>
            </w:pPr>
            <w:proofErr w:type="spellStart"/>
            <w:r w:rsidRPr="002376BE">
              <w:rPr>
                <w:rFonts w:cs="Arial"/>
                <w:lang w:val="en-US"/>
              </w:rPr>
              <w:t>Audacy</w:t>
            </w:r>
            <w:proofErr w:type="spellEnd"/>
            <w:r w:rsidRPr="002376BE">
              <w:rPr>
                <w:rFonts w:cs="Arial"/>
                <w:lang w:val="en-US"/>
              </w:rPr>
              <w:t xml:space="preserve"> Corporation</w:t>
            </w:r>
          </w:p>
        </w:tc>
        <w:tc>
          <w:tcPr>
            <w:tcW w:w="6448" w:type="dxa"/>
          </w:tcPr>
          <w:p w:rsidR="002376BE" w:rsidRPr="002376BE" w:rsidRDefault="002376BE" w:rsidP="002376BE">
            <w:pPr>
              <w:numPr>
                <w:ilvl w:val="0"/>
                <w:numId w:val="18"/>
              </w:numPr>
              <w:tabs>
                <w:tab w:val="clear" w:pos="720"/>
                <w:tab w:val="num" w:pos="317"/>
              </w:tabs>
              <w:ind w:hanging="687"/>
              <w:rPr>
                <w:rFonts w:cs="Arial"/>
                <w:lang w:val="da-DK"/>
              </w:rPr>
            </w:pPr>
            <w:r w:rsidRPr="002376BE">
              <w:rPr>
                <w:rFonts w:cs="Arial"/>
                <w:lang w:val="en-US"/>
              </w:rPr>
              <w:t>3 satellites</w:t>
            </w:r>
          </w:p>
          <w:p w:rsidR="002376BE" w:rsidRPr="002376BE" w:rsidRDefault="002376BE" w:rsidP="002376BE">
            <w:pPr>
              <w:numPr>
                <w:ilvl w:val="0"/>
                <w:numId w:val="18"/>
              </w:numPr>
              <w:tabs>
                <w:tab w:val="clear" w:pos="720"/>
                <w:tab w:val="num" w:pos="317"/>
              </w:tabs>
              <w:ind w:hanging="687"/>
              <w:rPr>
                <w:rFonts w:cs="Arial"/>
                <w:lang w:val="en-US"/>
              </w:rPr>
            </w:pPr>
            <w:r w:rsidRPr="002376BE">
              <w:rPr>
                <w:rFonts w:cs="Arial"/>
                <w:lang w:val="en-US"/>
              </w:rPr>
              <w:t>3 planes (1 satellite per plane) in a 25° circular orbit at 13,890 km</w:t>
            </w:r>
          </w:p>
        </w:tc>
      </w:tr>
      <w:tr w:rsidR="002376BE" w:rsidRPr="002376BE" w:rsidTr="002376BE">
        <w:tc>
          <w:tcPr>
            <w:tcW w:w="3331" w:type="dxa"/>
          </w:tcPr>
          <w:p w:rsidR="002376BE" w:rsidRPr="002376BE" w:rsidRDefault="002376BE" w:rsidP="00E94D84">
            <w:pPr>
              <w:rPr>
                <w:rFonts w:cs="Arial"/>
              </w:rPr>
            </w:pPr>
            <w:proofErr w:type="spellStart"/>
            <w:r w:rsidRPr="002376BE">
              <w:rPr>
                <w:rFonts w:cs="Arial"/>
                <w:lang w:val="en-US"/>
              </w:rPr>
              <w:t>Karousel</w:t>
            </w:r>
            <w:proofErr w:type="spellEnd"/>
            <w:r w:rsidRPr="002376BE">
              <w:rPr>
                <w:rFonts w:cs="Arial"/>
                <w:lang w:val="en-US"/>
              </w:rPr>
              <w:t xml:space="preserve"> LLC</w:t>
            </w:r>
          </w:p>
        </w:tc>
        <w:tc>
          <w:tcPr>
            <w:tcW w:w="6448" w:type="dxa"/>
          </w:tcPr>
          <w:p w:rsidR="002376BE" w:rsidRPr="002376BE" w:rsidRDefault="002376BE" w:rsidP="002376BE">
            <w:pPr>
              <w:numPr>
                <w:ilvl w:val="0"/>
                <w:numId w:val="18"/>
              </w:numPr>
              <w:tabs>
                <w:tab w:val="clear" w:pos="720"/>
                <w:tab w:val="num" w:pos="317"/>
              </w:tabs>
              <w:ind w:hanging="687"/>
              <w:rPr>
                <w:rFonts w:cs="Arial"/>
                <w:lang w:val="en-US"/>
              </w:rPr>
            </w:pPr>
            <w:r w:rsidRPr="002376BE">
              <w:rPr>
                <w:rFonts w:cs="Arial"/>
                <w:lang w:val="en-US"/>
              </w:rPr>
              <w:t>12 satellites</w:t>
            </w:r>
          </w:p>
          <w:p w:rsidR="002376BE" w:rsidRPr="002376BE" w:rsidRDefault="002376BE" w:rsidP="002376BE">
            <w:pPr>
              <w:numPr>
                <w:ilvl w:val="0"/>
                <w:numId w:val="18"/>
              </w:numPr>
              <w:tabs>
                <w:tab w:val="clear" w:pos="720"/>
                <w:tab w:val="num" w:pos="317"/>
              </w:tabs>
              <w:ind w:left="317" w:hanging="284"/>
              <w:rPr>
                <w:rFonts w:cs="Arial"/>
              </w:rPr>
            </w:pPr>
            <w:r w:rsidRPr="002376BE">
              <w:rPr>
                <w:rFonts w:cs="Arial"/>
                <w:lang w:val="en-US"/>
              </w:rPr>
              <w:t>3 groups (4 satellites per group, with nominal nodal crossings at 85W, 135E, and 25 E)  in a 63.4° elliptical orbit (31,569.5 km x 40,002.3 km)</w:t>
            </w:r>
          </w:p>
        </w:tc>
      </w:tr>
      <w:tr w:rsidR="002376BE" w:rsidRPr="002376BE" w:rsidTr="002376BE">
        <w:tc>
          <w:tcPr>
            <w:tcW w:w="3331" w:type="dxa"/>
          </w:tcPr>
          <w:p w:rsidR="002376BE" w:rsidRPr="002376BE" w:rsidRDefault="002376BE" w:rsidP="00E94D84">
            <w:pPr>
              <w:rPr>
                <w:rFonts w:cs="Arial"/>
              </w:rPr>
            </w:pPr>
            <w:r w:rsidRPr="002376BE">
              <w:rPr>
                <w:rFonts w:cs="Arial"/>
                <w:lang w:val="en-US"/>
              </w:rPr>
              <w:t>Kepler Communications Inc.</w:t>
            </w:r>
          </w:p>
        </w:tc>
        <w:tc>
          <w:tcPr>
            <w:tcW w:w="6448" w:type="dxa"/>
          </w:tcPr>
          <w:p w:rsidR="002376BE" w:rsidRPr="002376BE" w:rsidRDefault="002376BE" w:rsidP="002376BE">
            <w:pPr>
              <w:numPr>
                <w:ilvl w:val="0"/>
                <w:numId w:val="18"/>
              </w:numPr>
              <w:tabs>
                <w:tab w:val="clear" w:pos="720"/>
                <w:tab w:val="num" w:pos="317"/>
              </w:tabs>
              <w:ind w:left="317" w:hanging="284"/>
              <w:rPr>
                <w:rFonts w:cs="Arial"/>
                <w:lang w:val="en-US"/>
              </w:rPr>
            </w:pPr>
            <w:r w:rsidRPr="002376BE">
              <w:rPr>
                <w:rFonts w:cs="Arial"/>
                <w:lang w:val="en-US"/>
              </w:rPr>
              <w:t>140 satellites</w:t>
            </w:r>
          </w:p>
          <w:p w:rsidR="002376BE" w:rsidRPr="002376BE" w:rsidRDefault="002376BE" w:rsidP="002376BE">
            <w:pPr>
              <w:numPr>
                <w:ilvl w:val="0"/>
                <w:numId w:val="18"/>
              </w:numPr>
              <w:tabs>
                <w:tab w:val="clear" w:pos="720"/>
                <w:tab w:val="num" w:pos="317"/>
              </w:tabs>
              <w:ind w:left="317" w:hanging="284"/>
              <w:rPr>
                <w:rFonts w:cs="Arial"/>
              </w:rPr>
            </w:pPr>
            <w:r w:rsidRPr="002376BE">
              <w:rPr>
                <w:rFonts w:cs="Arial"/>
                <w:lang w:val="en-US"/>
              </w:rPr>
              <w:t>7 planes (20 satellites per plane, including spares) in 98.6° circular orbit at 500 to 650 km</w:t>
            </w:r>
          </w:p>
        </w:tc>
      </w:tr>
      <w:tr w:rsidR="002376BE" w:rsidRPr="002376BE" w:rsidTr="002376BE">
        <w:tc>
          <w:tcPr>
            <w:tcW w:w="3331" w:type="dxa"/>
          </w:tcPr>
          <w:p w:rsidR="002376BE" w:rsidRPr="002376BE" w:rsidRDefault="002376BE" w:rsidP="00E94D84">
            <w:pPr>
              <w:rPr>
                <w:rFonts w:cs="Arial"/>
              </w:rPr>
            </w:pPr>
            <w:proofErr w:type="spellStart"/>
            <w:r w:rsidRPr="002376BE">
              <w:rPr>
                <w:rFonts w:cs="Arial"/>
                <w:lang w:val="en-US"/>
              </w:rPr>
              <w:t>LeoSat</w:t>
            </w:r>
            <w:proofErr w:type="spellEnd"/>
            <w:r w:rsidRPr="002376BE">
              <w:rPr>
                <w:rFonts w:cs="Arial"/>
                <w:lang w:val="en-US"/>
              </w:rPr>
              <w:t xml:space="preserve"> MA, Inc.</w:t>
            </w:r>
          </w:p>
        </w:tc>
        <w:tc>
          <w:tcPr>
            <w:tcW w:w="6448" w:type="dxa"/>
          </w:tcPr>
          <w:p w:rsidR="002376BE" w:rsidRPr="002376BE" w:rsidRDefault="002376BE" w:rsidP="002376BE">
            <w:pPr>
              <w:numPr>
                <w:ilvl w:val="0"/>
                <w:numId w:val="18"/>
              </w:numPr>
              <w:tabs>
                <w:tab w:val="clear" w:pos="720"/>
                <w:tab w:val="num" w:pos="317"/>
              </w:tabs>
              <w:ind w:left="317" w:hanging="284"/>
              <w:rPr>
                <w:rFonts w:cs="Arial"/>
                <w:lang w:val="en-US"/>
              </w:rPr>
            </w:pPr>
            <w:r w:rsidRPr="002376BE">
              <w:rPr>
                <w:rFonts w:cs="Arial"/>
                <w:lang w:val="en-US"/>
              </w:rPr>
              <w:t xml:space="preserve">78 satellites (+6 spares) </w:t>
            </w:r>
          </w:p>
          <w:p w:rsidR="002376BE" w:rsidRPr="002376BE" w:rsidRDefault="002376BE" w:rsidP="002376BE">
            <w:pPr>
              <w:numPr>
                <w:ilvl w:val="0"/>
                <w:numId w:val="18"/>
              </w:numPr>
              <w:tabs>
                <w:tab w:val="clear" w:pos="720"/>
                <w:tab w:val="num" w:pos="317"/>
              </w:tabs>
              <w:ind w:left="317" w:hanging="284"/>
              <w:rPr>
                <w:rFonts w:cs="Arial"/>
              </w:rPr>
            </w:pPr>
            <w:r w:rsidRPr="002376BE">
              <w:rPr>
                <w:rFonts w:cs="Arial"/>
                <w:lang w:val="en-US"/>
              </w:rPr>
              <w:t>6 planes (13 satellites + 1 spare per plane) in a 90° circular orbit at 1,400 km </w:t>
            </w:r>
          </w:p>
        </w:tc>
      </w:tr>
      <w:tr w:rsidR="002376BE" w:rsidRPr="002376BE" w:rsidTr="002376BE">
        <w:tc>
          <w:tcPr>
            <w:tcW w:w="3331" w:type="dxa"/>
          </w:tcPr>
          <w:p w:rsidR="002376BE" w:rsidRPr="002376BE" w:rsidRDefault="002376BE" w:rsidP="00E94D84">
            <w:pPr>
              <w:rPr>
                <w:rFonts w:cs="Arial"/>
              </w:rPr>
            </w:pPr>
            <w:r w:rsidRPr="002376BE">
              <w:rPr>
                <w:rFonts w:cs="Arial"/>
                <w:lang w:val="en-US"/>
              </w:rPr>
              <w:t>O3b Limited</w:t>
            </w:r>
          </w:p>
        </w:tc>
        <w:tc>
          <w:tcPr>
            <w:tcW w:w="6448" w:type="dxa"/>
          </w:tcPr>
          <w:p w:rsidR="002376BE" w:rsidRPr="002376BE" w:rsidRDefault="002376BE" w:rsidP="002376BE">
            <w:pPr>
              <w:numPr>
                <w:ilvl w:val="0"/>
                <w:numId w:val="18"/>
              </w:numPr>
              <w:tabs>
                <w:tab w:val="clear" w:pos="720"/>
                <w:tab w:val="num" w:pos="317"/>
              </w:tabs>
              <w:ind w:left="317" w:hanging="284"/>
              <w:rPr>
                <w:rFonts w:cs="Arial"/>
                <w:lang w:val="en-US"/>
              </w:rPr>
            </w:pPr>
            <w:r w:rsidRPr="002376BE">
              <w:rPr>
                <w:rFonts w:cs="Arial"/>
                <w:lang w:val="en-US"/>
              </w:rPr>
              <w:t>60 satellites</w:t>
            </w:r>
          </w:p>
          <w:p w:rsidR="002376BE" w:rsidRPr="002376BE" w:rsidRDefault="002376BE" w:rsidP="002376BE">
            <w:pPr>
              <w:numPr>
                <w:ilvl w:val="0"/>
                <w:numId w:val="18"/>
              </w:numPr>
              <w:tabs>
                <w:tab w:val="clear" w:pos="720"/>
                <w:tab w:val="num" w:pos="317"/>
              </w:tabs>
              <w:ind w:left="317" w:hanging="284"/>
              <w:rPr>
                <w:rFonts w:cs="Arial"/>
                <w:lang w:val="en-US"/>
              </w:rPr>
            </w:pPr>
            <w:r w:rsidRPr="002376BE">
              <w:rPr>
                <w:rFonts w:cs="Arial"/>
                <w:lang w:val="en-US"/>
              </w:rPr>
              <w:t>3 proposed additions to the current 12 operational satellites:</w:t>
            </w:r>
          </w:p>
          <w:p w:rsidR="002376BE" w:rsidRPr="002376BE" w:rsidRDefault="002376BE" w:rsidP="002376BE">
            <w:pPr>
              <w:numPr>
                <w:ilvl w:val="1"/>
                <w:numId w:val="22"/>
              </w:numPr>
              <w:tabs>
                <w:tab w:val="clear" w:pos="1440"/>
                <w:tab w:val="num" w:pos="742"/>
              </w:tabs>
              <w:ind w:left="742" w:hanging="283"/>
              <w:rPr>
                <w:rFonts w:cs="Arial"/>
                <w:lang w:val="en-US"/>
              </w:rPr>
            </w:pPr>
            <w:r w:rsidRPr="002376BE">
              <w:rPr>
                <w:rFonts w:cs="Arial"/>
                <w:lang w:val="en-US"/>
              </w:rPr>
              <w:t>8 additional satellites in circular equatorial orbit at 8,062 km </w:t>
            </w:r>
          </w:p>
          <w:p w:rsidR="002376BE" w:rsidRDefault="002376BE" w:rsidP="002376BE">
            <w:pPr>
              <w:numPr>
                <w:ilvl w:val="1"/>
                <w:numId w:val="22"/>
              </w:numPr>
              <w:tabs>
                <w:tab w:val="clear" w:pos="1440"/>
                <w:tab w:val="num" w:pos="742"/>
              </w:tabs>
              <w:ind w:left="742" w:hanging="283"/>
              <w:rPr>
                <w:rFonts w:cs="Arial"/>
                <w:lang w:val="en-US"/>
              </w:rPr>
            </w:pPr>
            <w:r w:rsidRPr="002376BE">
              <w:rPr>
                <w:rFonts w:cs="Arial"/>
                <w:lang w:val="en-US"/>
              </w:rPr>
              <w:t>24 satellites in circular equatorial orbit at 8,062 km</w:t>
            </w:r>
          </w:p>
          <w:p w:rsidR="002376BE" w:rsidRPr="002376BE" w:rsidRDefault="002376BE" w:rsidP="002376BE">
            <w:pPr>
              <w:numPr>
                <w:ilvl w:val="1"/>
                <w:numId w:val="22"/>
              </w:numPr>
              <w:tabs>
                <w:tab w:val="clear" w:pos="1440"/>
                <w:tab w:val="num" w:pos="742"/>
              </w:tabs>
              <w:ind w:left="742" w:hanging="283"/>
              <w:rPr>
                <w:rFonts w:cs="Arial"/>
                <w:lang w:val="en-US"/>
              </w:rPr>
            </w:pPr>
            <w:r w:rsidRPr="002376BE">
              <w:rPr>
                <w:rFonts w:cs="Arial"/>
                <w:lang w:val="en-US"/>
              </w:rPr>
              <w:t>16 satellites: 2 planes (8 satellites per plane) in a 70° circular orbit at 8,062km</w:t>
            </w:r>
          </w:p>
        </w:tc>
      </w:tr>
      <w:tr w:rsidR="002376BE" w:rsidRPr="002376BE" w:rsidTr="002376BE">
        <w:tc>
          <w:tcPr>
            <w:tcW w:w="3331" w:type="dxa"/>
          </w:tcPr>
          <w:p w:rsidR="002376BE" w:rsidRPr="002376BE" w:rsidRDefault="002376BE" w:rsidP="00E94D84">
            <w:pPr>
              <w:rPr>
                <w:rFonts w:cs="Arial"/>
              </w:rPr>
            </w:pPr>
            <w:r w:rsidRPr="002376BE">
              <w:rPr>
                <w:rFonts w:cs="Arial"/>
                <w:lang w:val="en-US"/>
              </w:rPr>
              <w:t>Space Exploration Holdings, LLC</w:t>
            </w:r>
          </w:p>
        </w:tc>
        <w:tc>
          <w:tcPr>
            <w:tcW w:w="6448" w:type="dxa"/>
          </w:tcPr>
          <w:p w:rsidR="002376BE" w:rsidRPr="002376BE" w:rsidRDefault="002376BE" w:rsidP="002376BE">
            <w:pPr>
              <w:numPr>
                <w:ilvl w:val="0"/>
                <w:numId w:val="18"/>
              </w:numPr>
              <w:tabs>
                <w:tab w:val="clear" w:pos="720"/>
                <w:tab w:val="num" w:pos="317"/>
              </w:tabs>
              <w:ind w:left="317" w:hanging="284"/>
              <w:rPr>
                <w:rFonts w:cs="Arial"/>
                <w:lang w:val="en-US"/>
              </w:rPr>
            </w:pPr>
            <w:r w:rsidRPr="002376BE">
              <w:rPr>
                <w:rFonts w:cs="Arial"/>
                <w:lang w:val="en-US"/>
              </w:rPr>
              <w:t>Initial Deployment:</w:t>
            </w:r>
          </w:p>
          <w:p w:rsidR="002376BE" w:rsidRPr="002376BE" w:rsidRDefault="002376BE" w:rsidP="00C1181A">
            <w:pPr>
              <w:numPr>
                <w:ilvl w:val="1"/>
                <w:numId w:val="22"/>
              </w:numPr>
              <w:tabs>
                <w:tab w:val="clear" w:pos="1440"/>
                <w:tab w:val="num" w:pos="742"/>
              </w:tabs>
              <w:ind w:left="742" w:hanging="283"/>
              <w:rPr>
                <w:rFonts w:cs="Arial"/>
                <w:lang w:val="en-US"/>
              </w:rPr>
            </w:pPr>
            <w:r w:rsidRPr="002376BE">
              <w:rPr>
                <w:rFonts w:cs="Arial"/>
                <w:lang w:val="en-US"/>
              </w:rPr>
              <w:t>800-1600 satellites: 32 planes (25-50 satellites per plane) in a 53° circular orbit at 1,150 km</w:t>
            </w:r>
          </w:p>
          <w:p w:rsidR="002376BE" w:rsidRPr="002376BE" w:rsidRDefault="002376BE" w:rsidP="00C1181A">
            <w:pPr>
              <w:numPr>
                <w:ilvl w:val="0"/>
                <w:numId w:val="18"/>
              </w:numPr>
              <w:tabs>
                <w:tab w:val="clear" w:pos="720"/>
                <w:tab w:val="num" w:pos="317"/>
              </w:tabs>
              <w:ind w:left="317" w:hanging="284"/>
              <w:rPr>
                <w:rFonts w:cs="Arial"/>
                <w:lang w:val="en-US"/>
              </w:rPr>
            </w:pPr>
            <w:r w:rsidRPr="002376BE">
              <w:rPr>
                <w:rFonts w:cs="Arial"/>
                <w:lang w:val="en-US"/>
              </w:rPr>
              <w:t>Final Deployment (2825 satellites): </w:t>
            </w:r>
          </w:p>
          <w:p w:rsidR="002376BE" w:rsidRPr="002376BE" w:rsidRDefault="002376BE" w:rsidP="00C1181A">
            <w:pPr>
              <w:numPr>
                <w:ilvl w:val="1"/>
                <w:numId w:val="22"/>
              </w:numPr>
              <w:tabs>
                <w:tab w:val="clear" w:pos="1440"/>
                <w:tab w:val="num" w:pos="742"/>
              </w:tabs>
              <w:ind w:left="742" w:hanging="283"/>
              <w:rPr>
                <w:rFonts w:cs="Arial"/>
                <w:lang w:val="en-US"/>
              </w:rPr>
            </w:pPr>
            <w:r w:rsidRPr="002376BE">
              <w:rPr>
                <w:rFonts w:cs="Arial"/>
                <w:lang w:val="en-US"/>
              </w:rPr>
              <w:t>1,600 satellites: 32 planes (50 satellites per plane) in a 53.8° circular orbit at 1,110 k </w:t>
            </w:r>
          </w:p>
          <w:p w:rsidR="002376BE" w:rsidRPr="002376BE" w:rsidRDefault="002376BE" w:rsidP="00C1181A">
            <w:pPr>
              <w:numPr>
                <w:ilvl w:val="1"/>
                <w:numId w:val="22"/>
              </w:numPr>
              <w:tabs>
                <w:tab w:val="clear" w:pos="1440"/>
                <w:tab w:val="num" w:pos="742"/>
              </w:tabs>
              <w:ind w:left="742" w:hanging="283"/>
              <w:rPr>
                <w:rFonts w:cs="Arial"/>
                <w:lang w:val="en-US"/>
              </w:rPr>
            </w:pPr>
            <w:r w:rsidRPr="002376BE">
              <w:rPr>
                <w:rFonts w:cs="Arial"/>
                <w:lang w:val="en-US"/>
              </w:rPr>
              <w:t>400 satellite: 8 planes (50 satellites per plane) in a 74° circular orbit at 1,130 km</w:t>
            </w:r>
          </w:p>
          <w:p w:rsidR="002376BE" w:rsidRDefault="002376BE" w:rsidP="00C1181A">
            <w:pPr>
              <w:numPr>
                <w:ilvl w:val="1"/>
                <w:numId w:val="22"/>
              </w:numPr>
              <w:tabs>
                <w:tab w:val="clear" w:pos="1440"/>
                <w:tab w:val="num" w:pos="742"/>
              </w:tabs>
              <w:ind w:left="742" w:hanging="283"/>
              <w:rPr>
                <w:rFonts w:cs="Arial"/>
                <w:lang w:val="en-US"/>
              </w:rPr>
            </w:pPr>
            <w:r w:rsidRPr="002376BE">
              <w:rPr>
                <w:rFonts w:cs="Arial"/>
                <w:lang w:val="en-US"/>
              </w:rPr>
              <w:t>375 satellites: 5 planes (75 satellites per plane) in a 81° circular orbit at 1,275 km</w:t>
            </w:r>
          </w:p>
          <w:p w:rsidR="002376BE" w:rsidRPr="00C1181A" w:rsidRDefault="002376BE" w:rsidP="002376BE">
            <w:pPr>
              <w:numPr>
                <w:ilvl w:val="1"/>
                <w:numId w:val="22"/>
              </w:numPr>
              <w:tabs>
                <w:tab w:val="clear" w:pos="1440"/>
                <w:tab w:val="num" w:pos="742"/>
              </w:tabs>
              <w:ind w:left="742" w:hanging="283"/>
              <w:rPr>
                <w:rFonts w:cs="Arial"/>
                <w:lang w:val="en-US"/>
              </w:rPr>
            </w:pPr>
            <w:r w:rsidRPr="00C1181A">
              <w:rPr>
                <w:rFonts w:cs="Arial"/>
                <w:lang w:val="en-US"/>
              </w:rPr>
              <w:t>450 satellites: 6 planes (75 satellites per plane) in a 70° circular orbit at 1,325 km </w:t>
            </w:r>
          </w:p>
        </w:tc>
      </w:tr>
      <w:tr w:rsidR="002376BE" w:rsidRPr="002376BE" w:rsidTr="002376BE">
        <w:tc>
          <w:tcPr>
            <w:tcW w:w="3331" w:type="dxa"/>
          </w:tcPr>
          <w:p w:rsidR="002376BE" w:rsidRPr="002376BE" w:rsidRDefault="00C1181A" w:rsidP="00E94D84">
            <w:pPr>
              <w:rPr>
                <w:rFonts w:cs="Arial"/>
              </w:rPr>
            </w:pPr>
            <w:r w:rsidRPr="00C1181A">
              <w:rPr>
                <w:rFonts w:cs="Arial"/>
                <w:lang w:val="en-US"/>
              </w:rPr>
              <w:t>Space Norway AS</w:t>
            </w:r>
          </w:p>
        </w:tc>
        <w:tc>
          <w:tcPr>
            <w:tcW w:w="6448" w:type="dxa"/>
          </w:tcPr>
          <w:p w:rsidR="002376BE" w:rsidRPr="002376BE" w:rsidRDefault="00C1181A" w:rsidP="00E94D84">
            <w:pPr>
              <w:rPr>
                <w:rFonts w:cs="Arial"/>
              </w:rPr>
            </w:pPr>
            <w:r w:rsidRPr="00C1181A">
              <w:rPr>
                <w:rFonts w:cs="Arial"/>
                <w:lang w:val="en-US"/>
              </w:rPr>
              <w:t>2 satellites in 63.4° HEO (8,089 x 43,509 km)</w:t>
            </w:r>
          </w:p>
        </w:tc>
      </w:tr>
      <w:tr w:rsidR="002376BE" w:rsidRPr="002376BE" w:rsidTr="002376BE">
        <w:tc>
          <w:tcPr>
            <w:tcW w:w="3331" w:type="dxa"/>
          </w:tcPr>
          <w:p w:rsidR="002376BE" w:rsidRPr="002376BE" w:rsidRDefault="00C1181A" w:rsidP="00E94D84">
            <w:pPr>
              <w:rPr>
                <w:rFonts w:cs="Arial"/>
              </w:rPr>
            </w:pPr>
            <w:proofErr w:type="spellStart"/>
            <w:r w:rsidRPr="00C1181A">
              <w:rPr>
                <w:rFonts w:cs="Arial"/>
                <w:lang w:val="en-US"/>
              </w:rPr>
              <w:t>Telesat</w:t>
            </w:r>
            <w:proofErr w:type="spellEnd"/>
            <w:r w:rsidRPr="00C1181A">
              <w:rPr>
                <w:rFonts w:cs="Arial"/>
                <w:lang w:val="en-US"/>
              </w:rPr>
              <w:t xml:space="preserve"> Canada</w:t>
            </w:r>
          </w:p>
        </w:tc>
        <w:tc>
          <w:tcPr>
            <w:tcW w:w="6448" w:type="dxa"/>
          </w:tcPr>
          <w:p w:rsidR="00C1181A" w:rsidRPr="00C1181A" w:rsidRDefault="00C1181A" w:rsidP="00C1181A">
            <w:pPr>
              <w:numPr>
                <w:ilvl w:val="0"/>
                <w:numId w:val="18"/>
              </w:numPr>
              <w:tabs>
                <w:tab w:val="clear" w:pos="720"/>
                <w:tab w:val="num" w:pos="317"/>
              </w:tabs>
              <w:ind w:left="317" w:hanging="284"/>
              <w:rPr>
                <w:rFonts w:cs="Arial"/>
                <w:lang w:val="en-US"/>
              </w:rPr>
            </w:pPr>
            <w:r w:rsidRPr="00C1181A">
              <w:rPr>
                <w:rFonts w:cs="Arial"/>
                <w:lang w:val="en-US"/>
              </w:rPr>
              <w:t>117 satellites</w:t>
            </w:r>
          </w:p>
          <w:p w:rsidR="00C1181A" w:rsidRPr="00C1181A" w:rsidRDefault="00C1181A" w:rsidP="00C1181A">
            <w:pPr>
              <w:numPr>
                <w:ilvl w:val="0"/>
                <w:numId w:val="18"/>
              </w:numPr>
              <w:tabs>
                <w:tab w:val="clear" w:pos="720"/>
                <w:tab w:val="num" w:pos="317"/>
              </w:tabs>
              <w:ind w:left="317" w:hanging="284"/>
              <w:rPr>
                <w:rFonts w:cs="Arial"/>
                <w:lang w:val="en-US"/>
              </w:rPr>
            </w:pPr>
            <w:r w:rsidRPr="00C1181A">
              <w:rPr>
                <w:rFonts w:cs="Arial"/>
                <w:lang w:val="en-US"/>
              </w:rPr>
              <w:t>6 planes with 12 satellites per plane in a 99.5° circular orbit at 1,000 km</w:t>
            </w:r>
          </w:p>
          <w:p w:rsidR="002376BE" w:rsidRPr="002376BE" w:rsidRDefault="00C1181A" w:rsidP="00C1181A">
            <w:pPr>
              <w:numPr>
                <w:ilvl w:val="0"/>
                <w:numId w:val="18"/>
              </w:numPr>
              <w:tabs>
                <w:tab w:val="clear" w:pos="720"/>
                <w:tab w:val="num" w:pos="317"/>
              </w:tabs>
              <w:ind w:left="317" w:hanging="284"/>
              <w:rPr>
                <w:rFonts w:cs="Arial"/>
              </w:rPr>
            </w:pPr>
            <w:r w:rsidRPr="00C1181A">
              <w:rPr>
                <w:rFonts w:cs="Arial"/>
                <w:lang w:val="en-US"/>
              </w:rPr>
              <w:t>5 planes with 9 satellites per plane in a 37.4 ° circular orbit at 1,248 km</w:t>
            </w:r>
          </w:p>
        </w:tc>
      </w:tr>
      <w:tr w:rsidR="002376BE" w:rsidRPr="002376BE" w:rsidTr="002376BE">
        <w:tc>
          <w:tcPr>
            <w:tcW w:w="3331" w:type="dxa"/>
          </w:tcPr>
          <w:p w:rsidR="002376BE" w:rsidRPr="002376BE" w:rsidRDefault="00C1181A" w:rsidP="00E94D84">
            <w:pPr>
              <w:rPr>
                <w:rFonts w:cs="Arial"/>
              </w:rPr>
            </w:pPr>
            <w:r w:rsidRPr="00C1181A">
              <w:rPr>
                <w:rFonts w:cs="Arial"/>
                <w:lang w:val="en-US"/>
              </w:rPr>
              <w:t>The Boeing Company</w:t>
            </w:r>
          </w:p>
        </w:tc>
        <w:tc>
          <w:tcPr>
            <w:tcW w:w="6448" w:type="dxa"/>
          </w:tcPr>
          <w:p w:rsidR="00C1181A" w:rsidRPr="00C1181A" w:rsidRDefault="00C1181A" w:rsidP="00C1181A">
            <w:pPr>
              <w:numPr>
                <w:ilvl w:val="0"/>
                <w:numId w:val="18"/>
              </w:numPr>
              <w:tabs>
                <w:tab w:val="clear" w:pos="720"/>
                <w:tab w:val="num" w:pos="317"/>
              </w:tabs>
              <w:ind w:left="317" w:hanging="284"/>
              <w:rPr>
                <w:rFonts w:cs="Arial"/>
                <w:lang w:val="en-US"/>
              </w:rPr>
            </w:pPr>
            <w:r w:rsidRPr="00C1181A">
              <w:rPr>
                <w:rFonts w:cs="Arial"/>
                <w:lang w:val="en-US"/>
              </w:rPr>
              <w:t xml:space="preserve">60 satellites </w:t>
            </w:r>
          </w:p>
          <w:p w:rsidR="002376BE" w:rsidRPr="002376BE" w:rsidRDefault="00C1181A" w:rsidP="00C1181A">
            <w:pPr>
              <w:numPr>
                <w:ilvl w:val="0"/>
                <w:numId w:val="18"/>
              </w:numPr>
              <w:tabs>
                <w:tab w:val="clear" w:pos="720"/>
                <w:tab w:val="num" w:pos="317"/>
              </w:tabs>
              <w:ind w:left="317" w:hanging="284"/>
              <w:rPr>
                <w:rFonts w:cs="Arial"/>
              </w:rPr>
            </w:pPr>
            <w:r w:rsidRPr="00C1181A">
              <w:rPr>
                <w:rFonts w:cs="Arial"/>
                <w:lang w:val="en-US"/>
              </w:rPr>
              <w:t xml:space="preserve">3 groups (20 satellites per group) in a 63.4 ° elliptical orbit (27,355 </w:t>
            </w:r>
            <w:r w:rsidRPr="00C1181A">
              <w:rPr>
                <w:rFonts w:cs="Arial"/>
                <w:lang w:val="en-US"/>
              </w:rPr>
              <w:lastRenderedPageBreak/>
              <w:t>km x 44,221)</w:t>
            </w:r>
          </w:p>
        </w:tc>
      </w:tr>
      <w:tr w:rsidR="00C1181A" w:rsidRPr="002376BE" w:rsidTr="002376BE">
        <w:tc>
          <w:tcPr>
            <w:tcW w:w="3331" w:type="dxa"/>
          </w:tcPr>
          <w:p w:rsidR="00C1181A" w:rsidRPr="002376BE" w:rsidRDefault="00C1181A" w:rsidP="00E94D84">
            <w:pPr>
              <w:rPr>
                <w:rFonts w:cs="Arial"/>
              </w:rPr>
            </w:pPr>
            <w:r w:rsidRPr="00C1181A">
              <w:rPr>
                <w:rFonts w:cs="Arial"/>
                <w:lang w:val="en-US"/>
              </w:rPr>
              <w:lastRenderedPageBreak/>
              <w:t>Theia Holdings A, Inc.</w:t>
            </w:r>
          </w:p>
        </w:tc>
        <w:tc>
          <w:tcPr>
            <w:tcW w:w="6448" w:type="dxa"/>
          </w:tcPr>
          <w:p w:rsidR="00C1181A" w:rsidRPr="00C1181A" w:rsidRDefault="00C1181A" w:rsidP="00C1181A">
            <w:pPr>
              <w:numPr>
                <w:ilvl w:val="0"/>
                <w:numId w:val="18"/>
              </w:numPr>
              <w:tabs>
                <w:tab w:val="clear" w:pos="720"/>
                <w:tab w:val="num" w:pos="317"/>
              </w:tabs>
              <w:ind w:left="317" w:hanging="284"/>
              <w:rPr>
                <w:rFonts w:cs="Arial"/>
                <w:lang w:val="en-US"/>
              </w:rPr>
            </w:pPr>
            <w:r w:rsidRPr="00C1181A">
              <w:rPr>
                <w:rFonts w:cs="Arial"/>
                <w:lang w:val="en-US"/>
              </w:rPr>
              <w:t>112 satellites (+8 spares)</w:t>
            </w:r>
          </w:p>
          <w:p w:rsidR="00C1181A" w:rsidRPr="002376BE" w:rsidRDefault="00C1181A" w:rsidP="00C1181A">
            <w:pPr>
              <w:numPr>
                <w:ilvl w:val="0"/>
                <w:numId w:val="18"/>
              </w:numPr>
              <w:tabs>
                <w:tab w:val="clear" w:pos="720"/>
                <w:tab w:val="num" w:pos="317"/>
              </w:tabs>
              <w:ind w:left="317" w:hanging="284"/>
              <w:rPr>
                <w:rFonts w:cs="Arial"/>
              </w:rPr>
            </w:pPr>
            <w:r w:rsidRPr="00C1181A">
              <w:rPr>
                <w:rFonts w:cs="Arial"/>
                <w:lang w:val="en-US"/>
              </w:rPr>
              <w:t>8 planes (14 satellites per plane) in a 98.6° circular orbit at 800 km</w:t>
            </w:r>
          </w:p>
        </w:tc>
      </w:tr>
      <w:tr w:rsidR="00C1181A" w:rsidRPr="002376BE" w:rsidTr="002376BE">
        <w:tc>
          <w:tcPr>
            <w:tcW w:w="3331" w:type="dxa"/>
          </w:tcPr>
          <w:p w:rsidR="00C1181A" w:rsidRPr="002376BE" w:rsidRDefault="00C1181A" w:rsidP="00E94D84">
            <w:pPr>
              <w:rPr>
                <w:rFonts w:cs="Arial"/>
              </w:rPr>
            </w:pPr>
            <w:proofErr w:type="spellStart"/>
            <w:r w:rsidRPr="00C1181A">
              <w:rPr>
                <w:rFonts w:cs="Arial"/>
                <w:lang w:val="en-US"/>
              </w:rPr>
              <w:t>ViaSat</w:t>
            </w:r>
            <w:proofErr w:type="spellEnd"/>
            <w:r w:rsidRPr="00C1181A">
              <w:rPr>
                <w:rFonts w:cs="Arial"/>
                <w:lang w:val="en-US"/>
              </w:rPr>
              <w:t>, Inc.</w:t>
            </w:r>
          </w:p>
        </w:tc>
        <w:tc>
          <w:tcPr>
            <w:tcW w:w="6448" w:type="dxa"/>
          </w:tcPr>
          <w:p w:rsidR="00C1181A" w:rsidRPr="00C1181A" w:rsidRDefault="00C1181A" w:rsidP="00C1181A">
            <w:pPr>
              <w:numPr>
                <w:ilvl w:val="0"/>
                <w:numId w:val="18"/>
              </w:numPr>
              <w:tabs>
                <w:tab w:val="clear" w:pos="720"/>
                <w:tab w:val="num" w:pos="317"/>
              </w:tabs>
              <w:ind w:left="317" w:hanging="284"/>
              <w:rPr>
                <w:rFonts w:cs="Arial"/>
                <w:lang w:val="en-US"/>
              </w:rPr>
            </w:pPr>
            <w:r w:rsidRPr="00C1181A">
              <w:rPr>
                <w:rFonts w:cs="Arial"/>
                <w:lang w:val="en-US"/>
              </w:rPr>
              <w:t>24 satellites (+3 spares)</w:t>
            </w:r>
          </w:p>
          <w:p w:rsidR="00C1181A" w:rsidRPr="002376BE" w:rsidRDefault="00C1181A" w:rsidP="00C1181A">
            <w:pPr>
              <w:numPr>
                <w:ilvl w:val="0"/>
                <w:numId w:val="18"/>
              </w:numPr>
              <w:tabs>
                <w:tab w:val="clear" w:pos="720"/>
                <w:tab w:val="num" w:pos="317"/>
              </w:tabs>
              <w:ind w:left="317" w:hanging="284"/>
              <w:rPr>
                <w:rFonts w:cs="Arial"/>
              </w:rPr>
            </w:pPr>
            <w:r w:rsidRPr="00C1181A">
              <w:rPr>
                <w:rFonts w:cs="Arial"/>
                <w:lang w:val="en-US"/>
              </w:rPr>
              <w:t>3 planes (8 satellites plus 1 spare per plane) in a 87° circular orbit at 8,200 km</w:t>
            </w:r>
          </w:p>
        </w:tc>
      </w:tr>
      <w:tr w:rsidR="00C1181A" w:rsidRPr="002376BE" w:rsidTr="002376BE">
        <w:tc>
          <w:tcPr>
            <w:tcW w:w="3331" w:type="dxa"/>
          </w:tcPr>
          <w:p w:rsidR="00C1181A" w:rsidRPr="002376BE" w:rsidRDefault="00C1181A" w:rsidP="00E94D84">
            <w:pPr>
              <w:rPr>
                <w:rFonts w:cs="Arial"/>
              </w:rPr>
            </w:pPr>
            <w:proofErr w:type="spellStart"/>
            <w:r w:rsidRPr="00C1181A">
              <w:rPr>
                <w:rFonts w:cs="Arial"/>
                <w:lang w:val="en-US"/>
              </w:rPr>
              <w:t>WorldVu</w:t>
            </w:r>
            <w:proofErr w:type="spellEnd"/>
            <w:r w:rsidRPr="00C1181A">
              <w:rPr>
                <w:rFonts w:cs="Arial"/>
                <w:lang w:val="en-US"/>
              </w:rPr>
              <w:t xml:space="preserve"> Satellites Limited (</w:t>
            </w:r>
            <w:proofErr w:type="spellStart"/>
            <w:r w:rsidRPr="00C1181A">
              <w:rPr>
                <w:rFonts w:cs="Arial"/>
                <w:lang w:val="en-US"/>
              </w:rPr>
              <w:t>Oneweb</w:t>
            </w:r>
            <w:proofErr w:type="spellEnd"/>
            <w:r w:rsidRPr="00C1181A">
              <w:rPr>
                <w:rFonts w:cs="Arial"/>
                <w:lang w:val="en-US"/>
              </w:rPr>
              <w:t>)</w:t>
            </w:r>
          </w:p>
        </w:tc>
        <w:tc>
          <w:tcPr>
            <w:tcW w:w="6448" w:type="dxa"/>
          </w:tcPr>
          <w:p w:rsidR="00C1181A" w:rsidRPr="00C1181A" w:rsidRDefault="00C1181A" w:rsidP="00C1181A">
            <w:pPr>
              <w:numPr>
                <w:ilvl w:val="0"/>
                <w:numId w:val="18"/>
              </w:numPr>
              <w:tabs>
                <w:tab w:val="clear" w:pos="720"/>
                <w:tab w:val="num" w:pos="317"/>
              </w:tabs>
              <w:ind w:left="317" w:hanging="284"/>
              <w:rPr>
                <w:rFonts w:cs="Arial"/>
                <w:lang w:val="en-US"/>
              </w:rPr>
            </w:pPr>
            <w:r w:rsidRPr="00C1181A">
              <w:rPr>
                <w:rFonts w:cs="Arial"/>
                <w:lang w:val="en-US"/>
              </w:rPr>
              <w:t>720 satellites (plus spares)</w:t>
            </w:r>
          </w:p>
          <w:p w:rsidR="00C1181A" w:rsidRPr="002376BE" w:rsidRDefault="00C1181A" w:rsidP="00C1181A">
            <w:pPr>
              <w:numPr>
                <w:ilvl w:val="0"/>
                <w:numId w:val="18"/>
              </w:numPr>
              <w:tabs>
                <w:tab w:val="clear" w:pos="720"/>
                <w:tab w:val="num" w:pos="317"/>
              </w:tabs>
              <w:ind w:left="317" w:hanging="284"/>
              <w:rPr>
                <w:rFonts w:cs="Arial"/>
              </w:rPr>
            </w:pPr>
            <w:r w:rsidRPr="00C1181A">
              <w:rPr>
                <w:rFonts w:cs="Arial"/>
                <w:lang w:val="en-US"/>
              </w:rPr>
              <w:t>18 planes (40 satellites per plane) in a 87.9° circular orbit at 1,200 km</w:t>
            </w:r>
          </w:p>
        </w:tc>
      </w:tr>
    </w:tbl>
    <w:p w:rsidR="00AF4545" w:rsidRDefault="00AF4545" w:rsidP="00E94D84">
      <w:pPr>
        <w:rPr>
          <w:rFonts w:cs="Arial"/>
        </w:rPr>
      </w:pPr>
      <w:r>
        <w:rPr>
          <w:rFonts w:cs="Arial"/>
        </w:rPr>
        <w:t>For the V-bands:</w:t>
      </w:r>
    </w:p>
    <w:p w:rsidR="00AF4545" w:rsidRPr="00AF4545" w:rsidRDefault="00AF4545" w:rsidP="00AF4545">
      <w:pPr>
        <w:rPr>
          <w:rFonts w:cs="Arial"/>
        </w:rPr>
      </w:pPr>
      <w:r w:rsidRPr="00AF4545">
        <w:rPr>
          <w:rFonts w:cs="Arial"/>
        </w:rPr>
        <w:t xml:space="preserve">On June 22, 2016, Boeing submitted a </w:t>
      </w:r>
      <w:r w:rsidR="00BA1DD7" w:rsidRPr="00AF4545">
        <w:rPr>
          <w:rFonts w:cs="Arial"/>
        </w:rPr>
        <w:t>licen</w:t>
      </w:r>
      <w:r w:rsidR="00BA1DD7">
        <w:rPr>
          <w:rFonts w:cs="Arial"/>
        </w:rPr>
        <w:t>c</w:t>
      </w:r>
      <w:r w:rsidR="00BA1DD7" w:rsidRPr="00AF4545">
        <w:rPr>
          <w:rFonts w:cs="Arial"/>
        </w:rPr>
        <w:t xml:space="preserve">e </w:t>
      </w:r>
      <w:r w:rsidRPr="00AF4545">
        <w:rPr>
          <w:rFonts w:cs="Arial"/>
        </w:rPr>
        <w:t>application for a constellation of 2956 satellites, using the following frequency bands:</w:t>
      </w:r>
    </w:p>
    <w:p w:rsidR="00AF4545" w:rsidRPr="00AF4545" w:rsidRDefault="00AF4545" w:rsidP="00AF4545">
      <w:pPr>
        <w:rPr>
          <w:rFonts w:cs="Arial"/>
        </w:rPr>
      </w:pPr>
      <w:r w:rsidRPr="00AF4545">
        <w:rPr>
          <w:rFonts w:cs="Arial"/>
        </w:rPr>
        <w:t>37.5-42.5 GHz (↓); 47.2-50.2 GHz (↑); 50.4-52.4 GHz (↑)</w:t>
      </w:r>
    </w:p>
    <w:p w:rsidR="00AF4545" w:rsidRPr="00AF4545" w:rsidRDefault="00AF4545" w:rsidP="00AF4545">
      <w:pPr>
        <w:rPr>
          <w:rFonts w:cs="Arial"/>
        </w:rPr>
      </w:pPr>
      <w:r w:rsidRPr="00AF4545">
        <w:rPr>
          <w:rFonts w:cs="Arial"/>
        </w:rPr>
        <w:t xml:space="preserve">The Boeing application was placed on </w:t>
      </w:r>
      <w:r>
        <w:rPr>
          <w:rFonts w:cs="Arial"/>
        </w:rPr>
        <w:t xml:space="preserve">Public notice </w:t>
      </w:r>
      <w:r w:rsidRPr="00AF4545">
        <w:rPr>
          <w:rFonts w:cs="Arial"/>
        </w:rPr>
        <w:t xml:space="preserve">on November 1, 2016, and a processing round (“V-band processing round”) was announced. Competing NGSO-like applications were due November 15, 2017 </w:t>
      </w:r>
      <w:r>
        <w:rPr>
          <w:rFonts w:cs="Arial"/>
        </w:rPr>
        <w:t>.</w:t>
      </w:r>
    </w:p>
    <w:p w:rsidR="00AF4545" w:rsidRPr="00AF4545" w:rsidRDefault="00AF4545" w:rsidP="00AF4545">
      <w:pPr>
        <w:rPr>
          <w:rFonts w:cs="Arial"/>
        </w:rPr>
      </w:pPr>
      <w:r w:rsidRPr="00AF4545">
        <w:rPr>
          <w:rFonts w:cs="Arial"/>
        </w:rPr>
        <w:t>The processing round did not include the frequencies 42-42.5 GHz and 51.4-52.4 GHz, and we deferred action on these frequencies</w:t>
      </w:r>
      <w:r>
        <w:rPr>
          <w:rFonts w:cs="Arial"/>
        </w:rPr>
        <w:t>.</w:t>
      </w:r>
    </w:p>
    <w:p w:rsidR="00AF4545" w:rsidRPr="00AF4545" w:rsidRDefault="00AF4545" w:rsidP="00AF4545">
      <w:pPr>
        <w:rPr>
          <w:rFonts w:cs="Arial"/>
        </w:rPr>
      </w:pPr>
      <w:r w:rsidRPr="00AF4545">
        <w:rPr>
          <w:rFonts w:cs="Arial"/>
        </w:rPr>
        <w:t>Six other applications we</w:t>
      </w:r>
      <w:r>
        <w:rPr>
          <w:rFonts w:cs="Arial"/>
        </w:rPr>
        <w:t>re received by the cut-off date.</w:t>
      </w:r>
    </w:p>
    <w:p w:rsidR="00AF4545" w:rsidRPr="00AF4545" w:rsidRDefault="00AF4545" w:rsidP="00AF4545">
      <w:pPr>
        <w:rPr>
          <w:rFonts w:cs="Arial"/>
        </w:rPr>
      </w:pPr>
      <w:r w:rsidRPr="00AF4545">
        <w:rPr>
          <w:rFonts w:cs="Arial"/>
        </w:rPr>
        <w:t>Audacy and ViaSat Ku-Ka applications contained V-band frequencies and were included in the processing round, bringing the total number of V-band applications to nine</w:t>
      </w:r>
      <w:r>
        <w:rPr>
          <w:rFonts w:cs="Arial"/>
        </w:rPr>
        <w:t>.</w:t>
      </w:r>
    </w:p>
    <w:p w:rsidR="00AF4545" w:rsidRPr="00AF4545" w:rsidRDefault="00AF4545" w:rsidP="00AF4545">
      <w:pPr>
        <w:rPr>
          <w:rFonts w:cs="Arial"/>
        </w:rPr>
      </w:pPr>
      <w:r w:rsidRPr="00AF4545">
        <w:rPr>
          <w:rFonts w:cs="Arial"/>
        </w:rPr>
        <w:t>Boeing filed an amendment to its initial application to reduce the orbit height</w:t>
      </w:r>
      <w:r>
        <w:rPr>
          <w:rFonts w:cs="Arial"/>
        </w:rPr>
        <w:t>.</w:t>
      </w:r>
    </w:p>
    <w:p w:rsidR="00AF4545" w:rsidRPr="00AF4545" w:rsidRDefault="00AF4545" w:rsidP="00AF4545">
      <w:pPr>
        <w:rPr>
          <w:rFonts w:cs="Arial"/>
        </w:rPr>
      </w:pPr>
      <w:r w:rsidRPr="00AF4545">
        <w:rPr>
          <w:rFonts w:cs="Arial"/>
        </w:rPr>
        <w:t>The amended Boeing application was placed on P</w:t>
      </w:r>
      <w:r>
        <w:rPr>
          <w:rFonts w:cs="Arial"/>
        </w:rPr>
        <w:t xml:space="preserve">ublic notice </w:t>
      </w:r>
      <w:r w:rsidRPr="00AF4545">
        <w:rPr>
          <w:rFonts w:cs="Arial"/>
        </w:rPr>
        <w:t>on May 19, 2017</w:t>
      </w:r>
      <w:r>
        <w:rPr>
          <w:rFonts w:cs="Arial"/>
        </w:rPr>
        <w:t>.</w:t>
      </w:r>
    </w:p>
    <w:p w:rsidR="00AF4545" w:rsidRDefault="00AF4545" w:rsidP="00AF4545">
      <w:pPr>
        <w:rPr>
          <w:rFonts w:cs="Arial"/>
        </w:rPr>
      </w:pPr>
      <w:r w:rsidRPr="00AF4545">
        <w:rPr>
          <w:rFonts w:cs="Arial"/>
        </w:rPr>
        <w:t>The other applications are expected to be placed on P</w:t>
      </w:r>
      <w:r>
        <w:rPr>
          <w:rFonts w:cs="Arial"/>
        </w:rPr>
        <w:t>ublic Notice</w:t>
      </w:r>
      <w:r w:rsidRPr="00AF4545">
        <w:rPr>
          <w:rFonts w:cs="Arial"/>
        </w:rPr>
        <w:t xml:space="preserve"> soon</w:t>
      </w:r>
      <w:r>
        <w:rPr>
          <w:rFonts w:cs="Arial"/>
        </w:rPr>
        <w:t>.</w:t>
      </w:r>
    </w:p>
    <w:tbl>
      <w:tblPr>
        <w:tblStyle w:val="ECCTable-redheader"/>
        <w:tblW w:w="0" w:type="auto"/>
        <w:tblInd w:w="0" w:type="dxa"/>
        <w:tblLook w:val="04A0" w:firstRow="1" w:lastRow="0" w:firstColumn="1" w:lastColumn="0" w:noHBand="0" w:noVBand="1"/>
      </w:tblPr>
      <w:tblGrid>
        <w:gridCol w:w="3331"/>
        <w:gridCol w:w="6448"/>
      </w:tblGrid>
      <w:tr w:rsidR="00C1181A" w:rsidRPr="002376BE" w:rsidTr="008B1723">
        <w:trPr>
          <w:cnfStyle w:val="100000000000" w:firstRow="1" w:lastRow="0" w:firstColumn="0" w:lastColumn="0" w:oddVBand="0" w:evenVBand="0" w:oddHBand="0" w:evenHBand="0" w:firstRowFirstColumn="0" w:firstRowLastColumn="0" w:lastRowFirstColumn="0" w:lastRowLastColumn="0"/>
        </w:trPr>
        <w:tc>
          <w:tcPr>
            <w:tcW w:w="3331" w:type="dxa"/>
          </w:tcPr>
          <w:p w:rsidR="00C1181A" w:rsidRPr="002376BE" w:rsidRDefault="00C1181A" w:rsidP="008B1723">
            <w:pPr>
              <w:rPr>
                <w:rFonts w:cs="Arial"/>
                <w:i w:val="0"/>
              </w:rPr>
            </w:pPr>
            <w:r w:rsidRPr="002376BE">
              <w:rPr>
                <w:rFonts w:cs="Arial"/>
                <w:i w:val="0"/>
              </w:rPr>
              <w:t xml:space="preserve">Applicant </w:t>
            </w:r>
          </w:p>
        </w:tc>
        <w:tc>
          <w:tcPr>
            <w:tcW w:w="6448" w:type="dxa"/>
          </w:tcPr>
          <w:p w:rsidR="00C1181A" w:rsidRPr="002376BE" w:rsidRDefault="00C1181A" w:rsidP="008B1723">
            <w:pPr>
              <w:rPr>
                <w:rFonts w:cs="Arial"/>
                <w:i w:val="0"/>
              </w:rPr>
            </w:pPr>
            <w:r>
              <w:rPr>
                <w:rFonts w:cs="Arial"/>
                <w:i w:val="0"/>
              </w:rPr>
              <w:t>Constellation structure</w:t>
            </w:r>
          </w:p>
        </w:tc>
      </w:tr>
      <w:tr w:rsidR="00C1181A" w:rsidRPr="002376BE" w:rsidTr="008B1723">
        <w:tc>
          <w:tcPr>
            <w:tcW w:w="3331" w:type="dxa"/>
          </w:tcPr>
          <w:p w:rsidR="00C1181A" w:rsidRPr="002376BE" w:rsidRDefault="00C1181A" w:rsidP="008B1723">
            <w:pPr>
              <w:rPr>
                <w:rFonts w:cs="Arial"/>
              </w:rPr>
            </w:pPr>
            <w:r w:rsidRPr="00C1181A">
              <w:rPr>
                <w:rFonts w:cs="Arial"/>
                <w:lang w:val="en-US"/>
              </w:rPr>
              <w:t>Boeing</w:t>
            </w:r>
          </w:p>
        </w:tc>
        <w:tc>
          <w:tcPr>
            <w:tcW w:w="6448" w:type="dxa"/>
          </w:tcPr>
          <w:p w:rsidR="00C1181A" w:rsidRPr="00C1181A" w:rsidRDefault="00C1181A" w:rsidP="00C1181A">
            <w:pPr>
              <w:numPr>
                <w:ilvl w:val="0"/>
                <w:numId w:val="18"/>
              </w:numPr>
              <w:tabs>
                <w:tab w:val="clear" w:pos="720"/>
                <w:tab w:val="num" w:pos="317"/>
              </w:tabs>
              <w:ind w:hanging="687"/>
              <w:rPr>
                <w:rFonts w:cs="Arial"/>
                <w:lang w:val="da-DK"/>
              </w:rPr>
            </w:pPr>
            <w:r w:rsidRPr="00C1181A">
              <w:rPr>
                <w:rFonts w:cs="Arial"/>
                <w:lang w:val="en-US"/>
              </w:rPr>
              <w:t>Initial Deployment</w:t>
            </w:r>
          </w:p>
          <w:p w:rsidR="00C1181A" w:rsidRPr="00C1181A" w:rsidRDefault="00C1181A" w:rsidP="00C1181A">
            <w:pPr>
              <w:numPr>
                <w:ilvl w:val="1"/>
                <w:numId w:val="22"/>
              </w:numPr>
              <w:tabs>
                <w:tab w:val="clear" w:pos="1440"/>
                <w:tab w:val="num" w:pos="317"/>
                <w:tab w:val="num" w:pos="742"/>
              </w:tabs>
              <w:ind w:left="742" w:hanging="283"/>
              <w:rPr>
                <w:rFonts w:cs="Arial"/>
                <w:lang w:val="en-US"/>
              </w:rPr>
            </w:pPr>
            <w:r w:rsidRPr="00C1181A">
              <w:rPr>
                <w:rFonts w:cs="Arial"/>
                <w:lang w:val="en-US"/>
              </w:rPr>
              <w:t>1396 satellites: 35 planes (32 satellites per plane) in a 45° circular orbit at 1,030 km; 6 planes (46 satellites per plane) in a 55° circular orbit at 1,082 km</w:t>
            </w:r>
          </w:p>
          <w:p w:rsidR="00C1181A" w:rsidRPr="00C1181A" w:rsidRDefault="00C1181A" w:rsidP="00C1181A">
            <w:pPr>
              <w:numPr>
                <w:ilvl w:val="0"/>
                <w:numId w:val="18"/>
              </w:numPr>
              <w:tabs>
                <w:tab w:val="clear" w:pos="720"/>
                <w:tab w:val="num" w:pos="317"/>
              </w:tabs>
              <w:ind w:hanging="687"/>
              <w:rPr>
                <w:rFonts w:cs="Arial"/>
                <w:lang w:val="da-DK"/>
              </w:rPr>
            </w:pPr>
            <w:r w:rsidRPr="00C1181A">
              <w:rPr>
                <w:rFonts w:cs="Arial"/>
                <w:lang w:val="en-US"/>
              </w:rPr>
              <w:t>Final Deployment:</w:t>
            </w:r>
          </w:p>
          <w:p w:rsidR="00C1181A" w:rsidRPr="002376BE" w:rsidRDefault="00C1181A" w:rsidP="00C1181A">
            <w:pPr>
              <w:numPr>
                <w:ilvl w:val="1"/>
                <w:numId w:val="22"/>
              </w:numPr>
              <w:tabs>
                <w:tab w:val="clear" w:pos="1440"/>
                <w:tab w:val="num" w:pos="317"/>
                <w:tab w:val="num" w:pos="742"/>
              </w:tabs>
              <w:ind w:left="742" w:hanging="283"/>
              <w:rPr>
                <w:rFonts w:cs="Arial"/>
                <w:lang w:val="en-US"/>
              </w:rPr>
            </w:pPr>
            <w:r w:rsidRPr="00C1181A">
              <w:rPr>
                <w:rFonts w:cs="Arial"/>
                <w:lang w:val="en-US"/>
              </w:rPr>
              <w:t>1560 additional satellites: 12 more planes (46 satellites per plane) in a 55° circular orbit at 1,082 km; 21 planes (48 satellites per plane) in a 88° circular orbit at 970 km</w:t>
            </w:r>
          </w:p>
        </w:tc>
      </w:tr>
      <w:tr w:rsidR="00C1181A" w:rsidRPr="002376BE" w:rsidTr="008B1723">
        <w:tc>
          <w:tcPr>
            <w:tcW w:w="3331" w:type="dxa"/>
          </w:tcPr>
          <w:p w:rsidR="00C1181A" w:rsidRPr="002376BE" w:rsidRDefault="00C1181A" w:rsidP="008B1723">
            <w:pPr>
              <w:rPr>
                <w:rFonts w:cs="Arial"/>
              </w:rPr>
            </w:pPr>
            <w:r w:rsidRPr="00C1181A">
              <w:rPr>
                <w:rFonts w:cs="Arial"/>
                <w:lang w:val="en-US"/>
              </w:rPr>
              <w:t>Theia</w:t>
            </w:r>
          </w:p>
        </w:tc>
        <w:tc>
          <w:tcPr>
            <w:tcW w:w="6448" w:type="dxa"/>
          </w:tcPr>
          <w:p w:rsidR="00C1181A" w:rsidRPr="00C1181A" w:rsidRDefault="00C1181A" w:rsidP="00C1181A">
            <w:pPr>
              <w:numPr>
                <w:ilvl w:val="0"/>
                <w:numId w:val="18"/>
              </w:numPr>
              <w:tabs>
                <w:tab w:val="clear" w:pos="720"/>
                <w:tab w:val="num" w:pos="317"/>
              </w:tabs>
              <w:ind w:left="317" w:hanging="284"/>
              <w:rPr>
                <w:rFonts w:cs="Arial"/>
              </w:rPr>
            </w:pPr>
            <w:r w:rsidRPr="00C1181A">
              <w:rPr>
                <w:rFonts w:cs="Arial"/>
                <w:lang w:val="en-US"/>
              </w:rPr>
              <w:t>112 satellites (previously filed)</w:t>
            </w:r>
          </w:p>
        </w:tc>
      </w:tr>
      <w:tr w:rsidR="00C1181A" w:rsidRPr="002376BE" w:rsidTr="00740E1F">
        <w:tc>
          <w:tcPr>
            <w:tcW w:w="3331" w:type="dxa"/>
            <w:vAlign w:val="top"/>
          </w:tcPr>
          <w:p w:rsidR="00C1181A" w:rsidRPr="003F7CDA" w:rsidRDefault="00C1181A" w:rsidP="006C6153">
            <w:proofErr w:type="spellStart"/>
            <w:r w:rsidRPr="003F7CDA">
              <w:t>Audacy</w:t>
            </w:r>
            <w:proofErr w:type="spellEnd"/>
          </w:p>
        </w:tc>
        <w:tc>
          <w:tcPr>
            <w:tcW w:w="6448" w:type="dxa"/>
            <w:vAlign w:val="top"/>
          </w:tcPr>
          <w:p w:rsidR="00C1181A" w:rsidRPr="003F7CDA" w:rsidRDefault="00C1181A" w:rsidP="00C1181A">
            <w:pPr>
              <w:numPr>
                <w:ilvl w:val="0"/>
                <w:numId w:val="18"/>
              </w:numPr>
              <w:tabs>
                <w:tab w:val="clear" w:pos="720"/>
                <w:tab w:val="num" w:pos="317"/>
              </w:tabs>
              <w:ind w:left="317" w:hanging="284"/>
            </w:pPr>
            <w:r w:rsidRPr="003F7CDA">
              <w:t>3 satellites (previously filed)</w:t>
            </w:r>
          </w:p>
        </w:tc>
      </w:tr>
      <w:tr w:rsidR="00C1181A" w:rsidRPr="002376BE" w:rsidTr="001A607A">
        <w:tc>
          <w:tcPr>
            <w:tcW w:w="3331" w:type="dxa"/>
            <w:vAlign w:val="top"/>
          </w:tcPr>
          <w:p w:rsidR="00C1181A" w:rsidRPr="00C96C2E" w:rsidRDefault="00C1181A" w:rsidP="0006682D">
            <w:r w:rsidRPr="00C96C2E">
              <w:t>SpaceX</w:t>
            </w:r>
          </w:p>
        </w:tc>
        <w:tc>
          <w:tcPr>
            <w:tcW w:w="6448" w:type="dxa"/>
            <w:vAlign w:val="top"/>
          </w:tcPr>
          <w:p w:rsidR="00C1181A" w:rsidRPr="00C96C2E" w:rsidRDefault="00C1181A" w:rsidP="00C1181A">
            <w:pPr>
              <w:numPr>
                <w:ilvl w:val="0"/>
                <w:numId w:val="18"/>
              </w:numPr>
              <w:tabs>
                <w:tab w:val="clear" w:pos="720"/>
                <w:tab w:val="num" w:pos="317"/>
              </w:tabs>
              <w:ind w:left="317" w:hanging="284"/>
            </w:pPr>
            <w:r w:rsidRPr="00C96C2E">
              <w:t>Some of the 4425 satellites (previously filed) + 7518 LEO satellites (altitudes between 335 and 336 km)</w:t>
            </w:r>
          </w:p>
        </w:tc>
      </w:tr>
      <w:tr w:rsidR="00C1181A" w:rsidRPr="002376BE" w:rsidTr="00D0200B">
        <w:tc>
          <w:tcPr>
            <w:tcW w:w="3331" w:type="dxa"/>
            <w:vAlign w:val="top"/>
          </w:tcPr>
          <w:p w:rsidR="00C1181A" w:rsidRPr="009368EB" w:rsidRDefault="00C1181A" w:rsidP="00940D42">
            <w:r w:rsidRPr="009368EB">
              <w:t>Boeing 2</w:t>
            </w:r>
          </w:p>
        </w:tc>
        <w:tc>
          <w:tcPr>
            <w:tcW w:w="6448" w:type="dxa"/>
            <w:vAlign w:val="top"/>
          </w:tcPr>
          <w:p w:rsidR="00C1181A" w:rsidRPr="009368EB" w:rsidRDefault="00C1181A" w:rsidP="00C1181A">
            <w:pPr>
              <w:numPr>
                <w:ilvl w:val="0"/>
                <w:numId w:val="18"/>
              </w:numPr>
              <w:tabs>
                <w:tab w:val="clear" w:pos="720"/>
                <w:tab w:val="num" w:pos="317"/>
              </w:tabs>
              <w:ind w:left="317" w:hanging="284"/>
            </w:pPr>
            <w:r w:rsidRPr="009368EB">
              <w:t xml:space="preserve">147 satellites (132 LEO – 1,056 km altitude; and 15 highly inclined </w:t>
            </w:r>
            <w:r w:rsidRPr="009368EB">
              <w:lastRenderedPageBreak/>
              <w:t xml:space="preserve">NGSO at altitudes between 27,355 and 44,221 km)  </w:t>
            </w:r>
          </w:p>
        </w:tc>
      </w:tr>
      <w:tr w:rsidR="008E5A70" w:rsidRPr="002376BE" w:rsidTr="002768C0">
        <w:tc>
          <w:tcPr>
            <w:tcW w:w="3331" w:type="dxa"/>
            <w:vAlign w:val="top"/>
          </w:tcPr>
          <w:p w:rsidR="008E5A70" w:rsidRPr="00ED3271" w:rsidRDefault="008E5A70" w:rsidP="00DC62DD">
            <w:proofErr w:type="spellStart"/>
            <w:r w:rsidRPr="00ED3271">
              <w:lastRenderedPageBreak/>
              <w:t>Telesat</w:t>
            </w:r>
            <w:proofErr w:type="spellEnd"/>
          </w:p>
        </w:tc>
        <w:tc>
          <w:tcPr>
            <w:tcW w:w="6448" w:type="dxa"/>
            <w:vAlign w:val="top"/>
          </w:tcPr>
          <w:p w:rsidR="008E5A70" w:rsidRPr="00ED3271" w:rsidRDefault="008E5A70" w:rsidP="008E5A70">
            <w:pPr>
              <w:numPr>
                <w:ilvl w:val="0"/>
                <w:numId w:val="18"/>
              </w:numPr>
              <w:tabs>
                <w:tab w:val="clear" w:pos="720"/>
                <w:tab w:val="num" w:pos="317"/>
              </w:tabs>
              <w:ind w:left="317" w:hanging="284"/>
            </w:pPr>
            <w:r w:rsidRPr="00ED3271">
              <w:t>117 (follow-on to the 117 Ku/</w:t>
            </w:r>
            <w:proofErr w:type="spellStart"/>
            <w:r w:rsidRPr="00ED3271">
              <w:t>Ka</w:t>
            </w:r>
            <w:proofErr w:type="spellEnd"/>
            <w:r w:rsidRPr="00ED3271">
              <w:t xml:space="preserve"> satellites)</w:t>
            </w:r>
          </w:p>
        </w:tc>
      </w:tr>
      <w:tr w:rsidR="008E5A70" w:rsidRPr="002376BE" w:rsidTr="00C42C58">
        <w:tc>
          <w:tcPr>
            <w:tcW w:w="3331" w:type="dxa"/>
            <w:vAlign w:val="top"/>
          </w:tcPr>
          <w:p w:rsidR="008E5A70" w:rsidRPr="00263A95" w:rsidRDefault="008E5A70" w:rsidP="00FF54AB">
            <w:proofErr w:type="spellStart"/>
            <w:r w:rsidRPr="00263A95">
              <w:t>OneWeb</w:t>
            </w:r>
            <w:proofErr w:type="spellEnd"/>
          </w:p>
        </w:tc>
        <w:tc>
          <w:tcPr>
            <w:tcW w:w="6448" w:type="dxa"/>
            <w:vAlign w:val="top"/>
          </w:tcPr>
          <w:p w:rsidR="008E5A70" w:rsidRPr="00263A95" w:rsidRDefault="008E5A70" w:rsidP="008E5A70">
            <w:pPr>
              <w:numPr>
                <w:ilvl w:val="0"/>
                <w:numId w:val="18"/>
              </w:numPr>
              <w:tabs>
                <w:tab w:val="clear" w:pos="720"/>
                <w:tab w:val="num" w:pos="317"/>
              </w:tabs>
              <w:ind w:left="317" w:hanging="284"/>
            </w:pPr>
            <w:r w:rsidRPr="00263A95">
              <w:t>720 (previously filed) + 1280 MEO satellites at 8,500 km nominal altitude</w:t>
            </w:r>
          </w:p>
        </w:tc>
      </w:tr>
      <w:tr w:rsidR="008E5A70" w:rsidRPr="002376BE" w:rsidTr="00B617AC">
        <w:tc>
          <w:tcPr>
            <w:tcW w:w="3331" w:type="dxa"/>
            <w:vAlign w:val="top"/>
          </w:tcPr>
          <w:p w:rsidR="008E5A70" w:rsidRPr="00E90AD3" w:rsidRDefault="008E5A70" w:rsidP="00B5284D">
            <w:r w:rsidRPr="00E90AD3">
              <w:t>O3b</w:t>
            </w:r>
          </w:p>
        </w:tc>
        <w:tc>
          <w:tcPr>
            <w:tcW w:w="6448" w:type="dxa"/>
            <w:vAlign w:val="top"/>
          </w:tcPr>
          <w:p w:rsidR="008E5A70" w:rsidRPr="00E90AD3" w:rsidRDefault="008E5A70" w:rsidP="008E5A70">
            <w:pPr>
              <w:numPr>
                <w:ilvl w:val="0"/>
                <w:numId w:val="18"/>
              </w:numPr>
              <w:tabs>
                <w:tab w:val="clear" w:pos="720"/>
                <w:tab w:val="num" w:pos="317"/>
              </w:tabs>
              <w:ind w:left="317" w:hanging="284"/>
            </w:pPr>
            <w:r w:rsidRPr="00E90AD3">
              <w:t>24 (previously filed)</w:t>
            </w:r>
          </w:p>
        </w:tc>
      </w:tr>
      <w:tr w:rsidR="008E5A70" w:rsidRPr="002376BE" w:rsidTr="004E5259">
        <w:tc>
          <w:tcPr>
            <w:tcW w:w="3331" w:type="dxa"/>
            <w:vAlign w:val="top"/>
          </w:tcPr>
          <w:p w:rsidR="008E5A70" w:rsidRPr="00441434" w:rsidRDefault="008E5A70" w:rsidP="00EC1051">
            <w:proofErr w:type="spellStart"/>
            <w:r w:rsidRPr="00441434">
              <w:t>ViaSat</w:t>
            </w:r>
            <w:proofErr w:type="spellEnd"/>
          </w:p>
        </w:tc>
        <w:tc>
          <w:tcPr>
            <w:tcW w:w="6448" w:type="dxa"/>
            <w:vAlign w:val="top"/>
          </w:tcPr>
          <w:p w:rsidR="008E5A70" w:rsidRPr="00441434" w:rsidRDefault="008E5A70" w:rsidP="008E5A70">
            <w:pPr>
              <w:numPr>
                <w:ilvl w:val="0"/>
                <w:numId w:val="18"/>
              </w:numPr>
              <w:tabs>
                <w:tab w:val="clear" w:pos="720"/>
                <w:tab w:val="num" w:pos="317"/>
              </w:tabs>
              <w:ind w:left="317" w:hanging="284"/>
            </w:pPr>
            <w:r w:rsidRPr="00441434">
              <w:t>24 (previously filed)</w:t>
            </w:r>
          </w:p>
        </w:tc>
      </w:tr>
    </w:tbl>
    <w:p w:rsidR="00AF4545" w:rsidRDefault="00AF4545" w:rsidP="00E94D84">
      <w:pPr>
        <w:rPr>
          <w:rFonts w:cs="Arial"/>
        </w:rPr>
      </w:pPr>
      <w:bookmarkStart w:id="3" w:name="_GoBack"/>
      <w:bookmarkEnd w:id="3"/>
    </w:p>
    <w:p w:rsidR="00E94D84" w:rsidRPr="00273ECA" w:rsidRDefault="00E94D84" w:rsidP="00E94D84">
      <w:pPr>
        <w:rPr>
          <w:rFonts w:cs="Arial"/>
        </w:rPr>
      </w:pPr>
      <w:r w:rsidRPr="00273ECA">
        <w:rPr>
          <w:rFonts w:cs="Arial"/>
        </w:rPr>
        <w:t xml:space="preserve">NGSO satellites communicate primarily with omnidirectional ground antennas, therefore, it is not possible to </w:t>
      </w:r>
      <w:proofErr w:type="gramStart"/>
      <w:r w:rsidRPr="00273ECA">
        <w:rPr>
          <w:rFonts w:cs="Arial"/>
        </w:rPr>
        <w:t>reuse</w:t>
      </w:r>
      <w:proofErr w:type="gramEnd"/>
      <w:r w:rsidRPr="00273ECA">
        <w:rPr>
          <w:rFonts w:cs="Arial"/>
        </w:rPr>
        <w:t xml:space="preserve"> frequency bands as is the case with GSO satellites where directional ground antennas can point to a single satellite. For this reason, dividing spectrum equally among the qualified NGSO applicants seems to be the most equitable solution. Keep in mind that it is possible for the parties to negotiate their bandwidth assignments before the final </w:t>
      </w:r>
      <w:r w:rsidR="00BA1DD7" w:rsidRPr="00273ECA">
        <w:rPr>
          <w:rFonts w:cs="Arial"/>
        </w:rPr>
        <w:t>licen</w:t>
      </w:r>
      <w:r w:rsidR="00BA1DD7">
        <w:rPr>
          <w:rFonts w:cs="Arial"/>
        </w:rPr>
        <w:t>c</w:t>
      </w:r>
      <w:r w:rsidR="00BA1DD7" w:rsidRPr="00273ECA">
        <w:rPr>
          <w:rFonts w:cs="Arial"/>
        </w:rPr>
        <w:t xml:space="preserve">es </w:t>
      </w:r>
      <w:r w:rsidRPr="00273ECA">
        <w:rPr>
          <w:rFonts w:cs="Arial"/>
        </w:rPr>
        <w:t xml:space="preserve">are granted, and even to purchase spectrum rights from one another after the </w:t>
      </w:r>
      <w:r w:rsidR="00BA1DD7" w:rsidRPr="00273ECA">
        <w:rPr>
          <w:rFonts w:cs="Arial"/>
        </w:rPr>
        <w:t>licen</w:t>
      </w:r>
      <w:r w:rsidR="00BA1DD7">
        <w:rPr>
          <w:rFonts w:cs="Arial"/>
        </w:rPr>
        <w:t>c</w:t>
      </w:r>
      <w:r w:rsidR="00BA1DD7" w:rsidRPr="00273ECA">
        <w:rPr>
          <w:rFonts w:cs="Arial"/>
        </w:rPr>
        <w:t xml:space="preserve">es </w:t>
      </w:r>
      <w:r w:rsidRPr="00273ECA">
        <w:rPr>
          <w:rFonts w:cs="Arial"/>
        </w:rPr>
        <w:t>are granted.</w:t>
      </w:r>
    </w:p>
    <w:p w:rsidR="00E94D84" w:rsidRPr="007E5F6B" w:rsidRDefault="00E94D84" w:rsidP="00E94D84">
      <w:pPr>
        <w:rPr>
          <w:rFonts w:cs="Arial"/>
        </w:rPr>
      </w:pPr>
      <w:r w:rsidRPr="007E5F6B">
        <w:rPr>
          <w:rFonts w:cs="Arial"/>
        </w:rPr>
        <w:t>The first-come, first-serve approach as well as the group review approach assume three things: (1) that there is an international frequency allocation by the International Telecommunications Union (ITU); (2) that there is a domestic frequency allocation by the FCC; and (3) that there exist FCC service rules for the frequency allocation.</w:t>
      </w:r>
    </w:p>
    <w:p w:rsidR="00E94D84" w:rsidRPr="007E5F6B" w:rsidRDefault="00E94D84" w:rsidP="00E94D84">
      <w:pPr>
        <w:rPr>
          <w:rFonts w:cs="Arial"/>
        </w:rPr>
      </w:pPr>
      <w:r w:rsidRPr="007E5F6B">
        <w:rPr>
          <w:rFonts w:cs="Arial"/>
        </w:rPr>
        <w:t>If an application if filed before there is an ITU allocation, the FCC will dismiss the application as premature. In turn, if an application is filed after there is an ITU allocation but before an FCC allocation, the applicant must file a waiver of the domestic Table of Frequency Allocations.</w:t>
      </w:r>
    </w:p>
    <w:p w:rsidR="00E94D84" w:rsidRPr="007E5F6B" w:rsidRDefault="00E94D84" w:rsidP="00E94D84">
      <w:pPr>
        <w:rPr>
          <w:rFonts w:cs="Arial"/>
        </w:rPr>
      </w:pPr>
      <w:r w:rsidRPr="007E5F6B">
        <w:rPr>
          <w:rFonts w:cs="Arial"/>
        </w:rPr>
        <w:t xml:space="preserve">Finally, if an application is filed after allocations are in place, but before FCC service rules, the FCC will allow the operation of the satellite under default rules until rules are enacted. </w:t>
      </w:r>
    </w:p>
    <w:p w:rsidR="00E94D84" w:rsidRDefault="00E94D84" w:rsidP="00E94D84">
      <w:pPr>
        <w:rPr>
          <w:rFonts w:cs="Arial"/>
        </w:rPr>
      </w:pPr>
      <w:r w:rsidRPr="007E5F6B">
        <w:rPr>
          <w:rFonts w:cs="Arial"/>
        </w:rPr>
        <w:t>To help deter speculative applications and to ensure that applicants make a financial commitment to construct and launch their satellites, the FCC requires the posting of a multi-million dollar bond. In addition to the bond, applicants are required to meet certain milestones which include contract execution, a design review, commencement of satellite construction and launch. The bond requirement is reduced proportionally after each milestone is met.</w:t>
      </w:r>
    </w:p>
    <w:p w:rsidR="00AF4545" w:rsidRDefault="00AF4545" w:rsidP="00E94D84">
      <w:pPr>
        <w:rPr>
          <w:rFonts w:cs="Arial"/>
        </w:rPr>
      </w:pPr>
      <w:r>
        <w:rPr>
          <w:rFonts w:cs="Arial"/>
        </w:rPr>
        <w:t>The processing of applications will be conducted by the FCC with the following intentions:</w:t>
      </w:r>
    </w:p>
    <w:p w:rsidR="00AF4545" w:rsidRPr="00AF4545" w:rsidRDefault="00AF4545" w:rsidP="00AF4545">
      <w:pPr>
        <w:pStyle w:val="ListParagraph"/>
        <w:numPr>
          <w:ilvl w:val="0"/>
          <w:numId w:val="40"/>
        </w:numPr>
        <w:rPr>
          <w:rFonts w:cs="Arial"/>
        </w:rPr>
      </w:pPr>
      <w:r w:rsidRPr="00AF4545">
        <w:rPr>
          <w:rFonts w:cs="Arial"/>
        </w:rPr>
        <w:t>All NGSO FSS requests that comply with applicable FCC rules will be granted</w:t>
      </w:r>
      <w:r>
        <w:rPr>
          <w:rFonts w:cs="Arial"/>
        </w:rPr>
        <w:t xml:space="preserve">; </w:t>
      </w:r>
    </w:p>
    <w:p w:rsidR="00AF4545" w:rsidRPr="00AF4545" w:rsidRDefault="00AF4545" w:rsidP="00AF4545">
      <w:pPr>
        <w:pStyle w:val="ListParagraph"/>
        <w:numPr>
          <w:ilvl w:val="0"/>
          <w:numId w:val="40"/>
        </w:numPr>
        <w:rPr>
          <w:rFonts w:cs="Arial"/>
        </w:rPr>
      </w:pPr>
      <w:r w:rsidRPr="00AF4545">
        <w:rPr>
          <w:rFonts w:cs="Arial"/>
        </w:rPr>
        <w:t>In particular, constellations have to meet requirements governing sharing with other operations in each particular band</w:t>
      </w:r>
      <w:r>
        <w:rPr>
          <w:rFonts w:cs="Arial"/>
        </w:rPr>
        <w:t>;</w:t>
      </w:r>
    </w:p>
    <w:p w:rsidR="00AF4545" w:rsidRPr="00AF4545" w:rsidRDefault="00AF4545" w:rsidP="00AF4545">
      <w:pPr>
        <w:pStyle w:val="ListParagraph"/>
        <w:numPr>
          <w:ilvl w:val="0"/>
          <w:numId w:val="40"/>
        </w:numPr>
        <w:rPr>
          <w:rFonts w:cs="Arial"/>
        </w:rPr>
      </w:pPr>
      <w:r w:rsidRPr="00AF4545">
        <w:rPr>
          <w:rFonts w:cs="Arial"/>
        </w:rPr>
        <w:t>In all Ku-band frequencies, and in Ka-band frequencies outside the ranges 18.8-19.3 GHz (↓) and 28.6-29.1 GHz (↑), NGSO FSS operations must protect GSO FSS and GSO BSS operations by meeting the applicable EPFD (equivalent power flux-density) limits</w:t>
      </w:r>
      <w:r w:rsidR="00C2287A">
        <w:rPr>
          <w:rFonts w:cs="Arial"/>
        </w:rPr>
        <w:t xml:space="preserve">; </w:t>
      </w:r>
    </w:p>
    <w:p w:rsidR="00AF4545" w:rsidRPr="00C2287A" w:rsidRDefault="00AF4545" w:rsidP="00C2287A">
      <w:pPr>
        <w:pStyle w:val="ListParagraph"/>
        <w:numPr>
          <w:ilvl w:val="0"/>
          <w:numId w:val="40"/>
        </w:numPr>
        <w:rPr>
          <w:rFonts w:cs="Arial"/>
        </w:rPr>
      </w:pPr>
      <w:r w:rsidRPr="00C2287A">
        <w:rPr>
          <w:rFonts w:cs="Arial"/>
        </w:rPr>
        <w:t>Also, in most frequencies used for space-to-Earth transmissions, NGSO FSS constellations must protect terrestrial services by meeting PFD (power flux-density) limits</w:t>
      </w:r>
      <w:r w:rsidR="00C2287A">
        <w:rPr>
          <w:rFonts w:cs="Arial"/>
        </w:rPr>
        <w:t>;</w:t>
      </w:r>
    </w:p>
    <w:p w:rsidR="00AF4545" w:rsidRPr="00C2287A" w:rsidRDefault="00AF4545" w:rsidP="00C2287A">
      <w:pPr>
        <w:pStyle w:val="ListParagraph"/>
        <w:numPr>
          <w:ilvl w:val="0"/>
          <w:numId w:val="40"/>
        </w:numPr>
        <w:rPr>
          <w:rFonts w:cs="Arial"/>
        </w:rPr>
      </w:pPr>
      <w:r w:rsidRPr="00C2287A">
        <w:rPr>
          <w:rFonts w:cs="Arial"/>
        </w:rPr>
        <w:t>With respect to sharing between NGSO FSS systems, there will be periods of time when there is potential for interference, e.g., when an earth station of one system is aligned, or close to alignment, with a satellite in its system and a satellite of another system (an “in-line event”)</w:t>
      </w:r>
      <w:r w:rsidR="00C2287A">
        <w:rPr>
          <w:rFonts w:cs="Arial"/>
        </w:rPr>
        <w:t>;</w:t>
      </w:r>
    </w:p>
    <w:p w:rsidR="00AF4545" w:rsidRPr="00C2287A" w:rsidRDefault="00AF4545" w:rsidP="00C2287A">
      <w:pPr>
        <w:pStyle w:val="ListParagraph"/>
        <w:numPr>
          <w:ilvl w:val="0"/>
          <w:numId w:val="40"/>
        </w:numPr>
        <w:rPr>
          <w:rFonts w:cs="Arial"/>
        </w:rPr>
      </w:pPr>
      <w:r w:rsidRPr="00C2287A">
        <w:rPr>
          <w:rFonts w:cs="Arial"/>
        </w:rPr>
        <w:t>During an in-line event, the two systems have to coordinate or, in the absence of an agreement, spectrum licensed to both systems will be split between the two (or among all the systems involved in the in-line event)</w:t>
      </w:r>
      <w:r w:rsidR="00C2287A">
        <w:rPr>
          <w:rFonts w:cs="Arial"/>
        </w:rPr>
        <w:t xml:space="preserve">; </w:t>
      </w:r>
    </w:p>
    <w:p w:rsidR="00AF4545" w:rsidRPr="00C2287A" w:rsidRDefault="00AF4545" w:rsidP="00C2287A">
      <w:pPr>
        <w:pStyle w:val="ListParagraph"/>
        <w:numPr>
          <w:ilvl w:val="0"/>
          <w:numId w:val="40"/>
        </w:numPr>
        <w:rPr>
          <w:rFonts w:cs="Arial"/>
        </w:rPr>
      </w:pPr>
      <w:r w:rsidRPr="00C2287A">
        <w:rPr>
          <w:rFonts w:cs="Arial"/>
        </w:rPr>
        <w:t>Currently, an “in-line event” is defined as any configuration within 10°of perfect alignment</w:t>
      </w:r>
      <w:r w:rsidR="00C2287A">
        <w:rPr>
          <w:rFonts w:cs="Arial"/>
        </w:rPr>
        <w:t>;</w:t>
      </w:r>
    </w:p>
    <w:p w:rsidR="00AF4545" w:rsidRPr="00C2287A" w:rsidRDefault="00AF4545" w:rsidP="00C2287A">
      <w:pPr>
        <w:pStyle w:val="ListParagraph"/>
        <w:numPr>
          <w:ilvl w:val="0"/>
          <w:numId w:val="40"/>
        </w:numPr>
        <w:rPr>
          <w:rFonts w:cs="Arial"/>
        </w:rPr>
      </w:pPr>
      <w:r w:rsidRPr="00C2287A">
        <w:rPr>
          <w:rFonts w:cs="Arial"/>
        </w:rPr>
        <w:t>Sharing between earth stations and terrestrial stations does not have to be addressed when licensing space stations or granting access to the U.S. market</w:t>
      </w:r>
      <w:r w:rsidR="00C2287A">
        <w:rPr>
          <w:rFonts w:cs="Arial"/>
        </w:rPr>
        <w:t>;</w:t>
      </w:r>
    </w:p>
    <w:p w:rsidR="00AF4545" w:rsidRPr="00C2287A" w:rsidRDefault="00AF4545" w:rsidP="00C2287A">
      <w:pPr>
        <w:pStyle w:val="ListParagraph"/>
        <w:numPr>
          <w:ilvl w:val="0"/>
          <w:numId w:val="40"/>
        </w:numPr>
        <w:rPr>
          <w:rFonts w:cs="Arial"/>
        </w:rPr>
      </w:pPr>
      <w:r w:rsidRPr="00C2287A">
        <w:rPr>
          <w:rFonts w:cs="Arial"/>
        </w:rPr>
        <w:lastRenderedPageBreak/>
        <w:t>Earth station authori</w:t>
      </w:r>
      <w:r w:rsidR="00C2287A">
        <w:rPr>
          <w:rFonts w:cs="Arial"/>
        </w:rPr>
        <w:t>s</w:t>
      </w:r>
      <w:r w:rsidRPr="00C2287A">
        <w:rPr>
          <w:rFonts w:cs="Arial"/>
        </w:rPr>
        <w:t>ations will be considered, according to the rules applicable in each frequency band, when earth station applications are filed</w:t>
      </w:r>
      <w:r w:rsidR="00C2287A">
        <w:rPr>
          <w:rFonts w:cs="Arial"/>
        </w:rPr>
        <w:t>.</w:t>
      </w:r>
    </w:p>
    <w:p w:rsidR="00E94D84" w:rsidRDefault="00E94D84" w:rsidP="00E94D84">
      <w:pPr>
        <w:spacing w:after="240"/>
        <w:rPr>
          <w:rFonts w:cs="Arial"/>
          <w:b/>
        </w:rPr>
      </w:pPr>
      <w:r w:rsidRPr="00E94D84">
        <w:rPr>
          <w:rFonts w:cs="Arial"/>
          <w:b/>
        </w:rPr>
        <w:t xml:space="preserve">(for information </w:t>
      </w:r>
      <w:r w:rsidR="00C2287A">
        <w:rPr>
          <w:rFonts w:cs="Arial"/>
          <w:b/>
        </w:rPr>
        <w:t xml:space="preserve">and consideration </w:t>
      </w:r>
      <w:r w:rsidRPr="00E94D84">
        <w:rPr>
          <w:rFonts w:cs="Arial"/>
          <w:b/>
        </w:rPr>
        <w:t>of WG FM and FM44)</w:t>
      </w:r>
    </w:p>
    <w:p w:rsidR="00E94D84" w:rsidRDefault="00E94D84" w:rsidP="00E94D84">
      <w:pPr>
        <w:pStyle w:val="Heading1"/>
        <w:rPr>
          <w:rStyle w:val="ECCParagraph"/>
        </w:rPr>
      </w:pPr>
      <w:r w:rsidRPr="00E94D84">
        <w:rPr>
          <w:lang w:val="en-GB"/>
        </w:rPr>
        <w:t xml:space="preserve">FCC – </w:t>
      </w:r>
      <w:r w:rsidR="00BA20D6" w:rsidRPr="00BA20D6">
        <w:rPr>
          <w:lang w:val="en-GB"/>
        </w:rPr>
        <w:t>Proposed rulemaking to facilitate the use of earth stations in motion (ESIM) communicating with GSO satellites in bands allocated to the FSS</w:t>
      </w:r>
    </w:p>
    <w:p w:rsidR="00BA20D6" w:rsidRDefault="00BA20D6" w:rsidP="00BA20D6">
      <w:pPr>
        <w:rPr>
          <w:rFonts w:cs="Arial"/>
        </w:rPr>
      </w:pPr>
      <w:r w:rsidRPr="007326C5">
        <w:rPr>
          <w:rFonts w:cs="Arial"/>
        </w:rPr>
        <w:t>The FCC has rules for satellite earth stations on ships</w:t>
      </w:r>
      <w:r>
        <w:rPr>
          <w:rFonts w:cs="Arial"/>
        </w:rPr>
        <w:t xml:space="preserve"> and </w:t>
      </w:r>
      <w:r w:rsidRPr="007326C5">
        <w:rPr>
          <w:rFonts w:cs="Arial"/>
        </w:rPr>
        <w:t>almost identical rules for satellite earth stations on land vehicles</w:t>
      </w:r>
      <w:r>
        <w:rPr>
          <w:rFonts w:cs="Arial"/>
        </w:rPr>
        <w:t xml:space="preserve"> and </w:t>
      </w:r>
      <w:r w:rsidRPr="007326C5">
        <w:rPr>
          <w:rFonts w:cs="Arial"/>
        </w:rPr>
        <w:t xml:space="preserve">for satellite earth stations on aircraft.  Having three sets of duplicative rules is </w:t>
      </w:r>
      <w:r>
        <w:rPr>
          <w:rFonts w:cs="Arial"/>
        </w:rPr>
        <w:t xml:space="preserve">now seen by the FCC as </w:t>
      </w:r>
      <w:r w:rsidRPr="007326C5">
        <w:rPr>
          <w:rFonts w:cs="Arial"/>
        </w:rPr>
        <w:t xml:space="preserve">unnecessary and inefficient.  </w:t>
      </w:r>
      <w:r>
        <w:rPr>
          <w:rFonts w:cs="Arial"/>
        </w:rPr>
        <w:t xml:space="preserve">Therefore, a new proposed rulemaking by the FCC is </w:t>
      </w:r>
      <w:r w:rsidRPr="007326C5">
        <w:rPr>
          <w:rFonts w:cs="Arial"/>
        </w:rPr>
        <w:t>to combine these three rule sections into one—collectively called earth stations in motion, or ESIMs.</w:t>
      </w:r>
    </w:p>
    <w:bookmarkStart w:id="4" w:name="_MON_1557654960"/>
    <w:bookmarkEnd w:id="4"/>
    <w:p w:rsidR="00BA20D6" w:rsidRPr="007326C5" w:rsidRDefault="00BA20D6" w:rsidP="00BA20D6">
      <w:pPr>
        <w:rPr>
          <w:rFonts w:cs="Arial"/>
        </w:rPr>
      </w:pPr>
      <w:r w:rsidRPr="00CC3F11">
        <w:rPr>
          <w:rFonts w:ascii="Calibri" w:hAnsi="Calibri"/>
          <w:lang w:val="da-DK"/>
        </w:rPr>
        <w:object w:dxaOrig="1530" w:dyaOrig="990">
          <v:shape id="_x0000_i1029" type="#_x0000_t75" style="width:76.75pt;height:49.6pt" o:ole="">
            <v:imagedata r:id="rId47" o:title=""/>
          </v:shape>
          <o:OLEObject Type="Embed" ProgID="Word.Document.12" ShapeID="_x0000_i1029" DrawAspect="Icon" ObjectID="_1559477188" r:id="rId48">
            <o:FieldCodes>\s</o:FieldCodes>
          </o:OLEObject>
        </w:object>
      </w:r>
    </w:p>
    <w:p w:rsidR="00BA20D6" w:rsidRDefault="00BA20D6" w:rsidP="00BA20D6">
      <w:pPr>
        <w:rPr>
          <w:rFonts w:cs="Arial"/>
        </w:rPr>
      </w:pPr>
      <w:r>
        <w:rPr>
          <w:rFonts w:cs="Arial"/>
        </w:rPr>
        <w:t>S</w:t>
      </w:r>
      <w:r w:rsidRPr="007326C5">
        <w:rPr>
          <w:rFonts w:cs="Arial"/>
        </w:rPr>
        <w:t xml:space="preserve">implifying </w:t>
      </w:r>
      <w:r>
        <w:rPr>
          <w:rFonts w:cs="Arial"/>
        </w:rPr>
        <w:t xml:space="preserve">the </w:t>
      </w:r>
      <w:r w:rsidRPr="007326C5">
        <w:rPr>
          <w:rFonts w:cs="Arial"/>
        </w:rPr>
        <w:t>rules will help the FCC process applications for new deployments more efficiently and will make it easier for satellite companies to offer customers additional service options.  And authori</w:t>
      </w:r>
      <w:r>
        <w:rPr>
          <w:rFonts w:cs="Arial"/>
        </w:rPr>
        <w:t>s</w:t>
      </w:r>
      <w:r w:rsidRPr="007326C5">
        <w:rPr>
          <w:rFonts w:cs="Arial"/>
        </w:rPr>
        <w:t xml:space="preserve">ing ESIMs to operate in </w:t>
      </w:r>
      <w:r>
        <w:rPr>
          <w:rFonts w:cs="Arial"/>
        </w:rPr>
        <w:t>‘</w:t>
      </w:r>
      <w:r w:rsidRPr="007326C5">
        <w:rPr>
          <w:rFonts w:cs="Arial"/>
        </w:rPr>
        <w:t>new bands</w:t>
      </w:r>
      <w:r>
        <w:rPr>
          <w:rFonts w:cs="Arial"/>
        </w:rPr>
        <w:t>’</w:t>
      </w:r>
      <w:r w:rsidRPr="007326C5">
        <w:rPr>
          <w:rFonts w:cs="Arial"/>
        </w:rPr>
        <w:t xml:space="preserve"> </w:t>
      </w:r>
      <w:r>
        <w:rPr>
          <w:rFonts w:cs="Arial"/>
        </w:rPr>
        <w:t xml:space="preserve">such as the </w:t>
      </w:r>
      <w:r w:rsidRPr="007326C5">
        <w:rPr>
          <w:rFonts w:cs="Arial"/>
        </w:rPr>
        <w:t>Ka-band) means more opportunities for deployment.</w:t>
      </w:r>
      <w:r>
        <w:rPr>
          <w:rFonts w:cs="Arial"/>
        </w:rPr>
        <w:t xml:space="preserve"> </w:t>
      </w:r>
      <w:r w:rsidRPr="007326C5">
        <w:rPr>
          <w:rFonts w:cs="Arial"/>
        </w:rPr>
        <w:t xml:space="preserve">In sum, this proposal </w:t>
      </w:r>
      <w:r>
        <w:rPr>
          <w:rFonts w:cs="Arial"/>
        </w:rPr>
        <w:t xml:space="preserve">is intended to </w:t>
      </w:r>
      <w:r w:rsidRPr="007326C5">
        <w:rPr>
          <w:rFonts w:cs="Arial"/>
        </w:rPr>
        <w:t xml:space="preserve">meet two core goals of the </w:t>
      </w:r>
      <w:r>
        <w:rPr>
          <w:rFonts w:cs="Arial"/>
        </w:rPr>
        <w:t>FCC</w:t>
      </w:r>
      <w:r w:rsidRPr="007326C5">
        <w:rPr>
          <w:rFonts w:cs="Arial"/>
        </w:rPr>
        <w:t>: reducing unnecessary red tape and enabling the private sector</w:t>
      </w:r>
      <w:r>
        <w:rPr>
          <w:rFonts w:cs="Arial"/>
        </w:rPr>
        <w:t xml:space="preserve">, </w:t>
      </w:r>
      <w:r w:rsidRPr="007326C5">
        <w:rPr>
          <w:rFonts w:cs="Arial"/>
        </w:rPr>
        <w:t>in this case, a fast-growing segment of the satellite industry</w:t>
      </w:r>
      <w:r>
        <w:rPr>
          <w:rFonts w:cs="Arial"/>
        </w:rPr>
        <w:t>, t</w:t>
      </w:r>
      <w:r w:rsidRPr="007326C5">
        <w:rPr>
          <w:rFonts w:cs="Arial"/>
        </w:rPr>
        <w:t>o innovate and invest in new technologies.</w:t>
      </w:r>
    </w:p>
    <w:p w:rsidR="00E94D84" w:rsidRDefault="00BA20D6" w:rsidP="00BA20D6">
      <w:pPr>
        <w:spacing w:after="240"/>
        <w:rPr>
          <w:rFonts w:cs="Arial"/>
          <w:b/>
        </w:rPr>
      </w:pPr>
      <w:r w:rsidRPr="00BA20D6">
        <w:rPr>
          <w:rFonts w:cs="Arial"/>
          <w:b/>
        </w:rPr>
        <w:t>(for information in WG FM, FM44)</w:t>
      </w:r>
    </w:p>
    <w:p w:rsidR="00BA20D6" w:rsidRDefault="00BA20D6" w:rsidP="00BA20D6">
      <w:pPr>
        <w:pStyle w:val="Heading1"/>
        <w:rPr>
          <w:rStyle w:val="ECCParagraph"/>
        </w:rPr>
      </w:pPr>
      <w:r w:rsidRPr="00BA20D6">
        <w:rPr>
          <w:lang w:val="en-GB"/>
        </w:rPr>
        <w:t>Information about 3GPP V2X standardisation and related (China CCSA, 5GAA, USA, Canada)</w:t>
      </w:r>
    </w:p>
    <w:p w:rsidR="00BA20D6" w:rsidRPr="00847C96" w:rsidRDefault="00BA20D6" w:rsidP="00BA20D6">
      <w:pPr>
        <w:rPr>
          <w:rFonts w:cs="Arial"/>
        </w:rPr>
      </w:pPr>
      <w:r w:rsidRPr="00847C96">
        <w:rPr>
          <w:rFonts w:cs="Arial"/>
        </w:rPr>
        <w:t xml:space="preserve">V2X (LTE based V2X) as one enabling technology of advanced ITS, is based on LTE technology, and </w:t>
      </w:r>
      <w:r w:rsidR="00005D59">
        <w:rPr>
          <w:rFonts w:cs="Arial"/>
        </w:rPr>
        <w:t xml:space="preserve">is </w:t>
      </w:r>
      <w:r w:rsidRPr="00847C96">
        <w:rPr>
          <w:rFonts w:cs="Arial"/>
        </w:rPr>
        <w:t>intended to support both telematics and road safety related applications.</w:t>
      </w:r>
    </w:p>
    <w:p w:rsidR="00BA20D6" w:rsidRPr="00847C96" w:rsidRDefault="00BA20D6" w:rsidP="00BA20D6">
      <w:pPr>
        <w:rPr>
          <w:rFonts w:cs="Arial"/>
        </w:rPr>
      </w:pPr>
      <w:r w:rsidRPr="00847C96">
        <w:rPr>
          <w:rFonts w:cs="Arial"/>
        </w:rPr>
        <w:t>3GPP is working on development of V2X (LTE based V2X) technical specifications, and CCSA (China Communications Standards Association) is also working on standardisation studies of V2X (LTE based V2X) technology with enhancements according to Chinese traffic circumstances.</w:t>
      </w:r>
    </w:p>
    <w:p w:rsidR="00BA20D6" w:rsidRPr="00847C96" w:rsidRDefault="00BA20D6" w:rsidP="00BA20D6">
      <w:pPr>
        <w:rPr>
          <w:rFonts w:cs="Arial"/>
        </w:rPr>
      </w:pPr>
      <w:r w:rsidRPr="00847C96">
        <w:rPr>
          <w:rFonts w:cs="Arial"/>
        </w:rPr>
        <w:t>The general architecture of LTE based V2X consists of the Uu interface via cellular network, and the P</w:t>
      </w:r>
      <w:bookmarkStart w:id="5" w:name="OLE_LINK9"/>
      <w:bookmarkStart w:id="6" w:name="OLE_LINK10"/>
      <w:r w:rsidRPr="00847C96">
        <w:rPr>
          <w:rFonts w:cs="Arial"/>
        </w:rPr>
        <w:t>C5 interface via d</w:t>
      </w:r>
      <w:bookmarkEnd w:id="5"/>
      <w:bookmarkEnd w:id="6"/>
      <w:r w:rsidRPr="00847C96">
        <w:rPr>
          <w:rFonts w:cs="Arial"/>
        </w:rPr>
        <w:t xml:space="preserve">irect links for communication between vehicle to vehicles (V2V), vehicle to pedestrian (V2P), vehicle to infrastructures (V2I), and vehicle to network (V2N). LTE based V2X could be operated under the coverage of cellular network, which is called </w:t>
      </w:r>
      <w:r w:rsidR="00005D59">
        <w:rPr>
          <w:rFonts w:cs="Arial"/>
        </w:rPr>
        <w:t>an</w:t>
      </w:r>
      <w:r w:rsidR="00005D59" w:rsidRPr="00847C96">
        <w:rPr>
          <w:rFonts w:cs="Arial"/>
        </w:rPr>
        <w:t xml:space="preserve"> </w:t>
      </w:r>
      <w:r w:rsidRPr="00847C96">
        <w:rPr>
          <w:rFonts w:cs="Arial"/>
        </w:rPr>
        <w:t xml:space="preserve">“in coverage” scenario (IC), as the services are controlled by </w:t>
      </w:r>
      <w:r w:rsidR="00005D59">
        <w:rPr>
          <w:rFonts w:cs="Arial"/>
        </w:rPr>
        <w:t xml:space="preserve">the </w:t>
      </w:r>
      <w:r w:rsidRPr="00847C96">
        <w:rPr>
          <w:rFonts w:cs="Arial"/>
        </w:rPr>
        <w:t>network. Meanwhile, the “out of coverage” scenario (OoC) is also supported by LTE based V2X, considering the V2X road safety related applications, which should be supported regardless of network deployment.</w:t>
      </w:r>
    </w:p>
    <w:p w:rsidR="00BA20D6" w:rsidRDefault="00BA20D6" w:rsidP="00BA20D6">
      <w:pPr>
        <w:widowControl w:val="0"/>
        <w:spacing w:after="200" w:line="276" w:lineRule="auto"/>
        <w:jc w:val="left"/>
        <w:rPr>
          <w:rFonts w:cs="Arial"/>
        </w:rPr>
      </w:pPr>
      <w:r w:rsidRPr="00D44D4A">
        <w:rPr>
          <w:rFonts w:ascii="Times New Roman" w:eastAsia="MS Mincho" w:hAnsi="Times New Roman"/>
          <w:noProof/>
          <w:lang w:val="da-DK" w:eastAsia="da-DK"/>
        </w:rPr>
        <w:lastRenderedPageBreak/>
        <w:drawing>
          <wp:inline distT="0" distB="0" distL="0" distR="0" wp14:anchorId="764D8DC3" wp14:editId="1844647C">
            <wp:extent cx="5369357" cy="1739479"/>
            <wp:effectExtent l="0" t="0" r="3175"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370655" cy="1739900"/>
                    </a:xfrm>
                    <a:prstGeom prst="rect">
                      <a:avLst/>
                    </a:prstGeom>
                    <a:noFill/>
                  </pic:spPr>
                </pic:pic>
              </a:graphicData>
            </a:graphic>
          </wp:inline>
        </w:drawing>
      </w:r>
    </w:p>
    <w:p w:rsidR="00BA20D6" w:rsidRPr="00812556" w:rsidRDefault="00BA20D6" w:rsidP="00BA20D6">
      <w:pPr>
        <w:rPr>
          <w:rFonts w:cs="Arial"/>
        </w:rPr>
      </w:pPr>
      <w:r>
        <w:rPr>
          <w:rFonts w:cs="Arial"/>
        </w:rPr>
        <w:t>Ty</w:t>
      </w:r>
      <w:r w:rsidRPr="00812556">
        <w:rPr>
          <w:rFonts w:cs="Arial"/>
        </w:rPr>
        <w:t>pical telematics applications can be supported via the Uu interface. For road safety related applications, both PC5 and Uu interfaces are able to support the LTE-V2X in order to meet the associated service requirements</w:t>
      </w:r>
      <w:r>
        <w:rPr>
          <w:rFonts w:cs="Arial"/>
        </w:rPr>
        <w:t xml:space="preserve">. </w:t>
      </w:r>
    </w:p>
    <w:p w:rsidR="00BA20D6" w:rsidRPr="00812556" w:rsidRDefault="00BA20D6" w:rsidP="00BA20D6">
      <w:pPr>
        <w:rPr>
          <w:rFonts w:cs="Arial"/>
        </w:rPr>
      </w:pPr>
      <w:r w:rsidRPr="00812556">
        <w:rPr>
          <w:rFonts w:cs="Arial"/>
        </w:rPr>
        <w:t>The PC5 interface is designed based on the existing LTE Device-to-Device (D2D) communication technology with more enhancements in resource allocation, physical layer structure, and synchroni</w:t>
      </w:r>
      <w:r>
        <w:rPr>
          <w:rFonts w:cs="Arial"/>
        </w:rPr>
        <w:t>s</w:t>
      </w:r>
      <w:r w:rsidRPr="00812556">
        <w:rPr>
          <w:rFonts w:cs="Arial"/>
        </w:rPr>
        <w:t>ation, in order to meet the V2X transmission requirements. SC-FDMA and multiple (re)transmissions are inherited from LTE D2D. Multiple (re)transmissions can ensure the reception performance and reliability. Furthermore, both of the centrali</w:t>
      </w:r>
      <w:r>
        <w:rPr>
          <w:rFonts w:cs="Arial"/>
        </w:rPr>
        <w:t>s</w:t>
      </w:r>
      <w:r w:rsidRPr="00812556">
        <w:rPr>
          <w:rFonts w:cs="Arial"/>
        </w:rPr>
        <w:t>ed and distributed resource allocation mechanisms are supported for V2X communication. The centrali</w:t>
      </w:r>
      <w:r>
        <w:rPr>
          <w:rFonts w:cs="Arial"/>
        </w:rPr>
        <w:t>s</w:t>
      </w:r>
      <w:r w:rsidRPr="00812556">
        <w:rPr>
          <w:rFonts w:cs="Arial"/>
        </w:rPr>
        <w:t xml:space="preserve">ed resource assignment is valid within network coverage; eNB </w:t>
      </w:r>
      <w:r>
        <w:rPr>
          <w:rFonts w:cs="Arial"/>
        </w:rPr>
        <w:t xml:space="preserve">(evolved Node-B) </w:t>
      </w:r>
      <w:r w:rsidRPr="00812556">
        <w:rPr>
          <w:rFonts w:cs="Arial"/>
        </w:rPr>
        <w:t>could provide dynamic scheduling or semi-persistent scheduling base</w:t>
      </w:r>
      <w:r w:rsidR="00005D59">
        <w:rPr>
          <w:rFonts w:cs="Arial"/>
        </w:rPr>
        <w:t>d</w:t>
      </w:r>
      <w:r w:rsidRPr="00812556">
        <w:rPr>
          <w:rFonts w:cs="Arial"/>
        </w:rPr>
        <w:t xml:space="preserve"> on traffic circumstances. For the distributed resource mechanisms, it could be supported regardless </w:t>
      </w:r>
      <w:r w:rsidR="00005D59">
        <w:rPr>
          <w:rFonts w:cs="Arial"/>
        </w:rPr>
        <w:t xml:space="preserve">of </w:t>
      </w:r>
      <w:r w:rsidRPr="00812556">
        <w:rPr>
          <w:rFonts w:cs="Arial"/>
        </w:rPr>
        <w:t xml:space="preserve">the network control, and a detailed sensing with semi-persistent transmission mechanism is specified in order to decrease the potential transmission collision and </w:t>
      </w:r>
      <w:r w:rsidR="004E0FE6">
        <w:rPr>
          <w:rFonts w:cs="Arial"/>
        </w:rPr>
        <w:t>maintain</w:t>
      </w:r>
      <w:r w:rsidR="004E0FE6" w:rsidRPr="00812556">
        <w:rPr>
          <w:rFonts w:cs="Arial"/>
        </w:rPr>
        <w:t xml:space="preserve"> </w:t>
      </w:r>
      <w:r w:rsidRPr="00812556">
        <w:rPr>
          <w:rFonts w:cs="Arial"/>
        </w:rPr>
        <w:t>high reliability. From the synchroni</w:t>
      </w:r>
      <w:r>
        <w:rPr>
          <w:rFonts w:cs="Arial"/>
        </w:rPr>
        <w:t>s</w:t>
      </w:r>
      <w:r w:rsidRPr="00812556">
        <w:rPr>
          <w:rFonts w:cs="Arial"/>
        </w:rPr>
        <w:t>ation perspective, LTE-V2X rel</w:t>
      </w:r>
      <w:r w:rsidR="004E0FE6">
        <w:rPr>
          <w:rFonts w:cs="Arial"/>
        </w:rPr>
        <w:t>ies</w:t>
      </w:r>
      <w:r w:rsidRPr="00812556">
        <w:rPr>
          <w:rFonts w:cs="Arial"/>
        </w:rPr>
        <w:t xml:space="preserve"> on a precise external synchroni</w:t>
      </w:r>
      <w:r>
        <w:rPr>
          <w:rFonts w:cs="Arial"/>
        </w:rPr>
        <w:t>s</w:t>
      </w:r>
      <w:r w:rsidRPr="00812556">
        <w:rPr>
          <w:rFonts w:cs="Arial"/>
        </w:rPr>
        <w:t>ation signal</w:t>
      </w:r>
      <w:r>
        <w:rPr>
          <w:rFonts w:cs="Arial"/>
        </w:rPr>
        <w:t>.</w:t>
      </w:r>
      <w:r w:rsidRPr="00812556">
        <w:rPr>
          <w:rFonts w:cs="Arial"/>
        </w:rPr>
        <w:t xml:space="preserve"> Three kinds of synchroni</w:t>
      </w:r>
      <w:r>
        <w:rPr>
          <w:rFonts w:cs="Arial"/>
        </w:rPr>
        <w:t>s</w:t>
      </w:r>
      <w:r w:rsidRPr="00812556">
        <w:rPr>
          <w:rFonts w:cs="Arial"/>
        </w:rPr>
        <w:t>ation references are supported using an external GNSS module, eNB or another vehicle.  For the out-of-coverage scenario, GNSS case has a higher synchroni</w:t>
      </w:r>
      <w:r>
        <w:rPr>
          <w:rFonts w:cs="Arial"/>
        </w:rPr>
        <w:t>s</w:t>
      </w:r>
      <w:r w:rsidRPr="00812556">
        <w:rPr>
          <w:rFonts w:cs="Arial"/>
        </w:rPr>
        <w:t>ation priority in order to obtain a good system performance.</w:t>
      </w:r>
    </w:p>
    <w:p w:rsidR="00BA20D6" w:rsidRDefault="00BA20D6" w:rsidP="00BA20D6">
      <w:pPr>
        <w:rPr>
          <w:rFonts w:cs="Arial"/>
        </w:rPr>
      </w:pPr>
      <w:r w:rsidRPr="00812556">
        <w:rPr>
          <w:rFonts w:cs="Arial"/>
        </w:rPr>
        <w:t xml:space="preserve">For the Uu interface, the road safety related V2X messages can be transmitted to the cellular network via </w:t>
      </w:r>
      <w:r>
        <w:rPr>
          <w:rFonts w:cs="Arial"/>
        </w:rPr>
        <w:t xml:space="preserve">the </w:t>
      </w:r>
      <w:r w:rsidRPr="00812556">
        <w:rPr>
          <w:rFonts w:cs="Arial"/>
        </w:rPr>
        <w:t xml:space="preserve">Uu uplink and be forwarded to the vehicles, which individually operate components via </w:t>
      </w:r>
      <w:r>
        <w:rPr>
          <w:rFonts w:cs="Arial"/>
        </w:rPr>
        <w:t xml:space="preserve">the </w:t>
      </w:r>
      <w:r w:rsidRPr="00812556">
        <w:rPr>
          <w:rFonts w:cs="Arial"/>
        </w:rPr>
        <w:t>Uu downlink. To accommodate the broadcast nature of V2X messages, the SC PTM (Single Cell Point To Multipoint) and MBSFN (Multicast-Broadcast Single-Frequency Network) technologies are both investigated and supported in LTE-V2X with necessary enhancements.</w:t>
      </w:r>
    </w:p>
    <w:p w:rsidR="00BA20D6" w:rsidRDefault="00BA20D6" w:rsidP="00BA20D6">
      <w:pPr>
        <w:rPr>
          <w:rFonts w:cs="Arial"/>
        </w:rPr>
      </w:pPr>
      <w:r>
        <w:rPr>
          <w:rFonts w:cs="Arial"/>
        </w:rPr>
        <w:t xml:space="preserve">The following was discussed at the </w:t>
      </w:r>
      <w:r w:rsidRPr="00D44D4A">
        <w:rPr>
          <w:rFonts w:cs="Arial"/>
        </w:rPr>
        <w:t xml:space="preserve">3GPP TSG RAN Plenary #76 Meeting </w:t>
      </w:r>
      <w:r w:rsidRPr="00D44D4A">
        <w:rPr>
          <w:rFonts w:cs="Arial"/>
        </w:rPr>
        <w:tab/>
      </w:r>
      <w:r>
        <w:rPr>
          <w:rFonts w:cs="Arial"/>
        </w:rPr>
        <w:t xml:space="preserve">in </w:t>
      </w:r>
      <w:r w:rsidRPr="00D44D4A">
        <w:rPr>
          <w:rFonts w:cs="Arial"/>
        </w:rPr>
        <w:t xml:space="preserve">Palm Beach, </w:t>
      </w:r>
      <w:r>
        <w:rPr>
          <w:rFonts w:cs="Arial"/>
        </w:rPr>
        <w:t>USA, 5-8 June 2017:</w:t>
      </w:r>
    </w:p>
    <w:p w:rsidR="00BA20D6" w:rsidRPr="00EF22D1" w:rsidRDefault="00BA20D6" w:rsidP="00BA20D6">
      <w:pPr>
        <w:rPr>
          <w:rFonts w:cs="Arial"/>
        </w:rPr>
      </w:pPr>
      <w:r w:rsidRPr="00EF22D1">
        <w:rPr>
          <w:rFonts w:cs="Arial"/>
        </w:rPr>
        <w:t>Two V2X_new band combinations have been proposed to be added for V2X I as below:</w:t>
      </w:r>
    </w:p>
    <w:p w:rsidR="00BA20D6" w:rsidRPr="00EF22D1" w:rsidRDefault="00BA20D6" w:rsidP="00BA20D6">
      <w:pPr>
        <w:rPr>
          <w:rFonts w:cs="Arial"/>
        </w:rPr>
      </w:pPr>
      <w:r w:rsidRPr="00EF22D1">
        <w:rPr>
          <w:rFonts w:cs="Arial"/>
        </w:rPr>
        <w:t>Please note that 3GPP band 5 is in 824–849/869–894 MHz and relevant for the USA, Australia, India, Korea and some other countries, band 34 is in 2010–2025 MHz, band 47 is in 5855-5925 MHz.</w:t>
      </w:r>
    </w:p>
    <w:p w:rsidR="00BA20D6" w:rsidRPr="00D44D4A" w:rsidRDefault="00BA20D6" w:rsidP="00BA20D6">
      <w:pPr>
        <w:tabs>
          <w:tab w:val="left" w:pos="567"/>
        </w:tabs>
        <w:autoSpaceDN w:val="0"/>
        <w:adjustRightInd w:val="0"/>
        <w:snapToGrid w:val="0"/>
        <w:spacing w:after="0"/>
        <w:jc w:val="left"/>
        <w:rPr>
          <w:rFonts w:eastAsia="Malgun Gothic"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727"/>
        <w:gridCol w:w="1446"/>
        <w:gridCol w:w="1403"/>
      </w:tblGrid>
      <w:tr w:rsidR="00BA20D6" w:rsidRPr="00D44D4A" w:rsidTr="00AF4545">
        <w:trPr>
          <w:trHeight w:val="452"/>
          <w:jc w:val="center"/>
        </w:trPr>
        <w:tc>
          <w:tcPr>
            <w:tcW w:w="2386"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sz w:val="18"/>
                <w:lang w:eastAsia="zh-CN"/>
              </w:rPr>
            </w:pPr>
            <w:r w:rsidRPr="00D44D4A">
              <w:rPr>
                <w:rFonts w:cs="Arial"/>
                <w:b/>
                <w:sz w:val="18"/>
                <w:lang w:eastAsia="zh-CN"/>
              </w:rPr>
              <w:t>V2X inter-band concurrent combination</w:t>
            </w:r>
          </w:p>
        </w:tc>
        <w:tc>
          <w:tcPr>
            <w:tcW w:w="1727"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V2X</w:t>
            </w:r>
            <w:r w:rsidRPr="00D44D4A">
              <w:rPr>
                <w:rFonts w:cs="Arial"/>
                <w:b/>
                <w:color w:val="000000"/>
                <w:sz w:val="18"/>
              </w:rPr>
              <w:t xml:space="preserve"> Band</w:t>
            </w:r>
          </w:p>
        </w:tc>
        <w:tc>
          <w:tcPr>
            <w:tcW w:w="1446"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Channel bandwidths [MHz]</w:t>
            </w:r>
          </w:p>
        </w:tc>
        <w:tc>
          <w:tcPr>
            <w:tcW w:w="1403"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Interface</w:t>
            </w:r>
          </w:p>
        </w:tc>
      </w:tr>
      <w:tr w:rsidR="00BA20D6" w:rsidRPr="00D44D4A" w:rsidTr="00AF4545">
        <w:trPr>
          <w:trHeight w:val="239"/>
          <w:jc w:val="center"/>
        </w:trPr>
        <w:tc>
          <w:tcPr>
            <w:tcW w:w="2386"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zh-CN"/>
              </w:rPr>
              <w:t>V2X_34_47</w:t>
            </w:r>
          </w:p>
        </w:tc>
        <w:tc>
          <w:tcPr>
            <w:tcW w:w="1727"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34</w:t>
            </w:r>
          </w:p>
        </w:tc>
        <w:tc>
          <w:tcPr>
            <w:tcW w:w="1446"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5, 10, 15</w:t>
            </w:r>
          </w:p>
        </w:tc>
        <w:tc>
          <w:tcPr>
            <w:tcW w:w="1403"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Uu</w:t>
            </w:r>
          </w:p>
        </w:tc>
      </w:tr>
      <w:tr w:rsidR="00BA20D6" w:rsidRPr="00D44D4A" w:rsidTr="00AF4545">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ko-KR"/>
              </w:rPr>
            </w:pPr>
          </w:p>
        </w:tc>
        <w:tc>
          <w:tcPr>
            <w:tcW w:w="1727"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47</w:t>
            </w:r>
          </w:p>
        </w:tc>
        <w:tc>
          <w:tcPr>
            <w:tcW w:w="1446"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10, 20</w:t>
            </w:r>
          </w:p>
        </w:tc>
        <w:tc>
          <w:tcPr>
            <w:tcW w:w="1403"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PC5</w:t>
            </w:r>
          </w:p>
        </w:tc>
      </w:tr>
      <w:tr w:rsidR="00BA20D6" w:rsidRPr="00D44D4A" w:rsidTr="00AF4545">
        <w:trPr>
          <w:trHeight w:val="252"/>
          <w:jc w:val="center"/>
        </w:trPr>
        <w:tc>
          <w:tcPr>
            <w:tcW w:w="2386"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V2X_</w:t>
            </w:r>
            <w:r w:rsidRPr="00D44D4A">
              <w:rPr>
                <w:rFonts w:cs="Arial"/>
                <w:sz w:val="18"/>
                <w:lang w:eastAsia="zh-CN"/>
              </w:rPr>
              <w:t>5_47</w:t>
            </w:r>
          </w:p>
        </w:tc>
        <w:tc>
          <w:tcPr>
            <w:tcW w:w="1727"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5</w:t>
            </w:r>
          </w:p>
        </w:tc>
        <w:tc>
          <w:tcPr>
            <w:tcW w:w="1446"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5,10</w:t>
            </w:r>
          </w:p>
        </w:tc>
        <w:tc>
          <w:tcPr>
            <w:tcW w:w="1403"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Uu</w:t>
            </w:r>
          </w:p>
        </w:tc>
      </w:tr>
      <w:tr w:rsidR="00BA20D6" w:rsidRPr="00D44D4A" w:rsidTr="00AF4545">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ko-KR"/>
              </w:rPr>
            </w:pPr>
          </w:p>
        </w:tc>
        <w:tc>
          <w:tcPr>
            <w:tcW w:w="1727"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47</w:t>
            </w:r>
          </w:p>
        </w:tc>
        <w:tc>
          <w:tcPr>
            <w:tcW w:w="1446"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10,20</w:t>
            </w:r>
          </w:p>
        </w:tc>
        <w:tc>
          <w:tcPr>
            <w:tcW w:w="1403"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PC5</w:t>
            </w:r>
          </w:p>
        </w:tc>
      </w:tr>
    </w:tbl>
    <w:p w:rsidR="00BA20D6" w:rsidRDefault="00BA20D6" w:rsidP="00BA20D6">
      <w:pPr>
        <w:tabs>
          <w:tab w:val="left" w:pos="567"/>
        </w:tabs>
        <w:autoSpaceDN w:val="0"/>
        <w:adjustRightInd w:val="0"/>
        <w:snapToGrid w:val="0"/>
        <w:spacing w:after="0"/>
        <w:jc w:val="left"/>
        <w:rPr>
          <w:rFonts w:eastAsia="Malgun Gothic" w:cs="Arial"/>
          <w:lang w:eastAsia="ko-KR"/>
        </w:rPr>
      </w:pPr>
    </w:p>
    <w:p w:rsidR="00BA20D6" w:rsidRPr="00EF22D1" w:rsidRDefault="004E0FE6" w:rsidP="00BA20D6">
      <w:pPr>
        <w:tabs>
          <w:tab w:val="left" w:pos="567"/>
        </w:tabs>
        <w:autoSpaceDN w:val="0"/>
        <w:adjustRightInd w:val="0"/>
        <w:snapToGrid w:val="0"/>
        <w:spacing w:after="0"/>
        <w:jc w:val="left"/>
        <w:rPr>
          <w:rFonts w:eastAsia="Malgun Gothic" w:cs="Arial"/>
          <w:lang w:eastAsia="ko-KR"/>
        </w:rPr>
      </w:pPr>
      <w:r>
        <w:rPr>
          <w:rFonts w:eastAsia="Malgun Gothic" w:cs="Arial"/>
          <w:lang w:eastAsia="ko-KR"/>
        </w:rPr>
        <w:lastRenderedPageBreak/>
        <w:t xml:space="preserve">3GPP </w:t>
      </w:r>
      <w:r w:rsidR="00BA20D6" w:rsidRPr="00EF22D1">
        <w:rPr>
          <w:rFonts w:eastAsia="Malgun Gothic" w:cs="Arial"/>
          <w:lang w:eastAsia="ko-KR"/>
        </w:rPr>
        <w:t>RAN4 is tasked to study the coexistence impact to the V2X RX frequency ranges for these new V2X band combination</w:t>
      </w:r>
      <w:r>
        <w:rPr>
          <w:rFonts w:eastAsia="Malgun Gothic" w:cs="Arial"/>
          <w:lang w:eastAsia="ko-KR"/>
        </w:rPr>
        <w:t>s</w:t>
      </w:r>
      <w:r w:rsidR="00BA20D6" w:rsidRPr="00EF22D1">
        <w:rPr>
          <w:rFonts w:eastAsia="Malgun Gothic" w:cs="Arial"/>
          <w:lang w:eastAsia="ko-KR"/>
        </w:rPr>
        <w:t>.</w:t>
      </w:r>
    </w:p>
    <w:p w:rsidR="00BA20D6" w:rsidRPr="00EF22D1" w:rsidRDefault="00BA20D6" w:rsidP="00BA20D6">
      <w:pPr>
        <w:tabs>
          <w:tab w:val="left" w:pos="567"/>
        </w:tabs>
        <w:autoSpaceDN w:val="0"/>
        <w:adjustRightInd w:val="0"/>
        <w:snapToGrid w:val="0"/>
        <w:spacing w:after="0"/>
        <w:jc w:val="left"/>
        <w:rPr>
          <w:rFonts w:eastAsia="Malgun Gothic" w:cs="Arial"/>
          <w:lang w:eastAsia="ko-KR"/>
        </w:rPr>
      </w:pPr>
    </w:p>
    <w:p w:rsidR="00BA20D6" w:rsidRPr="00EF22D1" w:rsidRDefault="00BA20D6" w:rsidP="00BA20D6">
      <w:pPr>
        <w:pStyle w:val="ECCBulletsLv1"/>
        <w:ind w:left="0" w:firstLine="0"/>
        <w:rPr>
          <w:rFonts w:eastAsia="SimSun" w:cs="Arial"/>
          <w:bCs/>
          <w:lang w:val="en-US" w:eastAsia="zh-CN"/>
        </w:rPr>
      </w:pPr>
      <w:r w:rsidRPr="00EF22D1">
        <w:rPr>
          <w:rFonts w:eastAsia="SimSun" w:cs="Arial"/>
          <w:bCs/>
          <w:lang w:val="en-US" w:eastAsia="zh-CN"/>
        </w:rPr>
        <w:t>Concurrent operation of additional LTE Uu frequency bands and PC5 operation on Band 47</w:t>
      </w:r>
    </w:p>
    <w:p w:rsidR="00BA20D6" w:rsidRPr="00EF22D1" w:rsidRDefault="00BA20D6" w:rsidP="00BA20D6">
      <w:pPr>
        <w:pStyle w:val="ECCBulletsLv2"/>
        <w:rPr>
          <w:lang w:val="en-US" w:eastAsia="zh-CN"/>
        </w:rPr>
      </w:pPr>
      <w:r w:rsidRPr="00EF22D1">
        <w:rPr>
          <w:lang w:val="en-US" w:eastAsia="zh-CN"/>
        </w:rPr>
        <w:t>Highest priority, and target for RAN#76 completion, is given to the following combination: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032"/>
        <w:gridCol w:w="1559"/>
        <w:gridCol w:w="1559"/>
      </w:tblGrid>
      <w:tr w:rsidR="00BA20D6" w:rsidRPr="00D44D4A" w:rsidTr="00AF454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sz w:val="18"/>
                <w:lang w:eastAsia="zh-CN"/>
              </w:rPr>
            </w:pPr>
            <w:r w:rsidRPr="00D44D4A">
              <w:rPr>
                <w:rFonts w:cs="Arial"/>
                <w:b/>
                <w:sz w:val="18"/>
                <w:lang w:eastAsia="zh-CN"/>
              </w:rPr>
              <w:t>V2X MCC Band</w:t>
            </w:r>
          </w:p>
        </w:tc>
        <w:tc>
          <w:tcPr>
            <w:tcW w:w="2032"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V2X</w:t>
            </w:r>
            <w:r w:rsidRPr="00D44D4A">
              <w:rPr>
                <w:rFonts w:cs="Arial"/>
                <w:b/>
                <w:color w:val="000000"/>
                <w:sz w:val="18"/>
              </w:rPr>
              <w:t xml:space="preserve"> Band</w:t>
            </w:r>
          </w:p>
        </w:tc>
        <w:tc>
          <w:tcPr>
            <w:tcW w:w="1559"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Channel bandwidths [MHz]</w:t>
            </w:r>
          </w:p>
        </w:tc>
        <w:tc>
          <w:tcPr>
            <w:tcW w:w="1559"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Interface</w:t>
            </w:r>
          </w:p>
        </w:tc>
      </w:tr>
      <w:tr w:rsidR="00BA20D6" w:rsidRPr="00D44D4A" w:rsidTr="00AF4545">
        <w:trPr>
          <w:jc w:val="center"/>
        </w:trPr>
        <w:tc>
          <w:tcPr>
            <w:tcW w:w="2754"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zh-CN"/>
              </w:rPr>
              <w:t>V2X_20_47</w:t>
            </w:r>
          </w:p>
        </w:tc>
        <w:tc>
          <w:tcPr>
            <w:tcW w:w="2032"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20</w:t>
            </w:r>
          </w:p>
        </w:tc>
        <w:tc>
          <w:tcPr>
            <w:tcW w:w="1559"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5, 10, 15, 20</w:t>
            </w:r>
          </w:p>
        </w:tc>
        <w:tc>
          <w:tcPr>
            <w:tcW w:w="1559"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Uu</w:t>
            </w:r>
          </w:p>
        </w:tc>
      </w:tr>
      <w:tr w:rsidR="00BA20D6" w:rsidRPr="00D44D4A" w:rsidTr="00AF454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ko-KR"/>
              </w:rPr>
            </w:pPr>
          </w:p>
        </w:tc>
        <w:tc>
          <w:tcPr>
            <w:tcW w:w="2032"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47</w:t>
            </w:r>
          </w:p>
        </w:tc>
        <w:tc>
          <w:tcPr>
            <w:tcW w:w="1559"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10, [20]</w:t>
            </w:r>
          </w:p>
        </w:tc>
        <w:tc>
          <w:tcPr>
            <w:tcW w:w="1559"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PC5</w:t>
            </w:r>
          </w:p>
        </w:tc>
      </w:tr>
    </w:tbl>
    <w:p w:rsidR="00BA20D6" w:rsidRDefault="00BA20D6" w:rsidP="00BA20D6">
      <w:pPr>
        <w:overflowPunct w:val="0"/>
        <w:autoSpaceDE w:val="0"/>
        <w:autoSpaceDN w:val="0"/>
        <w:adjustRightInd w:val="0"/>
        <w:spacing w:after="180"/>
        <w:ind w:left="1260"/>
        <w:jc w:val="left"/>
        <w:rPr>
          <w:rFonts w:ascii="Times New Roman" w:eastAsia="SimSun" w:hAnsi="Times New Roman"/>
          <w:bCs/>
          <w:lang w:val="en-US" w:eastAsia="zh-CN"/>
        </w:rPr>
      </w:pPr>
    </w:p>
    <w:p w:rsidR="00BA20D6" w:rsidRPr="00EF22D1" w:rsidRDefault="00BA20D6" w:rsidP="00BA20D6">
      <w:pPr>
        <w:pStyle w:val="ECCBulletsLv2"/>
        <w:rPr>
          <w:lang w:val="en-US" w:eastAsia="zh-CN"/>
        </w:rPr>
      </w:pPr>
      <w:r w:rsidRPr="00EF22D1">
        <w:rPr>
          <w:lang w:val="en-US" w:eastAsia="zh-CN"/>
        </w:rPr>
        <w:t>Other LTE Uu frequency bands are not precluded. For the target completion date, RAN4 should guaranteed the minimum two RAN4 WG meeting from the starting for new band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538"/>
        <w:gridCol w:w="1288"/>
        <w:gridCol w:w="1250"/>
        <w:gridCol w:w="1136"/>
        <w:gridCol w:w="1206"/>
      </w:tblGrid>
      <w:tr w:rsidR="00BA20D6" w:rsidRPr="00D44D4A" w:rsidTr="00AF4545">
        <w:trPr>
          <w:trHeight w:val="374"/>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sz w:val="18"/>
                <w:lang w:eastAsia="zh-CN"/>
              </w:rPr>
            </w:pPr>
            <w:r w:rsidRPr="00D44D4A">
              <w:rPr>
                <w:rFonts w:cs="Arial"/>
                <w:b/>
                <w:sz w:val="18"/>
                <w:lang w:eastAsia="zh-CN"/>
              </w:rPr>
              <w:t>V2X inter-band concurrent combination</w:t>
            </w:r>
          </w:p>
        </w:tc>
        <w:tc>
          <w:tcPr>
            <w:tcW w:w="1538"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V2X</w:t>
            </w:r>
            <w:r w:rsidRPr="00D44D4A">
              <w:rPr>
                <w:rFonts w:cs="Arial"/>
                <w:b/>
                <w:color w:val="000000"/>
                <w:sz w:val="18"/>
              </w:rPr>
              <w:t xml:space="preserve"> Band</w:t>
            </w:r>
          </w:p>
        </w:tc>
        <w:tc>
          <w:tcPr>
            <w:tcW w:w="1288"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Channel bandwidths [MHz]</w:t>
            </w:r>
          </w:p>
        </w:tc>
        <w:tc>
          <w:tcPr>
            <w:tcW w:w="1250"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zh-CN"/>
              </w:rPr>
            </w:pPr>
            <w:r w:rsidRPr="00D44D4A">
              <w:rPr>
                <w:rFonts w:cs="Arial"/>
                <w:b/>
                <w:color w:val="000000"/>
                <w:sz w:val="18"/>
                <w:lang w:eastAsia="zh-CN"/>
              </w:rPr>
              <w:t>Interface</w:t>
            </w:r>
          </w:p>
        </w:tc>
        <w:tc>
          <w:tcPr>
            <w:tcW w:w="1136"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ko-KR"/>
              </w:rPr>
            </w:pPr>
            <w:r w:rsidRPr="00D44D4A">
              <w:rPr>
                <w:rFonts w:cs="Arial"/>
                <w:b/>
                <w:color w:val="000000"/>
                <w:sz w:val="18"/>
                <w:lang w:eastAsia="ko-KR"/>
              </w:rPr>
              <w:t>Started from</w:t>
            </w:r>
          </w:p>
        </w:tc>
        <w:tc>
          <w:tcPr>
            <w:tcW w:w="1206"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b/>
                <w:color w:val="000000"/>
                <w:sz w:val="18"/>
                <w:lang w:eastAsia="ko-KR"/>
              </w:rPr>
            </w:pPr>
            <w:r w:rsidRPr="00D44D4A">
              <w:rPr>
                <w:rFonts w:cs="Arial"/>
                <w:b/>
                <w:color w:val="000000"/>
                <w:sz w:val="18"/>
                <w:lang w:eastAsia="ko-KR"/>
              </w:rPr>
              <w:t>Target Completion date</w:t>
            </w:r>
          </w:p>
        </w:tc>
      </w:tr>
      <w:tr w:rsidR="00BA20D6" w:rsidRPr="00D44D4A" w:rsidTr="00AF4545">
        <w:trPr>
          <w:trHeight w:val="198"/>
          <w:jc w:val="center"/>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zh-CN"/>
              </w:rPr>
              <w:t>V2X_34_47</w:t>
            </w:r>
          </w:p>
        </w:tc>
        <w:tc>
          <w:tcPr>
            <w:tcW w:w="1538"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34</w:t>
            </w:r>
          </w:p>
        </w:tc>
        <w:tc>
          <w:tcPr>
            <w:tcW w:w="1288"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5, 10, 15</w:t>
            </w:r>
          </w:p>
        </w:tc>
        <w:tc>
          <w:tcPr>
            <w:tcW w:w="1250"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Uu</w:t>
            </w:r>
          </w:p>
        </w:tc>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RAN #76</w:t>
            </w:r>
          </w:p>
        </w:tc>
        <w:tc>
          <w:tcPr>
            <w:tcW w:w="1206"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RAN #78</w:t>
            </w:r>
          </w:p>
        </w:tc>
      </w:tr>
      <w:tr w:rsidR="00BA20D6" w:rsidRPr="00D44D4A" w:rsidTr="00AF4545">
        <w:trPr>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ko-KR"/>
              </w:rPr>
            </w:pPr>
          </w:p>
        </w:tc>
        <w:tc>
          <w:tcPr>
            <w:tcW w:w="1538"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47</w:t>
            </w:r>
          </w:p>
        </w:tc>
        <w:tc>
          <w:tcPr>
            <w:tcW w:w="1288"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10, 20</w:t>
            </w:r>
          </w:p>
        </w:tc>
        <w:tc>
          <w:tcPr>
            <w:tcW w:w="1250"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zh-CN"/>
              </w:rPr>
              <w:t>PC5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ko-KR"/>
              </w:rPr>
            </w:pPr>
          </w:p>
        </w:tc>
      </w:tr>
      <w:tr w:rsidR="00BA20D6" w:rsidRPr="00D44D4A" w:rsidTr="00AF4545">
        <w:trPr>
          <w:trHeight w:val="209"/>
          <w:jc w:val="center"/>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V2X_</w:t>
            </w:r>
            <w:r w:rsidRPr="00D44D4A">
              <w:rPr>
                <w:rFonts w:cs="Arial"/>
                <w:sz w:val="18"/>
                <w:lang w:eastAsia="zh-CN"/>
              </w:rPr>
              <w:t>5_47</w:t>
            </w:r>
          </w:p>
        </w:tc>
        <w:tc>
          <w:tcPr>
            <w:tcW w:w="1538"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5</w:t>
            </w:r>
          </w:p>
        </w:tc>
        <w:tc>
          <w:tcPr>
            <w:tcW w:w="1288"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5,10</w:t>
            </w:r>
          </w:p>
        </w:tc>
        <w:tc>
          <w:tcPr>
            <w:tcW w:w="1250"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Uu</w:t>
            </w:r>
          </w:p>
        </w:tc>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ko-KR"/>
              </w:rPr>
              <w:t>RAN #76</w:t>
            </w:r>
          </w:p>
        </w:tc>
        <w:tc>
          <w:tcPr>
            <w:tcW w:w="1206" w:type="dxa"/>
            <w:vMerge w:val="restart"/>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zh-CN"/>
              </w:rPr>
            </w:pPr>
            <w:r w:rsidRPr="00D44D4A">
              <w:rPr>
                <w:rFonts w:cs="Arial"/>
                <w:sz w:val="18"/>
                <w:lang w:eastAsia="ko-KR"/>
              </w:rPr>
              <w:t>RAN #78</w:t>
            </w:r>
          </w:p>
        </w:tc>
      </w:tr>
      <w:tr w:rsidR="00BA20D6" w:rsidRPr="00D44D4A" w:rsidTr="00AF4545">
        <w:trPr>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ko-KR"/>
              </w:rPr>
            </w:pPr>
          </w:p>
        </w:tc>
        <w:tc>
          <w:tcPr>
            <w:tcW w:w="1538" w:type="dxa"/>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47</w:t>
            </w:r>
          </w:p>
        </w:tc>
        <w:tc>
          <w:tcPr>
            <w:tcW w:w="1288"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10,20</w:t>
            </w:r>
          </w:p>
        </w:tc>
        <w:tc>
          <w:tcPr>
            <w:tcW w:w="1250" w:type="dxa"/>
            <w:tcBorders>
              <w:top w:val="single" w:sz="4" w:space="0" w:color="auto"/>
              <w:left w:val="single" w:sz="4" w:space="0" w:color="auto"/>
              <w:bottom w:val="single" w:sz="4" w:space="0" w:color="auto"/>
              <w:right w:val="single" w:sz="4" w:space="0" w:color="auto"/>
            </w:tcBorders>
            <w:hideMark/>
          </w:tcPr>
          <w:p w:rsidR="00BA20D6" w:rsidRPr="00D44D4A" w:rsidRDefault="00BA20D6" w:rsidP="00AF4545">
            <w:pPr>
              <w:keepNext/>
              <w:keepLines/>
              <w:overflowPunct w:val="0"/>
              <w:autoSpaceDE w:val="0"/>
              <w:autoSpaceDN w:val="0"/>
              <w:adjustRightInd w:val="0"/>
              <w:spacing w:after="0"/>
              <w:jc w:val="center"/>
              <w:rPr>
                <w:rFonts w:cs="Arial"/>
                <w:sz w:val="18"/>
                <w:lang w:eastAsia="ko-KR"/>
              </w:rPr>
            </w:pPr>
            <w:r w:rsidRPr="00D44D4A">
              <w:rPr>
                <w:rFonts w:cs="Arial"/>
                <w:sz w:val="18"/>
                <w:lang w:eastAsia="ko-KR"/>
              </w:rPr>
              <w:t>PC5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0D6" w:rsidRPr="00D44D4A" w:rsidRDefault="00BA20D6" w:rsidP="00AF4545">
            <w:pPr>
              <w:spacing w:after="0"/>
              <w:jc w:val="left"/>
              <w:rPr>
                <w:rFonts w:eastAsia="Malgun Gothic" w:cs="Arial"/>
                <w:sz w:val="18"/>
                <w:lang w:eastAsia="zh-CN"/>
              </w:rPr>
            </w:pPr>
          </w:p>
        </w:tc>
      </w:tr>
    </w:tbl>
    <w:p w:rsidR="00BA20D6" w:rsidRPr="00D44D4A" w:rsidRDefault="00BA20D6" w:rsidP="00BA20D6">
      <w:pPr>
        <w:overflowPunct w:val="0"/>
        <w:autoSpaceDE w:val="0"/>
        <w:autoSpaceDN w:val="0"/>
        <w:adjustRightInd w:val="0"/>
        <w:spacing w:after="180"/>
        <w:ind w:left="840"/>
        <w:jc w:val="left"/>
        <w:rPr>
          <w:rFonts w:ascii="Times New Roman" w:eastAsia="SimSun" w:hAnsi="Times New Roman"/>
          <w:bCs/>
          <w:lang w:val="en-US" w:eastAsia="zh-CN"/>
        </w:rPr>
      </w:pPr>
    </w:p>
    <w:p w:rsidR="00BA20D6" w:rsidRPr="00EF22D1" w:rsidRDefault="00BA20D6" w:rsidP="00BA20D6">
      <w:pPr>
        <w:pStyle w:val="ECCBulletsLv1"/>
        <w:ind w:left="0" w:firstLine="0"/>
        <w:rPr>
          <w:rFonts w:eastAsia="SimSun" w:cs="Arial"/>
          <w:bCs/>
          <w:lang w:val="en-US" w:eastAsia="zh-CN"/>
        </w:rPr>
      </w:pPr>
      <w:r w:rsidRPr="00EF22D1">
        <w:rPr>
          <w:rFonts w:eastAsia="SimSun" w:cs="Arial"/>
          <w:bCs/>
          <w:lang w:val="en-US" w:eastAsia="zh-CN"/>
        </w:rPr>
        <w:t xml:space="preserve">Concurrent operation of LTE Uu Carrier Aggregation and PC5 operation on Band 47. Proposed combinations to be proposed during the work item in line with the CA basket WID approach. </w:t>
      </w:r>
    </w:p>
    <w:p w:rsidR="00BA20D6" w:rsidRPr="00EF22D1" w:rsidRDefault="00BA20D6" w:rsidP="00BA20D6">
      <w:pPr>
        <w:pStyle w:val="ECCBulletsLv2"/>
        <w:rPr>
          <w:lang w:val="en-US" w:eastAsia="zh-CN"/>
        </w:rPr>
      </w:pPr>
      <w:r w:rsidRPr="00EF22D1">
        <w:rPr>
          <w:rFonts w:eastAsia="Malgun Gothic"/>
          <w:lang w:val="en-US" w:eastAsia="ko-KR"/>
        </w:rPr>
        <w:t>Based on agreed work plan (R4-170</w:t>
      </w:r>
      <w:r w:rsidRPr="00EF22D1">
        <w:rPr>
          <w:lang w:val="en-US" w:eastAsia="zh-CN"/>
        </w:rPr>
        <w:t>3287), the total number of carriers of LTE Uu CA and PC5 operation is restricted up to 3CCs in this WI.</w:t>
      </w:r>
    </w:p>
    <w:p w:rsidR="00BA20D6" w:rsidRPr="00EF22D1" w:rsidRDefault="00BA20D6" w:rsidP="00BA20D6">
      <w:pPr>
        <w:pStyle w:val="ECCBulletsLv2"/>
        <w:rPr>
          <w:rFonts w:eastAsia="SimSun"/>
          <w:lang w:val="en-US" w:eastAsia="zh-CN"/>
        </w:rPr>
      </w:pPr>
      <w:r w:rsidRPr="00EF22D1">
        <w:rPr>
          <w:lang w:val="en-US" w:eastAsia="ko-KR"/>
        </w:rPr>
        <w:t>E.g. CA_XA-YA (Uu) + 47A (PC5) or XA (Uu) + 47B (PC5)</w:t>
      </w:r>
    </w:p>
    <w:p w:rsidR="00BA20D6" w:rsidRPr="00EF22D1" w:rsidRDefault="00BA20D6" w:rsidP="00BA20D6">
      <w:pPr>
        <w:overflowPunct w:val="0"/>
        <w:autoSpaceDE w:val="0"/>
        <w:autoSpaceDN w:val="0"/>
        <w:adjustRightInd w:val="0"/>
        <w:spacing w:after="180"/>
        <w:jc w:val="left"/>
        <w:rPr>
          <w:rFonts w:eastAsia="SimSun" w:cs="Arial"/>
          <w:bCs/>
          <w:lang w:val="en-US" w:eastAsia="zh-CN"/>
        </w:rPr>
      </w:pPr>
      <w:r w:rsidRPr="00EF22D1">
        <w:rPr>
          <w:rFonts w:eastAsia="SimSun" w:cs="Arial"/>
          <w:bCs/>
          <w:lang w:val="en-US" w:eastAsia="zh-CN"/>
        </w:rPr>
        <w:t xml:space="preserve">Newly proposed combinations may be included to this work item at every RAN plenary, but shall have been proposed at the RAN4 meeting prior to the corresponding RAN plenary where they are agreed. </w:t>
      </w:r>
    </w:p>
    <w:p w:rsidR="00BA20D6" w:rsidRPr="00EF22D1" w:rsidRDefault="00BA20D6" w:rsidP="00BA20D6">
      <w:pPr>
        <w:overflowPunct w:val="0"/>
        <w:autoSpaceDE w:val="0"/>
        <w:autoSpaceDN w:val="0"/>
        <w:adjustRightInd w:val="0"/>
        <w:spacing w:after="180"/>
        <w:jc w:val="left"/>
        <w:rPr>
          <w:rFonts w:eastAsia="SimSun" w:cs="Arial"/>
          <w:bCs/>
          <w:lang w:val="en-US" w:eastAsia="zh-CN"/>
        </w:rPr>
      </w:pPr>
      <w:r w:rsidRPr="00EF22D1">
        <w:rPr>
          <w:rFonts w:eastAsia="SimSun" w:cs="Arial"/>
          <w:bCs/>
          <w:lang w:val="en-US" w:eastAsia="zh-CN"/>
        </w:rPr>
        <w:t>Once a band combination is completed, it shall be included in the 3GPP specifications immediately, and Release independence of that combination shall be supported from release 14 (</w:t>
      </w:r>
      <w:r w:rsidR="004E0FE6">
        <w:rPr>
          <w:rFonts w:eastAsia="SimSun" w:cs="Arial"/>
          <w:bCs/>
          <w:lang w:val="en-US" w:eastAsia="zh-CN"/>
        </w:rPr>
        <w:t xml:space="preserve">the </w:t>
      </w:r>
      <w:r w:rsidRPr="00EF22D1">
        <w:rPr>
          <w:rFonts w:eastAsia="SimSun" w:cs="Arial"/>
          <w:bCs/>
          <w:lang w:val="en-US" w:eastAsia="zh-CN"/>
        </w:rPr>
        <w:t>same approach as for LTE frequency bands and CA combinations today).</w:t>
      </w:r>
    </w:p>
    <w:p w:rsidR="00BA20D6" w:rsidRPr="00EF22D1" w:rsidRDefault="00BA20D6" w:rsidP="00BA20D6">
      <w:pPr>
        <w:overflowPunct w:val="0"/>
        <w:autoSpaceDE w:val="0"/>
        <w:autoSpaceDN w:val="0"/>
        <w:adjustRightInd w:val="0"/>
        <w:spacing w:after="180"/>
        <w:jc w:val="left"/>
        <w:rPr>
          <w:rFonts w:eastAsia="SimSun" w:cs="Arial"/>
          <w:b/>
          <w:bCs/>
          <w:lang w:val="en-US" w:eastAsia="zh-CN"/>
        </w:rPr>
      </w:pPr>
      <w:r w:rsidRPr="00EF22D1">
        <w:rPr>
          <w:rFonts w:eastAsia="SimSun" w:cs="Arial"/>
          <w:b/>
          <w:bCs/>
          <w:lang w:val="en-US" w:eastAsia="zh-CN"/>
        </w:rPr>
        <w:t>As can be seen from the above, only vehicle-to-vehicle communication is currently foreseen in 5855-5925 MHz in this standardisation approach. No Uu interface in band 47 is indicated.</w:t>
      </w:r>
    </w:p>
    <w:p w:rsidR="00BA20D6" w:rsidRPr="00EF22D1" w:rsidRDefault="00BA20D6" w:rsidP="00BA20D6">
      <w:pPr>
        <w:overflowPunct w:val="0"/>
        <w:autoSpaceDE w:val="0"/>
        <w:autoSpaceDN w:val="0"/>
        <w:adjustRightInd w:val="0"/>
        <w:spacing w:after="180"/>
        <w:jc w:val="left"/>
        <w:rPr>
          <w:rFonts w:eastAsia="SimSun" w:cs="Arial"/>
          <w:bCs/>
          <w:lang w:val="en-US" w:eastAsia="zh-CN"/>
        </w:rPr>
      </w:pPr>
      <w:r w:rsidRPr="00EF22D1">
        <w:rPr>
          <w:rFonts w:eastAsia="SimSun" w:cs="Arial"/>
          <w:bCs/>
          <w:lang w:val="en-US" w:eastAsia="zh-CN"/>
        </w:rPr>
        <w:t xml:space="preserve">The band combination approach could also be interpreted as an approach to overcome the conflict with IEEE 802.11/11p/ETSI G5 about the use of the 5855-5925 MHz. Both systems cannot co-exist on the same channel, as they are currently standardised.  </w:t>
      </w:r>
    </w:p>
    <w:p w:rsidR="00BA20D6" w:rsidRDefault="00BA20D6" w:rsidP="00BA20D6">
      <w:pPr>
        <w:overflowPunct w:val="0"/>
        <w:autoSpaceDE w:val="0"/>
        <w:autoSpaceDN w:val="0"/>
        <w:adjustRightInd w:val="0"/>
        <w:spacing w:after="180"/>
        <w:jc w:val="left"/>
        <w:rPr>
          <w:rFonts w:eastAsia="SimSun" w:cs="Arial"/>
          <w:bCs/>
          <w:lang w:val="en-US" w:eastAsia="zh-CN"/>
        </w:rPr>
      </w:pPr>
      <w:r w:rsidRPr="00EF22D1">
        <w:rPr>
          <w:rFonts w:eastAsia="SimSun" w:cs="Arial"/>
          <w:bCs/>
          <w:lang w:val="en-US" w:eastAsia="zh-CN"/>
        </w:rPr>
        <w:t>Below is a detailed overview of the 3GPP work items in relation to V2X as provided in April by 5GAA at a conference hosted by Vodafone in Duesseldorf, Germany. Some early proposals from 3GPP V2X proponents</w:t>
      </w:r>
      <w:r w:rsidR="00F52BD0">
        <w:rPr>
          <w:rFonts w:eastAsia="SimSun" w:cs="Arial"/>
          <w:bCs/>
          <w:lang w:val="en-US" w:eastAsia="zh-CN"/>
        </w:rPr>
        <w:t xml:space="preserve"> </w:t>
      </w:r>
      <w:r w:rsidRPr="00EF22D1">
        <w:rPr>
          <w:rFonts w:eastAsia="SimSun" w:cs="Arial"/>
          <w:bCs/>
          <w:lang w:val="en-US" w:eastAsia="zh-CN"/>
        </w:rPr>
        <w:t xml:space="preserve">foresee the use of one channel for V2X (PC5, vehicle-to-vehicle), though this may not be acceptable for proponents of IEEE 802.11/11p/ETSI G5 because this proposal foresees exactly to use the </w:t>
      </w:r>
      <w:r w:rsidRPr="00EF22D1">
        <w:rPr>
          <w:rFonts w:eastAsia="SimSun" w:cs="Arial"/>
          <w:bCs/>
          <w:lang w:val="en-US" w:eastAsia="zh-CN"/>
        </w:rPr>
        <w:lastRenderedPageBreak/>
        <w:t xml:space="preserve">range 5895-5905 MHz, which is used by ETSI G5 as the control channel. It illustrates the sort of conflict which is pending a resolution in the </w:t>
      </w:r>
      <w:r w:rsidR="004E0FE6" w:rsidRPr="00EF22D1">
        <w:rPr>
          <w:rFonts w:eastAsia="SimSun" w:cs="Arial"/>
          <w:bCs/>
          <w:lang w:val="en-US" w:eastAsia="zh-CN"/>
        </w:rPr>
        <w:t>standardi</w:t>
      </w:r>
      <w:r w:rsidR="004E0FE6">
        <w:rPr>
          <w:rFonts w:eastAsia="SimSun" w:cs="Arial"/>
          <w:bCs/>
          <w:lang w:val="en-US" w:eastAsia="zh-CN"/>
        </w:rPr>
        <w:t>s</w:t>
      </w:r>
      <w:r w:rsidR="004E0FE6" w:rsidRPr="00EF22D1">
        <w:rPr>
          <w:rFonts w:eastAsia="SimSun" w:cs="Arial"/>
          <w:bCs/>
          <w:lang w:val="en-US" w:eastAsia="zh-CN"/>
        </w:rPr>
        <w:t xml:space="preserve">ation </w:t>
      </w:r>
      <w:r w:rsidRPr="00EF22D1">
        <w:rPr>
          <w:rFonts w:eastAsia="SimSun" w:cs="Arial"/>
          <w:bCs/>
          <w:lang w:val="en-US" w:eastAsia="zh-CN"/>
        </w:rPr>
        <w:t>and regulatory environment at this stage. Note also that the EC and ECC Decision for ITS are technology neutral and the spectrum is seen a ‘shared spectrum’ environment.</w:t>
      </w:r>
      <w:r w:rsidR="002B10D7">
        <w:rPr>
          <w:rFonts w:eastAsia="SimSun" w:cs="Arial"/>
          <w:bCs/>
          <w:lang w:val="en-US" w:eastAsia="zh-CN"/>
        </w:rPr>
        <w:t xml:space="preserve"> </w:t>
      </w:r>
    </w:p>
    <w:p w:rsidR="002B10D7" w:rsidRPr="00EF22D1" w:rsidRDefault="002B10D7" w:rsidP="00BA20D6">
      <w:pPr>
        <w:overflowPunct w:val="0"/>
        <w:autoSpaceDE w:val="0"/>
        <w:autoSpaceDN w:val="0"/>
        <w:adjustRightInd w:val="0"/>
        <w:spacing w:after="180"/>
        <w:jc w:val="left"/>
        <w:rPr>
          <w:rFonts w:eastAsia="Malgun Gothic" w:cs="Arial"/>
          <w:lang w:val="en-US" w:eastAsia="ko-KR"/>
        </w:rPr>
      </w:pPr>
      <w:r w:rsidRPr="002B10D7">
        <w:rPr>
          <w:rFonts w:eastAsia="Malgun Gothic" w:cs="Arial"/>
          <w:lang w:val="en-US" w:eastAsia="ko-KR"/>
        </w:rPr>
        <w:t xml:space="preserve">C-V2X and 802.11p use different physical layers and medium access control protocols. As such, the operation of the two technologies in the 5.9 GHz band </w:t>
      </w:r>
      <w:r>
        <w:rPr>
          <w:rFonts w:eastAsia="Malgun Gothic" w:cs="Arial"/>
          <w:lang w:val="en-US" w:eastAsia="ko-KR"/>
        </w:rPr>
        <w:t xml:space="preserve">on the same channel </w:t>
      </w:r>
      <w:r w:rsidRPr="002B10D7">
        <w:rPr>
          <w:rFonts w:eastAsia="Malgun Gothic" w:cs="Arial"/>
          <w:lang w:val="en-US" w:eastAsia="ko-KR"/>
        </w:rPr>
        <w:t>and in the same geographic area without an agreed coexistence solution would result in mutually harmful co-channel interference.</w:t>
      </w:r>
    </w:p>
    <w:p w:rsidR="00BA20D6" w:rsidRDefault="00BA20D6" w:rsidP="00BA20D6">
      <w:pPr>
        <w:rPr>
          <w:rFonts w:cs="Arial"/>
        </w:rPr>
      </w:pPr>
      <w:r>
        <w:rPr>
          <w:noProof/>
          <w:lang w:val="da-DK" w:eastAsia="da-DK"/>
        </w:rPr>
        <w:drawing>
          <wp:inline distT="0" distB="0" distL="0" distR="0" wp14:anchorId="5543E520" wp14:editId="28B9DD49">
            <wp:extent cx="5557515" cy="2738631"/>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60467" cy="2740085"/>
                    </a:xfrm>
                    <a:prstGeom prst="rect">
                      <a:avLst/>
                    </a:prstGeom>
                  </pic:spPr>
                </pic:pic>
              </a:graphicData>
            </a:graphic>
          </wp:inline>
        </w:drawing>
      </w:r>
    </w:p>
    <w:p w:rsidR="002B10D7" w:rsidRDefault="002B10D7" w:rsidP="00BA20D6">
      <w:pPr>
        <w:rPr>
          <w:rFonts w:cs="Arial"/>
        </w:rPr>
      </w:pPr>
    </w:p>
    <w:p w:rsidR="002B10D7" w:rsidRDefault="002B10D7" w:rsidP="00BA20D6">
      <w:pPr>
        <w:rPr>
          <w:rFonts w:cs="Arial"/>
        </w:rPr>
      </w:pPr>
      <w:r>
        <w:rPr>
          <w:rFonts w:cs="Arial"/>
        </w:rPr>
        <w:t>5GAA published another position paper on the 12 June 2017 about the c</w:t>
      </w:r>
      <w:r w:rsidRPr="002B10D7">
        <w:rPr>
          <w:rFonts w:cs="Arial"/>
        </w:rPr>
        <w:t>oexistence of C-V2X and 802.11p at 5.9 GHz</w:t>
      </w:r>
      <w:r>
        <w:rPr>
          <w:rFonts w:cs="Arial"/>
        </w:rPr>
        <w:t xml:space="preserve"> which includes new modified proposals</w:t>
      </w:r>
      <w:r w:rsidR="00F52BD0">
        <w:rPr>
          <w:rFonts w:cs="Arial"/>
        </w:rPr>
        <w:t>:</w:t>
      </w:r>
      <w:r>
        <w:rPr>
          <w:rFonts w:cs="Arial"/>
        </w:rPr>
        <w:t xml:space="preserve"> </w:t>
      </w:r>
    </w:p>
    <w:p w:rsidR="00F52BD0" w:rsidRDefault="00F52BD0" w:rsidP="00BA20D6">
      <w:pPr>
        <w:rPr>
          <w:rFonts w:cs="Arial"/>
        </w:rPr>
      </w:pPr>
      <w:r>
        <w:object w:dxaOrig="1530" w:dyaOrig="990">
          <v:shape id="_x0000_i1030" type="#_x0000_t75" style="width:76.75pt;height:49.6pt" o:ole="">
            <v:imagedata r:id="rId51" o:title=""/>
          </v:shape>
          <o:OLEObject Type="Embed" ProgID="AcroExch.Document.DC" ShapeID="_x0000_i1030" DrawAspect="Icon" ObjectID="_1559477189" r:id="rId52"/>
        </w:object>
      </w:r>
    </w:p>
    <w:p w:rsidR="002B10D7" w:rsidRPr="002B10D7" w:rsidRDefault="002B10D7" w:rsidP="002B10D7">
      <w:pPr>
        <w:rPr>
          <w:rFonts w:cs="Arial"/>
        </w:rPr>
      </w:pPr>
      <w:r>
        <w:rPr>
          <w:rFonts w:cs="Arial"/>
        </w:rPr>
        <w:t xml:space="preserve">The paper recognised </w:t>
      </w:r>
      <w:r w:rsidR="004E0FE6">
        <w:rPr>
          <w:rFonts w:cs="Arial"/>
        </w:rPr>
        <w:t xml:space="preserve">that </w:t>
      </w:r>
      <w:r>
        <w:rPr>
          <w:rFonts w:cs="Arial"/>
        </w:rPr>
        <w:t>t</w:t>
      </w:r>
      <w:r w:rsidRPr="002B10D7">
        <w:rPr>
          <w:rFonts w:cs="Arial"/>
        </w:rPr>
        <w:t>he technology neutral nature of spectrum regulations in Europe means that both LTE-V2X1 and 802.11p have equal rights to operate in the 5.9 GHz band, subject to compliance with the relevant regulatory technical conditions.</w:t>
      </w:r>
    </w:p>
    <w:p w:rsidR="002B10D7" w:rsidRDefault="002B10D7" w:rsidP="002B10D7">
      <w:pPr>
        <w:rPr>
          <w:rFonts w:cs="Arial"/>
        </w:rPr>
      </w:pPr>
      <w:r w:rsidRPr="002B10D7">
        <w:rPr>
          <w:rFonts w:cs="Arial"/>
        </w:rPr>
        <w:t xml:space="preserve">To this end, </w:t>
      </w:r>
      <w:r>
        <w:rPr>
          <w:rFonts w:cs="Arial"/>
        </w:rPr>
        <w:t xml:space="preserve">5GAA </w:t>
      </w:r>
      <w:r w:rsidRPr="002B10D7">
        <w:rPr>
          <w:rFonts w:cs="Arial"/>
        </w:rPr>
        <w:t>propose</w:t>
      </w:r>
      <w:r>
        <w:rPr>
          <w:rFonts w:cs="Arial"/>
        </w:rPr>
        <w:t>s</w:t>
      </w:r>
      <w:r w:rsidRPr="002B10D7">
        <w:rPr>
          <w:rFonts w:cs="Arial"/>
        </w:rPr>
        <w:t xml:space="preserve"> a solution – to be agreed among the stakeholders – to be implemented in up to three steps. In all steps, each of C-V2X and 802.11p can operate safety-related ITS services free from co-channel interference from the other technology. In the short-term, </w:t>
      </w:r>
      <w:r>
        <w:rPr>
          <w:rFonts w:cs="Arial"/>
        </w:rPr>
        <w:t>5GAA</w:t>
      </w:r>
      <w:r w:rsidRPr="002B10D7">
        <w:rPr>
          <w:rFonts w:cs="Arial"/>
        </w:rPr>
        <w:t xml:space="preserve"> propose</w:t>
      </w:r>
      <w:r>
        <w:rPr>
          <w:rFonts w:cs="Arial"/>
        </w:rPr>
        <w:t>s</w:t>
      </w:r>
      <w:r w:rsidRPr="002B10D7">
        <w:rPr>
          <w:rFonts w:cs="Arial"/>
        </w:rPr>
        <w:t xml:space="preserve"> to allocate distinct 10 MHz channels at 5875-5905 MHz to each of the two technologies, while the final configuration will apply full sharing of all available channels across the two technologies. The latter will require further studies on appropriate sharing mechanisms and thus cannot be provided from the beginning.</w:t>
      </w:r>
      <w:r>
        <w:rPr>
          <w:rFonts w:cs="Arial"/>
        </w:rPr>
        <w:t xml:space="preserve"> This follows the working assumption that the spectrum is available on a shared use basis.</w:t>
      </w:r>
    </w:p>
    <w:p w:rsidR="00F52BD0" w:rsidRPr="00F52BD0" w:rsidRDefault="00F52BD0" w:rsidP="00F52BD0">
      <w:pPr>
        <w:rPr>
          <w:rFonts w:cs="Arial"/>
          <w:lang w:val="en-US"/>
        </w:rPr>
      </w:pPr>
      <w:r w:rsidRPr="00F52BD0">
        <w:rPr>
          <w:rFonts w:cs="Arial"/>
          <w:lang w:val="en-US"/>
        </w:rPr>
        <w:t xml:space="preserve">Specifically, the </w:t>
      </w:r>
      <w:r>
        <w:rPr>
          <w:rFonts w:cs="Arial"/>
          <w:lang w:val="en-US"/>
        </w:rPr>
        <w:t xml:space="preserve">proposed </w:t>
      </w:r>
      <w:r w:rsidRPr="00F52BD0">
        <w:rPr>
          <w:rFonts w:cs="Arial"/>
          <w:lang w:val="en-US"/>
        </w:rPr>
        <w:t>steps would involve the following:</w:t>
      </w:r>
    </w:p>
    <w:p w:rsidR="00F52BD0" w:rsidRPr="00F52BD0" w:rsidRDefault="00F52BD0" w:rsidP="00F52BD0">
      <w:pPr>
        <w:ind w:left="567"/>
        <w:rPr>
          <w:rFonts w:cs="Arial"/>
          <w:lang w:val="en-US"/>
        </w:rPr>
      </w:pPr>
      <w:r w:rsidRPr="00F52BD0">
        <w:rPr>
          <w:rFonts w:cs="Arial"/>
          <w:lang w:val="en-US"/>
        </w:rPr>
        <w:t>1) Safe harbour channels for C-V2X and 802.11p (with each of the 5875-5885 and 5895-5905 MHz channels paired with one of either C-V2X or 802.11p)</w:t>
      </w:r>
      <w:r>
        <w:rPr>
          <w:rFonts w:cs="Arial"/>
          <w:lang w:val="en-US"/>
        </w:rPr>
        <w:t>;</w:t>
      </w:r>
    </w:p>
    <w:p w:rsidR="00F52BD0" w:rsidRPr="00F52BD0" w:rsidRDefault="00F52BD0" w:rsidP="00F52BD0">
      <w:pPr>
        <w:ind w:left="567"/>
        <w:rPr>
          <w:rFonts w:cs="Arial"/>
          <w:lang w:val="en-US"/>
        </w:rPr>
      </w:pPr>
      <w:r w:rsidRPr="00F52BD0">
        <w:rPr>
          <w:rFonts w:cs="Arial"/>
          <w:lang w:val="en-US"/>
        </w:rPr>
        <w:t>2) Shared use of the middle channel (5885-5895 MHz)</w:t>
      </w:r>
      <w:r>
        <w:rPr>
          <w:rFonts w:cs="Arial"/>
          <w:lang w:val="en-US"/>
        </w:rPr>
        <w:t>;</w:t>
      </w:r>
    </w:p>
    <w:p w:rsidR="00F52BD0" w:rsidRPr="00F52BD0" w:rsidRDefault="00F52BD0" w:rsidP="00F52BD0">
      <w:pPr>
        <w:ind w:left="567"/>
        <w:rPr>
          <w:rFonts w:cs="Arial"/>
          <w:lang w:val="en-US"/>
        </w:rPr>
      </w:pPr>
      <w:r w:rsidRPr="00F52BD0">
        <w:rPr>
          <w:rFonts w:cs="Arial"/>
          <w:lang w:val="en-US"/>
        </w:rPr>
        <w:t>3) Shared use of all channels</w:t>
      </w:r>
      <w:r>
        <w:rPr>
          <w:rFonts w:cs="Arial"/>
          <w:lang w:val="en-US"/>
        </w:rPr>
        <w:t xml:space="preserve"> in the end</w:t>
      </w:r>
      <w:r w:rsidRPr="00F52BD0">
        <w:rPr>
          <w:rFonts w:cs="Arial"/>
          <w:lang w:val="en-US"/>
        </w:rPr>
        <w:t>.</w:t>
      </w:r>
    </w:p>
    <w:p w:rsidR="002B10D7" w:rsidRDefault="002B10D7" w:rsidP="002B10D7">
      <w:pPr>
        <w:rPr>
          <w:rFonts w:cs="Arial"/>
        </w:rPr>
      </w:pPr>
      <w:r>
        <w:rPr>
          <w:rFonts w:cs="Arial"/>
        </w:rPr>
        <w:lastRenderedPageBreak/>
        <w:t>In this context, the considerations in WG FM and SRD/MG</w:t>
      </w:r>
      <w:r w:rsidR="00F52BD0">
        <w:rPr>
          <w:rFonts w:cs="Arial"/>
        </w:rPr>
        <w:t xml:space="preserve">, and ETSI, </w:t>
      </w:r>
      <w:r>
        <w:rPr>
          <w:rFonts w:cs="Arial"/>
        </w:rPr>
        <w:t>about Urban Rail Systems</w:t>
      </w:r>
      <w:r w:rsidR="00F52BD0">
        <w:rPr>
          <w:rFonts w:cs="Arial"/>
        </w:rPr>
        <w:t xml:space="preserve"> are also important.</w:t>
      </w:r>
    </w:p>
    <w:p w:rsidR="002B10D7" w:rsidRDefault="002B10D7" w:rsidP="00BA20D6">
      <w:pPr>
        <w:rPr>
          <w:rFonts w:cs="Arial"/>
        </w:rPr>
      </w:pPr>
    </w:p>
    <w:p w:rsidR="002B10D7" w:rsidRDefault="002B10D7" w:rsidP="00BA20D6">
      <w:pPr>
        <w:rPr>
          <w:rFonts w:cs="Arial"/>
        </w:rPr>
      </w:pPr>
      <w:r>
        <w:rPr>
          <w:rFonts w:cs="Arial"/>
          <w:noProof/>
          <w:lang w:val="da-DK" w:eastAsia="da-DK"/>
        </w:rPr>
        <w:drawing>
          <wp:inline distT="0" distB="0" distL="0" distR="0" wp14:anchorId="7A37F935" wp14:editId="50604FC1">
            <wp:extent cx="6120765" cy="2632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632515"/>
                    </a:xfrm>
                    <a:prstGeom prst="rect">
                      <a:avLst/>
                    </a:prstGeom>
                    <a:noFill/>
                    <a:ln>
                      <a:noFill/>
                    </a:ln>
                  </pic:spPr>
                </pic:pic>
              </a:graphicData>
            </a:graphic>
          </wp:inline>
        </w:drawing>
      </w:r>
    </w:p>
    <w:p w:rsidR="00F52BD0" w:rsidRDefault="00F52BD0" w:rsidP="00BA20D6">
      <w:pPr>
        <w:rPr>
          <w:rFonts w:cs="Arial"/>
        </w:rPr>
      </w:pPr>
      <w:r>
        <w:rPr>
          <w:rFonts w:cs="Arial"/>
        </w:rPr>
        <w:t>The 5GAA suggestion is that s</w:t>
      </w:r>
      <w:r w:rsidRPr="00F52BD0">
        <w:rPr>
          <w:rFonts w:cs="Arial"/>
        </w:rPr>
        <w:t>uitable sharing mechanisms could be specified in ETSI EN 302 571 on the basis of the results of studies to be undertaken at ETSI, and as captured in a relevant ETSI technical report (TR).</w:t>
      </w:r>
      <w:r>
        <w:rPr>
          <w:rFonts w:cs="Arial"/>
        </w:rPr>
        <w:t xml:space="preserve"> </w:t>
      </w:r>
    </w:p>
    <w:p w:rsidR="00BA20D6" w:rsidRDefault="00BA20D6" w:rsidP="00BA20D6">
      <w:pPr>
        <w:rPr>
          <w:rFonts w:cs="Arial"/>
        </w:rPr>
      </w:pPr>
      <w:r>
        <w:rPr>
          <w:rFonts w:cs="Arial"/>
        </w:rPr>
        <w:t>Detailed 3GPP work item overview:</w:t>
      </w:r>
    </w:p>
    <w:p w:rsidR="00BA20D6" w:rsidRDefault="004E0FE6" w:rsidP="00BA20D6">
      <w:pPr>
        <w:rPr>
          <w:rFonts w:cs="Arial"/>
        </w:rPr>
      </w:pPr>
      <w:r>
        <w:object w:dxaOrig="2040" w:dyaOrig="1339">
          <v:shape id="_x0000_i1031" type="#_x0000_t75" style="width:102.55pt;height:67.25pt" o:ole="">
            <v:imagedata r:id="rId54" o:title=""/>
          </v:shape>
          <o:OLEObject Type="Embed" ProgID="AcroExch.Document.DC" ShapeID="_x0000_i1031" DrawAspect="Icon" ObjectID="_1559477190" r:id="rId55"/>
        </w:object>
      </w:r>
    </w:p>
    <w:p w:rsidR="00BA20D6" w:rsidRPr="007326C5" w:rsidRDefault="00BA20D6" w:rsidP="00BA20D6">
      <w:pPr>
        <w:rPr>
          <w:rFonts w:cs="Arial"/>
        </w:rPr>
      </w:pPr>
      <w:r>
        <w:rPr>
          <w:rFonts w:cs="Arial"/>
        </w:rPr>
        <w:t xml:space="preserve">As a side note: there was no reporting from the USA or Canada during the recent annual USA-CAN-ECC meeting, neither with regard to 5.9 GHz nor 63-64 GHz activities by the US regulator  or Canada. This also includes the Urban Rail Systems subject. See also item 1 (APT), information about the </w:t>
      </w:r>
      <w:r w:rsidRPr="00EF22D1">
        <w:rPr>
          <w:rFonts w:cs="Arial"/>
        </w:rPr>
        <w:t>‘white paper’ document from Qualcomm Hongkong</w:t>
      </w:r>
      <w:r>
        <w:rPr>
          <w:rFonts w:cs="Arial"/>
        </w:rPr>
        <w:t>.</w:t>
      </w:r>
    </w:p>
    <w:p w:rsidR="006378B0" w:rsidRDefault="006378B0" w:rsidP="001B0583">
      <w:pPr>
        <w:pStyle w:val="ECCTablenote"/>
        <w:rPr>
          <w:rStyle w:val="ECCParagraph"/>
        </w:rPr>
      </w:pPr>
    </w:p>
    <w:p w:rsidR="00BA20D6" w:rsidRDefault="00BA20D6" w:rsidP="00C2287A">
      <w:pPr>
        <w:spacing w:after="240"/>
        <w:rPr>
          <w:rStyle w:val="ECCParagraph"/>
        </w:rPr>
      </w:pPr>
      <w:r w:rsidRPr="00BA20D6">
        <w:rPr>
          <w:rFonts w:cs="Arial"/>
          <w:b/>
        </w:rPr>
        <w:t>(for information</w:t>
      </w:r>
      <w:r w:rsidR="00F52BD0">
        <w:rPr>
          <w:rFonts w:cs="Arial"/>
          <w:b/>
        </w:rPr>
        <w:t xml:space="preserve"> and consideration</w:t>
      </w:r>
      <w:r w:rsidRPr="00BA20D6">
        <w:rPr>
          <w:rFonts w:cs="Arial"/>
          <w:b/>
        </w:rPr>
        <w:t xml:space="preserve"> in WG FM, </w:t>
      </w:r>
      <w:r>
        <w:rPr>
          <w:rFonts w:cs="Arial"/>
          <w:b/>
        </w:rPr>
        <w:t xml:space="preserve">SRD/MG, </w:t>
      </w:r>
      <w:r w:rsidR="00F52BD0">
        <w:rPr>
          <w:rFonts w:cs="Arial"/>
          <w:b/>
        </w:rPr>
        <w:t xml:space="preserve">for information in </w:t>
      </w:r>
      <w:r>
        <w:rPr>
          <w:rFonts w:cs="Arial"/>
          <w:b/>
        </w:rPr>
        <w:t>CPG</w:t>
      </w:r>
      <w:r w:rsidR="00D640BE">
        <w:rPr>
          <w:rFonts w:cs="Arial"/>
          <w:b/>
        </w:rPr>
        <w:t xml:space="preserve"> and PT1</w:t>
      </w:r>
      <w:r w:rsidRPr="00BA20D6">
        <w:rPr>
          <w:rFonts w:cs="Arial"/>
          <w:b/>
        </w:rPr>
        <w:t>)</w:t>
      </w:r>
    </w:p>
    <w:p w:rsidR="00BA20D6" w:rsidRDefault="00BA20D6" w:rsidP="001B0583">
      <w:pPr>
        <w:pStyle w:val="ECCTablenote"/>
        <w:rPr>
          <w:rStyle w:val="ECCParagraph"/>
        </w:rPr>
      </w:pPr>
    </w:p>
    <w:p w:rsidR="00DD5136" w:rsidRDefault="00DD5136">
      <w:pPr>
        <w:rPr>
          <w:rStyle w:val="ECCParagraph"/>
          <w:rFonts w:eastAsia="Times New Roman"/>
          <w:szCs w:val="16"/>
        </w:rPr>
      </w:pPr>
    </w:p>
    <w:sectPr w:rsidR="00DD5136" w:rsidSect="00797DEE">
      <w:headerReference w:type="even" r:id="rId56"/>
      <w:headerReference w:type="default" r:id="rId57"/>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DB5" w:rsidRDefault="00E07DB5" w:rsidP="00DB17F9">
      <w:r>
        <w:separator/>
      </w:r>
    </w:p>
    <w:p w:rsidR="00E07DB5" w:rsidRDefault="00E07DB5"/>
  </w:endnote>
  <w:endnote w:type="continuationSeparator" w:id="0">
    <w:p w:rsidR="00E07DB5" w:rsidRDefault="00E07DB5" w:rsidP="00DB17F9">
      <w:r>
        <w:continuationSeparator/>
      </w:r>
    </w:p>
    <w:p w:rsidR="00E07DB5" w:rsidRDefault="00E07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DB5" w:rsidRPr="00F51BD6" w:rsidRDefault="00E07DB5" w:rsidP="00CD07E7">
      <w:pPr>
        <w:spacing w:before="120" w:after="0"/>
      </w:pPr>
      <w:r>
        <w:separator/>
      </w:r>
    </w:p>
  </w:footnote>
  <w:footnote w:type="continuationSeparator" w:id="0">
    <w:p w:rsidR="00E07DB5" w:rsidRDefault="00E07DB5" w:rsidP="00CD07E7">
      <w:pPr>
        <w:spacing w:before="120" w:after="0"/>
      </w:pPr>
      <w:r>
        <w:continuationSeparator/>
      </w:r>
    </w:p>
  </w:footnote>
  <w:footnote w:type="continuationNotice" w:id="1">
    <w:p w:rsidR="00E07DB5" w:rsidRPr="00CD07E7" w:rsidRDefault="00E07DB5" w:rsidP="00CD07E7">
      <w:pPr>
        <w:spacing w:before="12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6BE" w:rsidRPr="00AD1BE1" w:rsidRDefault="002376BE"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6BE" w:rsidRPr="00714F0F" w:rsidRDefault="002376BE" w:rsidP="00714F0F">
    <w:pPr>
      <w:pStyle w:val="ECCpageHeader"/>
    </w:pPr>
    <w:r w:rsidRPr="00714F0F">
      <w:tab/>
    </w:r>
    <w:r w:rsidRPr="00714F0F">
      <w:t xml:space="preserve">Page </w:t>
    </w:r>
    <w:r w:rsidRPr="00714F0F">
      <w:fldChar w:fldCharType="begin"/>
    </w:r>
    <w:r w:rsidRPr="00714F0F">
      <w:instrText xml:space="preserve"> PAGE  \* Arabic  \* MERGEFORMAT </w:instrText>
    </w:r>
    <w:r w:rsidRPr="00714F0F">
      <w:fldChar w:fldCharType="separate"/>
    </w:r>
    <w:r w:rsidR="008E5A70">
      <w:rPr>
        <w:noProof/>
      </w:rPr>
      <w:t>2</w:t>
    </w:r>
    <w:r w:rsidRPr="00714F0F">
      <w:fldChar w:fldCharType="end"/>
    </w:r>
  </w:p>
  <w:p w:rsidR="002376BE" w:rsidRDefault="002376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25.5pt;height:59.1pt" o:bullet="t">
        <v:imagedata r:id="rId1" o:title="Editor's Note"/>
      </v:shape>
    </w:pict>
  </w:numPicBullet>
  <w:abstractNum w:abstractNumId="0">
    <w:nsid w:val="010D0E5B"/>
    <w:multiLevelType w:val="hybridMultilevel"/>
    <w:tmpl w:val="F38E20E2"/>
    <w:lvl w:ilvl="0" w:tplc="CC0EBB36">
      <w:start w:val="1"/>
      <w:numFmt w:val="bullet"/>
      <w:lvlText w:val="•"/>
      <w:lvlJc w:val="left"/>
      <w:pPr>
        <w:tabs>
          <w:tab w:val="num" w:pos="720"/>
        </w:tabs>
        <w:ind w:left="720" w:hanging="360"/>
      </w:pPr>
      <w:rPr>
        <w:rFonts w:ascii="Arial" w:hAnsi="Arial" w:hint="default"/>
      </w:rPr>
    </w:lvl>
    <w:lvl w:ilvl="1" w:tplc="9106009E" w:tentative="1">
      <w:start w:val="1"/>
      <w:numFmt w:val="bullet"/>
      <w:lvlText w:val="•"/>
      <w:lvlJc w:val="left"/>
      <w:pPr>
        <w:tabs>
          <w:tab w:val="num" w:pos="1440"/>
        </w:tabs>
        <w:ind w:left="1440" w:hanging="360"/>
      </w:pPr>
      <w:rPr>
        <w:rFonts w:ascii="Arial" w:hAnsi="Arial" w:hint="default"/>
      </w:rPr>
    </w:lvl>
    <w:lvl w:ilvl="2" w:tplc="15908916" w:tentative="1">
      <w:start w:val="1"/>
      <w:numFmt w:val="bullet"/>
      <w:lvlText w:val="•"/>
      <w:lvlJc w:val="left"/>
      <w:pPr>
        <w:tabs>
          <w:tab w:val="num" w:pos="2160"/>
        </w:tabs>
        <w:ind w:left="2160" w:hanging="360"/>
      </w:pPr>
      <w:rPr>
        <w:rFonts w:ascii="Arial" w:hAnsi="Arial" w:hint="default"/>
      </w:rPr>
    </w:lvl>
    <w:lvl w:ilvl="3" w:tplc="9522DF50" w:tentative="1">
      <w:start w:val="1"/>
      <w:numFmt w:val="bullet"/>
      <w:lvlText w:val="•"/>
      <w:lvlJc w:val="left"/>
      <w:pPr>
        <w:tabs>
          <w:tab w:val="num" w:pos="2880"/>
        </w:tabs>
        <w:ind w:left="2880" w:hanging="360"/>
      </w:pPr>
      <w:rPr>
        <w:rFonts w:ascii="Arial" w:hAnsi="Arial" w:hint="default"/>
      </w:rPr>
    </w:lvl>
    <w:lvl w:ilvl="4" w:tplc="BDEECD48" w:tentative="1">
      <w:start w:val="1"/>
      <w:numFmt w:val="bullet"/>
      <w:lvlText w:val="•"/>
      <w:lvlJc w:val="left"/>
      <w:pPr>
        <w:tabs>
          <w:tab w:val="num" w:pos="3600"/>
        </w:tabs>
        <w:ind w:left="3600" w:hanging="360"/>
      </w:pPr>
      <w:rPr>
        <w:rFonts w:ascii="Arial" w:hAnsi="Arial" w:hint="default"/>
      </w:rPr>
    </w:lvl>
    <w:lvl w:ilvl="5" w:tplc="C57013DE" w:tentative="1">
      <w:start w:val="1"/>
      <w:numFmt w:val="bullet"/>
      <w:lvlText w:val="•"/>
      <w:lvlJc w:val="left"/>
      <w:pPr>
        <w:tabs>
          <w:tab w:val="num" w:pos="4320"/>
        </w:tabs>
        <w:ind w:left="4320" w:hanging="360"/>
      </w:pPr>
      <w:rPr>
        <w:rFonts w:ascii="Arial" w:hAnsi="Arial" w:hint="default"/>
      </w:rPr>
    </w:lvl>
    <w:lvl w:ilvl="6" w:tplc="A1E8C38A" w:tentative="1">
      <w:start w:val="1"/>
      <w:numFmt w:val="bullet"/>
      <w:lvlText w:val="•"/>
      <w:lvlJc w:val="left"/>
      <w:pPr>
        <w:tabs>
          <w:tab w:val="num" w:pos="5040"/>
        </w:tabs>
        <w:ind w:left="5040" w:hanging="360"/>
      </w:pPr>
      <w:rPr>
        <w:rFonts w:ascii="Arial" w:hAnsi="Arial" w:hint="default"/>
      </w:rPr>
    </w:lvl>
    <w:lvl w:ilvl="7" w:tplc="138A0E48" w:tentative="1">
      <w:start w:val="1"/>
      <w:numFmt w:val="bullet"/>
      <w:lvlText w:val="•"/>
      <w:lvlJc w:val="left"/>
      <w:pPr>
        <w:tabs>
          <w:tab w:val="num" w:pos="5760"/>
        </w:tabs>
        <w:ind w:left="5760" w:hanging="360"/>
      </w:pPr>
      <w:rPr>
        <w:rFonts w:ascii="Arial" w:hAnsi="Arial" w:hint="default"/>
      </w:rPr>
    </w:lvl>
    <w:lvl w:ilvl="8" w:tplc="6726B6BC" w:tentative="1">
      <w:start w:val="1"/>
      <w:numFmt w:val="bullet"/>
      <w:lvlText w:val="•"/>
      <w:lvlJc w:val="left"/>
      <w:pPr>
        <w:tabs>
          <w:tab w:val="num" w:pos="6480"/>
        </w:tabs>
        <w:ind w:left="6480" w:hanging="360"/>
      </w:pPr>
      <w:rPr>
        <w:rFonts w:ascii="Arial" w:hAnsi="Arial" w:hint="default"/>
      </w:rPr>
    </w:lvl>
  </w:abstractNum>
  <w:abstractNum w:abstractNumId="1">
    <w:nsid w:val="01CD50B2"/>
    <w:multiLevelType w:val="hybridMultilevel"/>
    <w:tmpl w:val="22C439C8"/>
    <w:lvl w:ilvl="0" w:tplc="330A663C">
      <w:start w:val="1"/>
      <w:numFmt w:val="bullet"/>
      <w:lvlText w:val="•"/>
      <w:lvlJc w:val="left"/>
      <w:pPr>
        <w:tabs>
          <w:tab w:val="num" w:pos="720"/>
        </w:tabs>
        <w:ind w:left="720" w:hanging="360"/>
      </w:pPr>
      <w:rPr>
        <w:rFonts w:ascii="Arial" w:hAnsi="Arial" w:hint="default"/>
      </w:rPr>
    </w:lvl>
    <w:lvl w:ilvl="1" w:tplc="90D23608">
      <w:numFmt w:val="bullet"/>
      <w:lvlText w:val="•"/>
      <w:lvlJc w:val="left"/>
      <w:pPr>
        <w:tabs>
          <w:tab w:val="num" w:pos="1440"/>
        </w:tabs>
        <w:ind w:left="1440" w:hanging="360"/>
      </w:pPr>
      <w:rPr>
        <w:rFonts w:ascii="Arial" w:hAnsi="Arial" w:hint="default"/>
      </w:rPr>
    </w:lvl>
    <w:lvl w:ilvl="2" w:tplc="48B6DB8A" w:tentative="1">
      <w:start w:val="1"/>
      <w:numFmt w:val="bullet"/>
      <w:lvlText w:val="•"/>
      <w:lvlJc w:val="left"/>
      <w:pPr>
        <w:tabs>
          <w:tab w:val="num" w:pos="2160"/>
        </w:tabs>
        <w:ind w:left="2160" w:hanging="360"/>
      </w:pPr>
      <w:rPr>
        <w:rFonts w:ascii="Arial" w:hAnsi="Arial" w:hint="default"/>
      </w:rPr>
    </w:lvl>
    <w:lvl w:ilvl="3" w:tplc="BFC69138" w:tentative="1">
      <w:start w:val="1"/>
      <w:numFmt w:val="bullet"/>
      <w:lvlText w:val="•"/>
      <w:lvlJc w:val="left"/>
      <w:pPr>
        <w:tabs>
          <w:tab w:val="num" w:pos="2880"/>
        </w:tabs>
        <w:ind w:left="2880" w:hanging="360"/>
      </w:pPr>
      <w:rPr>
        <w:rFonts w:ascii="Arial" w:hAnsi="Arial" w:hint="default"/>
      </w:rPr>
    </w:lvl>
    <w:lvl w:ilvl="4" w:tplc="ACF23CD6" w:tentative="1">
      <w:start w:val="1"/>
      <w:numFmt w:val="bullet"/>
      <w:lvlText w:val="•"/>
      <w:lvlJc w:val="left"/>
      <w:pPr>
        <w:tabs>
          <w:tab w:val="num" w:pos="3600"/>
        </w:tabs>
        <w:ind w:left="3600" w:hanging="360"/>
      </w:pPr>
      <w:rPr>
        <w:rFonts w:ascii="Arial" w:hAnsi="Arial" w:hint="default"/>
      </w:rPr>
    </w:lvl>
    <w:lvl w:ilvl="5" w:tplc="61988472" w:tentative="1">
      <w:start w:val="1"/>
      <w:numFmt w:val="bullet"/>
      <w:lvlText w:val="•"/>
      <w:lvlJc w:val="left"/>
      <w:pPr>
        <w:tabs>
          <w:tab w:val="num" w:pos="4320"/>
        </w:tabs>
        <w:ind w:left="4320" w:hanging="360"/>
      </w:pPr>
      <w:rPr>
        <w:rFonts w:ascii="Arial" w:hAnsi="Arial" w:hint="default"/>
      </w:rPr>
    </w:lvl>
    <w:lvl w:ilvl="6" w:tplc="765C34A2" w:tentative="1">
      <w:start w:val="1"/>
      <w:numFmt w:val="bullet"/>
      <w:lvlText w:val="•"/>
      <w:lvlJc w:val="left"/>
      <w:pPr>
        <w:tabs>
          <w:tab w:val="num" w:pos="5040"/>
        </w:tabs>
        <w:ind w:left="5040" w:hanging="360"/>
      </w:pPr>
      <w:rPr>
        <w:rFonts w:ascii="Arial" w:hAnsi="Arial" w:hint="default"/>
      </w:rPr>
    </w:lvl>
    <w:lvl w:ilvl="7" w:tplc="9DA42AE4" w:tentative="1">
      <w:start w:val="1"/>
      <w:numFmt w:val="bullet"/>
      <w:lvlText w:val="•"/>
      <w:lvlJc w:val="left"/>
      <w:pPr>
        <w:tabs>
          <w:tab w:val="num" w:pos="5760"/>
        </w:tabs>
        <w:ind w:left="5760" w:hanging="360"/>
      </w:pPr>
      <w:rPr>
        <w:rFonts w:ascii="Arial" w:hAnsi="Arial" w:hint="default"/>
      </w:rPr>
    </w:lvl>
    <w:lvl w:ilvl="8" w:tplc="C7209FFE" w:tentative="1">
      <w:start w:val="1"/>
      <w:numFmt w:val="bullet"/>
      <w:lvlText w:val="•"/>
      <w:lvlJc w:val="left"/>
      <w:pPr>
        <w:tabs>
          <w:tab w:val="num" w:pos="6480"/>
        </w:tabs>
        <w:ind w:left="6480" w:hanging="360"/>
      </w:pPr>
      <w:rPr>
        <w:rFonts w:ascii="Arial" w:hAnsi="Arial" w:hint="default"/>
      </w:rPr>
    </w:lvl>
  </w:abstractNum>
  <w:abstractNum w:abstractNumId="2">
    <w:nsid w:val="028D02F7"/>
    <w:multiLevelType w:val="hybridMultilevel"/>
    <w:tmpl w:val="F970EF76"/>
    <w:lvl w:ilvl="0" w:tplc="040B0005">
      <w:start w:val="1"/>
      <w:numFmt w:val="bullet"/>
      <w:lvlText w:val=""/>
      <w:lvlJc w:val="left"/>
      <w:pPr>
        <w:ind w:left="420" w:hanging="420"/>
      </w:pPr>
      <w:rPr>
        <w:rFonts w:ascii="Wingdings" w:hAnsi="Wingdings" w:hint="default"/>
      </w:rPr>
    </w:lvl>
    <w:lvl w:ilvl="1" w:tplc="538A63A0">
      <w:numFmt w:val="bullet"/>
      <w:lvlText w:val="-"/>
      <w:lvlJc w:val="left"/>
      <w:pPr>
        <w:ind w:left="840" w:hanging="420"/>
      </w:pPr>
      <w:rPr>
        <w:rFonts w:ascii="Times New Roman" w:eastAsia="SimSun" w:hAnsi="Times New Roman" w:cs="Times New Roman" w:hint="default"/>
      </w:rPr>
    </w:lvl>
    <w:lvl w:ilvl="2" w:tplc="08090003">
      <w:start w:val="1"/>
      <w:numFmt w:val="bullet"/>
      <w:lvlText w:val="o"/>
      <w:lvlJc w:val="left"/>
      <w:pPr>
        <w:ind w:left="1260" w:hanging="420"/>
      </w:pPr>
      <w:rPr>
        <w:rFonts w:ascii="Courier New" w:hAnsi="Courier New" w:cs="Courier New"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nsid w:val="0B4056A7"/>
    <w:multiLevelType w:val="hybridMultilevel"/>
    <w:tmpl w:val="2222E5DA"/>
    <w:lvl w:ilvl="0" w:tplc="70DE787A">
      <w:start w:val="1"/>
      <w:numFmt w:val="bullet"/>
      <w:lvlText w:val="•"/>
      <w:lvlJc w:val="left"/>
      <w:pPr>
        <w:tabs>
          <w:tab w:val="num" w:pos="720"/>
        </w:tabs>
        <w:ind w:left="720" w:hanging="360"/>
      </w:pPr>
      <w:rPr>
        <w:rFonts w:ascii="Arial" w:hAnsi="Arial" w:hint="default"/>
      </w:rPr>
    </w:lvl>
    <w:lvl w:ilvl="1" w:tplc="5EA2E12A" w:tentative="1">
      <w:start w:val="1"/>
      <w:numFmt w:val="bullet"/>
      <w:lvlText w:val="•"/>
      <w:lvlJc w:val="left"/>
      <w:pPr>
        <w:tabs>
          <w:tab w:val="num" w:pos="1440"/>
        </w:tabs>
        <w:ind w:left="1440" w:hanging="360"/>
      </w:pPr>
      <w:rPr>
        <w:rFonts w:ascii="Arial" w:hAnsi="Arial" w:hint="default"/>
      </w:rPr>
    </w:lvl>
    <w:lvl w:ilvl="2" w:tplc="9B767A5E" w:tentative="1">
      <w:start w:val="1"/>
      <w:numFmt w:val="bullet"/>
      <w:lvlText w:val="•"/>
      <w:lvlJc w:val="left"/>
      <w:pPr>
        <w:tabs>
          <w:tab w:val="num" w:pos="2160"/>
        </w:tabs>
        <w:ind w:left="2160" w:hanging="360"/>
      </w:pPr>
      <w:rPr>
        <w:rFonts w:ascii="Arial" w:hAnsi="Arial" w:hint="default"/>
      </w:rPr>
    </w:lvl>
    <w:lvl w:ilvl="3" w:tplc="0EEA6770" w:tentative="1">
      <w:start w:val="1"/>
      <w:numFmt w:val="bullet"/>
      <w:lvlText w:val="•"/>
      <w:lvlJc w:val="left"/>
      <w:pPr>
        <w:tabs>
          <w:tab w:val="num" w:pos="2880"/>
        </w:tabs>
        <w:ind w:left="2880" w:hanging="360"/>
      </w:pPr>
      <w:rPr>
        <w:rFonts w:ascii="Arial" w:hAnsi="Arial" w:hint="default"/>
      </w:rPr>
    </w:lvl>
    <w:lvl w:ilvl="4" w:tplc="8A8C94F0" w:tentative="1">
      <w:start w:val="1"/>
      <w:numFmt w:val="bullet"/>
      <w:lvlText w:val="•"/>
      <w:lvlJc w:val="left"/>
      <w:pPr>
        <w:tabs>
          <w:tab w:val="num" w:pos="3600"/>
        </w:tabs>
        <w:ind w:left="3600" w:hanging="360"/>
      </w:pPr>
      <w:rPr>
        <w:rFonts w:ascii="Arial" w:hAnsi="Arial" w:hint="default"/>
      </w:rPr>
    </w:lvl>
    <w:lvl w:ilvl="5" w:tplc="5D18CA3C" w:tentative="1">
      <w:start w:val="1"/>
      <w:numFmt w:val="bullet"/>
      <w:lvlText w:val="•"/>
      <w:lvlJc w:val="left"/>
      <w:pPr>
        <w:tabs>
          <w:tab w:val="num" w:pos="4320"/>
        </w:tabs>
        <w:ind w:left="4320" w:hanging="360"/>
      </w:pPr>
      <w:rPr>
        <w:rFonts w:ascii="Arial" w:hAnsi="Arial" w:hint="default"/>
      </w:rPr>
    </w:lvl>
    <w:lvl w:ilvl="6" w:tplc="103631F0" w:tentative="1">
      <w:start w:val="1"/>
      <w:numFmt w:val="bullet"/>
      <w:lvlText w:val="•"/>
      <w:lvlJc w:val="left"/>
      <w:pPr>
        <w:tabs>
          <w:tab w:val="num" w:pos="5040"/>
        </w:tabs>
        <w:ind w:left="5040" w:hanging="360"/>
      </w:pPr>
      <w:rPr>
        <w:rFonts w:ascii="Arial" w:hAnsi="Arial" w:hint="default"/>
      </w:rPr>
    </w:lvl>
    <w:lvl w:ilvl="7" w:tplc="3B86CE72" w:tentative="1">
      <w:start w:val="1"/>
      <w:numFmt w:val="bullet"/>
      <w:lvlText w:val="•"/>
      <w:lvlJc w:val="left"/>
      <w:pPr>
        <w:tabs>
          <w:tab w:val="num" w:pos="5760"/>
        </w:tabs>
        <w:ind w:left="5760" w:hanging="360"/>
      </w:pPr>
      <w:rPr>
        <w:rFonts w:ascii="Arial" w:hAnsi="Arial" w:hint="default"/>
      </w:rPr>
    </w:lvl>
    <w:lvl w:ilvl="8" w:tplc="A4DACD92" w:tentative="1">
      <w:start w:val="1"/>
      <w:numFmt w:val="bullet"/>
      <w:lvlText w:val="•"/>
      <w:lvlJc w:val="left"/>
      <w:pPr>
        <w:tabs>
          <w:tab w:val="num" w:pos="6480"/>
        </w:tabs>
        <w:ind w:left="6480" w:hanging="360"/>
      </w:pPr>
      <w:rPr>
        <w:rFonts w:ascii="Arial" w:hAnsi="Arial" w:hint="default"/>
      </w:rPr>
    </w:lvl>
  </w:abstractNum>
  <w:abstractNum w:abstractNumId="4">
    <w:nsid w:val="0F2414B3"/>
    <w:multiLevelType w:val="hybridMultilevel"/>
    <w:tmpl w:val="8DC42C22"/>
    <w:lvl w:ilvl="0" w:tplc="5BCCFF04">
      <w:start w:val="1"/>
      <w:numFmt w:val="bullet"/>
      <w:lvlText w:val="•"/>
      <w:lvlJc w:val="left"/>
      <w:pPr>
        <w:tabs>
          <w:tab w:val="num" w:pos="720"/>
        </w:tabs>
        <w:ind w:left="720" w:hanging="360"/>
      </w:pPr>
      <w:rPr>
        <w:rFonts w:ascii="Arial" w:hAnsi="Arial" w:hint="default"/>
      </w:rPr>
    </w:lvl>
    <w:lvl w:ilvl="1" w:tplc="C974E706" w:tentative="1">
      <w:start w:val="1"/>
      <w:numFmt w:val="bullet"/>
      <w:lvlText w:val="•"/>
      <w:lvlJc w:val="left"/>
      <w:pPr>
        <w:tabs>
          <w:tab w:val="num" w:pos="1440"/>
        </w:tabs>
        <w:ind w:left="1440" w:hanging="360"/>
      </w:pPr>
      <w:rPr>
        <w:rFonts w:ascii="Arial" w:hAnsi="Arial" w:hint="default"/>
      </w:rPr>
    </w:lvl>
    <w:lvl w:ilvl="2" w:tplc="80A80FD6" w:tentative="1">
      <w:start w:val="1"/>
      <w:numFmt w:val="bullet"/>
      <w:lvlText w:val="•"/>
      <w:lvlJc w:val="left"/>
      <w:pPr>
        <w:tabs>
          <w:tab w:val="num" w:pos="2160"/>
        </w:tabs>
        <w:ind w:left="2160" w:hanging="360"/>
      </w:pPr>
      <w:rPr>
        <w:rFonts w:ascii="Arial" w:hAnsi="Arial" w:hint="default"/>
      </w:rPr>
    </w:lvl>
    <w:lvl w:ilvl="3" w:tplc="C7D86014" w:tentative="1">
      <w:start w:val="1"/>
      <w:numFmt w:val="bullet"/>
      <w:lvlText w:val="•"/>
      <w:lvlJc w:val="left"/>
      <w:pPr>
        <w:tabs>
          <w:tab w:val="num" w:pos="2880"/>
        </w:tabs>
        <w:ind w:left="2880" w:hanging="360"/>
      </w:pPr>
      <w:rPr>
        <w:rFonts w:ascii="Arial" w:hAnsi="Arial" w:hint="default"/>
      </w:rPr>
    </w:lvl>
    <w:lvl w:ilvl="4" w:tplc="52086120" w:tentative="1">
      <w:start w:val="1"/>
      <w:numFmt w:val="bullet"/>
      <w:lvlText w:val="•"/>
      <w:lvlJc w:val="left"/>
      <w:pPr>
        <w:tabs>
          <w:tab w:val="num" w:pos="3600"/>
        </w:tabs>
        <w:ind w:left="3600" w:hanging="360"/>
      </w:pPr>
      <w:rPr>
        <w:rFonts w:ascii="Arial" w:hAnsi="Arial" w:hint="default"/>
      </w:rPr>
    </w:lvl>
    <w:lvl w:ilvl="5" w:tplc="92DC91C4" w:tentative="1">
      <w:start w:val="1"/>
      <w:numFmt w:val="bullet"/>
      <w:lvlText w:val="•"/>
      <w:lvlJc w:val="left"/>
      <w:pPr>
        <w:tabs>
          <w:tab w:val="num" w:pos="4320"/>
        </w:tabs>
        <w:ind w:left="4320" w:hanging="360"/>
      </w:pPr>
      <w:rPr>
        <w:rFonts w:ascii="Arial" w:hAnsi="Arial" w:hint="default"/>
      </w:rPr>
    </w:lvl>
    <w:lvl w:ilvl="6" w:tplc="8D22E14E" w:tentative="1">
      <w:start w:val="1"/>
      <w:numFmt w:val="bullet"/>
      <w:lvlText w:val="•"/>
      <w:lvlJc w:val="left"/>
      <w:pPr>
        <w:tabs>
          <w:tab w:val="num" w:pos="5040"/>
        </w:tabs>
        <w:ind w:left="5040" w:hanging="360"/>
      </w:pPr>
      <w:rPr>
        <w:rFonts w:ascii="Arial" w:hAnsi="Arial" w:hint="default"/>
      </w:rPr>
    </w:lvl>
    <w:lvl w:ilvl="7" w:tplc="0D92D438" w:tentative="1">
      <w:start w:val="1"/>
      <w:numFmt w:val="bullet"/>
      <w:lvlText w:val="•"/>
      <w:lvlJc w:val="left"/>
      <w:pPr>
        <w:tabs>
          <w:tab w:val="num" w:pos="5760"/>
        </w:tabs>
        <w:ind w:left="5760" w:hanging="360"/>
      </w:pPr>
      <w:rPr>
        <w:rFonts w:ascii="Arial" w:hAnsi="Arial" w:hint="default"/>
      </w:rPr>
    </w:lvl>
    <w:lvl w:ilvl="8" w:tplc="EB2CC02A" w:tentative="1">
      <w:start w:val="1"/>
      <w:numFmt w:val="bullet"/>
      <w:lvlText w:val="•"/>
      <w:lvlJc w:val="left"/>
      <w:pPr>
        <w:tabs>
          <w:tab w:val="num" w:pos="6480"/>
        </w:tabs>
        <w:ind w:left="6480" w:hanging="360"/>
      </w:pPr>
      <w:rPr>
        <w:rFonts w:ascii="Arial" w:hAnsi="Arial" w:hint="default"/>
      </w:rPr>
    </w:lvl>
  </w:abstractNum>
  <w:abstractNum w:abstractNumId="5">
    <w:nsid w:val="0F585C15"/>
    <w:multiLevelType w:val="hybridMultilevel"/>
    <w:tmpl w:val="C8F86F28"/>
    <w:lvl w:ilvl="0" w:tplc="C908E106">
      <w:start w:val="1"/>
      <w:numFmt w:val="bullet"/>
      <w:lvlText w:val="•"/>
      <w:lvlJc w:val="left"/>
      <w:pPr>
        <w:tabs>
          <w:tab w:val="num" w:pos="720"/>
        </w:tabs>
        <w:ind w:left="720" w:hanging="360"/>
      </w:pPr>
      <w:rPr>
        <w:rFonts w:ascii="Arial" w:hAnsi="Arial" w:hint="default"/>
      </w:rPr>
    </w:lvl>
    <w:lvl w:ilvl="1" w:tplc="538A4580">
      <w:start w:val="1"/>
      <w:numFmt w:val="bullet"/>
      <w:lvlText w:val="•"/>
      <w:lvlJc w:val="left"/>
      <w:pPr>
        <w:tabs>
          <w:tab w:val="num" w:pos="1440"/>
        </w:tabs>
        <w:ind w:left="1440" w:hanging="360"/>
      </w:pPr>
      <w:rPr>
        <w:rFonts w:ascii="Arial" w:hAnsi="Arial" w:hint="default"/>
      </w:rPr>
    </w:lvl>
    <w:lvl w:ilvl="2" w:tplc="B50AD3C2" w:tentative="1">
      <w:start w:val="1"/>
      <w:numFmt w:val="bullet"/>
      <w:lvlText w:val="•"/>
      <w:lvlJc w:val="left"/>
      <w:pPr>
        <w:tabs>
          <w:tab w:val="num" w:pos="2160"/>
        </w:tabs>
        <w:ind w:left="2160" w:hanging="360"/>
      </w:pPr>
      <w:rPr>
        <w:rFonts w:ascii="Arial" w:hAnsi="Arial" w:hint="default"/>
      </w:rPr>
    </w:lvl>
    <w:lvl w:ilvl="3" w:tplc="6780084A" w:tentative="1">
      <w:start w:val="1"/>
      <w:numFmt w:val="bullet"/>
      <w:lvlText w:val="•"/>
      <w:lvlJc w:val="left"/>
      <w:pPr>
        <w:tabs>
          <w:tab w:val="num" w:pos="2880"/>
        </w:tabs>
        <w:ind w:left="2880" w:hanging="360"/>
      </w:pPr>
      <w:rPr>
        <w:rFonts w:ascii="Arial" w:hAnsi="Arial" w:hint="default"/>
      </w:rPr>
    </w:lvl>
    <w:lvl w:ilvl="4" w:tplc="4324166A" w:tentative="1">
      <w:start w:val="1"/>
      <w:numFmt w:val="bullet"/>
      <w:lvlText w:val="•"/>
      <w:lvlJc w:val="left"/>
      <w:pPr>
        <w:tabs>
          <w:tab w:val="num" w:pos="3600"/>
        </w:tabs>
        <w:ind w:left="3600" w:hanging="360"/>
      </w:pPr>
      <w:rPr>
        <w:rFonts w:ascii="Arial" w:hAnsi="Arial" w:hint="default"/>
      </w:rPr>
    </w:lvl>
    <w:lvl w:ilvl="5" w:tplc="5D20F98A" w:tentative="1">
      <w:start w:val="1"/>
      <w:numFmt w:val="bullet"/>
      <w:lvlText w:val="•"/>
      <w:lvlJc w:val="left"/>
      <w:pPr>
        <w:tabs>
          <w:tab w:val="num" w:pos="4320"/>
        </w:tabs>
        <w:ind w:left="4320" w:hanging="360"/>
      </w:pPr>
      <w:rPr>
        <w:rFonts w:ascii="Arial" w:hAnsi="Arial" w:hint="default"/>
      </w:rPr>
    </w:lvl>
    <w:lvl w:ilvl="6" w:tplc="ADB20C3C" w:tentative="1">
      <w:start w:val="1"/>
      <w:numFmt w:val="bullet"/>
      <w:lvlText w:val="•"/>
      <w:lvlJc w:val="left"/>
      <w:pPr>
        <w:tabs>
          <w:tab w:val="num" w:pos="5040"/>
        </w:tabs>
        <w:ind w:left="5040" w:hanging="360"/>
      </w:pPr>
      <w:rPr>
        <w:rFonts w:ascii="Arial" w:hAnsi="Arial" w:hint="default"/>
      </w:rPr>
    </w:lvl>
    <w:lvl w:ilvl="7" w:tplc="9EB07148" w:tentative="1">
      <w:start w:val="1"/>
      <w:numFmt w:val="bullet"/>
      <w:lvlText w:val="•"/>
      <w:lvlJc w:val="left"/>
      <w:pPr>
        <w:tabs>
          <w:tab w:val="num" w:pos="5760"/>
        </w:tabs>
        <w:ind w:left="5760" w:hanging="360"/>
      </w:pPr>
      <w:rPr>
        <w:rFonts w:ascii="Arial" w:hAnsi="Arial" w:hint="default"/>
      </w:rPr>
    </w:lvl>
    <w:lvl w:ilvl="8" w:tplc="7050394C" w:tentative="1">
      <w:start w:val="1"/>
      <w:numFmt w:val="bullet"/>
      <w:lvlText w:val="•"/>
      <w:lvlJc w:val="left"/>
      <w:pPr>
        <w:tabs>
          <w:tab w:val="num" w:pos="6480"/>
        </w:tabs>
        <w:ind w:left="6480" w:hanging="360"/>
      </w:pPr>
      <w:rPr>
        <w:rFonts w:ascii="Arial" w:hAnsi="Arial" w:hint="default"/>
      </w:rPr>
    </w:lvl>
  </w:abstractNum>
  <w:abstractNum w:abstractNumId="6">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BA0D11"/>
    <w:multiLevelType w:val="hybridMultilevel"/>
    <w:tmpl w:val="FA3C8F74"/>
    <w:lvl w:ilvl="0" w:tplc="BF90A720">
      <w:start w:val="1"/>
      <w:numFmt w:val="bullet"/>
      <w:lvlText w:val="•"/>
      <w:lvlJc w:val="left"/>
      <w:pPr>
        <w:tabs>
          <w:tab w:val="num" w:pos="720"/>
        </w:tabs>
        <w:ind w:left="720" w:hanging="360"/>
      </w:pPr>
      <w:rPr>
        <w:rFonts w:ascii="Arial" w:hAnsi="Arial" w:hint="default"/>
      </w:rPr>
    </w:lvl>
    <w:lvl w:ilvl="1" w:tplc="03BED940" w:tentative="1">
      <w:start w:val="1"/>
      <w:numFmt w:val="bullet"/>
      <w:lvlText w:val="•"/>
      <w:lvlJc w:val="left"/>
      <w:pPr>
        <w:tabs>
          <w:tab w:val="num" w:pos="1440"/>
        </w:tabs>
        <w:ind w:left="1440" w:hanging="360"/>
      </w:pPr>
      <w:rPr>
        <w:rFonts w:ascii="Arial" w:hAnsi="Arial" w:hint="default"/>
      </w:rPr>
    </w:lvl>
    <w:lvl w:ilvl="2" w:tplc="F2A65C14" w:tentative="1">
      <w:start w:val="1"/>
      <w:numFmt w:val="bullet"/>
      <w:lvlText w:val="•"/>
      <w:lvlJc w:val="left"/>
      <w:pPr>
        <w:tabs>
          <w:tab w:val="num" w:pos="2160"/>
        </w:tabs>
        <w:ind w:left="2160" w:hanging="360"/>
      </w:pPr>
      <w:rPr>
        <w:rFonts w:ascii="Arial" w:hAnsi="Arial" w:hint="default"/>
      </w:rPr>
    </w:lvl>
    <w:lvl w:ilvl="3" w:tplc="D03415BE" w:tentative="1">
      <w:start w:val="1"/>
      <w:numFmt w:val="bullet"/>
      <w:lvlText w:val="•"/>
      <w:lvlJc w:val="left"/>
      <w:pPr>
        <w:tabs>
          <w:tab w:val="num" w:pos="2880"/>
        </w:tabs>
        <w:ind w:left="2880" w:hanging="360"/>
      </w:pPr>
      <w:rPr>
        <w:rFonts w:ascii="Arial" w:hAnsi="Arial" w:hint="default"/>
      </w:rPr>
    </w:lvl>
    <w:lvl w:ilvl="4" w:tplc="8C5070B4" w:tentative="1">
      <w:start w:val="1"/>
      <w:numFmt w:val="bullet"/>
      <w:lvlText w:val="•"/>
      <w:lvlJc w:val="left"/>
      <w:pPr>
        <w:tabs>
          <w:tab w:val="num" w:pos="3600"/>
        </w:tabs>
        <w:ind w:left="3600" w:hanging="360"/>
      </w:pPr>
      <w:rPr>
        <w:rFonts w:ascii="Arial" w:hAnsi="Arial" w:hint="default"/>
      </w:rPr>
    </w:lvl>
    <w:lvl w:ilvl="5" w:tplc="0D943B86" w:tentative="1">
      <w:start w:val="1"/>
      <w:numFmt w:val="bullet"/>
      <w:lvlText w:val="•"/>
      <w:lvlJc w:val="left"/>
      <w:pPr>
        <w:tabs>
          <w:tab w:val="num" w:pos="4320"/>
        </w:tabs>
        <w:ind w:left="4320" w:hanging="360"/>
      </w:pPr>
      <w:rPr>
        <w:rFonts w:ascii="Arial" w:hAnsi="Arial" w:hint="default"/>
      </w:rPr>
    </w:lvl>
    <w:lvl w:ilvl="6" w:tplc="CF044BC8" w:tentative="1">
      <w:start w:val="1"/>
      <w:numFmt w:val="bullet"/>
      <w:lvlText w:val="•"/>
      <w:lvlJc w:val="left"/>
      <w:pPr>
        <w:tabs>
          <w:tab w:val="num" w:pos="5040"/>
        </w:tabs>
        <w:ind w:left="5040" w:hanging="360"/>
      </w:pPr>
      <w:rPr>
        <w:rFonts w:ascii="Arial" w:hAnsi="Arial" w:hint="default"/>
      </w:rPr>
    </w:lvl>
    <w:lvl w:ilvl="7" w:tplc="9110B758" w:tentative="1">
      <w:start w:val="1"/>
      <w:numFmt w:val="bullet"/>
      <w:lvlText w:val="•"/>
      <w:lvlJc w:val="left"/>
      <w:pPr>
        <w:tabs>
          <w:tab w:val="num" w:pos="5760"/>
        </w:tabs>
        <w:ind w:left="5760" w:hanging="360"/>
      </w:pPr>
      <w:rPr>
        <w:rFonts w:ascii="Arial" w:hAnsi="Arial" w:hint="default"/>
      </w:rPr>
    </w:lvl>
    <w:lvl w:ilvl="8" w:tplc="22BA87FE" w:tentative="1">
      <w:start w:val="1"/>
      <w:numFmt w:val="bullet"/>
      <w:lvlText w:val="•"/>
      <w:lvlJc w:val="left"/>
      <w:pPr>
        <w:tabs>
          <w:tab w:val="num" w:pos="6480"/>
        </w:tabs>
        <w:ind w:left="6480" w:hanging="360"/>
      </w:pPr>
      <w:rPr>
        <w:rFonts w:ascii="Arial" w:hAnsi="Arial" w:hint="default"/>
      </w:rPr>
    </w:lvl>
  </w:abstractNum>
  <w:abstractNum w:abstractNumId="8">
    <w:nsid w:val="14B358E3"/>
    <w:multiLevelType w:val="hybridMultilevel"/>
    <w:tmpl w:val="32963270"/>
    <w:lvl w:ilvl="0" w:tplc="FAFC25BE">
      <w:start w:val="37"/>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14D616B7"/>
    <w:multiLevelType w:val="hybridMultilevel"/>
    <w:tmpl w:val="221CF2BE"/>
    <w:lvl w:ilvl="0" w:tplc="E2DEEB5A">
      <w:start w:val="1"/>
      <w:numFmt w:val="bullet"/>
      <w:lvlText w:val="•"/>
      <w:lvlJc w:val="left"/>
      <w:pPr>
        <w:tabs>
          <w:tab w:val="num" w:pos="720"/>
        </w:tabs>
        <w:ind w:left="720" w:hanging="360"/>
      </w:pPr>
      <w:rPr>
        <w:rFonts w:ascii="Arial" w:hAnsi="Arial" w:hint="default"/>
      </w:rPr>
    </w:lvl>
    <w:lvl w:ilvl="1" w:tplc="A13E357C">
      <w:numFmt w:val="bullet"/>
      <w:lvlText w:val="•"/>
      <w:lvlJc w:val="left"/>
      <w:pPr>
        <w:tabs>
          <w:tab w:val="num" w:pos="1440"/>
        </w:tabs>
        <w:ind w:left="1440" w:hanging="360"/>
      </w:pPr>
      <w:rPr>
        <w:rFonts w:ascii="Arial" w:hAnsi="Arial" w:hint="default"/>
      </w:rPr>
    </w:lvl>
    <w:lvl w:ilvl="2" w:tplc="4DDA3B98" w:tentative="1">
      <w:start w:val="1"/>
      <w:numFmt w:val="bullet"/>
      <w:lvlText w:val="•"/>
      <w:lvlJc w:val="left"/>
      <w:pPr>
        <w:tabs>
          <w:tab w:val="num" w:pos="2160"/>
        </w:tabs>
        <w:ind w:left="2160" w:hanging="360"/>
      </w:pPr>
      <w:rPr>
        <w:rFonts w:ascii="Arial" w:hAnsi="Arial" w:hint="default"/>
      </w:rPr>
    </w:lvl>
    <w:lvl w:ilvl="3" w:tplc="8D30F336" w:tentative="1">
      <w:start w:val="1"/>
      <w:numFmt w:val="bullet"/>
      <w:lvlText w:val="•"/>
      <w:lvlJc w:val="left"/>
      <w:pPr>
        <w:tabs>
          <w:tab w:val="num" w:pos="2880"/>
        </w:tabs>
        <w:ind w:left="2880" w:hanging="360"/>
      </w:pPr>
      <w:rPr>
        <w:rFonts w:ascii="Arial" w:hAnsi="Arial" w:hint="default"/>
      </w:rPr>
    </w:lvl>
    <w:lvl w:ilvl="4" w:tplc="23DAB7CA" w:tentative="1">
      <w:start w:val="1"/>
      <w:numFmt w:val="bullet"/>
      <w:lvlText w:val="•"/>
      <w:lvlJc w:val="left"/>
      <w:pPr>
        <w:tabs>
          <w:tab w:val="num" w:pos="3600"/>
        </w:tabs>
        <w:ind w:left="3600" w:hanging="360"/>
      </w:pPr>
      <w:rPr>
        <w:rFonts w:ascii="Arial" w:hAnsi="Arial" w:hint="default"/>
      </w:rPr>
    </w:lvl>
    <w:lvl w:ilvl="5" w:tplc="488CBB20" w:tentative="1">
      <w:start w:val="1"/>
      <w:numFmt w:val="bullet"/>
      <w:lvlText w:val="•"/>
      <w:lvlJc w:val="left"/>
      <w:pPr>
        <w:tabs>
          <w:tab w:val="num" w:pos="4320"/>
        </w:tabs>
        <w:ind w:left="4320" w:hanging="360"/>
      </w:pPr>
      <w:rPr>
        <w:rFonts w:ascii="Arial" w:hAnsi="Arial" w:hint="default"/>
      </w:rPr>
    </w:lvl>
    <w:lvl w:ilvl="6" w:tplc="4AD8D2F6" w:tentative="1">
      <w:start w:val="1"/>
      <w:numFmt w:val="bullet"/>
      <w:lvlText w:val="•"/>
      <w:lvlJc w:val="left"/>
      <w:pPr>
        <w:tabs>
          <w:tab w:val="num" w:pos="5040"/>
        </w:tabs>
        <w:ind w:left="5040" w:hanging="360"/>
      </w:pPr>
      <w:rPr>
        <w:rFonts w:ascii="Arial" w:hAnsi="Arial" w:hint="default"/>
      </w:rPr>
    </w:lvl>
    <w:lvl w:ilvl="7" w:tplc="D4A20BEC" w:tentative="1">
      <w:start w:val="1"/>
      <w:numFmt w:val="bullet"/>
      <w:lvlText w:val="•"/>
      <w:lvlJc w:val="left"/>
      <w:pPr>
        <w:tabs>
          <w:tab w:val="num" w:pos="5760"/>
        </w:tabs>
        <w:ind w:left="5760" w:hanging="360"/>
      </w:pPr>
      <w:rPr>
        <w:rFonts w:ascii="Arial" w:hAnsi="Arial" w:hint="default"/>
      </w:rPr>
    </w:lvl>
    <w:lvl w:ilvl="8" w:tplc="DFF0867E" w:tentative="1">
      <w:start w:val="1"/>
      <w:numFmt w:val="bullet"/>
      <w:lvlText w:val="•"/>
      <w:lvlJc w:val="left"/>
      <w:pPr>
        <w:tabs>
          <w:tab w:val="num" w:pos="6480"/>
        </w:tabs>
        <w:ind w:left="6480" w:hanging="360"/>
      </w:pPr>
      <w:rPr>
        <w:rFonts w:ascii="Arial" w:hAnsi="Arial" w:hint="default"/>
      </w:rPr>
    </w:lvl>
  </w:abstractNum>
  <w:abstractNum w:abstractNumId="1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19D370A"/>
    <w:multiLevelType w:val="hybridMultilevel"/>
    <w:tmpl w:val="8B1AE00A"/>
    <w:lvl w:ilvl="0" w:tplc="8EC81DDC">
      <w:start w:val="1"/>
      <w:numFmt w:val="bullet"/>
      <w:lvlText w:val="•"/>
      <w:lvlJc w:val="left"/>
      <w:pPr>
        <w:tabs>
          <w:tab w:val="num" w:pos="720"/>
        </w:tabs>
        <w:ind w:left="720" w:hanging="360"/>
      </w:pPr>
      <w:rPr>
        <w:rFonts w:ascii="Arial" w:hAnsi="Arial" w:hint="default"/>
      </w:rPr>
    </w:lvl>
    <w:lvl w:ilvl="1" w:tplc="E9DAD274" w:tentative="1">
      <w:start w:val="1"/>
      <w:numFmt w:val="bullet"/>
      <w:lvlText w:val="•"/>
      <w:lvlJc w:val="left"/>
      <w:pPr>
        <w:tabs>
          <w:tab w:val="num" w:pos="1440"/>
        </w:tabs>
        <w:ind w:left="1440" w:hanging="360"/>
      </w:pPr>
      <w:rPr>
        <w:rFonts w:ascii="Arial" w:hAnsi="Arial" w:hint="default"/>
      </w:rPr>
    </w:lvl>
    <w:lvl w:ilvl="2" w:tplc="64964BD4" w:tentative="1">
      <w:start w:val="1"/>
      <w:numFmt w:val="bullet"/>
      <w:lvlText w:val="•"/>
      <w:lvlJc w:val="left"/>
      <w:pPr>
        <w:tabs>
          <w:tab w:val="num" w:pos="2160"/>
        </w:tabs>
        <w:ind w:left="2160" w:hanging="360"/>
      </w:pPr>
      <w:rPr>
        <w:rFonts w:ascii="Arial" w:hAnsi="Arial" w:hint="default"/>
      </w:rPr>
    </w:lvl>
    <w:lvl w:ilvl="3" w:tplc="9A5A00AE" w:tentative="1">
      <w:start w:val="1"/>
      <w:numFmt w:val="bullet"/>
      <w:lvlText w:val="•"/>
      <w:lvlJc w:val="left"/>
      <w:pPr>
        <w:tabs>
          <w:tab w:val="num" w:pos="2880"/>
        </w:tabs>
        <w:ind w:left="2880" w:hanging="360"/>
      </w:pPr>
      <w:rPr>
        <w:rFonts w:ascii="Arial" w:hAnsi="Arial" w:hint="default"/>
      </w:rPr>
    </w:lvl>
    <w:lvl w:ilvl="4" w:tplc="5B6239C6" w:tentative="1">
      <w:start w:val="1"/>
      <w:numFmt w:val="bullet"/>
      <w:lvlText w:val="•"/>
      <w:lvlJc w:val="left"/>
      <w:pPr>
        <w:tabs>
          <w:tab w:val="num" w:pos="3600"/>
        </w:tabs>
        <w:ind w:left="3600" w:hanging="360"/>
      </w:pPr>
      <w:rPr>
        <w:rFonts w:ascii="Arial" w:hAnsi="Arial" w:hint="default"/>
      </w:rPr>
    </w:lvl>
    <w:lvl w:ilvl="5" w:tplc="EA0676B0" w:tentative="1">
      <w:start w:val="1"/>
      <w:numFmt w:val="bullet"/>
      <w:lvlText w:val="•"/>
      <w:lvlJc w:val="left"/>
      <w:pPr>
        <w:tabs>
          <w:tab w:val="num" w:pos="4320"/>
        </w:tabs>
        <w:ind w:left="4320" w:hanging="360"/>
      </w:pPr>
      <w:rPr>
        <w:rFonts w:ascii="Arial" w:hAnsi="Arial" w:hint="default"/>
      </w:rPr>
    </w:lvl>
    <w:lvl w:ilvl="6" w:tplc="DD942008" w:tentative="1">
      <w:start w:val="1"/>
      <w:numFmt w:val="bullet"/>
      <w:lvlText w:val="•"/>
      <w:lvlJc w:val="left"/>
      <w:pPr>
        <w:tabs>
          <w:tab w:val="num" w:pos="5040"/>
        </w:tabs>
        <w:ind w:left="5040" w:hanging="360"/>
      </w:pPr>
      <w:rPr>
        <w:rFonts w:ascii="Arial" w:hAnsi="Arial" w:hint="default"/>
      </w:rPr>
    </w:lvl>
    <w:lvl w:ilvl="7" w:tplc="59AA53A6" w:tentative="1">
      <w:start w:val="1"/>
      <w:numFmt w:val="bullet"/>
      <w:lvlText w:val="•"/>
      <w:lvlJc w:val="left"/>
      <w:pPr>
        <w:tabs>
          <w:tab w:val="num" w:pos="5760"/>
        </w:tabs>
        <w:ind w:left="5760" w:hanging="360"/>
      </w:pPr>
      <w:rPr>
        <w:rFonts w:ascii="Arial" w:hAnsi="Arial" w:hint="default"/>
      </w:rPr>
    </w:lvl>
    <w:lvl w:ilvl="8" w:tplc="70669CB2" w:tentative="1">
      <w:start w:val="1"/>
      <w:numFmt w:val="bullet"/>
      <w:lvlText w:val="•"/>
      <w:lvlJc w:val="left"/>
      <w:pPr>
        <w:tabs>
          <w:tab w:val="num" w:pos="6480"/>
        </w:tabs>
        <w:ind w:left="6480" w:hanging="360"/>
      </w:pPr>
      <w:rPr>
        <w:rFonts w:ascii="Arial" w:hAnsi="Arial" w:hint="default"/>
      </w:rPr>
    </w:lvl>
  </w:abstractNum>
  <w:abstractNum w:abstractNumId="12">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AAE0D08"/>
    <w:multiLevelType w:val="hybridMultilevel"/>
    <w:tmpl w:val="1A20C478"/>
    <w:lvl w:ilvl="0" w:tplc="BC406196">
      <w:start w:val="1"/>
      <w:numFmt w:val="bullet"/>
      <w:lvlText w:val="•"/>
      <w:lvlJc w:val="left"/>
      <w:pPr>
        <w:tabs>
          <w:tab w:val="num" w:pos="720"/>
        </w:tabs>
        <w:ind w:left="720" w:hanging="360"/>
      </w:pPr>
      <w:rPr>
        <w:rFonts w:ascii="Arial" w:hAnsi="Arial" w:hint="default"/>
      </w:rPr>
    </w:lvl>
    <w:lvl w:ilvl="1" w:tplc="3A309CFC" w:tentative="1">
      <w:start w:val="1"/>
      <w:numFmt w:val="bullet"/>
      <w:lvlText w:val="•"/>
      <w:lvlJc w:val="left"/>
      <w:pPr>
        <w:tabs>
          <w:tab w:val="num" w:pos="1440"/>
        </w:tabs>
        <w:ind w:left="1440" w:hanging="360"/>
      </w:pPr>
      <w:rPr>
        <w:rFonts w:ascii="Arial" w:hAnsi="Arial" w:hint="default"/>
      </w:rPr>
    </w:lvl>
    <w:lvl w:ilvl="2" w:tplc="119E213E" w:tentative="1">
      <w:start w:val="1"/>
      <w:numFmt w:val="bullet"/>
      <w:lvlText w:val="•"/>
      <w:lvlJc w:val="left"/>
      <w:pPr>
        <w:tabs>
          <w:tab w:val="num" w:pos="2160"/>
        </w:tabs>
        <w:ind w:left="2160" w:hanging="360"/>
      </w:pPr>
      <w:rPr>
        <w:rFonts w:ascii="Arial" w:hAnsi="Arial" w:hint="default"/>
      </w:rPr>
    </w:lvl>
    <w:lvl w:ilvl="3" w:tplc="C8DEA804" w:tentative="1">
      <w:start w:val="1"/>
      <w:numFmt w:val="bullet"/>
      <w:lvlText w:val="•"/>
      <w:lvlJc w:val="left"/>
      <w:pPr>
        <w:tabs>
          <w:tab w:val="num" w:pos="2880"/>
        </w:tabs>
        <w:ind w:left="2880" w:hanging="360"/>
      </w:pPr>
      <w:rPr>
        <w:rFonts w:ascii="Arial" w:hAnsi="Arial" w:hint="default"/>
      </w:rPr>
    </w:lvl>
    <w:lvl w:ilvl="4" w:tplc="3B98A2BA" w:tentative="1">
      <w:start w:val="1"/>
      <w:numFmt w:val="bullet"/>
      <w:lvlText w:val="•"/>
      <w:lvlJc w:val="left"/>
      <w:pPr>
        <w:tabs>
          <w:tab w:val="num" w:pos="3600"/>
        </w:tabs>
        <w:ind w:left="3600" w:hanging="360"/>
      </w:pPr>
      <w:rPr>
        <w:rFonts w:ascii="Arial" w:hAnsi="Arial" w:hint="default"/>
      </w:rPr>
    </w:lvl>
    <w:lvl w:ilvl="5" w:tplc="64301E26" w:tentative="1">
      <w:start w:val="1"/>
      <w:numFmt w:val="bullet"/>
      <w:lvlText w:val="•"/>
      <w:lvlJc w:val="left"/>
      <w:pPr>
        <w:tabs>
          <w:tab w:val="num" w:pos="4320"/>
        </w:tabs>
        <w:ind w:left="4320" w:hanging="360"/>
      </w:pPr>
      <w:rPr>
        <w:rFonts w:ascii="Arial" w:hAnsi="Arial" w:hint="default"/>
      </w:rPr>
    </w:lvl>
    <w:lvl w:ilvl="6" w:tplc="D9705764" w:tentative="1">
      <w:start w:val="1"/>
      <w:numFmt w:val="bullet"/>
      <w:lvlText w:val="•"/>
      <w:lvlJc w:val="left"/>
      <w:pPr>
        <w:tabs>
          <w:tab w:val="num" w:pos="5040"/>
        </w:tabs>
        <w:ind w:left="5040" w:hanging="360"/>
      </w:pPr>
      <w:rPr>
        <w:rFonts w:ascii="Arial" w:hAnsi="Arial" w:hint="default"/>
      </w:rPr>
    </w:lvl>
    <w:lvl w:ilvl="7" w:tplc="20888286" w:tentative="1">
      <w:start w:val="1"/>
      <w:numFmt w:val="bullet"/>
      <w:lvlText w:val="•"/>
      <w:lvlJc w:val="left"/>
      <w:pPr>
        <w:tabs>
          <w:tab w:val="num" w:pos="5760"/>
        </w:tabs>
        <w:ind w:left="5760" w:hanging="360"/>
      </w:pPr>
      <w:rPr>
        <w:rFonts w:ascii="Arial" w:hAnsi="Arial" w:hint="default"/>
      </w:rPr>
    </w:lvl>
    <w:lvl w:ilvl="8" w:tplc="D280F9F6" w:tentative="1">
      <w:start w:val="1"/>
      <w:numFmt w:val="bullet"/>
      <w:lvlText w:val="•"/>
      <w:lvlJc w:val="left"/>
      <w:pPr>
        <w:tabs>
          <w:tab w:val="num" w:pos="6480"/>
        </w:tabs>
        <w:ind w:left="6480" w:hanging="360"/>
      </w:pPr>
      <w:rPr>
        <w:rFonts w:ascii="Arial" w:hAnsi="Arial" w:hint="default"/>
      </w:rPr>
    </w:lvl>
  </w:abstractNum>
  <w:abstractNum w:abstractNumId="14">
    <w:nsid w:val="3243747A"/>
    <w:multiLevelType w:val="hybridMultilevel"/>
    <w:tmpl w:val="841232DC"/>
    <w:lvl w:ilvl="0" w:tplc="A89E48BE">
      <w:start w:val="1"/>
      <w:numFmt w:val="bullet"/>
      <w:lvlText w:val="•"/>
      <w:lvlJc w:val="left"/>
      <w:pPr>
        <w:tabs>
          <w:tab w:val="num" w:pos="720"/>
        </w:tabs>
        <w:ind w:left="720" w:hanging="360"/>
      </w:pPr>
      <w:rPr>
        <w:rFonts w:ascii="Arial" w:hAnsi="Arial" w:hint="default"/>
      </w:rPr>
    </w:lvl>
    <w:lvl w:ilvl="1" w:tplc="38C099DC" w:tentative="1">
      <w:start w:val="1"/>
      <w:numFmt w:val="bullet"/>
      <w:lvlText w:val="•"/>
      <w:lvlJc w:val="left"/>
      <w:pPr>
        <w:tabs>
          <w:tab w:val="num" w:pos="1440"/>
        </w:tabs>
        <w:ind w:left="1440" w:hanging="360"/>
      </w:pPr>
      <w:rPr>
        <w:rFonts w:ascii="Arial" w:hAnsi="Arial" w:hint="default"/>
      </w:rPr>
    </w:lvl>
    <w:lvl w:ilvl="2" w:tplc="0630B8AA" w:tentative="1">
      <w:start w:val="1"/>
      <w:numFmt w:val="bullet"/>
      <w:lvlText w:val="•"/>
      <w:lvlJc w:val="left"/>
      <w:pPr>
        <w:tabs>
          <w:tab w:val="num" w:pos="2160"/>
        </w:tabs>
        <w:ind w:left="2160" w:hanging="360"/>
      </w:pPr>
      <w:rPr>
        <w:rFonts w:ascii="Arial" w:hAnsi="Arial" w:hint="default"/>
      </w:rPr>
    </w:lvl>
    <w:lvl w:ilvl="3" w:tplc="D9A07458" w:tentative="1">
      <w:start w:val="1"/>
      <w:numFmt w:val="bullet"/>
      <w:lvlText w:val="•"/>
      <w:lvlJc w:val="left"/>
      <w:pPr>
        <w:tabs>
          <w:tab w:val="num" w:pos="2880"/>
        </w:tabs>
        <w:ind w:left="2880" w:hanging="360"/>
      </w:pPr>
      <w:rPr>
        <w:rFonts w:ascii="Arial" w:hAnsi="Arial" w:hint="default"/>
      </w:rPr>
    </w:lvl>
    <w:lvl w:ilvl="4" w:tplc="EEA4BDD8" w:tentative="1">
      <w:start w:val="1"/>
      <w:numFmt w:val="bullet"/>
      <w:lvlText w:val="•"/>
      <w:lvlJc w:val="left"/>
      <w:pPr>
        <w:tabs>
          <w:tab w:val="num" w:pos="3600"/>
        </w:tabs>
        <w:ind w:left="3600" w:hanging="360"/>
      </w:pPr>
      <w:rPr>
        <w:rFonts w:ascii="Arial" w:hAnsi="Arial" w:hint="default"/>
      </w:rPr>
    </w:lvl>
    <w:lvl w:ilvl="5" w:tplc="8D1E559C" w:tentative="1">
      <w:start w:val="1"/>
      <w:numFmt w:val="bullet"/>
      <w:lvlText w:val="•"/>
      <w:lvlJc w:val="left"/>
      <w:pPr>
        <w:tabs>
          <w:tab w:val="num" w:pos="4320"/>
        </w:tabs>
        <w:ind w:left="4320" w:hanging="360"/>
      </w:pPr>
      <w:rPr>
        <w:rFonts w:ascii="Arial" w:hAnsi="Arial" w:hint="default"/>
      </w:rPr>
    </w:lvl>
    <w:lvl w:ilvl="6" w:tplc="AD4CDCDE" w:tentative="1">
      <w:start w:val="1"/>
      <w:numFmt w:val="bullet"/>
      <w:lvlText w:val="•"/>
      <w:lvlJc w:val="left"/>
      <w:pPr>
        <w:tabs>
          <w:tab w:val="num" w:pos="5040"/>
        </w:tabs>
        <w:ind w:left="5040" w:hanging="360"/>
      </w:pPr>
      <w:rPr>
        <w:rFonts w:ascii="Arial" w:hAnsi="Arial" w:hint="default"/>
      </w:rPr>
    </w:lvl>
    <w:lvl w:ilvl="7" w:tplc="E7B00848" w:tentative="1">
      <w:start w:val="1"/>
      <w:numFmt w:val="bullet"/>
      <w:lvlText w:val="•"/>
      <w:lvlJc w:val="left"/>
      <w:pPr>
        <w:tabs>
          <w:tab w:val="num" w:pos="5760"/>
        </w:tabs>
        <w:ind w:left="5760" w:hanging="360"/>
      </w:pPr>
      <w:rPr>
        <w:rFonts w:ascii="Arial" w:hAnsi="Arial" w:hint="default"/>
      </w:rPr>
    </w:lvl>
    <w:lvl w:ilvl="8" w:tplc="21566C96" w:tentative="1">
      <w:start w:val="1"/>
      <w:numFmt w:val="bullet"/>
      <w:lvlText w:val="•"/>
      <w:lvlJc w:val="left"/>
      <w:pPr>
        <w:tabs>
          <w:tab w:val="num" w:pos="6480"/>
        </w:tabs>
        <w:ind w:left="6480" w:hanging="360"/>
      </w:pPr>
      <w:rPr>
        <w:rFonts w:ascii="Arial" w:hAnsi="Arial" w:hint="default"/>
      </w:rPr>
    </w:lvl>
  </w:abstractNum>
  <w:abstractNum w:abstractNumId="15">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nsid w:val="3B340A4A"/>
    <w:multiLevelType w:val="hybridMultilevel"/>
    <w:tmpl w:val="DDD60270"/>
    <w:lvl w:ilvl="0" w:tplc="DFAA2736">
      <w:start w:val="1"/>
      <w:numFmt w:val="bullet"/>
      <w:lvlText w:val="•"/>
      <w:lvlJc w:val="left"/>
      <w:pPr>
        <w:tabs>
          <w:tab w:val="num" w:pos="720"/>
        </w:tabs>
        <w:ind w:left="720" w:hanging="360"/>
      </w:pPr>
      <w:rPr>
        <w:rFonts w:ascii="Arial" w:hAnsi="Arial" w:hint="default"/>
      </w:rPr>
    </w:lvl>
    <w:lvl w:ilvl="1" w:tplc="ADDC5A94">
      <w:numFmt w:val="bullet"/>
      <w:lvlText w:val="•"/>
      <w:lvlJc w:val="left"/>
      <w:pPr>
        <w:tabs>
          <w:tab w:val="num" w:pos="1440"/>
        </w:tabs>
        <w:ind w:left="1440" w:hanging="360"/>
      </w:pPr>
      <w:rPr>
        <w:rFonts w:ascii="Arial" w:hAnsi="Arial" w:hint="default"/>
      </w:rPr>
    </w:lvl>
    <w:lvl w:ilvl="2" w:tplc="76C28968" w:tentative="1">
      <w:start w:val="1"/>
      <w:numFmt w:val="bullet"/>
      <w:lvlText w:val="•"/>
      <w:lvlJc w:val="left"/>
      <w:pPr>
        <w:tabs>
          <w:tab w:val="num" w:pos="2160"/>
        </w:tabs>
        <w:ind w:left="2160" w:hanging="360"/>
      </w:pPr>
      <w:rPr>
        <w:rFonts w:ascii="Arial" w:hAnsi="Arial" w:hint="default"/>
      </w:rPr>
    </w:lvl>
    <w:lvl w:ilvl="3" w:tplc="E4F04E7A" w:tentative="1">
      <w:start w:val="1"/>
      <w:numFmt w:val="bullet"/>
      <w:lvlText w:val="•"/>
      <w:lvlJc w:val="left"/>
      <w:pPr>
        <w:tabs>
          <w:tab w:val="num" w:pos="2880"/>
        </w:tabs>
        <w:ind w:left="2880" w:hanging="360"/>
      </w:pPr>
      <w:rPr>
        <w:rFonts w:ascii="Arial" w:hAnsi="Arial" w:hint="default"/>
      </w:rPr>
    </w:lvl>
    <w:lvl w:ilvl="4" w:tplc="2C18FF20" w:tentative="1">
      <w:start w:val="1"/>
      <w:numFmt w:val="bullet"/>
      <w:lvlText w:val="•"/>
      <w:lvlJc w:val="left"/>
      <w:pPr>
        <w:tabs>
          <w:tab w:val="num" w:pos="3600"/>
        </w:tabs>
        <w:ind w:left="3600" w:hanging="360"/>
      </w:pPr>
      <w:rPr>
        <w:rFonts w:ascii="Arial" w:hAnsi="Arial" w:hint="default"/>
      </w:rPr>
    </w:lvl>
    <w:lvl w:ilvl="5" w:tplc="09BE14DE" w:tentative="1">
      <w:start w:val="1"/>
      <w:numFmt w:val="bullet"/>
      <w:lvlText w:val="•"/>
      <w:lvlJc w:val="left"/>
      <w:pPr>
        <w:tabs>
          <w:tab w:val="num" w:pos="4320"/>
        </w:tabs>
        <w:ind w:left="4320" w:hanging="360"/>
      </w:pPr>
      <w:rPr>
        <w:rFonts w:ascii="Arial" w:hAnsi="Arial" w:hint="default"/>
      </w:rPr>
    </w:lvl>
    <w:lvl w:ilvl="6" w:tplc="E5A6AE4E" w:tentative="1">
      <w:start w:val="1"/>
      <w:numFmt w:val="bullet"/>
      <w:lvlText w:val="•"/>
      <w:lvlJc w:val="left"/>
      <w:pPr>
        <w:tabs>
          <w:tab w:val="num" w:pos="5040"/>
        </w:tabs>
        <w:ind w:left="5040" w:hanging="360"/>
      </w:pPr>
      <w:rPr>
        <w:rFonts w:ascii="Arial" w:hAnsi="Arial" w:hint="default"/>
      </w:rPr>
    </w:lvl>
    <w:lvl w:ilvl="7" w:tplc="8B1650DA" w:tentative="1">
      <w:start w:val="1"/>
      <w:numFmt w:val="bullet"/>
      <w:lvlText w:val="•"/>
      <w:lvlJc w:val="left"/>
      <w:pPr>
        <w:tabs>
          <w:tab w:val="num" w:pos="5760"/>
        </w:tabs>
        <w:ind w:left="5760" w:hanging="360"/>
      </w:pPr>
      <w:rPr>
        <w:rFonts w:ascii="Arial" w:hAnsi="Arial" w:hint="default"/>
      </w:rPr>
    </w:lvl>
    <w:lvl w:ilvl="8" w:tplc="419C9346" w:tentative="1">
      <w:start w:val="1"/>
      <w:numFmt w:val="bullet"/>
      <w:lvlText w:val="•"/>
      <w:lvlJc w:val="left"/>
      <w:pPr>
        <w:tabs>
          <w:tab w:val="num" w:pos="6480"/>
        </w:tabs>
        <w:ind w:left="6480" w:hanging="360"/>
      </w:pPr>
      <w:rPr>
        <w:rFonts w:ascii="Arial" w:hAnsi="Arial" w:hint="default"/>
      </w:rPr>
    </w:lvl>
  </w:abstractNum>
  <w:abstractNum w:abstractNumId="17">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3D6629BB"/>
    <w:multiLevelType w:val="hybridMultilevel"/>
    <w:tmpl w:val="52AAB784"/>
    <w:lvl w:ilvl="0" w:tplc="FB048582">
      <w:start w:val="1"/>
      <w:numFmt w:val="bullet"/>
      <w:lvlText w:val="•"/>
      <w:lvlJc w:val="left"/>
      <w:pPr>
        <w:tabs>
          <w:tab w:val="num" w:pos="720"/>
        </w:tabs>
        <w:ind w:left="720" w:hanging="360"/>
      </w:pPr>
      <w:rPr>
        <w:rFonts w:ascii="Arial" w:hAnsi="Arial" w:hint="default"/>
      </w:rPr>
    </w:lvl>
    <w:lvl w:ilvl="1" w:tplc="6D56EAEA" w:tentative="1">
      <w:start w:val="1"/>
      <w:numFmt w:val="bullet"/>
      <w:lvlText w:val="•"/>
      <w:lvlJc w:val="left"/>
      <w:pPr>
        <w:tabs>
          <w:tab w:val="num" w:pos="1440"/>
        </w:tabs>
        <w:ind w:left="1440" w:hanging="360"/>
      </w:pPr>
      <w:rPr>
        <w:rFonts w:ascii="Arial" w:hAnsi="Arial" w:hint="default"/>
      </w:rPr>
    </w:lvl>
    <w:lvl w:ilvl="2" w:tplc="D982FDCC" w:tentative="1">
      <w:start w:val="1"/>
      <w:numFmt w:val="bullet"/>
      <w:lvlText w:val="•"/>
      <w:lvlJc w:val="left"/>
      <w:pPr>
        <w:tabs>
          <w:tab w:val="num" w:pos="2160"/>
        </w:tabs>
        <w:ind w:left="2160" w:hanging="360"/>
      </w:pPr>
      <w:rPr>
        <w:rFonts w:ascii="Arial" w:hAnsi="Arial" w:hint="default"/>
      </w:rPr>
    </w:lvl>
    <w:lvl w:ilvl="3" w:tplc="2C46E342" w:tentative="1">
      <w:start w:val="1"/>
      <w:numFmt w:val="bullet"/>
      <w:lvlText w:val="•"/>
      <w:lvlJc w:val="left"/>
      <w:pPr>
        <w:tabs>
          <w:tab w:val="num" w:pos="2880"/>
        </w:tabs>
        <w:ind w:left="2880" w:hanging="360"/>
      </w:pPr>
      <w:rPr>
        <w:rFonts w:ascii="Arial" w:hAnsi="Arial" w:hint="default"/>
      </w:rPr>
    </w:lvl>
    <w:lvl w:ilvl="4" w:tplc="1CCC1344" w:tentative="1">
      <w:start w:val="1"/>
      <w:numFmt w:val="bullet"/>
      <w:lvlText w:val="•"/>
      <w:lvlJc w:val="left"/>
      <w:pPr>
        <w:tabs>
          <w:tab w:val="num" w:pos="3600"/>
        </w:tabs>
        <w:ind w:left="3600" w:hanging="360"/>
      </w:pPr>
      <w:rPr>
        <w:rFonts w:ascii="Arial" w:hAnsi="Arial" w:hint="default"/>
      </w:rPr>
    </w:lvl>
    <w:lvl w:ilvl="5" w:tplc="7AFCACB2" w:tentative="1">
      <w:start w:val="1"/>
      <w:numFmt w:val="bullet"/>
      <w:lvlText w:val="•"/>
      <w:lvlJc w:val="left"/>
      <w:pPr>
        <w:tabs>
          <w:tab w:val="num" w:pos="4320"/>
        </w:tabs>
        <w:ind w:left="4320" w:hanging="360"/>
      </w:pPr>
      <w:rPr>
        <w:rFonts w:ascii="Arial" w:hAnsi="Arial" w:hint="default"/>
      </w:rPr>
    </w:lvl>
    <w:lvl w:ilvl="6" w:tplc="B4F83FB0" w:tentative="1">
      <w:start w:val="1"/>
      <w:numFmt w:val="bullet"/>
      <w:lvlText w:val="•"/>
      <w:lvlJc w:val="left"/>
      <w:pPr>
        <w:tabs>
          <w:tab w:val="num" w:pos="5040"/>
        </w:tabs>
        <w:ind w:left="5040" w:hanging="360"/>
      </w:pPr>
      <w:rPr>
        <w:rFonts w:ascii="Arial" w:hAnsi="Arial" w:hint="default"/>
      </w:rPr>
    </w:lvl>
    <w:lvl w:ilvl="7" w:tplc="CBB2EA4A" w:tentative="1">
      <w:start w:val="1"/>
      <w:numFmt w:val="bullet"/>
      <w:lvlText w:val="•"/>
      <w:lvlJc w:val="left"/>
      <w:pPr>
        <w:tabs>
          <w:tab w:val="num" w:pos="5760"/>
        </w:tabs>
        <w:ind w:left="5760" w:hanging="360"/>
      </w:pPr>
      <w:rPr>
        <w:rFonts w:ascii="Arial" w:hAnsi="Arial" w:hint="default"/>
      </w:rPr>
    </w:lvl>
    <w:lvl w:ilvl="8" w:tplc="C7E070BE" w:tentative="1">
      <w:start w:val="1"/>
      <w:numFmt w:val="bullet"/>
      <w:lvlText w:val="•"/>
      <w:lvlJc w:val="left"/>
      <w:pPr>
        <w:tabs>
          <w:tab w:val="num" w:pos="6480"/>
        </w:tabs>
        <w:ind w:left="6480" w:hanging="360"/>
      </w:pPr>
      <w:rPr>
        <w:rFonts w:ascii="Arial" w:hAnsi="Arial" w:hint="default"/>
      </w:rPr>
    </w:lvl>
  </w:abstractNum>
  <w:abstractNum w:abstractNumId="19">
    <w:nsid w:val="3DBB734A"/>
    <w:multiLevelType w:val="hybridMultilevel"/>
    <w:tmpl w:val="5282AC60"/>
    <w:lvl w:ilvl="0" w:tplc="5DAE4662">
      <w:start w:val="1"/>
      <w:numFmt w:val="bullet"/>
      <w:lvlText w:val="•"/>
      <w:lvlJc w:val="left"/>
      <w:pPr>
        <w:tabs>
          <w:tab w:val="num" w:pos="720"/>
        </w:tabs>
        <w:ind w:left="720" w:hanging="360"/>
      </w:pPr>
      <w:rPr>
        <w:rFonts w:ascii="Arial" w:hAnsi="Arial" w:hint="default"/>
      </w:rPr>
    </w:lvl>
    <w:lvl w:ilvl="1" w:tplc="7688DACE" w:tentative="1">
      <w:start w:val="1"/>
      <w:numFmt w:val="bullet"/>
      <w:lvlText w:val="•"/>
      <w:lvlJc w:val="left"/>
      <w:pPr>
        <w:tabs>
          <w:tab w:val="num" w:pos="1440"/>
        </w:tabs>
        <w:ind w:left="1440" w:hanging="360"/>
      </w:pPr>
      <w:rPr>
        <w:rFonts w:ascii="Arial" w:hAnsi="Arial" w:hint="default"/>
      </w:rPr>
    </w:lvl>
    <w:lvl w:ilvl="2" w:tplc="CB089256" w:tentative="1">
      <w:start w:val="1"/>
      <w:numFmt w:val="bullet"/>
      <w:lvlText w:val="•"/>
      <w:lvlJc w:val="left"/>
      <w:pPr>
        <w:tabs>
          <w:tab w:val="num" w:pos="2160"/>
        </w:tabs>
        <w:ind w:left="2160" w:hanging="360"/>
      </w:pPr>
      <w:rPr>
        <w:rFonts w:ascii="Arial" w:hAnsi="Arial" w:hint="default"/>
      </w:rPr>
    </w:lvl>
    <w:lvl w:ilvl="3" w:tplc="5A6683DC" w:tentative="1">
      <w:start w:val="1"/>
      <w:numFmt w:val="bullet"/>
      <w:lvlText w:val="•"/>
      <w:lvlJc w:val="left"/>
      <w:pPr>
        <w:tabs>
          <w:tab w:val="num" w:pos="2880"/>
        </w:tabs>
        <w:ind w:left="2880" w:hanging="360"/>
      </w:pPr>
      <w:rPr>
        <w:rFonts w:ascii="Arial" w:hAnsi="Arial" w:hint="default"/>
      </w:rPr>
    </w:lvl>
    <w:lvl w:ilvl="4" w:tplc="01821736" w:tentative="1">
      <w:start w:val="1"/>
      <w:numFmt w:val="bullet"/>
      <w:lvlText w:val="•"/>
      <w:lvlJc w:val="left"/>
      <w:pPr>
        <w:tabs>
          <w:tab w:val="num" w:pos="3600"/>
        </w:tabs>
        <w:ind w:left="3600" w:hanging="360"/>
      </w:pPr>
      <w:rPr>
        <w:rFonts w:ascii="Arial" w:hAnsi="Arial" w:hint="default"/>
      </w:rPr>
    </w:lvl>
    <w:lvl w:ilvl="5" w:tplc="D938C126" w:tentative="1">
      <w:start w:val="1"/>
      <w:numFmt w:val="bullet"/>
      <w:lvlText w:val="•"/>
      <w:lvlJc w:val="left"/>
      <w:pPr>
        <w:tabs>
          <w:tab w:val="num" w:pos="4320"/>
        </w:tabs>
        <w:ind w:left="4320" w:hanging="360"/>
      </w:pPr>
      <w:rPr>
        <w:rFonts w:ascii="Arial" w:hAnsi="Arial" w:hint="default"/>
      </w:rPr>
    </w:lvl>
    <w:lvl w:ilvl="6" w:tplc="755CB53A" w:tentative="1">
      <w:start w:val="1"/>
      <w:numFmt w:val="bullet"/>
      <w:lvlText w:val="•"/>
      <w:lvlJc w:val="left"/>
      <w:pPr>
        <w:tabs>
          <w:tab w:val="num" w:pos="5040"/>
        </w:tabs>
        <w:ind w:left="5040" w:hanging="360"/>
      </w:pPr>
      <w:rPr>
        <w:rFonts w:ascii="Arial" w:hAnsi="Arial" w:hint="default"/>
      </w:rPr>
    </w:lvl>
    <w:lvl w:ilvl="7" w:tplc="04488F36" w:tentative="1">
      <w:start w:val="1"/>
      <w:numFmt w:val="bullet"/>
      <w:lvlText w:val="•"/>
      <w:lvlJc w:val="left"/>
      <w:pPr>
        <w:tabs>
          <w:tab w:val="num" w:pos="5760"/>
        </w:tabs>
        <w:ind w:left="5760" w:hanging="360"/>
      </w:pPr>
      <w:rPr>
        <w:rFonts w:ascii="Arial" w:hAnsi="Arial" w:hint="default"/>
      </w:rPr>
    </w:lvl>
    <w:lvl w:ilvl="8" w:tplc="8F1824DA" w:tentative="1">
      <w:start w:val="1"/>
      <w:numFmt w:val="bullet"/>
      <w:lvlText w:val="•"/>
      <w:lvlJc w:val="left"/>
      <w:pPr>
        <w:tabs>
          <w:tab w:val="num" w:pos="6480"/>
        </w:tabs>
        <w:ind w:left="6480" w:hanging="360"/>
      </w:pPr>
      <w:rPr>
        <w:rFonts w:ascii="Arial" w:hAnsi="Arial" w:hint="default"/>
      </w:rPr>
    </w:lvl>
  </w:abstractNum>
  <w:abstractNum w:abstractNumId="20">
    <w:nsid w:val="41383675"/>
    <w:multiLevelType w:val="hybridMultilevel"/>
    <w:tmpl w:val="C5C21E74"/>
    <w:lvl w:ilvl="0" w:tplc="040B0005">
      <w:start w:val="1"/>
      <w:numFmt w:val="bullet"/>
      <w:lvlText w:val=""/>
      <w:lvlJc w:val="left"/>
      <w:pPr>
        <w:ind w:left="420" w:hanging="420"/>
      </w:pPr>
      <w:rPr>
        <w:rFonts w:ascii="Wingdings" w:hAnsi="Wingdings" w:hint="default"/>
      </w:rPr>
    </w:lvl>
    <w:lvl w:ilvl="1" w:tplc="08090001">
      <w:start w:val="1"/>
      <w:numFmt w:val="bullet"/>
      <w:lvlText w:val=""/>
      <w:lvlJc w:val="left"/>
      <w:pPr>
        <w:ind w:left="840" w:hanging="420"/>
      </w:pPr>
      <w:rPr>
        <w:rFonts w:ascii="Symbol" w:hAnsi="Symbol" w:hint="default"/>
      </w:rPr>
    </w:lvl>
    <w:lvl w:ilvl="2" w:tplc="2A209CB6">
      <w:start w:val="1"/>
      <w:numFmt w:val="bullet"/>
      <w:lvlText w:val="–"/>
      <w:lvlJc w:val="left"/>
      <w:pPr>
        <w:ind w:left="1260" w:hanging="420"/>
      </w:pPr>
      <w:rPr>
        <w:rFonts w:ascii="Arial" w:hAnsi="Arial"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nsid w:val="417C00F8"/>
    <w:multiLevelType w:val="hybridMultilevel"/>
    <w:tmpl w:val="A470CED6"/>
    <w:lvl w:ilvl="0" w:tplc="7C424F06">
      <w:start w:val="1"/>
      <w:numFmt w:val="bullet"/>
      <w:lvlText w:val="•"/>
      <w:lvlJc w:val="left"/>
      <w:pPr>
        <w:tabs>
          <w:tab w:val="num" w:pos="720"/>
        </w:tabs>
        <w:ind w:left="720" w:hanging="360"/>
      </w:pPr>
      <w:rPr>
        <w:rFonts w:ascii="Arial" w:hAnsi="Arial" w:hint="default"/>
      </w:rPr>
    </w:lvl>
    <w:lvl w:ilvl="1" w:tplc="F892BE68" w:tentative="1">
      <w:start w:val="1"/>
      <w:numFmt w:val="bullet"/>
      <w:lvlText w:val="•"/>
      <w:lvlJc w:val="left"/>
      <w:pPr>
        <w:tabs>
          <w:tab w:val="num" w:pos="1440"/>
        </w:tabs>
        <w:ind w:left="1440" w:hanging="360"/>
      </w:pPr>
      <w:rPr>
        <w:rFonts w:ascii="Arial" w:hAnsi="Arial" w:hint="default"/>
      </w:rPr>
    </w:lvl>
    <w:lvl w:ilvl="2" w:tplc="0BC87184" w:tentative="1">
      <w:start w:val="1"/>
      <w:numFmt w:val="bullet"/>
      <w:lvlText w:val="•"/>
      <w:lvlJc w:val="left"/>
      <w:pPr>
        <w:tabs>
          <w:tab w:val="num" w:pos="2160"/>
        </w:tabs>
        <w:ind w:left="2160" w:hanging="360"/>
      </w:pPr>
      <w:rPr>
        <w:rFonts w:ascii="Arial" w:hAnsi="Arial" w:hint="default"/>
      </w:rPr>
    </w:lvl>
    <w:lvl w:ilvl="3" w:tplc="439E59CE" w:tentative="1">
      <w:start w:val="1"/>
      <w:numFmt w:val="bullet"/>
      <w:lvlText w:val="•"/>
      <w:lvlJc w:val="left"/>
      <w:pPr>
        <w:tabs>
          <w:tab w:val="num" w:pos="2880"/>
        </w:tabs>
        <w:ind w:left="2880" w:hanging="360"/>
      </w:pPr>
      <w:rPr>
        <w:rFonts w:ascii="Arial" w:hAnsi="Arial" w:hint="default"/>
      </w:rPr>
    </w:lvl>
    <w:lvl w:ilvl="4" w:tplc="8CA64A26" w:tentative="1">
      <w:start w:val="1"/>
      <w:numFmt w:val="bullet"/>
      <w:lvlText w:val="•"/>
      <w:lvlJc w:val="left"/>
      <w:pPr>
        <w:tabs>
          <w:tab w:val="num" w:pos="3600"/>
        </w:tabs>
        <w:ind w:left="3600" w:hanging="360"/>
      </w:pPr>
      <w:rPr>
        <w:rFonts w:ascii="Arial" w:hAnsi="Arial" w:hint="default"/>
      </w:rPr>
    </w:lvl>
    <w:lvl w:ilvl="5" w:tplc="F378D0DE" w:tentative="1">
      <w:start w:val="1"/>
      <w:numFmt w:val="bullet"/>
      <w:lvlText w:val="•"/>
      <w:lvlJc w:val="left"/>
      <w:pPr>
        <w:tabs>
          <w:tab w:val="num" w:pos="4320"/>
        </w:tabs>
        <w:ind w:left="4320" w:hanging="360"/>
      </w:pPr>
      <w:rPr>
        <w:rFonts w:ascii="Arial" w:hAnsi="Arial" w:hint="default"/>
      </w:rPr>
    </w:lvl>
    <w:lvl w:ilvl="6" w:tplc="84484E12" w:tentative="1">
      <w:start w:val="1"/>
      <w:numFmt w:val="bullet"/>
      <w:lvlText w:val="•"/>
      <w:lvlJc w:val="left"/>
      <w:pPr>
        <w:tabs>
          <w:tab w:val="num" w:pos="5040"/>
        </w:tabs>
        <w:ind w:left="5040" w:hanging="360"/>
      </w:pPr>
      <w:rPr>
        <w:rFonts w:ascii="Arial" w:hAnsi="Arial" w:hint="default"/>
      </w:rPr>
    </w:lvl>
    <w:lvl w:ilvl="7" w:tplc="8C10E774" w:tentative="1">
      <w:start w:val="1"/>
      <w:numFmt w:val="bullet"/>
      <w:lvlText w:val="•"/>
      <w:lvlJc w:val="left"/>
      <w:pPr>
        <w:tabs>
          <w:tab w:val="num" w:pos="5760"/>
        </w:tabs>
        <w:ind w:left="5760" w:hanging="360"/>
      </w:pPr>
      <w:rPr>
        <w:rFonts w:ascii="Arial" w:hAnsi="Arial" w:hint="default"/>
      </w:rPr>
    </w:lvl>
    <w:lvl w:ilvl="8" w:tplc="E25EF150" w:tentative="1">
      <w:start w:val="1"/>
      <w:numFmt w:val="bullet"/>
      <w:lvlText w:val="•"/>
      <w:lvlJc w:val="left"/>
      <w:pPr>
        <w:tabs>
          <w:tab w:val="num" w:pos="6480"/>
        </w:tabs>
        <w:ind w:left="6480" w:hanging="360"/>
      </w:pPr>
      <w:rPr>
        <w:rFonts w:ascii="Arial" w:hAnsi="Arial" w:hint="default"/>
      </w:rPr>
    </w:lvl>
  </w:abstractNum>
  <w:abstractNum w:abstractNumId="22">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5">
    <w:nsid w:val="51BA189B"/>
    <w:multiLevelType w:val="multilevel"/>
    <w:tmpl w:val="5F42E0E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6">
    <w:nsid w:val="52942F4C"/>
    <w:multiLevelType w:val="hybridMultilevel"/>
    <w:tmpl w:val="643A783A"/>
    <w:lvl w:ilvl="0" w:tplc="B296C820">
      <w:start w:val="1"/>
      <w:numFmt w:val="bullet"/>
      <w:lvlText w:val="•"/>
      <w:lvlJc w:val="left"/>
      <w:pPr>
        <w:tabs>
          <w:tab w:val="num" w:pos="720"/>
        </w:tabs>
        <w:ind w:left="720" w:hanging="360"/>
      </w:pPr>
      <w:rPr>
        <w:rFonts w:ascii="Arial" w:hAnsi="Arial" w:hint="default"/>
      </w:rPr>
    </w:lvl>
    <w:lvl w:ilvl="1" w:tplc="FFECB126" w:tentative="1">
      <w:start w:val="1"/>
      <w:numFmt w:val="bullet"/>
      <w:lvlText w:val="•"/>
      <w:lvlJc w:val="left"/>
      <w:pPr>
        <w:tabs>
          <w:tab w:val="num" w:pos="1440"/>
        </w:tabs>
        <w:ind w:left="1440" w:hanging="360"/>
      </w:pPr>
      <w:rPr>
        <w:rFonts w:ascii="Arial" w:hAnsi="Arial" w:hint="default"/>
      </w:rPr>
    </w:lvl>
    <w:lvl w:ilvl="2" w:tplc="A4862EF0" w:tentative="1">
      <w:start w:val="1"/>
      <w:numFmt w:val="bullet"/>
      <w:lvlText w:val="•"/>
      <w:lvlJc w:val="left"/>
      <w:pPr>
        <w:tabs>
          <w:tab w:val="num" w:pos="2160"/>
        </w:tabs>
        <w:ind w:left="2160" w:hanging="360"/>
      </w:pPr>
      <w:rPr>
        <w:rFonts w:ascii="Arial" w:hAnsi="Arial" w:hint="default"/>
      </w:rPr>
    </w:lvl>
    <w:lvl w:ilvl="3" w:tplc="0AC4683C" w:tentative="1">
      <w:start w:val="1"/>
      <w:numFmt w:val="bullet"/>
      <w:lvlText w:val="•"/>
      <w:lvlJc w:val="left"/>
      <w:pPr>
        <w:tabs>
          <w:tab w:val="num" w:pos="2880"/>
        </w:tabs>
        <w:ind w:left="2880" w:hanging="360"/>
      </w:pPr>
      <w:rPr>
        <w:rFonts w:ascii="Arial" w:hAnsi="Arial" w:hint="default"/>
      </w:rPr>
    </w:lvl>
    <w:lvl w:ilvl="4" w:tplc="39DE644E" w:tentative="1">
      <w:start w:val="1"/>
      <w:numFmt w:val="bullet"/>
      <w:lvlText w:val="•"/>
      <w:lvlJc w:val="left"/>
      <w:pPr>
        <w:tabs>
          <w:tab w:val="num" w:pos="3600"/>
        </w:tabs>
        <w:ind w:left="3600" w:hanging="360"/>
      </w:pPr>
      <w:rPr>
        <w:rFonts w:ascii="Arial" w:hAnsi="Arial" w:hint="default"/>
      </w:rPr>
    </w:lvl>
    <w:lvl w:ilvl="5" w:tplc="A0E84D30" w:tentative="1">
      <w:start w:val="1"/>
      <w:numFmt w:val="bullet"/>
      <w:lvlText w:val="•"/>
      <w:lvlJc w:val="left"/>
      <w:pPr>
        <w:tabs>
          <w:tab w:val="num" w:pos="4320"/>
        </w:tabs>
        <w:ind w:left="4320" w:hanging="360"/>
      </w:pPr>
      <w:rPr>
        <w:rFonts w:ascii="Arial" w:hAnsi="Arial" w:hint="default"/>
      </w:rPr>
    </w:lvl>
    <w:lvl w:ilvl="6" w:tplc="8BE8E212" w:tentative="1">
      <w:start w:val="1"/>
      <w:numFmt w:val="bullet"/>
      <w:lvlText w:val="•"/>
      <w:lvlJc w:val="left"/>
      <w:pPr>
        <w:tabs>
          <w:tab w:val="num" w:pos="5040"/>
        </w:tabs>
        <w:ind w:left="5040" w:hanging="360"/>
      </w:pPr>
      <w:rPr>
        <w:rFonts w:ascii="Arial" w:hAnsi="Arial" w:hint="default"/>
      </w:rPr>
    </w:lvl>
    <w:lvl w:ilvl="7" w:tplc="63227D72" w:tentative="1">
      <w:start w:val="1"/>
      <w:numFmt w:val="bullet"/>
      <w:lvlText w:val="•"/>
      <w:lvlJc w:val="left"/>
      <w:pPr>
        <w:tabs>
          <w:tab w:val="num" w:pos="5760"/>
        </w:tabs>
        <w:ind w:left="5760" w:hanging="360"/>
      </w:pPr>
      <w:rPr>
        <w:rFonts w:ascii="Arial" w:hAnsi="Arial" w:hint="default"/>
      </w:rPr>
    </w:lvl>
    <w:lvl w:ilvl="8" w:tplc="1AF6A04E" w:tentative="1">
      <w:start w:val="1"/>
      <w:numFmt w:val="bullet"/>
      <w:lvlText w:val="•"/>
      <w:lvlJc w:val="left"/>
      <w:pPr>
        <w:tabs>
          <w:tab w:val="num" w:pos="6480"/>
        </w:tabs>
        <w:ind w:left="6480" w:hanging="360"/>
      </w:pPr>
      <w:rPr>
        <w:rFonts w:ascii="Arial" w:hAnsi="Arial" w:hint="default"/>
      </w:rPr>
    </w:lvl>
  </w:abstractNum>
  <w:abstractNum w:abstractNumId="27">
    <w:nsid w:val="573017A9"/>
    <w:multiLevelType w:val="hybridMultilevel"/>
    <w:tmpl w:val="BC5CCE5E"/>
    <w:lvl w:ilvl="0" w:tplc="A586AA42">
      <w:start w:val="1"/>
      <w:numFmt w:val="bullet"/>
      <w:lvlText w:val="•"/>
      <w:lvlJc w:val="left"/>
      <w:pPr>
        <w:tabs>
          <w:tab w:val="num" w:pos="720"/>
        </w:tabs>
        <w:ind w:left="720" w:hanging="360"/>
      </w:pPr>
      <w:rPr>
        <w:rFonts w:ascii="Arial" w:hAnsi="Arial" w:hint="default"/>
      </w:rPr>
    </w:lvl>
    <w:lvl w:ilvl="1" w:tplc="5712D3E6" w:tentative="1">
      <w:start w:val="1"/>
      <w:numFmt w:val="bullet"/>
      <w:lvlText w:val="•"/>
      <w:lvlJc w:val="left"/>
      <w:pPr>
        <w:tabs>
          <w:tab w:val="num" w:pos="1440"/>
        </w:tabs>
        <w:ind w:left="1440" w:hanging="360"/>
      </w:pPr>
      <w:rPr>
        <w:rFonts w:ascii="Arial" w:hAnsi="Arial" w:hint="default"/>
      </w:rPr>
    </w:lvl>
    <w:lvl w:ilvl="2" w:tplc="CE7CEBBC" w:tentative="1">
      <w:start w:val="1"/>
      <w:numFmt w:val="bullet"/>
      <w:lvlText w:val="•"/>
      <w:lvlJc w:val="left"/>
      <w:pPr>
        <w:tabs>
          <w:tab w:val="num" w:pos="2160"/>
        </w:tabs>
        <w:ind w:left="2160" w:hanging="360"/>
      </w:pPr>
      <w:rPr>
        <w:rFonts w:ascii="Arial" w:hAnsi="Arial" w:hint="default"/>
      </w:rPr>
    </w:lvl>
    <w:lvl w:ilvl="3" w:tplc="3F2267B2" w:tentative="1">
      <w:start w:val="1"/>
      <w:numFmt w:val="bullet"/>
      <w:lvlText w:val="•"/>
      <w:lvlJc w:val="left"/>
      <w:pPr>
        <w:tabs>
          <w:tab w:val="num" w:pos="2880"/>
        </w:tabs>
        <w:ind w:left="2880" w:hanging="360"/>
      </w:pPr>
      <w:rPr>
        <w:rFonts w:ascii="Arial" w:hAnsi="Arial" w:hint="default"/>
      </w:rPr>
    </w:lvl>
    <w:lvl w:ilvl="4" w:tplc="8EF014B4" w:tentative="1">
      <w:start w:val="1"/>
      <w:numFmt w:val="bullet"/>
      <w:lvlText w:val="•"/>
      <w:lvlJc w:val="left"/>
      <w:pPr>
        <w:tabs>
          <w:tab w:val="num" w:pos="3600"/>
        </w:tabs>
        <w:ind w:left="3600" w:hanging="360"/>
      </w:pPr>
      <w:rPr>
        <w:rFonts w:ascii="Arial" w:hAnsi="Arial" w:hint="default"/>
      </w:rPr>
    </w:lvl>
    <w:lvl w:ilvl="5" w:tplc="A59E2BCE" w:tentative="1">
      <w:start w:val="1"/>
      <w:numFmt w:val="bullet"/>
      <w:lvlText w:val="•"/>
      <w:lvlJc w:val="left"/>
      <w:pPr>
        <w:tabs>
          <w:tab w:val="num" w:pos="4320"/>
        </w:tabs>
        <w:ind w:left="4320" w:hanging="360"/>
      </w:pPr>
      <w:rPr>
        <w:rFonts w:ascii="Arial" w:hAnsi="Arial" w:hint="default"/>
      </w:rPr>
    </w:lvl>
    <w:lvl w:ilvl="6" w:tplc="DD327EAE" w:tentative="1">
      <w:start w:val="1"/>
      <w:numFmt w:val="bullet"/>
      <w:lvlText w:val="•"/>
      <w:lvlJc w:val="left"/>
      <w:pPr>
        <w:tabs>
          <w:tab w:val="num" w:pos="5040"/>
        </w:tabs>
        <w:ind w:left="5040" w:hanging="360"/>
      </w:pPr>
      <w:rPr>
        <w:rFonts w:ascii="Arial" w:hAnsi="Arial" w:hint="default"/>
      </w:rPr>
    </w:lvl>
    <w:lvl w:ilvl="7" w:tplc="76842354" w:tentative="1">
      <w:start w:val="1"/>
      <w:numFmt w:val="bullet"/>
      <w:lvlText w:val="•"/>
      <w:lvlJc w:val="left"/>
      <w:pPr>
        <w:tabs>
          <w:tab w:val="num" w:pos="5760"/>
        </w:tabs>
        <w:ind w:left="5760" w:hanging="360"/>
      </w:pPr>
      <w:rPr>
        <w:rFonts w:ascii="Arial" w:hAnsi="Arial" w:hint="default"/>
      </w:rPr>
    </w:lvl>
    <w:lvl w:ilvl="8" w:tplc="C5B0AD00" w:tentative="1">
      <w:start w:val="1"/>
      <w:numFmt w:val="bullet"/>
      <w:lvlText w:val="•"/>
      <w:lvlJc w:val="left"/>
      <w:pPr>
        <w:tabs>
          <w:tab w:val="num" w:pos="6480"/>
        </w:tabs>
        <w:ind w:left="6480" w:hanging="360"/>
      </w:pPr>
      <w:rPr>
        <w:rFonts w:ascii="Arial" w:hAnsi="Arial" w:hint="default"/>
      </w:rPr>
    </w:lvl>
  </w:abstractNum>
  <w:abstractNum w:abstractNumId="28">
    <w:nsid w:val="582B2DC8"/>
    <w:multiLevelType w:val="hybridMultilevel"/>
    <w:tmpl w:val="78667F4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6501B6"/>
    <w:multiLevelType w:val="hybridMultilevel"/>
    <w:tmpl w:val="A68250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7FB5401"/>
    <w:multiLevelType w:val="hybridMultilevel"/>
    <w:tmpl w:val="FCBA0B16"/>
    <w:lvl w:ilvl="0" w:tplc="A40E375A">
      <w:start w:val="1"/>
      <w:numFmt w:val="bullet"/>
      <w:lvlText w:val="•"/>
      <w:lvlJc w:val="left"/>
      <w:pPr>
        <w:tabs>
          <w:tab w:val="num" w:pos="720"/>
        </w:tabs>
        <w:ind w:left="720" w:hanging="360"/>
      </w:pPr>
      <w:rPr>
        <w:rFonts w:ascii="Arial" w:hAnsi="Arial" w:hint="default"/>
      </w:rPr>
    </w:lvl>
    <w:lvl w:ilvl="1" w:tplc="F21A7CBC" w:tentative="1">
      <w:start w:val="1"/>
      <w:numFmt w:val="bullet"/>
      <w:lvlText w:val="•"/>
      <w:lvlJc w:val="left"/>
      <w:pPr>
        <w:tabs>
          <w:tab w:val="num" w:pos="1440"/>
        </w:tabs>
        <w:ind w:left="1440" w:hanging="360"/>
      </w:pPr>
      <w:rPr>
        <w:rFonts w:ascii="Arial" w:hAnsi="Arial" w:hint="default"/>
      </w:rPr>
    </w:lvl>
    <w:lvl w:ilvl="2" w:tplc="D27A1174" w:tentative="1">
      <w:start w:val="1"/>
      <w:numFmt w:val="bullet"/>
      <w:lvlText w:val="•"/>
      <w:lvlJc w:val="left"/>
      <w:pPr>
        <w:tabs>
          <w:tab w:val="num" w:pos="2160"/>
        </w:tabs>
        <w:ind w:left="2160" w:hanging="360"/>
      </w:pPr>
      <w:rPr>
        <w:rFonts w:ascii="Arial" w:hAnsi="Arial" w:hint="default"/>
      </w:rPr>
    </w:lvl>
    <w:lvl w:ilvl="3" w:tplc="E94A5774" w:tentative="1">
      <w:start w:val="1"/>
      <w:numFmt w:val="bullet"/>
      <w:lvlText w:val="•"/>
      <w:lvlJc w:val="left"/>
      <w:pPr>
        <w:tabs>
          <w:tab w:val="num" w:pos="2880"/>
        </w:tabs>
        <w:ind w:left="2880" w:hanging="360"/>
      </w:pPr>
      <w:rPr>
        <w:rFonts w:ascii="Arial" w:hAnsi="Arial" w:hint="default"/>
      </w:rPr>
    </w:lvl>
    <w:lvl w:ilvl="4" w:tplc="73840390" w:tentative="1">
      <w:start w:val="1"/>
      <w:numFmt w:val="bullet"/>
      <w:lvlText w:val="•"/>
      <w:lvlJc w:val="left"/>
      <w:pPr>
        <w:tabs>
          <w:tab w:val="num" w:pos="3600"/>
        </w:tabs>
        <w:ind w:left="3600" w:hanging="360"/>
      </w:pPr>
      <w:rPr>
        <w:rFonts w:ascii="Arial" w:hAnsi="Arial" w:hint="default"/>
      </w:rPr>
    </w:lvl>
    <w:lvl w:ilvl="5" w:tplc="036A6BCA" w:tentative="1">
      <w:start w:val="1"/>
      <w:numFmt w:val="bullet"/>
      <w:lvlText w:val="•"/>
      <w:lvlJc w:val="left"/>
      <w:pPr>
        <w:tabs>
          <w:tab w:val="num" w:pos="4320"/>
        </w:tabs>
        <w:ind w:left="4320" w:hanging="360"/>
      </w:pPr>
      <w:rPr>
        <w:rFonts w:ascii="Arial" w:hAnsi="Arial" w:hint="default"/>
      </w:rPr>
    </w:lvl>
    <w:lvl w:ilvl="6" w:tplc="7F1CD138" w:tentative="1">
      <w:start w:val="1"/>
      <w:numFmt w:val="bullet"/>
      <w:lvlText w:val="•"/>
      <w:lvlJc w:val="left"/>
      <w:pPr>
        <w:tabs>
          <w:tab w:val="num" w:pos="5040"/>
        </w:tabs>
        <w:ind w:left="5040" w:hanging="360"/>
      </w:pPr>
      <w:rPr>
        <w:rFonts w:ascii="Arial" w:hAnsi="Arial" w:hint="default"/>
      </w:rPr>
    </w:lvl>
    <w:lvl w:ilvl="7" w:tplc="FBF0B4FC" w:tentative="1">
      <w:start w:val="1"/>
      <w:numFmt w:val="bullet"/>
      <w:lvlText w:val="•"/>
      <w:lvlJc w:val="left"/>
      <w:pPr>
        <w:tabs>
          <w:tab w:val="num" w:pos="5760"/>
        </w:tabs>
        <w:ind w:left="5760" w:hanging="360"/>
      </w:pPr>
      <w:rPr>
        <w:rFonts w:ascii="Arial" w:hAnsi="Arial" w:hint="default"/>
      </w:rPr>
    </w:lvl>
    <w:lvl w:ilvl="8" w:tplc="A4B68656" w:tentative="1">
      <w:start w:val="1"/>
      <w:numFmt w:val="bullet"/>
      <w:lvlText w:val="•"/>
      <w:lvlJc w:val="left"/>
      <w:pPr>
        <w:tabs>
          <w:tab w:val="num" w:pos="6480"/>
        </w:tabs>
        <w:ind w:left="6480" w:hanging="360"/>
      </w:pPr>
      <w:rPr>
        <w:rFonts w:ascii="Arial" w:hAnsi="Arial" w:hint="default"/>
      </w:rPr>
    </w:lvl>
  </w:abstractNum>
  <w:abstractNum w:abstractNumId="31">
    <w:nsid w:val="682C3E12"/>
    <w:multiLevelType w:val="hybridMultilevel"/>
    <w:tmpl w:val="DB004306"/>
    <w:lvl w:ilvl="0" w:tplc="B6A694B0">
      <w:start w:val="1"/>
      <w:numFmt w:val="bullet"/>
      <w:lvlText w:val="•"/>
      <w:lvlJc w:val="left"/>
      <w:pPr>
        <w:tabs>
          <w:tab w:val="num" w:pos="720"/>
        </w:tabs>
        <w:ind w:left="720" w:hanging="360"/>
      </w:pPr>
      <w:rPr>
        <w:rFonts w:ascii="Arial" w:hAnsi="Arial" w:hint="default"/>
      </w:rPr>
    </w:lvl>
    <w:lvl w:ilvl="1" w:tplc="C8748082" w:tentative="1">
      <w:start w:val="1"/>
      <w:numFmt w:val="bullet"/>
      <w:lvlText w:val="•"/>
      <w:lvlJc w:val="left"/>
      <w:pPr>
        <w:tabs>
          <w:tab w:val="num" w:pos="1440"/>
        </w:tabs>
        <w:ind w:left="1440" w:hanging="360"/>
      </w:pPr>
      <w:rPr>
        <w:rFonts w:ascii="Arial" w:hAnsi="Arial" w:hint="default"/>
      </w:rPr>
    </w:lvl>
    <w:lvl w:ilvl="2" w:tplc="65224EDA" w:tentative="1">
      <w:start w:val="1"/>
      <w:numFmt w:val="bullet"/>
      <w:lvlText w:val="•"/>
      <w:lvlJc w:val="left"/>
      <w:pPr>
        <w:tabs>
          <w:tab w:val="num" w:pos="2160"/>
        </w:tabs>
        <w:ind w:left="2160" w:hanging="360"/>
      </w:pPr>
      <w:rPr>
        <w:rFonts w:ascii="Arial" w:hAnsi="Arial" w:hint="default"/>
      </w:rPr>
    </w:lvl>
    <w:lvl w:ilvl="3" w:tplc="5DCA8446" w:tentative="1">
      <w:start w:val="1"/>
      <w:numFmt w:val="bullet"/>
      <w:lvlText w:val="•"/>
      <w:lvlJc w:val="left"/>
      <w:pPr>
        <w:tabs>
          <w:tab w:val="num" w:pos="2880"/>
        </w:tabs>
        <w:ind w:left="2880" w:hanging="360"/>
      </w:pPr>
      <w:rPr>
        <w:rFonts w:ascii="Arial" w:hAnsi="Arial" w:hint="default"/>
      </w:rPr>
    </w:lvl>
    <w:lvl w:ilvl="4" w:tplc="DD246CBC" w:tentative="1">
      <w:start w:val="1"/>
      <w:numFmt w:val="bullet"/>
      <w:lvlText w:val="•"/>
      <w:lvlJc w:val="left"/>
      <w:pPr>
        <w:tabs>
          <w:tab w:val="num" w:pos="3600"/>
        </w:tabs>
        <w:ind w:left="3600" w:hanging="360"/>
      </w:pPr>
      <w:rPr>
        <w:rFonts w:ascii="Arial" w:hAnsi="Arial" w:hint="default"/>
      </w:rPr>
    </w:lvl>
    <w:lvl w:ilvl="5" w:tplc="EBF6C49E" w:tentative="1">
      <w:start w:val="1"/>
      <w:numFmt w:val="bullet"/>
      <w:lvlText w:val="•"/>
      <w:lvlJc w:val="left"/>
      <w:pPr>
        <w:tabs>
          <w:tab w:val="num" w:pos="4320"/>
        </w:tabs>
        <w:ind w:left="4320" w:hanging="360"/>
      </w:pPr>
      <w:rPr>
        <w:rFonts w:ascii="Arial" w:hAnsi="Arial" w:hint="default"/>
      </w:rPr>
    </w:lvl>
    <w:lvl w:ilvl="6" w:tplc="6A9C4148" w:tentative="1">
      <w:start w:val="1"/>
      <w:numFmt w:val="bullet"/>
      <w:lvlText w:val="•"/>
      <w:lvlJc w:val="left"/>
      <w:pPr>
        <w:tabs>
          <w:tab w:val="num" w:pos="5040"/>
        </w:tabs>
        <w:ind w:left="5040" w:hanging="360"/>
      </w:pPr>
      <w:rPr>
        <w:rFonts w:ascii="Arial" w:hAnsi="Arial" w:hint="default"/>
      </w:rPr>
    </w:lvl>
    <w:lvl w:ilvl="7" w:tplc="EED4ED2C" w:tentative="1">
      <w:start w:val="1"/>
      <w:numFmt w:val="bullet"/>
      <w:lvlText w:val="•"/>
      <w:lvlJc w:val="left"/>
      <w:pPr>
        <w:tabs>
          <w:tab w:val="num" w:pos="5760"/>
        </w:tabs>
        <w:ind w:left="5760" w:hanging="360"/>
      </w:pPr>
      <w:rPr>
        <w:rFonts w:ascii="Arial" w:hAnsi="Arial" w:hint="default"/>
      </w:rPr>
    </w:lvl>
    <w:lvl w:ilvl="8" w:tplc="305A5D1A" w:tentative="1">
      <w:start w:val="1"/>
      <w:numFmt w:val="bullet"/>
      <w:lvlText w:val="•"/>
      <w:lvlJc w:val="left"/>
      <w:pPr>
        <w:tabs>
          <w:tab w:val="num" w:pos="6480"/>
        </w:tabs>
        <w:ind w:left="6480" w:hanging="360"/>
      </w:pPr>
      <w:rPr>
        <w:rFonts w:ascii="Arial" w:hAnsi="Arial" w:hint="default"/>
      </w:rPr>
    </w:lvl>
  </w:abstractNum>
  <w:abstractNum w:abstractNumId="32">
    <w:nsid w:val="6C7D53F8"/>
    <w:multiLevelType w:val="hybridMultilevel"/>
    <w:tmpl w:val="2880FF28"/>
    <w:lvl w:ilvl="0" w:tplc="6980E700">
      <w:start w:val="1"/>
      <w:numFmt w:val="bullet"/>
      <w:lvlText w:val="•"/>
      <w:lvlJc w:val="left"/>
      <w:pPr>
        <w:tabs>
          <w:tab w:val="num" w:pos="720"/>
        </w:tabs>
        <w:ind w:left="720" w:hanging="360"/>
      </w:pPr>
      <w:rPr>
        <w:rFonts w:ascii="Arial" w:hAnsi="Arial" w:hint="default"/>
      </w:rPr>
    </w:lvl>
    <w:lvl w:ilvl="1" w:tplc="A3C8BDE8" w:tentative="1">
      <w:start w:val="1"/>
      <w:numFmt w:val="bullet"/>
      <w:lvlText w:val="•"/>
      <w:lvlJc w:val="left"/>
      <w:pPr>
        <w:tabs>
          <w:tab w:val="num" w:pos="1440"/>
        </w:tabs>
        <w:ind w:left="1440" w:hanging="360"/>
      </w:pPr>
      <w:rPr>
        <w:rFonts w:ascii="Arial" w:hAnsi="Arial" w:hint="default"/>
      </w:rPr>
    </w:lvl>
    <w:lvl w:ilvl="2" w:tplc="05ACF3AE" w:tentative="1">
      <w:start w:val="1"/>
      <w:numFmt w:val="bullet"/>
      <w:lvlText w:val="•"/>
      <w:lvlJc w:val="left"/>
      <w:pPr>
        <w:tabs>
          <w:tab w:val="num" w:pos="2160"/>
        </w:tabs>
        <w:ind w:left="2160" w:hanging="360"/>
      </w:pPr>
      <w:rPr>
        <w:rFonts w:ascii="Arial" w:hAnsi="Arial" w:hint="default"/>
      </w:rPr>
    </w:lvl>
    <w:lvl w:ilvl="3" w:tplc="E74A8118" w:tentative="1">
      <w:start w:val="1"/>
      <w:numFmt w:val="bullet"/>
      <w:lvlText w:val="•"/>
      <w:lvlJc w:val="left"/>
      <w:pPr>
        <w:tabs>
          <w:tab w:val="num" w:pos="2880"/>
        </w:tabs>
        <w:ind w:left="2880" w:hanging="360"/>
      </w:pPr>
      <w:rPr>
        <w:rFonts w:ascii="Arial" w:hAnsi="Arial" w:hint="default"/>
      </w:rPr>
    </w:lvl>
    <w:lvl w:ilvl="4" w:tplc="19541DE0" w:tentative="1">
      <w:start w:val="1"/>
      <w:numFmt w:val="bullet"/>
      <w:lvlText w:val="•"/>
      <w:lvlJc w:val="left"/>
      <w:pPr>
        <w:tabs>
          <w:tab w:val="num" w:pos="3600"/>
        </w:tabs>
        <w:ind w:left="3600" w:hanging="360"/>
      </w:pPr>
      <w:rPr>
        <w:rFonts w:ascii="Arial" w:hAnsi="Arial" w:hint="default"/>
      </w:rPr>
    </w:lvl>
    <w:lvl w:ilvl="5" w:tplc="9BBAAD06" w:tentative="1">
      <w:start w:val="1"/>
      <w:numFmt w:val="bullet"/>
      <w:lvlText w:val="•"/>
      <w:lvlJc w:val="left"/>
      <w:pPr>
        <w:tabs>
          <w:tab w:val="num" w:pos="4320"/>
        </w:tabs>
        <w:ind w:left="4320" w:hanging="360"/>
      </w:pPr>
      <w:rPr>
        <w:rFonts w:ascii="Arial" w:hAnsi="Arial" w:hint="default"/>
      </w:rPr>
    </w:lvl>
    <w:lvl w:ilvl="6" w:tplc="3E0834B6" w:tentative="1">
      <w:start w:val="1"/>
      <w:numFmt w:val="bullet"/>
      <w:lvlText w:val="•"/>
      <w:lvlJc w:val="left"/>
      <w:pPr>
        <w:tabs>
          <w:tab w:val="num" w:pos="5040"/>
        </w:tabs>
        <w:ind w:left="5040" w:hanging="360"/>
      </w:pPr>
      <w:rPr>
        <w:rFonts w:ascii="Arial" w:hAnsi="Arial" w:hint="default"/>
      </w:rPr>
    </w:lvl>
    <w:lvl w:ilvl="7" w:tplc="B2CA9C66" w:tentative="1">
      <w:start w:val="1"/>
      <w:numFmt w:val="bullet"/>
      <w:lvlText w:val="•"/>
      <w:lvlJc w:val="left"/>
      <w:pPr>
        <w:tabs>
          <w:tab w:val="num" w:pos="5760"/>
        </w:tabs>
        <w:ind w:left="5760" w:hanging="360"/>
      </w:pPr>
      <w:rPr>
        <w:rFonts w:ascii="Arial" w:hAnsi="Arial" w:hint="default"/>
      </w:rPr>
    </w:lvl>
    <w:lvl w:ilvl="8" w:tplc="82DCBF7C" w:tentative="1">
      <w:start w:val="1"/>
      <w:numFmt w:val="bullet"/>
      <w:lvlText w:val="•"/>
      <w:lvlJc w:val="left"/>
      <w:pPr>
        <w:tabs>
          <w:tab w:val="num" w:pos="6480"/>
        </w:tabs>
        <w:ind w:left="6480" w:hanging="360"/>
      </w:pPr>
      <w:rPr>
        <w:rFonts w:ascii="Arial" w:hAnsi="Arial" w:hint="default"/>
      </w:rPr>
    </w:lvl>
  </w:abstractNum>
  <w:abstractNum w:abstractNumId="33">
    <w:nsid w:val="6DF04DB9"/>
    <w:multiLevelType w:val="hybridMultilevel"/>
    <w:tmpl w:val="E5F8E998"/>
    <w:lvl w:ilvl="0" w:tplc="31C48D4A">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0B4059E"/>
    <w:multiLevelType w:val="hybridMultilevel"/>
    <w:tmpl w:val="6AEC3BDC"/>
    <w:lvl w:ilvl="0" w:tplc="F4DC3906">
      <w:start w:val="1"/>
      <w:numFmt w:val="bullet"/>
      <w:lvlText w:val="•"/>
      <w:lvlJc w:val="left"/>
      <w:pPr>
        <w:tabs>
          <w:tab w:val="num" w:pos="720"/>
        </w:tabs>
        <w:ind w:left="720" w:hanging="360"/>
      </w:pPr>
      <w:rPr>
        <w:rFonts w:ascii="Arial" w:hAnsi="Arial" w:hint="default"/>
      </w:rPr>
    </w:lvl>
    <w:lvl w:ilvl="1" w:tplc="2BD62E12" w:tentative="1">
      <w:start w:val="1"/>
      <w:numFmt w:val="bullet"/>
      <w:lvlText w:val="•"/>
      <w:lvlJc w:val="left"/>
      <w:pPr>
        <w:tabs>
          <w:tab w:val="num" w:pos="1440"/>
        </w:tabs>
        <w:ind w:left="1440" w:hanging="360"/>
      </w:pPr>
      <w:rPr>
        <w:rFonts w:ascii="Arial" w:hAnsi="Arial" w:hint="default"/>
      </w:rPr>
    </w:lvl>
    <w:lvl w:ilvl="2" w:tplc="EB42F4F6" w:tentative="1">
      <w:start w:val="1"/>
      <w:numFmt w:val="bullet"/>
      <w:lvlText w:val="•"/>
      <w:lvlJc w:val="left"/>
      <w:pPr>
        <w:tabs>
          <w:tab w:val="num" w:pos="2160"/>
        </w:tabs>
        <w:ind w:left="2160" w:hanging="360"/>
      </w:pPr>
      <w:rPr>
        <w:rFonts w:ascii="Arial" w:hAnsi="Arial" w:hint="default"/>
      </w:rPr>
    </w:lvl>
    <w:lvl w:ilvl="3" w:tplc="3CF28954" w:tentative="1">
      <w:start w:val="1"/>
      <w:numFmt w:val="bullet"/>
      <w:lvlText w:val="•"/>
      <w:lvlJc w:val="left"/>
      <w:pPr>
        <w:tabs>
          <w:tab w:val="num" w:pos="2880"/>
        </w:tabs>
        <w:ind w:left="2880" w:hanging="360"/>
      </w:pPr>
      <w:rPr>
        <w:rFonts w:ascii="Arial" w:hAnsi="Arial" w:hint="default"/>
      </w:rPr>
    </w:lvl>
    <w:lvl w:ilvl="4" w:tplc="DBF043B6" w:tentative="1">
      <w:start w:val="1"/>
      <w:numFmt w:val="bullet"/>
      <w:lvlText w:val="•"/>
      <w:lvlJc w:val="left"/>
      <w:pPr>
        <w:tabs>
          <w:tab w:val="num" w:pos="3600"/>
        </w:tabs>
        <w:ind w:left="3600" w:hanging="360"/>
      </w:pPr>
      <w:rPr>
        <w:rFonts w:ascii="Arial" w:hAnsi="Arial" w:hint="default"/>
      </w:rPr>
    </w:lvl>
    <w:lvl w:ilvl="5" w:tplc="1070FB84" w:tentative="1">
      <w:start w:val="1"/>
      <w:numFmt w:val="bullet"/>
      <w:lvlText w:val="•"/>
      <w:lvlJc w:val="left"/>
      <w:pPr>
        <w:tabs>
          <w:tab w:val="num" w:pos="4320"/>
        </w:tabs>
        <w:ind w:left="4320" w:hanging="360"/>
      </w:pPr>
      <w:rPr>
        <w:rFonts w:ascii="Arial" w:hAnsi="Arial" w:hint="default"/>
      </w:rPr>
    </w:lvl>
    <w:lvl w:ilvl="6" w:tplc="C3366114" w:tentative="1">
      <w:start w:val="1"/>
      <w:numFmt w:val="bullet"/>
      <w:lvlText w:val="•"/>
      <w:lvlJc w:val="left"/>
      <w:pPr>
        <w:tabs>
          <w:tab w:val="num" w:pos="5040"/>
        </w:tabs>
        <w:ind w:left="5040" w:hanging="360"/>
      </w:pPr>
      <w:rPr>
        <w:rFonts w:ascii="Arial" w:hAnsi="Arial" w:hint="default"/>
      </w:rPr>
    </w:lvl>
    <w:lvl w:ilvl="7" w:tplc="A2563F98" w:tentative="1">
      <w:start w:val="1"/>
      <w:numFmt w:val="bullet"/>
      <w:lvlText w:val="•"/>
      <w:lvlJc w:val="left"/>
      <w:pPr>
        <w:tabs>
          <w:tab w:val="num" w:pos="5760"/>
        </w:tabs>
        <w:ind w:left="5760" w:hanging="360"/>
      </w:pPr>
      <w:rPr>
        <w:rFonts w:ascii="Arial" w:hAnsi="Arial" w:hint="default"/>
      </w:rPr>
    </w:lvl>
    <w:lvl w:ilvl="8" w:tplc="FFDE8C20" w:tentative="1">
      <w:start w:val="1"/>
      <w:numFmt w:val="bullet"/>
      <w:lvlText w:val="•"/>
      <w:lvlJc w:val="left"/>
      <w:pPr>
        <w:tabs>
          <w:tab w:val="num" w:pos="6480"/>
        </w:tabs>
        <w:ind w:left="6480" w:hanging="360"/>
      </w:pPr>
      <w:rPr>
        <w:rFonts w:ascii="Arial" w:hAnsi="Arial" w:hint="default"/>
      </w:rPr>
    </w:lvl>
  </w:abstractNum>
  <w:abstractNum w:abstractNumId="35">
    <w:nsid w:val="78F052A6"/>
    <w:multiLevelType w:val="hybridMultilevel"/>
    <w:tmpl w:val="E4A41412"/>
    <w:lvl w:ilvl="0" w:tplc="5456F2AC">
      <w:start w:val="1"/>
      <w:numFmt w:val="bullet"/>
      <w:lvlText w:val="•"/>
      <w:lvlJc w:val="left"/>
      <w:pPr>
        <w:tabs>
          <w:tab w:val="num" w:pos="720"/>
        </w:tabs>
        <w:ind w:left="720" w:hanging="360"/>
      </w:pPr>
      <w:rPr>
        <w:rFonts w:ascii="Arial" w:hAnsi="Arial" w:hint="default"/>
      </w:rPr>
    </w:lvl>
    <w:lvl w:ilvl="1" w:tplc="7932D8BE" w:tentative="1">
      <w:start w:val="1"/>
      <w:numFmt w:val="bullet"/>
      <w:lvlText w:val="•"/>
      <w:lvlJc w:val="left"/>
      <w:pPr>
        <w:tabs>
          <w:tab w:val="num" w:pos="1440"/>
        </w:tabs>
        <w:ind w:left="1440" w:hanging="360"/>
      </w:pPr>
      <w:rPr>
        <w:rFonts w:ascii="Arial" w:hAnsi="Arial" w:hint="default"/>
      </w:rPr>
    </w:lvl>
    <w:lvl w:ilvl="2" w:tplc="8852257A" w:tentative="1">
      <w:start w:val="1"/>
      <w:numFmt w:val="bullet"/>
      <w:lvlText w:val="•"/>
      <w:lvlJc w:val="left"/>
      <w:pPr>
        <w:tabs>
          <w:tab w:val="num" w:pos="2160"/>
        </w:tabs>
        <w:ind w:left="2160" w:hanging="360"/>
      </w:pPr>
      <w:rPr>
        <w:rFonts w:ascii="Arial" w:hAnsi="Arial" w:hint="default"/>
      </w:rPr>
    </w:lvl>
    <w:lvl w:ilvl="3" w:tplc="3BBAC7D0" w:tentative="1">
      <w:start w:val="1"/>
      <w:numFmt w:val="bullet"/>
      <w:lvlText w:val="•"/>
      <w:lvlJc w:val="left"/>
      <w:pPr>
        <w:tabs>
          <w:tab w:val="num" w:pos="2880"/>
        </w:tabs>
        <w:ind w:left="2880" w:hanging="360"/>
      </w:pPr>
      <w:rPr>
        <w:rFonts w:ascii="Arial" w:hAnsi="Arial" w:hint="default"/>
      </w:rPr>
    </w:lvl>
    <w:lvl w:ilvl="4" w:tplc="F418E9E4" w:tentative="1">
      <w:start w:val="1"/>
      <w:numFmt w:val="bullet"/>
      <w:lvlText w:val="•"/>
      <w:lvlJc w:val="left"/>
      <w:pPr>
        <w:tabs>
          <w:tab w:val="num" w:pos="3600"/>
        </w:tabs>
        <w:ind w:left="3600" w:hanging="360"/>
      </w:pPr>
      <w:rPr>
        <w:rFonts w:ascii="Arial" w:hAnsi="Arial" w:hint="default"/>
      </w:rPr>
    </w:lvl>
    <w:lvl w:ilvl="5" w:tplc="7B9EBE4E" w:tentative="1">
      <w:start w:val="1"/>
      <w:numFmt w:val="bullet"/>
      <w:lvlText w:val="•"/>
      <w:lvlJc w:val="left"/>
      <w:pPr>
        <w:tabs>
          <w:tab w:val="num" w:pos="4320"/>
        </w:tabs>
        <w:ind w:left="4320" w:hanging="360"/>
      </w:pPr>
      <w:rPr>
        <w:rFonts w:ascii="Arial" w:hAnsi="Arial" w:hint="default"/>
      </w:rPr>
    </w:lvl>
    <w:lvl w:ilvl="6" w:tplc="4B2059D0" w:tentative="1">
      <w:start w:val="1"/>
      <w:numFmt w:val="bullet"/>
      <w:lvlText w:val="•"/>
      <w:lvlJc w:val="left"/>
      <w:pPr>
        <w:tabs>
          <w:tab w:val="num" w:pos="5040"/>
        </w:tabs>
        <w:ind w:left="5040" w:hanging="360"/>
      </w:pPr>
      <w:rPr>
        <w:rFonts w:ascii="Arial" w:hAnsi="Arial" w:hint="default"/>
      </w:rPr>
    </w:lvl>
    <w:lvl w:ilvl="7" w:tplc="0BD6825C" w:tentative="1">
      <w:start w:val="1"/>
      <w:numFmt w:val="bullet"/>
      <w:lvlText w:val="•"/>
      <w:lvlJc w:val="left"/>
      <w:pPr>
        <w:tabs>
          <w:tab w:val="num" w:pos="5760"/>
        </w:tabs>
        <w:ind w:left="5760" w:hanging="360"/>
      </w:pPr>
      <w:rPr>
        <w:rFonts w:ascii="Arial" w:hAnsi="Arial" w:hint="default"/>
      </w:rPr>
    </w:lvl>
    <w:lvl w:ilvl="8" w:tplc="A0F07F78" w:tentative="1">
      <w:start w:val="1"/>
      <w:numFmt w:val="bullet"/>
      <w:lvlText w:val="•"/>
      <w:lvlJc w:val="left"/>
      <w:pPr>
        <w:tabs>
          <w:tab w:val="num" w:pos="6480"/>
        </w:tabs>
        <w:ind w:left="6480" w:hanging="360"/>
      </w:pPr>
      <w:rPr>
        <w:rFonts w:ascii="Arial" w:hAnsi="Arial" w:hint="default"/>
      </w:rPr>
    </w:lvl>
  </w:abstractNum>
  <w:abstractNum w:abstractNumId="36">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7F1E7D7F"/>
    <w:multiLevelType w:val="hybridMultilevel"/>
    <w:tmpl w:val="79C4DE12"/>
    <w:lvl w:ilvl="0" w:tplc="040B0005">
      <w:start w:val="1"/>
      <w:numFmt w:val="bullet"/>
      <w:lvlText w:val=""/>
      <w:lvlJc w:val="left"/>
      <w:pPr>
        <w:ind w:left="420" w:hanging="420"/>
      </w:pPr>
      <w:rPr>
        <w:rFonts w:ascii="Wingdings" w:hAnsi="Wingdings" w:hint="default"/>
      </w:rPr>
    </w:lvl>
    <w:lvl w:ilvl="1" w:tplc="08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10"/>
  </w:num>
  <w:num w:numId="2">
    <w:abstractNumId w:val="6"/>
  </w:num>
  <w:num w:numId="3">
    <w:abstractNumId w:val="24"/>
  </w:num>
  <w:num w:numId="4">
    <w:abstractNumId w:val="15"/>
  </w:num>
  <w:num w:numId="5">
    <w:abstractNumId w:val="22"/>
  </w:num>
  <w:num w:numId="6">
    <w:abstractNumId w:val="17"/>
  </w:num>
  <w:num w:numId="7">
    <w:abstractNumId w:val="23"/>
  </w:num>
  <w:num w:numId="8">
    <w:abstractNumId w:val="12"/>
  </w:num>
  <w:num w:numId="9">
    <w:abstractNumId w:val="12"/>
  </w:num>
  <w:num w:numId="10">
    <w:abstractNumId w:val="36"/>
  </w:num>
  <w:num w:numId="11">
    <w:abstractNumId w:val="33"/>
  </w:num>
  <w:num w:numId="12">
    <w:abstractNumId w:val="6"/>
  </w:num>
  <w:num w:numId="13">
    <w:abstractNumId w:val="25"/>
  </w:num>
  <w:num w:numId="14">
    <w:abstractNumId w:val="28"/>
  </w:num>
  <w:num w:numId="15">
    <w:abstractNumId w:val="37"/>
  </w:num>
  <w:num w:numId="16">
    <w:abstractNumId w:val="2"/>
  </w:num>
  <w:num w:numId="17">
    <w:abstractNumId w:val="20"/>
  </w:num>
  <w:num w:numId="18">
    <w:abstractNumId w:val="5"/>
  </w:num>
  <w:num w:numId="19">
    <w:abstractNumId w:val="35"/>
  </w:num>
  <w:num w:numId="20">
    <w:abstractNumId w:val="13"/>
  </w:num>
  <w:num w:numId="21">
    <w:abstractNumId w:val="3"/>
  </w:num>
  <w:num w:numId="22">
    <w:abstractNumId w:val="1"/>
  </w:num>
  <w:num w:numId="23">
    <w:abstractNumId w:val="29"/>
  </w:num>
  <w:num w:numId="24">
    <w:abstractNumId w:val="16"/>
  </w:num>
  <w:num w:numId="25">
    <w:abstractNumId w:val="34"/>
  </w:num>
  <w:num w:numId="26">
    <w:abstractNumId w:val="14"/>
  </w:num>
  <w:num w:numId="27">
    <w:abstractNumId w:val="31"/>
  </w:num>
  <w:num w:numId="28">
    <w:abstractNumId w:val="30"/>
  </w:num>
  <w:num w:numId="29">
    <w:abstractNumId w:val="18"/>
  </w:num>
  <w:num w:numId="30">
    <w:abstractNumId w:val="0"/>
  </w:num>
  <w:num w:numId="31">
    <w:abstractNumId w:val="9"/>
  </w:num>
  <w:num w:numId="32">
    <w:abstractNumId w:val="7"/>
  </w:num>
  <w:num w:numId="33">
    <w:abstractNumId w:val="21"/>
  </w:num>
  <w:num w:numId="34">
    <w:abstractNumId w:val="26"/>
  </w:num>
  <w:num w:numId="35">
    <w:abstractNumId w:val="19"/>
  </w:num>
  <w:num w:numId="36">
    <w:abstractNumId w:val="32"/>
  </w:num>
  <w:num w:numId="37">
    <w:abstractNumId w:val="27"/>
  </w:num>
  <w:num w:numId="38">
    <w:abstractNumId w:val="4"/>
  </w:num>
  <w:num w:numId="39">
    <w:abstractNumId w:val="11"/>
  </w:num>
  <w:num w:numId="4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F50"/>
    <w:rsid w:val="00005D59"/>
    <w:rsid w:val="0001112E"/>
    <w:rsid w:val="00012E3B"/>
    <w:rsid w:val="00015E44"/>
    <w:rsid w:val="00016D48"/>
    <w:rsid w:val="00041A18"/>
    <w:rsid w:val="0004622B"/>
    <w:rsid w:val="00064E05"/>
    <w:rsid w:val="00067793"/>
    <w:rsid w:val="00080D4D"/>
    <w:rsid w:val="00082DD7"/>
    <w:rsid w:val="00095620"/>
    <w:rsid w:val="000A3940"/>
    <w:rsid w:val="000B6D45"/>
    <w:rsid w:val="000C028F"/>
    <w:rsid w:val="000C78BA"/>
    <w:rsid w:val="000D1710"/>
    <w:rsid w:val="000D43BB"/>
    <w:rsid w:val="000E3E4D"/>
    <w:rsid w:val="000E42F5"/>
    <w:rsid w:val="000F0594"/>
    <w:rsid w:val="000F0CA8"/>
    <w:rsid w:val="000F24F5"/>
    <w:rsid w:val="000F2ED9"/>
    <w:rsid w:val="001006CA"/>
    <w:rsid w:val="00100F8B"/>
    <w:rsid w:val="00102172"/>
    <w:rsid w:val="00110652"/>
    <w:rsid w:val="001526A2"/>
    <w:rsid w:val="00154F16"/>
    <w:rsid w:val="00156314"/>
    <w:rsid w:val="00172B28"/>
    <w:rsid w:val="00183FE0"/>
    <w:rsid w:val="0018553F"/>
    <w:rsid w:val="001A01CA"/>
    <w:rsid w:val="001B0583"/>
    <w:rsid w:val="001C30A8"/>
    <w:rsid w:val="001F650B"/>
    <w:rsid w:val="0020079A"/>
    <w:rsid w:val="00211FA9"/>
    <w:rsid w:val="00222F9E"/>
    <w:rsid w:val="002302A9"/>
    <w:rsid w:val="00231A0F"/>
    <w:rsid w:val="00232594"/>
    <w:rsid w:val="002376BE"/>
    <w:rsid w:val="00263FFB"/>
    <w:rsid w:val="00265F50"/>
    <w:rsid w:val="00274F84"/>
    <w:rsid w:val="0027787F"/>
    <w:rsid w:val="0028060B"/>
    <w:rsid w:val="0028120C"/>
    <w:rsid w:val="00283417"/>
    <w:rsid w:val="00295827"/>
    <w:rsid w:val="00295F16"/>
    <w:rsid w:val="00296C44"/>
    <w:rsid w:val="002A033F"/>
    <w:rsid w:val="002B10D7"/>
    <w:rsid w:val="002B6420"/>
    <w:rsid w:val="002C6DC3"/>
    <w:rsid w:val="002D1FA9"/>
    <w:rsid w:val="002D50A3"/>
    <w:rsid w:val="002E0308"/>
    <w:rsid w:val="002F70E6"/>
    <w:rsid w:val="003007C0"/>
    <w:rsid w:val="00307A79"/>
    <w:rsid w:val="003204D5"/>
    <w:rsid w:val="00320ED0"/>
    <w:rsid w:val="0032246B"/>
    <w:rsid w:val="00322E6A"/>
    <w:rsid w:val="003314A0"/>
    <w:rsid w:val="00381169"/>
    <w:rsid w:val="0038287C"/>
    <w:rsid w:val="0038358E"/>
    <w:rsid w:val="00387DDE"/>
    <w:rsid w:val="00391A01"/>
    <w:rsid w:val="003A0EB5"/>
    <w:rsid w:val="003A5711"/>
    <w:rsid w:val="003C64D9"/>
    <w:rsid w:val="003E2E42"/>
    <w:rsid w:val="003E70E0"/>
    <w:rsid w:val="00403CE6"/>
    <w:rsid w:val="004110CA"/>
    <w:rsid w:val="0041160E"/>
    <w:rsid w:val="0042761F"/>
    <w:rsid w:val="00431162"/>
    <w:rsid w:val="00441EE0"/>
    <w:rsid w:val="00443482"/>
    <w:rsid w:val="00450308"/>
    <w:rsid w:val="00457AD1"/>
    <w:rsid w:val="0046427F"/>
    <w:rsid w:val="00485665"/>
    <w:rsid w:val="00491977"/>
    <w:rsid w:val="004A1329"/>
    <w:rsid w:val="004C1A87"/>
    <w:rsid w:val="004C4A2E"/>
    <w:rsid w:val="004E057E"/>
    <w:rsid w:val="004E0FE6"/>
    <w:rsid w:val="004E44C8"/>
    <w:rsid w:val="004E53BE"/>
    <w:rsid w:val="004E7F82"/>
    <w:rsid w:val="004F3EA9"/>
    <w:rsid w:val="00501992"/>
    <w:rsid w:val="005026AC"/>
    <w:rsid w:val="00510AE7"/>
    <w:rsid w:val="00520EFD"/>
    <w:rsid w:val="0053062A"/>
    <w:rsid w:val="00535050"/>
    <w:rsid w:val="00536F3C"/>
    <w:rsid w:val="0054260E"/>
    <w:rsid w:val="00550D79"/>
    <w:rsid w:val="005559AC"/>
    <w:rsid w:val="00555FB3"/>
    <w:rsid w:val="00557B5A"/>
    <w:rsid w:val="005611D0"/>
    <w:rsid w:val="00566BD4"/>
    <w:rsid w:val="00576411"/>
    <w:rsid w:val="00577CAF"/>
    <w:rsid w:val="00580223"/>
    <w:rsid w:val="00594186"/>
    <w:rsid w:val="005A05D1"/>
    <w:rsid w:val="005A53B8"/>
    <w:rsid w:val="005B202B"/>
    <w:rsid w:val="005C10EB"/>
    <w:rsid w:val="005C2301"/>
    <w:rsid w:val="005C5A96"/>
    <w:rsid w:val="005D371D"/>
    <w:rsid w:val="005E7495"/>
    <w:rsid w:val="00621C12"/>
    <w:rsid w:val="00623CFA"/>
    <w:rsid w:val="00623E18"/>
    <w:rsid w:val="00625C5D"/>
    <w:rsid w:val="00635A22"/>
    <w:rsid w:val="006378B0"/>
    <w:rsid w:val="00642083"/>
    <w:rsid w:val="0065550D"/>
    <w:rsid w:val="00664295"/>
    <w:rsid w:val="00665364"/>
    <w:rsid w:val="00667B35"/>
    <w:rsid w:val="006713EB"/>
    <w:rsid w:val="00673A9B"/>
    <w:rsid w:val="006844D6"/>
    <w:rsid w:val="006876A8"/>
    <w:rsid w:val="006A3B77"/>
    <w:rsid w:val="006A49E3"/>
    <w:rsid w:val="006B1EFD"/>
    <w:rsid w:val="006C14E4"/>
    <w:rsid w:val="006C6DA8"/>
    <w:rsid w:val="006C7F61"/>
    <w:rsid w:val="006D407F"/>
    <w:rsid w:val="006F0442"/>
    <w:rsid w:val="00707C20"/>
    <w:rsid w:val="00714F0F"/>
    <w:rsid w:val="007160BE"/>
    <w:rsid w:val="00722F65"/>
    <w:rsid w:val="007257CD"/>
    <w:rsid w:val="00734A4F"/>
    <w:rsid w:val="007414C6"/>
    <w:rsid w:val="00744EDF"/>
    <w:rsid w:val="007529AB"/>
    <w:rsid w:val="00762BCC"/>
    <w:rsid w:val="00763BA3"/>
    <w:rsid w:val="00765B66"/>
    <w:rsid w:val="00767BB2"/>
    <w:rsid w:val="0077159C"/>
    <w:rsid w:val="00776D23"/>
    <w:rsid w:val="00780376"/>
    <w:rsid w:val="00780EE3"/>
    <w:rsid w:val="00791AAC"/>
    <w:rsid w:val="00797D4C"/>
    <w:rsid w:val="00797DEE"/>
    <w:rsid w:val="007C0E7E"/>
    <w:rsid w:val="007C4098"/>
    <w:rsid w:val="007D17C5"/>
    <w:rsid w:val="007D52EC"/>
    <w:rsid w:val="007E1A57"/>
    <w:rsid w:val="007F1CEE"/>
    <w:rsid w:val="00807C77"/>
    <w:rsid w:val="00823E83"/>
    <w:rsid w:val="00837537"/>
    <w:rsid w:val="00842766"/>
    <w:rsid w:val="00854EBF"/>
    <w:rsid w:val="0086094D"/>
    <w:rsid w:val="0086731C"/>
    <w:rsid w:val="00872382"/>
    <w:rsid w:val="00886906"/>
    <w:rsid w:val="008912FE"/>
    <w:rsid w:val="008A245D"/>
    <w:rsid w:val="008A54FC"/>
    <w:rsid w:val="008B70CD"/>
    <w:rsid w:val="008D141C"/>
    <w:rsid w:val="008D2C13"/>
    <w:rsid w:val="008E5A70"/>
    <w:rsid w:val="008E6109"/>
    <w:rsid w:val="008F47AB"/>
    <w:rsid w:val="00907A34"/>
    <w:rsid w:val="009170EA"/>
    <w:rsid w:val="0092076F"/>
    <w:rsid w:val="00930439"/>
    <w:rsid w:val="00937AEB"/>
    <w:rsid w:val="009662E3"/>
    <w:rsid w:val="00966DD9"/>
    <w:rsid w:val="00986677"/>
    <w:rsid w:val="0099421C"/>
    <w:rsid w:val="009A2F3A"/>
    <w:rsid w:val="009A7A45"/>
    <w:rsid w:val="009C3803"/>
    <w:rsid w:val="009D2C13"/>
    <w:rsid w:val="009D3BA5"/>
    <w:rsid w:val="009D4BA1"/>
    <w:rsid w:val="009D7D5A"/>
    <w:rsid w:val="009E47EB"/>
    <w:rsid w:val="009F3A37"/>
    <w:rsid w:val="009F6EA2"/>
    <w:rsid w:val="00A02090"/>
    <w:rsid w:val="00A03731"/>
    <w:rsid w:val="00A061CE"/>
    <w:rsid w:val="00A076B5"/>
    <w:rsid w:val="00A17F69"/>
    <w:rsid w:val="00A23870"/>
    <w:rsid w:val="00A274DB"/>
    <w:rsid w:val="00A41E1E"/>
    <w:rsid w:val="00A6411D"/>
    <w:rsid w:val="00A673EB"/>
    <w:rsid w:val="00A73298"/>
    <w:rsid w:val="00A751C0"/>
    <w:rsid w:val="00A95ACB"/>
    <w:rsid w:val="00A97942"/>
    <w:rsid w:val="00AA079B"/>
    <w:rsid w:val="00AA086A"/>
    <w:rsid w:val="00AC0EA5"/>
    <w:rsid w:val="00AC2686"/>
    <w:rsid w:val="00AD1BE1"/>
    <w:rsid w:val="00AD7257"/>
    <w:rsid w:val="00AE673B"/>
    <w:rsid w:val="00AF0889"/>
    <w:rsid w:val="00AF2D0C"/>
    <w:rsid w:val="00AF4545"/>
    <w:rsid w:val="00AF4C0E"/>
    <w:rsid w:val="00B14E5E"/>
    <w:rsid w:val="00B25910"/>
    <w:rsid w:val="00B26973"/>
    <w:rsid w:val="00B30D3B"/>
    <w:rsid w:val="00B432D4"/>
    <w:rsid w:val="00B5315C"/>
    <w:rsid w:val="00B576D7"/>
    <w:rsid w:val="00B80892"/>
    <w:rsid w:val="00B82735"/>
    <w:rsid w:val="00B92306"/>
    <w:rsid w:val="00B92861"/>
    <w:rsid w:val="00B97E85"/>
    <w:rsid w:val="00BA1DD7"/>
    <w:rsid w:val="00BA20D6"/>
    <w:rsid w:val="00BA7A69"/>
    <w:rsid w:val="00BB15E2"/>
    <w:rsid w:val="00BD0F15"/>
    <w:rsid w:val="00BD28DF"/>
    <w:rsid w:val="00BD6876"/>
    <w:rsid w:val="00BE2864"/>
    <w:rsid w:val="00C00565"/>
    <w:rsid w:val="00C076BF"/>
    <w:rsid w:val="00C1181A"/>
    <w:rsid w:val="00C212B5"/>
    <w:rsid w:val="00C2287A"/>
    <w:rsid w:val="00C25F81"/>
    <w:rsid w:val="00C27F02"/>
    <w:rsid w:val="00C32C20"/>
    <w:rsid w:val="00C44908"/>
    <w:rsid w:val="00C504F4"/>
    <w:rsid w:val="00C512DE"/>
    <w:rsid w:val="00C57E85"/>
    <w:rsid w:val="00C65BB4"/>
    <w:rsid w:val="00C8071C"/>
    <w:rsid w:val="00C816CB"/>
    <w:rsid w:val="00C82461"/>
    <w:rsid w:val="00C91E3B"/>
    <w:rsid w:val="00CA07CC"/>
    <w:rsid w:val="00CA25B5"/>
    <w:rsid w:val="00CA4FCE"/>
    <w:rsid w:val="00CA5F8F"/>
    <w:rsid w:val="00CC5A6F"/>
    <w:rsid w:val="00CC774C"/>
    <w:rsid w:val="00CD07E7"/>
    <w:rsid w:val="00CE271A"/>
    <w:rsid w:val="00CE6FF5"/>
    <w:rsid w:val="00CF5245"/>
    <w:rsid w:val="00D06683"/>
    <w:rsid w:val="00D07B1A"/>
    <w:rsid w:val="00D1101B"/>
    <w:rsid w:val="00D1167E"/>
    <w:rsid w:val="00D234E7"/>
    <w:rsid w:val="00D30E46"/>
    <w:rsid w:val="00D3663D"/>
    <w:rsid w:val="00D4349F"/>
    <w:rsid w:val="00D47EF6"/>
    <w:rsid w:val="00D50AC8"/>
    <w:rsid w:val="00D60A44"/>
    <w:rsid w:val="00D640BE"/>
    <w:rsid w:val="00D7390F"/>
    <w:rsid w:val="00D74F04"/>
    <w:rsid w:val="00D90913"/>
    <w:rsid w:val="00D92BEC"/>
    <w:rsid w:val="00DA18F2"/>
    <w:rsid w:val="00DB17F9"/>
    <w:rsid w:val="00DD5136"/>
    <w:rsid w:val="00DD6973"/>
    <w:rsid w:val="00DE0F7D"/>
    <w:rsid w:val="00DF2C67"/>
    <w:rsid w:val="00DF3AE2"/>
    <w:rsid w:val="00DF7D21"/>
    <w:rsid w:val="00E03771"/>
    <w:rsid w:val="00E059C5"/>
    <w:rsid w:val="00E07DB5"/>
    <w:rsid w:val="00E11D7E"/>
    <w:rsid w:val="00E14334"/>
    <w:rsid w:val="00E2303A"/>
    <w:rsid w:val="00E343BD"/>
    <w:rsid w:val="00E348D9"/>
    <w:rsid w:val="00E36601"/>
    <w:rsid w:val="00E46600"/>
    <w:rsid w:val="00E60351"/>
    <w:rsid w:val="00E668CE"/>
    <w:rsid w:val="00E71AE7"/>
    <w:rsid w:val="00E752E6"/>
    <w:rsid w:val="00E94D84"/>
    <w:rsid w:val="00EA2ED5"/>
    <w:rsid w:val="00EA6088"/>
    <w:rsid w:val="00EC1A2C"/>
    <w:rsid w:val="00ED2C10"/>
    <w:rsid w:val="00F11542"/>
    <w:rsid w:val="00F212EB"/>
    <w:rsid w:val="00F23D13"/>
    <w:rsid w:val="00F32DEC"/>
    <w:rsid w:val="00F43E24"/>
    <w:rsid w:val="00F45561"/>
    <w:rsid w:val="00F465D3"/>
    <w:rsid w:val="00F51BD6"/>
    <w:rsid w:val="00F52BD0"/>
    <w:rsid w:val="00F56F06"/>
    <w:rsid w:val="00F56F62"/>
    <w:rsid w:val="00F62D48"/>
    <w:rsid w:val="00F73815"/>
    <w:rsid w:val="00F7770D"/>
    <w:rsid w:val="00F905E7"/>
    <w:rsid w:val="00F91FDD"/>
    <w:rsid w:val="00F93115"/>
    <w:rsid w:val="00FA4E32"/>
    <w:rsid w:val="00FA5792"/>
    <w:rsid w:val="00FB04BE"/>
    <w:rsid w:val="00FB200D"/>
    <w:rsid w:val="00FB3571"/>
    <w:rsid w:val="00FB4F1D"/>
    <w:rsid w:val="00FE7EEC"/>
    <w:rsid w:val="00FF0E5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header" w:uiPriority="0"/>
    <w:lsdException w:name="caption" w:locked="0" w:uiPriority="0" w:qFormat="1"/>
    <w:lsdException w:name="footnote reference" w:locked="0" w:uiPriority="0"/>
    <w:lsdException w:name="Title" w:uiPriority="10" w:unhideWhenUsed="0" w:qFormat="1"/>
    <w:lsdException w:name="Default Paragraph Font" w:locked="0" w:uiPriority="1"/>
    <w:lsdException w:name="Subtitle" w:uiPriority="11" w:unhideWhenUsed="0" w:qFormat="1"/>
    <w:lsdException w:name="Hyperlink" w:locked="0"/>
    <w:lsdException w:name="Strong"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unhideWhenUsed="0" w:qFormat="1"/>
    <w:lsdException w:name="Intense Emphasis" w:uiPriority="21" w:unhideWhenUsed="0" w:qFormat="1"/>
    <w:lsdException w:name="Subtle Reference" w:uiPriority="31" w:unhideWhenUsed="0" w:qFormat="1"/>
    <w:lsdException w:name="Intense Reference" w:uiPriority="0" w:unhideWhenUsed="0"/>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ind w:left="431" w:hanging="431"/>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contextualSpacing/>
    </w:pPr>
  </w:style>
  <w:style w:type="paragraph" w:styleId="Header">
    <w:name w:val="header"/>
    <w:basedOn w:val="Normal"/>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customStyle="1" w:styleId="Header1">
    <w:name w:val="Header1"/>
    <w:basedOn w:val="Header"/>
    <w:link w:val="HeaderZchnZchn"/>
    <w:rsid w:val="006378B0"/>
    <w:pPr>
      <w:tabs>
        <w:tab w:val="clear" w:pos="4320"/>
        <w:tab w:val="clear" w:pos="8640"/>
        <w:tab w:val="center" w:pos="4536"/>
        <w:tab w:val="right" w:pos="9072"/>
      </w:tabs>
      <w:spacing w:before="60" w:after="0"/>
      <w:jc w:val="left"/>
    </w:pPr>
    <w:rPr>
      <w:rFonts w:eastAsia="Times New Roman"/>
      <w:sz w:val="22"/>
      <w:szCs w:val="20"/>
      <w:lang w:eastAsia="x-none"/>
    </w:rPr>
  </w:style>
  <w:style w:type="character" w:customStyle="1" w:styleId="HeaderZchnZchn">
    <w:name w:val="Header Zchn Zchn"/>
    <w:link w:val="Header1"/>
    <w:rsid w:val="006378B0"/>
    <w:rPr>
      <w:b/>
      <w:sz w:val="22"/>
      <w:lang w:val="en-GB" w:eastAsia="x-none"/>
    </w:rPr>
  </w:style>
  <w:style w:type="paragraph" w:styleId="NormalWeb">
    <w:name w:val="Normal (Web)"/>
    <w:basedOn w:val="Normal"/>
    <w:uiPriority w:val="99"/>
    <w:unhideWhenUsed/>
    <w:locked/>
    <w:rsid w:val="00AF4545"/>
    <w:pPr>
      <w:spacing w:before="100" w:beforeAutospacing="1" w:after="100" w:afterAutospacing="1"/>
      <w:jc w:val="left"/>
    </w:pPr>
    <w:rPr>
      <w:rFonts w:ascii="Times New Roman" w:eastAsia="Times New Roman" w:hAnsi="Times New Roman"/>
      <w:sz w:val="24"/>
      <w:szCs w:val="24"/>
      <w:lang w:val="da-DK" w:eastAsia="da-DK"/>
    </w:rPr>
  </w:style>
  <w:style w:type="character" w:styleId="CommentReference">
    <w:name w:val="annotation reference"/>
    <w:basedOn w:val="DefaultParagraphFont"/>
    <w:uiPriority w:val="99"/>
    <w:semiHidden/>
    <w:unhideWhenUsed/>
    <w:locked/>
    <w:rsid w:val="00232594"/>
    <w:rPr>
      <w:sz w:val="16"/>
      <w:szCs w:val="16"/>
    </w:rPr>
  </w:style>
  <w:style w:type="paragraph" w:styleId="CommentText">
    <w:name w:val="annotation text"/>
    <w:basedOn w:val="Normal"/>
    <w:link w:val="CommentTextChar"/>
    <w:uiPriority w:val="99"/>
    <w:semiHidden/>
    <w:unhideWhenUsed/>
    <w:locked/>
    <w:rsid w:val="00232594"/>
    <w:rPr>
      <w:szCs w:val="20"/>
    </w:rPr>
  </w:style>
  <w:style w:type="character" w:customStyle="1" w:styleId="CommentTextChar">
    <w:name w:val="Comment Text Char"/>
    <w:basedOn w:val="DefaultParagraphFont"/>
    <w:link w:val="CommentText"/>
    <w:uiPriority w:val="99"/>
    <w:semiHidden/>
    <w:rsid w:val="00232594"/>
    <w:rPr>
      <w:rFonts w:eastAsia="Calibri"/>
      <w:lang w:val="en-GB"/>
    </w:rPr>
  </w:style>
  <w:style w:type="paragraph" w:styleId="CommentSubject">
    <w:name w:val="annotation subject"/>
    <w:basedOn w:val="CommentText"/>
    <w:next w:val="CommentText"/>
    <w:link w:val="CommentSubjectChar"/>
    <w:uiPriority w:val="99"/>
    <w:semiHidden/>
    <w:unhideWhenUsed/>
    <w:locked/>
    <w:rsid w:val="00232594"/>
    <w:rPr>
      <w:b/>
      <w:bCs/>
    </w:rPr>
  </w:style>
  <w:style w:type="character" w:customStyle="1" w:styleId="CommentSubjectChar">
    <w:name w:val="Comment Subject Char"/>
    <w:basedOn w:val="CommentTextChar"/>
    <w:link w:val="CommentSubject"/>
    <w:uiPriority w:val="99"/>
    <w:semiHidden/>
    <w:rsid w:val="00232594"/>
    <w:rPr>
      <w:rFonts w:eastAsia="Calibri"/>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lsdException w:name="header" w:uiPriority="0"/>
    <w:lsdException w:name="caption" w:locked="0" w:uiPriority="0" w:qFormat="1"/>
    <w:lsdException w:name="footnote reference" w:locked="0" w:uiPriority="0"/>
    <w:lsdException w:name="Title" w:uiPriority="10" w:unhideWhenUsed="0" w:qFormat="1"/>
    <w:lsdException w:name="Default Paragraph Font" w:locked="0" w:uiPriority="1"/>
    <w:lsdException w:name="Subtitle" w:uiPriority="11" w:unhideWhenUsed="0" w:qFormat="1"/>
    <w:lsdException w:name="Hyperlink" w:locked="0"/>
    <w:lsdException w:name="Strong"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unhideWhenUsed="0" w:qFormat="1"/>
    <w:lsdException w:name="Intense Emphasis" w:uiPriority="21" w:unhideWhenUsed="0" w:qFormat="1"/>
    <w:lsdException w:name="Subtle Reference" w:uiPriority="31" w:unhideWhenUsed="0" w:qFormat="1"/>
    <w:lsdException w:name="Intense Reference" w:uiPriority="0" w:unhideWhenUsed="0"/>
    <w:lsdException w:name="Book Title" w:uiPriority="33" w:unhideWhenUsed="0" w:qFormat="1"/>
    <w:lsdException w:name="Bibliography" w:uiPriority="37"/>
    <w:lsdException w:name="TOC Heading" w:uiPriority="39" w:qFormat="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ind w:left="431" w:hanging="431"/>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contextualSpacing/>
    </w:pPr>
  </w:style>
  <w:style w:type="paragraph" w:styleId="Header">
    <w:name w:val="header"/>
    <w:basedOn w:val="Normal"/>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semiHidden/>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semiHidden/>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semiHidden/>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paragraph" w:customStyle="1" w:styleId="Header1">
    <w:name w:val="Header1"/>
    <w:basedOn w:val="Header"/>
    <w:link w:val="HeaderZchnZchn"/>
    <w:rsid w:val="006378B0"/>
    <w:pPr>
      <w:tabs>
        <w:tab w:val="clear" w:pos="4320"/>
        <w:tab w:val="clear" w:pos="8640"/>
        <w:tab w:val="center" w:pos="4536"/>
        <w:tab w:val="right" w:pos="9072"/>
      </w:tabs>
      <w:spacing w:before="60" w:after="0"/>
      <w:jc w:val="left"/>
    </w:pPr>
    <w:rPr>
      <w:rFonts w:eastAsia="Times New Roman"/>
      <w:sz w:val="22"/>
      <w:szCs w:val="20"/>
      <w:lang w:eastAsia="x-none"/>
    </w:rPr>
  </w:style>
  <w:style w:type="character" w:customStyle="1" w:styleId="HeaderZchnZchn">
    <w:name w:val="Header Zchn Zchn"/>
    <w:link w:val="Header1"/>
    <w:rsid w:val="006378B0"/>
    <w:rPr>
      <w:b/>
      <w:sz w:val="22"/>
      <w:lang w:val="en-GB" w:eastAsia="x-none"/>
    </w:rPr>
  </w:style>
  <w:style w:type="paragraph" w:styleId="NormalWeb">
    <w:name w:val="Normal (Web)"/>
    <w:basedOn w:val="Normal"/>
    <w:uiPriority w:val="99"/>
    <w:unhideWhenUsed/>
    <w:locked/>
    <w:rsid w:val="00AF4545"/>
    <w:pPr>
      <w:spacing w:before="100" w:beforeAutospacing="1" w:after="100" w:afterAutospacing="1"/>
      <w:jc w:val="left"/>
    </w:pPr>
    <w:rPr>
      <w:rFonts w:ascii="Times New Roman" w:eastAsia="Times New Roman" w:hAnsi="Times New Roman"/>
      <w:sz w:val="24"/>
      <w:szCs w:val="24"/>
      <w:lang w:val="da-DK" w:eastAsia="da-DK"/>
    </w:rPr>
  </w:style>
  <w:style w:type="character" w:styleId="CommentReference">
    <w:name w:val="annotation reference"/>
    <w:basedOn w:val="DefaultParagraphFont"/>
    <w:uiPriority w:val="99"/>
    <w:semiHidden/>
    <w:unhideWhenUsed/>
    <w:locked/>
    <w:rsid w:val="00232594"/>
    <w:rPr>
      <w:sz w:val="16"/>
      <w:szCs w:val="16"/>
    </w:rPr>
  </w:style>
  <w:style w:type="paragraph" w:styleId="CommentText">
    <w:name w:val="annotation text"/>
    <w:basedOn w:val="Normal"/>
    <w:link w:val="CommentTextChar"/>
    <w:uiPriority w:val="99"/>
    <w:semiHidden/>
    <w:unhideWhenUsed/>
    <w:locked/>
    <w:rsid w:val="00232594"/>
    <w:rPr>
      <w:szCs w:val="20"/>
    </w:rPr>
  </w:style>
  <w:style w:type="character" w:customStyle="1" w:styleId="CommentTextChar">
    <w:name w:val="Comment Text Char"/>
    <w:basedOn w:val="DefaultParagraphFont"/>
    <w:link w:val="CommentText"/>
    <w:uiPriority w:val="99"/>
    <w:semiHidden/>
    <w:rsid w:val="00232594"/>
    <w:rPr>
      <w:rFonts w:eastAsia="Calibri"/>
      <w:lang w:val="en-GB"/>
    </w:rPr>
  </w:style>
  <w:style w:type="paragraph" w:styleId="CommentSubject">
    <w:name w:val="annotation subject"/>
    <w:basedOn w:val="CommentText"/>
    <w:next w:val="CommentText"/>
    <w:link w:val="CommentSubjectChar"/>
    <w:uiPriority w:val="99"/>
    <w:semiHidden/>
    <w:unhideWhenUsed/>
    <w:locked/>
    <w:rsid w:val="00232594"/>
    <w:rPr>
      <w:b/>
      <w:bCs/>
    </w:rPr>
  </w:style>
  <w:style w:type="character" w:customStyle="1" w:styleId="CommentSubjectChar">
    <w:name w:val="Comment Subject Char"/>
    <w:basedOn w:val="CommentTextChar"/>
    <w:link w:val="CommentSubject"/>
    <w:uiPriority w:val="99"/>
    <w:semiHidden/>
    <w:rsid w:val="00232594"/>
    <w:rPr>
      <w:rFonts w:eastAsia="Calibr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060690">
      <w:bodyDiv w:val="1"/>
      <w:marLeft w:val="0"/>
      <w:marRight w:val="0"/>
      <w:marTop w:val="0"/>
      <w:marBottom w:val="0"/>
      <w:divBdr>
        <w:top w:val="none" w:sz="0" w:space="0" w:color="auto"/>
        <w:left w:val="none" w:sz="0" w:space="0" w:color="auto"/>
        <w:bottom w:val="none" w:sz="0" w:space="0" w:color="auto"/>
        <w:right w:val="none" w:sz="0" w:space="0" w:color="auto"/>
      </w:divBdr>
      <w:divsChild>
        <w:div w:id="2124491715">
          <w:marLeft w:val="446"/>
          <w:marRight w:val="0"/>
          <w:marTop w:val="0"/>
          <w:marBottom w:val="0"/>
          <w:divBdr>
            <w:top w:val="none" w:sz="0" w:space="0" w:color="auto"/>
            <w:left w:val="none" w:sz="0" w:space="0" w:color="auto"/>
            <w:bottom w:val="none" w:sz="0" w:space="0" w:color="auto"/>
            <w:right w:val="none" w:sz="0" w:space="0" w:color="auto"/>
          </w:divBdr>
        </w:div>
        <w:div w:id="955908963">
          <w:marLeft w:val="1166"/>
          <w:marRight w:val="0"/>
          <w:marTop w:val="0"/>
          <w:marBottom w:val="0"/>
          <w:divBdr>
            <w:top w:val="none" w:sz="0" w:space="0" w:color="auto"/>
            <w:left w:val="none" w:sz="0" w:space="0" w:color="auto"/>
            <w:bottom w:val="none" w:sz="0" w:space="0" w:color="auto"/>
            <w:right w:val="none" w:sz="0" w:space="0" w:color="auto"/>
          </w:divBdr>
        </w:div>
        <w:div w:id="347949869">
          <w:marLeft w:val="446"/>
          <w:marRight w:val="0"/>
          <w:marTop w:val="0"/>
          <w:marBottom w:val="0"/>
          <w:divBdr>
            <w:top w:val="none" w:sz="0" w:space="0" w:color="auto"/>
            <w:left w:val="none" w:sz="0" w:space="0" w:color="auto"/>
            <w:bottom w:val="none" w:sz="0" w:space="0" w:color="auto"/>
            <w:right w:val="none" w:sz="0" w:space="0" w:color="auto"/>
          </w:divBdr>
        </w:div>
        <w:div w:id="907375027">
          <w:marLeft w:val="1166"/>
          <w:marRight w:val="0"/>
          <w:marTop w:val="0"/>
          <w:marBottom w:val="0"/>
          <w:divBdr>
            <w:top w:val="none" w:sz="0" w:space="0" w:color="auto"/>
            <w:left w:val="none" w:sz="0" w:space="0" w:color="auto"/>
            <w:bottom w:val="none" w:sz="0" w:space="0" w:color="auto"/>
            <w:right w:val="none" w:sz="0" w:space="0" w:color="auto"/>
          </w:divBdr>
        </w:div>
        <w:div w:id="476462529">
          <w:marLeft w:val="446"/>
          <w:marRight w:val="0"/>
          <w:marTop w:val="0"/>
          <w:marBottom w:val="0"/>
          <w:divBdr>
            <w:top w:val="none" w:sz="0" w:space="0" w:color="auto"/>
            <w:left w:val="none" w:sz="0" w:space="0" w:color="auto"/>
            <w:bottom w:val="none" w:sz="0" w:space="0" w:color="auto"/>
            <w:right w:val="none" w:sz="0" w:space="0" w:color="auto"/>
          </w:divBdr>
        </w:div>
        <w:div w:id="166484814">
          <w:marLeft w:val="446"/>
          <w:marRight w:val="0"/>
          <w:marTop w:val="0"/>
          <w:marBottom w:val="0"/>
          <w:divBdr>
            <w:top w:val="none" w:sz="0" w:space="0" w:color="auto"/>
            <w:left w:val="none" w:sz="0" w:space="0" w:color="auto"/>
            <w:bottom w:val="none" w:sz="0" w:space="0" w:color="auto"/>
            <w:right w:val="none" w:sz="0" w:space="0" w:color="auto"/>
          </w:divBdr>
        </w:div>
        <w:div w:id="139466528">
          <w:marLeft w:val="446"/>
          <w:marRight w:val="0"/>
          <w:marTop w:val="0"/>
          <w:marBottom w:val="0"/>
          <w:divBdr>
            <w:top w:val="none" w:sz="0" w:space="0" w:color="auto"/>
            <w:left w:val="none" w:sz="0" w:space="0" w:color="auto"/>
            <w:bottom w:val="none" w:sz="0" w:space="0" w:color="auto"/>
            <w:right w:val="none" w:sz="0" w:space="0" w:color="auto"/>
          </w:divBdr>
        </w:div>
        <w:div w:id="808399665">
          <w:marLeft w:val="446"/>
          <w:marRight w:val="0"/>
          <w:marTop w:val="0"/>
          <w:marBottom w:val="0"/>
          <w:divBdr>
            <w:top w:val="none" w:sz="0" w:space="0" w:color="auto"/>
            <w:left w:val="none" w:sz="0" w:space="0" w:color="auto"/>
            <w:bottom w:val="none" w:sz="0" w:space="0" w:color="auto"/>
            <w:right w:val="none" w:sz="0" w:space="0" w:color="auto"/>
          </w:divBdr>
        </w:div>
        <w:div w:id="1534341399">
          <w:marLeft w:val="446"/>
          <w:marRight w:val="0"/>
          <w:marTop w:val="0"/>
          <w:marBottom w:val="0"/>
          <w:divBdr>
            <w:top w:val="none" w:sz="0" w:space="0" w:color="auto"/>
            <w:left w:val="none" w:sz="0" w:space="0" w:color="auto"/>
            <w:bottom w:val="none" w:sz="0" w:space="0" w:color="auto"/>
            <w:right w:val="none" w:sz="0" w:space="0" w:color="auto"/>
          </w:divBdr>
        </w:div>
        <w:div w:id="1045060895">
          <w:marLeft w:val="446"/>
          <w:marRight w:val="0"/>
          <w:marTop w:val="0"/>
          <w:marBottom w:val="0"/>
          <w:divBdr>
            <w:top w:val="none" w:sz="0" w:space="0" w:color="auto"/>
            <w:left w:val="none" w:sz="0" w:space="0" w:color="auto"/>
            <w:bottom w:val="none" w:sz="0" w:space="0" w:color="auto"/>
            <w:right w:val="none" w:sz="0" w:space="0" w:color="auto"/>
          </w:divBdr>
        </w:div>
        <w:div w:id="1262832886">
          <w:marLeft w:val="446"/>
          <w:marRight w:val="0"/>
          <w:marTop w:val="0"/>
          <w:marBottom w:val="0"/>
          <w:divBdr>
            <w:top w:val="none" w:sz="0" w:space="0" w:color="auto"/>
            <w:left w:val="none" w:sz="0" w:space="0" w:color="auto"/>
            <w:bottom w:val="none" w:sz="0" w:space="0" w:color="auto"/>
            <w:right w:val="none" w:sz="0" w:space="0" w:color="auto"/>
          </w:divBdr>
        </w:div>
        <w:div w:id="1271084189">
          <w:marLeft w:val="446"/>
          <w:marRight w:val="0"/>
          <w:marTop w:val="0"/>
          <w:marBottom w:val="0"/>
          <w:divBdr>
            <w:top w:val="none" w:sz="0" w:space="0" w:color="auto"/>
            <w:left w:val="none" w:sz="0" w:space="0" w:color="auto"/>
            <w:bottom w:val="none" w:sz="0" w:space="0" w:color="auto"/>
            <w:right w:val="none" w:sz="0" w:space="0" w:color="auto"/>
          </w:divBdr>
        </w:div>
      </w:divsChild>
    </w:div>
    <w:div w:id="1151756120">
      <w:bodyDiv w:val="1"/>
      <w:marLeft w:val="0"/>
      <w:marRight w:val="0"/>
      <w:marTop w:val="0"/>
      <w:marBottom w:val="0"/>
      <w:divBdr>
        <w:top w:val="none" w:sz="0" w:space="0" w:color="auto"/>
        <w:left w:val="none" w:sz="0" w:space="0" w:color="auto"/>
        <w:bottom w:val="none" w:sz="0" w:space="0" w:color="auto"/>
        <w:right w:val="none" w:sz="0" w:space="0" w:color="auto"/>
      </w:divBdr>
      <w:divsChild>
        <w:div w:id="1996375058">
          <w:marLeft w:val="274"/>
          <w:marRight w:val="0"/>
          <w:marTop w:val="0"/>
          <w:marBottom w:val="0"/>
          <w:divBdr>
            <w:top w:val="none" w:sz="0" w:space="0" w:color="auto"/>
            <w:left w:val="none" w:sz="0" w:space="0" w:color="auto"/>
            <w:bottom w:val="none" w:sz="0" w:space="0" w:color="auto"/>
            <w:right w:val="none" w:sz="0" w:space="0" w:color="auto"/>
          </w:divBdr>
        </w:div>
        <w:div w:id="1063286235">
          <w:marLeft w:val="994"/>
          <w:marRight w:val="0"/>
          <w:marTop w:val="0"/>
          <w:marBottom w:val="0"/>
          <w:divBdr>
            <w:top w:val="none" w:sz="0" w:space="0" w:color="auto"/>
            <w:left w:val="none" w:sz="0" w:space="0" w:color="auto"/>
            <w:bottom w:val="none" w:sz="0" w:space="0" w:color="auto"/>
            <w:right w:val="none" w:sz="0" w:space="0" w:color="auto"/>
          </w:divBdr>
        </w:div>
        <w:div w:id="1338847136">
          <w:marLeft w:val="274"/>
          <w:marRight w:val="0"/>
          <w:marTop w:val="0"/>
          <w:marBottom w:val="0"/>
          <w:divBdr>
            <w:top w:val="none" w:sz="0" w:space="0" w:color="auto"/>
            <w:left w:val="none" w:sz="0" w:space="0" w:color="auto"/>
            <w:bottom w:val="none" w:sz="0" w:space="0" w:color="auto"/>
            <w:right w:val="none" w:sz="0" w:space="0" w:color="auto"/>
          </w:divBdr>
        </w:div>
        <w:div w:id="571233131">
          <w:marLeft w:val="994"/>
          <w:marRight w:val="0"/>
          <w:marTop w:val="0"/>
          <w:marBottom w:val="0"/>
          <w:divBdr>
            <w:top w:val="none" w:sz="0" w:space="0" w:color="auto"/>
            <w:left w:val="none" w:sz="0" w:space="0" w:color="auto"/>
            <w:bottom w:val="none" w:sz="0" w:space="0" w:color="auto"/>
            <w:right w:val="none" w:sz="0" w:space="0" w:color="auto"/>
          </w:divBdr>
        </w:div>
        <w:div w:id="1300065456">
          <w:marLeft w:val="994"/>
          <w:marRight w:val="0"/>
          <w:marTop w:val="0"/>
          <w:marBottom w:val="0"/>
          <w:divBdr>
            <w:top w:val="none" w:sz="0" w:space="0" w:color="auto"/>
            <w:left w:val="none" w:sz="0" w:space="0" w:color="auto"/>
            <w:bottom w:val="none" w:sz="0" w:space="0" w:color="auto"/>
            <w:right w:val="none" w:sz="0" w:space="0" w:color="auto"/>
          </w:divBdr>
        </w:div>
        <w:div w:id="1829857340">
          <w:marLeft w:val="994"/>
          <w:marRight w:val="0"/>
          <w:marTop w:val="0"/>
          <w:marBottom w:val="0"/>
          <w:divBdr>
            <w:top w:val="none" w:sz="0" w:space="0" w:color="auto"/>
            <w:left w:val="none" w:sz="0" w:space="0" w:color="auto"/>
            <w:bottom w:val="none" w:sz="0" w:space="0" w:color="auto"/>
            <w:right w:val="none" w:sz="0" w:space="0" w:color="auto"/>
          </w:divBdr>
        </w:div>
        <w:div w:id="421415831">
          <w:marLeft w:val="994"/>
          <w:marRight w:val="0"/>
          <w:marTop w:val="0"/>
          <w:marBottom w:val="0"/>
          <w:divBdr>
            <w:top w:val="none" w:sz="0" w:space="0" w:color="auto"/>
            <w:left w:val="none" w:sz="0" w:space="0" w:color="auto"/>
            <w:bottom w:val="none" w:sz="0" w:space="0" w:color="auto"/>
            <w:right w:val="none" w:sz="0" w:space="0" w:color="auto"/>
          </w:divBdr>
        </w:div>
        <w:div w:id="1234123945">
          <w:marLeft w:val="446"/>
          <w:marRight w:val="0"/>
          <w:marTop w:val="0"/>
          <w:marBottom w:val="0"/>
          <w:divBdr>
            <w:top w:val="none" w:sz="0" w:space="0" w:color="auto"/>
            <w:left w:val="none" w:sz="0" w:space="0" w:color="auto"/>
            <w:bottom w:val="none" w:sz="0" w:space="0" w:color="auto"/>
            <w:right w:val="none" w:sz="0" w:space="0" w:color="auto"/>
          </w:divBdr>
        </w:div>
        <w:div w:id="1113283965">
          <w:marLeft w:val="446"/>
          <w:marRight w:val="0"/>
          <w:marTop w:val="0"/>
          <w:marBottom w:val="0"/>
          <w:divBdr>
            <w:top w:val="none" w:sz="0" w:space="0" w:color="auto"/>
            <w:left w:val="none" w:sz="0" w:space="0" w:color="auto"/>
            <w:bottom w:val="none" w:sz="0" w:space="0" w:color="auto"/>
            <w:right w:val="none" w:sz="0" w:space="0" w:color="auto"/>
          </w:divBdr>
        </w:div>
        <w:div w:id="507448942">
          <w:marLeft w:val="446"/>
          <w:marRight w:val="0"/>
          <w:marTop w:val="0"/>
          <w:marBottom w:val="0"/>
          <w:divBdr>
            <w:top w:val="none" w:sz="0" w:space="0" w:color="auto"/>
            <w:left w:val="none" w:sz="0" w:space="0" w:color="auto"/>
            <w:bottom w:val="none" w:sz="0" w:space="0" w:color="auto"/>
            <w:right w:val="none" w:sz="0" w:space="0" w:color="auto"/>
          </w:divBdr>
        </w:div>
        <w:div w:id="641887489">
          <w:marLeft w:val="446"/>
          <w:marRight w:val="0"/>
          <w:marTop w:val="0"/>
          <w:marBottom w:val="0"/>
          <w:divBdr>
            <w:top w:val="none" w:sz="0" w:space="0" w:color="auto"/>
            <w:left w:val="none" w:sz="0" w:space="0" w:color="auto"/>
            <w:bottom w:val="none" w:sz="0" w:space="0" w:color="auto"/>
            <w:right w:val="none" w:sz="0" w:space="0" w:color="auto"/>
          </w:divBdr>
        </w:div>
      </w:divsChild>
    </w:div>
    <w:div w:id="1248077452">
      <w:bodyDiv w:val="1"/>
      <w:marLeft w:val="0"/>
      <w:marRight w:val="0"/>
      <w:marTop w:val="0"/>
      <w:marBottom w:val="0"/>
      <w:divBdr>
        <w:top w:val="none" w:sz="0" w:space="0" w:color="auto"/>
        <w:left w:val="none" w:sz="0" w:space="0" w:color="auto"/>
        <w:bottom w:val="none" w:sz="0" w:space="0" w:color="auto"/>
        <w:right w:val="none" w:sz="0" w:space="0" w:color="auto"/>
      </w:divBdr>
      <w:divsChild>
        <w:div w:id="1771244828">
          <w:marLeft w:val="274"/>
          <w:marRight w:val="0"/>
          <w:marTop w:val="0"/>
          <w:marBottom w:val="0"/>
          <w:divBdr>
            <w:top w:val="none" w:sz="0" w:space="0" w:color="auto"/>
            <w:left w:val="none" w:sz="0" w:space="0" w:color="auto"/>
            <w:bottom w:val="none" w:sz="0" w:space="0" w:color="auto"/>
            <w:right w:val="none" w:sz="0" w:space="0" w:color="auto"/>
          </w:divBdr>
        </w:div>
        <w:div w:id="2081710997">
          <w:marLeft w:val="274"/>
          <w:marRight w:val="0"/>
          <w:marTop w:val="0"/>
          <w:marBottom w:val="0"/>
          <w:divBdr>
            <w:top w:val="none" w:sz="0" w:space="0" w:color="auto"/>
            <w:left w:val="none" w:sz="0" w:space="0" w:color="auto"/>
            <w:bottom w:val="none" w:sz="0" w:space="0" w:color="auto"/>
            <w:right w:val="none" w:sz="0" w:space="0" w:color="auto"/>
          </w:divBdr>
        </w:div>
        <w:div w:id="1439444025">
          <w:marLeft w:val="274"/>
          <w:marRight w:val="0"/>
          <w:marTop w:val="0"/>
          <w:marBottom w:val="0"/>
          <w:divBdr>
            <w:top w:val="none" w:sz="0" w:space="0" w:color="auto"/>
            <w:left w:val="none" w:sz="0" w:space="0" w:color="auto"/>
            <w:bottom w:val="none" w:sz="0" w:space="0" w:color="auto"/>
            <w:right w:val="none" w:sz="0" w:space="0" w:color="auto"/>
          </w:divBdr>
        </w:div>
        <w:div w:id="185295176">
          <w:marLeft w:val="274"/>
          <w:marRight w:val="0"/>
          <w:marTop w:val="0"/>
          <w:marBottom w:val="0"/>
          <w:divBdr>
            <w:top w:val="none" w:sz="0" w:space="0" w:color="auto"/>
            <w:left w:val="none" w:sz="0" w:space="0" w:color="auto"/>
            <w:bottom w:val="none" w:sz="0" w:space="0" w:color="auto"/>
            <w:right w:val="none" w:sz="0" w:space="0" w:color="auto"/>
          </w:divBdr>
        </w:div>
        <w:div w:id="618342294">
          <w:marLeft w:val="274"/>
          <w:marRight w:val="0"/>
          <w:marTop w:val="0"/>
          <w:marBottom w:val="0"/>
          <w:divBdr>
            <w:top w:val="none" w:sz="0" w:space="0" w:color="auto"/>
            <w:left w:val="none" w:sz="0" w:space="0" w:color="auto"/>
            <w:bottom w:val="none" w:sz="0" w:space="0" w:color="auto"/>
            <w:right w:val="none" w:sz="0" w:space="0" w:color="auto"/>
          </w:divBdr>
        </w:div>
        <w:div w:id="170343598">
          <w:marLeft w:val="274"/>
          <w:marRight w:val="0"/>
          <w:marTop w:val="0"/>
          <w:marBottom w:val="0"/>
          <w:divBdr>
            <w:top w:val="none" w:sz="0" w:space="0" w:color="auto"/>
            <w:left w:val="none" w:sz="0" w:space="0" w:color="auto"/>
            <w:bottom w:val="none" w:sz="0" w:space="0" w:color="auto"/>
            <w:right w:val="none" w:sz="0" w:space="0" w:color="auto"/>
          </w:divBdr>
        </w:div>
        <w:div w:id="1580944951">
          <w:marLeft w:val="274"/>
          <w:marRight w:val="0"/>
          <w:marTop w:val="0"/>
          <w:marBottom w:val="0"/>
          <w:divBdr>
            <w:top w:val="none" w:sz="0" w:space="0" w:color="auto"/>
            <w:left w:val="none" w:sz="0" w:space="0" w:color="auto"/>
            <w:bottom w:val="none" w:sz="0" w:space="0" w:color="auto"/>
            <w:right w:val="none" w:sz="0" w:space="0" w:color="auto"/>
          </w:divBdr>
        </w:div>
        <w:div w:id="1837914986">
          <w:marLeft w:val="274"/>
          <w:marRight w:val="0"/>
          <w:marTop w:val="0"/>
          <w:marBottom w:val="0"/>
          <w:divBdr>
            <w:top w:val="none" w:sz="0" w:space="0" w:color="auto"/>
            <w:left w:val="none" w:sz="0" w:space="0" w:color="auto"/>
            <w:bottom w:val="none" w:sz="0" w:space="0" w:color="auto"/>
            <w:right w:val="none" w:sz="0" w:space="0" w:color="auto"/>
          </w:divBdr>
        </w:div>
      </w:divsChild>
    </w:div>
    <w:div w:id="1637953116">
      <w:bodyDiv w:val="1"/>
      <w:marLeft w:val="0"/>
      <w:marRight w:val="0"/>
      <w:marTop w:val="0"/>
      <w:marBottom w:val="0"/>
      <w:divBdr>
        <w:top w:val="none" w:sz="0" w:space="0" w:color="auto"/>
        <w:left w:val="none" w:sz="0" w:space="0" w:color="auto"/>
        <w:bottom w:val="none" w:sz="0" w:space="0" w:color="auto"/>
        <w:right w:val="none" w:sz="0" w:space="0" w:color="auto"/>
      </w:divBdr>
      <w:divsChild>
        <w:div w:id="541943471">
          <w:marLeft w:val="446"/>
          <w:marRight w:val="0"/>
          <w:marTop w:val="0"/>
          <w:marBottom w:val="0"/>
          <w:divBdr>
            <w:top w:val="none" w:sz="0" w:space="0" w:color="auto"/>
            <w:left w:val="none" w:sz="0" w:space="0" w:color="auto"/>
            <w:bottom w:val="none" w:sz="0" w:space="0" w:color="auto"/>
            <w:right w:val="none" w:sz="0" w:space="0" w:color="auto"/>
          </w:divBdr>
        </w:div>
        <w:div w:id="1243371025">
          <w:marLeft w:val="446"/>
          <w:marRight w:val="0"/>
          <w:marTop w:val="0"/>
          <w:marBottom w:val="0"/>
          <w:divBdr>
            <w:top w:val="none" w:sz="0" w:space="0" w:color="auto"/>
            <w:left w:val="none" w:sz="0" w:space="0" w:color="auto"/>
            <w:bottom w:val="none" w:sz="0" w:space="0" w:color="auto"/>
            <w:right w:val="none" w:sz="0" w:space="0" w:color="auto"/>
          </w:divBdr>
        </w:div>
        <w:div w:id="1458404476">
          <w:marLeft w:val="446"/>
          <w:marRight w:val="0"/>
          <w:marTop w:val="0"/>
          <w:marBottom w:val="0"/>
          <w:divBdr>
            <w:top w:val="none" w:sz="0" w:space="0" w:color="auto"/>
            <w:left w:val="none" w:sz="0" w:space="0" w:color="auto"/>
            <w:bottom w:val="none" w:sz="0" w:space="0" w:color="auto"/>
            <w:right w:val="none" w:sz="0" w:space="0" w:color="auto"/>
          </w:divBdr>
        </w:div>
        <w:div w:id="1425539407">
          <w:marLeft w:val="446"/>
          <w:marRight w:val="0"/>
          <w:marTop w:val="0"/>
          <w:marBottom w:val="0"/>
          <w:divBdr>
            <w:top w:val="none" w:sz="0" w:space="0" w:color="auto"/>
            <w:left w:val="none" w:sz="0" w:space="0" w:color="auto"/>
            <w:bottom w:val="none" w:sz="0" w:space="0" w:color="auto"/>
            <w:right w:val="none" w:sz="0" w:space="0" w:color="auto"/>
          </w:divBdr>
        </w:div>
        <w:div w:id="365523537">
          <w:marLeft w:val="446"/>
          <w:marRight w:val="0"/>
          <w:marTop w:val="0"/>
          <w:marBottom w:val="0"/>
          <w:divBdr>
            <w:top w:val="none" w:sz="0" w:space="0" w:color="auto"/>
            <w:left w:val="none" w:sz="0" w:space="0" w:color="auto"/>
            <w:bottom w:val="none" w:sz="0" w:space="0" w:color="auto"/>
            <w:right w:val="none" w:sz="0" w:space="0" w:color="auto"/>
          </w:divBdr>
        </w:div>
        <w:div w:id="1171797983">
          <w:marLeft w:val="446"/>
          <w:marRight w:val="0"/>
          <w:marTop w:val="0"/>
          <w:marBottom w:val="0"/>
          <w:divBdr>
            <w:top w:val="none" w:sz="0" w:space="0" w:color="auto"/>
            <w:left w:val="none" w:sz="0" w:space="0" w:color="auto"/>
            <w:bottom w:val="none" w:sz="0" w:space="0" w:color="auto"/>
            <w:right w:val="none" w:sz="0" w:space="0" w:color="auto"/>
          </w:divBdr>
        </w:div>
        <w:div w:id="1915778056">
          <w:marLeft w:val="446"/>
          <w:marRight w:val="0"/>
          <w:marTop w:val="0"/>
          <w:marBottom w:val="0"/>
          <w:divBdr>
            <w:top w:val="none" w:sz="0" w:space="0" w:color="auto"/>
            <w:left w:val="none" w:sz="0" w:space="0" w:color="auto"/>
            <w:bottom w:val="none" w:sz="0" w:space="0" w:color="auto"/>
            <w:right w:val="none" w:sz="0" w:space="0" w:color="auto"/>
          </w:divBdr>
        </w:div>
        <w:div w:id="1414665477">
          <w:marLeft w:val="446"/>
          <w:marRight w:val="0"/>
          <w:marTop w:val="0"/>
          <w:marBottom w:val="0"/>
          <w:divBdr>
            <w:top w:val="none" w:sz="0" w:space="0" w:color="auto"/>
            <w:left w:val="none" w:sz="0" w:space="0" w:color="auto"/>
            <w:bottom w:val="none" w:sz="0" w:space="0" w:color="auto"/>
            <w:right w:val="none" w:sz="0" w:space="0" w:color="auto"/>
          </w:divBdr>
        </w:div>
        <w:div w:id="52777424">
          <w:marLeft w:val="446"/>
          <w:marRight w:val="0"/>
          <w:marTop w:val="0"/>
          <w:marBottom w:val="0"/>
          <w:divBdr>
            <w:top w:val="none" w:sz="0" w:space="0" w:color="auto"/>
            <w:left w:val="none" w:sz="0" w:space="0" w:color="auto"/>
            <w:bottom w:val="none" w:sz="0" w:space="0" w:color="auto"/>
            <w:right w:val="none" w:sz="0" w:space="0" w:color="auto"/>
          </w:divBdr>
        </w:div>
        <w:div w:id="1048989393">
          <w:marLeft w:val="446"/>
          <w:marRight w:val="0"/>
          <w:marTop w:val="0"/>
          <w:marBottom w:val="0"/>
          <w:divBdr>
            <w:top w:val="none" w:sz="0" w:space="0" w:color="auto"/>
            <w:left w:val="none" w:sz="0" w:space="0" w:color="auto"/>
            <w:bottom w:val="none" w:sz="0" w:space="0" w:color="auto"/>
            <w:right w:val="none" w:sz="0" w:space="0" w:color="auto"/>
          </w:divBdr>
        </w:div>
        <w:div w:id="375276336">
          <w:marLeft w:val="1166"/>
          <w:marRight w:val="0"/>
          <w:marTop w:val="0"/>
          <w:marBottom w:val="0"/>
          <w:divBdr>
            <w:top w:val="none" w:sz="0" w:space="0" w:color="auto"/>
            <w:left w:val="none" w:sz="0" w:space="0" w:color="auto"/>
            <w:bottom w:val="none" w:sz="0" w:space="0" w:color="auto"/>
            <w:right w:val="none" w:sz="0" w:space="0" w:color="auto"/>
          </w:divBdr>
        </w:div>
        <w:div w:id="384261339">
          <w:marLeft w:val="1166"/>
          <w:marRight w:val="0"/>
          <w:marTop w:val="0"/>
          <w:marBottom w:val="0"/>
          <w:divBdr>
            <w:top w:val="none" w:sz="0" w:space="0" w:color="auto"/>
            <w:left w:val="none" w:sz="0" w:space="0" w:color="auto"/>
            <w:bottom w:val="none" w:sz="0" w:space="0" w:color="auto"/>
            <w:right w:val="none" w:sz="0" w:space="0" w:color="auto"/>
          </w:divBdr>
        </w:div>
        <w:div w:id="801850909">
          <w:marLeft w:val="1166"/>
          <w:marRight w:val="0"/>
          <w:marTop w:val="0"/>
          <w:marBottom w:val="0"/>
          <w:divBdr>
            <w:top w:val="none" w:sz="0" w:space="0" w:color="auto"/>
            <w:left w:val="none" w:sz="0" w:space="0" w:color="auto"/>
            <w:bottom w:val="none" w:sz="0" w:space="0" w:color="auto"/>
            <w:right w:val="none" w:sz="0" w:space="0" w:color="auto"/>
          </w:divBdr>
        </w:div>
      </w:divsChild>
    </w:div>
    <w:div w:id="2038237025">
      <w:bodyDiv w:val="1"/>
      <w:marLeft w:val="0"/>
      <w:marRight w:val="0"/>
      <w:marTop w:val="0"/>
      <w:marBottom w:val="0"/>
      <w:divBdr>
        <w:top w:val="none" w:sz="0" w:space="0" w:color="auto"/>
        <w:left w:val="none" w:sz="0" w:space="0" w:color="auto"/>
        <w:bottom w:val="none" w:sz="0" w:space="0" w:color="auto"/>
        <w:right w:val="none" w:sz="0" w:space="0" w:color="auto"/>
      </w:divBdr>
      <w:divsChild>
        <w:div w:id="2007979177">
          <w:marLeft w:val="274"/>
          <w:marRight w:val="0"/>
          <w:marTop w:val="0"/>
          <w:marBottom w:val="0"/>
          <w:divBdr>
            <w:top w:val="none" w:sz="0" w:space="0" w:color="auto"/>
            <w:left w:val="none" w:sz="0" w:space="0" w:color="auto"/>
            <w:bottom w:val="none" w:sz="0" w:space="0" w:color="auto"/>
            <w:right w:val="none" w:sz="0" w:space="0" w:color="auto"/>
          </w:divBdr>
        </w:div>
        <w:div w:id="1371221425">
          <w:marLeft w:val="994"/>
          <w:marRight w:val="0"/>
          <w:marTop w:val="0"/>
          <w:marBottom w:val="0"/>
          <w:divBdr>
            <w:top w:val="none" w:sz="0" w:space="0" w:color="auto"/>
            <w:left w:val="none" w:sz="0" w:space="0" w:color="auto"/>
            <w:bottom w:val="none" w:sz="0" w:space="0" w:color="auto"/>
            <w:right w:val="none" w:sz="0" w:space="0" w:color="auto"/>
          </w:divBdr>
        </w:div>
        <w:div w:id="1152062594">
          <w:marLeft w:val="274"/>
          <w:marRight w:val="0"/>
          <w:marTop w:val="0"/>
          <w:marBottom w:val="0"/>
          <w:divBdr>
            <w:top w:val="none" w:sz="0" w:space="0" w:color="auto"/>
            <w:left w:val="none" w:sz="0" w:space="0" w:color="auto"/>
            <w:bottom w:val="none" w:sz="0" w:space="0" w:color="auto"/>
            <w:right w:val="none" w:sz="0" w:space="0" w:color="auto"/>
          </w:divBdr>
        </w:div>
        <w:div w:id="1311062067">
          <w:marLeft w:val="994"/>
          <w:marRight w:val="0"/>
          <w:marTop w:val="0"/>
          <w:marBottom w:val="0"/>
          <w:divBdr>
            <w:top w:val="none" w:sz="0" w:space="0" w:color="auto"/>
            <w:left w:val="none" w:sz="0" w:space="0" w:color="auto"/>
            <w:bottom w:val="none" w:sz="0" w:space="0" w:color="auto"/>
            <w:right w:val="none" w:sz="0" w:space="0" w:color="auto"/>
          </w:divBdr>
        </w:div>
        <w:div w:id="1216770272">
          <w:marLeft w:val="994"/>
          <w:marRight w:val="0"/>
          <w:marTop w:val="0"/>
          <w:marBottom w:val="0"/>
          <w:divBdr>
            <w:top w:val="none" w:sz="0" w:space="0" w:color="auto"/>
            <w:left w:val="none" w:sz="0" w:space="0" w:color="auto"/>
            <w:bottom w:val="none" w:sz="0" w:space="0" w:color="auto"/>
            <w:right w:val="none" w:sz="0" w:space="0" w:color="auto"/>
          </w:divBdr>
        </w:div>
        <w:div w:id="1032731446">
          <w:marLeft w:val="994"/>
          <w:marRight w:val="0"/>
          <w:marTop w:val="0"/>
          <w:marBottom w:val="0"/>
          <w:divBdr>
            <w:top w:val="none" w:sz="0" w:space="0" w:color="auto"/>
            <w:left w:val="none" w:sz="0" w:space="0" w:color="auto"/>
            <w:bottom w:val="none" w:sz="0" w:space="0" w:color="auto"/>
            <w:right w:val="none" w:sz="0" w:space="0" w:color="auto"/>
          </w:divBdr>
        </w:div>
        <w:div w:id="577443816">
          <w:marLeft w:val="994"/>
          <w:marRight w:val="0"/>
          <w:marTop w:val="0"/>
          <w:marBottom w:val="0"/>
          <w:divBdr>
            <w:top w:val="none" w:sz="0" w:space="0" w:color="auto"/>
            <w:left w:val="none" w:sz="0" w:space="0" w:color="auto"/>
            <w:bottom w:val="none" w:sz="0" w:space="0" w:color="auto"/>
            <w:right w:val="none" w:sz="0" w:space="0" w:color="auto"/>
          </w:divBdr>
        </w:div>
        <w:div w:id="642201228">
          <w:marLeft w:val="446"/>
          <w:marRight w:val="0"/>
          <w:marTop w:val="0"/>
          <w:marBottom w:val="0"/>
          <w:divBdr>
            <w:top w:val="none" w:sz="0" w:space="0" w:color="auto"/>
            <w:left w:val="none" w:sz="0" w:space="0" w:color="auto"/>
            <w:bottom w:val="none" w:sz="0" w:space="0" w:color="auto"/>
            <w:right w:val="none" w:sz="0" w:space="0" w:color="auto"/>
          </w:divBdr>
        </w:div>
        <w:div w:id="1720352052">
          <w:marLeft w:val="446"/>
          <w:marRight w:val="0"/>
          <w:marTop w:val="0"/>
          <w:marBottom w:val="0"/>
          <w:divBdr>
            <w:top w:val="none" w:sz="0" w:space="0" w:color="auto"/>
            <w:left w:val="none" w:sz="0" w:space="0" w:color="auto"/>
            <w:bottom w:val="none" w:sz="0" w:space="0" w:color="auto"/>
            <w:right w:val="none" w:sz="0" w:space="0" w:color="auto"/>
          </w:divBdr>
        </w:div>
        <w:div w:id="1523204157">
          <w:marLeft w:val="446"/>
          <w:marRight w:val="0"/>
          <w:marTop w:val="0"/>
          <w:marBottom w:val="0"/>
          <w:divBdr>
            <w:top w:val="none" w:sz="0" w:space="0" w:color="auto"/>
            <w:left w:val="none" w:sz="0" w:space="0" w:color="auto"/>
            <w:bottom w:val="none" w:sz="0" w:space="0" w:color="auto"/>
            <w:right w:val="none" w:sz="0" w:space="0" w:color="auto"/>
          </w:divBdr>
        </w:div>
        <w:div w:id="125667059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t.int/sites/default/files/Upload-files/AWG/APT-AWG-REP-70_APT_Report_17GHz_and_27GHz.docx" TargetMode="External"/><Relationship Id="rId18" Type="http://schemas.openxmlformats.org/officeDocument/2006/relationships/hyperlink" Target="http://www.apt.int/sites/default/files/Upload-files/AWG/APT-AWG-REP-46Rev.1_APT_Report_2100_MHz_Survey.docx" TargetMode="External"/><Relationship Id="rId26" Type="http://schemas.openxmlformats.org/officeDocument/2006/relationships/hyperlink" Target="http://www.apt.int/sites/default/files/Upload-files/ASTAP/ASTAP-28-Circular-Questionnaire-SCA.pdf" TargetMode="External"/><Relationship Id="rId39" Type="http://schemas.openxmlformats.org/officeDocument/2006/relationships/hyperlink" Target="https://ecfsapi.fcc.gov/file/7520959857.pdf" TargetMode="External"/><Relationship Id="rId21" Type="http://schemas.openxmlformats.org/officeDocument/2006/relationships/hyperlink" Target="http://www.apt.int/sites/default/files/Upload-files/AWG/AWG-21-Q3_4800-4990_MHz.docx" TargetMode="External"/><Relationship Id="rId34" Type="http://schemas.openxmlformats.org/officeDocument/2006/relationships/hyperlink" Target="http://www.satcom.guru/2016/10/fcc-grants-harris-authorization-for.html" TargetMode="External"/><Relationship Id="rId42" Type="http://schemas.openxmlformats.org/officeDocument/2006/relationships/hyperlink" Target="http://rheintech.us4.list-manage.com/track/click?u=ea8729ded10d990820bca7414&amp;id=99711f7368&amp;e=56b0e30a9b" TargetMode="External"/><Relationship Id="rId47" Type="http://schemas.openxmlformats.org/officeDocument/2006/relationships/image" Target="media/image9.emf"/><Relationship Id="rId50" Type="http://schemas.openxmlformats.org/officeDocument/2006/relationships/image" Target="media/image11.png"/><Relationship Id="rId55" Type="http://schemas.openxmlformats.org/officeDocument/2006/relationships/oleObject" Target="embeddings/oleObject3.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pt.int/sites/default/files/Upload-files/AWG/APT-AWG-REP-73_APT_Report_PPDR_Spectrum_Harmonization.docx" TargetMode="External"/><Relationship Id="rId29" Type="http://schemas.openxmlformats.org/officeDocument/2006/relationships/package" Target="embeddings/Microsoft_Word_Document1.docx"/><Relationship Id="rId11" Type="http://schemas.openxmlformats.org/officeDocument/2006/relationships/hyperlink" Target="http://www.apt.int/sites/default/files/Upload-files/AWG/AWG-21-REC2_LSA.docx" TargetMode="External"/><Relationship Id="rId24" Type="http://schemas.openxmlformats.org/officeDocument/2006/relationships/hyperlink" Target="http://www.apt.int/sites/default/files/Upload-files/ASTAP/ASTAP-28-Circular-Questionnaire-FTNT.pdf" TargetMode="External"/><Relationship Id="rId32" Type="http://schemas.openxmlformats.org/officeDocument/2006/relationships/package" Target="embeddings/Microsoft_Word_Document2.docx"/><Relationship Id="rId37" Type="http://schemas.openxmlformats.org/officeDocument/2006/relationships/hyperlink" Target="http://www.ic.gc.ca/eic/site/smt-gst.nsf/eng/sf11294.html" TargetMode="External"/><Relationship Id="rId40" Type="http://schemas.openxmlformats.org/officeDocument/2006/relationships/hyperlink" Target="https://transition.fcc.gov/bureaus/oet/ea/presentations/files/oct14/51-New-Rules-for-UNII-Bands,-Oct-2014-TN.pdf" TargetMode="External"/><Relationship Id="rId45" Type="http://schemas.openxmlformats.org/officeDocument/2006/relationships/image" Target="media/image8.emf"/><Relationship Id="rId53" Type="http://schemas.openxmlformats.org/officeDocument/2006/relationships/image" Target="media/image13.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www.apt.int/sites/default/files/Upload-files/AWG/AWG-21-Q1_Unmanned_Aircraft_System.docx" TargetMode="Externa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apt.int/sites/default/files/Upload-files/AWG/APT-AWG-REP-71_APT_Report_Service_and_Application_WPT.docx" TargetMode="External"/><Relationship Id="rId22" Type="http://schemas.openxmlformats.org/officeDocument/2006/relationships/hyperlink" Target="http://www.apt.int/sites/default/files/Upload-files/AWG/AWG-21-Q4_1427-1518_MHz_IMT.docx" TargetMode="External"/><Relationship Id="rId27" Type="http://schemas.openxmlformats.org/officeDocument/2006/relationships/hyperlink" Target="http://www.apt.int/sites/default/files/Upload-files/ASTAP/APT-ASTAP-REPT-25-MMW_RoF_Fronthaul_Backhaul.docx" TargetMode="External"/><Relationship Id="rId30" Type="http://schemas.openxmlformats.org/officeDocument/2006/relationships/hyperlink" Target="http://www.apt.int/Publications" TargetMode="External"/><Relationship Id="rId35" Type="http://schemas.openxmlformats.org/officeDocument/2006/relationships/image" Target="media/image6.png"/><Relationship Id="rId43" Type="http://schemas.openxmlformats.org/officeDocument/2006/relationships/image" Target="media/image7.emf"/><Relationship Id="rId48" Type="http://schemas.openxmlformats.org/officeDocument/2006/relationships/package" Target="embeddings/Microsoft_Word_Document4.docx"/><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yperlink" Target="http://www.apt.int/sites/default/files/Upload-files/AWG/APT-AWG-REP-69_APT_Report_ARNS.docx" TargetMode="External"/><Relationship Id="rId17" Type="http://schemas.openxmlformats.org/officeDocument/2006/relationships/hyperlink" Target="http://www.apt.int/sites/default/files/Upload-files/AWG/APT-AWG-REP-57Rev.1_APT_Report_Integrated_MSS_Hybrid_Satellite-Terrestrial_System.docx" TargetMode="External"/><Relationship Id="rId25" Type="http://schemas.openxmlformats.org/officeDocument/2006/relationships/hyperlink" Target="http://www.apt.int/sites/default/files/Upload-files/ASTAP/ASTAP-28-OUT-11-Questionnaire-Smart-City-Application.docx" TargetMode="External"/><Relationship Id="rId33" Type="http://schemas.openxmlformats.org/officeDocument/2006/relationships/image" Target="media/image5.emf"/><Relationship Id="rId38" Type="http://schemas.openxmlformats.org/officeDocument/2006/relationships/hyperlink" Target="http://www.ic.gc.ca/eic/site/smt-gst.nsf/eng/sf10971.html" TargetMode="External"/><Relationship Id="rId46" Type="http://schemas.openxmlformats.org/officeDocument/2006/relationships/package" Target="embeddings/Microsoft_Word_Document3.docx"/><Relationship Id="rId59" Type="http://schemas.openxmlformats.org/officeDocument/2006/relationships/theme" Target="theme/theme1.xml"/><Relationship Id="rId20" Type="http://schemas.openxmlformats.org/officeDocument/2006/relationships/hyperlink" Target="http://www.apt.int/sites/default/files/Upload-files/AWG/AWG-21-Q2_3300-3400_MHz.docx" TargetMode="External"/><Relationship Id="rId41" Type="http://schemas.openxmlformats.org/officeDocument/2006/relationships/hyperlink" Target="https://www.fcc.gov/document/fcc-moves-confront-scam-robocalls-malicious-spoofing" TargetMode="External"/><Relationship Id="rId54"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pt.int/sites/default/files/Upload-files/AWG/APT-AWG-REP-72_APT_Report_Grid_Monitoring_TDOA.docx" TargetMode="External"/><Relationship Id="rId23" Type="http://schemas.openxmlformats.org/officeDocument/2006/relationships/hyperlink" Target="http://www.apt.int/sites/default/files/Upload-files/ASTAP/ASTAP-28-OUT-20-Questionnaire-Transport_Networks.docx" TargetMode="External"/><Relationship Id="rId28" Type="http://schemas.openxmlformats.org/officeDocument/2006/relationships/image" Target="media/image3.emf"/><Relationship Id="rId36" Type="http://schemas.openxmlformats.org/officeDocument/2006/relationships/hyperlink" Target="http://rheintech.us4.list-manage.com/track/click?u=ea8729ded10d990820bca7414&amp;id=707a43ff34&amp;e=56b0e30a9b" TargetMode="External"/><Relationship Id="rId49" Type="http://schemas.openxmlformats.org/officeDocument/2006/relationships/image" Target="media/image10.png"/><Relationship Id="rId57" Type="http://schemas.openxmlformats.org/officeDocument/2006/relationships/header" Target="header2.xml"/><Relationship Id="rId10" Type="http://schemas.openxmlformats.org/officeDocument/2006/relationships/hyperlink" Target="http://www.apt.int/sites/default/files/Upload-files/AWG/AWG-21-REC1_PPDR.docx" TargetMode="External"/><Relationship Id="rId31" Type="http://schemas.openxmlformats.org/officeDocument/2006/relationships/image" Target="media/image4.emf"/><Relationship Id="rId44" Type="http://schemas.openxmlformats.org/officeDocument/2006/relationships/oleObject" Target="embeddings/oleObject1.bin"/><Relationship Id="rId52"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7C5F5-1724-413A-8317-E47442C45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Template>
  <TotalTime>24</TotalTime>
  <Pages>20</Pages>
  <Words>7572</Words>
  <Characters>46193</Characters>
  <Application>Microsoft Office Word</Application>
  <DocSecurity>0</DocSecurity>
  <Lines>384</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XXX(YY)XX - Source - Content</vt:lpstr>
      <vt:lpstr>XXX(YY)XX - Source - Content</vt:lpstr>
    </vt:vector>
  </TitlesOfParts>
  <Manager>ECC</Manager>
  <Company>ECO</Company>
  <LinksUpToDate>false</LinksUpToDate>
  <CharactersWithSpaces>53658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XXX(YY)XX - Source - Content</dc:title>
  <dc:creator>ECC</dc:creator>
  <dc:description>This template is used as guidance to draft generic contributions to ECC groups</dc:description>
  <cp:lastModifiedBy>Bruno Espinosa</cp:lastModifiedBy>
  <cp:revision>3</cp:revision>
  <cp:lastPrinted>2016-10-04T08:55:00Z</cp:lastPrinted>
  <dcterms:created xsi:type="dcterms:W3CDTF">2017-06-20T09:59:00Z</dcterms:created>
  <dcterms:modified xsi:type="dcterms:W3CDTF">2017-06-20T13:20:00Z</dcterms:modified>
  <cp:category>protected templates</cp:category>
  <cp:contentStatus>Template ECC</cp:contentStatus>
</cp:coreProperties>
</file>