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rsidTr="000E3E4D">
        <w:trPr>
          <w:cantSplit/>
          <w:trHeight w:val="1560"/>
        </w:trPr>
        <w:tc>
          <w:tcPr>
            <w:tcW w:w="4820" w:type="dxa"/>
            <w:gridSpan w:val="2"/>
            <w:tcBorders>
              <w:top w:val="nil"/>
              <w:left w:val="nil"/>
              <w:bottom w:val="nil"/>
              <w:right w:val="nil"/>
            </w:tcBorders>
            <w:vAlign w:val="center"/>
          </w:tcPr>
          <w:p w:rsidR="00265F50" w:rsidRPr="00265F50" w:rsidRDefault="00265F50" w:rsidP="000C78BA">
            <w:pPr>
              <w:pStyle w:val="ECCLetterHead"/>
            </w:pPr>
            <w:bookmarkStart w:id="0" w:name="_GoBack"/>
            <w:bookmarkEnd w:id="0"/>
            <w:r w:rsidRPr="00265F50">
              <w:rPr>
                <w:noProof/>
                <w:lang w:val="da-DK" w:eastAsia="da-DK"/>
              </w:rPr>
              <w:drawing>
                <wp:inline distT="0" distB="0" distL="0" distR="0" wp14:anchorId="794FBF8D" wp14:editId="03748421">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0C78BA">
              <w:t>Plenary</w:t>
            </w:r>
          </w:p>
        </w:tc>
        <w:tc>
          <w:tcPr>
            <w:tcW w:w="4961" w:type="dxa"/>
            <w:tcBorders>
              <w:top w:val="nil"/>
              <w:left w:val="nil"/>
              <w:bottom w:val="nil"/>
              <w:right w:val="nil"/>
            </w:tcBorders>
          </w:tcPr>
          <w:p w:rsidR="00265F50" w:rsidRPr="00265F50" w:rsidRDefault="00265F50" w:rsidP="005E0A59">
            <w:pPr>
              <w:pStyle w:val="ECCLetterHead"/>
            </w:pPr>
            <w:r>
              <w:tab/>
              <w:t xml:space="preserve">Doc. </w:t>
            </w:r>
            <w:r w:rsidR="000C78BA">
              <w:t>ECC(17</w:t>
            </w:r>
            <w:r w:rsidRPr="00265F50">
              <w:t>)</w:t>
            </w:r>
            <w:r w:rsidR="00823E83">
              <w:t>0</w:t>
            </w:r>
            <w:r w:rsidR="005E0A59">
              <w:t>82</w:t>
            </w:r>
          </w:p>
        </w:tc>
      </w:tr>
      <w:tr w:rsidR="00F11542" w:rsidRPr="00A3755D" w:rsidTr="00AF45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11705C" w:rsidRDefault="000C78BA" w:rsidP="00372E3A">
            <w:pPr>
              <w:pStyle w:val="ECCLetterHead"/>
            </w:pPr>
            <w:r>
              <w:t>4</w:t>
            </w:r>
            <w:r w:rsidR="00372E3A">
              <w:t>6</w:t>
            </w:r>
            <w:r w:rsidRPr="000C78BA">
              <w:rPr>
                <w:vertAlign w:val="superscript"/>
              </w:rPr>
              <w:t>th</w:t>
            </w:r>
            <w:r>
              <w:t xml:space="preserve"> Meeting</w:t>
            </w:r>
          </w:p>
        </w:tc>
      </w:tr>
      <w:tr w:rsidR="00F11542" w:rsidRPr="00A3755D" w:rsidTr="00AF45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F11542" w:rsidRPr="0011705C" w:rsidRDefault="00372E3A" w:rsidP="00372E3A">
            <w:pPr>
              <w:pStyle w:val="ECCLetterHead"/>
            </w:pPr>
            <w:r>
              <w:t>Bucharest, 14-17 November</w:t>
            </w:r>
            <w:r w:rsidR="000C78BA">
              <w:t xml:space="preserve"> 2017</w:t>
            </w:r>
          </w:p>
        </w:tc>
      </w:tr>
      <w:tr w:rsidR="00F11542" w:rsidRPr="00A3755D" w:rsidTr="00AF4545">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F11542" w:rsidRPr="00A3755D" w:rsidRDefault="00F11542" w:rsidP="00263FFB">
            <w:pPr>
              <w:pStyle w:val="ECCLetterHead"/>
            </w:pPr>
          </w:p>
        </w:tc>
      </w:tr>
      <w:tr w:rsidR="00263FFB"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rsidR="00263FFB" w:rsidRPr="00263FFB" w:rsidRDefault="00DF08AA" w:rsidP="00372E3A">
            <w:pPr>
              <w:pStyle w:val="ECCLetterHead"/>
            </w:pPr>
            <w:r>
              <w:t>6</w:t>
            </w:r>
            <w:r w:rsidR="00823E83">
              <w:t xml:space="preserve"> </w:t>
            </w:r>
            <w:r w:rsidR="00372E3A">
              <w:t>November</w:t>
            </w:r>
            <w:r w:rsidR="00823E83">
              <w:t xml:space="preserve"> 2017</w:t>
            </w:r>
          </w:p>
        </w:tc>
      </w:tr>
      <w:tr w:rsidR="00263FFB"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rsidR="00263FFB" w:rsidRPr="00263FFB" w:rsidRDefault="00823E83" w:rsidP="00263FFB">
            <w:pPr>
              <w:pStyle w:val="ECCLetterHead"/>
            </w:pPr>
            <w:r>
              <w:t>ECO</w:t>
            </w:r>
          </w:p>
        </w:tc>
      </w:tr>
      <w:tr w:rsidR="00263FFB"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rsidR="00263FFB" w:rsidRPr="00263FFB" w:rsidRDefault="00823E83" w:rsidP="00263FFB">
            <w:pPr>
              <w:pStyle w:val="ECCLetterHead"/>
            </w:pPr>
            <w:r w:rsidRPr="00A82B1F">
              <w:t>ECO Bulletin on on</w:t>
            </w:r>
            <w:r>
              <w:t>-</w:t>
            </w:r>
            <w:r w:rsidRPr="00A82B1F">
              <w:t>going/new issues in other regions or organisations</w:t>
            </w:r>
          </w:p>
        </w:tc>
      </w:tr>
      <w:tr w:rsidR="00263FFB" w:rsidRPr="00A3755D"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263FFB" w:rsidRDefault="00263FFB" w:rsidP="00263FFB">
            <w:pPr>
              <w:pStyle w:val="ECCTabletext"/>
            </w:pPr>
            <w:r w:rsidRPr="00263FFB">
              <w:rPr>
                <w:noProof/>
                <w:lang w:val="da-DK" w:eastAsia="da-DK"/>
              </w:rPr>
              <mc:AlternateContent>
                <mc:Choice Requires="wps">
                  <w:drawing>
                    <wp:anchor distT="0" distB="0" distL="114300" distR="114300" simplePos="0" relativeHeight="251662336" behindDoc="0" locked="1" layoutInCell="0" allowOverlap="1" wp14:anchorId="6BE019FC" wp14:editId="0F51D18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5F50C2" w:rsidRPr="00F45561" w:rsidRDefault="005F50C2"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5F50C2" w:rsidRPr="00F45561" w:rsidRDefault="005F50C2"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263FFB" w:rsidRPr="00A3755D"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 xml:space="preserve">Summary: </w:t>
            </w: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823E83" w:rsidRPr="00523220" w:rsidRDefault="00823E83" w:rsidP="00823E83">
            <w:r w:rsidRPr="00523220">
              <w:t>This ECO Bulletin provides a summary update on aspects of progress in spectrum management outside the CEPT. The items in this bulletin include:</w:t>
            </w:r>
          </w:p>
          <w:p w:rsidR="00823E83" w:rsidRDefault="00823E83" w:rsidP="00D236E5">
            <w:pPr>
              <w:pStyle w:val="ListParagraph"/>
              <w:numPr>
                <w:ilvl w:val="0"/>
                <w:numId w:val="8"/>
              </w:numPr>
              <w:spacing w:before="0" w:after="120"/>
              <w:contextualSpacing w:val="0"/>
            </w:pPr>
            <w:r w:rsidRPr="00BE306E">
              <w:t xml:space="preserve">Update from APT (new </w:t>
            </w:r>
            <w:r w:rsidR="00084EAD">
              <w:t xml:space="preserve">and revised </w:t>
            </w:r>
            <w:r w:rsidRPr="00BE306E">
              <w:t>APT Re</w:t>
            </w:r>
            <w:r>
              <w:t>commendations</w:t>
            </w:r>
            <w:r w:rsidR="00084EAD">
              <w:t xml:space="preserve"> and </w:t>
            </w:r>
            <w:r>
              <w:t>Reports, questionnaires and further on-going work</w:t>
            </w:r>
            <w:r w:rsidRPr="00BE306E">
              <w:t xml:space="preserve">, </w:t>
            </w:r>
            <w:r>
              <w:t>work on strategic plan</w:t>
            </w:r>
            <w:r w:rsidRPr="00BE306E">
              <w:t>);</w:t>
            </w:r>
          </w:p>
          <w:p w:rsidR="00083FB4" w:rsidRDefault="00083FB4" w:rsidP="00D236E5">
            <w:pPr>
              <w:pStyle w:val="ListParagraph"/>
              <w:numPr>
                <w:ilvl w:val="0"/>
                <w:numId w:val="8"/>
              </w:numPr>
              <w:spacing w:before="0" w:after="120"/>
              <w:contextualSpacing w:val="0"/>
            </w:pPr>
            <w:r w:rsidRPr="00083FB4">
              <w:t>FCC: R</w:t>
            </w:r>
            <w:r>
              <w:t>esulting order after the 600 MHz Incentive Auction;</w:t>
            </w:r>
          </w:p>
          <w:p w:rsidR="007F04B0" w:rsidRPr="00BE306E" w:rsidRDefault="007F04B0" w:rsidP="00D236E5">
            <w:pPr>
              <w:pStyle w:val="ListParagraph"/>
              <w:numPr>
                <w:ilvl w:val="0"/>
                <w:numId w:val="8"/>
              </w:numPr>
              <w:spacing w:before="0" w:after="120"/>
              <w:contextualSpacing w:val="0"/>
            </w:pPr>
            <w:r w:rsidRPr="007F04B0">
              <w:t>B</w:t>
            </w:r>
            <w:r>
              <w:t>B-</w:t>
            </w:r>
            <w:r w:rsidRPr="007F04B0">
              <w:t xml:space="preserve">DA2G – </w:t>
            </w:r>
            <w:r>
              <w:t xml:space="preserve">Info about </w:t>
            </w:r>
            <w:r w:rsidRPr="007F04B0">
              <w:t xml:space="preserve">USA </w:t>
            </w:r>
            <w:r>
              <w:t>incl. some press information Europe;</w:t>
            </w:r>
          </w:p>
          <w:p w:rsidR="007F04B0" w:rsidRDefault="007F04B0" w:rsidP="00D236E5">
            <w:pPr>
              <w:pStyle w:val="ListParagraph"/>
              <w:numPr>
                <w:ilvl w:val="0"/>
                <w:numId w:val="8"/>
              </w:numPr>
              <w:spacing w:before="0" w:after="120"/>
              <w:contextualSpacing w:val="0"/>
            </w:pPr>
            <w:r>
              <w:t>FCC: New Proposed Rulemaking on “Restoring the Freedom of the Internet” or about “Net Neutrality”;</w:t>
            </w:r>
          </w:p>
          <w:p w:rsidR="007F04B0" w:rsidRDefault="007F04B0" w:rsidP="00D236E5">
            <w:pPr>
              <w:pStyle w:val="ListParagraph"/>
              <w:numPr>
                <w:ilvl w:val="0"/>
                <w:numId w:val="8"/>
              </w:numPr>
              <w:spacing w:before="0" w:after="120"/>
              <w:contextualSpacing w:val="0"/>
            </w:pPr>
            <w:r>
              <w:t>FCC: upcoming decisions on new spectrum</w:t>
            </w:r>
          </w:p>
          <w:p w:rsidR="007F04B0" w:rsidRDefault="007F04B0" w:rsidP="00D236E5">
            <w:pPr>
              <w:pStyle w:val="ListParagraph"/>
              <w:numPr>
                <w:ilvl w:val="0"/>
                <w:numId w:val="8"/>
              </w:numPr>
              <w:spacing w:before="0" w:after="120"/>
              <w:contextualSpacing w:val="0"/>
            </w:pPr>
            <w:r>
              <w:t>FCC: change of conditions in 3550-3700 MHz and proposals for 3700.-4200 MHz;</w:t>
            </w:r>
          </w:p>
          <w:p w:rsidR="007F04B0" w:rsidRDefault="007F04B0" w:rsidP="00D236E5">
            <w:pPr>
              <w:pStyle w:val="ListParagraph"/>
              <w:numPr>
                <w:ilvl w:val="0"/>
                <w:numId w:val="8"/>
              </w:numPr>
              <w:spacing w:before="0" w:after="120"/>
              <w:contextualSpacing w:val="0"/>
            </w:pPr>
            <w:r>
              <w:t>FCC: change of rules for NGSO FSS in 20/30 GHz (Ka-band);</w:t>
            </w:r>
          </w:p>
          <w:p w:rsidR="002F70E6" w:rsidRDefault="00376CBF" w:rsidP="00D236E5">
            <w:pPr>
              <w:pStyle w:val="ListParagraph"/>
              <w:numPr>
                <w:ilvl w:val="0"/>
                <w:numId w:val="8"/>
              </w:numPr>
              <w:spacing w:before="0" w:after="120"/>
              <w:contextualSpacing w:val="0"/>
            </w:pPr>
            <w:r>
              <w:t>Australia: ACMA spectrum Tune up: spectrum for 5G in mmwave bands;</w:t>
            </w:r>
          </w:p>
          <w:p w:rsidR="005E0A59" w:rsidRDefault="007B25E5" w:rsidP="00D236E5">
            <w:pPr>
              <w:pStyle w:val="ListParagraph"/>
              <w:numPr>
                <w:ilvl w:val="0"/>
                <w:numId w:val="8"/>
              </w:numPr>
              <w:spacing w:line="360" w:lineRule="auto"/>
            </w:pPr>
            <w:r w:rsidRPr="007B25E5">
              <w:t>C</w:t>
            </w:r>
            <w:r>
              <w:t xml:space="preserve">anada </w:t>
            </w:r>
            <w:r w:rsidRPr="007B25E5">
              <w:t>– R</w:t>
            </w:r>
            <w:r>
              <w:t xml:space="preserve">elease of </w:t>
            </w:r>
            <w:r w:rsidRPr="007B25E5">
              <w:t>RSS-252 (ITS D</w:t>
            </w:r>
            <w:r>
              <w:t xml:space="preserve">evices operating in the </w:t>
            </w:r>
            <w:r w:rsidRPr="007B25E5">
              <w:t>5850-5925 M</w:t>
            </w:r>
            <w:r>
              <w:t>Hz band</w:t>
            </w:r>
            <w:r w:rsidR="005E0A59">
              <w:t>;</w:t>
            </w:r>
          </w:p>
          <w:p w:rsidR="00376CBF" w:rsidRPr="00263FFB" w:rsidRDefault="00E40686" w:rsidP="00D236E5">
            <w:pPr>
              <w:pStyle w:val="ListParagraph"/>
              <w:numPr>
                <w:ilvl w:val="0"/>
                <w:numId w:val="8"/>
              </w:numPr>
            </w:pPr>
            <w:r w:rsidRPr="00E40686">
              <w:t>FCC: ‘</w:t>
            </w:r>
            <w:r>
              <w:t>Notice of Enquiry</w:t>
            </w:r>
            <w:r w:rsidRPr="00E40686">
              <w:t xml:space="preserve">’ </w:t>
            </w:r>
            <w:r>
              <w:t>published in July 2017</w:t>
            </w:r>
            <w:r w:rsidRPr="00E40686">
              <w:t xml:space="preserve"> – 6 GH</w:t>
            </w:r>
            <w:r>
              <w:t>z</w:t>
            </w:r>
            <w:r w:rsidRPr="00E40686">
              <w:t xml:space="preserve"> WAS/RLAN</w:t>
            </w: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Proposal:</w:t>
            </w: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263FFB" w:rsidRDefault="000C78BA" w:rsidP="00263FFB">
            <w:pPr>
              <w:pStyle w:val="ECCTabletext"/>
            </w:pPr>
            <w:r>
              <w:t>ECC is invited</w:t>
            </w:r>
            <w:r w:rsidR="00265F50">
              <w:t xml:space="preserve"> to</w:t>
            </w:r>
            <w:r w:rsidR="00823E83">
              <w:t xml:space="preserve"> note this bulletin. </w:t>
            </w:r>
            <w:r w:rsidR="00823E83" w:rsidRPr="00523220">
              <w:t>More detailed input on some of the subjects covered is being input to the groups dealing with the respective subjects.</w:t>
            </w:r>
          </w:p>
          <w:p w:rsidR="00823E83" w:rsidRDefault="00823E83" w:rsidP="00823E83">
            <w:r w:rsidRPr="00523220">
              <w:t xml:space="preserve">Several of the issues </w:t>
            </w:r>
            <w:r>
              <w:t xml:space="preserve">covered in this bulletin </w:t>
            </w:r>
            <w:r w:rsidRPr="00523220">
              <w:t xml:space="preserve">should be noted or discussed </w:t>
            </w:r>
            <w:r w:rsidR="00C2287A">
              <w:t xml:space="preserve">in detail </w:t>
            </w:r>
            <w:r w:rsidRPr="00523220">
              <w:t>at the respective WG/ PT level</w:t>
            </w:r>
            <w:r>
              <w:t xml:space="preserve">. </w:t>
            </w:r>
          </w:p>
          <w:p w:rsidR="002F70E6" w:rsidRDefault="00823E83" w:rsidP="0002102E">
            <w:pPr>
              <w:pStyle w:val="ECCTabletext"/>
            </w:pPr>
            <w:r>
              <w:t xml:space="preserve">This includes </w:t>
            </w:r>
            <w:r w:rsidRPr="00523220">
              <w:t xml:space="preserve">information related to </w:t>
            </w:r>
            <w:r>
              <w:t xml:space="preserve">satellite issues (items </w:t>
            </w:r>
            <w:r w:rsidR="0002102E">
              <w:t>6 and 7</w:t>
            </w:r>
            <w:r>
              <w:t>), for CPG (item</w:t>
            </w:r>
            <w:r w:rsidR="0002102E">
              <w:t>s 1 and 8</w:t>
            </w:r>
            <w:r>
              <w:t xml:space="preserve">), for items in relation to SRD or SRD/MG activities (items </w:t>
            </w:r>
            <w:r w:rsidR="0002102E">
              <w:t xml:space="preserve">1, </w:t>
            </w:r>
            <w:r>
              <w:t>5</w:t>
            </w:r>
            <w:r w:rsidR="0002102E">
              <w:t xml:space="preserve"> and 9</w:t>
            </w:r>
            <w:r>
              <w:t xml:space="preserve">), PPDR (item </w:t>
            </w:r>
            <w:r w:rsidR="0002102E">
              <w:t>1 - APT</w:t>
            </w:r>
            <w:r>
              <w:t>)</w:t>
            </w:r>
            <w:r w:rsidR="0002102E">
              <w:t xml:space="preserve">, </w:t>
            </w:r>
            <w:r>
              <w:t xml:space="preserve">of general interest for WG FM on DA2G (item </w:t>
            </w:r>
            <w:r w:rsidR="0002102E">
              <w:t>3</w:t>
            </w:r>
            <w:r>
              <w:t>), or for PT1 (</w:t>
            </w:r>
            <w:r w:rsidR="00D640BE">
              <w:t>items 1,</w:t>
            </w:r>
            <w:r w:rsidR="0002102E">
              <w:t xml:space="preserve"> </w:t>
            </w:r>
            <w:r w:rsidR="00D640BE">
              <w:t xml:space="preserve">2, </w:t>
            </w:r>
            <w:r w:rsidR="0002102E">
              <w:t>5, 6, 8</w:t>
            </w:r>
            <w:r>
              <w:t xml:space="preserve">). </w:t>
            </w:r>
            <w:r w:rsidR="009F242B">
              <w:t xml:space="preserve">Item 10 is for FM57 and SE45. </w:t>
            </w:r>
            <w:r>
              <w:t>Some elements may be of interest for WG SE</w:t>
            </w:r>
            <w:r w:rsidR="0002102E">
              <w:t>.</w:t>
            </w:r>
            <w:r>
              <w:t xml:space="preserve"> Item </w:t>
            </w:r>
            <w:r w:rsidR="0002102E">
              <w:t xml:space="preserve">4 </w:t>
            </w:r>
            <w:r>
              <w:t>is for information of WG NaN.</w:t>
            </w:r>
          </w:p>
          <w:p w:rsidR="009F242B" w:rsidRDefault="009F242B" w:rsidP="0002102E">
            <w:pPr>
              <w:pStyle w:val="ECCTabletext"/>
            </w:pPr>
          </w:p>
          <w:p w:rsidR="009F242B" w:rsidRDefault="009F242B" w:rsidP="0002102E">
            <w:pPr>
              <w:pStyle w:val="ECCTabletext"/>
            </w:pPr>
          </w:p>
          <w:p w:rsidR="009F242B" w:rsidRPr="00263FFB" w:rsidRDefault="009F242B" w:rsidP="0002102E">
            <w:pPr>
              <w:pStyle w:val="ECCTabletext"/>
            </w:pP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lastRenderedPageBreak/>
              <w:t>Background:</w:t>
            </w:r>
          </w:p>
        </w:tc>
      </w:tr>
      <w:tr w:rsidR="00265F50"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823E83" w:rsidRPr="00523220" w:rsidRDefault="00823E83" w:rsidP="00823E83">
            <w:pPr>
              <w:rPr>
                <w:bCs/>
                <w:szCs w:val="24"/>
              </w:rPr>
            </w:pPr>
            <w:r w:rsidRPr="00523220">
              <w:rPr>
                <w:bCs/>
                <w:szCs w:val="24"/>
              </w:rPr>
              <w:t xml:space="preserve">The Office brings to each ECC meeting a bulletin on activities in radio communications in other world regions, where a regulatory dimension is raised (e.g. by innovative services or technology). </w:t>
            </w:r>
          </w:p>
          <w:p w:rsidR="002F70E6" w:rsidRPr="00265F50" w:rsidRDefault="00823E83" w:rsidP="00823E83">
            <w:pPr>
              <w:pStyle w:val="ECCTabletext"/>
            </w:pPr>
            <w:r w:rsidRPr="00523220">
              <w:rPr>
                <w:bCs/>
                <w:szCs w:val="24"/>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1B0583" w:rsidRDefault="001B0583" w:rsidP="001B0583">
      <w:pPr>
        <w:pStyle w:val="ECCTablenote"/>
        <w:rPr>
          <w:rStyle w:val="ECCParagraph"/>
        </w:rPr>
      </w:pPr>
    </w:p>
    <w:p w:rsidR="00231A0F" w:rsidRDefault="00231A0F">
      <w:pPr>
        <w:rPr>
          <w:rStyle w:val="ECCParagraph"/>
          <w:rFonts w:eastAsia="Times New Roman"/>
          <w:szCs w:val="16"/>
        </w:rPr>
      </w:pPr>
      <w:r>
        <w:rPr>
          <w:rStyle w:val="ECCParagraph"/>
        </w:rPr>
        <w:br w:type="page"/>
      </w:r>
    </w:p>
    <w:p w:rsidR="00C32C20" w:rsidRDefault="00823E83" w:rsidP="00231A0F">
      <w:pPr>
        <w:pStyle w:val="Heading1"/>
        <w:rPr>
          <w:rStyle w:val="ECCParagraph"/>
        </w:rPr>
      </w:pPr>
      <w:r>
        <w:rPr>
          <w:rStyle w:val="ECCParagraph"/>
        </w:rPr>
        <w:lastRenderedPageBreak/>
        <w:t>News from APT</w:t>
      </w:r>
    </w:p>
    <w:p w:rsidR="00823E83" w:rsidRPr="00823E83" w:rsidRDefault="005F50C2" w:rsidP="00823E83">
      <w:pPr>
        <w:pStyle w:val="ECCTablenote"/>
        <w:ind w:left="0" w:firstLine="0"/>
        <w:rPr>
          <w:rStyle w:val="ECCParagraph"/>
        </w:rPr>
      </w:pPr>
      <w:r w:rsidRPr="005F50C2">
        <w:rPr>
          <w:rStyle w:val="ECCParagraph"/>
        </w:rPr>
        <w:t>The 22</w:t>
      </w:r>
      <w:r w:rsidRPr="005F50C2">
        <w:rPr>
          <w:rStyle w:val="ECCParagraph"/>
          <w:vertAlign w:val="superscript"/>
        </w:rPr>
        <w:t>nd</w:t>
      </w:r>
      <w:r>
        <w:rPr>
          <w:rStyle w:val="ECCParagraph"/>
        </w:rPr>
        <w:t xml:space="preserve"> </w:t>
      </w:r>
      <w:r w:rsidRPr="005F50C2">
        <w:rPr>
          <w:rStyle w:val="ECCParagraph"/>
        </w:rPr>
        <w:t>Meeting of APT Wireless Group (AWG-22) was held from 25 to 29 September 2017 in Busan, Republic of Korea.</w:t>
      </w:r>
    </w:p>
    <w:p w:rsidR="005F50C2" w:rsidRDefault="005F50C2" w:rsidP="005F50C2">
      <w:pPr>
        <w:rPr>
          <w:rStyle w:val="ECCParagraph"/>
          <w:rFonts w:eastAsia="Times New Roman"/>
          <w:szCs w:val="16"/>
        </w:rPr>
      </w:pPr>
      <w:r w:rsidRPr="005F50C2">
        <w:rPr>
          <w:rStyle w:val="ECCParagraph"/>
          <w:rFonts w:eastAsia="Times New Roman"/>
          <w:szCs w:val="16"/>
        </w:rPr>
        <w:t xml:space="preserve">AWG-22 discussed </w:t>
      </w:r>
      <w:r>
        <w:rPr>
          <w:rStyle w:val="ECCParagraph"/>
          <w:rFonts w:eastAsia="Times New Roman"/>
          <w:szCs w:val="16"/>
        </w:rPr>
        <w:t xml:space="preserve">amongst other subjects </w:t>
      </w:r>
      <w:r w:rsidRPr="005F50C2">
        <w:rPr>
          <w:rStyle w:val="ECCParagraph"/>
          <w:rFonts w:eastAsia="Times New Roman"/>
          <w:szCs w:val="16"/>
        </w:rPr>
        <w:t xml:space="preserve">the progress of APT Frequency Information System (AFIS), the implementation of the Strategic Plan of the APT for 2015-2017 and the Workplan of AWG. An in-session workshop on Railway Radiocommunication System was held during AWG-22. Further, </w:t>
      </w:r>
      <w:r>
        <w:rPr>
          <w:rStyle w:val="ECCParagraph"/>
          <w:rFonts w:eastAsia="Times New Roman"/>
          <w:szCs w:val="16"/>
        </w:rPr>
        <w:t xml:space="preserve">an </w:t>
      </w:r>
      <w:r w:rsidRPr="005F50C2">
        <w:rPr>
          <w:rStyle w:val="ECCParagraph"/>
          <w:rFonts w:eastAsia="Times New Roman"/>
          <w:szCs w:val="16"/>
        </w:rPr>
        <w:t>AWG Workshop on ‘Wireless Technology for Future Digital Transformation’ was also held during AWG-22.</w:t>
      </w:r>
    </w:p>
    <w:p w:rsidR="00823E83" w:rsidRDefault="00823E83" w:rsidP="00823E83">
      <w:pPr>
        <w:pStyle w:val="Caption"/>
        <w:rPr>
          <w:rStyle w:val="ECCParagraph"/>
        </w:rPr>
      </w:pPr>
      <w:r>
        <w:rPr>
          <w:rFonts w:cs="Arial"/>
          <w:lang w:val="en-US"/>
        </w:rPr>
        <w:t xml:space="preserve">New </w:t>
      </w:r>
      <w:r w:rsidR="008C2D37">
        <w:rPr>
          <w:rFonts w:cs="Arial"/>
          <w:lang w:val="en-US"/>
        </w:rPr>
        <w:t xml:space="preserve">or revised </w:t>
      </w:r>
      <w:r>
        <w:rPr>
          <w:rFonts w:cs="Arial"/>
          <w:lang w:val="en-US"/>
        </w:rPr>
        <w:t>APT Reports (approved and published</w:t>
      </w:r>
      <w:r w:rsidR="008C2D37">
        <w:rPr>
          <w:rFonts w:cs="Arial"/>
          <w:lang w:val="en-US"/>
        </w:rPr>
        <w:t xml:space="preserve"> in 09/2017</w:t>
      </w:r>
      <w:r>
        <w:rPr>
          <w:rFonts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794"/>
        <w:gridCol w:w="5953"/>
      </w:tblGrid>
      <w:tr w:rsidR="00211FA9" w:rsidRPr="00FE1795" w:rsidTr="00211FA9">
        <w:trPr>
          <w:tblHeader/>
        </w:trPr>
        <w:tc>
          <w:tcPr>
            <w:tcW w:w="3794" w:type="dxa"/>
            <w:tcBorders>
              <w:top w:val="single" w:sz="4" w:space="0" w:color="D2232A"/>
              <w:left w:val="single" w:sz="4" w:space="0" w:color="D2232A"/>
              <w:bottom w:val="single" w:sz="4" w:space="0" w:color="D2232A"/>
              <w:right w:val="nil"/>
            </w:tcBorders>
            <w:shd w:val="clear" w:color="auto" w:fill="D2232A"/>
            <w:vAlign w:val="center"/>
          </w:tcPr>
          <w:p w:rsidR="00211FA9" w:rsidRPr="002F70E6" w:rsidRDefault="00211FA9" w:rsidP="00AF4545">
            <w:pPr>
              <w:pStyle w:val="ECCTableHeaderwhitefont"/>
              <w:rPr>
                <w:rStyle w:val="ECCHLbold"/>
              </w:rPr>
            </w:pPr>
            <w:r>
              <w:rPr>
                <w:rStyle w:val="ECCHLbold"/>
              </w:rPr>
              <w:t>Reference</w:t>
            </w:r>
            <w:r w:rsidRPr="002F70E6">
              <w:rPr>
                <w:rStyle w:val="ECCHLbold"/>
              </w:rPr>
              <w:t xml:space="preserve"> </w:t>
            </w:r>
          </w:p>
        </w:tc>
        <w:tc>
          <w:tcPr>
            <w:tcW w:w="5953" w:type="dxa"/>
            <w:tcBorders>
              <w:top w:val="single" w:sz="4" w:space="0" w:color="D2232A"/>
              <w:left w:val="nil"/>
              <w:bottom w:val="single" w:sz="4" w:space="0" w:color="D2232A"/>
              <w:right w:val="nil"/>
            </w:tcBorders>
            <w:shd w:val="clear" w:color="auto" w:fill="D2232A"/>
            <w:vAlign w:val="center"/>
          </w:tcPr>
          <w:p w:rsidR="00211FA9" w:rsidRPr="002F70E6" w:rsidRDefault="00211FA9" w:rsidP="00AF4545">
            <w:pPr>
              <w:pStyle w:val="ECCTableHeaderwhitefont"/>
              <w:rPr>
                <w:rStyle w:val="ECCHLbold"/>
              </w:rPr>
            </w:pPr>
            <w:r>
              <w:rPr>
                <w:rStyle w:val="ECCHLbold"/>
              </w:rPr>
              <w:t>Topic</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0" w:history="1">
              <w:r w:rsidR="005F50C2" w:rsidRPr="005F50C2">
                <w:rPr>
                  <w:rFonts w:cs="Arial"/>
                  <w:color w:val="095E54"/>
                  <w:u w:val="single"/>
                </w:rPr>
                <w:t>APT/AWG/REP-07(Rev.5)</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5F50C2" w:rsidP="00AF4545">
            <w:r>
              <w:t xml:space="preserve">Revision of the </w:t>
            </w:r>
            <w:r w:rsidRPr="005F50C2">
              <w:t>APT Report</w:t>
            </w:r>
            <w:r>
              <w:t xml:space="preserve"> 07</w:t>
            </w:r>
            <w:r w:rsidRPr="005F50C2">
              <w:t xml:space="preserve"> on Survey on Operation of Short-Range Devices (SRDs)</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1" w:history="1">
              <w:r w:rsidR="005F50C2" w:rsidRPr="005F50C2">
                <w:rPr>
                  <w:rFonts w:cs="Arial"/>
                  <w:color w:val="095E54"/>
                  <w:u w:val="single"/>
                </w:rPr>
                <w:t>APT/AWG/REP-73(Rev.1)</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5F50C2" w:rsidP="00AF4545">
            <w:r>
              <w:t xml:space="preserve">Revision of the </w:t>
            </w:r>
            <w:r w:rsidRPr="005F50C2">
              <w:t>APT Report</w:t>
            </w:r>
            <w:r>
              <w:t xml:space="preserve"> 73</w:t>
            </w:r>
            <w:r w:rsidRPr="005F50C2">
              <w:t xml:space="preserve"> on Harmonization of Frequency Ranges Use by Wireless PPDR Applications in Asia-Pacific Region</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2" w:history="1">
              <w:r w:rsidR="005F50C2" w:rsidRPr="005F50C2">
                <w:rPr>
                  <w:rFonts w:cs="Arial"/>
                  <w:color w:val="095E54"/>
                  <w:u w:val="single"/>
                  <w:shd w:val="clear" w:color="auto" w:fill="FFFFFF"/>
                </w:rPr>
                <w:t>APT/AWG/REP-74</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5F50C2" w:rsidP="005F50C2">
            <w:r>
              <w:t xml:space="preserve">New </w:t>
            </w:r>
            <w:r w:rsidRPr="005F50C2">
              <w:t xml:space="preserve">APT Report </w:t>
            </w:r>
            <w:r>
              <w:t xml:space="preserve">74 </w:t>
            </w:r>
            <w:r w:rsidRPr="005F50C2">
              <w:t>on study on Geo-Location Database as an enable technology of CRS</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3" w:history="1">
              <w:r w:rsidR="005F50C2" w:rsidRPr="005F50C2">
                <w:rPr>
                  <w:rFonts w:cs="Arial"/>
                  <w:color w:val="095E54"/>
                  <w:u w:val="single"/>
                </w:rPr>
                <w:t>APT/AWG/REP-75</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5F50C2" w:rsidP="00AF4545">
            <w:r w:rsidRPr="005F50C2">
              <w:t>APT Report on In Band Full Duplex technology for Fixed Wireless System</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4" w:history="1">
              <w:r w:rsidR="005F50C2" w:rsidRPr="005F50C2">
                <w:rPr>
                  <w:rFonts w:cs="Arial"/>
                  <w:color w:val="095E54"/>
                  <w:u w:val="single"/>
                </w:rPr>
                <w:t>APT/AWG/REP-76</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5F50C2" w:rsidP="00AF4545">
            <w:r w:rsidRPr="005F50C2">
              <w:t>APT Report on Frequency Ranges Used for Non-beam WPT for EVs</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0" w:line="234" w:lineRule="atLeast"/>
              <w:jc w:val="left"/>
              <w:rPr>
                <w:rStyle w:val="Hyperlink"/>
              </w:rPr>
            </w:pPr>
            <w:hyperlink r:id="rId15" w:history="1">
              <w:r w:rsidR="005F50C2" w:rsidRPr="005F50C2">
                <w:rPr>
                  <w:rFonts w:cs="Arial"/>
                  <w:color w:val="095E54"/>
                  <w:u w:val="single"/>
                </w:rPr>
                <w:t>APT/AWG/REP-77</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8C2D37" w:rsidP="00AF4545">
            <w:r w:rsidRPr="008C2D37">
              <w:t>APT Report on Survey on the Usage of the Bands 457.5125 - 457.5875 MHz and 467.5125 - 467.5875 MHz by the Maritime Mobile Service in Asia Pacific Region</w:t>
            </w:r>
            <w:r w:rsidR="00084EAD">
              <w:t xml:space="preserve"> (informing about possibilities to use digital technology in APT countries))</w:t>
            </w:r>
          </w:p>
        </w:tc>
      </w:tr>
      <w:tr w:rsidR="00211FA9" w:rsidTr="00AF4545">
        <w:tc>
          <w:tcPr>
            <w:tcW w:w="3794" w:type="dxa"/>
            <w:tcBorders>
              <w:top w:val="single" w:sz="4" w:space="0" w:color="D2232A"/>
              <w:left w:val="single" w:sz="4" w:space="0" w:color="D2232A"/>
              <w:bottom w:val="single" w:sz="4" w:space="0" w:color="D2232A"/>
              <w:right w:val="single" w:sz="4" w:space="0" w:color="D2232A"/>
            </w:tcBorders>
          </w:tcPr>
          <w:p w:rsidR="00211FA9" w:rsidRPr="00211FA9" w:rsidRDefault="009E53EA" w:rsidP="00211FA9">
            <w:pPr>
              <w:spacing w:after="200" w:line="234" w:lineRule="atLeast"/>
              <w:jc w:val="left"/>
              <w:rPr>
                <w:rStyle w:val="Hyperlink"/>
              </w:rPr>
            </w:pPr>
            <w:hyperlink r:id="rId16" w:history="1">
              <w:r w:rsidR="005F50C2" w:rsidRPr="005F50C2">
                <w:rPr>
                  <w:rFonts w:cs="Arial"/>
                  <w:color w:val="095E54"/>
                  <w:u w:val="single"/>
                </w:rPr>
                <w:t>APT/AWG/REP-78</w:t>
              </w:r>
            </w:hyperlink>
          </w:p>
        </w:tc>
        <w:tc>
          <w:tcPr>
            <w:tcW w:w="5953" w:type="dxa"/>
            <w:tcBorders>
              <w:top w:val="single" w:sz="4" w:space="0" w:color="D2232A"/>
              <w:left w:val="single" w:sz="4" w:space="0" w:color="D2232A"/>
              <w:bottom w:val="single" w:sz="4" w:space="0" w:color="D2232A"/>
              <w:right w:val="single" w:sz="4" w:space="0" w:color="D2232A"/>
            </w:tcBorders>
          </w:tcPr>
          <w:p w:rsidR="00211FA9" w:rsidRPr="00526420" w:rsidRDefault="008C2D37" w:rsidP="00AF4545">
            <w:r w:rsidRPr="008C2D37">
              <w:t>APT Report on System Description, Technologies and Implementation of Railway Radiocommunication Systems Between Train and Trackside (RSTT)</w:t>
            </w:r>
          </w:p>
        </w:tc>
      </w:tr>
      <w:tr w:rsidR="005F50C2" w:rsidTr="00AF4545">
        <w:tc>
          <w:tcPr>
            <w:tcW w:w="3794" w:type="dxa"/>
            <w:tcBorders>
              <w:top w:val="single" w:sz="4" w:space="0" w:color="D2232A"/>
              <w:left w:val="single" w:sz="4" w:space="0" w:color="D2232A"/>
              <w:bottom w:val="single" w:sz="4" w:space="0" w:color="D2232A"/>
              <w:right w:val="single" w:sz="4" w:space="0" w:color="D2232A"/>
            </w:tcBorders>
          </w:tcPr>
          <w:p w:rsidR="005F50C2" w:rsidRPr="00211FA9" w:rsidRDefault="009E53EA" w:rsidP="00211FA9">
            <w:pPr>
              <w:spacing w:after="200" w:line="234" w:lineRule="atLeast"/>
              <w:jc w:val="left"/>
              <w:rPr>
                <w:rStyle w:val="Hyperlink"/>
              </w:rPr>
            </w:pPr>
            <w:hyperlink r:id="rId17" w:history="1">
              <w:r w:rsidR="005F50C2" w:rsidRPr="005F50C2">
                <w:rPr>
                  <w:rFonts w:cs="Arial"/>
                  <w:color w:val="095E54"/>
                  <w:u w:val="single"/>
                </w:rPr>
                <w:t>APT/AWG/REP-79</w:t>
              </w:r>
            </w:hyperlink>
          </w:p>
        </w:tc>
        <w:tc>
          <w:tcPr>
            <w:tcW w:w="5953" w:type="dxa"/>
            <w:tcBorders>
              <w:top w:val="single" w:sz="4" w:space="0" w:color="D2232A"/>
              <w:left w:val="single" w:sz="4" w:space="0" w:color="D2232A"/>
              <w:bottom w:val="single" w:sz="4" w:space="0" w:color="D2232A"/>
              <w:right w:val="single" w:sz="4" w:space="0" w:color="D2232A"/>
            </w:tcBorders>
          </w:tcPr>
          <w:p w:rsidR="005F50C2" w:rsidRPr="00526420" w:rsidRDefault="008C2D37" w:rsidP="00AF4545">
            <w:r w:rsidRPr="008C2D37">
              <w:t>APT Report on Frequency Arrangements for IMT in the Band 470-698 MHz</w:t>
            </w:r>
          </w:p>
        </w:tc>
      </w:tr>
      <w:tr w:rsidR="005F50C2" w:rsidTr="00AF4545">
        <w:tc>
          <w:tcPr>
            <w:tcW w:w="3794" w:type="dxa"/>
            <w:tcBorders>
              <w:top w:val="single" w:sz="4" w:space="0" w:color="D2232A"/>
              <w:left w:val="single" w:sz="4" w:space="0" w:color="D2232A"/>
              <w:bottom w:val="single" w:sz="4" w:space="0" w:color="D2232A"/>
              <w:right w:val="single" w:sz="4" w:space="0" w:color="D2232A"/>
            </w:tcBorders>
          </w:tcPr>
          <w:p w:rsidR="005F50C2" w:rsidRPr="005F50C2" w:rsidRDefault="009E53EA" w:rsidP="00211FA9">
            <w:pPr>
              <w:spacing w:after="200" w:line="234" w:lineRule="atLeast"/>
              <w:jc w:val="left"/>
            </w:pPr>
            <w:hyperlink r:id="rId18" w:history="1">
              <w:r w:rsidR="005F50C2" w:rsidRPr="005F50C2">
                <w:rPr>
                  <w:rFonts w:cs="Arial"/>
                  <w:color w:val="095E54"/>
                  <w:u w:val="single"/>
                </w:rPr>
                <w:t>APT/AWG/REP-80</w:t>
              </w:r>
            </w:hyperlink>
          </w:p>
        </w:tc>
        <w:tc>
          <w:tcPr>
            <w:tcW w:w="5953" w:type="dxa"/>
            <w:tcBorders>
              <w:top w:val="single" w:sz="4" w:space="0" w:color="D2232A"/>
              <w:left w:val="single" w:sz="4" w:space="0" w:color="D2232A"/>
              <w:bottom w:val="single" w:sz="4" w:space="0" w:color="D2232A"/>
              <w:right w:val="single" w:sz="4" w:space="0" w:color="D2232A"/>
            </w:tcBorders>
          </w:tcPr>
          <w:p w:rsidR="005F50C2" w:rsidRPr="00526420" w:rsidRDefault="008C2D37" w:rsidP="00AF4545">
            <w:r>
              <w:rPr>
                <w:rFonts w:cs="Arial"/>
                <w:color w:val="000000"/>
                <w:shd w:val="clear" w:color="auto" w:fill="FFFFFF"/>
              </w:rPr>
              <w:t>APT Report on Spectrum Monitoring Methodology at the Border Areas</w:t>
            </w:r>
          </w:p>
        </w:tc>
      </w:tr>
    </w:tbl>
    <w:p w:rsidR="00823E83" w:rsidRDefault="00823E83" w:rsidP="00823E83">
      <w:pPr>
        <w:pStyle w:val="ECCBulletsLv1"/>
        <w:numPr>
          <w:ilvl w:val="0"/>
          <w:numId w:val="0"/>
        </w:numPr>
        <w:rPr>
          <w:rStyle w:val="ECCParagraph"/>
        </w:rPr>
      </w:pPr>
    </w:p>
    <w:p w:rsidR="008C2D37" w:rsidRDefault="008C2D37" w:rsidP="00823E83">
      <w:pPr>
        <w:pStyle w:val="ECCBulletsLv1"/>
        <w:numPr>
          <w:ilvl w:val="0"/>
          <w:numId w:val="0"/>
        </w:numPr>
        <w:rPr>
          <w:rStyle w:val="ECCParagraph"/>
        </w:rPr>
      </w:pPr>
      <w:r>
        <w:rPr>
          <w:rStyle w:val="ECCParagraph"/>
        </w:rPr>
        <w:t>A new draft APT Recommendation was approved for circulation amongst the APT members:</w:t>
      </w:r>
    </w:p>
    <w:p w:rsidR="008C2D37" w:rsidRPr="008C2D37" w:rsidRDefault="009E53EA" w:rsidP="00D236E5">
      <w:pPr>
        <w:numPr>
          <w:ilvl w:val="0"/>
          <w:numId w:val="11"/>
        </w:numPr>
        <w:spacing w:before="100" w:beforeAutospacing="1" w:after="100" w:afterAutospacing="1"/>
        <w:jc w:val="left"/>
        <w:rPr>
          <w:rFonts w:eastAsia="Times New Roman" w:cs="Arial"/>
          <w:color w:val="000000"/>
          <w:sz w:val="18"/>
          <w:szCs w:val="18"/>
          <w:lang w:val="en-US" w:eastAsia="da-DK"/>
        </w:rPr>
      </w:pPr>
      <w:hyperlink r:id="rId19" w:history="1">
        <w:r w:rsidR="008C2D37" w:rsidRPr="008C2D37">
          <w:rPr>
            <w:rFonts w:eastAsia="Times New Roman" w:cs="Arial"/>
            <w:color w:val="095E54"/>
            <w:sz w:val="18"/>
            <w:szCs w:val="18"/>
            <w:u w:val="single"/>
            <w:lang w:val="en-US" w:eastAsia="da-DK"/>
          </w:rPr>
          <w:t>Draft APT Recommendation on Frequency Ranges for Non-Beam WPT for Mobile Devices</w:t>
        </w:r>
      </w:hyperlink>
    </w:p>
    <w:p w:rsidR="008C2D37" w:rsidRDefault="008C2D37" w:rsidP="00823E83">
      <w:pPr>
        <w:pStyle w:val="ECCBulletsLv1"/>
        <w:numPr>
          <w:ilvl w:val="0"/>
          <w:numId w:val="0"/>
        </w:numPr>
        <w:rPr>
          <w:rStyle w:val="ECCParagraph"/>
          <w:lang w:val="en-US"/>
        </w:rPr>
      </w:pPr>
      <w:r>
        <w:rPr>
          <w:rStyle w:val="ECCParagraph"/>
          <w:lang w:val="en-US"/>
        </w:rPr>
        <w:t>The draft Recommendation includes:</w:t>
      </w:r>
    </w:p>
    <w:p w:rsidR="009F242B" w:rsidRDefault="009F242B" w:rsidP="00823E83">
      <w:pPr>
        <w:pStyle w:val="ECCBulletsLv1"/>
        <w:numPr>
          <w:ilvl w:val="0"/>
          <w:numId w:val="0"/>
        </w:numPr>
        <w:rPr>
          <w:rStyle w:val="ECCParagraph"/>
          <w:lang w:val="en-US"/>
        </w:rPr>
      </w:pPr>
    </w:p>
    <w:p w:rsidR="009F242B" w:rsidRDefault="009F242B" w:rsidP="00823E83">
      <w:pPr>
        <w:pStyle w:val="ECCBulletsLv1"/>
        <w:numPr>
          <w:ilvl w:val="0"/>
          <w:numId w:val="0"/>
        </w:numPr>
        <w:rPr>
          <w:rStyle w:val="ECCParagraph"/>
          <w:lang w:val="en-US"/>
        </w:rPr>
      </w:pPr>
    </w:p>
    <w:p w:rsidR="00BE785A" w:rsidRDefault="00BE785A" w:rsidP="00823E83">
      <w:pPr>
        <w:pStyle w:val="ECCBulletsLv1"/>
        <w:numPr>
          <w:ilvl w:val="0"/>
          <w:numId w:val="0"/>
        </w:numPr>
        <w:rPr>
          <w:rStyle w:val="ECCParagraph"/>
          <w:lang w:val="en-US"/>
        </w:rPr>
      </w:pPr>
    </w:p>
    <w:p w:rsidR="008C2D37" w:rsidRPr="008C2D37" w:rsidRDefault="008C2D37" w:rsidP="00BE785A">
      <w:pPr>
        <w:pStyle w:val="Caption"/>
        <w:rPr>
          <w:rFonts w:cs="Arial"/>
          <w:lang w:val="en-US"/>
        </w:rPr>
      </w:pPr>
      <w:r w:rsidRPr="008C2D37">
        <w:rPr>
          <w:rFonts w:cs="Arial"/>
          <w:lang w:val="en-US"/>
        </w:rPr>
        <w:lastRenderedPageBreak/>
        <w:t>Frequency range for operation of non-beam WPT systems</w:t>
      </w:r>
    </w:p>
    <w:tbl>
      <w:tblPr>
        <w:tblStyle w:val="TableGrid2"/>
        <w:tblW w:w="0" w:type="auto"/>
        <w:tblLook w:val="04A0" w:firstRow="1" w:lastRow="0" w:firstColumn="1" w:lastColumn="0" w:noHBand="0" w:noVBand="1"/>
      </w:tblPr>
      <w:tblGrid>
        <w:gridCol w:w="3144"/>
        <w:gridCol w:w="6161"/>
      </w:tblGrid>
      <w:tr w:rsidR="008C2D37" w:rsidRPr="008C2D37" w:rsidTr="00B5512C">
        <w:tc>
          <w:tcPr>
            <w:tcW w:w="3144" w:type="dxa"/>
          </w:tcPr>
          <w:p w:rsidR="008C2D37" w:rsidRPr="008C2D37" w:rsidRDefault="008C2D37" w:rsidP="008C2D3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sz w:val="24"/>
                <w:szCs w:val="24"/>
                <w:lang w:val="en-US"/>
              </w:rPr>
            </w:pPr>
            <w:r w:rsidRPr="008C2D37">
              <w:rPr>
                <w:rFonts w:ascii="Times New Roman Bold" w:eastAsia="MS Mincho" w:hAnsi="Times New Roman Bold" w:cs="Times New Roman Bold"/>
                <w:b/>
                <w:sz w:val="24"/>
                <w:szCs w:val="24"/>
                <w:lang w:val="en-US"/>
              </w:rPr>
              <w:t>Frequency range</w:t>
            </w:r>
          </w:p>
        </w:tc>
        <w:tc>
          <w:tcPr>
            <w:tcW w:w="6161" w:type="dxa"/>
          </w:tcPr>
          <w:p w:rsidR="008C2D37" w:rsidRPr="008C2D37" w:rsidRDefault="008C2D37" w:rsidP="008C2D3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MS Mincho" w:hAnsi="Times New Roman Bold" w:cs="Times New Roman Bold"/>
                <w:b/>
                <w:sz w:val="24"/>
                <w:szCs w:val="24"/>
                <w:lang w:val="fr-FR"/>
              </w:rPr>
            </w:pPr>
            <w:r w:rsidRPr="008C2D37">
              <w:rPr>
                <w:rFonts w:ascii="Times New Roman Bold" w:eastAsia="MS Mincho" w:hAnsi="Times New Roman Bold" w:cs="Times New Roman Bold"/>
                <w:b/>
                <w:sz w:val="24"/>
                <w:szCs w:val="24"/>
                <w:lang w:val="fr-FR"/>
              </w:rPr>
              <w:t>Suitable non-beam WPT technologies and applications</w:t>
            </w:r>
          </w:p>
        </w:tc>
      </w:tr>
      <w:tr w:rsidR="008C2D37" w:rsidRPr="008C2D37" w:rsidTr="00B5512C">
        <w:tc>
          <w:tcPr>
            <w:tcW w:w="3144" w:type="dxa"/>
          </w:tcPr>
          <w:p w:rsidR="008C2D37" w:rsidRPr="008C2D37" w:rsidRDefault="008C2D37" w:rsidP="008C2D3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4"/>
                <w:szCs w:val="24"/>
                <w:lang w:val="en-US"/>
              </w:rPr>
            </w:pPr>
            <w:r w:rsidRPr="008C2D37">
              <w:rPr>
                <w:rFonts w:ascii="Times New Roman" w:eastAsia="MS Mincho" w:hAnsi="Times New Roman"/>
                <w:sz w:val="24"/>
                <w:szCs w:val="24"/>
                <w:lang w:val="en-US"/>
              </w:rPr>
              <w:t>6 765</w:t>
            </w:r>
            <w:r w:rsidRPr="008C2D37">
              <w:rPr>
                <w:rFonts w:ascii="Times New Roman" w:eastAsia="MS Mincho" w:hAnsi="Times New Roman"/>
                <w:sz w:val="24"/>
                <w:szCs w:val="24"/>
                <w:lang w:val="en-US"/>
              </w:rPr>
              <w:noBreakHyphen/>
              <w:t>6 795 kHz</w:t>
            </w:r>
            <w:r w:rsidRPr="008C2D37">
              <w:rPr>
                <w:rFonts w:ascii="Times New Roman" w:eastAsia="MS Mincho" w:hAnsi="Times New Roman"/>
                <w:sz w:val="24"/>
                <w:szCs w:val="24"/>
                <w:lang w:val="en-US"/>
              </w:rPr>
              <w:br/>
              <w:t xml:space="preserve">Note: See RR No. </w:t>
            </w:r>
            <w:r w:rsidRPr="008C2D37">
              <w:rPr>
                <w:rFonts w:ascii="Times New Roman" w:eastAsia="MS Mincho" w:hAnsi="Times New Roman"/>
                <w:b/>
                <w:bCs/>
                <w:sz w:val="24"/>
                <w:szCs w:val="24"/>
                <w:lang w:val="en-US"/>
              </w:rPr>
              <w:t>5.138</w:t>
            </w:r>
          </w:p>
        </w:tc>
        <w:tc>
          <w:tcPr>
            <w:tcW w:w="6161" w:type="dxa"/>
          </w:tcPr>
          <w:p w:rsidR="008C2D37" w:rsidRPr="008C2D37" w:rsidRDefault="008C2D37" w:rsidP="008C2D3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Times New Roman" w:eastAsia="MS Mincho" w:hAnsi="Times New Roman"/>
                <w:sz w:val="24"/>
                <w:szCs w:val="24"/>
                <w:lang w:val="en-US"/>
              </w:rPr>
            </w:pPr>
            <w:r w:rsidRPr="008C2D37">
              <w:rPr>
                <w:rFonts w:ascii="Times New Roman" w:eastAsia="MS Mincho" w:hAnsi="Times New Roman"/>
                <w:sz w:val="24"/>
                <w:szCs w:val="24"/>
                <w:lang w:val="en-US"/>
              </w:rPr>
              <w:t>Magnetic resonant technology for mobile devices</w:t>
            </w:r>
          </w:p>
        </w:tc>
      </w:tr>
    </w:tbl>
    <w:p w:rsidR="008C2D37" w:rsidRPr="008C2D37" w:rsidRDefault="008C2D37" w:rsidP="00823E83">
      <w:pPr>
        <w:pStyle w:val="ECCBulletsLv1"/>
        <w:numPr>
          <w:ilvl w:val="0"/>
          <w:numId w:val="0"/>
        </w:numPr>
        <w:rPr>
          <w:rStyle w:val="ECCParagraph"/>
        </w:rPr>
      </w:pPr>
    </w:p>
    <w:p w:rsidR="00211FA9" w:rsidRDefault="00211FA9" w:rsidP="00823E83">
      <w:pPr>
        <w:pStyle w:val="ECCBulletsLv1"/>
        <w:numPr>
          <w:ilvl w:val="0"/>
          <w:numId w:val="0"/>
        </w:numPr>
        <w:rPr>
          <w:rFonts w:cs="Arial"/>
          <w:lang w:val="en-US"/>
        </w:rPr>
      </w:pPr>
      <w:r>
        <w:rPr>
          <w:rFonts w:cs="Arial"/>
          <w:lang w:val="en-US"/>
        </w:rPr>
        <w:t>AWG-2</w:t>
      </w:r>
      <w:r w:rsidR="008C2D37">
        <w:rPr>
          <w:rFonts w:cs="Arial"/>
          <w:lang w:val="en-US"/>
        </w:rPr>
        <w:t>2</w:t>
      </w:r>
      <w:r>
        <w:rPr>
          <w:rFonts w:cs="Arial"/>
          <w:lang w:val="en-US"/>
        </w:rPr>
        <w:t xml:space="preserve"> agreed to distribute several questionnaires:</w:t>
      </w:r>
    </w:p>
    <w:p w:rsidR="008C2D37" w:rsidRDefault="008C2D37" w:rsidP="00823E83">
      <w:pPr>
        <w:pStyle w:val="ECCBulletsLv1"/>
        <w:numPr>
          <w:ilvl w:val="0"/>
          <w:numId w:val="0"/>
        </w:numPr>
        <w:rPr>
          <w:rFonts w:cs="Arial"/>
          <w:lang w:val="en-US"/>
        </w:rPr>
      </w:pPr>
    </w:p>
    <w:p w:rsidR="008C2D37" w:rsidRDefault="009E53EA" w:rsidP="008C2D37">
      <w:pPr>
        <w:pStyle w:val="ECCBulletsLv1"/>
      </w:pPr>
      <w:hyperlink r:id="rId20" w:history="1">
        <w:r w:rsidR="008C2D37">
          <w:rPr>
            <w:rStyle w:val="Hyperlink"/>
            <w:rFonts w:cs="Arial"/>
            <w:color w:val="095E54"/>
            <w:sz w:val="18"/>
            <w:szCs w:val="18"/>
          </w:rPr>
          <w:t>Questionnaire on regulatory information for implementation of IMT network in Asia-Pacific region</w:t>
        </w:r>
      </w:hyperlink>
      <w:r w:rsidR="008C2D37">
        <w:t>;</w:t>
      </w:r>
    </w:p>
    <w:p w:rsidR="008C2D37" w:rsidRDefault="009E53EA" w:rsidP="008C2D37">
      <w:pPr>
        <w:pStyle w:val="ECCBulletsLv1"/>
      </w:pPr>
      <w:hyperlink r:id="rId21" w:history="1">
        <w:r w:rsidR="008C2D37">
          <w:rPr>
            <w:rStyle w:val="Hyperlink"/>
            <w:rFonts w:cs="Arial"/>
            <w:color w:val="095E54"/>
            <w:sz w:val="18"/>
            <w:szCs w:val="18"/>
          </w:rPr>
          <w:t>Questionnaire on current status and future plan of implementation and deployment of IoT in Asia-Pacific region</w:t>
        </w:r>
      </w:hyperlink>
      <w:r w:rsidR="008C2D37">
        <w:t>;</w:t>
      </w:r>
    </w:p>
    <w:p w:rsidR="008C2D37" w:rsidRDefault="009E53EA" w:rsidP="008C2D37">
      <w:pPr>
        <w:pStyle w:val="ECCBulletsLv1"/>
      </w:pPr>
      <w:hyperlink r:id="rId22" w:history="1">
        <w:r w:rsidR="008C2D37">
          <w:rPr>
            <w:rStyle w:val="Hyperlink"/>
            <w:rFonts w:cs="Arial"/>
            <w:color w:val="095E54"/>
            <w:sz w:val="18"/>
            <w:szCs w:val="18"/>
          </w:rPr>
          <w:t>Questionnaire on non-beam WPT in non-ism band</w:t>
        </w:r>
      </w:hyperlink>
      <w:r w:rsidR="008C2D37">
        <w:t>.</w:t>
      </w:r>
    </w:p>
    <w:p w:rsidR="008C2D37" w:rsidRDefault="008C2D37" w:rsidP="00211FA9">
      <w:pPr>
        <w:rPr>
          <w:rFonts w:cs="Arial"/>
          <w:lang w:val="en-US"/>
        </w:rPr>
      </w:pPr>
      <w:r>
        <w:rPr>
          <w:rFonts w:cs="Arial"/>
          <w:lang w:val="en-US"/>
        </w:rPr>
        <w:t>T</w:t>
      </w:r>
      <w:r w:rsidRPr="008C2D37">
        <w:rPr>
          <w:rFonts w:cs="Arial"/>
          <w:lang w:val="en-US"/>
        </w:rPr>
        <w:t xml:space="preserve">he </w:t>
      </w:r>
      <w:r>
        <w:rPr>
          <w:rFonts w:cs="Arial"/>
          <w:lang w:val="en-US"/>
        </w:rPr>
        <w:t>APT s</w:t>
      </w:r>
      <w:r w:rsidRPr="008C2D37">
        <w:rPr>
          <w:rFonts w:cs="Arial"/>
          <w:lang w:val="en-US"/>
        </w:rPr>
        <w:t xml:space="preserve">ecretariat continued updating the implementation status on the </w:t>
      </w:r>
      <w:r>
        <w:rPr>
          <w:rFonts w:cs="Arial"/>
          <w:lang w:val="en-US"/>
        </w:rPr>
        <w:t xml:space="preserve">APT </w:t>
      </w:r>
      <w:r w:rsidRPr="008C2D37">
        <w:rPr>
          <w:rFonts w:cs="Arial"/>
          <w:lang w:val="en-US"/>
        </w:rPr>
        <w:t>Strategic Plan for 2015-2017 based on the outcomes of the APT Work Programme. The implementation status w</w:t>
      </w:r>
      <w:r>
        <w:rPr>
          <w:rFonts w:cs="Arial"/>
          <w:lang w:val="en-US"/>
        </w:rPr>
        <w:t>ill</w:t>
      </w:r>
      <w:r w:rsidRPr="008C2D37">
        <w:rPr>
          <w:rFonts w:cs="Arial"/>
          <w:lang w:val="en-US"/>
        </w:rPr>
        <w:t xml:space="preserve"> be submitted to MC-41 for endorsement. </w:t>
      </w:r>
    </w:p>
    <w:p w:rsidR="008C2D37" w:rsidRDefault="00840315" w:rsidP="00211FA9">
      <w:pPr>
        <w:rPr>
          <w:rFonts w:cs="Arial"/>
          <w:lang w:val="en-US"/>
        </w:rPr>
      </w:pPr>
      <w:r>
        <w:rPr>
          <w:rFonts w:cs="Arial"/>
          <w:lang w:val="en-US"/>
        </w:rPr>
        <w:t>This includes the following developments:</w:t>
      </w:r>
    </w:p>
    <w:p w:rsidR="0008109D" w:rsidRDefault="00503BC0" w:rsidP="00D236E5">
      <w:pPr>
        <w:pStyle w:val="ListParagraph"/>
        <w:numPr>
          <w:ilvl w:val="0"/>
          <w:numId w:val="12"/>
        </w:numPr>
        <w:rPr>
          <w:rFonts w:cs="Arial"/>
          <w:lang w:val="en-US"/>
        </w:rPr>
      </w:pPr>
      <w:r w:rsidRPr="00503BC0">
        <w:rPr>
          <w:rFonts w:cs="Arial"/>
          <w:lang w:val="en-US"/>
        </w:rPr>
        <w:t>The usage of ITS in APT countries” (</w:t>
      </w:r>
      <w:r>
        <w:rPr>
          <w:rFonts w:cs="Arial"/>
          <w:lang w:val="en-US"/>
        </w:rPr>
        <w:t xml:space="preserve">work towards </w:t>
      </w:r>
      <w:r w:rsidRPr="00503BC0">
        <w:rPr>
          <w:rFonts w:cs="Arial"/>
          <w:lang w:val="en-US"/>
        </w:rPr>
        <w:t>APT Report 18 (Rev.2)</w:t>
      </w:r>
      <w:r>
        <w:rPr>
          <w:rFonts w:cs="Arial"/>
          <w:lang w:val="en-US"/>
        </w:rPr>
        <w:t>), a working document is available</w:t>
      </w:r>
      <w:r w:rsidR="00D5342E">
        <w:rPr>
          <w:rFonts w:cs="Arial"/>
          <w:lang w:val="en-US"/>
        </w:rPr>
        <w:t>. The purpose is to p</w:t>
      </w:r>
      <w:r w:rsidR="00D5342E" w:rsidRPr="00D5342E">
        <w:rPr>
          <w:rFonts w:cs="Arial"/>
          <w:lang w:val="en-US"/>
        </w:rPr>
        <w:t>rovide APT member countries with practical information on the currently used ITS technologies, frequency bands, status of commerciali</w:t>
      </w:r>
      <w:r w:rsidR="00D5342E">
        <w:rPr>
          <w:rFonts w:cs="Arial"/>
          <w:lang w:val="en-US"/>
        </w:rPr>
        <w:t>s</w:t>
      </w:r>
      <w:r w:rsidR="00D5342E" w:rsidRPr="00D5342E">
        <w:rPr>
          <w:rFonts w:cs="Arial"/>
          <w:lang w:val="en-US"/>
        </w:rPr>
        <w:t xml:space="preserve">ation </w:t>
      </w:r>
      <w:r w:rsidR="00D5342E">
        <w:rPr>
          <w:rFonts w:cs="Arial"/>
          <w:lang w:val="en-US"/>
        </w:rPr>
        <w:t xml:space="preserve">of the </w:t>
      </w:r>
      <w:r w:rsidR="00D5342E" w:rsidRPr="00D5342E">
        <w:rPr>
          <w:rFonts w:cs="Arial"/>
          <w:lang w:val="en-US"/>
        </w:rPr>
        <w:t>service and others with the purpose of reaching harmonization to the greatest extent</w:t>
      </w:r>
      <w:r w:rsidR="00D5342E">
        <w:rPr>
          <w:rFonts w:cs="Arial"/>
          <w:lang w:val="en-US"/>
        </w:rPr>
        <w:t xml:space="preserve">; </w:t>
      </w:r>
    </w:p>
    <w:p w:rsidR="00840315" w:rsidRDefault="00840315" w:rsidP="00D236E5">
      <w:pPr>
        <w:pStyle w:val="ListParagraph"/>
        <w:numPr>
          <w:ilvl w:val="0"/>
          <w:numId w:val="12"/>
        </w:numPr>
        <w:rPr>
          <w:rFonts w:cs="Arial"/>
          <w:lang w:val="en-US"/>
        </w:rPr>
      </w:pPr>
      <w:r w:rsidRPr="00840315">
        <w:rPr>
          <w:rFonts w:cs="Arial"/>
          <w:lang w:val="en-US"/>
        </w:rPr>
        <w:t>To develop an APT Report which helps APT members understand the potential and capabilities in integrating satellite solutions into the next generation access technologies environment in the Asia Pacific region.</w:t>
      </w:r>
      <w:r>
        <w:rPr>
          <w:rFonts w:cs="Arial"/>
          <w:lang w:val="en-US"/>
        </w:rPr>
        <w:t xml:space="preserve"> </w:t>
      </w:r>
      <w:r w:rsidRPr="00840315">
        <w:rPr>
          <w:rFonts w:cs="Arial"/>
          <w:lang w:val="en-US"/>
        </w:rPr>
        <w:t>Finali</w:t>
      </w:r>
      <w:r>
        <w:rPr>
          <w:rFonts w:cs="Arial"/>
          <w:lang w:val="en-US"/>
        </w:rPr>
        <w:t>s</w:t>
      </w:r>
      <w:r w:rsidRPr="00840315">
        <w:rPr>
          <w:rFonts w:cs="Arial"/>
          <w:lang w:val="en-US"/>
        </w:rPr>
        <w:t xml:space="preserve">e </w:t>
      </w:r>
      <w:r>
        <w:rPr>
          <w:rFonts w:cs="Arial"/>
          <w:lang w:val="en-US"/>
        </w:rPr>
        <w:t>a</w:t>
      </w:r>
      <w:r w:rsidRPr="00840315">
        <w:rPr>
          <w:rFonts w:cs="Arial"/>
          <w:lang w:val="en-US"/>
        </w:rPr>
        <w:t xml:space="preserve"> draft APT Report for approval</w:t>
      </w:r>
      <w:r>
        <w:rPr>
          <w:rFonts w:cs="Arial"/>
          <w:lang w:val="en-US"/>
        </w:rPr>
        <w:t xml:space="preserve"> at AWG-24 in 2018;</w:t>
      </w:r>
    </w:p>
    <w:p w:rsidR="00840315" w:rsidRDefault="00840315" w:rsidP="00D236E5">
      <w:pPr>
        <w:pStyle w:val="ListParagraph"/>
        <w:numPr>
          <w:ilvl w:val="0"/>
          <w:numId w:val="12"/>
        </w:numPr>
        <w:rPr>
          <w:rFonts w:cs="Arial"/>
          <w:lang w:val="en-US"/>
        </w:rPr>
      </w:pPr>
      <w:r w:rsidRPr="00840315">
        <w:rPr>
          <w:rFonts w:cs="Arial"/>
          <w:lang w:val="en-US"/>
        </w:rPr>
        <w:t>Provide information on various potential services and applications, and success factors to deliver services and applications for public use of unmanned aircraft, disaster relief case studies and future challenges</w:t>
      </w:r>
      <w:r>
        <w:rPr>
          <w:rFonts w:cs="Arial"/>
          <w:lang w:val="en-US"/>
        </w:rPr>
        <w:t xml:space="preserve">. </w:t>
      </w:r>
      <w:r w:rsidRPr="00840315">
        <w:rPr>
          <w:rFonts w:cs="Arial"/>
          <w:lang w:val="en-US"/>
        </w:rPr>
        <w:t>Finali</w:t>
      </w:r>
      <w:r>
        <w:rPr>
          <w:rFonts w:cs="Arial"/>
          <w:lang w:val="en-US"/>
        </w:rPr>
        <w:t>se</w:t>
      </w:r>
      <w:r w:rsidRPr="00840315">
        <w:rPr>
          <w:rFonts w:cs="Arial"/>
          <w:lang w:val="en-US"/>
        </w:rPr>
        <w:t xml:space="preserve"> </w:t>
      </w:r>
      <w:r>
        <w:rPr>
          <w:rFonts w:cs="Arial"/>
          <w:lang w:val="en-US"/>
        </w:rPr>
        <w:t xml:space="preserve">a new APT Report for approval at AWG-23 in 2018 and possibly </w:t>
      </w:r>
      <w:r w:rsidRPr="00840315">
        <w:rPr>
          <w:rFonts w:cs="Arial"/>
          <w:lang w:val="en-US"/>
        </w:rPr>
        <w:t xml:space="preserve">development </w:t>
      </w:r>
      <w:r>
        <w:rPr>
          <w:rFonts w:cs="Arial"/>
          <w:lang w:val="en-US"/>
        </w:rPr>
        <w:t xml:space="preserve">of </w:t>
      </w:r>
      <w:r w:rsidRPr="00840315">
        <w:rPr>
          <w:rFonts w:cs="Arial"/>
          <w:lang w:val="en-US"/>
        </w:rPr>
        <w:t>a new survey report if necessary</w:t>
      </w:r>
      <w:r>
        <w:rPr>
          <w:rFonts w:cs="Arial"/>
          <w:lang w:val="en-US"/>
        </w:rPr>
        <w:t>;</w:t>
      </w:r>
    </w:p>
    <w:p w:rsidR="00840315" w:rsidRDefault="00840315" w:rsidP="00D236E5">
      <w:pPr>
        <w:pStyle w:val="ListParagraph"/>
        <w:numPr>
          <w:ilvl w:val="0"/>
          <w:numId w:val="12"/>
        </w:numPr>
        <w:rPr>
          <w:rFonts w:cs="Arial"/>
          <w:lang w:val="en-US"/>
        </w:rPr>
      </w:pPr>
      <w:r w:rsidRPr="00840315">
        <w:rPr>
          <w:rFonts w:cs="Arial"/>
          <w:lang w:val="en-US"/>
        </w:rPr>
        <w:t xml:space="preserve">Develop a new </w:t>
      </w:r>
      <w:r>
        <w:rPr>
          <w:rFonts w:cs="Arial"/>
          <w:lang w:val="en-US"/>
        </w:rPr>
        <w:t>APT</w:t>
      </w:r>
      <w:r w:rsidRPr="00840315">
        <w:rPr>
          <w:rFonts w:cs="Arial"/>
          <w:lang w:val="en-US"/>
        </w:rPr>
        <w:t xml:space="preserve"> Report on the Technical Characteristics, Operating Provisions and Regulatory Provisions on the broadband Wireless Air-to-Ground Communications Links with Passenger Aircraft</w:t>
      </w:r>
      <w:r>
        <w:rPr>
          <w:rFonts w:cs="Arial"/>
          <w:lang w:val="en-US"/>
        </w:rPr>
        <w:t xml:space="preserve">. APT </w:t>
      </w:r>
      <w:r w:rsidRPr="00840315">
        <w:rPr>
          <w:rFonts w:cs="Arial"/>
          <w:lang w:val="en-US"/>
        </w:rPr>
        <w:t>AWG consider developing harmonized arrangements for technical characteristics, operating provisions and regulatory provisions for air-to-ground mobile broadband links to passenger aircraft, to enable seamless passenger flight operations across the entire region, and aligned with similar developments already occurring in other regions.</w:t>
      </w:r>
      <w:r>
        <w:rPr>
          <w:rFonts w:cs="Arial"/>
          <w:lang w:val="en-US"/>
        </w:rPr>
        <w:t xml:space="preserve"> Completion of the APT Report until AWG-24 in 2018;</w:t>
      </w:r>
    </w:p>
    <w:p w:rsidR="00840315" w:rsidRDefault="00840315" w:rsidP="00D236E5">
      <w:pPr>
        <w:pStyle w:val="ListParagraph"/>
        <w:numPr>
          <w:ilvl w:val="0"/>
          <w:numId w:val="12"/>
        </w:numPr>
        <w:rPr>
          <w:rFonts w:cs="Arial"/>
          <w:lang w:val="en-US"/>
        </w:rPr>
      </w:pPr>
      <w:r w:rsidRPr="00840315">
        <w:rPr>
          <w:rFonts w:cs="Arial"/>
          <w:lang w:val="en-US"/>
        </w:rPr>
        <w:t>To consider the possibility of making optional the use of the controlled equipment within the Mobile communication system onboard the aircraft</w:t>
      </w:r>
      <w:r>
        <w:rPr>
          <w:rFonts w:cs="Arial"/>
          <w:lang w:val="en-US"/>
        </w:rPr>
        <w:t xml:space="preserve">. </w:t>
      </w:r>
      <w:r w:rsidRPr="00840315">
        <w:rPr>
          <w:rFonts w:cs="Arial"/>
          <w:lang w:val="en-US"/>
        </w:rPr>
        <w:t>Completion of the APT Report until AWG-24 in 2018</w:t>
      </w:r>
      <w:r>
        <w:rPr>
          <w:rFonts w:cs="Arial"/>
          <w:lang w:val="en-US"/>
        </w:rPr>
        <w:t>;</w:t>
      </w:r>
    </w:p>
    <w:p w:rsidR="00840315" w:rsidRPr="00840315" w:rsidRDefault="00840315" w:rsidP="00D236E5">
      <w:pPr>
        <w:pStyle w:val="ListParagraph"/>
        <w:numPr>
          <w:ilvl w:val="0"/>
          <w:numId w:val="12"/>
        </w:numPr>
        <w:rPr>
          <w:rFonts w:cs="Arial"/>
          <w:lang w:val="en-US"/>
        </w:rPr>
      </w:pPr>
      <w:r w:rsidRPr="00840315">
        <w:rPr>
          <w:rFonts w:cs="Arial"/>
          <w:lang w:val="en-US"/>
        </w:rPr>
        <w:t>Implementation of the bands 108 – 117.975 MHz, 328.6-335.4 MHz and 960-1164 MHz for the aeronautical radionavigation systems in APT region. Completion of the APT Report until AWG-24 in 2018;</w:t>
      </w:r>
    </w:p>
    <w:p w:rsidR="00840315" w:rsidRDefault="00840315" w:rsidP="00D236E5">
      <w:pPr>
        <w:pStyle w:val="ListParagraph"/>
        <w:numPr>
          <w:ilvl w:val="0"/>
          <w:numId w:val="12"/>
        </w:numPr>
        <w:rPr>
          <w:rFonts w:cs="Arial"/>
          <w:lang w:val="en-US"/>
        </w:rPr>
      </w:pPr>
      <w:r w:rsidRPr="00840315">
        <w:rPr>
          <w:rFonts w:cs="Arial"/>
          <w:lang w:val="en-US"/>
        </w:rPr>
        <w:t>System deployment and relevant testing studies of Railway Radiocommunication System between Train and Trackside (RSTT) in APT countries</w:t>
      </w:r>
      <w:r>
        <w:rPr>
          <w:rFonts w:cs="Arial"/>
          <w:lang w:val="en-US"/>
        </w:rPr>
        <w:t xml:space="preserve">. New APT Report until AWG-24 in 2018 (follow-on action after APT Report 78 approved). </w:t>
      </w:r>
      <w:r w:rsidR="0008109D" w:rsidRPr="0008109D">
        <w:rPr>
          <w:rFonts w:cs="Arial"/>
          <w:lang w:val="en-US"/>
        </w:rPr>
        <w:t xml:space="preserve">AWG-22 developed a working document which introduces experiences on the deployment of railway radiocommunication systems in APT countries, as well as relevant study results on radio propagation characteristics under high speed movement in typical scenarios. </w:t>
      </w:r>
      <w:r w:rsidR="0008109D">
        <w:rPr>
          <w:rFonts w:cs="Arial"/>
          <w:lang w:val="en-US"/>
        </w:rPr>
        <w:t xml:space="preserve">This may be useful to know for FM56. </w:t>
      </w:r>
      <w:r>
        <w:rPr>
          <w:rFonts w:cs="Arial"/>
          <w:lang w:val="en-US"/>
        </w:rPr>
        <w:t>In addition, another new APT Report on r</w:t>
      </w:r>
      <w:r w:rsidRPr="00840315">
        <w:rPr>
          <w:rFonts w:cs="Arial"/>
          <w:lang w:val="en-US"/>
        </w:rPr>
        <w:t>ailway radiocommunication system</w:t>
      </w:r>
      <w:r w:rsidR="00BE785A">
        <w:rPr>
          <w:rFonts w:cs="Arial"/>
          <w:lang w:val="en-US"/>
        </w:rPr>
        <w:t>s</w:t>
      </w:r>
      <w:r w:rsidRPr="00840315">
        <w:rPr>
          <w:rFonts w:cs="Arial"/>
          <w:lang w:val="en-US"/>
        </w:rPr>
        <w:t xml:space="preserve"> for passengers’ access to information and Internet services</w:t>
      </w:r>
      <w:r w:rsidR="00BE785A">
        <w:rPr>
          <w:rFonts w:cs="Arial"/>
          <w:lang w:val="en-US"/>
        </w:rPr>
        <w:t xml:space="preserve"> </w:t>
      </w:r>
      <w:r w:rsidR="00BE785A" w:rsidRPr="00BE785A">
        <w:rPr>
          <w:rFonts w:cs="Arial"/>
          <w:lang w:val="en-US"/>
        </w:rPr>
        <w:t>until AWG-24 in 2018</w:t>
      </w:r>
      <w:r w:rsidR="00BE785A">
        <w:rPr>
          <w:rFonts w:cs="Arial"/>
          <w:lang w:val="en-US"/>
        </w:rPr>
        <w:t>;</w:t>
      </w:r>
    </w:p>
    <w:p w:rsidR="00840315" w:rsidRDefault="00BE785A" w:rsidP="00D236E5">
      <w:pPr>
        <w:pStyle w:val="ListParagraph"/>
        <w:numPr>
          <w:ilvl w:val="0"/>
          <w:numId w:val="12"/>
        </w:numPr>
        <w:rPr>
          <w:rFonts w:cs="Arial"/>
          <w:lang w:val="en-US"/>
        </w:rPr>
      </w:pPr>
      <w:r w:rsidRPr="00BE785A">
        <w:rPr>
          <w:rFonts w:cs="Arial"/>
          <w:lang w:val="en-US"/>
        </w:rPr>
        <w:t>For AWG-23, it is planned to review on narrowband UHF digital mobile radio technologies for PPDR applications and develop a working document towards a draft APT/AWG Recommendation/Report on UHF narrowband PPDR applications and system having interoperability for unified communications (based on DMR - Digital Mobile Radio for narrowband PPDR applications and systems). For AWG-24 to finalise a new APT/AWG Report on narrowband PPDR applications and systems in the UHF in region 3.</w:t>
      </w:r>
      <w:r w:rsidR="00D5342E">
        <w:rPr>
          <w:rFonts w:cs="Arial"/>
          <w:lang w:val="en-US"/>
        </w:rPr>
        <w:t xml:space="preserve"> APT AWG continues </w:t>
      </w:r>
      <w:r w:rsidR="00D5342E" w:rsidRPr="00D5342E">
        <w:rPr>
          <w:rFonts w:cs="Arial"/>
          <w:lang w:val="en-US"/>
        </w:rPr>
        <w:t>study</w:t>
      </w:r>
      <w:r w:rsidR="00D5342E">
        <w:rPr>
          <w:rFonts w:cs="Arial"/>
          <w:lang w:val="en-US"/>
        </w:rPr>
        <w:t>ing the p</w:t>
      </w:r>
      <w:r w:rsidR="00D5342E" w:rsidRPr="00D5342E">
        <w:rPr>
          <w:rFonts w:cs="Arial"/>
          <w:lang w:val="en-US"/>
        </w:rPr>
        <w:t>resent status of international standardization of PS</w:t>
      </w:r>
      <w:r w:rsidR="00084EAD">
        <w:rPr>
          <w:rFonts w:cs="Arial"/>
          <w:lang w:val="en-US"/>
        </w:rPr>
        <w:t xml:space="preserve"> (Public Safety)</w:t>
      </w:r>
      <w:r w:rsidR="00D5342E" w:rsidRPr="00D5342E">
        <w:rPr>
          <w:rFonts w:cs="Arial"/>
          <w:lang w:val="en-US"/>
        </w:rPr>
        <w:t xml:space="preserve">-LTE technologies by 3GPP and relevant implementation </w:t>
      </w:r>
      <w:r w:rsidR="00D5342E" w:rsidRPr="00D5342E">
        <w:rPr>
          <w:rFonts w:cs="Arial"/>
          <w:lang w:val="en-US"/>
        </w:rPr>
        <w:lastRenderedPageBreak/>
        <w:t>activities in some countries in the world including the Asia-Pacific Region. It also summarizes technical subjects that are important for implementation of PS-LTE networks.</w:t>
      </w:r>
    </w:p>
    <w:p w:rsidR="00084EAD" w:rsidRPr="00084EAD" w:rsidRDefault="00084EAD" w:rsidP="00D236E5">
      <w:pPr>
        <w:pStyle w:val="ListParagraph"/>
        <w:numPr>
          <w:ilvl w:val="0"/>
          <w:numId w:val="12"/>
        </w:numPr>
        <w:rPr>
          <w:rFonts w:cs="Arial"/>
          <w:lang w:val="en-US"/>
        </w:rPr>
      </w:pPr>
      <w:r w:rsidRPr="00084EAD">
        <w:rPr>
          <w:rFonts w:cs="Arial"/>
          <w:lang w:val="en-US"/>
        </w:rPr>
        <w:t xml:space="preserve">For 2018: finalise new APT/AWG Recommendations/Reports on harmonized frequency arrangement for IMT in the bands 3 300-3 400 MHz; 4 800-4 990 MHz. Finalise a draft APT/AWG Report on studies on frequency arrangement(s) for IMT in the band 1 427 – 1 518 MHz. </w:t>
      </w:r>
    </w:p>
    <w:p w:rsidR="00BE785A" w:rsidRDefault="00BE785A" w:rsidP="00BE785A">
      <w:pPr>
        <w:rPr>
          <w:rFonts w:cs="Arial"/>
          <w:lang w:val="en-US"/>
        </w:rPr>
      </w:pPr>
      <w:r>
        <w:rPr>
          <w:rFonts w:cs="Arial"/>
          <w:lang w:val="en-US"/>
        </w:rPr>
        <w:t xml:space="preserve">Two </w:t>
      </w:r>
      <w:r w:rsidRPr="00BE785A">
        <w:rPr>
          <w:rFonts w:cs="Arial"/>
          <w:lang w:val="en-US"/>
        </w:rPr>
        <w:t xml:space="preserve">draft APT Recommendations which were developed at AWG-21 </w:t>
      </w:r>
      <w:r w:rsidRPr="00BE785A">
        <w:rPr>
          <w:rFonts w:cs="Arial"/>
          <w:b/>
          <w:lang w:val="en-US"/>
        </w:rPr>
        <w:t>failed</w:t>
      </w:r>
      <w:r w:rsidRPr="00BE785A">
        <w:rPr>
          <w:rFonts w:cs="Arial"/>
          <w:lang w:val="en-US"/>
        </w:rPr>
        <w:t xml:space="preserve"> to receive </w:t>
      </w:r>
      <w:r w:rsidR="00DF08AA">
        <w:rPr>
          <w:rFonts w:cs="Arial"/>
          <w:lang w:val="en-US"/>
        </w:rPr>
        <w:t xml:space="preserve">the </w:t>
      </w:r>
      <w:r w:rsidRPr="00BE785A">
        <w:rPr>
          <w:rFonts w:cs="Arial"/>
          <w:lang w:val="en-US"/>
        </w:rPr>
        <w:t>required number</w:t>
      </w:r>
      <w:r w:rsidR="00DF08AA">
        <w:rPr>
          <w:rFonts w:cs="Arial"/>
          <w:lang w:val="en-US"/>
        </w:rPr>
        <w:t>s</w:t>
      </w:r>
      <w:r w:rsidRPr="00BE785A">
        <w:rPr>
          <w:rFonts w:cs="Arial"/>
          <w:lang w:val="en-US"/>
        </w:rPr>
        <w:t xml:space="preserve"> of endorsements from APT Members</w:t>
      </w:r>
      <w:r w:rsidR="001F6AC6">
        <w:rPr>
          <w:rFonts w:cs="Arial"/>
          <w:lang w:val="en-US"/>
        </w:rPr>
        <w:t xml:space="preserve"> (the </w:t>
      </w:r>
      <w:r w:rsidR="001F6AC6" w:rsidRPr="001F6AC6">
        <w:rPr>
          <w:rFonts w:cs="Arial"/>
          <w:lang w:val="en-US"/>
        </w:rPr>
        <w:t xml:space="preserve">basic reason was </w:t>
      </w:r>
      <w:r w:rsidR="001F6AC6">
        <w:rPr>
          <w:rFonts w:cs="Arial"/>
          <w:lang w:val="en-US"/>
        </w:rPr>
        <w:t xml:space="preserve">that </w:t>
      </w:r>
      <w:r w:rsidR="001F6AC6" w:rsidRPr="001F6AC6">
        <w:rPr>
          <w:rFonts w:cs="Arial"/>
          <w:lang w:val="en-US"/>
        </w:rPr>
        <w:t xml:space="preserve">circulars go to </w:t>
      </w:r>
      <w:r w:rsidR="001F6AC6">
        <w:rPr>
          <w:rFonts w:cs="Arial"/>
          <w:lang w:val="en-US"/>
        </w:rPr>
        <w:t xml:space="preserve">the </w:t>
      </w:r>
      <w:r w:rsidR="001F6AC6" w:rsidRPr="001F6AC6">
        <w:rPr>
          <w:rFonts w:cs="Arial"/>
          <w:lang w:val="en-US"/>
        </w:rPr>
        <w:t>APT contact point. In many cases those contact points d</w:t>
      </w:r>
      <w:r w:rsidR="001F6AC6">
        <w:rPr>
          <w:rFonts w:cs="Arial"/>
          <w:lang w:val="en-US"/>
        </w:rPr>
        <w:t xml:space="preserve">id </w:t>
      </w:r>
      <w:r w:rsidR="001F6AC6" w:rsidRPr="001F6AC6">
        <w:rPr>
          <w:rFonts w:cs="Arial"/>
          <w:lang w:val="en-US"/>
        </w:rPr>
        <w:t>not forward those to the relevant department or just ignore</w:t>
      </w:r>
      <w:r w:rsidR="001F6AC6">
        <w:rPr>
          <w:rFonts w:cs="Arial"/>
          <w:lang w:val="en-US"/>
        </w:rPr>
        <w:t>d</w:t>
      </w:r>
      <w:r w:rsidR="001F6AC6" w:rsidRPr="001F6AC6">
        <w:rPr>
          <w:rFonts w:cs="Arial"/>
          <w:lang w:val="en-US"/>
        </w:rPr>
        <w:t xml:space="preserve">. Hence, </w:t>
      </w:r>
      <w:r w:rsidR="001F6AC6">
        <w:rPr>
          <w:rFonts w:cs="Arial"/>
          <w:lang w:val="en-US"/>
        </w:rPr>
        <w:t xml:space="preserve">APT did not </w:t>
      </w:r>
      <w:r w:rsidR="001F6AC6" w:rsidRPr="001F6AC6">
        <w:rPr>
          <w:rFonts w:cs="Arial"/>
          <w:lang w:val="en-US"/>
        </w:rPr>
        <w:t>receive the official endorsements in time</w:t>
      </w:r>
      <w:r w:rsidR="001F6AC6">
        <w:rPr>
          <w:rFonts w:cs="Arial"/>
          <w:lang w:val="en-US"/>
        </w:rPr>
        <w:t xml:space="preserve">. There was no </w:t>
      </w:r>
      <w:r w:rsidR="001F6AC6" w:rsidRPr="001F6AC6">
        <w:rPr>
          <w:rFonts w:cs="Arial"/>
          <w:lang w:val="en-US"/>
        </w:rPr>
        <w:t>subject</w:t>
      </w:r>
      <w:r w:rsidR="001F6AC6">
        <w:rPr>
          <w:rFonts w:cs="Arial"/>
          <w:lang w:val="en-US"/>
        </w:rPr>
        <w:t>-</w:t>
      </w:r>
      <w:r w:rsidR="001F6AC6" w:rsidRPr="001F6AC6">
        <w:rPr>
          <w:rFonts w:cs="Arial"/>
          <w:lang w:val="en-US"/>
        </w:rPr>
        <w:t>wise complaint or opposition</w:t>
      </w:r>
      <w:r w:rsidR="001F6AC6">
        <w:rPr>
          <w:rFonts w:cs="Arial"/>
          <w:lang w:val="en-US"/>
        </w:rPr>
        <w:t>)</w:t>
      </w:r>
      <w:r w:rsidRPr="00BE785A">
        <w:rPr>
          <w:rFonts w:cs="Arial"/>
          <w:lang w:val="en-US"/>
        </w:rPr>
        <w:t>. This concerns the draft APT Recommendation on Licensed Shared Access (LSA) and the draft APT Recommendation on PPDR (frequency arrangements in the range 694-894 MHz for BB- PPDR), which will be reviewed at AWG-23 in 2018.</w:t>
      </w:r>
    </w:p>
    <w:p w:rsidR="0008109D" w:rsidRDefault="0008109D" w:rsidP="00BE785A">
      <w:pPr>
        <w:rPr>
          <w:rFonts w:cs="Arial"/>
          <w:lang w:val="en-US"/>
        </w:rPr>
      </w:pPr>
      <w:r>
        <w:rPr>
          <w:rFonts w:cs="Arial"/>
          <w:lang w:val="en-US"/>
        </w:rPr>
        <w:t xml:space="preserve">The name of the AWG </w:t>
      </w:r>
      <w:r w:rsidRPr="0008109D">
        <w:rPr>
          <w:rFonts w:cs="Arial"/>
          <w:lang w:val="en-US"/>
        </w:rPr>
        <w:t>TG SRD has been changed to TG IoT</w:t>
      </w:r>
      <w:r>
        <w:rPr>
          <w:rFonts w:cs="Arial"/>
          <w:lang w:val="en-US"/>
        </w:rPr>
        <w:t xml:space="preserve"> at AWG-22 to reflect changes in the field of SRD towards SRD in data networks and new application fields (IoT/M2M etc).</w:t>
      </w:r>
      <w:r w:rsidR="00D5342E">
        <w:rPr>
          <w:rFonts w:cs="Arial"/>
          <w:lang w:val="en-US"/>
        </w:rPr>
        <w:t xml:space="preserve"> The TG IoT will work on a new APT Report on IoT by AWG-245.</w:t>
      </w:r>
    </w:p>
    <w:p w:rsidR="006378B0" w:rsidRPr="008808E8" w:rsidRDefault="006378B0" w:rsidP="006378B0">
      <w:pPr>
        <w:rPr>
          <w:rFonts w:cs="Arial"/>
        </w:rPr>
      </w:pPr>
      <w:r w:rsidRPr="008808E8">
        <w:rPr>
          <w:rFonts w:cs="Arial"/>
        </w:rPr>
        <w:t xml:space="preserve">The recent </w:t>
      </w:r>
      <w:r w:rsidRPr="00AC756D">
        <w:rPr>
          <w:rFonts w:cs="Arial"/>
        </w:rPr>
        <w:t>APT e-Newsletters</w:t>
      </w:r>
      <w:r w:rsidRPr="008808E8">
        <w:rPr>
          <w:rFonts w:cs="Arial"/>
        </w:rPr>
        <w:t xml:space="preserve"> are available under: </w:t>
      </w:r>
      <w:hyperlink r:id="rId23" w:history="1">
        <w:r w:rsidRPr="008808E8">
          <w:rPr>
            <w:rStyle w:val="Hyperlink"/>
            <w:rFonts w:cs="Arial"/>
          </w:rPr>
          <w:t>http://www.apt.int/Publications</w:t>
        </w:r>
      </w:hyperlink>
      <w:r w:rsidRPr="008808E8">
        <w:rPr>
          <w:rFonts w:cs="Arial"/>
        </w:rPr>
        <w:t xml:space="preserve"> (last edition from </w:t>
      </w:r>
      <w:r w:rsidR="00084EAD">
        <w:rPr>
          <w:rFonts w:cs="Arial"/>
        </w:rPr>
        <w:t>September</w:t>
      </w:r>
      <w:r w:rsidRPr="008808E8">
        <w:rPr>
          <w:rFonts w:cs="Arial"/>
        </w:rPr>
        <w:t xml:space="preserve"> 2017). </w:t>
      </w:r>
    </w:p>
    <w:p w:rsidR="006378B0" w:rsidRPr="006378B0" w:rsidRDefault="006378B0" w:rsidP="006378B0">
      <w:pPr>
        <w:rPr>
          <w:rFonts w:cs="Arial"/>
          <w:b/>
          <w:lang w:val="en-US"/>
        </w:rPr>
      </w:pPr>
      <w:r w:rsidRPr="006378B0">
        <w:rPr>
          <w:rFonts w:cs="Arial"/>
          <w:b/>
        </w:rPr>
        <w:t>(of interest for ECC PT1, WG FM (incl. PTs and SRD/MG), and WG SE)</w:t>
      </w:r>
    </w:p>
    <w:p w:rsidR="00372E3A" w:rsidRDefault="00372E3A" w:rsidP="00372E3A">
      <w:pPr>
        <w:pStyle w:val="Heading1"/>
        <w:rPr>
          <w:lang w:val="en-GB"/>
        </w:rPr>
      </w:pPr>
      <w:r>
        <w:rPr>
          <w:lang w:val="en-GB"/>
        </w:rPr>
        <w:t xml:space="preserve">FCC: Resulting </w:t>
      </w:r>
      <w:r w:rsidRPr="00372E3A">
        <w:rPr>
          <w:lang w:val="en-GB"/>
        </w:rPr>
        <w:t xml:space="preserve">order </w:t>
      </w:r>
      <w:r>
        <w:rPr>
          <w:lang w:val="en-GB"/>
        </w:rPr>
        <w:t xml:space="preserve">after </w:t>
      </w:r>
      <w:r w:rsidRPr="00372E3A">
        <w:rPr>
          <w:lang w:val="en-GB"/>
        </w:rPr>
        <w:t>the 600 MHz incentive auction</w:t>
      </w:r>
    </w:p>
    <w:p w:rsidR="00372E3A" w:rsidRPr="00372E3A" w:rsidRDefault="00372E3A" w:rsidP="00372E3A">
      <w:r>
        <w:t xml:space="preserve">With the order </w:t>
      </w:r>
      <w:hyperlink r:id="rId24" w:history="1">
        <w:r w:rsidRPr="00083FB4">
          <w:rPr>
            <w:rStyle w:val="Hyperlink"/>
          </w:rPr>
          <w:t>FCC-17-887</w:t>
        </w:r>
      </w:hyperlink>
      <w:r>
        <w:t>,</w:t>
      </w:r>
      <w:r w:rsidR="00083FB4">
        <w:t xml:space="preserve"> published on 11 September 2017,</w:t>
      </w:r>
      <w:r>
        <w:t xml:space="preserve"> the FCC modified </w:t>
      </w:r>
      <w:r w:rsidRPr="00372E3A">
        <w:t>the Table of Frequency Allocations in Part 2 of the Commission's rules, as well as four Part 27 rules, to make them correspond to the results of the broadcast television incentive auction</w:t>
      </w:r>
      <w:r>
        <w:t>.</w:t>
      </w:r>
    </w:p>
    <w:p w:rsidR="00372E3A" w:rsidRPr="00083FB4" w:rsidRDefault="00372E3A" w:rsidP="00083FB4">
      <w:pPr>
        <w:jc w:val="center"/>
      </w:pPr>
      <w:r w:rsidRPr="00083FB4">
        <w:t>FCC 600 MHz Band Plan</w:t>
      </w:r>
    </w:p>
    <w:p w:rsidR="00372E3A" w:rsidRDefault="00372E3A" w:rsidP="00372E3A">
      <w:pPr>
        <w:suppressAutoHyphens/>
        <w:spacing w:before="0" w:after="120"/>
        <w:jc w:val="left"/>
        <w:rPr>
          <w:rFonts w:ascii="Times New Roman" w:eastAsia="Times New Roman" w:hAnsi="Times New Roman"/>
          <w:snapToGrid w:val="0"/>
          <w:kern w:val="28"/>
          <w:sz w:val="22"/>
          <w:lang w:val="en-US"/>
        </w:rPr>
      </w:pPr>
      <w:r w:rsidRPr="00372E3A">
        <w:rPr>
          <w:rFonts w:ascii="Times New Roman" w:eastAsia="Times New Roman" w:hAnsi="Times New Roman"/>
          <w:noProof/>
          <w:snapToGrid w:val="0"/>
          <w:kern w:val="28"/>
          <w:sz w:val="22"/>
          <w:lang w:val="da-DK" w:eastAsia="da-DK"/>
        </w:rPr>
        <w:drawing>
          <wp:inline distT="0" distB="0" distL="0" distR="0" wp14:anchorId="479A70F7" wp14:editId="0AEC9B82">
            <wp:extent cx="59436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083FB4" w:rsidRPr="00083FB4" w:rsidRDefault="00372E3A" w:rsidP="00D236E5">
      <w:pPr>
        <w:pStyle w:val="ListParagraph"/>
        <w:numPr>
          <w:ilvl w:val="0"/>
          <w:numId w:val="10"/>
        </w:numPr>
        <w:suppressAutoHyphens/>
        <w:spacing w:before="0" w:after="120"/>
        <w:jc w:val="left"/>
        <w:rPr>
          <w:rFonts w:eastAsia="Times New Roman" w:cs="Arial"/>
          <w:snapToGrid w:val="0"/>
          <w:kern w:val="28"/>
          <w:szCs w:val="20"/>
          <w:lang w:val="en-US"/>
        </w:rPr>
      </w:pPr>
      <w:r w:rsidRPr="00083FB4">
        <w:rPr>
          <w:rFonts w:eastAsia="Times New Roman" w:cs="Arial"/>
          <w:snapToGrid w:val="0"/>
          <w:kern w:val="28"/>
          <w:szCs w:val="20"/>
          <w:lang w:val="en-US"/>
        </w:rPr>
        <w:t xml:space="preserve">Based on the results of the incentive auction, </w:t>
      </w:r>
      <w:r w:rsidR="00083FB4" w:rsidRPr="00083FB4">
        <w:rPr>
          <w:rFonts w:eastAsia="Times New Roman" w:cs="Arial"/>
          <w:snapToGrid w:val="0"/>
          <w:kern w:val="28"/>
          <w:szCs w:val="20"/>
          <w:lang w:val="en-US"/>
        </w:rPr>
        <w:t xml:space="preserve">the FCC </w:t>
      </w:r>
      <w:r w:rsidRPr="00083FB4">
        <w:rPr>
          <w:rFonts w:eastAsia="Times New Roman" w:cs="Arial"/>
          <w:snapToGrid w:val="0"/>
          <w:kern w:val="28"/>
          <w:szCs w:val="20"/>
          <w:lang w:val="en-US"/>
        </w:rPr>
        <w:t>delete</w:t>
      </w:r>
      <w:r w:rsidR="00083FB4" w:rsidRPr="00083FB4">
        <w:rPr>
          <w:rFonts w:eastAsia="Times New Roman" w:cs="Arial"/>
          <w:snapToGrid w:val="0"/>
          <w:kern w:val="28"/>
          <w:szCs w:val="20"/>
          <w:lang w:val="en-US"/>
        </w:rPr>
        <w:t>d</w:t>
      </w:r>
      <w:r w:rsidRPr="00083FB4">
        <w:rPr>
          <w:rFonts w:eastAsia="Times New Roman" w:cs="Arial"/>
          <w:snapToGrid w:val="0"/>
          <w:kern w:val="28"/>
          <w:szCs w:val="20"/>
          <w:lang w:val="en-US"/>
        </w:rPr>
        <w:t xml:space="preserve"> the primary fixed and mobile service allocations and Part 27 cross reference from the 512 608 MHz band and return the band to its pre-auction allocation status</w:t>
      </w:r>
      <w:r w:rsidR="00083FB4" w:rsidRPr="00083FB4">
        <w:rPr>
          <w:rFonts w:eastAsia="Times New Roman" w:cs="Arial"/>
          <w:snapToGrid w:val="0"/>
          <w:kern w:val="28"/>
          <w:szCs w:val="20"/>
          <w:lang w:val="en-US"/>
        </w:rPr>
        <w:t>;</w:t>
      </w:r>
    </w:p>
    <w:p w:rsidR="00083FB4" w:rsidRPr="00083FB4" w:rsidRDefault="00083FB4" w:rsidP="00D236E5">
      <w:pPr>
        <w:pStyle w:val="ListParagraph"/>
        <w:numPr>
          <w:ilvl w:val="0"/>
          <w:numId w:val="10"/>
        </w:numPr>
        <w:suppressAutoHyphens/>
        <w:spacing w:before="0" w:after="120"/>
        <w:jc w:val="left"/>
        <w:rPr>
          <w:rFonts w:eastAsia="Times New Roman" w:cs="Arial"/>
          <w:snapToGrid w:val="0"/>
          <w:kern w:val="28"/>
          <w:szCs w:val="20"/>
          <w:lang w:val="en-US"/>
        </w:rPr>
      </w:pPr>
      <w:r w:rsidRPr="00083FB4">
        <w:rPr>
          <w:rFonts w:eastAsia="Times New Roman" w:cs="Arial"/>
          <w:snapToGrid w:val="0"/>
          <w:kern w:val="28"/>
          <w:szCs w:val="20"/>
          <w:lang w:val="en-US"/>
        </w:rPr>
        <w:t xml:space="preserve">The FCC </w:t>
      </w:r>
      <w:r w:rsidR="00372E3A" w:rsidRPr="00083FB4">
        <w:rPr>
          <w:rFonts w:eastAsia="Times New Roman" w:cs="Arial"/>
          <w:snapToGrid w:val="0"/>
          <w:kern w:val="28"/>
          <w:szCs w:val="20"/>
          <w:lang w:val="en-US"/>
        </w:rPr>
        <w:t>revise</w:t>
      </w:r>
      <w:r w:rsidRPr="00083FB4">
        <w:rPr>
          <w:rFonts w:eastAsia="Times New Roman" w:cs="Arial"/>
          <w:snapToGrid w:val="0"/>
          <w:kern w:val="28"/>
          <w:szCs w:val="20"/>
          <w:lang w:val="en-US"/>
        </w:rPr>
        <w:t>d</w:t>
      </w:r>
      <w:r w:rsidR="00372E3A" w:rsidRPr="00083FB4">
        <w:rPr>
          <w:rFonts w:eastAsia="Times New Roman" w:cs="Arial"/>
          <w:snapToGrid w:val="0"/>
          <w:kern w:val="28"/>
          <w:szCs w:val="20"/>
          <w:lang w:val="en-US"/>
        </w:rPr>
        <w:t xml:space="preserve"> the entries for the 614 698 MHz band by deleting the primary broadcasting service allocation and removing the Part 73 cross reference to account for post-auction fixed and mobile use by 600 MHz service wireless licensees that will operate under Part 27 of the rules and new footnote NG33.</w:t>
      </w:r>
      <w:r w:rsidRPr="00083FB4">
        <w:rPr>
          <w:rFonts w:eastAsia="Times New Roman" w:cs="Arial"/>
          <w:snapToGrid w:val="0"/>
          <w:kern w:val="28"/>
          <w:szCs w:val="20"/>
          <w:lang w:val="en-US"/>
        </w:rPr>
        <w:t xml:space="preserve"> </w:t>
      </w:r>
      <w:r w:rsidR="00372E3A" w:rsidRPr="00083FB4">
        <w:rPr>
          <w:rFonts w:eastAsia="Times New Roman" w:cs="Arial"/>
          <w:snapToGrid w:val="0"/>
          <w:kern w:val="28"/>
          <w:szCs w:val="20"/>
          <w:lang w:val="en-US"/>
        </w:rPr>
        <w:t>This change reflects use of these frequencies for broadcasting during and after the 39-month post-auction transition period</w:t>
      </w:r>
      <w:r w:rsidRPr="00083FB4">
        <w:rPr>
          <w:rFonts w:eastAsia="Times New Roman" w:cs="Arial"/>
          <w:snapToGrid w:val="0"/>
          <w:kern w:val="28"/>
          <w:szCs w:val="20"/>
          <w:lang w:val="en-US"/>
        </w:rPr>
        <w:t>;</w:t>
      </w:r>
    </w:p>
    <w:p w:rsidR="00372E3A" w:rsidRPr="00083FB4" w:rsidRDefault="00372E3A" w:rsidP="00D236E5">
      <w:pPr>
        <w:pStyle w:val="ListParagraph"/>
        <w:numPr>
          <w:ilvl w:val="0"/>
          <w:numId w:val="10"/>
        </w:numPr>
        <w:suppressAutoHyphens/>
        <w:spacing w:before="0" w:after="120"/>
        <w:jc w:val="left"/>
        <w:rPr>
          <w:rFonts w:eastAsia="Times New Roman" w:cs="Arial"/>
          <w:snapToGrid w:val="0"/>
          <w:kern w:val="28"/>
          <w:szCs w:val="20"/>
          <w:lang w:val="en-US"/>
        </w:rPr>
      </w:pPr>
      <w:r w:rsidRPr="00083FB4">
        <w:rPr>
          <w:rFonts w:eastAsia="Times New Roman" w:cs="Arial"/>
          <w:snapToGrid w:val="0"/>
          <w:kern w:val="28"/>
          <w:szCs w:val="20"/>
          <w:lang w:val="en-US"/>
        </w:rPr>
        <w:t xml:space="preserve">In addition, </w:t>
      </w:r>
      <w:r w:rsidR="00083FB4" w:rsidRPr="00083FB4">
        <w:rPr>
          <w:rFonts w:eastAsia="Times New Roman" w:cs="Arial"/>
          <w:snapToGrid w:val="0"/>
          <w:kern w:val="28"/>
          <w:szCs w:val="20"/>
          <w:lang w:val="en-US"/>
        </w:rPr>
        <w:t xml:space="preserve">the FCC </w:t>
      </w:r>
      <w:r w:rsidRPr="00083FB4">
        <w:rPr>
          <w:rFonts w:eastAsia="Times New Roman" w:cs="Arial"/>
          <w:snapToGrid w:val="0"/>
          <w:kern w:val="28"/>
          <w:szCs w:val="20"/>
          <w:lang w:val="en-US"/>
        </w:rPr>
        <w:t>revise</w:t>
      </w:r>
      <w:r w:rsidR="00083FB4" w:rsidRPr="00083FB4">
        <w:rPr>
          <w:rFonts w:eastAsia="Times New Roman" w:cs="Arial"/>
          <w:snapToGrid w:val="0"/>
          <w:kern w:val="28"/>
          <w:szCs w:val="20"/>
          <w:lang w:val="en-US"/>
        </w:rPr>
        <w:t>d</w:t>
      </w:r>
      <w:r w:rsidRPr="00083FB4">
        <w:rPr>
          <w:rFonts w:eastAsia="Times New Roman" w:cs="Arial"/>
          <w:snapToGrid w:val="0"/>
          <w:kern w:val="28"/>
          <w:szCs w:val="20"/>
          <w:lang w:val="en-US"/>
        </w:rPr>
        <w:t xml:space="preserve"> the text of three non-Federal Government footnotes (NG5, NG14, and NG149) that provide for limited flexible use of the television broadcast bands, including the 614 698 MHz band, by providing a cross reference to new footnote NG33</w:t>
      </w:r>
      <w:r w:rsidR="00083FB4" w:rsidRPr="00083FB4">
        <w:rPr>
          <w:rFonts w:eastAsia="Times New Roman" w:cs="Arial"/>
          <w:snapToGrid w:val="0"/>
          <w:kern w:val="28"/>
          <w:szCs w:val="20"/>
          <w:lang w:val="en-US"/>
        </w:rPr>
        <w:t>;</w:t>
      </w:r>
      <w:r w:rsidRPr="00083FB4">
        <w:rPr>
          <w:rFonts w:eastAsia="Times New Roman" w:cs="Arial"/>
          <w:snapToGrid w:val="0"/>
          <w:kern w:val="28"/>
          <w:szCs w:val="20"/>
          <w:lang w:val="en-US"/>
        </w:rPr>
        <w:t xml:space="preserve"> </w:t>
      </w:r>
    </w:p>
    <w:p w:rsidR="00083FB4" w:rsidRPr="00083FB4" w:rsidRDefault="00083FB4" w:rsidP="00D236E5">
      <w:pPr>
        <w:pStyle w:val="ListParagraph"/>
        <w:numPr>
          <w:ilvl w:val="0"/>
          <w:numId w:val="10"/>
        </w:numPr>
        <w:suppressAutoHyphens/>
        <w:spacing w:before="0" w:after="120"/>
        <w:jc w:val="left"/>
        <w:rPr>
          <w:rFonts w:eastAsia="Times New Roman" w:cs="Arial"/>
          <w:snapToGrid w:val="0"/>
          <w:kern w:val="28"/>
          <w:szCs w:val="20"/>
          <w:lang w:val="en-US"/>
        </w:rPr>
      </w:pPr>
      <w:r w:rsidRPr="00083FB4">
        <w:rPr>
          <w:rFonts w:eastAsia="Times New Roman" w:cs="Arial"/>
          <w:snapToGrid w:val="0"/>
          <w:kern w:val="28"/>
          <w:szCs w:val="20"/>
          <w:lang w:val="en-US"/>
        </w:rPr>
        <w:t>L</w:t>
      </w:r>
      <w:r w:rsidR="00372E3A" w:rsidRPr="00083FB4">
        <w:rPr>
          <w:rFonts w:eastAsia="Times New Roman" w:cs="Arial"/>
          <w:snapToGrid w:val="0"/>
          <w:kern w:val="28"/>
          <w:szCs w:val="20"/>
          <w:lang w:val="en-US"/>
        </w:rPr>
        <w:t>icensed low power television (LPTV) and TV translator station operations on a secondary basis  in the 614-698 MHz band under Part 74 Subpart G,</w:t>
      </w:r>
    </w:p>
    <w:p w:rsidR="00372E3A" w:rsidRDefault="00083FB4" w:rsidP="00D236E5">
      <w:pPr>
        <w:pStyle w:val="ListParagraph"/>
        <w:numPr>
          <w:ilvl w:val="0"/>
          <w:numId w:val="10"/>
        </w:numPr>
        <w:suppressAutoHyphens/>
        <w:spacing w:before="0" w:after="120"/>
        <w:jc w:val="left"/>
        <w:rPr>
          <w:rFonts w:eastAsia="Times New Roman" w:cs="Arial"/>
          <w:snapToGrid w:val="0"/>
          <w:kern w:val="28"/>
          <w:szCs w:val="20"/>
          <w:lang w:val="en-US"/>
        </w:rPr>
      </w:pPr>
      <w:r w:rsidRPr="00083FB4">
        <w:rPr>
          <w:rFonts w:eastAsia="Times New Roman" w:cs="Arial"/>
          <w:snapToGrid w:val="0"/>
          <w:kern w:val="28"/>
          <w:szCs w:val="20"/>
          <w:lang w:val="en-US"/>
        </w:rPr>
        <w:t>L</w:t>
      </w:r>
      <w:r w:rsidR="00372E3A" w:rsidRPr="00083FB4">
        <w:rPr>
          <w:rFonts w:eastAsia="Times New Roman" w:cs="Arial"/>
          <w:snapToGrid w:val="0"/>
          <w:kern w:val="28"/>
          <w:szCs w:val="20"/>
          <w:lang w:val="en-US"/>
        </w:rPr>
        <w:t xml:space="preserve">icensed fixed broadcast auxiliary service (BAS) operations (which include TV studio-transmitter link (STL), TV relay, and TV translator relay station operations) on a secondary basis in the 614-698 MHz band under Part 74 Subpart F, </w:t>
      </w:r>
      <w:r w:rsidRPr="00083FB4">
        <w:rPr>
          <w:rFonts w:eastAsia="Times New Roman" w:cs="Arial"/>
          <w:snapToGrid w:val="0"/>
          <w:kern w:val="28"/>
          <w:szCs w:val="20"/>
          <w:lang w:val="en-US"/>
        </w:rPr>
        <w:t xml:space="preserve"> and </w:t>
      </w:r>
      <w:r w:rsidR="00372E3A" w:rsidRPr="00083FB4">
        <w:rPr>
          <w:rFonts w:eastAsia="Times New Roman" w:cs="Arial"/>
          <w:snapToGrid w:val="0"/>
          <w:kern w:val="28"/>
          <w:szCs w:val="20"/>
          <w:lang w:val="en-US"/>
        </w:rPr>
        <w:t xml:space="preserve">licensed wireless microphone and other low power auxiliary station (LPAS) operations and wireless assist video device (WAVD) operations on a secondary basis under Part 74 Subpart H, </w:t>
      </w:r>
      <w:r w:rsidRPr="00083FB4">
        <w:rPr>
          <w:rFonts w:eastAsia="Times New Roman" w:cs="Arial"/>
          <w:snapToGrid w:val="0"/>
          <w:kern w:val="28"/>
          <w:szCs w:val="20"/>
          <w:lang w:val="en-US"/>
        </w:rPr>
        <w:t xml:space="preserve"> as well as </w:t>
      </w:r>
      <w:r w:rsidR="00372E3A" w:rsidRPr="00083FB4">
        <w:rPr>
          <w:rFonts w:eastAsia="Times New Roman" w:cs="Arial"/>
          <w:snapToGrid w:val="0"/>
          <w:kern w:val="28"/>
          <w:szCs w:val="20"/>
          <w:lang w:val="en-US"/>
        </w:rPr>
        <w:t>unlicensed wireless microphone operations under Part 15 on a non-interference basis,  on frequencies in the 614-698 MHz band,  and unlicensed white space device operations under Part 15 on a non-interference basis on frequencies in the 614-698 MHz band.</w:t>
      </w:r>
    </w:p>
    <w:p w:rsidR="00083FB4" w:rsidRPr="00083FB4" w:rsidRDefault="00083FB4" w:rsidP="00083FB4">
      <w:pPr>
        <w:suppressAutoHyphens/>
        <w:spacing w:before="0" w:after="120"/>
        <w:jc w:val="left"/>
        <w:rPr>
          <w:rFonts w:eastAsia="Times New Roman" w:cs="Arial"/>
          <w:b/>
          <w:snapToGrid w:val="0"/>
          <w:kern w:val="28"/>
          <w:szCs w:val="20"/>
          <w:lang w:val="en-US"/>
        </w:rPr>
      </w:pPr>
      <w:r w:rsidRPr="00083FB4">
        <w:rPr>
          <w:rFonts w:eastAsia="Times New Roman" w:cs="Arial"/>
          <w:b/>
          <w:snapToGrid w:val="0"/>
          <w:kern w:val="28"/>
          <w:szCs w:val="20"/>
          <w:lang w:val="en-US"/>
        </w:rPr>
        <w:lastRenderedPageBreak/>
        <w:t>(Relevant for ECC, ECC PT1, WGFM, FM51)</w:t>
      </w:r>
    </w:p>
    <w:p w:rsidR="00744EDF" w:rsidRDefault="00744EDF" w:rsidP="00744EDF">
      <w:pPr>
        <w:pStyle w:val="Heading1"/>
        <w:rPr>
          <w:rStyle w:val="ECCParagraph"/>
        </w:rPr>
      </w:pPr>
      <w:r w:rsidRPr="00744EDF">
        <w:rPr>
          <w:lang w:val="fr-FR"/>
        </w:rPr>
        <w:t xml:space="preserve">Broadband DA2G </w:t>
      </w:r>
      <w:r w:rsidR="007F04B0">
        <w:rPr>
          <w:lang w:val="fr-FR"/>
        </w:rPr>
        <w:t>–</w:t>
      </w:r>
      <w:r w:rsidRPr="00744EDF">
        <w:rPr>
          <w:lang w:val="fr-FR"/>
        </w:rPr>
        <w:t xml:space="preserve"> USA</w:t>
      </w:r>
      <w:r w:rsidR="007F04B0">
        <w:rPr>
          <w:lang w:val="fr-FR"/>
        </w:rPr>
        <w:t xml:space="preserve"> incl. press information Europe</w:t>
      </w:r>
    </w:p>
    <w:p w:rsidR="00C216A0" w:rsidRDefault="00C216A0" w:rsidP="00744EDF">
      <w:pPr>
        <w:rPr>
          <w:rFonts w:cs="Arial"/>
          <w:lang w:val="en-US"/>
        </w:rPr>
      </w:pPr>
      <w:r>
        <w:rPr>
          <w:rFonts w:cs="Arial"/>
          <w:lang w:val="en-US"/>
        </w:rPr>
        <w:t>Following the information in earlier ECO bulletins, here an update about the developments in the USA on BB-DA2GC</w:t>
      </w:r>
      <w:r w:rsidR="003C1324">
        <w:rPr>
          <w:rFonts w:cs="Arial"/>
          <w:lang w:val="en-US"/>
        </w:rPr>
        <w:t xml:space="preserve"> and some press information about Europe</w:t>
      </w:r>
      <w:r>
        <w:rPr>
          <w:rFonts w:cs="Arial"/>
          <w:lang w:val="en-US"/>
        </w:rPr>
        <w:t>:</w:t>
      </w:r>
    </w:p>
    <w:p w:rsidR="00C216A0" w:rsidRPr="00C216A0" w:rsidRDefault="003C1324" w:rsidP="00C216A0">
      <w:pPr>
        <w:rPr>
          <w:rFonts w:cs="Arial"/>
          <w:lang w:val="en-US"/>
        </w:rPr>
      </w:pPr>
      <w:r>
        <w:rPr>
          <w:rFonts w:cs="Arial"/>
          <w:lang w:val="en-US"/>
        </w:rPr>
        <w:t xml:space="preserve">Europe: </w:t>
      </w:r>
      <w:r w:rsidR="00C216A0" w:rsidRPr="00C216A0">
        <w:rPr>
          <w:rFonts w:cs="Arial"/>
          <w:lang w:val="en-US"/>
        </w:rPr>
        <w:t>September 2017:</w:t>
      </w:r>
    </w:p>
    <w:p w:rsidR="00C216A0" w:rsidRPr="00C216A0" w:rsidRDefault="009E53EA" w:rsidP="00C216A0">
      <w:pPr>
        <w:spacing w:before="0" w:after="0"/>
        <w:jc w:val="left"/>
        <w:rPr>
          <w:rFonts w:ascii="Calibri" w:eastAsia="MS PGothic" w:hAnsi="Calibri" w:cs="MS PGothic"/>
          <w:sz w:val="22"/>
          <w:lang w:val="en-US"/>
        </w:rPr>
      </w:pPr>
      <w:hyperlink r:id="rId26" w:history="1">
        <w:r w:rsidR="00C216A0" w:rsidRPr="003C1324">
          <w:rPr>
            <w:rFonts w:ascii="Calibri" w:eastAsia="MS PGothic" w:hAnsi="Calibri" w:cs="MS PGothic"/>
            <w:color w:val="0000FF"/>
            <w:sz w:val="22"/>
            <w:u w:val="single"/>
            <w:lang w:val="en-US"/>
          </w:rPr>
          <w:t>https://www.ainonline.com/aviation-news/air-transport/2017-09-19/nokia-fielding-european-air-ground-data-network</w:t>
        </w:r>
      </w:hyperlink>
      <w:r w:rsidR="00C216A0" w:rsidRPr="00C216A0">
        <w:rPr>
          <w:rFonts w:ascii="Calibri" w:eastAsia="MS PGothic" w:hAnsi="Calibri" w:cs="MS PGothic"/>
          <w:sz w:val="22"/>
          <w:lang w:val="en-US"/>
        </w:rPr>
        <w:t xml:space="preserve"> (Nokia working together with Inmarsat, Deutsche Telekom, Thales)</w:t>
      </w:r>
      <w:r w:rsidR="003C1324">
        <w:rPr>
          <w:rFonts w:ascii="Calibri" w:eastAsia="MS PGothic" w:hAnsi="Calibri" w:cs="MS PGothic"/>
          <w:sz w:val="22"/>
          <w:lang w:val="en-US"/>
        </w:rPr>
        <w:t>;</w:t>
      </w:r>
    </w:p>
    <w:p w:rsidR="00C216A0" w:rsidRPr="005E0A59" w:rsidRDefault="009E53EA" w:rsidP="00C216A0">
      <w:pPr>
        <w:spacing w:before="0" w:after="0"/>
        <w:jc w:val="left"/>
        <w:rPr>
          <w:rFonts w:ascii="Calibri" w:eastAsia="MS PGothic" w:hAnsi="Calibri" w:cs="MS PGothic"/>
          <w:sz w:val="22"/>
          <w:lang w:val="de-DE"/>
        </w:rPr>
      </w:pPr>
      <w:hyperlink r:id="rId27" w:history="1">
        <w:r w:rsidR="00C216A0" w:rsidRPr="005E0A59">
          <w:rPr>
            <w:rFonts w:ascii="Calibri" w:eastAsia="MS PGothic" w:hAnsi="Calibri" w:cs="MS PGothic"/>
            <w:color w:val="0000FF"/>
            <w:sz w:val="22"/>
            <w:u w:val="single"/>
            <w:lang w:val="de-DE"/>
          </w:rPr>
          <w:t>http://www.getconnected.aero/2017/09/inmarsat-ean-satellite-commercial-service/</w:t>
        </w:r>
      </w:hyperlink>
      <w:r w:rsidR="003C1324" w:rsidRPr="005E0A59">
        <w:rPr>
          <w:rFonts w:ascii="Calibri" w:eastAsia="MS PGothic" w:hAnsi="Calibri" w:cs="MS PGothic"/>
          <w:sz w:val="22"/>
          <w:lang w:val="de-DE"/>
        </w:rPr>
        <w:t xml:space="preserve"> </w:t>
      </w:r>
      <w:r w:rsidR="00C216A0" w:rsidRPr="005E0A59">
        <w:rPr>
          <w:rFonts w:ascii="Calibri" w:eastAsia="MS PGothic" w:hAnsi="Calibri" w:cs="MS PGothic"/>
          <w:sz w:val="22"/>
          <w:lang w:val="de-DE"/>
        </w:rPr>
        <w:t>(Inmarsat)</w:t>
      </w:r>
    </w:p>
    <w:p w:rsidR="00C216A0" w:rsidRPr="00C216A0" w:rsidRDefault="003C1324" w:rsidP="003C1324">
      <w:pPr>
        <w:rPr>
          <w:rFonts w:cs="Arial"/>
          <w:lang w:val="en-US"/>
        </w:rPr>
      </w:pPr>
      <w:r w:rsidRPr="003C1324">
        <w:rPr>
          <w:rFonts w:cs="Arial"/>
          <w:lang w:val="en-US"/>
        </w:rPr>
        <w:t xml:space="preserve">Europe: </w:t>
      </w:r>
      <w:r w:rsidR="00C216A0" w:rsidRPr="00C216A0">
        <w:rPr>
          <w:rFonts w:cs="Arial"/>
          <w:lang w:val="en-US"/>
        </w:rPr>
        <w:t>July 2017:</w:t>
      </w:r>
    </w:p>
    <w:p w:rsidR="00C216A0" w:rsidRPr="00C216A0" w:rsidRDefault="009E53EA" w:rsidP="00C216A0">
      <w:pPr>
        <w:spacing w:before="0" w:after="0"/>
        <w:jc w:val="left"/>
        <w:rPr>
          <w:rFonts w:ascii="Calibri" w:eastAsia="MS PGothic" w:hAnsi="Calibri" w:cs="MS PGothic"/>
          <w:sz w:val="22"/>
          <w:lang w:val="en-US"/>
        </w:rPr>
      </w:pPr>
      <w:hyperlink r:id="rId28" w:history="1">
        <w:r w:rsidR="00C216A0" w:rsidRPr="00C216A0">
          <w:rPr>
            <w:rFonts w:ascii="Calibri" w:eastAsia="MS PGothic" w:hAnsi="Calibri" w:cs="MS PGothic"/>
            <w:color w:val="0000FF"/>
            <w:sz w:val="22"/>
            <w:u w:val="single"/>
            <w:lang w:val="en-US"/>
          </w:rPr>
          <w:t>http://www.telegraph.co.uk/technology/2017/07/02/inmarsat-dismisses-court-challenge-in-flight-satellite-wi-fi/</w:t>
        </w:r>
      </w:hyperlink>
      <w:r w:rsidR="00C216A0" w:rsidRPr="00C216A0">
        <w:rPr>
          <w:rFonts w:ascii="Calibri" w:eastAsia="MS PGothic" w:hAnsi="Calibri" w:cs="MS PGothic"/>
          <w:sz w:val="22"/>
          <w:lang w:val="en-US"/>
        </w:rPr>
        <w:t xml:space="preserve"> </w:t>
      </w:r>
    </w:p>
    <w:p w:rsidR="00C216A0" w:rsidRPr="00C216A0" w:rsidRDefault="009E53EA" w:rsidP="00C216A0">
      <w:pPr>
        <w:spacing w:before="0" w:after="0"/>
        <w:jc w:val="left"/>
        <w:rPr>
          <w:rFonts w:ascii="Calibri" w:eastAsia="MS PGothic" w:hAnsi="Calibri" w:cs="MS PGothic"/>
          <w:sz w:val="22"/>
          <w:lang w:val="en-US"/>
        </w:rPr>
      </w:pPr>
      <w:hyperlink r:id="rId29" w:history="1">
        <w:r w:rsidR="00C216A0" w:rsidRPr="00C216A0">
          <w:rPr>
            <w:rFonts w:ascii="Calibri" w:eastAsia="MS PGothic" w:hAnsi="Calibri" w:cs="MS PGothic"/>
            <w:color w:val="0000FF"/>
            <w:sz w:val="22"/>
            <w:u w:val="single"/>
            <w:lang w:val="en-US"/>
          </w:rPr>
          <w:t>https://www.broadbandtvnews.com/2017/07/05/viasat-takes-legal-action-against-european-commission/</w:t>
        </w:r>
      </w:hyperlink>
      <w:r w:rsidR="00C216A0" w:rsidRPr="00C216A0">
        <w:rPr>
          <w:rFonts w:ascii="Calibri" w:eastAsia="MS PGothic" w:hAnsi="Calibri" w:cs="MS PGothic"/>
          <w:sz w:val="22"/>
          <w:lang w:val="en-US"/>
        </w:rPr>
        <w:t xml:space="preserve"> </w:t>
      </w:r>
    </w:p>
    <w:p w:rsidR="00C216A0" w:rsidRPr="00C216A0" w:rsidRDefault="00C216A0" w:rsidP="003C1324">
      <w:pPr>
        <w:rPr>
          <w:rFonts w:cs="Arial"/>
          <w:lang w:val="en-US"/>
        </w:rPr>
      </w:pPr>
      <w:r w:rsidRPr="00C216A0">
        <w:rPr>
          <w:rFonts w:cs="Arial"/>
          <w:lang w:val="en-US"/>
        </w:rPr>
        <w:t>(ViaSat, Eutelsat and Panasonic bringing EC to Court about 2 GHz MSS)</w:t>
      </w:r>
    </w:p>
    <w:p w:rsidR="00C216A0" w:rsidRPr="00C216A0" w:rsidRDefault="00C216A0" w:rsidP="003C1324">
      <w:pPr>
        <w:rPr>
          <w:rFonts w:cs="Arial"/>
          <w:lang w:val="en-US"/>
        </w:rPr>
      </w:pPr>
      <w:r w:rsidRPr="00C216A0">
        <w:rPr>
          <w:rFonts w:cs="Arial"/>
          <w:lang w:val="en-US"/>
        </w:rPr>
        <w:t>September 2017:</w:t>
      </w:r>
      <w:r w:rsidR="003C1324" w:rsidRPr="003C1324">
        <w:rPr>
          <w:rFonts w:cs="Arial"/>
          <w:lang w:val="en-US"/>
        </w:rPr>
        <w:t xml:space="preserve"> </w:t>
      </w:r>
      <w:r w:rsidRPr="00C216A0">
        <w:rPr>
          <w:rFonts w:cs="Arial"/>
          <w:lang w:val="en-US"/>
        </w:rPr>
        <w:t>Viasat</w:t>
      </w:r>
    </w:p>
    <w:p w:rsidR="00C216A0" w:rsidRDefault="009E53EA" w:rsidP="003C1324">
      <w:pPr>
        <w:spacing w:before="0" w:after="0"/>
        <w:jc w:val="left"/>
        <w:rPr>
          <w:rFonts w:cs="Arial"/>
          <w:lang w:val="en-US"/>
        </w:rPr>
      </w:pPr>
      <w:hyperlink r:id="rId30" w:history="1">
        <w:r w:rsidR="00C216A0" w:rsidRPr="003C1324">
          <w:rPr>
            <w:rFonts w:ascii="Calibri" w:eastAsia="MS PGothic" w:hAnsi="Calibri" w:cs="MS PGothic"/>
            <w:color w:val="0000FF"/>
            <w:sz w:val="22"/>
            <w:u w:val="single"/>
            <w:lang w:val="en-US"/>
          </w:rPr>
          <w:t>https://runwaygirlnetwork.com/2017/09/25/viasat-vows-to-continue-the-fight-to-prevent-european-aviation-network/</w:t>
        </w:r>
      </w:hyperlink>
      <w:r w:rsidR="00C216A0" w:rsidRPr="00C216A0">
        <w:rPr>
          <w:rFonts w:ascii="Calibri" w:eastAsia="MS PGothic" w:hAnsi="Calibri" w:cs="MS PGothic"/>
          <w:sz w:val="22"/>
          <w:lang w:val="en-US"/>
        </w:rPr>
        <w:t xml:space="preserve"> </w:t>
      </w:r>
      <w:r w:rsidR="003C1324" w:rsidRPr="003C1324">
        <w:rPr>
          <w:rFonts w:ascii="Calibri" w:eastAsia="MS PGothic" w:hAnsi="Calibri" w:cs="MS PGothic"/>
          <w:sz w:val="22"/>
          <w:lang w:val="en-US"/>
        </w:rPr>
        <w:t xml:space="preserve"> </w:t>
      </w:r>
      <w:r w:rsidR="003C1324" w:rsidRPr="003C1324">
        <w:rPr>
          <w:rFonts w:cs="Arial"/>
          <w:lang w:val="en-US"/>
        </w:rPr>
        <w:t xml:space="preserve">Quote: </w:t>
      </w:r>
      <w:r w:rsidR="00C216A0" w:rsidRPr="00C216A0">
        <w:rPr>
          <w:rFonts w:cs="Arial"/>
          <w:lang w:val="en-US"/>
        </w:rPr>
        <w:t>“Now what we have seen from our own analysis, over 95% of the signal and data will be transmitted from terrestrial, and less than 5% from the satellite.”</w:t>
      </w:r>
    </w:p>
    <w:p w:rsidR="003C1324" w:rsidRPr="00C216A0" w:rsidRDefault="003C1324" w:rsidP="003C1324">
      <w:pPr>
        <w:spacing w:before="0" w:after="0"/>
        <w:jc w:val="left"/>
        <w:rPr>
          <w:rFonts w:cs="Arial"/>
          <w:lang w:val="en-US"/>
        </w:rPr>
      </w:pPr>
      <w:r>
        <w:rPr>
          <w:rFonts w:cs="Arial"/>
          <w:lang w:val="en-US"/>
        </w:rPr>
        <w:t xml:space="preserve">October 2017: </w:t>
      </w:r>
      <w:hyperlink r:id="rId31" w:history="1">
        <w:r w:rsidRPr="00CF60ED">
          <w:rPr>
            <w:rStyle w:val="Hyperlink"/>
            <w:rFonts w:cs="Arial"/>
            <w:lang w:val="en-US"/>
          </w:rPr>
          <w:t>https://www.spaceintelreport.com/viasat-continue-legal-battle-vs-inmarsat-satelliteterrestrial-network-despite-uk-regulatory-ruling/</w:t>
        </w:r>
      </w:hyperlink>
      <w:r>
        <w:rPr>
          <w:rFonts w:cs="Arial"/>
          <w:lang w:val="en-US"/>
        </w:rPr>
        <w:t xml:space="preserve"> </w:t>
      </w:r>
    </w:p>
    <w:p w:rsidR="00C216A0" w:rsidRPr="00C216A0" w:rsidRDefault="00C216A0" w:rsidP="00C216A0">
      <w:pPr>
        <w:spacing w:before="0" w:after="0"/>
        <w:jc w:val="left"/>
        <w:rPr>
          <w:rFonts w:ascii="Calibri" w:eastAsia="MS PGothic" w:hAnsi="Calibri" w:cs="MS PGothic"/>
          <w:sz w:val="22"/>
          <w:lang w:val="en-US"/>
        </w:rPr>
      </w:pPr>
    </w:p>
    <w:p w:rsidR="00C216A0" w:rsidRPr="00C216A0" w:rsidRDefault="00C216A0" w:rsidP="00C216A0">
      <w:pPr>
        <w:spacing w:before="0" w:after="0"/>
        <w:jc w:val="left"/>
        <w:rPr>
          <w:rFonts w:cs="Arial"/>
          <w:lang w:val="en-US"/>
        </w:rPr>
      </w:pPr>
      <w:r w:rsidRPr="00C216A0">
        <w:rPr>
          <w:rFonts w:cs="Arial"/>
          <w:lang w:val="en-US"/>
        </w:rPr>
        <w:t>Ech</w:t>
      </w:r>
      <w:r w:rsidR="003C1324" w:rsidRPr="003C1324">
        <w:rPr>
          <w:rFonts w:cs="Arial"/>
          <w:lang w:val="en-US"/>
        </w:rPr>
        <w:t>o</w:t>
      </w:r>
      <w:r w:rsidRPr="00C216A0">
        <w:rPr>
          <w:rFonts w:cs="Arial"/>
          <w:lang w:val="en-US"/>
        </w:rPr>
        <w:t>star (</w:t>
      </w:r>
      <w:r w:rsidR="003C1324" w:rsidRPr="003C1324">
        <w:rPr>
          <w:rFonts w:cs="Arial"/>
          <w:lang w:val="en-US"/>
        </w:rPr>
        <w:t>Bought the 2GHz MSS licence from S</w:t>
      </w:r>
      <w:r w:rsidRPr="00C216A0">
        <w:rPr>
          <w:rFonts w:cs="Arial"/>
          <w:lang w:val="en-US"/>
        </w:rPr>
        <w:t xml:space="preserve">olaris) does with Thales something different, </w:t>
      </w:r>
      <w:r w:rsidR="003C1324" w:rsidRPr="003C1324">
        <w:rPr>
          <w:rFonts w:cs="Arial"/>
          <w:lang w:val="en-US"/>
        </w:rPr>
        <w:t xml:space="preserve">i.e. </w:t>
      </w:r>
      <w:r w:rsidRPr="00C216A0">
        <w:rPr>
          <w:rFonts w:cs="Arial"/>
          <w:lang w:val="en-US"/>
        </w:rPr>
        <w:t>PPDR via satellite:</w:t>
      </w:r>
    </w:p>
    <w:p w:rsidR="00C216A0" w:rsidRPr="00C216A0" w:rsidRDefault="009E53EA" w:rsidP="00C216A0">
      <w:pPr>
        <w:spacing w:before="0" w:after="0"/>
        <w:jc w:val="left"/>
        <w:rPr>
          <w:rFonts w:ascii="Calibri" w:eastAsia="MS PGothic" w:hAnsi="Calibri" w:cs="MS PGothic"/>
          <w:sz w:val="22"/>
          <w:lang w:val="en-US"/>
        </w:rPr>
      </w:pPr>
      <w:hyperlink r:id="rId32" w:history="1">
        <w:r w:rsidR="00C216A0" w:rsidRPr="00C216A0">
          <w:rPr>
            <w:rFonts w:ascii="Calibri" w:eastAsia="MS PGothic" w:hAnsi="Calibri" w:cs="MS PGothic"/>
            <w:color w:val="0000FF"/>
            <w:sz w:val="22"/>
            <w:u w:val="single"/>
            <w:lang w:val="en-US"/>
          </w:rPr>
          <w:t>https://www.broadbandtvnews.com/2017/06/22/echostar-teams-up-with-thales-for-mobile-satellite-service-in-europe/</w:t>
        </w:r>
      </w:hyperlink>
      <w:r w:rsidR="00C216A0" w:rsidRPr="00C216A0">
        <w:rPr>
          <w:rFonts w:ascii="Calibri" w:eastAsia="MS PGothic" w:hAnsi="Calibri" w:cs="MS PGothic"/>
          <w:sz w:val="22"/>
          <w:lang w:val="en-US"/>
        </w:rPr>
        <w:t xml:space="preserve"> </w:t>
      </w:r>
    </w:p>
    <w:p w:rsidR="00C216A0" w:rsidRPr="00C216A0" w:rsidRDefault="00C216A0" w:rsidP="00C216A0">
      <w:pPr>
        <w:spacing w:before="0" w:after="0"/>
        <w:jc w:val="left"/>
        <w:rPr>
          <w:rFonts w:ascii="Calibri" w:eastAsia="MS PGothic" w:hAnsi="Calibri" w:cs="MS PGothic"/>
          <w:sz w:val="22"/>
          <w:lang w:val="en-US"/>
        </w:rPr>
      </w:pPr>
    </w:p>
    <w:p w:rsidR="00C216A0" w:rsidRPr="00C216A0" w:rsidRDefault="00C216A0" w:rsidP="00C216A0">
      <w:pPr>
        <w:spacing w:before="0" w:after="0"/>
        <w:jc w:val="left"/>
        <w:rPr>
          <w:rFonts w:cs="Arial"/>
          <w:lang w:val="en-US"/>
        </w:rPr>
      </w:pPr>
      <w:r w:rsidRPr="00C216A0">
        <w:rPr>
          <w:rFonts w:cs="Arial"/>
          <w:lang w:val="en-US"/>
        </w:rPr>
        <w:t>USA:</w:t>
      </w:r>
      <w:r w:rsidR="003C1324" w:rsidRPr="003C1324">
        <w:rPr>
          <w:rFonts w:cs="Arial"/>
          <w:lang w:val="en-US"/>
        </w:rPr>
        <w:t xml:space="preserve"> </w:t>
      </w:r>
      <w:r w:rsidRPr="00C216A0">
        <w:rPr>
          <w:rFonts w:cs="Arial"/>
          <w:lang w:val="en-US"/>
        </w:rPr>
        <w:t>Smartsky – August 2017: starting to deploy</w:t>
      </w:r>
      <w:r w:rsidR="003C1324">
        <w:rPr>
          <w:rFonts w:cs="Arial"/>
          <w:lang w:val="en-US"/>
        </w:rPr>
        <w:t xml:space="preserve"> DA2G:</w:t>
      </w:r>
    </w:p>
    <w:p w:rsidR="00C216A0" w:rsidRPr="00C216A0" w:rsidRDefault="009E53EA" w:rsidP="00C216A0">
      <w:pPr>
        <w:spacing w:before="0" w:after="0"/>
        <w:jc w:val="left"/>
        <w:rPr>
          <w:rFonts w:ascii="Calibri" w:eastAsia="MS PGothic" w:hAnsi="Calibri" w:cs="MS PGothic"/>
          <w:sz w:val="22"/>
          <w:lang w:val="en-US"/>
        </w:rPr>
      </w:pPr>
      <w:hyperlink r:id="rId33" w:history="1">
        <w:r w:rsidR="00C216A0" w:rsidRPr="00C216A0">
          <w:rPr>
            <w:rFonts w:ascii="Calibri" w:eastAsia="MS PGothic" w:hAnsi="Calibri" w:cs="MS PGothic"/>
            <w:color w:val="0000FF"/>
            <w:sz w:val="22"/>
            <w:u w:val="single"/>
            <w:lang w:val="en-US"/>
          </w:rPr>
          <w:t>http://www.getconnected.aero/2017/08/smartsky-4g-lte-atg-network-deployed/</w:t>
        </w:r>
      </w:hyperlink>
      <w:r w:rsidR="00C216A0" w:rsidRPr="00C216A0">
        <w:rPr>
          <w:rFonts w:ascii="Calibri" w:eastAsia="MS PGothic" w:hAnsi="Calibri" w:cs="MS PGothic"/>
          <w:sz w:val="22"/>
          <w:lang w:val="en-US"/>
        </w:rPr>
        <w:t xml:space="preserve"> </w:t>
      </w:r>
    </w:p>
    <w:p w:rsidR="00C216A0" w:rsidRDefault="009E53EA" w:rsidP="00C216A0">
      <w:pPr>
        <w:spacing w:before="0" w:after="0"/>
        <w:jc w:val="left"/>
        <w:rPr>
          <w:rFonts w:cs="Arial"/>
          <w:lang w:val="en-US"/>
        </w:rPr>
      </w:pPr>
      <w:hyperlink r:id="rId34" w:history="1">
        <w:r w:rsidR="00C216A0" w:rsidRPr="00C216A0">
          <w:rPr>
            <w:rFonts w:ascii="Calibri" w:eastAsia="MS PGothic" w:hAnsi="Calibri" w:cs="MS PGothic"/>
            <w:color w:val="0000FF"/>
            <w:sz w:val="22"/>
            <w:u w:val="single"/>
            <w:lang w:val="en-US"/>
          </w:rPr>
          <w:t>http://www.satellitetoday.com/telecom/2017/08/04/smartsky-begins-deployment-4g-lte-air-ground-network/</w:t>
        </w:r>
      </w:hyperlink>
      <w:r w:rsidR="00C216A0" w:rsidRPr="00C216A0">
        <w:rPr>
          <w:rFonts w:ascii="Calibri" w:eastAsia="MS PGothic" w:hAnsi="Calibri" w:cs="MS PGothic"/>
          <w:sz w:val="22"/>
          <w:lang w:val="en-US"/>
        </w:rPr>
        <w:t xml:space="preserve"> </w:t>
      </w:r>
      <w:r w:rsidR="00C216A0" w:rsidRPr="00C216A0">
        <w:rPr>
          <w:rFonts w:cs="Arial"/>
          <w:lang w:val="en-US"/>
        </w:rPr>
        <w:t>using 2.4 GHz</w:t>
      </w:r>
      <w:r w:rsidR="003C1324" w:rsidRPr="003C1324">
        <w:rPr>
          <w:rFonts w:cs="Arial"/>
          <w:lang w:val="en-US"/>
        </w:rPr>
        <w:t xml:space="preserve"> </w:t>
      </w:r>
      <w:r w:rsidR="00C216A0" w:rsidRPr="00C216A0">
        <w:rPr>
          <w:rFonts w:cs="Arial"/>
          <w:lang w:val="en-US"/>
        </w:rPr>
        <w:t>and has secured the funding.</w:t>
      </w:r>
    </w:p>
    <w:p w:rsidR="00F12B0F" w:rsidRPr="00C216A0" w:rsidRDefault="00F12B0F" w:rsidP="00C216A0">
      <w:pPr>
        <w:spacing w:before="0" w:after="0"/>
        <w:jc w:val="left"/>
        <w:rPr>
          <w:rFonts w:cs="Arial"/>
          <w:lang w:val="en-US"/>
        </w:rPr>
      </w:pPr>
      <w:r>
        <w:rPr>
          <w:rFonts w:cs="Arial"/>
          <w:lang w:val="en-US"/>
        </w:rPr>
        <w:t xml:space="preserve">October: </w:t>
      </w:r>
      <w:hyperlink r:id="rId35" w:history="1">
        <w:r w:rsidRPr="00CF60ED">
          <w:rPr>
            <w:rStyle w:val="Hyperlink"/>
            <w:rFonts w:cs="Arial"/>
            <w:lang w:val="en-US"/>
          </w:rPr>
          <w:t>https://runwaygirlnetwork.com/2017/10/28/press-release-smartsky-4g-lte-demo-flights-impress-at-nbaa/</w:t>
        </w:r>
      </w:hyperlink>
      <w:r>
        <w:rPr>
          <w:rFonts w:cs="Arial"/>
          <w:lang w:val="en-US"/>
        </w:rPr>
        <w:t xml:space="preserve"> </w:t>
      </w:r>
    </w:p>
    <w:p w:rsidR="003C1324" w:rsidRDefault="003C1324" w:rsidP="00C216A0">
      <w:pPr>
        <w:spacing w:before="0" w:after="0"/>
        <w:jc w:val="left"/>
        <w:rPr>
          <w:rFonts w:ascii="Calibri" w:eastAsia="MS PGothic" w:hAnsi="Calibri" w:cs="MS PGothic"/>
          <w:sz w:val="22"/>
          <w:lang w:val="en-US"/>
        </w:rPr>
      </w:pPr>
    </w:p>
    <w:p w:rsidR="00C216A0" w:rsidRPr="00C216A0" w:rsidRDefault="00C216A0" w:rsidP="00C216A0">
      <w:pPr>
        <w:spacing w:before="0" w:after="0"/>
        <w:jc w:val="left"/>
        <w:rPr>
          <w:rFonts w:cs="Arial"/>
          <w:lang w:val="en-US"/>
        </w:rPr>
      </w:pPr>
      <w:r w:rsidRPr="00C216A0">
        <w:rPr>
          <w:rFonts w:cs="Arial"/>
          <w:lang w:val="en-US"/>
        </w:rPr>
        <w:t>and Gogo (3 October)</w:t>
      </w:r>
      <w:r w:rsidR="003C1324" w:rsidRPr="003C1324">
        <w:rPr>
          <w:rFonts w:cs="Arial"/>
          <w:lang w:val="en-US"/>
        </w:rPr>
        <w:t xml:space="preserve"> </w:t>
      </w:r>
      <w:r w:rsidRPr="00C216A0">
        <w:rPr>
          <w:rFonts w:cs="Arial"/>
          <w:lang w:val="en-US"/>
        </w:rPr>
        <w:t>does the same: 2.4 GHz</w:t>
      </w:r>
    </w:p>
    <w:p w:rsidR="00C216A0" w:rsidRDefault="009E53EA" w:rsidP="00C216A0">
      <w:pPr>
        <w:spacing w:before="0" w:after="0"/>
        <w:jc w:val="left"/>
        <w:rPr>
          <w:rFonts w:ascii="Calibri" w:eastAsia="MS PGothic" w:hAnsi="Calibri" w:cs="MS PGothic"/>
          <w:sz w:val="22"/>
          <w:lang w:val="en-US"/>
        </w:rPr>
      </w:pPr>
      <w:hyperlink r:id="rId36" w:history="1">
        <w:r w:rsidR="00C216A0" w:rsidRPr="00C216A0">
          <w:rPr>
            <w:rFonts w:ascii="Calibri" w:eastAsia="MS PGothic" w:hAnsi="Calibri" w:cs="MS PGothic"/>
            <w:color w:val="0000FF"/>
            <w:sz w:val="22"/>
            <w:u w:val="single"/>
            <w:lang w:val="en-US"/>
          </w:rPr>
          <w:t>http://www.fiercewireless.com/tech/gogo-to-use-2-4-ghz-unlicensed-for-ground-based-system</w:t>
        </w:r>
      </w:hyperlink>
      <w:r w:rsidR="00C216A0" w:rsidRPr="00C216A0">
        <w:rPr>
          <w:rFonts w:ascii="Calibri" w:eastAsia="MS PGothic" w:hAnsi="Calibri" w:cs="MS PGothic"/>
          <w:sz w:val="22"/>
          <w:lang w:val="en-US"/>
        </w:rPr>
        <w:t xml:space="preserve"> </w:t>
      </w:r>
    </w:p>
    <w:p w:rsidR="00F12B0F" w:rsidRPr="00C216A0" w:rsidRDefault="00F12B0F" w:rsidP="00C216A0">
      <w:pPr>
        <w:spacing w:before="0" w:after="0"/>
        <w:jc w:val="left"/>
        <w:rPr>
          <w:rFonts w:ascii="Calibri" w:eastAsia="MS PGothic" w:hAnsi="Calibri" w:cs="MS PGothic"/>
          <w:sz w:val="22"/>
          <w:lang w:val="en-US"/>
        </w:rPr>
      </w:pPr>
      <w:r>
        <w:rPr>
          <w:rFonts w:ascii="Calibri" w:eastAsia="MS PGothic" w:hAnsi="Calibri" w:cs="MS PGothic"/>
          <w:sz w:val="22"/>
          <w:lang w:val="en-US"/>
        </w:rPr>
        <w:t xml:space="preserve">End of October: </w:t>
      </w:r>
      <w:hyperlink r:id="rId37" w:history="1">
        <w:r w:rsidRPr="00CF60ED">
          <w:rPr>
            <w:rStyle w:val="Hyperlink"/>
            <w:rFonts w:ascii="Calibri" w:eastAsia="MS PGothic" w:hAnsi="Calibri" w:cs="MS PGothic"/>
            <w:sz w:val="22"/>
            <w:lang w:val="en-US"/>
          </w:rPr>
          <w:t>https://www.prnewswire.com/news-releases/gogo-conducts-first-successful-test-flight-on-its-next-generation-atg-network-300545891.html</w:t>
        </w:r>
      </w:hyperlink>
      <w:r>
        <w:rPr>
          <w:rFonts w:ascii="Calibri" w:eastAsia="MS PGothic" w:hAnsi="Calibri" w:cs="MS PGothic"/>
          <w:sz w:val="22"/>
          <w:lang w:val="en-US"/>
        </w:rPr>
        <w:t xml:space="preserve"> </w:t>
      </w:r>
    </w:p>
    <w:p w:rsidR="003C1324" w:rsidRPr="002E0308" w:rsidRDefault="003C1324" w:rsidP="002E0308">
      <w:pPr>
        <w:rPr>
          <w:rFonts w:cs="Arial"/>
          <w:lang w:val="en-US"/>
        </w:rPr>
      </w:pPr>
      <w:r>
        <w:rPr>
          <w:rFonts w:cs="Arial"/>
          <w:lang w:val="en-US"/>
        </w:rPr>
        <w:t>This actually confirms the earlier observations about the USA and networks deployments are under development using the 2.4 GHz band.</w:t>
      </w:r>
    </w:p>
    <w:p w:rsidR="00744EDF" w:rsidRDefault="00744EDF" w:rsidP="0032246B">
      <w:pPr>
        <w:pStyle w:val="ECCTablenote"/>
        <w:rPr>
          <w:rStyle w:val="ECCParagraph"/>
          <w:b/>
        </w:rPr>
      </w:pPr>
      <w:r w:rsidRPr="00744EDF">
        <w:rPr>
          <w:rFonts w:cs="Arial"/>
          <w:b/>
          <w:sz w:val="20"/>
          <w:szCs w:val="20"/>
          <w:lang w:val="en-US"/>
        </w:rPr>
        <w:t>(of interest for WG FM)</w:t>
      </w:r>
    </w:p>
    <w:p w:rsidR="0018308C" w:rsidRDefault="0018308C" w:rsidP="00BA20D6">
      <w:pPr>
        <w:pStyle w:val="Heading1"/>
        <w:rPr>
          <w:lang w:val="en-GB"/>
        </w:rPr>
      </w:pPr>
      <w:r>
        <w:rPr>
          <w:lang w:val="en-GB"/>
        </w:rPr>
        <w:lastRenderedPageBreak/>
        <w:t xml:space="preserve">FCC New Proposed rulemaking on </w:t>
      </w:r>
      <w:r w:rsidR="00932865">
        <w:rPr>
          <w:lang w:val="en-GB"/>
        </w:rPr>
        <w:t>“Restoring the freedom in the InterneT” or about ‘Net Neutrality’</w:t>
      </w:r>
    </w:p>
    <w:p w:rsidR="007F04B0" w:rsidRDefault="007F04B0" w:rsidP="007F04B0">
      <w:pPr>
        <w:rPr>
          <w:rFonts w:cs="Arial"/>
          <w:szCs w:val="20"/>
        </w:rPr>
      </w:pPr>
      <w:r>
        <w:rPr>
          <w:rFonts w:cs="Arial"/>
          <w:szCs w:val="20"/>
        </w:rPr>
        <w:t>The proposed new rules in the USA are intended to restore the determination that mobile broadband is not a "commercial mobile service" subject to ‘heavy-handed’ regulation as well as restore the authority of the Federal Trade Commission – to police the privacy practices of ISPs.</w:t>
      </w:r>
    </w:p>
    <w:p w:rsidR="007F04B0" w:rsidRDefault="009E53EA" w:rsidP="007F04B0">
      <w:pPr>
        <w:rPr>
          <w:rFonts w:cs="Arial"/>
          <w:b/>
          <w:bCs/>
          <w:caps/>
          <w:szCs w:val="20"/>
        </w:rPr>
      </w:pPr>
      <w:hyperlink r:id="rId38" w:history="1">
        <w:r w:rsidR="007F04B0">
          <w:rPr>
            <w:rStyle w:val="Hyperlink"/>
            <w:rFonts w:cs="Arial"/>
            <w:szCs w:val="20"/>
          </w:rPr>
          <w:t>https://ecfsapi.fcc.gov/file/05230656804377/FCC-17-60A1.pdf</w:t>
        </w:r>
      </w:hyperlink>
    </w:p>
    <w:p w:rsidR="007F04B0" w:rsidRDefault="007F04B0" w:rsidP="007F04B0">
      <w:pPr>
        <w:rPr>
          <w:rFonts w:cs="Arial"/>
          <w:szCs w:val="20"/>
        </w:rPr>
      </w:pPr>
      <w:r>
        <w:rPr>
          <w:rFonts w:cs="Arial"/>
          <w:szCs w:val="20"/>
        </w:rPr>
        <w:t>After consultation, the FCC will not be voting on this in November 2017 and some changes are still under considerations, i.e. it may not be an adoption that would totally roll back the earlier 2015’s net neutrality rules.</w:t>
      </w:r>
    </w:p>
    <w:p w:rsidR="007F04B0" w:rsidRDefault="007F04B0" w:rsidP="007F04B0">
      <w:pPr>
        <w:rPr>
          <w:rFonts w:cs="Arial"/>
          <w:szCs w:val="20"/>
        </w:rPr>
      </w:pPr>
      <w:r>
        <w:rPr>
          <w:rFonts w:cs="Arial"/>
          <w:szCs w:val="20"/>
        </w:rPr>
        <w:t>This situation is a result of a huge number of comments received during the NPRM consultation process. The main criticisms are:</w:t>
      </w:r>
    </w:p>
    <w:p w:rsidR="007F04B0" w:rsidRDefault="007F04B0" w:rsidP="00D236E5">
      <w:pPr>
        <w:numPr>
          <w:ilvl w:val="0"/>
          <w:numId w:val="13"/>
        </w:numPr>
        <w:contextualSpacing/>
        <w:rPr>
          <w:rFonts w:cs="Arial"/>
          <w:szCs w:val="20"/>
        </w:rPr>
      </w:pPr>
      <w:r>
        <w:rPr>
          <w:rFonts w:cs="Arial"/>
          <w:szCs w:val="20"/>
        </w:rPr>
        <w:t>The freedom of major Internet access providers to block, throttle, alter (including stripping encryption), and redirect requests for information from the Internet;</w:t>
      </w:r>
    </w:p>
    <w:p w:rsidR="007F04B0" w:rsidRDefault="007F04B0" w:rsidP="00D236E5">
      <w:pPr>
        <w:numPr>
          <w:ilvl w:val="0"/>
          <w:numId w:val="13"/>
        </w:numPr>
        <w:contextualSpacing/>
        <w:rPr>
          <w:rFonts w:cs="Arial"/>
          <w:szCs w:val="20"/>
        </w:rPr>
      </w:pPr>
      <w:r>
        <w:rPr>
          <w:rFonts w:cs="Arial"/>
          <w:szCs w:val="20"/>
        </w:rPr>
        <w:t>No obligation on net neutrality (the principle that all traffic on the Internet should be treated equally by Internet access providers);</w:t>
      </w:r>
    </w:p>
    <w:p w:rsidR="007F04B0" w:rsidRDefault="007F04B0" w:rsidP="00D236E5">
      <w:pPr>
        <w:numPr>
          <w:ilvl w:val="0"/>
          <w:numId w:val="13"/>
        </w:numPr>
        <w:contextualSpacing/>
        <w:rPr>
          <w:rFonts w:cs="Arial"/>
          <w:szCs w:val="20"/>
        </w:rPr>
      </w:pPr>
      <w:r>
        <w:rPr>
          <w:rFonts w:cs="Arial"/>
          <w:szCs w:val="20"/>
        </w:rPr>
        <w:t>It is destroying net neutrality, it will be much harder for individuals and small businesses to reach an audience;</w:t>
      </w:r>
    </w:p>
    <w:p w:rsidR="007F04B0" w:rsidRDefault="007F04B0" w:rsidP="00D236E5">
      <w:pPr>
        <w:numPr>
          <w:ilvl w:val="0"/>
          <w:numId w:val="13"/>
        </w:numPr>
        <w:contextualSpacing/>
        <w:rPr>
          <w:rFonts w:cs="Arial"/>
          <w:szCs w:val="20"/>
        </w:rPr>
      </w:pPr>
      <w:r>
        <w:rPr>
          <w:rFonts w:cs="Arial"/>
          <w:szCs w:val="20"/>
        </w:rPr>
        <w:t>Using the Internet as it is known today will become almost impossible.</w:t>
      </w:r>
    </w:p>
    <w:p w:rsidR="007F04B0" w:rsidRDefault="007F04B0" w:rsidP="00D236E5">
      <w:pPr>
        <w:numPr>
          <w:ilvl w:val="0"/>
          <w:numId w:val="13"/>
        </w:numPr>
        <w:contextualSpacing/>
        <w:rPr>
          <w:rFonts w:cs="Arial"/>
          <w:szCs w:val="20"/>
        </w:rPr>
      </w:pPr>
      <w:r>
        <w:rPr>
          <w:rFonts w:cs="Arial"/>
          <w:szCs w:val="20"/>
        </w:rPr>
        <w:t>On the other side, the provision of any kind of ‘commercial mobile services’ is not possible for ISPs without prior acceptance coming from the Trade Commission.</w:t>
      </w:r>
    </w:p>
    <w:p w:rsidR="007F04B0" w:rsidRDefault="007F04B0" w:rsidP="007F04B0">
      <w:pPr>
        <w:rPr>
          <w:rFonts w:cs="Arial"/>
          <w:szCs w:val="20"/>
          <w:bdr w:val="none" w:sz="0" w:space="0" w:color="auto" w:frame="1"/>
        </w:rPr>
      </w:pPr>
      <w:r>
        <w:rPr>
          <w:rFonts w:cs="Arial"/>
          <w:szCs w:val="20"/>
          <w:bdr w:val="none" w:sz="0" w:space="0" w:color="auto" w:frame="1"/>
        </w:rPr>
        <w:t xml:space="preserve">The developments in the USA put into perspective the situation in Europe since the entering into force of </w:t>
      </w:r>
      <w:hyperlink r:id="rId39" w:history="1">
        <w:r>
          <w:rPr>
            <w:rStyle w:val="Hyperlink"/>
            <w:rFonts w:cs="Arial"/>
            <w:szCs w:val="20"/>
            <w:bdr w:val="none" w:sz="0" w:space="0" w:color="auto" w:frame="1"/>
          </w:rPr>
          <w:t>Regulation (EU) 2015/2120</w:t>
        </w:r>
      </w:hyperlink>
      <w:r>
        <w:rPr>
          <w:rFonts w:cs="Arial"/>
          <w:szCs w:val="20"/>
          <w:bdr w:val="none" w:sz="0" w:space="0" w:color="auto" w:frame="1"/>
        </w:rPr>
        <w:t xml:space="preserve"> which aims to strengthen net neutrality by requiring internet service providers (ISPs) to treat all web traffic equally, without favouring some services over others. The European regulation did require clarification on some aspects including a provision that would have allowed ISPs to create "fast lanes" for "specialized services," and another that would have allowed for zero-rating, under which certain services and apps would be exempt from counting against monthly data limits. Also, a "traffic management" provision would have allowed telecoms to prioritise internet traffic from some services over others. Those provisions were clarified by the publication of BEREC’s guidelines to NRAs on the implementation of the regulations (</w:t>
      </w:r>
      <w:hyperlink r:id="rId40" w:history="1">
        <w:r>
          <w:rPr>
            <w:rStyle w:val="Hyperlink"/>
            <w:rFonts w:cs="Arial"/>
            <w:szCs w:val="20"/>
            <w:bdr w:val="none" w:sz="0" w:space="0" w:color="auto" w:frame="1"/>
          </w:rPr>
          <w:t>BoR_(16)_127</w:t>
        </w:r>
      </w:hyperlink>
      <w:r>
        <w:rPr>
          <w:rFonts w:cs="Arial"/>
          <w:szCs w:val="20"/>
          <w:bdr w:val="none" w:sz="0" w:space="0" w:color="auto" w:frame="1"/>
        </w:rPr>
        <w:t>). WG NaN’s project team on technical regulatory issues (PT TRIS) is following these discussions closely.</w:t>
      </w:r>
    </w:p>
    <w:p w:rsidR="00DD5136" w:rsidRPr="007F04B0" w:rsidRDefault="007F04B0" w:rsidP="007F04B0">
      <w:pPr>
        <w:rPr>
          <w:rStyle w:val="ECCParagraph"/>
          <w:rFonts w:eastAsia="Times New Roman"/>
          <w:b/>
          <w:szCs w:val="16"/>
        </w:rPr>
      </w:pPr>
      <w:r>
        <w:rPr>
          <w:rStyle w:val="ECCParagraph"/>
          <w:rFonts w:eastAsia="Times New Roman"/>
          <w:szCs w:val="16"/>
        </w:rPr>
        <w:t xml:space="preserve"> </w:t>
      </w:r>
      <w:r w:rsidR="001114AF" w:rsidRPr="007F04B0">
        <w:rPr>
          <w:rStyle w:val="ECCParagraph"/>
          <w:rFonts w:eastAsia="Times New Roman"/>
          <w:b/>
          <w:szCs w:val="16"/>
        </w:rPr>
        <w:t>(ECC WG NaN, N</w:t>
      </w:r>
      <w:r w:rsidR="0082457F" w:rsidRPr="007F04B0">
        <w:rPr>
          <w:rStyle w:val="ECCParagraph"/>
          <w:rFonts w:eastAsia="Times New Roman"/>
          <w:b/>
          <w:szCs w:val="16"/>
        </w:rPr>
        <w:t>a</w:t>
      </w:r>
      <w:r w:rsidR="001114AF" w:rsidRPr="007F04B0">
        <w:rPr>
          <w:rStyle w:val="ECCParagraph"/>
          <w:rFonts w:eastAsia="Times New Roman"/>
          <w:b/>
          <w:szCs w:val="16"/>
        </w:rPr>
        <w:t xml:space="preserve">N </w:t>
      </w:r>
      <w:r>
        <w:rPr>
          <w:rStyle w:val="ECCParagraph"/>
          <w:rFonts w:eastAsia="Times New Roman"/>
          <w:b/>
          <w:szCs w:val="16"/>
        </w:rPr>
        <w:t xml:space="preserve">PT </w:t>
      </w:r>
      <w:r w:rsidR="001114AF" w:rsidRPr="007F04B0">
        <w:rPr>
          <w:rStyle w:val="ECCParagraph"/>
          <w:rFonts w:eastAsia="Times New Roman"/>
          <w:b/>
          <w:szCs w:val="16"/>
        </w:rPr>
        <w:t>TRIS)</w:t>
      </w:r>
    </w:p>
    <w:p w:rsidR="001114AF" w:rsidRPr="005E0A59" w:rsidRDefault="00F50900" w:rsidP="00F50900">
      <w:pPr>
        <w:pStyle w:val="Heading1"/>
        <w:tabs>
          <w:tab w:val="clear" w:pos="1425"/>
          <w:tab w:val="num" w:pos="432"/>
        </w:tabs>
        <w:ind w:left="431" w:hanging="431"/>
        <w:rPr>
          <w:lang w:val="en-US"/>
        </w:rPr>
      </w:pPr>
      <w:r w:rsidRPr="005E0A59">
        <w:rPr>
          <w:lang w:val="en-US"/>
        </w:rPr>
        <w:t>FCC: Upcoming Decision on ‘1700 MHz of new spectrum’</w:t>
      </w:r>
    </w:p>
    <w:p w:rsidR="001114AF" w:rsidRDefault="001114AF" w:rsidP="001114AF">
      <w:pPr>
        <w:rPr>
          <w:rStyle w:val="ECCParagraph"/>
          <w:rFonts w:eastAsia="Times New Roman"/>
          <w:szCs w:val="16"/>
        </w:rPr>
      </w:pPr>
      <w:r w:rsidRPr="001114AF">
        <w:rPr>
          <w:rStyle w:val="ECCParagraph"/>
          <w:rFonts w:eastAsia="Times New Roman"/>
          <w:szCs w:val="16"/>
        </w:rPr>
        <w:t>The FCC at its next open meeting</w:t>
      </w:r>
      <w:r>
        <w:rPr>
          <w:rStyle w:val="ECCParagraph"/>
          <w:rFonts w:eastAsia="Times New Roman"/>
          <w:szCs w:val="16"/>
        </w:rPr>
        <w:t xml:space="preserve"> on 16 November</w:t>
      </w:r>
      <w:r w:rsidRPr="001114AF">
        <w:rPr>
          <w:rStyle w:val="ECCParagraph"/>
          <w:rFonts w:eastAsia="Times New Roman"/>
          <w:szCs w:val="16"/>
        </w:rPr>
        <w:t xml:space="preserve"> will consider an order that would </w:t>
      </w:r>
      <w:r w:rsidR="00126DDB">
        <w:rPr>
          <w:rStyle w:val="ECCParagraph"/>
          <w:rFonts w:eastAsia="Times New Roman"/>
          <w:szCs w:val="16"/>
        </w:rPr>
        <w:t>‘</w:t>
      </w:r>
      <w:r w:rsidRPr="001114AF">
        <w:rPr>
          <w:rStyle w:val="ECCParagraph"/>
          <w:rFonts w:eastAsia="Times New Roman"/>
          <w:szCs w:val="16"/>
        </w:rPr>
        <w:t>make available 1700 MHz of additional spectrum</w:t>
      </w:r>
      <w:r w:rsidR="00126DDB">
        <w:rPr>
          <w:rStyle w:val="ECCParagraph"/>
          <w:rFonts w:eastAsia="Times New Roman"/>
          <w:szCs w:val="16"/>
        </w:rPr>
        <w:t>’</w:t>
      </w:r>
      <w:r w:rsidRPr="001114AF">
        <w:rPr>
          <w:rStyle w:val="ECCParagraph"/>
          <w:rFonts w:eastAsia="Times New Roman"/>
          <w:szCs w:val="16"/>
        </w:rPr>
        <w:t xml:space="preserve"> for flexible terrestrial wireless use and provide 4 </w:t>
      </w:r>
      <w:r>
        <w:rPr>
          <w:rStyle w:val="ECCParagraph"/>
          <w:rFonts w:eastAsia="Times New Roman"/>
          <w:szCs w:val="16"/>
        </w:rPr>
        <w:t xml:space="preserve">GHz </w:t>
      </w:r>
      <w:r w:rsidRPr="001114AF">
        <w:rPr>
          <w:rStyle w:val="ECCParagraph"/>
          <w:rFonts w:eastAsia="Times New Roman"/>
          <w:szCs w:val="16"/>
        </w:rPr>
        <w:t>for satellite use. The meeting is scheduled for Thursday, Nov. 16.</w:t>
      </w:r>
      <w:r>
        <w:rPr>
          <w:rStyle w:val="ECCParagraph"/>
          <w:rFonts w:eastAsia="Times New Roman"/>
          <w:szCs w:val="16"/>
        </w:rPr>
        <w:t xml:space="preserve"> It is said that this is in support of </w:t>
      </w:r>
      <w:r w:rsidRPr="001114AF">
        <w:rPr>
          <w:rStyle w:val="ECCParagraph"/>
          <w:rFonts w:eastAsia="Times New Roman"/>
          <w:szCs w:val="16"/>
        </w:rPr>
        <w:t>5G innovation.</w:t>
      </w:r>
    </w:p>
    <w:p w:rsidR="00F50900" w:rsidRDefault="00F50900" w:rsidP="001114AF">
      <w:pPr>
        <w:rPr>
          <w:rStyle w:val="ECCParagraph"/>
          <w:rFonts w:eastAsia="Times New Roman"/>
          <w:szCs w:val="16"/>
        </w:rPr>
      </w:pPr>
      <w:r>
        <w:rPr>
          <w:rStyle w:val="ECCParagraph"/>
          <w:rFonts w:eastAsia="Times New Roman"/>
          <w:szCs w:val="16"/>
        </w:rPr>
        <w:t>More in detail:</w:t>
      </w:r>
    </w:p>
    <w:p w:rsidR="00F50900" w:rsidRPr="00126DDB" w:rsidRDefault="00126DDB" w:rsidP="00D236E5">
      <w:pPr>
        <w:pStyle w:val="ListParagraph"/>
        <w:numPr>
          <w:ilvl w:val="0"/>
          <w:numId w:val="9"/>
        </w:numPr>
        <w:rPr>
          <w:rStyle w:val="ECCParagraph"/>
          <w:rFonts w:eastAsia="Times New Roman"/>
          <w:szCs w:val="16"/>
        </w:rPr>
      </w:pPr>
      <w:r w:rsidRPr="00126DDB">
        <w:rPr>
          <w:rStyle w:val="ECCParagraph"/>
          <w:rFonts w:eastAsia="Times New Roman"/>
          <w:szCs w:val="16"/>
        </w:rPr>
        <w:t>m</w:t>
      </w:r>
      <w:r w:rsidR="00F50900" w:rsidRPr="00126DDB">
        <w:rPr>
          <w:rStyle w:val="ECCParagraph"/>
          <w:rFonts w:eastAsia="Times New Roman"/>
          <w:szCs w:val="16"/>
        </w:rPr>
        <w:t>aintain the spectrum allocations adopted in the 28 GHz, 37 GHz, and 39 GHz bands, with</w:t>
      </w:r>
      <w:r w:rsidRPr="00126DDB">
        <w:rPr>
          <w:rStyle w:val="ECCParagraph"/>
          <w:rFonts w:eastAsia="Times New Roman"/>
          <w:szCs w:val="16"/>
        </w:rPr>
        <w:t xml:space="preserve"> </w:t>
      </w:r>
      <w:r w:rsidR="00F50900" w:rsidRPr="00126DDB">
        <w:rPr>
          <w:rStyle w:val="ECCParagraph"/>
          <w:rFonts w:eastAsia="Times New Roman"/>
          <w:szCs w:val="16"/>
        </w:rPr>
        <w:t>several minor modifications to the rules t</w:t>
      </w:r>
      <w:r>
        <w:rPr>
          <w:rStyle w:val="ECCParagraph"/>
          <w:rFonts w:eastAsia="Times New Roman"/>
          <w:szCs w:val="16"/>
        </w:rPr>
        <w:t>hat were previously established (t</w:t>
      </w:r>
      <w:r w:rsidRPr="00126DDB">
        <w:rPr>
          <w:rStyle w:val="ECCParagraph"/>
          <w:rFonts w:eastAsia="Times New Roman"/>
          <w:szCs w:val="16"/>
        </w:rPr>
        <w:t>his is in the 28 GHz (27.5-28.35 GHz), 37 GHz (37-38.6 GHz) and 39 GHz (38.6-40 GHz) bands</w:t>
      </w:r>
      <w:r>
        <w:rPr>
          <w:rStyle w:val="ECCParagraph"/>
          <w:rFonts w:eastAsia="Times New Roman"/>
          <w:szCs w:val="16"/>
        </w:rPr>
        <w:t>);</w:t>
      </w:r>
    </w:p>
    <w:p w:rsidR="00F50900" w:rsidRPr="00F50900" w:rsidRDefault="00F50900" w:rsidP="00D236E5">
      <w:pPr>
        <w:pStyle w:val="ListParagraph"/>
        <w:numPr>
          <w:ilvl w:val="0"/>
          <w:numId w:val="9"/>
        </w:numPr>
        <w:rPr>
          <w:rStyle w:val="ECCParagraph"/>
          <w:rFonts w:eastAsia="Times New Roman"/>
          <w:szCs w:val="16"/>
        </w:rPr>
      </w:pPr>
      <w:r>
        <w:rPr>
          <w:rStyle w:val="ECCParagraph"/>
          <w:rFonts w:eastAsia="Times New Roman"/>
          <w:szCs w:val="16"/>
        </w:rPr>
        <w:t>m</w:t>
      </w:r>
      <w:r w:rsidRPr="00F50900">
        <w:rPr>
          <w:rStyle w:val="ECCParagraph"/>
          <w:rFonts w:eastAsia="Times New Roman"/>
          <w:szCs w:val="16"/>
        </w:rPr>
        <w:t xml:space="preserve">aintain 4 </w:t>
      </w:r>
      <w:r>
        <w:rPr>
          <w:rStyle w:val="ECCParagraph"/>
          <w:rFonts w:eastAsia="Times New Roman"/>
          <w:szCs w:val="16"/>
        </w:rPr>
        <w:t>GHz</w:t>
      </w:r>
      <w:r w:rsidRPr="00F50900">
        <w:rPr>
          <w:rStyle w:val="ECCParagraph"/>
          <w:rFonts w:eastAsia="Times New Roman"/>
          <w:szCs w:val="16"/>
        </w:rPr>
        <w:t xml:space="preserve"> of spectrum in the 48.2-50.2 GHz and 40-42 GHz bands as core satellite</w:t>
      </w:r>
      <w:r>
        <w:rPr>
          <w:rStyle w:val="ECCParagraph"/>
          <w:rFonts w:eastAsia="Times New Roman"/>
          <w:szCs w:val="16"/>
        </w:rPr>
        <w:t xml:space="preserve"> </w:t>
      </w:r>
      <w:r w:rsidRPr="00F50900">
        <w:rPr>
          <w:rStyle w:val="ECCParagraph"/>
          <w:rFonts w:eastAsia="Times New Roman"/>
          <w:szCs w:val="16"/>
        </w:rPr>
        <w:t>bands, including end user devices</w:t>
      </w:r>
      <w:r w:rsidR="00126DDB">
        <w:rPr>
          <w:rStyle w:val="ECCParagraph"/>
          <w:rFonts w:eastAsia="Times New Roman"/>
          <w:szCs w:val="16"/>
        </w:rPr>
        <w:t>;</w:t>
      </w:r>
    </w:p>
    <w:p w:rsidR="00F50900" w:rsidRPr="00126DDB" w:rsidRDefault="00F50900" w:rsidP="00D236E5">
      <w:pPr>
        <w:pStyle w:val="ListParagraph"/>
        <w:numPr>
          <w:ilvl w:val="0"/>
          <w:numId w:val="9"/>
        </w:numPr>
        <w:rPr>
          <w:rStyle w:val="ECCParagraph"/>
          <w:rFonts w:eastAsia="Times New Roman"/>
          <w:szCs w:val="16"/>
        </w:rPr>
      </w:pPr>
      <w:r w:rsidRPr="00126DDB">
        <w:rPr>
          <w:rStyle w:val="ECCParagraph"/>
          <w:rFonts w:eastAsia="Times New Roman"/>
          <w:szCs w:val="16"/>
        </w:rPr>
        <w:t>maintain the unlicensed use of the 64-71 GHz band, and modify Part 15 rules to allow unlicensed</w:t>
      </w:r>
      <w:r w:rsidR="00126DDB">
        <w:rPr>
          <w:rStyle w:val="ECCParagraph"/>
          <w:rFonts w:eastAsia="Times New Roman"/>
          <w:szCs w:val="16"/>
        </w:rPr>
        <w:t xml:space="preserve"> </w:t>
      </w:r>
      <w:r w:rsidRPr="00126DDB">
        <w:rPr>
          <w:rStyle w:val="ECCParagraph"/>
          <w:rFonts w:eastAsia="Times New Roman"/>
          <w:szCs w:val="16"/>
        </w:rPr>
        <w:t>operation on board most aircraft during flight in the 57-71 GHz band</w:t>
      </w:r>
      <w:r w:rsidR="00126DDB">
        <w:rPr>
          <w:rStyle w:val="ECCParagraph"/>
          <w:rFonts w:eastAsia="Times New Roman"/>
          <w:szCs w:val="16"/>
        </w:rPr>
        <w:t>;</w:t>
      </w:r>
    </w:p>
    <w:p w:rsidR="00F50900" w:rsidRPr="00126DDB" w:rsidRDefault="00126DDB" w:rsidP="00D236E5">
      <w:pPr>
        <w:pStyle w:val="ListParagraph"/>
        <w:numPr>
          <w:ilvl w:val="0"/>
          <w:numId w:val="9"/>
        </w:numPr>
        <w:rPr>
          <w:rStyle w:val="ECCParagraph"/>
          <w:rFonts w:eastAsia="Times New Roman"/>
          <w:szCs w:val="16"/>
        </w:rPr>
      </w:pPr>
      <w:r>
        <w:rPr>
          <w:rStyle w:val="ECCParagraph"/>
          <w:rFonts w:eastAsia="Times New Roman"/>
          <w:szCs w:val="16"/>
        </w:rPr>
        <w:t>f</w:t>
      </w:r>
      <w:r w:rsidR="00F50900" w:rsidRPr="00126DDB">
        <w:rPr>
          <w:rStyle w:val="ECCParagraph"/>
          <w:rFonts w:eastAsia="Times New Roman"/>
          <w:szCs w:val="16"/>
        </w:rPr>
        <w:t>ocus development of the 70/80 GHz bands on fixed and other newer, innovative uses.</w:t>
      </w:r>
    </w:p>
    <w:p w:rsidR="00F50900" w:rsidRPr="00126DDB" w:rsidRDefault="00126DDB" w:rsidP="00D236E5">
      <w:pPr>
        <w:pStyle w:val="ListParagraph"/>
        <w:numPr>
          <w:ilvl w:val="0"/>
          <w:numId w:val="9"/>
        </w:numPr>
        <w:rPr>
          <w:rStyle w:val="ECCParagraph"/>
          <w:rFonts w:eastAsia="Times New Roman"/>
          <w:szCs w:val="16"/>
        </w:rPr>
      </w:pPr>
      <w:r w:rsidRPr="00126DDB">
        <w:rPr>
          <w:rStyle w:val="ECCParagraph"/>
          <w:rFonts w:eastAsia="Times New Roman"/>
          <w:szCs w:val="16"/>
        </w:rPr>
        <w:t>a</w:t>
      </w:r>
      <w:r w:rsidR="00F50900" w:rsidRPr="00126DDB">
        <w:rPr>
          <w:rStyle w:val="ECCParagraph"/>
          <w:rFonts w:eastAsia="Times New Roman"/>
          <w:szCs w:val="16"/>
        </w:rPr>
        <w:t>djust the earth station siting rules and satellite interference standards to ensure flexibility in</w:t>
      </w:r>
      <w:r w:rsidRPr="00126DDB">
        <w:rPr>
          <w:rStyle w:val="ECCParagraph"/>
          <w:rFonts w:eastAsia="Times New Roman"/>
          <w:szCs w:val="16"/>
        </w:rPr>
        <w:t xml:space="preserve"> </w:t>
      </w:r>
      <w:r w:rsidR="00F50900" w:rsidRPr="00126DDB">
        <w:rPr>
          <w:rStyle w:val="ECCParagraph"/>
          <w:rFonts w:eastAsia="Times New Roman"/>
          <w:szCs w:val="16"/>
        </w:rPr>
        <w:t>deployment while limiting the potential for interference between satellite and mobile users.</w:t>
      </w:r>
    </w:p>
    <w:p w:rsidR="00126DDB" w:rsidRDefault="00126DDB" w:rsidP="00F50900">
      <w:pPr>
        <w:rPr>
          <w:rStyle w:val="ECCParagraph"/>
          <w:rFonts w:eastAsia="Times New Roman"/>
          <w:szCs w:val="16"/>
        </w:rPr>
      </w:pPr>
      <w:r w:rsidRPr="00126DDB">
        <w:rPr>
          <w:rStyle w:val="ECCParagraph"/>
          <w:rFonts w:eastAsia="Times New Roman"/>
          <w:szCs w:val="16"/>
        </w:rPr>
        <w:t>The FCC will continue to seek comment on bands above 95 GHz.</w:t>
      </w:r>
    </w:p>
    <w:p w:rsidR="001114AF" w:rsidRPr="001114AF" w:rsidRDefault="001114AF" w:rsidP="001114AF">
      <w:pPr>
        <w:rPr>
          <w:rStyle w:val="ECCParagraph"/>
          <w:rFonts w:eastAsia="Times New Roman"/>
          <w:szCs w:val="16"/>
        </w:rPr>
      </w:pPr>
      <w:r w:rsidRPr="001114AF">
        <w:rPr>
          <w:rStyle w:val="ECCParagraph"/>
          <w:rFonts w:eastAsia="Times New Roman"/>
          <w:szCs w:val="16"/>
        </w:rPr>
        <w:lastRenderedPageBreak/>
        <w:t>Recent filings in the commission’s proceeding on spectrum bands above 24 GHz indicate the tensions remain high between the terrestrial wireless industry and the satellite industry. Nearly a dozen proposed satellite constellations or projects are before the commission with far more ambitious plans than previous years. Not all of them are expected to come to fruition, but many satellite proponents believe 5G services also must include satellites.</w:t>
      </w:r>
    </w:p>
    <w:p w:rsidR="001114AF" w:rsidRDefault="001114AF" w:rsidP="001114AF">
      <w:pPr>
        <w:rPr>
          <w:rStyle w:val="ECCParagraph"/>
          <w:rFonts w:eastAsia="Times New Roman"/>
          <w:szCs w:val="16"/>
        </w:rPr>
      </w:pPr>
      <w:r w:rsidRPr="001114AF">
        <w:rPr>
          <w:rStyle w:val="ECCParagraph"/>
          <w:rFonts w:eastAsia="Times New Roman"/>
          <w:szCs w:val="16"/>
        </w:rPr>
        <w:t xml:space="preserve">A group of eight satellite companies, including Boeing, OneWeb and Hughes, submitted a revised proposal on </w:t>
      </w:r>
      <w:r>
        <w:rPr>
          <w:rStyle w:val="ECCParagraph"/>
          <w:rFonts w:eastAsia="Times New Roman"/>
          <w:szCs w:val="16"/>
        </w:rPr>
        <w:t>19 October 2017</w:t>
      </w:r>
      <w:r w:rsidRPr="001114AF">
        <w:rPr>
          <w:rStyle w:val="ECCParagraph"/>
          <w:rFonts w:eastAsia="Times New Roman"/>
          <w:szCs w:val="16"/>
        </w:rPr>
        <w:t xml:space="preserve"> saying they think it addresses concerns raised by terrestrial interests throughout the proceeding and strikes a fair and spectrally efficient balance between the needs of Fixed Satellite Service (FSS) and </w:t>
      </w:r>
      <w:r w:rsidR="00F50900">
        <w:rPr>
          <w:rStyle w:val="ECCParagraph"/>
          <w:rFonts w:eastAsia="Times New Roman"/>
          <w:szCs w:val="16"/>
        </w:rPr>
        <w:t xml:space="preserve">terrestrial use </w:t>
      </w:r>
      <w:r w:rsidRPr="001114AF">
        <w:rPr>
          <w:rStyle w:val="ECCParagraph"/>
          <w:rFonts w:eastAsia="Times New Roman"/>
          <w:szCs w:val="16"/>
        </w:rPr>
        <w:t>operators in the 28 and 39 GHz bands and provides a framework that is suitable for sharing in the 47 GHz and 50 GHz bands.</w:t>
      </w:r>
    </w:p>
    <w:p w:rsidR="00F50900" w:rsidRDefault="00F50900" w:rsidP="001114AF">
      <w:pPr>
        <w:rPr>
          <w:rStyle w:val="ECCParagraph"/>
          <w:rFonts w:eastAsia="Times New Roman"/>
          <w:szCs w:val="16"/>
        </w:rPr>
      </w:pPr>
      <w:r>
        <w:rPr>
          <w:rStyle w:val="ECCParagraph"/>
          <w:rFonts w:eastAsia="Times New Roman"/>
          <w:szCs w:val="16"/>
        </w:rPr>
        <w:t>A fact sheet describing the second order and notice from the FCC, released on 26 October 2017, can be found under</w:t>
      </w:r>
    </w:p>
    <w:p w:rsidR="00F50900" w:rsidRDefault="009E53EA" w:rsidP="001114AF">
      <w:pPr>
        <w:rPr>
          <w:rStyle w:val="ECCParagraph"/>
          <w:rFonts w:eastAsia="Times New Roman"/>
          <w:szCs w:val="16"/>
        </w:rPr>
      </w:pPr>
      <w:hyperlink r:id="rId41" w:history="1">
        <w:r w:rsidR="00F50900" w:rsidRPr="00CF60ED">
          <w:rPr>
            <w:rStyle w:val="Hyperlink"/>
            <w:rFonts w:eastAsia="Times New Roman"/>
            <w:szCs w:val="16"/>
          </w:rPr>
          <w:t>http://transition.fcc.gov/Daily_Releases/Daily_Business/2017/db1026/DOC-347449A1.pdf</w:t>
        </w:r>
      </w:hyperlink>
      <w:r w:rsidR="00F50900">
        <w:rPr>
          <w:rStyle w:val="ECCParagraph"/>
          <w:rFonts w:eastAsia="Times New Roman"/>
          <w:szCs w:val="16"/>
        </w:rPr>
        <w:t>.</w:t>
      </w:r>
    </w:p>
    <w:p w:rsidR="00126DDB" w:rsidRDefault="00126DDB" w:rsidP="00126DDB">
      <w:pPr>
        <w:spacing w:after="240"/>
        <w:rPr>
          <w:rFonts w:cs="Arial"/>
          <w:b/>
        </w:rPr>
      </w:pPr>
      <w:r w:rsidRPr="00126DDB">
        <w:rPr>
          <w:rFonts w:cs="Arial"/>
          <w:b/>
        </w:rPr>
        <w:t>(for information in ECC PT1, WG FM, FM44)</w:t>
      </w:r>
    </w:p>
    <w:p w:rsidR="00126DDB" w:rsidRPr="00126DDB" w:rsidRDefault="00126DDB" w:rsidP="00126DDB">
      <w:pPr>
        <w:pStyle w:val="Heading1"/>
        <w:tabs>
          <w:tab w:val="clear" w:pos="1425"/>
          <w:tab w:val="num" w:pos="432"/>
        </w:tabs>
        <w:ind w:left="431" w:hanging="431"/>
        <w:rPr>
          <w:lang w:val="en-US"/>
        </w:rPr>
      </w:pPr>
      <w:r w:rsidRPr="00126DDB">
        <w:rPr>
          <w:lang w:val="en-US"/>
        </w:rPr>
        <w:t xml:space="preserve">FCC: Change of conditions </w:t>
      </w:r>
      <w:r w:rsidR="00AE2D8A">
        <w:rPr>
          <w:lang w:val="en-US"/>
        </w:rPr>
        <w:t xml:space="preserve">proposed </w:t>
      </w:r>
      <w:r w:rsidRPr="00126DDB">
        <w:rPr>
          <w:lang w:val="en-US"/>
        </w:rPr>
        <w:t>for licensed services in 3550-3700 MHz</w:t>
      </w:r>
      <w:r w:rsidR="00AE2D8A">
        <w:rPr>
          <w:lang w:val="en-US"/>
        </w:rPr>
        <w:t xml:space="preserve"> aND PROPOSAL FROM iNTELsat AND iNTEL FOR SPECTRUM ABOVE 3700 mhZ</w:t>
      </w:r>
    </w:p>
    <w:p w:rsidR="00126DDB" w:rsidRDefault="00126DDB" w:rsidP="00126DDB">
      <w:pPr>
        <w:spacing w:after="240"/>
      </w:pPr>
      <w:r>
        <w:t xml:space="preserve">In a </w:t>
      </w:r>
      <w:hyperlink r:id="rId42" w:history="1">
        <w:r w:rsidRPr="00AE2D8A">
          <w:rPr>
            <w:rStyle w:val="Hyperlink"/>
          </w:rPr>
          <w:t>Notice of Proposed Rulemaking (Notice)</w:t>
        </w:r>
      </w:hyperlink>
      <w:r w:rsidR="00AE2D8A">
        <w:t xml:space="preserve"> (24 October 2017)</w:t>
      </w:r>
      <w:r>
        <w:t xml:space="preserve">, </w:t>
      </w:r>
      <w:r w:rsidR="00AE2D8A">
        <w:t xml:space="preserve">the FCC </w:t>
      </w:r>
      <w:r>
        <w:t>seek</w:t>
      </w:r>
      <w:r w:rsidR="00AE2D8A">
        <w:t>s</w:t>
      </w:r>
      <w:r>
        <w:t xml:space="preserve"> comment</w:t>
      </w:r>
      <w:r w:rsidR="00AE2D8A">
        <w:t>s</w:t>
      </w:r>
      <w:r>
        <w:t xml:space="preserve"> on several proposed changes to the rules governing Priority Access Licenses (PALs) that will be issued in 3550-3700 MHz band (3.5 GHz Band)—including longer license terms, renewability, larger geographic license areas, and auction methodology. </w:t>
      </w:r>
      <w:r w:rsidR="00AE2D8A">
        <w:t>It is recognised that</w:t>
      </w:r>
      <w:r>
        <w:t xml:space="preserve"> several countries have moved forward with policies that would </w:t>
      </w:r>
      <w:r w:rsidR="00AE2D8A">
        <w:t xml:space="preserve">make this band available for 5G. The FCC says the intention is to </w:t>
      </w:r>
      <w:r>
        <w:t>ensure that the service rules governing bands that are critical for 5G network deployments—including the 3.5 GHz Band—keep up with technological advancements, create incentives for investment, encourage efficient spectrum use, support a variety of different use cases, and promote robust network deployments in both urban and rural communities.</w:t>
      </w:r>
    </w:p>
    <w:p w:rsidR="00AE2D8A" w:rsidRPr="00AE2D8A" w:rsidRDefault="00AE2D8A" w:rsidP="00AE2D8A">
      <w:pPr>
        <w:spacing w:after="240"/>
      </w:pPr>
      <w:r w:rsidRPr="00AE2D8A">
        <w:t>Intelsat and Intel made a common proposal to the FCC on 2 October that would allow incumbent satellite operators to collaborate with terrestrial networks on ways to clear C-band spectrum in 3700-4200 MHz based on 5G needs and the presence of existing FSS systems. Satellite operators would retain ownership of the spectrum, and auction the right for joint use of frequencies with terrestrial companies in cleared areas.</w:t>
      </w:r>
      <w:r w:rsidR="0082457F">
        <w:t xml:space="preserve"> See the Intelsat-Intel ‘</w:t>
      </w:r>
      <w:hyperlink r:id="rId43" w:history="1">
        <w:r w:rsidR="0082457F" w:rsidRPr="0082457F">
          <w:rPr>
            <w:rStyle w:val="Hyperlink"/>
          </w:rPr>
          <w:t>Fact Sheet</w:t>
        </w:r>
      </w:hyperlink>
      <w:r w:rsidR="0082457F">
        <w:t>’.</w:t>
      </w:r>
    </w:p>
    <w:p w:rsidR="00AE2D8A" w:rsidRPr="00AE2D8A" w:rsidRDefault="00AE2D8A" w:rsidP="00AE2D8A">
      <w:pPr>
        <w:spacing w:after="240"/>
      </w:pPr>
      <w:r w:rsidRPr="00AE2D8A">
        <w:rPr>
          <w:i/>
        </w:rPr>
        <w:t>“Intelsat and Intel urge the Commission to allow co-primary terrestrial mobile operations in the 3700-4200 MHz band through commercial agreements between terrestrial mobile interests and primarily affected FSS satellite operators,”</w:t>
      </w:r>
      <w:r w:rsidRPr="00AE2D8A">
        <w:t xml:space="preserve"> Intelsat and Intel wrote. “</w:t>
      </w:r>
      <w:r w:rsidRPr="00AE2D8A">
        <w:rPr>
          <w:i/>
        </w:rPr>
        <w:t>Those FSS satellite operators, in turn, will work cooperatively to identify geographic areas of the country where they could undertake the complicated and costly process of clearing portions of the C-band for terrestrial use in defined areas by, for example, moving their services and customers to a portion of the 3700-4200 MHz band, physically moving ground antennas outside of identified geographic areas, or other means, as appropriate.”</w:t>
      </w:r>
    </w:p>
    <w:p w:rsidR="00AE2D8A" w:rsidRPr="00AE2D8A" w:rsidRDefault="00AE2D8A" w:rsidP="009D34D5">
      <w:pPr>
        <w:shd w:val="clear" w:color="auto" w:fill="FFFFFF"/>
        <w:spacing w:before="100" w:beforeAutospacing="1" w:after="100" w:afterAutospacing="1"/>
        <w:jc w:val="left"/>
      </w:pPr>
      <w:r w:rsidRPr="00AE2D8A">
        <w:t>The resolution Intelsat and Intel propose would be specific to geographic regions based on the demand for services from the different infrastructures. In their statement, the companies recognize spectrum clearing would involve “significant cost, including lost opportunities” for incumbent satellite operators. Terrestrial companies using satellite spectrum would remunerate satellite operators for those financial burdens.</w:t>
      </w:r>
    </w:p>
    <w:p w:rsidR="00AE2D8A" w:rsidRDefault="009D34D5" w:rsidP="009D34D5">
      <w:pPr>
        <w:shd w:val="clear" w:color="auto" w:fill="FFFFFF"/>
        <w:spacing w:before="100" w:beforeAutospacing="1" w:after="100" w:afterAutospacing="1"/>
        <w:jc w:val="left"/>
      </w:pPr>
      <w:r w:rsidRPr="009D34D5">
        <w:t>T</w:t>
      </w:r>
      <w:r w:rsidR="00AE2D8A" w:rsidRPr="00AE2D8A">
        <w:t xml:space="preserve">he satellite operators most impacted by </w:t>
      </w:r>
      <w:r w:rsidRPr="009D34D5">
        <w:t xml:space="preserve">a </w:t>
      </w:r>
      <w:r w:rsidR="00AE2D8A" w:rsidRPr="00AE2D8A">
        <w:t xml:space="preserve">decision </w:t>
      </w:r>
      <w:r w:rsidRPr="009D34D5">
        <w:t xml:space="preserve">in this direction in the USA </w:t>
      </w:r>
      <w:r w:rsidR="00AE2D8A" w:rsidRPr="00AE2D8A">
        <w:t>would be Intelsat and SES</w:t>
      </w:r>
      <w:r w:rsidRPr="009D34D5">
        <w:t xml:space="preserve"> Global. Other satellite operators may investigate the proposal at this stage.</w:t>
      </w:r>
    </w:p>
    <w:p w:rsidR="009D34D5" w:rsidRDefault="009D34D5" w:rsidP="009D34D5">
      <w:pPr>
        <w:shd w:val="clear" w:color="auto" w:fill="FFFFFF"/>
        <w:spacing w:before="100" w:beforeAutospacing="1" w:after="100" w:afterAutospacing="1"/>
        <w:jc w:val="left"/>
      </w:pPr>
      <w:r>
        <w:t xml:space="preserve">The proposal follows a request from the FCC in </w:t>
      </w:r>
      <w:r w:rsidRPr="009D34D5">
        <w:t xml:space="preserve">August </w:t>
      </w:r>
      <w:r>
        <w:t xml:space="preserve">2017 – a </w:t>
      </w:r>
      <w:r w:rsidRPr="009D34D5">
        <w:t>notice of intent, for ideas on how to optimi</w:t>
      </w:r>
      <w:r>
        <w:t>s</w:t>
      </w:r>
      <w:r w:rsidRPr="009D34D5">
        <w:t xml:space="preserve">e the use of </w:t>
      </w:r>
      <w:r>
        <w:t>spectrum w</w:t>
      </w:r>
      <w:r w:rsidRPr="009D34D5">
        <w:t>hich starts from 3.7 GHz in the C-band</w:t>
      </w:r>
      <w:r>
        <w:t xml:space="preserve">. The FCC has not decided yet on a conclusion; whether the </w:t>
      </w:r>
      <w:r w:rsidRPr="009D34D5">
        <w:t>protection of incumbent uses in earth stations, or whether it be market mechanisms</w:t>
      </w:r>
      <w:r>
        <w:t>.</w:t>
      </w:r>
    </w:p>
    <w:p w:rsidR="00AE2D8A" w:rsidRDefault="00AE2D8A" w:rsidP="00126DDB">
      <w:pPr>
        <w:spacing w:after="240"/>
        <w:rPr>
          <w:rFonts w:cs="Arial"/>
          <w:b/>
          <w:lang w:val="en-US"/>
        </w:rPr>
      </w:pPr>
      <w:r w:rsidRPr="00AE2D8A">
        <w:rPr>
          <w:rFonts w:cs="Arial"/>
          <w:b/>
          <w:lang w:val="en-US"/>
        </w:rPr>
        <w:lastRenderedPageBreak/>
        <w:t>(for information in ECC PT1</w:t>
      </w:r>
      <w:r w:rsidR="0082457F">
        <w:rPr>
          <w:rFonts w:cs="Arial"/>
          <w:b/>
          <w:lang w:val="en-US"/>
        </w:rPr>
        <w:t>, WGFM, FM44</w:t>
      </w:r>
      <w:r w:rsidRPr="00AE2D8A">
        <w:rPr>
          <w:rFonts w:cs="Arial"/>
          <w:b/>
          <w:lang w:val="en-US"/>
        </w:rPr>
        <w:t>)</w:t>
      </w:r>
    </w:p>
    <w:p w:rsidR="00CC4ECA" w:rsidRPr="00CC4ECA" w:rsidRDefault="00CC4ECA" w:rsidP="00CC4ECA">
      <w:pPr>
        <w:pStyle w:val="Heading1"/>
        <w:tabs>
          <w:tab w:val="clear" w:pos="1425"/>
          <w:tab w:val="num" w:pos="432"/>
        </w:tabs>
        <w:ind w:left="431" w:hanging="431"/>
        <w:rPr>
          <w:lang w:val="en-US"/>
        </w:rPr>
      </w:pPr>
      <w:r w:rsidRPr="00CC4ECA">
        <w:rPr>
          <w:lang w:val="en-US"/>
        </w:rPr>
        <w:t>FCC: Change of the rules for NGSO FSS in Ka-Band</w:t>
      </w:r>
    </w:p>
    <w:p w:rsidR="0082457F" w:rsidRPr="0082457F" w:rsidRDefault="0082457F" w:rsidP="00CC4ECA">
      <w:pPr>
        <w:shd w:val="clear" w:color="auto" w:fill="FFFFFF"/>
        <w:spacing w:before="100" w:beforeAutospacing="1" w:after="100" w:afterAutospacing="1"/>
        <w:jc w:val="left"/>
      </w:pPr>
      <w:r w:rsidRPr="00CC4ECA">
        <w:t xml:space="preserve">The FCC updated their rules </w:t>
      </w:r>
      <w:r w:rsidRPr="0082457F">
        <w:t xml:space="preserve">governing </w:t>
      </w:r>
      <w:r w:rsidRPr="00CC4ECA">
        <w:t xml:space="preserve">NGSO FSS </w:t>
      </w:r>
      <w:r w:rsidRPr="0082457F">
        <w:t>to “better reflect current technology and to promote additional operational flexibility</w:t>
      </w:r>
      <w:r w:rsidR="00CC4ECA" w:rsidRPr="00CC4ECA">
        <w:t>”. T</w:t>
      </w:r>
      <w:r w:rsidR="009061A0">
        <w:t>h</w:t>
      </w:r>
      <w:r w:rsidRPr="0082457F">
        <w:t xml:space="preserve">e report and order amends the </w:t>
      </w:r>
      <w:r w:rsidR="00CC4ECA" w:rsidRPr="00CC4ECA">
        <w:t xml:space="preserve">NTFA </w:t>
      </w:r>
      <w:r w:rsidRPr="0082457F">
        <w:t xml:space="preserve">to better accommodate NGSO and </w:t>
      </w:r>
      <w:r w:rsidR="00CC4ECA" w:rsidRPr="00CC4ECA">
        <w:t xml:space="preserve">GSO </w:t>
      </w:r>
      <w:r w:rsidRPr="0082457F">
        <w:t>satellite operations in the Ka-band (20/30 GHz) and streamlines the NGSO milestone rules for deployment. It also eliminates the international geographic cover requirements in order to provide greater flexibility to NGSO FSS operators, according to the same article, and it adopts a new threshold to characterize circumstances where a default mechanism will govern spectrum sharing between operators.</w:t>
      </w:r>
    </w:p>
    <w:p w:rsidR="00CC4ECA" w:rsidRPr="00CC4ECA" w:rsidRDefault="0082457F" w:rsidP="00CC4ECA">
      <w:pPr>
        <w:shd w:val="clear" w:color="auto" w:fill="FFFFFF"/>
        <w:spacing w:before="100" w:beforeAutospacing="1" w:after="100" w:afterAutospacing="1"/>
        <w:jc w:val="left"/>
      </w:pPr>
      <w:r w:rsidRPr="0082457F">
        <w:t>There are at least 11 different organi</w:t>
      </w:r>
      <w:r w:rsidR="00CC4ECA" w:rsidRPr="00CC4ECA">
        <w:t>s</w:t>
      </w:r>
      <w:r w:rsidRPr="0082457F">
        <w:t>ations vying to provide satellite-based broadband across the U</w:t>
      </w:r>
      <w:r w:rsidR="00CC4ECA" w:rsidRPr="00CC4ECA">
        <w:t>SA, as was reported in the last ECO bulletin.</w:t>
      </w:r>
    </w:p>
    <w:p w:rsidR="00CC4ECA" w:rsidRDefault="00CC4ECA" w:rsidP="00CC4ECA">
      <w:pPr>
        <w:shd w:val="clear" w:color="auto" w:fill="FFFFFF"/>
        <w:spacing w:before="0" w:after="0" w:line="312" w:lineRule="atLeast"/>
        <w:jc w:val="left"/>
        <w:textAlignment w:val="baseline"/>
      </w:pPr>
      <w:r w:rsidRPr="00CC4ECA">
        <w:t>See the FCC</w:t>
      </w:r>
      <w:r w:rsidRPr="00CC4ECA">
        <w:rPr>
          <w:rFonts w:ascii="Georgia" w:eastAsia="Times New Roman" w:hAnsi="Georgia"/>
          <w:color w:val="000000"/>
          <w:szCs w:val="20"/>
          <w:lang w:val="en-US" w:eastAsia="da-DK"/>
        </w:rPr>
        <w:t xml:space="preserve"> </w:t>
      </w:r>
      <w:hyperlink r:id="rId44" w:history="1">
        <w:r w:rsidRPr="00CC4ECA">
          <w:rPr>
            <w:rStyle w:val="Hyperlink"/>
            <w:rFonts w:ascii="Georgia" w:eastAsia="Times New Roman" w:hAnsi="Georgia"/>
            <w:szCs w:val="20"/>
            <w:lang w:val="en-US" w:eastAsia="da-DK"/>
          </w:rPr>
          <w:t>Fact Sheet</w:t>
        </w:r>
      </w:hyperlink>
      <w:r w:rsidRPr="00CC4ECA">
        <w:rPr>
          <w:rFonts w:ascii="Georgia" w:eastAsia="Times New Roman" w:hAnsi="Georgia"/>
          <w:color w:val="000000"/>
          <w:szCs w:val="20"/>
          <w:lang w:val="en-US" w:eastAsia="da-DK"/>
        </w:rPr>
        <w:t xml:space="preserve"> </w:t>
      </w:r>
      <w:r w:rsidRPr="00CC4ECA">
        <w:t>about the new rules issued on 7 September 2017.</w:t>
      </w:r>
    </w:p>
    <w:p w:rsidR="009F242B" w:rsidRDefault="009F242B" w:rsidP="00CC4ECA">
      <w:pPr>
        <w:shd w:val="clear" w:color="auto" w:fill="FFFFFF"/>
        <w:spacing w:before="0" w:after="0" w:line="312" w:lineRule="atLeast"/>
        <w:jc w:val="left"/>
        <w:textAlignment w:val="baseline"/>
      </w:pPr>
    </w:p>
    <w:p w:rsidR="009F242B" w:rsidRPr="009F242B" w:rsidRDefault="009F242B" w:rsidP="00CC4ECA">
      <w:pPr>
        <w:shd w:val="clear" w:color="auto" w:fill="FFFFFF"/>
        <w:spacing w:before="0" w:after="0" w:line="312" w:lineRule="atLeast"/>
        <w:jc w:val="left"/>
        <w:textAlignment w:val="baseline"/>
        <w:rPr>
          <w:b/>
        </w:rPr>
      </w:pPr>
      <w:r w:rsidRPr="009F242B">
        <w:rPr>
          <w:b/>
        </w:rPr>
        <w:t>(for information in WGFM, FM44)</w:t>
      </w:r>
    </w:p>
    <w:p w:rsidR="00376CBF" w:rsidRPr="00376CBF" w:rsidRDefault="00376CBF" w:rsidP="00376CBF">
      <w:pPr>
        <w:pStyle w:val="Heading1"/>
        <w:tabs>
          <w:tab w:val="clear" w:pos="1425"/>
          <w:tab w:val="num" w:pos="432"/>
        </w:tabs>
        <w:ind w:left="431" w:hanging="431"/>
        <w:rPr>
          <w:lang w:val="en-US"/>
        </w:rPr>
      </w:pPr>
      <w:r w:rsidRPr="00376CBF">
        <w:rPr>
          <w:lang w:val="en-US"/>
        </w:rPr>
        <w:t>Australia: Spectrum tune-up: Spectrum for 5G broadband in mmWave bands</w:t>
      </w:r>
    </w:p>
    <w:p w:rsidR="00376CBF" w:rsidRPr="00376CBF" w:rsidRDefault="00376CBF" w:rsidP="00376CBF">
      <w:pPr>
        <w:shd w:val="clear" w:color="auto" w:fill="FFFFFF"/>
        <w:spacing w:before="100" w:beforeAutospacing="1" w:after="100" w:afterAutospacing="1"/>
        <w:jc w:val="left"/>
      </w:pPr>
      <w:r w:rsidRPr="00376CBF">
        <w:t xml:space="preserve">To further progress consideration of the mmWave bands, the </w:t>
      </w:r>
      <w:r>
        <w:t xml:space="preserve">Australian regulator </w:t>
      </w:r>
      <w:r w:rsidRPr="00376CBF">
        <w:t>ACMA conducted a spectrum tune-up on 5 September 2017, which</w:t>
      </w:r>
      <w:r>
        <w:t xml:space="preserve"> </w:t>
      </w:r>
      <w:r w:rsidRPr="00376CBF">
        <w:t>included speakers from both the ACMA and industry.</w:t>
      </w:r>
    </w:p>
    <w:p w:rsidR="00376CBF" w:rsidRDefault="00376CBF" w:rsidP="00376CBF">
      <w:pPr>
        <w:shd w:val="clear" w:color="auto" w:fill="FFFFFF"/>
        <w:spacing w:before="100" w:beforeAutospacing="1" w:after="100" w:afterAutospacing="1"/>
        <w:jc w:val="left"/>
      </w:pPr>
      <w:r w:rsidRPr="00376CBF">
        <w:t xml:space="preserve">At the event, the ACMA launched a consultation process on spectrum for 5G broadband in mmWave bands. </w:t>
      </w:r>
      <w:r>
        <w:t xml:space="preserve">The process closed </w:t>
      </w:r>
      <w:r w:rsidRPr="00376CBF">
        <w:t>20 October 2017.</w:t>
      </w:r>
    </w:p>
    <w:p w:rsidR="00376CBF" w:rsidRDefault="00376CBF" w:rsidP="00376CBF">
      <w:pPr>
        <w:shd w:val="clear" w:color="auto" w:fill="FFFFFF"/>
        <w:spacing w:before="100" w:beforeAutospacing="1" w:after="100" w:afterAutospacing="1"/>
        <w:jc w:val="left"/>
      </w:pPr>
      <w:r>
        <w:t xml:space="preserve">A website with links to presentations including some overviews about the interests and also remarks on the worldwide situation can be found under: </w:t>
      </w:r>
      <w:hyperlink r:id="rId45" w:history="1">
        <w:r>
          <w:rPr>
            <w:rStyle w:val="Hyperlink"/>
          </w:rPr>
          <w:t>ACMA Link</w:t>
        </w:r>
      </w:hyperlink>
      <w:r>
        <w:t>.</w:t>
      </w:r>
    </w:p>
    <w:p w:rsidR="009F242B" w:rsidRPr="009F242B" w:rsidRDefault="009F242B" w:rsidP="00376CBF">
      <w:pPr>
        <w:shd w:val="clear" w:color="auto" w:fill="FFFFFF"/>
        <w:spacing w:before="100" w:beforeAutospacing="1" w:after="100" w:afterAutospacing="1"/>
        <w:jc w:val="left"/>
        <w:rPr>
          <w:b/>
        </w:rPr>
      </w:pPr>
      <w:r w:rsidRPr="009F242B">
        <w:rPr>
          <w:b/>
        </w:rPr>
        <w:t>(for information in ECC PT1 and WGFM)</w:t>
      </w:r>
    </w:p>
    <w:p w:rsidR="00376CBF" w:rsidRPr="00376CBF" w:rsidRDefault="00376CBF" w:rsidP="00376CBF">
      <w:pPr>
        <w:pStyle w:val="Heading1"/>
        <w:tabs>
          <w:tab w:val="clear" w:pos="1425"/>
          <w:tab w:val="num" w:pos="432"/>
        </w:tabs>
        <w:ind w:left="431" w:hanging="431"/>
        <w:rPr>
          <w:lang w:val="en-US"/>
        </w:rPr>
      </w:pPr>
      <w:r w:rsidRPr="00376CBF">
        <w:rPr>
          <w:lang w:val="en-US"/>
        </w:rPr>
        <w:t>Canada – Release of RSS-252 (</w:t>
      </w:r>
      <w:r w:rsidR="007B25E5">
        <w:rPr>
          <w:lang w:val="en-US"/>
        </w:rPr>
        <w:t xml:space="preserve">ITS </w:t>
      </w:r>
      <w:r w:rsidRPr="00376CBF">
        <w:rPr>
          <w:lang w:val="en-US"/>
        </w:rPr>
        <w:t>Devices operating in 5850-5925 MHz Band)</w:t>
      </w:r>
    </w:p>
    <w:p w:rsidR="00376CBF" w:rsidRDefault="00376CBF" w:rsidP="00376CBF">
      <w:pPr>
        <w:spacing w:before="100" w:beforeAutospacing="1" w:after="100" w:afterAutospacing="1" w:line="360" w:lineRule="auto"/>
        <w:jc w:val="left"/>
      </w:pPr>
      <w:r w:rsidRPr="00376CBF">
        <w:t>In September 2017, Canada’s ISED (Innovation, Science and Economic Development) published</w:t>
      </w:r>
      <w:r w:rsidRPr="00376CBF">
        <w:rPr>
          <w:rFonts w:ascii="Helvetica" w:hAnsi="Helvetica"/>
          <w:color w:val="505050"/>
          <w:sz w:val="21"/>
          <w:szCs w:val="21"/>
          <w:lang w:val="en-US" w:eastAsia="da-DK"/>
        </w:rPr>
        <w:t xml:space="preserve"> </w:t>
      </w:r>
      <w:hyperlink r:id="rId46" w:tgtFrame="_blank" w:history="1">
        <w:r w:rsidRPr="00376CBF">
          <w:rPr>
            <w:rFonts w:ascii="Times New Roman" w:hAnsi="Times New Roman"/>
            <w:color w:val="1B4F9A"/>
            <w:sz w:val="21"/>
            <w:szCs w:val="21"/>
            <w:u w:val="single"/>
            <w:lang w:val="en-US" w:eastAsia="da-DK"/>
          </w:rPr>
          <w:t>Radio Standards Specification RSS-252, issue 1, Intelligent Transportation Systems – Dedicated Short Range Communications (DSRC) – On-Board Unit (OBU)</w:t>
        </w:r>
      </w:hyperlink>
      <w:r w:rsidRPr="00376CBF">
        <w:rPr>
          <w:rFonts w:ascii="Helvetica" w:hAnsi="Helvetica"/>
          <w:color w:val="505050"/>
          <w:sz w:val="21"/>
          <w:szCs w:val="21"/>
          <w:lang w:val="en-US" w:eastAsia="da-DK"/>
        </w:rPr>
        <w:t xml:space="preserve">, </w:t>
      </w:r>
      <w:r w:rsidRPr="00376CBF">
        <w:t>establishing the certification requirements for license-exempt Dedicated Short Range Communication (DSRC) On-Board (OBU) devices. These devices operate in the 5850-5925 MHz frequency range.</w:t>
      </w:r>
      <w:r>
        <w:t xml:space="preserve"> RSS-252 refers to ITS </w:t>
      </w:r>
      <w:r w:rsidR="007B25E5">
        <w:t>specifications</w:t>
      </w:r>
      <w:r>
        <w:t xml:space="preserve"> </w:t>
      </w:r>
      <w:r w:rsidR="007B25E5">
        <w:t>based on IEEE 802.11/ ETSI G5.</w:t>
      </w:r>
    </w:p>
    <w:p w:rsidR="00ED7E9D" w:rsidRDefault="00ED7E9D" w:rsidP="00376CBF">
      <w:pPr>
        <w:spacing w:before="100" w:beforeAutospacing="1" w:after="100" w:afterAutospacing="1" w:line="360" w:lineRule="auto"/>
        <w:jc w:val="left"/>
      </w:pPr>
      <w:r>
        <w:t>In this regard, it should be noted that e.g. the ARIB standard for ITS in Japan, the TTA standard in Korea and also the  IMDA standard in Singapore refer to the m</w:t>
      </w:r>
      <w:r w:rsidRPr="00ED7E9D">
        <w:t>edia access control</w:t>
      </w:r>
      <w:r>
        <w:t xml:space="preserve"> to be </w:t>
      </w:r>
      <w:r w:rsidRPr="00ED7E9D">
        <w:t>CSMA/CA</w:t>
      </w:r>
      <w:r>
        <w:t>, i.e. IEEE 802.11/ ETSI G5.</w:t>
      </w:r>
    </w:p>
    <w:p w:rsidR="009F242B" w:rsidRPr="009F242B" w:rsidRDefault="009F242B" w:rsidP="009F242B">
      <w:pPr>
        <w:shd w:val="clear" w:color="auto" w:fill="FFFFFF"/>
        <w:spacing w:before="100" w:beforeAutospacing="1" w:after="100" w:afterAutospacing="1"/>
        <w:jc w:val="left"/>
        <w:rPr>
          <w:rFonts w:ascii="Helvetica" w:hAnsi="Helvetica"/>
          <w:color w:val="505050"/>
          <w:sz w:val="21"/>
          <w:szCs w:val="21"/>
          <w:lang w:eastAsia="da-DK"/>
        </w:rPr>
      </w:pPr>
      <w:r w:rsidRPr="009F242B">
        <w:rPr>
          <w:b/>
        </w:rPr>
        <w:t>(for information in WGFM</w:t>
      </w:r>
      <w:r>
        <w:rPr>
          <w:b/>
        </w:rPr>
        <w:t xml:space="preserve"> and SRD/MG</w:t>
      </w:r>
      <w:r w:rsidRPr="009F242B">
        <w:rPr>
          <w:b/>
        </w:rPr>
        <w:t>)</w:t>
      </w:r>
    </w:p>
    <w:p w:rsidR="005E0A59" w:rsidRPr="00E40686" w:rsidRDefault="005E0A59" w:rsidP="00E40686">
      <w:pPr>
        <w:pStyle w:val="Heading1"/>
        <w:tabs>
          <w:tab w:val="clear" w:pos="1425"/>
          <w:tab w:val="num" w:pos="432"/>
        </w:tabs>
        <w:ind w:left="431" w:hanging="431"/>
        <w:rPr>
          <w:lang w:val="en-US"/>
        </w:rPr>
      </w:pPr>
      <w:r w:rsidRPr="00E40686">
        <w:rPr>
          <w:lang w:val="en-US"/>
        </w:rPr>
        <w:lastRenderedPageBreak/>
        <w:t>FCC: ‘Notice of Inquiry’ published on 14 July 2017</w:t>
      </w:r>
      <w:r w:rsidR="00E40686" w:rsidRPr="00E40686">
        <w:rPr>
          <w:lang w:val="en-US"/>
        </w:rPr>
        <w:t xml:space="preserve"> – 6 GHz WAS/RLAN</w:t>
      </w:r>
    </w:p>
    <w:p w:rsidR="005E0A59" w:rsidRDefault="005E0A59" w:rsidP="005E0A59">
      <w:pPr>
        <w:shd w:val="clear" w:color="auto" w:fill="FFFFFF"/>
        <w:spacing w:before="0" w:after="0" w:line="312" w:lineRule="atLeast"/>
        <w:jc w:val="left"/>
        <w:textAlignment w:val="baseline"/>
      </w:pPr>
      <w:r>
        <w:t xml:space="preserve">Similar to the work in FM57 and SE45, a process has also started in the USA for additional WAS/RLAN spectrum in the 6 GHz range. The FCC is asking the industry to comment on new spectrum ideas. The FCC’s NOI can be read under: </w:t>
      </w:r>
      <w:hyperlink r:id="rId47" w:history="1">
        <w:r w:rsidRPr="0041150B">
          <w:rPr>
            <w:rStyle w:val="Hyperlink"/>
          </w:rPr>
          <w:t>http://transition.fcc.gov/Daily_Releases/Daily_Business/2017/db0713/DOC-345789A1.pdf</w:t>
        </w:r>
      </w:hyperlink>
      <w:r>
        <w:t xml:space="preserve">.  With this, the FCC is asking detailed questions about three specific frequency ranges:  bands: 3.7-4.2 GHz (see also the proposal from Intelsat and Intel under item 6); 5.925-6.425 GHz; and 6.425-7.125 GHz. </w:t>
      </w:r>
    </w:p>
    <w:p w:rsidR="005E0A59" w:rsidRDefault="005E0A59" w:rsidP="005E0A59">
      <w:pPr>
        <w:shd w:val="clear" w:color="auto" w:fill="FFFFFF"/>
        <w:spacing w:before="0" w:after="0" w:line="312" w:lineRule="atLeast"/>
        <w:jc w:val="left"/>
        <w:textAlignment w:val="baseline"/>
      </w:pPr>
    </w:p>
    <w:p w:rsidR="005E0A59" w:rsidRDefault="005E0A59" w:rsidP="005E0A59">
      <w:pPr>
        <w:shd w:val="clear" w:color="auto" w:fill="FFFFFF"/>
        <w:spacing w:before="0" w:after="0" w:line="312" w:lineRule="atLeast"/>
        <w:jc w:val="left"/>
        <w:textAlignment w:val="baseline"/>
      </w:pPr>
      <w:r w:rsidRPr="005E0A59">
        <w:t xml:space="preserve">The </w:t>
      </w:r>
      <w:r>
        <w:t xml:space="preserve">situation for the USA is set out in the fact sheet: </w:t>
      </w:r>
    </w:p>
    <w:p w:rsidR="005E0A59" w:rsidRDefault="005E0A59" w:rsidP="00D236E5">
      <w:pPr>
        <w:pStyle w:val="ListParagraph"/>
        <w:numPr>
          <w:ilvl w:val="0"/>
          <w:numId w:val="9"/>
        </w:numPr>
        <w:shd w:val="clear" w:color="auto" w:fill="FFFFFF"/>
        <w:spacing w:before="0" w:after="0" w:line="312" w:lineRule="atLeast"/>
        <w:jc w:val="left"/>
        <w:textAlignment w:val="baseline"/>
      </w:pPr>
      <w:r>
        <w:t>t</w:t>
      </w:r>
      <w:r w:rsidRPr="005E0A59">
        <w:t xml:space="preserve">here are more than 1500 </w:t>
      </w:r>
      <w:r>
        <w:t>e</w:t>
      </w:r>
      <w:r w:rsidRPr="005E0A59">
        <w:t>arth stations and some 27000 point-to-point radio licenses (FS) using the 5.925-6.425 GHz band today</w:t>
      </w:r>
      <w:r>
        <w:t xml:space="preserve"> in the USA;</w:t>
      </w:r>
    </w:p>
    <w:p w:rsidR="005E0A59" w:rsidRDefault="005E0A59" w:rsidP="00D236E5">
      <w:pPr>
        <w:pStyle w:val="ListParagraph"/>
        <w:numPr>
          <w:ilvl w:val="0"/>
          <w:numId w:val="9"/>
        </w:numPr>
        <w:shd w:val="clear" w:color="auto" w:fill="FFFFFF"/>
        <w:spacing w:before="0" w:after="0" w:line="312" w:lineRule="atLeast"/>
        <w:jc w:val="left"/>
        <w:textAlignment w:val="baseline"/>
      </w:pPr>
      <w:r>
        <w:t>The 6.425-7.125 GHz bands are less used in the USA. The FCC says 65 FSS earth stations and about 23000 point-to-point radio licenses are currently using this band.</w:t>
      </w:r>
    </w:p>
    <w:p w:rsidR="00E40686" w:rsidRDefault="005E0A59" w:rsidP="00D236E5">
      <w:pPr>
        <w:pStyle w:val="ListParagraph"/>
        <w:numPr>
          <w:ilvl w:val="0"/>
          <w:numId w:val="9"/>
        </w:numPr>
        <w:shd w:val="clear" w:color="auto" w:fill="FFFFFF"/>
        <w:spacing w:before="0" w:after="0" w:line="312" w:lineRule="atLeast"/>
        <w:jc w:val="left"/>
        <w:textAlignment w:val="baseline"/>
      </w:pPr>
      <w:r>
        <w:t>the FCC is asking for ideas as to how these bands ma</w:t>
      </w:r>
      <w:r w:rsidR="00E40686">
        <w:t>y be shared for unlicensed use;’</w:t>
      </w:r>
    </w:p>
    <w:p w:rsidR="00E40686" w:rsidRDefault="00E40686" w:rsidP="00D236E5">
      <w:pPr>
        <w:pStyle w:val="ListParagraph"/>
        <w:numPr>
          <w:ilvl w:val="0"/>
          <w:numId w:val="9"/>
        </w:numPr>
        <w:shd w:val="clear" w:color="auto" w:fill="FFFFFF"/>
        <w:spacing w:before="0" w:after="0" w:line="312" w:lineRule="atLeast"/>
        <w:jc w:val="left"/>
        <w:textAlignment w:val="baseline"/>
      </w:pPr>
      <w:r>
        <w:t>t</w:t>
      </w:r>
      <w:r w:rsidR="005E0A59">
        <w:t>he FCC is also concerned about whether or not the current DFS rules have been useful</w:t>
      </w:r>
      <w:r>
        <w:t xml:space="preserve"> while </w:t>
      </w:r>
      <w:r w:rsidR="005E0A59">
        <w:t>not currently contemplating changes to the DFS rules</w:t>
      </w:r>
      <w:r>
        <w:t xml:space="preserve">. The FCC </w:t>
      </w:r>
      <w:r w:rsidR="005E0A59">
        <w:t>seek</w:t>
      </w:r>
      <w:r>
        <w:t>s</w:t>
      </w:r>
      <w:r w:rsidR="005E0A59">
        <w:t xml:space="preserve"> to better understand whether DFS is providing meaningful access to spectrum</w:t>
      </w:r>
      <w:r>
        <w:t>.</w:t>
      </w:r>
    </w:p>
    <w:p w:rsidR="00E40686" w:rsidRDefault="00E40686" w:rsidP="00E40686">
      <w:pPr>
        <w:shd w:val="clear" w:color="auto" w:fill="FFFFFF"/>
        <w:spacing w:before="0" w:after="0" w:line="312" w:lineRule="atLeast"/>
        <w:ind w:left="360"/>
        <w:jc w:val="left"/>
        <w:textAlignment w:val="baseline"/>
      </w:pPr>
    </w:p>
    <w:p w:rsidR="00E40686" w:rsidRDefault="00E40686" w:rsidP="00E40686">
      <w:pPr>
        <w:shd w:val="clear" w:color="auto" w:fill="FFFFFF"/>
        <w:spacing w:before="0" w:after="0" w:line="312" w:lineRule="atLeast"/>
        <w:jc w:val="left"/>
        <w:textAlignment w:val="baseline"/>
      </w:pPr>
      <w:r w:rsidRPr="00E40686">
        <w:t xml:space="preserve">Apple, Google, Facebook, Broadcom, Qualcomm and others have filed a </w:t>
      </w:r>
      <w:hyperlink r:id="rId48" w:history="1">
        <w:r w:rsidRPr="00E40686">
          <w:rPr>
            <w:rStyle w:val="Hyperlink"/>
          </w:rPr>
          <w:t>report</w:t>
        </w:r>
      </w:hyperlink>
      <w:r w:rsidRPr="00E40686">
        <w:t> with the FCC to ask for more WAS/RLAN spectrum (dated 2 October 2017).</w:t>
      </w:r>
    </w:p>
    <w:p w:rsidR="00E40686" w:rsidRDefault="00E40686" w:rsidP="00E40686">
      <w:pPr>
        <w:shd w:val="clear" w:color="auto" w:fill="FFFFFF"/>
        <w:spacing w:before="0" w:after="0" w:line="312" w:lineRule="atLeast"/>
        <w:jc w:val="left"/>
        <w:textAlignment w:val="baseline"/>
      </w:pPr>
    </w:p>
    <w:p w:rsidR="005E0A59" w:rsidRDefault="00E40686" w:rsidP="00E40686">
      <w:pPr>
        <w:shd w:val="clear" w:color="auto" w:fill="FFFFFF"/>
        <w:spacing w:before="0" w:after="0" w:line="312" w:lineRule="atLeast"/>
        <w:jc w:val="left"/>
        <w:textAlignment w:val="baseline"/>
      </w:pPr>
      <w:r>
        <w:t xml:space="preserve">The </w:t>
      </w:r>
      <w:r w:rsidRPr="00E40686">
        <w:t xml:space="preserve">availability of 6 GHz for unlicensed use </w:t>
      </w:r>
      <w:r>
        <w:t xml:space="preserve">is thought to </w:t>
      </w:r>
      <w:r w:rsidRPr="00E40686">
        <w:t>coincide with the introduction of the new 802.11ax standard. The IEEE 802.11 task group has already voted to extend 802.11ax to include the 6 GHz band.</w:t>
      </w:r>
    </w:p>
    <w:p w:rsidR="00E40686" w:rsidRDefault="00E40686" w:rsidP="00E40686">
      <w:pPr>
        <w:shd w:val="clear" w:color="auto" w:fill="FFFFFF"/>
        <w:spacing w:before="0" w:after="0" w:line="312" w:lineRule="atLeast"/>
        <w:jc w:val="left"/>
        <w:textAlignment w:val="baseline"/>
      </w:pPr>
    </w:p>
    <w:p w:rsidR="00E40686" w:rsidRDefault="00E40686" w:rsidP="00E40686">
      <w:pPr>
        <w:shd w:val="clear" w:color="auto" w:fill="FFFFFF"/>
        <w:spacing w:before="0" w:after="0" w:line="312" w:lineRule="atLeast"/>
        <w:jc w:val="left"/>
        <w:textAlignment w:val="baseline"/>
      </w:pPr>
      <w:r>
        <w:t>The industry proposal to the FCC considers establishing multiple 6 GHz sub-bands, with the intention that technical rules and interference protections for each segment of the band are appropriate to incumbents operating in the frequencies. Taken together, the four sub-bands can be referred to as one 6 GHz band.</w:t>
      </w:r>
    </w:p>
    <w:p w:rsidR="00E40686" w:rsidRDefault="00E40686" w:rsidP="00E40686">
      <w:pPr>
        <w:shd w:val="clear" w:color="auto" w:fill="FFFFFF"/>
        <w:spacing w:before="0" w:after="0" w:line="312" w:lineRule="atLeast"/>
        <w:jc w:val="left"/>
        <w:textAlignment w:val="baseline"/>
      </w:pPr>
    </w:p>
    <w:p w:rsidR="00E40686" w:rsidRDefault="00E40686" w:rsidP="00D236E5">
      <w:pPr>
        <w:pStyle w:val="ListParagraph"/>
        <w:numPr>
          <w:ilvl w:val="0"/>
          <w:numId w:val="14"/>
        </w:numPr>
        <w:shd w:val="clear" w:color="auto" w:fill="FFFFFF"/>
        <w:spacing w:before="0" w:after="0" w:line="312" w:lineRule="atLeast"/>
        <w:jc w:val="left"/>
        <w:textAlignment w:val="baseline"/>
      </w:pPr>
      <w:r>
        <w:t>U-NII-5: 5925-6425 MHz</w:t>
      </w:r>
    </w:p>
    <w:p w:rsidR="00E40686" w:rsidRDefault="00E40686" w:rsidP="00D236E5">
      <w:pPr>
        <w:pStyle w:val="ListParagraph"/>
        <w:numPr>
          <w:ilvl w:val="0"/>
          <w:numId w:val="14"/>
        </w:numPr>
        <w:shd w:val="clear" w:color="auto" w:fill="FFFFFF"/>
        <w:spacing w:before="0" w:after="0" w:line="312" w:lineRule="atLeast"/>
        <w:jc w:val="left"/>
        <w:textAlignment w:val="baseline"/>
      </w:pPr>
      <w:r>
        <w:t>U-NII-6: 6425-6525 MHz</w:t>
      </w:r>
    </w:p>
    <w:p w:rsidR="00E40686" w:rsidRDefault="00E40686" w:rsidP="00D236E5">
      <w:pPr>
        <w:pStyle w:val="ListParagraph"/>
        <w:numPr>
          <w:ilvl w:val="0"/>
          <w:numId w:val="14"/>
        </w:numPr>
        <w:shd w:val="clear" w:color="auto" w:fill="FFFFFF"/>
        <w:spacing w:before="0" w:after="0" w:line="312" w:lineRule="atLeast"/>
        <w:jc w:val="left"/>
        <w:textAlignment w:val="baseline"/>
      </w:pPr>
      <w:r>
        <w:t>U-NII-7: 6525-6875 MHz</w:t>
      </w:r>
    </w:p>
    <w:p w:rsidR="00E40686" w:rsidRDefault="00E40686" w:rsidP="00D236E5">
      <w:pPr>
        <w:pStyle w:val="ListParagraph"/>
        <w:numPr>
          <w:ilvl w:val="0"/>
          <w:numId w:val="14"/>
        </w:numPr>
        <w:shd w:val="clear" w:color="auto" w:fill="FFFFFF"/>
        <w:spacing w:before="0" w:after="0" w:line="312" w:lineRule="atLeast"/>
        <w:jc w:val="left"/>
        <w:textAlignment w:val="baseline"/>
      </w:pPr>
      <w:r>
        <w:t>U-NII-8: 6875-7125 MHz</w:t>
      </w:r>
    </w:p>
    <w:p w:rsidR="009F242B" w:rsidRPr="009F242B" w:rsidRDefault="009F242B" w:rsidP="009F242B">
      <w:pPr>
        <w:shd w:val="clear" w:color="auto" w:fill="FFFFFF"/>
        <w:spacing w:before="0" w:after="0" w:line="312" w:lineRule="atLeast"/>
        <w:jc w:val="left"/>
        <w:textAlignment w:val="baseline"/>
        <w:rPr>
          <w:b/>
        </w:rPr>
      </w:pPr>
      <w:r w:rsidRPr="009F242B">
        <w:rPr>
          <w:b/>
        </w:rPr>
        <w:t>(for information in WGFM, WGSE, FM57 and SE45)</w:t>
      </w:r>
    </w:p>
    <w:sectPr w:rsidR="009F242B" w:rsidRPr="009F242B" w:rsidSect="00797DEE">
      <w:headerReference w:type="even" r:id="rId49"/>
      <w:headerReference w:type="default" r:id="rId5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F5" w:rsidRDefault="001233F5" w:rsidP="00DB17F9">
      <w:r>
        <w:separator/>
      </w:r>
    </w:p>
    <w:p w:rsidR="001233F5" w:rsidRDefault="001233F5"/>
  </w:endnote>
  <w:endnote w:type="continuationSeparator" w:id="0">
    <w:p w:rsidR="001233F5" w:rsidRDefault="001233F5" w:rsidP="00DB17F9">
      <w:r>
        <w:continuationSeparator/>
      </w:r>
    </w:p>
    <w:p w:rsidR="001233F5" w:rsidRDefault="0012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F5" w:rsidRPr="00F51BD6" w:rsidRDefault="001233F5" w:rsidP="00CD07E7">
      <w:pPr>
        <w:spacing w:before="120" w:after="0"/>
      </w:pPr>
      <w:r>
        <w:separator/>
      </w:r>
    </w:p>
  </w:footnote>
  <w:footnote w:type="continuationSeparator" w:id="0">
    <w:p w:rsidR="001233F5" w:rsidRDefault="001233F5" w:rsidP="00CD07E7">
      <w:pPr>
        <w:spacing w:before="120" w:after="0"/>
      </w:pPr>
      <w:r>
        <w:continuationSeparator/>
      </w:r>
    </w:p>
  </w:footnote>
  <w:footnote w:type="continuationNotice" w:id="1">
    <w:p w:rsidR="001233F5" w:rsidRPr="00CD07E7" w:rsidRDefault="001233F5"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C2" w:rsidRPr="00AD1BE1" w:rsidRDefault="005F50C2" w:rsidP="00AD1BE1">
    <w:pPr>
      <w:pStyle w:val="ECCpageHeader"/>
    </w:pPr>
    <w:r w:rsidRPr="00AD1BE1">
      <w:t xml:space="preserve">ECC REPORT &lt;No&gt; - Page </w:t>
    </w:r>
    <w:r w:rsidRPr="00AD1BE1">
      <w:fldChar w:fldCharType="begin"/>
    </w:r>
    <w:r w:rsidRPr="00AD1BE1">
      <w:instrText xml:space="preserve"> PAGE  \* Arabic  \* MERGEFORMAT </w:instrText>
    </w:r>
    <w:r w:rsidRPr="00AD1BE1">
      <w:fldChar w:fldCharType="separate"/>
    </w:r>
    <w:r>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C2" w:rsidRPr="00714F0F" w:rsidRDefault="005F50C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9E53EA">
      <w:rPr>
        <w:noProof/>
      </w:rPr>
      <w:t>10</w:t>
    </w:r>
    <w:r w:rsidRPr="00714F0F">
      <w:fldChar w:fldCharType="end"/>
    </w:r>
  </w:p>
  <w:p w:rsidR="005F50C2" w:rsidRDefault="005F5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358E3"/>
    <w:multiLevelType w:val="hybridMultilevel"/>
    <w:tmpl w:val="32963270"/>
    <w:lvl w:ilvl="0" w:tplc="FAFC25BE">
      <w:start w:val="37"/>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8A00265"/>
    <w:multiLevelType w:val="multilevel"/>
    <w:tmpl w:val="3C0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63F7A"/>
    <w:multiLevelType w:val="multilevel"/>
    <w:tmpl w:val="C51432D8"/>
    <w:lvl w:ilvl="0">
      <w:start w:val="1"/>
      <w:numFmt w:val="decimal"/>
      <w:pStyle w:val="Heading1"/>
      <w:lvlText w:val="%1"/>
      <w:lvlJc w:val="left"/>
      <w:pPr>
        <w:tabs>
          <w:tab w:val="num" w:pos="1425"/>
        </w:tabs>
        <w:ind w:left="1425"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6369BC"/>
    <w:multiLevelType w:val="hybridMultilevel"/>
    <w:tmpl w:val="316C677A"/>
    <w:lvl w:ilvl="0" w:tplc="FAFC25BE">
      <w:start w:val="37"/>
      <w:numFmt w:val="bullet"/>
      <w:lvlText w:val="-"/>
      <w:lvlJc w:val="left"/>
      <w:pPr>
        <w:ind w:left="1287" w:hanging="360"/>
      </w:pPr>
      <w:rPr>
        <w:rFonts w:ascii="Arial" w:eastAsia="Calibri"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5964193F"/>
    <w:multiLevelType w:val="hybridMultilevel"/>
    <w:tmpl w:val="F0687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AE37D32"/>
    <w:multiLevelType w:val="hybridMultilevel"/>
    <w:tmpl w:val="4D02AF06"/>
    <w:lvl w:ilvl="0" w:tplc="95D8EA34">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7"/>
  </w:num>
  <w:num w:numId="6">
    <w:abstractNumId w:val="6"/>
  </w:num>
  <w:num w:numId="7">
    <w:abstractNumId w:val="3"/>
  </w:num>
  <w:num w:numId="8">
    <w:abstractNumId w:val="12"/>
  </w:num>
  <w:num w:numId="9">
    <w:abstractNumId w:val="1"/>
  </w:num>
  <w:num w:numId="10">
    <w:abstractNumId w:val="10"/>
  </w:num>
  <w:num w:numId="11">
    <w:abstractNumId w:val="5"/>
  </w:num>
  <w:num w:numId="12">
    <w:abstractNumId w:val="11"/>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characterSpacingControl w:val="doNotCompress"/>
  <w:hdrShapeDefaults>
    <o:shapedefaults v:ext="edit" spidmax="6145">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05D59"/>
    <w:rsid w:val="0001112E"/>
    <w:rsid w:val="00012E3B"/>
    <w:rsid w:val="00015E44"/>
    <w:rsid w:val="00016D48"/>
    <w:rsid w:val="0002102E"/>
    <w:rsid w:val="00041A18"/>
    <w:rsid w:val="0004622B"/>
    <w:rsid w:val="00064E05"/>
    <w:rsid w:val="00067793"/>
    <w:rsid w:val="00080D4D"/>
    <w:rsid w:val="0008109D"/>
    <w:rsid w:val="00082DD7"/>
    <w:rsid w:val="00083FB4"/>
    <w:rsid w:val="00084EAD"/>
    <w:rsid w:val="00095620"/>
    <w:rsid w:val="000A3940"/>
    <w:rsid w:val="000B6D45"/>
    <w:rsid w:val="000C028F"/>
    <w:rsid w:val="000C78BA"/>
    <w:rsid w:val="000D1710"/>
    <w:rsid w:val="000D43BB"/>
    <w:rsid w:val="000E3E4D"/>
    <w:rsid w:val="000E42F5"/>
    <w:rsid w:val="000F0594"/>
    <w:rsid w:val="000F0CA8"/>
    <w:rsid w:val="000F24F5"/>
    <w:rsid w:val="000F2ED9"/>
    <w:rsid w:val="001006CA"/>
    <w:rsid w:val="00100F8B"/>
    <w:rsid w:val="00102172"/>
    <w:rsid w:val="00110652"/>
    <w:rsid w:val="001114AF"/>
    <w:rsid w:val="001233F5"/>
    <w:rsid w:val="00126DDB"/>
    <w:rsid w:val="001526A2"/>
    <w:rsid w:val="00154F16"/>
    <w:rsid w:val="00156314"/>
    <w:rsid w:val="00172B28"/>
    <w:rsid w:val="00181479"/>
    <w:rsid w:val="0018308C"/>
    <w:rsid w:val="00183FE0"/>
    <w:rsid w:val="0018553F"/>
    <w:rsid w:val="001A01CA"/>
    <w:rsid w:val="001B0583"/>
    <w:rsid w:val="001C30A8"/>
    <w:rsid w:val="001F650B"/>
    <w:rsid w:val="001F6AC6"/>
    <w:rsid w:val="0020079A"/>
    <w:rsid w:val="00211FA9"/>
    <w:rsid w:val="00222F9E"/>
    <w:rsid w:val="002302A9"/>
    <w:rsid w:val="00231A0F"/>
    <w:rsid w:val="00232594"/>
    <w:rsid w:val="002376BE"/>
    <w:rsid w:val="00263FFB"/>
    <w:rsid w:val="00265F50"/>
    <w:rsid w:val="00274F84"/>
    <w:rsid w:val="0027787F"/>
    <w:rsid w:val="0028060B"/>
    <w:rsid w:val="0028120C"/>
    <w:rsid w:val="00283417"/>
    <w:rsid w:val="00295827"/>
    <w:rsid w:val="00295F16"/>
    <w:rsid w:val="00296C44"/>
    <w:rsid w:val="002A033F"/>
    <w:rsid w:val="002B10D7"/>
    <w:rsid w:val="002B6420"/>
    <w:rsid w:val="002C6DC3"/>
    <w:rsid w:val="002D1FA9"/>
    <w:rsid w:val="002D50A3"/>
    <w:rsid w:val="002E0308"/>
    <w:rsid w:val="002F70E6"/>
    <w:rsid w:val="003007C0"/>
    <w:rsid w:val="00307A79"/>
    <w:rsid w:val="003204D5"/>
    <w:rsid w:val="00320ED0"/>
    <w:rsid w:val="0032246B"/>
    <w:rsid w:val="00322E6A"/>
    <w:rsid w:val="003314A0"/>
    <w:rsid w:val="00372E3A"/>
    <w:rsid w:val="00376CBF"/>
    <w:rsid w:val="00381169"/>
    <w:rsid w:val="0038287C"/>
    <w:rsid w:val="0038358E"/>
    <w:rsid w:val="00387DDE"/>
    <w:rsid w:val="00391A01"/>
    <w:rsid w:val="003A0EB5"/>
    <w:rsid w:val="003A5711"/>
    <w:rsid w:val="003C1324"/>
    <w:rsid w:val="003C64D9"/>
    <w:rsid w:val="003E2E42"/>
    <w:rsid w:val="003E70E0"/>
    <w:rsid w:val="00403CE6"/>
    <w:rsid w:val="004110CA"/>
    <w:rsid w:val="0041160E"/>
    <w:rsid w:val="0042761F"/>
    <w:rsid w:val="00431162"/>
    <w:rsid w:val="00441EE0"/>
    <w:rsid w:val="0044334B"/>
    <w:rsid w:val="00443482"/>
    <w:rsid w:val="00447B1E"/>
    <w:rsid w:val="00450308"/>
    <w:rsid w:val="00457AD1"/>
    <w:rsid w:val="0046427F"/>
    <w:rsid w:val="00485665"/>
    <w:rsid w:val="00491977"/>
    <w:rsid w:val="004A1329"/>
    <w:rsid w:val="004C1A87"/>
    <w:rsid w:val="004C4A2E"/>
    <w:rsid w:val="004E057E"/>
    <w:rsid w:val="004E0FE6"/>
    <w:rsid w:val="004E44C8"/>
    <w:rsid w:val="004E53BE"/>
    <w:rsid w:val="004E7F82"/>
    <w:rsid w:val="004F3EA9"/>
    <w:rsid w:val="00501992"/>
    <w:rsid w:val="005026AC"/>
    <w:rsid w:val="00503BC0"/>
    <w:rsid w:val="00510AE7"/>
    <w:rsid w:val="00520EFD"/>
    <w:rsid w:val="0053062A"/>
    <w:rsid w:val="00535050"/>
    <w:rsid w:val="00536F3C"/>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C10EB"/>
    <w:rsid w:val="005C2301"/>
    <w:rsid w:val="005C5A96"/>
    <w:rsid w:val="005D371D"/>
    <w:rsid w:val="005E0A59"/>
    <w:rsid w:val="005E7495"/>
    <w:rsid w:val="005F50C2"/>
    <w:rsid w:val="00621C12"/>
    <w:rsid w:val="00623CFA"/>
    <w:rsid w:val="00623E18"/>
    <w:rsid w:val="00625C5D"/>
    <w:rsid w:val="00635A22"/>
    <w:rsid w:val="006378B0"/>
    <w:rsid w:val="00642083"/>
    <w:rsid w:val="0065550D"/>
    <w:rsid w:val="00664295"/>
    <w:rsid w:val="00665364"/>
    <w:rsid w:val="00667B35"/>
    <w:rsid w:val="006713EB"/>
    <w:rsid w:val="00673A9B"/>
    <w:rsid w:val="006844D6"/>
    <w:rsid w:val="006876A8"/>
    <w:rsid w:val="006A3B77"/>
    <w:rsid w:val="006A49E3"/>
    <w:rsid w:val="006B1EFD"/>
    <w:rsid w:val="006C14E4"/>
    <w:rsid w:val="006C6DA8"/>
    <w:rsid w:val="006C7F61"/>
    <w:rsid w:val="006D407F"/>
    <w:rsid w:val="006F0442"/>
    <w:rsid w:val="00707C20"/>
    <w:rsid w:val="00714F0F"/>
    <w:rsid w:val="007160BE"/>
    <w:rsid w:val="00722F65"/>
    <w:rsid w:val="007257CD"/>
    <w:rsid w:val="00734A4F"/>
    <w:rsid w:val="007414C6"/>
    <w:rsid w:val="00744EDF"/>
    <w:rsid w:val="007529AB"/>
    <w:rsid w:val="00762BCC"/>
    <w:rsid w:val="00763BA3"/>
    <w:rsid w:val="00765B66"/>
    <w:rsid w:val="00767BB2"/>
    <w:rsid w:val="0077159C"/>
    <w:rsid w:val="00776D23"/>
    <w:rsid w:val="00780376"/>
    <w:rsid w:val="00780EE3"/>
    <w:rsid w:val="00791AAC"/>
    <w:rsid w:val="00797D4C"/>
    <w:rsid w:val="00797DEE"/>
    <w:rsid w:val="007B25E5"/>
    <w:rsid w:val="007C0E7E"/>
    <w:rsid w:val="007C4098"/>
    <w:rsid w:val="007D17C5"/>
    <w:rsid w:val="007D52EC"/>
    <w:rsid w:val="007E1A57"/>
    <w:rsid w:val="007F04B0"/>
    <w:rsid w:val="007F05C0"/>
    <w:rsid w:val="007F1CEE"/>
    <w:rsid w:val="007F243A"/>
    <w:rsid w:val="00807C77"/>
    <w:rsid w:val="00823E83"/>
    <w:rsid w:val="0082457F"/>
    <w:rsid w:val="00837537"/>
    <w:rsid w:val="00840315"/>
    <w:rsid w:val="00842766"/>
    <w:rsid w:val="00854EBF"/>
    <w:rsid w:val="0086094D"/>
    <w:rsid w:val="0086731C"/>
    <w:rsid w:val="00872382"/>
    <w:rsid w:val="00886906"/>
    <w:rsid w:val="008912FE"/>
    <w:rsid w:val="008A245D"/>
    <w:rsid w:val="008A54FC"/>
    <w:rsid w:val="008B70CD"/>
    <w:rsid w:val="008C2D37"/>
    <w:rsid w:val="008D141C"/>
    <w:rsid w:val="008D2C13"/>
    <w:rsid w:val="008E5A70"/>
    <w:rsid w:val="008E6109"/>
    <w:rsid w:val="008F47AB"/>
    <w:rsid w:val="009061A0"/>
    <w:rsid w:val="00907A34"/>
    <w:rsid w:val="009170EA"/>
    <w:rsid w:val="0092076F"/>
    <w:rsid w:val="00930439"/>
    <w:rsid w:val="00932865"/>
    <w:rsid w:val="00937AEB"/>
    <w:rsid w:val="0096247A"/>
    <w:rsid w:val="009662E3"/>
    <w:rsid w:val="00966DD9"/>
    <w:rsid w:val="00986677"/>
    <w:rsid w:val="0099421C"/>
    <w:rsid w:val="009A2F3A"/>
    <w:rsid w:val="009A7A45"/>
    <w:rsid w:val="009C3803"/>
    <w:rsid w:val="009D2C13"/>
    <w:rsid w:val="009D34D5"/>
    <w:rsid w:val="009D3BA5"/>
    <w:rsid w:val="009D4BA1"/>
    <w:rsid w:val="009D7D5A"/>
    <w:rsid w:val="009E47EB"/>
    <w:rsid w:val="009E53EA"/>
    <w:rsid w:val="009F242B"/>
    <w:rsid w:val="009F3A37"/>
    <w:rsid w:val="009F6EA2"/>
    <w:rsid w:val="00A02090"/>
    <w:rsid w:val="00A03731"/>
    <w:rsid w:val="00A061CE"/>
    <w:rsid w:val="00A076B5"/>
    <w:rsid w:val="00A17F69"/>
    <w:rsid w:val="00A23870"/>
    <w:rsid w:val="00A274DB"/>
    <w:rsid w:val="00A41E1E"/>
    <w:rsid w:val="00A6411D"/>
    <w:rsid w:val="00A673EB"/>
    <w:rsid w:val="00A73298"/>
    <w:rsid w:val="00A751C0"/>
    <w:rsid w:val="00A95ACB"/>
    <w:rsid w:val="00A97942"/>
    <w:rsid w:val="00AA079B"/>
    <w:rsid w:val="00AA086A"/>
    <w:rsid w:val="00AC0EA5"/>
    <w:rsid w:val="00AC2686"/>
    <w:rsid w:val="00AD1BE1"/>
    <w:rsid w:val="00AD7257"/>
    <w:rsid w:val="00AE2D8A"/>
    <w:rsid w:val="00AE673B"/>
    <w:rsid w:val="00AF0889"/>
    <w:rsid w:val="00AF2D0C"/>
    <w:rsid w:val="00AF4545"/>
    <w:rsid w:val="00AF4C0E"/>
    <w:rsid w:val="00B14E5E"/>
    <w:rsid w:val="00B25910"/>
    <w:rsid w:val="00B26973"/>
    <w:rsid w:val="00B30D3B"/>
    <w:rsid w:val="00B432D4"/>
    <w:rsid w:val="00B5315C"/>
    <w:rsid w:val="00B576D7"/>
    <w:rsid w:val="00B80892"/>
    <w:rsid w:val="00B82735"/>
    <w:rsid w:val="00B92306"/>
    <w:rsid w:val="00B92861"/>
    <w:rsid w:val="00B97E85"/>
    <w:rsid w:val="00BA1DD7"/>
    <w:rsid w:val="00BA20D6"/>
    <w:rsid w:val="00BA7A69"/>
    <w:rsid w:val="00BB15E2"/>
    <w:rsid w:val="00BD0F15"/>
    <w:rsid w:val="00BD28DF"/>
    <w:rsid w:val="00BD6876"/>
    <w:rsid w:val="00BE2864"/>
    <w:rsid w:val="00BE785A"/>
    <w:rsid w:val="00C00565"/>
    <w:rsid w:val="00C076BF"/>
    <w:rsid w:val="00C1181A"/>
    <w:rsid w:val="00C212B5"/>
    <w:rsid w:val="00C216A0"/>
    <w:rsid w:val="00C2287A"/>
    <w:rsid w:val="00C25F81"/>
    <w:rsid w:val="00C27F02"/>
    <w:rsid w:val="00C32C20"/>
    <w:rsid w:val="00C44908"/>
    <w:rsid w:val="00C504F4"/>
    <w:rsid w:val="00C512DE"/>
    <w:rsid w:val="00C57E85"/>
    <w:rsid w:val="00C65BB4"/>
    <w:rsid w:val="00C8071C"/>
    <w:rsid w:val="00C816CB"/>
    <w:rsid w:val="00C82461"/>
    <w:rsid w:val="00C91E3B"/>
    <w:rsid w:val="00CA07CC"/>
    <w:rsid w:val="00CA25B5"/>
    <w:rsid w:val="00CA4FCE"/>
    <w:rsid w:val="00CA5F8F"/>
    <w:rsid w:val="00CC4ECA"/>
    <w:rsid w:val="00CC5A6F"/>
    <w:rsid w:val="00CC774C"/>
    <w:rsid w:val="00CD07E7"/>
    <w:rsid w:val="00CE271A"/>
    <w:rsid w:val="00CE6FF5"/>
    <w:rsid w:val="00CF5245"/>
    <w:rsid w:val="00D06683"/>
    <w:rsid w:val="00D07B1A"/>
    <w:rsid w:val="00D1101B"/>
    <w:rsid w:val="00D1167E"/>
    <w:rsid w:val="00D234E7"/>
    <w:rsid w:val="00D236E5"/>
    <w:rsid w:val="00D30E46"/>
    <w:rsid w:val="00D3663D"/>
    <w:rsid w:val="00D4349F"/>
    <w:rsid w:val="00D47EF6"/>
    <w:rsid w:val="00D50AC8"/>
    <w:rsid w:val="00D5342E"/>
    <w:rsid w:val="00D60A44"/>
    <w:rsid w:val="00D640BE"/>
    <w:rsid w:val="00D7390F"/>
    <w:rsid w:val="00D74F04"/>
    <w:rsid w:val="00D90913"/>
    <w:rsid w:val="00D92BEC"/>
    <w:rsid w:val="00DA18F2"/>
    <w:rsid w:val="00DB17F9"/>
    <w:rsid w:val="00DD5136"/>
    <w:rsid w:val="00DD6973"/>
    <w:rsid w:val="00DE0F7D"/>
    <w:rsid w:val="00DF08AA"/>
    <w:rsid w:val="00DF2C67"/>
    <w:rsid w:val="00DF3AE2"/>
    <w:rsid w:val="00DF7D21"/>
    <w:rsid w:val="00E03771"/>
    <w:rsid w:val="00E059C5"/>
    <w:rsid w:val="00E07DB5"/>
    <w:rsid w:val="00E11D7E"/>
    <w:rsid w:val="00E14334"/>
    <w:rsid w:val="00E2303A"/>
    <w:rsid w:val="00E343BD"/>
    <w:rsid w:val="00E348D9"/>
    <w:rsid w:val="00E36601"/>
    <w:rsid w:val="00E40686"/>
    <w:rsid w:val="00E46600"/>
    <w:rsid w:val="00E60351"/>
    <w:rsid w:val="00E668CE"/>
    <w:rsid w:val="00E71AE7"/>
    <w:rsid w:val="00E752E6"/>
    <w:rsid w:val="00E94D84"/>
    <w:rsid w:val="00EA2ED5"/>
    <w:rsid w:val="00EA6088"/>
    <w:rsid w:val="00EC1A2C"/>
    <w:rsid w:val="00ED2C10"/>
    <w:rsid w:val="00ED7E9D"/>
    <w:rsid w:val="00F11542"/>
    <w:rsid w:val="00F12B0F"/>
    <w:rsid w:val="00F212EB"/>
    <w:rsid w:val="00F23D13"/>
    <w:rsid w:val="00F32DEC"/>
    <w:rsid w:val="00F423A1"/>
    <w:rsid w:val="00F43E24"/>
    <w:rsid w:val="00F45561"/>
    <w:rsid w:val="00F465D3"/>
    <w:rsid w:val="00F50900"/>
    <w:rsid w:val="00F51BD6"/>
    <w:rsid w:val="00F52BD0"/>
    <w:rsid w:val="00F56F06"/>
    <w:rsid w:val="00F56F62"/>
    <w:rsid w:val="00F62D48"/>
    <w:rsid w:val="00F73815"/>
    <w:rsid w:val="00F7770D"/>
    <w:rsid w:val="00F905E7"/>
    <w:rsid w:val="00F91FDD"/>
    <w:rsid w:val="00F93115"/>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contextualSpacing/>
    </w:pPr>
  </w:style>
  <w:style w:type="paragraph" w:styleId="Header">
    <w:name w:val="header"/>
    <w:basedOn w:val="Normal"/>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Header1">
    <w:name w:val="Header1"/>
    <w:basedOn w:val="Header"/>
    <w:link w:val="HeaderZchnZchn"/>
    <w:rsid w:val="006378B0"/>
    <w:pPr>
      <w:tabs>
        <w:tab w:val="clear" w:pos="4320"/>
        <w:tab w:val="clear" w:pos="8640"/>
        <w:tab w:val="center" w:pos="4536"/>
        <w:tab w:val="right" w:pos="9072"/>
      </w:tabs>
      <w:spacing w:before="60" w:after="0"/>
      <w:jc w:val="left"/>
    </w:pPr>
    <w:rPr>
      <w:rFonts w:eastAsia="Times New Roman"/>
      <w:sz w:val="22"/>
      <w:szCs w:val="20"/>
      <w:lang w:eastAsia="x-none"/>
    </w:rPr>
  </w:style>
  <w:style w:type="character" w:customStyle="1" w:styleId="HeaderZchnZchn">
    <w:name w:val="Header Zchn Zchn"/>
    <w:link w:val="Header1"/>
    <w:rsid w:val="006378B0"/>
    <w:rPr>
      <w:b/>
      <w:sz w:val="22"/>
      <w:lang w:val="en-GB" w:eastAsia="x-none"/>
    </w:rPr>
  </w:style>
  <w:style w:type="paragraph" w:styleId="NormalWeb">
    <w:name w:val="Normal (Web)"/>
    <w:basedOn w:val="Normal"/>
    <w:uiPriority w:val="99"/>
    <w:unhideWhenUsed/>
    <w:locked/>
    <w:rsid w:val="00AF4545"/>
    <w:pPr>
      <w:spacing w:before="100" w:beforeAutospacing="1" w:after="100" w:afterAutospacing="1"/>
      <w:jc w:val="left"/>
    </w:pPr>
    <w:rPr>
      <w:rFonts w:ascii="Times New Roman" w:eastAsia="Times New Roman" w:hAnsi="Times New Roman"/>
      <w:sz w:val="24"/>
      <w:szCs w:val="24"/>
      <w:lang w:val="da-DK" w:eastAsia="da-DK"/>
    </w:rPr>
  </w:style>
  <w:style w:type="character" w:styleId="CommentReference">
    <w:name w:val="annotation reference"/>
    <w:basedOn w:val="DefaultParagraphFont"/>
    <w:uiPriority w:val="99"/>
    <w:semiHidden/>
    <w:unhideWhenUsed/>
    <w:locked/>
    <w:rsid w:val="00232594"/>
    <w:rPr>
      <w:sz w:val="16"/>
      <w:szCs w:val="16"/>
    </w:rPr>
  </w:style>
  <w:style w:type="paragraph" w:styleId="CommentText">
    <w:name w:val="annotation text"/>
    <w:basedOn w:val="Normal"/>
    <w:link w:val="CommentTextChar"/>
    <w:uiPriority w:val="99"/>
    <w:semiHidden/>
    <w:unhideWhenUsed/>
    <w:locked/>
    <w:rsid w:val="00232594"/>
    <w:rPr>
      <w:szCs w:val="20"/>
    </w:rPr>
  </w:style>
  <w:style w:type="character" w:customStyle="1" w:styleId="CommentTextChar">
    <w:name w:val="Comment Text Char"/>
    <w:basedOn w:val="DefaultParagraphFont"/>
    <w:link w:val="CommentText"/>
    <w:uiPriority w:val="99"/>
    <w:semiHidden/>
    <w:rsid w:val="00232594"/>
    <w:rPr>
      <w:rFonts w:eastAsia="Calibri"/>
      <w:lang w:val="en-GB"/>
    </w:rPr>
  </w:style>
  <w:style w:type="paragraph" w:styleId="CommentSubject">
    <w:name w:val="annotation subject"/>
    <w:basedOn w:val="CommentText"/>
    <w:next w:val="CommentText"/>
    <w:link w:val="CommentSubjectChar"/>
    <w:uiPriority w:val="99"/>
    <w:semiHidden/>
    <w:unhideWhenUsed/>
    <w:locked/>
    <w:rsid w:val="00232594"/>
    <w:rPr>
      <w:b/>
      <w:bCs/>
    </w:rPr>
  </w:style>
  <w:style w:type="character" w:customStyle="1" w:styleId="CommentSubjectChar">
    <w:name w:val="Comment Subject Char"/>
    <w:basedOn w:val="CommentTextChar"/>
    <w:link w:val="CommentSubject"/>
    <w:uiPriority w:val="99"/>
    <w:semiHidden/>
    <w:rsid w:val="00232594"/>
    <w:rPr>
      <w:rFonts w:eastAsia="Calibri"/>
      <w:b/>
      <w:bCs/>
      <w:lang w:val="en-GB"/>
    </w:rPr>
  </w:style>
  <w:style w:type="table" w:customStyle="1" w:styleId="TableGrid2">
    <w:name w:val="Table Grid2"/>
    <w:basedOn w:val="TableNormal"/>
    <w:next w:val="TableGrid"/>
    <w:uiPriority w:val="59"/>
    <w:rsid w:val="008C2D37"/>
    <w:pPr>
      <w:spacing w:before="0" w:after="0"/>
      <w:jc w:val="left"/>
    </w:pPr>
    <w:rPr>
      <w:rFonts w:ascii="CG Times" w:eastAsia="MS Mincho" w:hAnsi="CG Times"/>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84EAD"/>
    <w:rPr>
      <w:color w:val="800080" w:themeColor="followedHyperlink"/>
      <w:u w:val="single"/>
    </w:rPr>
  </w:style>
  <w:style w:type="paragraph" w:styleId="Footer">
    <w:name w:val="footer"/>
    <w:basedOn w:val="Normal"/>
    <w:link w:val="FooterChar"/>
    <w:uiPriority w:val="99"/>
    <w:unhideWhenUsed/>
    <w:locked/>
    <w:rsid w:val="001114AF"/>
    <w:pPr>
      <w:tabs>
        <w:tab w:val="center" w:pos="4819"/>
        <w:tab w:val="right" w:pos="9638"/>
      </w:tabs>
      <w:spacing w:before="0" w:after="0"/>
    </w:pPr>
  </w:style>
  <w:style w:type="character" w:customStyle="1" w:styleId="FooterChar">
    <w:name w:val="Footer Char"/>
    <w:basedOn w:val="DefaultParagraphFont"/>
    <w:link w:val="Footer"/>
    <w:uiPriority w:val="99"/>
    <w:rsid w:val="001114AF"/>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contextualSpacing/>
    </w:pPr>
  </w:style>
  <w:style w:type="paragraph" w:styleId="Header">
    <w:name w:val="header"/>
    <w:basedOn w:val="Normal"/>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Header1">
    <w:name w:val="Header1"/>
    <w:basedOn w:val="Header"/>
    <w:link w:val="HeaderZchnZchn"/>
    <w:rsid w:val="006378B0"/>
    <w:pPr>
      <w:tabs>
        <w:tab w:val="clear" w:pos="4320"/>
        <w:tab w:val="clear" w:pos="8640"/>
        <w:tab w:val="center" w:pos="4536"/>
        <w:tab w:val="right" w:pos="9072"/>
      </w:tabs>
      <w:spacing w:before="60" w:after="0"/>
      <w:jc w:val="left"/>
    </w:pPr>
    <w:rPr>
      <w:rFonts w:eastAsia="Times New Roman"/>
      <w:sz w:val="22"/>
      <w:szCs w:val="20"/>
      <w:lang w:eastAsia="x-none"/>
    </w:rPr>
  </w:style>
  <w:style w:type="character" w:customStyle="1" w:styleId="HeaderZchnZchn">
    <w:name w:val="Header Zchn Zchn"/>
    <w:link w:val="Header1"/>
    <w:rsid w:val="006378B0"/>
    <w:rPr>
      <w:b/>
      <w:sz w:val="22"/>
      <w:lang w:val="en-GB" w:eastAsia="x-none"/>
    </w:rPr>
  </w:style>
  <w:style w:type="paragraph" w:styleId="NormalWeb">
    <w:name w:val="Normal (Web)"/>
    <w:basedOn w:val="Normal"/>
    <w:uiPriority w:val="99"/>
    <w:unhideWhenUsed/>
    <w:locked/>
    <w:rsid w:val="00AF4545"/>
    <w:pPr>
      <w:spacing w:before="100" w:beforeAutospacing="1" w:after="100" w:afterAutospacing="1"/>
      <w:jc w:val="left"/>
    </w:pPr>
    <w:rPr>
      <w:rFonts w:ascii="Times New Roman" w:eastAsia="Times New Roman" w:hAnsi="Times New Roman"/>
      <w:sz w:val="24"/>
      <w:szCs w:val="24"/>
      <w:lang w:val="da-DK" w:eastAsia="da-DK"/>
    </w:rPr>
  </w:style>
  <w:style w:type="character" w:styleId="CommentReference">
    <w:name w:val="annotation reference"/>
    <w:basedOn w:val="DefaultParagraphFont"/>
    <w:uiPriority w:val="99"/>
    <w:semiHidden/>
    <w:unhideWhenUsed/>
    <w:locked/>
    <w:rsid w:val="00232594"/>
    <w:rPr>
      <w:sz w:val="16"/>
      <w:szCs w:val="16"/>
    </w:rPr>
  </w:style>
  <w:style w:type="paragraph" w:styleId="CommentText">
    <w:name w:val="annotation text"/>
    <w:basedOn w:val="Normal"/>
    <w:link w:val="CommentTextChar"/>
    <w:uiPriority w:val="99"/>
    <w:semiHidden/>
    <w:unhideWhenUsed/>
    <w:locked/>
    <w:rsid w:val="00232594"/>
    <w:rPr>
      <w:szCs w:val="20"/>
    </w:rPr>
  </w:style>
  <w:style w:type="character" w:customStyle="1" w:styleId="CommentTextChar">
    <w:name w:val="Comment Text Char"/>
    <w:basedOn w:val="DefaultParagraphFont"/>
    <w:link w:val="CommentText"/>
    <w:uiPriority w:val="99"/>
    <w:semiHidden/>
    <w:rsid w:val="00232594"/>
    <w:rPr>
      <w:rFonts w:eastAsia="Calibri"/>
      <w:lang w:val="en-GB"/>
    </w:rPr>
  </w:style>
  <w:style w:type="paragraph" w:styleId="CommentSubject">
    <w:name w:val="annotation subject"/>
    <w:basedOn w:val="CommentText"/>
    <w:next w:val="CommentText"/>
    <w:link w:val="CommentSubjectChar"/>
    <w:uiPriority w:val="99"/>
    <w:semiHidden/>
    <w:unhideWhenUsed/>
    <w:locked/>
    <w:rsid w:val="00232594"/>
    <w:rPr>
      <w:b/>
      <w:bCs/>
    </w:rPr>
  </w:style>
  <w:style w:type="character" w:customStyle="1" w:styleId="CommentSubjectChar">
    <w:name w:val="Comment Subject Char"/>
    <w:basedOn w:val="CommentTextChar"/>
    <w:link w:val="CommentSubject"/>
    <w:uiPriority w:val="99"/>
    <w:semiHidden/>
    <w:rsid w:val="00232594"/>
    <w:rPr>
      <w:rFonts w:eastAsia="Calibri"/>
      <w:b/>
      <w:bCs/>
      <w:lang w:val="en-GB"/>
    </w:rPr>
  </w:style>
  <w:style w:type="table" w:customStyle="1" w:styleId="TableGrid2">
    <w:name w:val="Table Grid2"/>
    <w:basedOn w:val="TableNormal"/>
    <w:next w:val="TableGrid"/>
    <w:uiPriority w:val="59"/>
    <w:rsid w:val="008C2D37"/>
    <w:pPr>
      <w:spacing w:before="0" w:after="0"/>
      <w:jc w:val="left"/>
    </w:pPr>
    <w:rPr>
      <w:rFonts w:ascii="CG Times" w:eastAsia="MS Mincho" w:hAnsi="CG Times"/>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84EAD"/>
    <w:rPr>
      <w:color w:val="800080" w:themeColor="followedHyperlink"/>
      <w:u w:val="single"/>
    </w:rPr>
  </w:style>
  <w:style w:type="paragraph" w:styleId="Footer">
    <w:name w:val="footer"/>
    <w:basedOn w:val="Normal"/>
    <w:link w:val="FooterChar"/>
    <w:uiPriority w:val="99"/>
    <w:unhideWhenUsed/>
    <w:locked/>
    <w:rsid w:val="001114AF"/>
    <w:pPr>
      <w:tabs>
        <w:tab w:val="center" w:pos="4819"/>
        <w:tab w:val="right" w:pos="9638"/>
      </w:tabs>
      <w:spacing w:before="0" w:after="0"/>
    </w:pPr>
  </w:style>
  <w:style w:type="character" w:customStyle="1" w:styleId="FooterChar">
    <w:name w:val="Footer Char"/>
    <w:basedOn w:val="DefaultParagraphFont"/>
    <w:link w:val="Footer"/>
    <w:uiPriority w:val="99"/>
    <w:rsid w:val="001114AF"/>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367">
      <w:bodyDiv w:val="1"/>
      <w:marLeft w:val="0"/>
      <w:marRight w:val="0"/>
      <w:marTop w:val="0"/>
      <w:marBottom w:val="0"/>
      <w:divBdr>
        <w:top w:val="none" w:sz="0" w:space="0" w:color="auto"/>
        <w:left w:val="none" w:sz="0" w:space="0" w:color="auto"/>
        <w:bottom w:val="none" w:sz="0" w:space="0" w:color="auto"/>
        <w:right w:val="none" w:sz="0" w:space="0" w:color="auto"/>
      </w:divBdr>
    </w:div>
    <w:div w:id="527645679">
      <w:bodyDiv w:val="1"/>
      <w:marLeft w:val="0"/>
      <w:marRight w:val="0"/>
      <w:marTop w:val="0"/>
      <w:marBottom w:val="0"/>
      <w:divBdr>
        <w:top w:val="none" w:sz="0" w:space="0" w:color="auto"/>
        <w:left w:val="none" w:sz="0" w:space="0" w:color="auto"/>
        <w:bottom w:val="none" w:sz="0" w:space="0" w:color="auto"/>
        <w:right w:val="none" w:sz="0" w:space="0" w:color="auto"/>
      </w:divBdr>
      <w:divsChild>
        <w:div w:id="88548792">
          <w:marLeft w:val="0"/>
          <w:marRight w:val="0"/>
          <w:marTop w:val="0"/>
          <w:marBottom w:val="0"/>
          <w:divBdr>
            <w:top w:val="single" w:sz="6" w:space="8" w:color="CCCCCC"/>
            <w:left w:val="none" w:sz="0" w:space="0" w:color="auto"/>
            <w:bottom w:val="single" w:sz="6" w:space="15" w:color="CCCCCC"/>
            <w:right w:val="none" w:sz="0" w:space="0" w:color="auto"/>
          </w:divBdr>
        </w:div>
      </w:divsChild>
    </w:div>
    <w:div w:id="901060690">
      <w:bodyDiv w:val="1"/>
      <w:marLeft w:val="0"/>
      <w:marRight w:val="0"/>
      <w:marTop w:val="0"/>
      <w:marBottom w:val="0"/>
      <w:divBdr>
        <w:top w:val="none" w:sz="0" w:space="0" w:color="auto"/>
        <w:left w:val="none" w:sz="0" w:space="0" w:color="auto"/>
        <w:bottom w:val="none" w:sz="0" w:space="0" w:color="auto"/>
        <w:right w:val="none" w:sz="0" w:space="0" w:color="auto"/>
      </w:divBdr>
      <w:divsChild>
        <w:div w:id="2124491715">
          <w:marLeft w:val="446"/>
          <w:marRight w:val="0"/>
          <w:marTop w:val="0"/>
          <w:marBottom w:val="0"/>
          <w:divBdr>
            <w:top w:val="none" w:sz="0" w:space="0" w:color="auto"/>
            <w:left w:val="none" w:sz="0" w:space="0" w:color="auto"/>
            <w:bottom w:val="none" w:sz="0" w:space="0" w:color="auto"/>
            <w:right w:val="none" w:sz="0" w:space="0" w:color="auto"/>
          </w:divBdr>
        </w:div>
        <w:div w:id="955908963">
          <w:marLeft w:val="1166"/>
          <w:marRight w:val="0"/>
          <w:marTop w:val="0"/>
          <w:marBottom w:val="0"/>
          <w:divBdr>
            <w:top w:val="none" w:sz="0" w:space="0" w:color="auto"/>
            <w:left w:val="none" w:sz="0" w:space="0" w:color="auto"/>
            <w:bottom w:val="none" w:sz="0" w:space="0" w:color="auto"/>
            <w:right w:val="none" w:sz="0" w:space="0" w:color="auto"/>
          </w:divBdr>
        </w:div>
        <w:div w:id="347949869">
          <w:marLeft w:val="446"/>
          <w:marRight w:val="0"/>
          <w:marTop w:val="0"/>
          <w:marBottom w:val="0"/>
          <w:divBdr>
            <w:top w:val="none" w:sz="0" w:space="0" w:color="auto"/>
            <w:left w:val="none" w:sz="0" w:space="0" w:color="auto"/>
            <w:bottom w:val="none" w:sz="0" w:space="0" w:color="auto"/>
            <w:right w:val="none" w:sz="0" w:space="0" w:color="auto"/>
          </w:divBdr>
        </w:div>
        <w:div w:id="907375027">
          <w:marLeft w:val="1166"/>
          <w:marRight w:val="0"/>
          <w:marTop w:val="0"/>
          <w:marBottom w:val="0"/>
          <w:divBdr>
            <w:top w:val="none" w:sz="0" w:space="0" w:color="auto"/>
            <w:left w:val="none" w:sz="0" w:space="0" w:color="auto"/>
            <w:bottom w:val="none" w:sz="0" w:space="0" w:color="auto"/>
            <w:right w:val="none" w:sz="0" w:space="0" w:color="auto"/>
          </w:divBdr>
        </w:div>
        <w:div w:id="476462529">
          <w:marLeft w:val="446"/>
          <w:marRight w:val="0"/>
          <w:marTop w:val="0"/>
          <w:marBottom w:val="0"/>
          <w:divBdr>
            <w:top w:val="none" w:sz="0" w:space="0" w:color="auto"/>
            <w:left w:val="none" w:sz="0" w:space="0" w:color="auto"/>
            <w:bottom w:val="none" w:sz="0" w:space="0" w:color="auto"/>
            <w:right w:val="none" w:sz="0" w:space="0" w:color="auto"/>
          </w:divBdr>
        </w:div>
        <w:div w:id="166484814">
          <w:marLeft w:val="446"/>
          <w:marRight w:val="0"/>
          <w:marTop w:val="0"/>
          <w:marBottom w:val="0"/>
          <w:divBdr>
            <w:top w:val="none" w:sz="0" w:space="0" w:color="auto"/>
            <w:left w:val="none" w:sz="0" w:space="0" w:color="auto"/>
            <w:bottom w:val="none" w:sz="0" w:space="0" w:color="auto"/>
            <w:right w:val="none" w:sz="0" w:space="0" w:color="auto"/>
          </w:divBdr>
        </w:div>
        <w:div w:id="139466528">
          <w:marLeft w:val="446"/>
          <w:marRight w:val="0"/>
          <w:marTop w:val="0"/>
          <w:marBottom w:val="0"/>
          <w:divBdr>
            <w:top w:val="none" w:sz="0" w:space="0" w:color="auto"/>
            <w:left w:val="none" w:sz="0" w:space="0" w:color="auto"/>
            <w:bottom w:val="none" w:sz="0" w:space="0" w:color="auto"/>
            <w:right w:val="none" w:sz="0" w:space="0" w:color="auto"/>
          </w:divBdr>
        </w:div>
        <w:div w:id="808399665">
          <w:marLeft w:val="446"/>
          <w:marRight w:val="0"/>
          <w:marTop w:val="0"/>
          <w:marBottom w:val="0"/>
          <w:divBdr>
            <w:top w:val="none" w:sz="0" w:space="0" w:color="auto"/>
            <w:left w:val="none" w:sz="0" w:space="0" w:color="auto"/>
            <w:bottom w:val="none" w:sz="0" w:space="0" w:color="auto"/>
            <w:right w:val="none" w:sz="0" w:space="0" w:color="auto"/>
          </w:divBdr>
        </w:div>
        <w:div w:id="1534341399">
          <w:marLeft w:val="446"/>
          <w:marRight w:val="0"/>
          <w:marTop w:val="0"/>
          <w:marBottom w:val="0"/>
          <w:divBdr>
            <w:top w:val="none" w:sz="0" w:space="0" w:color="auto"/>
            <w:left w:val="none" w:sz="0" w:space="0" w:color="auto"/>
            <w:bottom w:val="none" w:sz="0" w:space="0" w:color="auto"/>
            <w:right w:val="none" w:sz="0" w:space="0" w:color="auto"/>
          </w:divBdr>
        </w:div>
        <w:div w:id="1045060895">
          <w:marLeft w:val="446"/>
          <w:marRight w:val="0"/>
          <w:marTop w:val="0"/>
          <w:marBottom w:val="0"/>
          <w:divBdr>
            <w:top w:val="none" w:sz="0" w:space="0" w:color="auto"/>
            <w:left w:val="none" w:sz="0" w:space="0" w:color="auto"/>
            <w:bottom w:val="none" w:sz="0" w:space="0" w:color="auto"/>
            <w:right w:val="none" w:sz="0" w:space="0" w:color="auto"/>
          </w:divBdr>
        </w:div>
        <w:div w:id="1262832886">
          <w:marLeft w:val="446"/>
          <w:marRight w:val="0"/>
          <w:marTop w:val="0"/>
          <w:marBottom w:val="0"/>
          <w:divBdr>
            <w:top w:val="none" w:sz="0" w:space="0" w:color="auto"/>
            <w:left w:val="none" w:sz="0" w:space="0" w:color="auto"/>
            <w:bottom w:val="none" w:sz="0" w:space="0" w:color="auto"/>
            <w:right w:val="none" w:sz="0" w:space="0" w:color="auto"/>
          </w:divBdr>
        </w:div>
        <w:div w:id="1271084189">
          <w:marLeft w:val="446"/>
          <w:marRight w:val="0"/>
          <w:marTop w:val="0"/>
          <w:marBottom w:val="0"/>
          <w:divBdr>
            <w:top w:val="none" w:sz="0" w:space="0" w:color="auto"/>
            <w:left w:val="none" w:sz="0" w:space="0" w:color="auto"/>
            <w:bottom w:val="none" w:sz="0" w:space="0" w:color="auto"/>
            <w:right w:val="none" w:sz="0" w:space="0" w:color="auto"/>
          </w:divBdr>
        </w:div>
      </w:divsChild>
    </w:div>
    <w:div w:id="1094083610">
      <w:bodyDiv w:val="1"/>
      <w:marLeft w:val="0"/>
      <w:marRight w:val="0"/>
      <w:marTop w:val="0"/>
      <w:marBottom w:val="0"/>
      <w:divBdr>
        <w:top w:val="none" w:sz="0" w:space="0" w:color="auto"/>
        <w:left w:val="none" w:sz="0" w:space="0" w:color="auto"/>
        <w:bottom w:val="none" w:sz="0" w:space="0" w:color="auto"/>
        <w:right w:val="none" w:sz="0" w:space="0" w:color="auto"/>
      </w:divBdr>
    </w:div>
    <w:div w:id="1121415922">
      <w:bodyDiv w:val="1"/>
      <w:marLeft w:val="0"/>
      <w:marRight w:val="0"/>
      <w:marTop w:val="0"/>
      <w:marBottom w:val="0"/>
      <w:divBdr>
        <w:top w:val="none" w:sz="0" w:space="0" w:color="auto"/>
        <w:left w:val="none" w:sz="0" w:space="0" w:color="auto"/>
        <w:bottom w:val="none" w:sz="0" w:space="0" w:color="auto"/>
        <w:right w:val="none" w:sz="0" w:space="0" w:color="auto"/>
      </w:divBdr>
    </w:div>
    <w:div w:id="1151756120">
      <w:bodyDiv w:val="1"/>
      <w:marLeft w:val="0"/>
      <w:marRight w:val="0"/>
      <w:marTop w:val="0"/>
      <w:marBottom w:val="0"/>
      <w:divBdr>
        <w:top w:val="none" w:sz="0" w:space="0" w:color="auto"/>
        <w:left w:val="none" w:sz="0" w:space="0" w:color="auto"/>
        <w:bottom w:val="none" w:sz="0" w:space="0" w:color="auto"/>
        <w:right w:val="none" w:sz="0" w:space="0" w:color="auto"/>
      </w:divBdr>
      <w:divsChild>
        <w:div w:id="1996375058">
          <w:marLeft w:val="274"/>
          <w:marRight w:val="0"/>
          <w:marTop w:val="0"/>
          <w:marBottom w:val="0"/>
          <w:divBdr>
            <w:top w:val="none" w:sz="0" w:space="0" w:color="auto"/>
            <w:left w:val="none" w:sz="0" w:space="0" w:color="auto"/>
            <w:bottom w:val="none" w:sz="0" w:space="0" w:color="auto"/>
            <w:right w:val="none" w:sz="0" w:space="0" w:color="auto"/>
          </w:divBdr>
        </w:div>
        <w:div w:id="1063286235">
          <w:marLeft w:val="994"/>
          <w:marRight w:val="0"/>
          <w:marTop w:val="0"/>
          <w:marBottom w:val="0"/>
          <w:divBdr>
            <w:top w:val="none" w:sz="0" w:space="0" w:color="auto"/>
            <w:left w:val="none" w:sz="0" w:space="0" w:color="auto"/>
            <w:bottom w:val="none" w:sz="0" w:space="0" w:color="auto"/>
            <w:right w:val="none" w:sz="0" w:space="0" w:color="auto"/>
          </w:divBdr>
        </w:div>
        <w:div w:id="1338847136">
          <w:marLeft w:val="274"/>
          <w:marRight w:val="0"/>
          <w:marTop w:val="0"/>
          <w:marBottom w:val="0"/>
          <w:divBdr>
            <w:top w:val="none" w:sz="0" w:space="0" w:color="auto"/>
            <w:left w:val="none" w:sz="0" w:space="0" w:color="auto"/>
            <w:bottom w:val="none" w:sz="0" w:space="0" w:color="auto"/>
            <w:right w:val="none" w:sz="0" w:space="0" w:color="auto"/>
          </w:divBdr>
        </w:div>
        <w:div w:id="571233131">
          <w:marLeft w:val="994"/>
          <w:marRight w:val="0"/>
          <w:marTop w:val="0"/>
          <w:marBottom w:val="0"/>
          <w:divBdr>
            <w:top w:val="none" w:sz="0" w:space="0" w:color="auto"/>
            <w:left w:val="none" w:sz="0" w:space="0" w:color="auto"/>
            <w:bottom w:val="none" w:sz="0" w:space="0" w:color="auto"/>
            <w:right w:val="none" w:sz="0" w:space="0" w:color="auto"/>
          </w:divBdr>
        </w:div>
        <w:div w:id="1300065456">
          <w:marLeft w:val="994"/>
          <w:marRight w:val="0"/>
          <w:marTop w:val="0"/>
          <w:marBottom w:val="0"/>
          <w:divBdr>
            <w:top w:val="none" w:sz="0" w:space="0" w:color="auto"/>
            <w:left w:val="none" w:sz="0" w:space="0" w:color="auto"/>
            <w:bottom w:val="none" w:sz="0" w:space="0" w:color="auto"/>
            <w:right w:val="none" w:sz="0" w:space="0" w:color="auto"/>
          </w:divBdr>
        </w:div>
        <w:div w:id="1829857340">
          <w:marLeft w:val="994"/>
          <w:marRight w:val="0"/>
          <w:marTop w:val="0"/>
          <w:marBottom w:val="0"/>
          <w:divBdr>
            <w:top w:val="none" w:sz="0" w:space="0" w:color="auto"/>
            <w:left w:val="none" w:sz="0" w:space="0" w:color="auto"/>
            <w:bottom w:val="none" w:sz="0" w:space="0" w:color="auto"/>
            <w:right w:val="none" w:sz="0" w:space="0" w:color="auto"/>
          </w:divBdr>
        </w:div>
        <w:div w:id="421415831">
          <w:marLeft w:val="994"/>
          <w:marRight w:val="0"/>
          <w:marTop w:val="0"/>
          <w:marBottom w:val="0"/>
          <w:divBdr>
            <w:top w:val="none" w:sz="0" w:space="0" w:color="auto"/>
            <w:left w:val="none" w:sz="0" w:space="0" w:color="auto"/>
            <w:bottom w:val="none" w:sz="0" w:space="0" w:color="auto"/>
            <w:right w:val="none" w:sz="0" w:space="0" w:color="auto"/>
          </w:divBdr>
        </w:div>
        <w:div w:id="1234123945">
          <w:marLeft w:val="446"/>
          <w:marRight w:val="0"/>
          <w:marTop w:val="0"/>
          <w:marBottom w:val="0"/>
          <w:divBdr>
            <w:top w:val="none" w:sz="0" w:space="0" w:color="auto"/>
            <w:left w:val="none" w:sz="0" w:space="0" w:color="auto"/>
            <w:bottom w:val="none" w:sz="0" w:space="0" w:color="auto"/>
            <w:right w:val="none" w:sz="0" w:space="0" w:color="auto"/>
          </w:divBdr>
        </w:div>
        <w:div w:id="1113283965">
          <w:marLeft w:val="446"/>
          <w:marRight w:val="0"/>
          <w:marTop w:val="0"/>
          <w:marBottom w:val="0"/>
          <w:divBdr>
            <w:top w:val="none" w:sz="0" w:space="0" w:color="auto"/>
            <w:left w:val="none" w:sz="0" w:space="0" w:color="auto"/>
            <w:bottom w:val="none" w:sz="0" w:space="0" w:color="auto"/>
            <w:right w:val="none" w:sz="0" w:space="0" w:color="auto"/>
          </w:divBdr>
        </w:div>
        <w:div w:id="507448942">
          <w:marLeft w:val="446"/>
          <w:marRight w:val="0"/>
          <w:marTop w:val="0"/>
          <w:marBottom w:val="0"/>
          <w:divBdr>
            <w:top w:val="none" w:sz="0" w:space="0" w:color="auto"/>
            <w:left w:val="none" w:sz="0" w:space="0" w:color="auto"/>
            <w:bottom w:val="none" w:sz="0" w:space="0" w:color="auto"/>
            <w:right w:val="none" w:sz="0" w:space="0" w:color="auto"/>
          </w:divBdr>
        </w:div>
        <w:div w:id="641887489">
          <w:marLeft w:val="446"/>
          <w:marRight w:val="0"/>
          <w:marTop w:val="0"/>
          <w:marBottom w:val="0"/>
          <w:divBdr>
            <w:top w:val="none" w:sz="0" w:space="0" w:color="auto"/>
            <w:left w:val="none" w:sz="0" w:space="0" w:color="auto"/>
            <w:bottom w:val="none" w:sz="0" w:space="0" w:color="auto"/>
            <w:right w:val="none" w:sz="0" w:space="0" w:color="auto"/>
          </w:divBdr>
        </w:div>
      </w:divsChild>
    </w:div>
    <w:div w:id="1248077452">
      <w:bodyDiv w:val="1"/>
      <w:marLeft w:val="0"/>
      <w:marRight w:val="0"/>
      <w:marTop w:val="0"/>
      <w:marBottom w:val="0"/>
      <w:divBdr>
        <w:top w:val="none" w:sz="0" w:space="0" w:color="auto"/>
        <w:left w:val="none" w:sz="0" w:space="0" w:color="auto"/>
        <w:bottom w:val="none" w:sz="0" w:space="0" w:color="auto"/>
        <w:right w:val="none" w:sz="0" w:space="0" w:color="auto"/>
      </w:divBdr>
      <w:divsChild>
        <w:div w:id="1771244828">
          <w:marLeft w:val="274"/>
          <w:marRight w:val="0"/>
          <w:marTop w:val="0"/>
          <w:marBottom w:val="0"/>
          <w:divBdr>
            <w:top w:val="none" w:sz="0" w:space="0" w:color="auto"/>
            <w:left w:val="none" w:sz="0" w:space="0" w:color="auto"/>
            <w:bottom w:val="none" w:sz="0" w:space="0" w:color="auto"/>
            <w:right w:val="none" w:sz="0" w:space="0" w:color="auto"/>
          </w:divBdr>
        </w:div>
        <w:div w:id="2081710997">
          <w:marLeft w:val="274"/>
          <w:marRight w:val="0"/>
          <w:marTop w:val="0"/>
          <w:marBottom w:val="0"/>
          <w:divBdr>
            <w:top w:val="none" w:sz="0" w:space="0" w:color="auto"/>
            <w:left w:val="none" w:sz="0" w:space="0" w:color="auto"/>
            <w:bottom w:val="none" w:sz="0" w:space="0" w:color="auto"/>
            <w:right w:val="none" w:sz="0" w:space="0" w:color="auto"/>
          </w:divBdr>
        </w:div>
        <w:div w:id="1439444025">
          <w:marLeft w:val="274"/>
          <w:marRight w:val="0"/>
          <w:marTop w:val="0"/>
          <w:marBottom w:val="0"/>
          <w:divBdr>
            <w:top w:val="none" w:sz="0" w:space="0" w:color="auto"/>
            <w:left w:val="none" w:sz="0" w:space="0" w:color="auto"/>
            <w:bottom w:val="none" w:sz="0" w:space="0" w:color="auto"/>
            <w:right w:val="none" w:sz="0" w:space="0" w:color="auto"/>
          </w:divBdr>
        </w:div>
        <w:div w:id="185295176">
          <w:marLeft w:val="274"/>
          <w:marRight w:val="0"/>
          <w:marTop w:val="0"/>
          <w:marBottom w:val="0"/>
          <w:divBdr>
            <w:top w:val="none" w:sz="0" w:space="0" w:color="auto"/>
            <w:left w:val="none" w:sz="0" w:space="0" w:color="auto"/>
            <w:bottom w:val="none" w:sz="0" w:space="0" w:color="auto"/>
            <w:right w:val="none" w:sz="0" w:space="0" w:color="auto"/>
          </w:divBdr>
        </w:div>
        <w:div w:id="618342294">
          <w:marLeft w:val="274"/>
          <w:marRight w:val="0"/>
          <w:marTop w:val="0"/>
          <w:marBottom w:val="0"/>
          <w:divBdr>
            <w:top w:val="none" w:sz="0" w:space="0" w:color="auto"/>
            <w:left w:val="none" w:sz="0" w:space="0" w:color="auto"/>
            <w:bottom w:val="none" w:sz="0" w:space="0" w:color="auto"/>
            <w:right w:val="none" w:sz="0" w:space="0" w:color="auto"/>
          </w:divBdr>
        </w:div>
        <w:div w:id="170343598">
          <w:marLeft w:val="274"/>
          <w:marRight w:val="0"/>
          <w:marTop w:val="0"/>
          <w:marBottom w:val="0"/>
          <w:divBdr>
            <w:top w:val="none" w:sz="0" w:space="0" w:color="auto"/>
            <w:left w:val="none" w:sz="0" w:space="0" w:color="auto"/>
            <w:bottom w:val="none" w:sz="0" w:space="0" w:color="auto"/>
            <w:right w:val="none" w:sz="0" w:space="0" w:color="auto"/>
          </w:divBdr>
        </w:div>
        <w:div w:id="1580944951">
          <w:marLeft w:val="274"/>
          <w:marRight w:val="0"/>
          <w:marTop w:val="0"/>
          <w:marBottom w:val="0"/>
          <w:divBdr>
            <w:top w:val="none" w:sz="0" w:space="0" w:color="auto"/>
            <w:left w:val="none" w:sz="0" w:space="0" w:color="auto"/>
            <w:bottom w:val="none" w:sz="0" w:space="0" w:color="auto"/>
            <w:right w:val="none" w:sz="0" w:space="0" w:color="auto"/>
          </w:divBdr>
        </w:div>
        <w:div w:id="1837914986">
          <w:marLeft w:val="274"/>
          <w:marRight w:val="0"/>
          <w:marTop w:val="0"/>
          <w:marBottom w:val="0"/>
          <w:divBdr>
            <w:top w:val="none" w:sz="0" w:space="0" w:color="auto"/>
            <w:left w:val="none" w:sz="0" w:space="0" w:color="auto"/>
            <w:bottom w:val="none" w:sz="0" w:space="0" w:color="auto"/>
            <w:right w:val="none" w:sz="0" w:space="0" w:color="auto"/>
          </w:divBdr>
        </w:div>
      </w:divsChild>
    </w:div>
    <w:div w:id="1406613864">
      <w:bodyDiv w:val="1"/>
      <w:marLeft w:val="0"/>
      <w:marRight w:val="0"/>
      <w:marTop w:val="0"/>
      <w:marBottom w:val="0"/>
      <w:divBdr>
        <w:top w:val="none" w:sz="0" w:space="0" w:color="auto"/>
        <w:left w:val="none" w:sz="0" w:space="0" w:color="auto"/>
        <w:bottom w:val="none" w:sz="0" w:space="0" w:color="auto"/>
        <w:right w:val="none" w:sz="0" w:space="0" w:color="auto"/>
      </w:divBdr>
    </w:div>
    <w:div w:id="1637953116">
      <w:bodyDiv w:val="1"/>
      <w:marLeft w:val="0"/>
      <w:marRight w:val="0"/>
      <w:marTop w:val="0"/>
      <w:marBottom w:val="0"/>
      <w:divBdr>
        <w:top w:val="none" w:sz="0" w:space="0" w:color="auto"/>
        <w:left w:val="none" w:sz="0" w:space="0" w:color="auto"/>
        <w:bottom w:val="none" w:sz="0" w:space="0" w:color="auto"/>
        <w:right w:val="none" w:sz="0" w:space="0" w:color="auto"/>
      </w:divBdr>
      <w:divsChild>
        <w:div w:id="541943471">
          <w:marLeft w:val="446"/>
          <w:marRight w:val="0"/>
          <w:marTop w:val="0"/>
          <w:marBottom w:val="0"/>
          <w:divBdr>
            <w:top w:val="none" w:sz="0" w:space="0" w:color="auto"/>
            <w:left w:val="none" w:sz="0" w:space="0" w:color="auto"/>
            <w:bottom w:val="none" w:sz="0" w:space="0" w:color="auto"/>
            <w:right w:val="none" w:sz="0" w:space="0" w:color="auto"/>
          </w:divBdr>
        </w:div>
        <w:div w:id="1243371025">
          <w:marLeft w:val="446"/>
          <w:marRight w:val="0"/>
          <w:marTop w:val="0"/>
          <w:marBottom w:val="0"/>
          <w:divBdr>
            <w:top w:val="none" w:sz="0" w:space="0" w:color="auto"/>
            <w:left w:val="none" w:sz="0" w:space="0" w:color="auto"/>
            <w:bottom w:val="none" w:sz="0" w:space="0" w:color="auto"/>
            <w:right w:val="none" w:sz="0" w:space="0" w:color="auto"/>
          </w:divBdr>
        </w:div>
        <w:div w:id="1458404476">
          <w:marLeft w:val="446"/>
          <w:marRight w:val="0"/>
          <w:marTop w:val="0"/>
          <w:marBottom w:val="0"/>
          <w:divBdr>
            <w:top w:val="none" w:sz="0" w:space="0" w:color="auto"/>
            <w:left w:val="none" w:sz="0" w:space="0" w:color="auto"/>
            <w:bottom w:val="none" w:sz="0" w:space="0" w:color="auto"/>
            <w:right w:val="none" w:sz="0" w:space="0" w:color="auto"/>
          </w:divBdr>
        </w:div>
        <w:div w:id="1425539407">
          <w:marLeft w:val="446"/>
          <w:marRight w:val="0"/>
          <w:marTop w:val="0"/>
          <w:marBottom w:val="0"/>
          <w:divBdr>
            <w:top w:val="none" w:sz="0" w:space="0" w:color="auto"/>
            <w:left w:val="none" w:sz="0" w:space="0" w:color="auto"/>
            <w:bottom w:val="none" w:sz="0" w:space="0" w:color="auto"/>
            <w:right w:val="none" w:sz="0" w:space="0" w:color="auto"/>
          </w:divBdr>
        </w:div>
        <w:div w:id="365523537">
          <w:marLeft w:val="446"/>
          <w:marRight w:val="0"/>
          <w:marTop w:val="0"/>
          <w:marBottom w:val="0"/>
          <w:divBdr>
            <w:top w:val="none" w:sz="0" w:space="0" w:color="auto"/>
            <w:left w:val="none" w:sz="0" w:space="0" w:color="auto"/>
            <w:bottom w:val="none" w:sz="0" w:space="0" w:color="auto"/>
            <w:right w:val="none" w:sz="0" w:space="0" w:color="auto"/>
          </w:divBdr>
        </w:div>
        <w:div w:id="1171797983">
          <w:marLeft w:val="446"/>
          <w:marRight w:val="0"/>
          <w:marTop w:val="0"/>
          <w:marBottom w:val="0"/>
          <w:divBdr>
            <w:top w:val="none" w:sz="0" w:space="0" w:color="auto"/>
            <w:left w:val="none" w:sz="0" w:space="0" w:color="auto"/>
            <w:bottom w:val="none" w:sz="0" w:space="0" w:color="auto"/>
            <w:right w:val="none" w:sz="0" w:space="0" w:color="auto"/>
          </w:divBdr>
        </w:div>
        <w:div w:id="1915778056">
          <w:marLeft w:val="446"/>
          <w:marRight w:val="0"/>
          <w:marTop w:val="0"/>
          <w:marBottom w:val="0"/>
          <w:divBdr>
            <w:top w:val="none" w:sz="0" w:space="0" w:color="auto"/>
            <w:left w:val="none" w:sz="0" w:space="0" w:color="auto"/>
            <w:bottom w:val="none" w:sz="0" w:space="0" w:color="auto"/>
            <w:right w:val="none" w:sz="0" w:space="0" w:color="auto"/>
          </w:divBdr>
        </w:div>
        <w:div w:id="1414665477">
          <w:marLeft w:val="446"/>
          <w:marRight w:val="0"/>
          <w:marTop w:val="0"/>
          <w:marBottom w:val="0"/>
          <w:divBdr>
            <w:top w:val="none" w:sz="0" w:space="0" w:color="auto"/>
            <w:left w:val="none" w:sz="0" w:space="0" w:color="auto"/>
            <w:bottom w:val="none" w:sz="0" w:space="0" w:color="auto"/>
            <w:right w:val="none" w:sz="0" w:space="0" w:color="auto"/>
          </w:divBdr>
        </w:div>
        <w:div w:id="52777424">
          <w:marLeft w:val="446"/>
          <w:marRight w:val="0"/>
          <w:marTop w:val="0"/>
          <w:marBottom w:val="0"/>
          <w:divBdr>
            <w:top w:val="none" w:sz="0" w:space="0" w:color="auto"/>
            <w:left w:val="none" w:sz="0" w:space="0" w:color="auto"/>
            <w:bottom w:val="none" w:sz="0" w:space="0" w:color="auto"/>
            <w:right w:val="none" w:sz="0" w:space="0" w:color="auto"/>
          </w:divBdr>
        </w:div>
        <w:div w:id="1048989393">
          <w:marLeft w:val="446"/>
          <w:marRight w:val="0"/>
          <w:marTop w:val="0"/>
          <w:marBottom w:val="0"/>
          <w:divBdr>
            <w:top w:val="none" w:sz="0" w:space="0" w:color="auto"/>
            <w:left w:val="none" w:sz="0" w:space="0" w:color="auto"/>
            <w:bottom w:val="none" w:sz="0" w:space="0" w:color="auto"/>
            <w:right w:val="none" w:sz="0" w:space="0" w:color="auto"/>
          </w:divBdr>
        </w:div>
        <w:div w:id="375276336">
          <w:marLeft w:val="1166"/>
          <w:marRight w:val="0"/>
          <w:marTop w:val="0"/>
          <w:marBottom w:val="0"/>
          <w:divBdr>
            <w:top w:val="none" w:sz="0" w:space="0" w:color="auto"/>
            <w:left w:val="none" w:sz="0" w:space="0" w:color="auto"/>
            <w:bottom w:val="none" w:sz="0" w:space="0" w:color="auto"/>
            <w:right w:val="none" w:sz="0" w:space="0" w:color="auto"/>
          </w:divBdr>
        </w:div>
        <w:div w:id="384261339">
          <w:marLeft w:val="1166"/>
          <w:marRight w:val="0"/>
          <w:marTop w:val="0"/>
          <w:marBottom w:val="0"/>
          <w:divBdr>
            <w:top w:val="none" w:sz="0" w:space="0" w:color="auto"/>
            <w:left w:val="none" w:sz="0" w:space="0" w:color="auto"/>
            <w:bottom w:val="none" w:sz="0" w:space="0" w:color="auto"/>
            <w:right w:val="none" w:sz="0" w:space="0" w:color="auto"/>
          </w:divBdr>
        </w:div>
        <w:div w:id="801850909">
          <w:marLeft w:val="1166"/>
          <w:marRight w:val="0"/>
          <w:marTop w:val="0"/>
          <w:marBottom w:val="0"/>
          <w:divBdr>
            <w:top w:val="none" w:sz="0" w:space="0" w:color="auto"/>
            <w:left w:val="none" w:sz="0" w:space="0" w:color="auto"/>
            <w:bottom w:val="none" w:sz="0" w:space="0" w:color="auto"/>
            <w:right w:val="none" w:sz="0" w:space="0" w:color="auto"/>
          </w:divBdr>
        </w:div>
      </w:divsChild>
    </w:div>
    <w:div w:id="1666133097">
      <w:bodyDiv w:val="1"/>
      <w:marLeft w:val="0"/>
      <w:marRight w:val="0"/>
      <w:marTop w:val="0"/>
      <w:marBottom w:val="0"/>
      <w:divBdr>
        <w:top w:val="none" w:sz="0" w:space="0" w:color="auto"/>
        <w:left w:val="none" w:sz="0" w:space="0" w:color="auto"/>
        <w:bottom w:val="none" w:sz="0" w:space="0" w:color="auto"/>
        <w:right w:val="none" w:sz="0" w:space="0" w:color="auto"/>
      </w:divBdr>
    </w:div>
    <w:div w:id="1865823888">
      <w:bodyDiv w:val="1"/>
      <w:marLeft w:val="0"/>
      <w:marRight w:val="0"/>
      <w:marTop w:val="0"/>
      <w:marBottom w:val="0"/>
      <w:divBdr>
        <w:top w:val="none" w:sz="0" w:space="0" w:color="auto"/>
        <w:left w:val="none" w:sz="0" w:space="0" w:color="auto"/>
        <w:bottom w:val="none" w:sz="0" w:space="0" w:color="auto"/>
        <w:right w:val="none" w:sz="0" w:space="0" w:color="auto"/>
      </w:divBdr>
    </w:div>
    <w:div w:id="1876578585">
      <w:bodyDiv w:val="1"/>
      <w:marLeft w:val="0"/>
      <w:marRight w:val="0"/>
      <w:marTop w:val="0"/>
      <w:marBottom w:val="0"/>
      <w:divBdr>
        <w:top w:val="none" w:sz="0" w:space="0" w:color="auto"/>
        <w:left w:val="none" w:sz="0" w:space="0" w:color="auto"/>
        <w:bottom w:val="none" w:sz="0" w:space="0" w:color="auto"/>
        <w:right w:val="none" w:sz="0" w:space="0" w:color="auto"/>
      </w:divBdr>
    </w:div>
    <w:div w:id="2038237025">
      <w:bodyDiv w:val="1"/>
      <w:marLeft w:val="0"/>
      <w:marRight w:val="0"/>
      <w:marTop w:val="0"/>
      <w:marBottom w:val="0"/>
      <w:divBdr>
        <w:top w:val="none" w:sz="0" w:space="0" w:color="auto"/>
        <w:left w:val="none" w:sz="0" w:space="0" w:color="auto"/>
        <w:bottom w:val="none" w:sz="0" w:space="0" w:color="auto"/>
        <w:right w:val="none" w:sz="0" w:space="0" w:color="auto"/>
      </w:divBdr>
      <w:divsChild>
        <w:div w:id="2007979177">
          <w:marLeft w:val="274"/>
          <w:marRight w:val="0"/>
          <w:marTop w:val="0"/>
          <w:marBottom w:val="0"/>
          <w:divBdr>
            <w:top w:val="none" w:sz="0" w:space="0" w:color="auto"/>
            <w:left w:val="none" w:sz="0" w:space="0" w:color="auto"/>
            <w:bottom w:val="none" w:sz="0" w:space="0" w:color="auto"/>
            <w:right w:val="none" w:sz="0" w:space="0" w:color="auto"/>
          </w:divBdr>
        </w:div>
        <w:div w:id="1371221425">
          <w:marLeft w:val="994"/>
          <w:marRight w:val="0"/>
          <w:marTop w:val="0"/>
          <w:marBottom w:val="0"/>
          <w:divBdr>
            <w:top w:val="none" w:sz="0" w:space="0" w:color="auto"/>
            <w:left w:val="none" w:sz="0" w:space="0" w:color="auto"/>
            <w:bottom w:val="none" w:sz="0" w:space="0" w:color="auto"/>
            <w:right w:val="none" w:sz="0" w:space="0" w:color="auto"/>
          </w:divBdr>
        </w:div>
        <w:div w:id="1152062594">
          <w:marLeft w:val="274"/>
          <w:marRight w:val="0"/>
          <w:marTop w:val="0"/>
          <w:marBottom w:val="0"/>
          <w:divBdr>
            <w:top w:val="none" w:sz="0" w:space="0" w:color="auto"/>
            <w:left w:val="none" w:sz="0" w:space="0" w:color="auto"/>
            <w:bottom w:val="none" w:sz="0" w:space="0" w:color="auto"/>
            <w:right w:val="none" w:sz="0" w:space="0" w:color="auto"/>
          </w:divBdr>
        </w:div>
        <w:div w:id="1311062067">
          <w:marLeft w:val="994"/>
          <w:marRight w:val="0"/>
          <w:marTop w:val="0"/>
          <w:marBottom w:val="0"/>
          <w:divBdr>
            <w:top w:val="none" w:sz="0" w:space="0" w:color="auto"/>
            <w:left w:val="none" w:sz="0" w:space="0" w:color="auto"/>
            <w:bottom w:val="none" w:sz="0" w:space="0" w:color="auto"/>
            <w:right w:val="none" w:sz="0" w:space="0" w:color="auto"/>
          </w:divBdr>
        </w:div>
        <w:div w:id="1216770272">
          <w:marLeft w:val="994"/>
          <w:marRight w:val="0"/>
          <w:marTop w:val="0"/>
          <w:marBottom w:val="0"/>
          <w:divBdr>
            <w:top w:val="none" w:sz="0" w:space="0" w:color="auto"/>
            <w:left w:val="none" w:sz="0" w:space="0" w:color="auto"/>
            <w:bottom w:val="none" w:sz="0" w:space="0" w:color="auto"/>
            <w:right w:val="none" w:sz="0" w:space="0" w:color="auto"/>
          </w:divBdr>
        </w:div>
        <w:div w:id="1032731446">
          <w:marLeft w:val="994"/>
          <w:marRight w:val="0"/>
          <w:marTop w:val="0"/>
          <w:marBottom w:val="0"/>
          <w:divBdr>
            <w:top w:val="none" w:sz="0" w:space="0" w:color="auto"/>
            <w:left w:val="none" w:sz="0" w:space="0" w:color="auto"/>
            <w:bottom w:val="none" w:sz="0" w:space="0" w:color="auto"/>
            <w:right w:val="none" w:sz="0" w:space="0" w:color="auto"/>
          </w:divBdr>
        </w:div>
        <w:div w:id="577443816">
          <w:marLeft w:val="994"/>
          <w:marRight w:val="0"/>
          <w:marTop w:val="0"/>
          <w:marBottom w:val="0"/>
          <w:divBdr>
            <w:top w:val="none" w:sz="0" w:space="0" w:color="auto"/>
            <w:left w:val="none" w:sz="0" w:space="0" w:color="auto"/>
            <w:bottom w:val="none" w:sz="0" w:space="0" w:color="auto"/>
            <w:right w:val="none" w:sz="0" w:space="0" w:color="auto"/>
          </w:divBdr>
        </w:div>
        <w:div w:id="642201228">
          <w:marLeft w:val="446"/>
          <w:marRight w:val="0"/>
          <w:marTop w:val="0"/>
          <w:marBottom w:val="0"/>
          <w:divBdr>
            <w:top w:val="none" w:sz="0" w:space="0" w:color="auto"/>
            <w:left w:val="none" w:sz="0" w:space="0" w:color="auto"/>
            <w:bottom w:val="none" w:sz="0" w:space="0" w:color="auto"/>
            <w:right w:val="none" w:sz="0" w:space="0" w:color="auto"/>
          </w:divBdr>
        </w:div>
        <w:div w:id="1720352052">
          <w:marLeft w:val="446"/>
          <w:marRight w:val="0"/>
          <w:marTop w:val="0"/>
          <w:marBottom w:val="0"/>
          <w:divBdr>
            <w:top w:val="none" w:sz="0" w:space="0" w:color="auto"/>
            <w:left w:val="none" w:sz="0" w:space="0" w:color="auto"/>
            <w:bottom w:val="none" w:sz="0" w:space="0" w:color="auto"/>
            <w:right w:val="none" w:sz="0" w:space="0" w:color="auto"/>
          </w:divBdr>
        </w:div>
        <w:div w:id="1523204157">
          <w:marLeft w:val="446"/>
          <w:marRight w:val="0"/>
          <w:marTop w:val="0"/>
          <w:marBottom w:val="0"/>
          <w:divBdr>
            <w:top w:val="none" w:sz="0" w:space="0" w:color="auto"/>
            <w:left w:val="none" w:sz="0" w:space="0" w:color="auto"/>
            <w:bottom w:val="none" w:sz="0" w:space="0" w:color="auto"/>
            <w:right w:val="none" w:sz="0" w:space="0" w:color="auto"/>
          </w:divBdr>
        </w:div>
        <w:div w:id="12566705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Upload-files/AWG/APT-AWG-REP-75_APT_Report_Inbnd_Full_Duplex_FWS.docx" TargetMode="External"/><Relationship Id="rId18" Type="http://schemas.openxmlformats.org/officeDocument/2006/relationships/hyperlink" Target="http://www.apt.int/sites/default/files/Upload-files/AWG/APT-AWG-REP-80_APT_Report_Spectrum_Monitoring_at_Border_Areas.docx" TargetMode="External"/><Relationship Id="rId26" Type="http://schemas.openxmlformats.org/officeDocument/2006/relationships/hyperlink" Target="https://www.ainonline.com/aviation-news/air-transport/2017-09-19/nokia-fielding-european-air-ground-data-network" TargetMode="External"/><Relationship Id="rId39" Type="http://schemas.openxmlformats.org/officeDocument/2006/relationships/hyperlink" Target="http://eur-lex.europa.eu/legal-content/EN/TXT/PDF/?uri=CELEX:32015R2120&amp;from=EN" TargetMode="External"/><Relationship Id="rId3" Type="http://schemas.openxmlformats.org/officeDocument/2006/relationships/styles" Target="styles.xml"/><Relationship Id="rId21" Type="http://schemas.openxmlformats.org/officeDocument/2006/relationships/hyperlink" Target="http://www.apt.int/sites/default/files/Upload-files/AWG/AWG-22%20Circulars/AWG22-Q2_IoT.docx" TargetMode="External"/><Relationship Id="rId34" Type="http://schemas.openxmlformats.org/officeDocument/2006/relationships/hyperlink" Target="http://www.satellitetoday.com/telecom/2017/08/04/smartsky-begins-deployment-4g-lte-air-ground-network/" TargetMode="External"/><Relationship Id="rId42" Type="http://schemas.openxmlformats.org/officeDocument/2006/relationships/hyperlink" Target="http://transition.fcc.gov/Daily_Releases/Daily_Business/2017/db1024/FCC-17-134A1.pdf" TargetMode="External"/><Relationship Id="rId47" Type="http://schemas.openxmlformats.org/officeDocument/2006/relationships/hyperlink" Target="http://transition.fcc.gov/Daily_Releases/Daily_Business/2017/db0713/DOC-345789A1.pdf"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pt.int/sites/default/files/Upload-files/AWG/APT-AWG-REP-74_APT_Report_Geo_Location_DB_CRS.docx" TargetMode="External"/><Relationship Id="rId17" Type="http://schemas.openxmlformats.org/officeDocument/2006/relationships/hyperlink" Target="http://www.apt.int/sites/default/files/Upload-files/AWG/APT-AWG-REP-79_APT_Report_Arrangement_470-698_MHz.docx" TargetMode="External"/><Relationship Id="rId25" Type="http://schemas.openxmlformats.org/officeDocument/2006/relationships/image" Target="media/image2.emf"/><Relationship Id="rId33" Type="http://schemas.openxmlformats.org/officeDocument/2006/relationships/hyperlink" Target="http://www.getconnected.aero/2017/08/smartsky-4g-lte-atg-network-deployed/" TargetMode="External"/><Relationship Id="rId38" Type="http://schemas.openxmlformats.org/officeDocument/2006/relationships/hyperlink" Target="https://ecfsapi.fcc.gov/file/05230656804377/FCC-17-60A1.pdf" TargetMode="External"/><Relationship Id="rId46" Type="http://schemas.openxmlformats.org/officeDocument/2006/relationships/hyperlink" Target="http://rheintech.us4.list-manage.com/track/click?u=ea8729ded10d990820bca7414&amp;id=9fb4efdc71&amp;e=56b0e30a9b" TargetMode="External"/><Relationship Id="rId2" Type="http://schemas.openxmlformats.org/officeDocument/2006/relationships/numbering" Target="numbering.xml"/><Relationship Id="rId16" Type="http://schemas.openxmlformats.org/officeDocument/2006/relationships/hyperlink" Target="http://www.apt.int/sites/default/files/Upload-files/AWG/APT-AWG-REP-78_APT_Report_RSTT_System_Description.docx" TargetMode="External"/><Relationship Id="rId20" Type="http://schemas.openxmlformats.org/officeDocument/2006/relationships/hyperlink" Target="http://www.apt.int/sites/default/files/Upload-files/AWG/AWG-22%20Circulars/AWG22-Q1_IMT_Regulatory.docx" TargetMode="External"/><Relationship Id="rId29" Type="http://schemas.openxmlformats.org/officeDocument/2006/relationships/hyperlink" Target="https://www.broadbandtvnews.com/2017/07/05/viasat-takes-legal-action-against-european-commission/" TargetMode="External"/><Relationship Id="rId41" Type="http://schemas.openxmlformats.org/officeDocument/2006/relationships/hyperlink" Target="http://transition.fcc.gov/Daily_Releases/Daily_Business/2017/db1026/DOC-347449A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t.int/sites/default/files/Upload-files/AWG/APT-AWG-REP-73Rev.1_APT_Report_PPDR_Spectrum_Harmonization.docx" TargetMode="External"/><Relationship Id="rId24" Type="http://schemas.openxmlformats.org/officeDocument/2006/relationships/hyperlink" Target="https://apps.fcc.gov/edocs_public/attachmatch/DA-17-887A1_Rcd.pdf" TargetMode="External"/><Relationship Id="rId32" Type="http://schemas.openxmlformats.org/officeDocument/2006/relationships/hyperlink" Target="https://www.broadbandtvnews.com/2017/06/22/echostar-teams-up-with-thales-for-mobile-satellite-service-in-europe/" TargetMode="External"/><Relationship Id="rId37" Type="http://schemas.openxmlformats.org/officeDocument/2006/relationships/hyperlink" Target="https://www.prnewswire.com/news-releases/gogo-conducts-first-successful-test-flight-on-its-next-generation-atg-network-300545891.html" TargetMode="External"/><Relationship Id="rId40" Type="http://schemas.openxmlformats.org/officeDocument/2006/relationships/hyperlink" Target="http://berec.europa.eu/eng/document_register/subject_matter/berec/download/0/6160-berec-guidelines-on-the-implementation-b_0.pdf" TargetMode="External"/><Relationship Id="rId45" Type="http://schemas.openxmlformats.org/officeDocument/2006/relationships/hyperlink" Target="file:///C:\Users\weber\AppData\Local\Microsoft\Windows\Temporary%20Internet%20Files\Content.Outlook\GM3V57SD\ACMA%20Link" TargetMode="External"/><Relationship Id="rId5" Type="http://schemas.openxmlformats.org/officeDocument/2006/relationships/settings" Target="settings.xml"/><Relationship Id="rId15" Type="http://schemas.openxmlformats.org/officeDocument/2006/relationships/hyperlink" Target="http://www.apt.int/sites/default/files/Upload-files/AWG/APT-AWG-REP-77_APT_Report_Survey_Maritime_Mobile_Services.docx" TargetMode="External"/><Relationship Id="rId23" Type="http://schemas.openxmlformats.org/officeDocument/2006/relationships/hyperlink" Target="http://www.apt.int/Publications" TargetMode="External"/><Relationship Id="rId28" Type="http://schemas.openxmlformats.org/officeDocument/2006/relationships/hyperlink" Target="http://www.telegraph.co.uk/technology/2017/07/02/inmarsat-dismisses-court-challenge-in-flight-satellite-wi-fi/" TargetMode="External"/><Relationship Id="rId36" Type="http://schemas.openxmlformats.org/officeDocument/2006/relationships/hyperlink" Target="http://www.fiercewireless.com/tech/gogo-to-use-2-4-ghz-unlicensed-for-ground-based-system" TargetMode="External"/><Relationship Id="rId49" Type="http://schemas.openxmlformats.org/officeDocument/2006/relationships/header" Target="header1.xml"/><Relationship Id="rId10" Type="http://schemas.openxmlformats.org/officeDocument/2006/relationships/hyperlink" Target="http://www.apt.int/sites/default/files/Upload-files/AWG/APT-AWG-REP-07Rev.5_APT_Report_on_SRD.docx" TargetMode="External"/><Relationship Id="rId19" Type="http://schemas.openxmlformats.org/officeDocument/2006/relationships/hyperlink" Target="http://www.apt.int/sites/default/files/Upload-files/AWG/AWG-22%20Circulars/AWG-22-REC-1_WPT_Freq_Mobile_Devices.docx" TargetMode="External"/><Relationship Id="rId31" Type="http://schemas.openxmlformats.org/officeDocument/2006/relationships/hyperlink" Target="https://www.spaceintelreport.com/viasat-continue-legal-battle-vs-inmarsat-satelliteterrestrial-network-despite-uk-regulatory-ruling/" TargetMode="External"/><Relationship Id="rId44" Type="http://schemas.openxmlformats.org/officeDocument/2006/relationships/hyperlink" Target="https://apps.fcc.gov/edocs_public/attachmatch/DOC-346584A1.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t.int/sites/default/files/Upload-files/AWG/APT-AWG-REP-76_APT_Report_WPT_for_EVs.docx" TargetMode="External"/><Relationship Id="rId22" Type="http://schemas.openxmlformats.org/officeDocument/2006/relationships/hyperlink" Target="http://www.apt.int/sites/default/files/Upload-files/AWG/AWG-22%20Circulars/AWG22-Q3_WPT_Non-ISM.docx" TargetMode="External"/><Relationship Id="rId27" Type="http://schemas.openxmlformats.org/officeDocument/2006/relationships/hyperlink" Target="http://www.getconnected.aero/2017/09/inmarsat-ean-satellite-commercial-service/" TargetMode="External"/><Relationship Id="rId30" Type="http://schemas.openxmlformats.org/officeDocument/2006/relationships/hyperlink" Target="https://runwaygirlnetwork.com/2017/09/25/viasat-vows-to-continue-the-fight-to-prevent-european-aviation-network/" TargetMode="External"/><Relationship Id="rId35" Type="http://schemas.openxmlformats.org/officeDocument/2006/relationships/hyperlink" Target="https://runwaygirlnetwork.com/2017/10/28/press-release-smartsky-4g-lte-demo-flights-impress-at-nbaa/" TargetMode="External"/><Relationship Id="rId43" Type="http://schemas.openxmlformats.org/officeDocument/2006/relationships/hyperlink" Target="http://www.intelsat.com/wp-content/uploads/2017/10/FINALIntel_IntelsatFactSheetFormatted.pdf" TargetMode="External"/><Relationship Id="rId48" Type="http://schemas.openxmlformats.org/officeDocument/2006/relationships/hyperlink" Target="https://ecfsapi.fcc.gov/file/10030766909973/Mid%20Band%20NOI%20Comments%20(10%202%2017).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A400-0BBB-482B-AB6E-4468E3B9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0</TotalTime>
  <Pages>10</Pages>
  <Words>4363</Words>
  <Characters>26619</Characters>
  <Application>Microsoft Office Word</Application>
  <DocSecurity>0</DocSecurity>
  <Lines>221</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30921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Per Christensen</cp:lastModifiedBy>
  <cp:revision>2</cp:revision>
  <cp:lastPrinted>2016-10-04T08:55:00Z</cp:lastPrinted>
  <dcterms:created xsi:type="dcterms:W3CDTF">2017-11-06T08:21:00Z</dcterms:created>
  <dcterms:modified xsi:type="dcterms:W3CDTF">2017-11-06T08:21:00Z</dcterms:modified>
  <cp:category>protected templates</cp:category>
  <cp:contentStatus>Template ECC</cp:contentStatus>
</cp:coreProperties>
</file>