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70" w:type="dxa"/>
        <w:tblLayout w:type="fixed"/>
        <w:tblCellMar>
          <w:left w:w="70" w:type="dxa"/>
          <w:right w:w="70" w:type="dxa"/>
        </w:tblCellMar>
        <w:tblLook w:val="0000" w:firstRow="0" w:lastRow="0" w:firstColumn="0" w:lastColumn="0" w:noHBand="0" w:noVBand="0"/>
      </w:tblPr>
      <w:tblGrid>
        <w:gridCol w:w="1677"/>
        <w:gridCol w:w="3001"/>
        <w:gridCol w:w="4961"/>
      </w:tblGrid>
      <w:tr w:rsidR="004F3D96" w:rsidRPr="00691DCA" w14:paraId="46C6C480" w14:textId="77777777" w:rsidTr="00A12C3E">
        <w:trPr>
          <w:cantSplit/>
          <w:trHeight w:val="1560"/>
        </w:trPr>
        <w:tc>
          <w:tcPr>
            <w:tcW w:w="4678" w:type="dxa"/>
            <w:gridSpan w:val="2"/>
            <w:tcBorders>
              <w:top w:val="nil"/>
              <w:left w:val="nil"/>
              <w:bottom w:val="nil"/>
              <w:right w:val="nil"/>
            </w:tcBorders>
            <w:vAlign w:val="center"/>
          </w:tcPr>
          <w:p w14:paraId="46C6C47E" w14:textId="77777777" w:rsidR="004F3D96" w:rsidRPr="00691DCA" w:rsidRDefault="004F3D96" w:rsidP="004D1790">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noProof/>
                <w:sz w:val="20"/>
                <w:szCs w:val="20"/>
                <w:lang w:val="en-US"/>
              </w:rPr>
              <w:drawing>
                <wp:inline distT="0" distB="0" distL="0" distR="0" wp14:anchorId="46C6C536" wp14:editId="46C6C537">
                  <wp:extent cx="1617980" cy="82804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46C6C47F" w14:textId="3B9C6AA9" w:rsidR="004F3D96" w:rsidRPr="00691DCA" w:rsidRDefault="004F3D96" w:rsidP="005C70F7">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ab/>
              <w:t xml:space="preserve">Doc. </w:t>
            </w:r>
            <w:proofErr w:type="gramStart"/>
            <w:r w:rsidRPr="00691DCA">
              <w:rPr>
                <w:rFonts w:ascii="Arial" w:eastAsia="Calibri" w:hAnsi="Arial" w:cs="Arial"/>
                <w:b/>
                <w:sz w:val="20"/>
                <w:szCs w:val="20"/>
                <w:lang w:val="en-GB"/>
              </w:rPr>
              <w:t>ECC(</w:t>
            </w:r>
            <w:proofErr w:type="gramEnd"/>
            <w:r w:rsidRPr="00691DCA">
              <w:rPr>
                <w:rFonts w:ascii="Arial" w:eastAsia="Calibri" w:hAnsi="Arial" w:cs="Arial"/>
                <w:b/>
                <w:sz w:val="20"/>
                <w:szCs w:val="20"/>
                <w:lang w:val="en-GB"/>
              </w:rPr>
              <w:t>1</w:t>
            </w:r>
            <w:r w:rsidR="005C70F7" w:rsidRPr="00691DCA">
              <w:rPr>
                <w:rFonts w:ascii="Arial" w:eastAsia="Calibri" w:hAnsi="Arial" w:cs="Arial"/>
                <w:b/>
                <w:sz w:val="20"/>
                <w:szCs w:val="20"/>
                <w:lang w:val="en-GB"/>
              </w:rPr>
              <w:t>9</w:t>
            </w:r>
            <w:r w:rsidRPr="00691DCA">
              <w:rPr>
                <w:rFonts w:ascii="Arial" w:eastAsia="Calibri" w:hAnsi="Arial" w:cs="Arial"/>
                <w:b/>
                <w:sz w:val="20"/>
                <w:szCs w:val="20"/>
                <w:lang w:val="en-GB"/>
              </w:rPr>
              <w:t>)</w:t>
            </w:r>
            <w:r w:rsidR="00C50459">
              <w:rPr>
                <w:rFonts w:ascii="Arial" w:eastAsia="Calibri" w:hAnsi="Arial" w:cs="Arial"/>
                <w:b/>
                <w:sz w:val="20"/>
                <w:szCs w:val="20"/>
                <w:lang w:val="en-GB"/>
              </w:rPr>
              <w:t>072</w:t>
            </w:r>
          </w:p>
        </w:tc>
      </w:tr>
      <w:tr w:rsidR="004D1790" w:rsidRPr="00691DCA" w14:paraId="46C6C482" w14:textId="77777777" w:rsidTr="00A12C3E">
        <w:tblPrEx>
          <w:tblCellMar>
            <w:left w:w="108" w:type="dxa"/>
            <w:right w:w="108" w:type="dxa"/>
          </w:tblCellMar>
        </w:tblPrEx>
        <w:trPr>
          <w:cantSplit/>
          <w:trHeight w:val="405"/>
        </w:trPr>
        <w:tc>
          <w:tcPr>
            <w:tcW w:w="9639" w:type="dxa"/>
            <w:gridSpan w:val="3"/>
            <w:tcBorders>
              <w:top w:val="nil"/>
              <w:left w:val="nil"/>
              <w:bottom w:val="nil"/>
              <w:right w:val="nil"/>
            </w:tcBorders>
            <w:vAlign w:val="center"/>
          </w:tcPr>
          <w:p w14:paraId="46C6C481" w14:textId="77777777" w:rsidR="004D1790" w:rsidRPr="00691DCA" w:rsidRDefault="004D1790" w:rsidP="00064ADF">
            <w:pPr>
              <w:pStyle w:val="ECCLetterHead"/>
            </w:pPr>
            <w:r w:rsidRPr="00691DCA">
              <w:t>51</w:t>
            </w:r>
            <w:r w:rsidRPr="00691DCA">
              <w:rPr>
                <w:vertAlign w:val="superscript"/>
              </w:rPr>
              <w:t>st</w:t>
            </w:r>
            <w:r w:rsidRPr="00691DCA">
              <w:t xml:space="preserve"> ECC Plenary Meeting</w:t>
            </w:r>
          </w:p>
        </w:tc>
      </w:tr>
      <w:tr w:rsidR="004D1790" w:rsidRPr="00691DCA" w14:paraId="46C6C484" w14:textId="77777777" w:rsidTr="00A12C3E">
        <w:tblPrEx>
          <w:tblCellMar>
            <w:left w:w="108" w:type="dxa"/>
            <w:right w:w="108" w:type="dxa"/>
          </w:tblCellMar>
        </w:tblPrEx>
        <w:trPr>
          <w:cantSplit/>
          <w:trHeight w:val="405"/>
        </w:trPr>
        <w:tc>
          <w:tcPr>
            <w:tcW w:w="9639" w:type="dxa"/>
            <w:gridSpan w:val="3"/>
            <w:tcBorders>
              <w:top w:val="nil"/>
              <w:left w:val="nil"/>
              <w:bottom w:val="nil"/>
              <w:right w:val="nil"/>
            </w:tcBorders>
            <w:vAlign w:val="center"/>
          </w:tcPr>
          <w:p w14:paraId="46C6C483" w14:textId="77777777" w:rsidR="004D1790" w:rsidRPr="00691DCA" w:rsidRDefault="004D1790" w:rsidP="00064ADF">
            <w:pPr>
              <w:pStyle w:val="ECCLetterHead"/>
            </w:pPr>
            <w:r w:rsidRPr="00691DCA">
              <w:t xml:space="preserve">Sofia, Bulgaria, 2 – 5 July 2019 </w:t>
            </w:r>
            <w:bookmarkStart w:id="0" w:name="_GoBack"/>
            <w:bookmarkEnd w:id="0"/>
          </w:p>
        </w:tc>
      </w:tr>
      <w:tr w:rsidR="004F3D96" w:rsidRPr="00691DCA" w14:paraId="46C6C486" w14:textId="77777777" w:rsidTr="00A12C3E">
        <w:tblPrEx>
          <w:tblCellMar>
            <w:left w:w="108" w:type="dxa"/>
            <w:right w:w="108" w:type="dxa"/>
          </w:tblCellMar>
        </w:tblPrEx>
        <w:trPr>
          <w:cantSplit/>
          <w:trHeight w:hRule="exact" w:val="79"/>
        </w:trPr>
        <w:tc>
          <w:tcPr>
            <w:tcW w:w="9639" w:type="dxa"/>
            <w:gridSpan w:val="3"/>
            <w:tcBorders>
              <w:top w:val="nil"/>
              <w:left w:val="nil"/>
              <w:bottom w:val="nil"/>
              <w:right w:val="nil"/>
            </w:tcBorders>
            <w:vAlign w:val="center"/>
          </w:tcPr>
          <w:p w14:paraId="46C6C485"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p>
        </w:tc>
      </w:tr>
      <w:tr w:rsidR="004F3D96" w:rsidRPr="00691DCA" w14:paraId="46C6C489" w14:textId="77777777" w:rsidTr="00A12C3E">
        <w:tblPrEx>
          <w:tblCellMar>
            <w:left w:w="108" w:type="dxa"/>
            <w:right w:w="108" w:type="dxa"/>
          </w:tblCellMar>
        </w:tblPrEx>
        <w:trPr>
          <w:cantSplit/>
          <w:trHeight w:val="405"/>
        </w:trPr>
        <w:tc>
          <w:tcPr>
            <w:tcW w:w="1677" w:type="dxa"/>
            <w:tcBorders>
              <w:top w:val="nil"/>
              <w:left w:val="nil"/>
              <w:bottom w:val="nil"/>
              <w:right w:val="nil"/>
            </w:tcBorders>
            <w:vAlign w:val="center"/>
          </w:tcPr>
          <w:p w14:paraId="46C6C487"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 xml:space="preserve">Date issued: </w:t>
            </w:r>
          </w:p>
        </w:tc>
        <w:tc>
          <w:tcPr>
            <w:tcW w:w="7962" w:type="dxa"/>
            <w:gridSpan w:val="2"/>
            <w:tcBorders>
              <w:top w:val="nil"/>
              <w:left w:val="nil"/>
              <w:bottom w:val="nil"/>
              <w:right w:val="nil"/>
            </w:tcBorders>
            <w:vAlign w:val="center"/>
          </w:tcPr>
          <w:p w14:paraId="46C6C488" w14:textId="77777777" w:rsidR="004F3D96" w:rsidRPr="00691DCA" w:rsidRDefault="004C1BDD" w:rsidP="00F354C1">
            <w:pPr>
              <w:tabs>
                <w:tab w:val="right" w:pos="4750"/>
              </w:tabs>
              <w:spacing w:before="120" w:after="60" w:line="240" w:lineRule="auto"/>
              <w:jc w:val="both"/>
              <w:rPr>
                <w:rFonts w:ascii="Arial" w:eastAsia="Calibri" w:hAnsi="Arial" w:cs="Arial"/>
                <w:b/>
                <w:sz w:val="20"/>
                <w:szCs w:val="20"/>
                <w:lang w:val="en-GB"/>
              </w:rPr>
            </w:pPr>
            <w:r>
              <w:rPr>
                <w:rFonts w:ascii="Arial" w:eastAsia="Calibri" w:hAnsi="Arial" w:cs="Arial"/>
                <w:b/>
                <w:sz w:val="20"/>
                <w:szCs w:val="20"/>
                <w:lang w:val="en-GB"/>
              </w:rPr>
              <w:t>27</w:t>
            </w:r>
            <w:r w:rsidR="004D1790" w:rsidRPr="00691DCA">
              <w:rPr>
                <w:rFonts w:ascii="Arial" w:eastAsia="Calibri" w:hAnsi="Arial" w:cs="Arial"/>
                <w:b/>
                <w:sz w:val="20"/>
                <w:szCs w:val="20"/>
                <w:lang w:val="en-GB"/>
              </w:rPr>
              <w:t xml:space="preserve"> June</w:t>
            </w:r>
            <w:r w:rsidR="004F3D96" w:rsidRPr="00691DCA">
              <w:rPr>
                <w:rFonts w:ascii="Arial" w:eastAsia="Calibri" w:hAnsi="Arial" w:cs="Arial"/>
                <w:b/>
                <w:sz w:val="20"/>
                <w:szCs w:val="20"/>
                <w:lang w:val="en-GB"/>
              </w:rPr>
              <w:t xml:space="preserve"> 201</w:t>
            </w:r>
            <w:r w:rsidR="005C70F7" w:rsidRPr="00691DCA">
              <w:rPr>
                <w:rFonts w:ascii="Arial" w:eastAsia="Calibri" w:hAnsi="Arial" w:cs="Arial"/>
                <w:b/>
                <w:sz w:val="20"/>
                <w:szCs w:val="20"/>
                <w:lang w:val="en-GB"/>
              </w:rPr>
              <w:t>9</w:t>
            </w:r>
          </w:p>
        </w:tc>
      </w:tr>
      <w:tr w:rsidR="004F3D96" w:rsidRPr="00691DCA" w14:paraId="46C6C48C" w14:textId="77777777" w:rsidTr="00A12C3E">
        <w:tblPrEx>
          <w:tblCellMar>
            <w:left w:w="108" w:type="dxa"/>
            <w:right w:w="108" w:type="dxa"/>
          </w:tblCellMar>
        </w:tblPrEx>
        <w:trPr>
          <w:cantSplit/>
          <w:trHeight w:val="405"/>
        </w:trPr>
        <w:tc>
          <w:tcPr>
            <w:tcW w:w="1677" w:type="dxa"/>
            <w:tcBorders>
              <w:top w:val="nil"/>
              <w:left w:val="nil"/>
              <w:bottom w:val="nil"/>
              <w:right w:val="nil"/>
            </w:tcBorders>
            <w:vAlign w:val="center"/>
          </w:tcPr>
          <w:p w14:paraId="46C6C48A"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 xml:space="preserve">Source: </w:t>
            </w:r>
          </w:p>
        </w:tc>
        <w:tc>
          <w:tcPr>
            <w:tcW w:w="7962" w:type="dxa"/>
            <w:gridSpan w:val="2"/>
            <w:tcBorders>
              <w:top w:val="nil"/>
              <w:left w:val="nil"/>
              <w:bottom w:val="nil"/>
              <w:right w:val="nil"/>
            </w:tcBorders>
            <w:vAlign w:val="center"/>
          </w:tcPr>
          <w:p w14:paraId="46C6C48B"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ECO</w:t>
            </w:r>
          </w:p>
        </w:tc>
      </w:tr>
      <w:tr w:rsidR="004F3D96" w:rsidRPr="00691DCA" w14:paraId="46C6C48F" w14:textId="77777777" w:rsidTr="00A12C3E">
        <w:tblPrEx>
          <w:tblCellMar>
            <w:left w:w="108" w:type="dxa"/>
            <w:right w:w="108" w:type="dxa"/>
          </w:tblCellMar>
        </w:tblPrEx>
        <w:trPr>
          <w:cantSplit/>
          <w:trHeight w:val="405"/>
        </w:trPr>
        <w:tc>
          <w:tcPr>
            <w:tcW w:w="1677" w:type="dxa"/>
            <w:tcBorders>
              <w:top w:val="nil"/>
              <w:left w:val="nil"/>
              <w:bottom w:val="nil"/>
              <w:right w:val="nil"/>
            </w:tcBorders>
            <w:vAlign w:val="center"/>
          </w:tcPr>
          <w:p w14:paraId="46C6C48D"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 xml:space="preserve">Subject: </w:t>
            </w:r>
          </w:p>
        </w:tc>
        <w:tc>
          <w:tcPr>
            <w:tcW w:w="7962" w:type="dxa"/>
            <w:gridSpan w:val="2"/>
            <w:tcBorders>
              <w:top w:val="nil"/>
              <w:left w:val="nil"/>
              <w:bottom w:val="nil"/>
              <w:right w:val="nil"/>
            </w:tcBorders>
            <w:vAlign w:val="center"/>
          </w:tcPr>
          <w:p w14:paraId="46C6C48E"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ECO Bulletin on on-going/new issues in other regions or organisations</w:t>
            </w:r>
          </w:p>
        </w:tc>
      </w:tr>
      <w:tr w:rsidR="004F3D96" w:rsidRPr="00691DCA" w14:paraId="46C6C491" w14:textId="77777777" w:rsidTr="00A12C3E">
        <w:tblPrEx>
          <w:tblCellMar>
            <w:left w:w="108" w:type="dxa"/>
            <w:right w:w="108" w:type="dxa"/>
          </w:tblCellMar>
        </w:tblPrEx>
        <w:trPr>
          <w:cantSplit/>
          <w:trHeight w:val="1040"/>
        </w:trPr>
        <w:tc>
          <w:tcPr>
            <w:tcW w:w="9639" w:type="dxa"/>
            <w:gridSpan w:val="3"/>
            <w:tcBorders>
              <w:top w:val="nil"/>
              <w:left w:val="nil"/>
              <w:bottom w:val="nil"/>
              <w:right w:val="nil"/>
            </w:tcBorders>
            <w:vAlign w:val="center"/>
          </w:tcPr>
          <w:p w14:paraId="46C6C490" w14:textId="77777777" w:rsidR="004F3D96" w:rsidRPr="00691DCA" w:rsidRDefault="004F3D96" w:rsidP="004F3D96">
            <w:pPr>
              <w:spacing w:before="60" w:after="60" w:line="240" w:lineRule="auto"/>
              <w:jc w:val="both"/>
              <w:rPr>
                <w:rFonts w:ascii="Arial" w:eastAsia="Calibri" w:hAnsi="Arial" w:cs="Arial"/>
                <w:sz w:val="20"/>
                <w:szCs w:val="20"/>
                <w:lang w:val="en-GB"/>
              </w:rPr>
            </w:pPr>
            <w:r w:rsidRPr="00691DCA">
              <w:rPr>
                <w:rFonts w:ascii="Arial" w:eastAsia="Calibri" w:hAnsi="Arial" w:cs="Arial"/>
                <w:noProof/>
                <w:sz w:val="20"/>
                <w:szCs w:val="20"/>
                <w:lang w:val="en-US"/>
              </w:rPr>
              <mc:AlternateContent>
                <mc:Choice Requires="wps">
                  <w:drawing>
                    <wp:anchor distT="0" distB="0" distL="114300" distR="114300" simplePos="0" relativeHeight="251659264" behindDoc="0" locked="1" layoutInCell="0" allowOverlap="1" wp14:anchorId="46C6C538" wp14:editId="46C6C539">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46C6C53E" w14:textId="77777777" w:rsidR="003635BB" w:rsidRPr="00F45561" w:rsidRDefault="003635BB" w:rsidP="004F3D96">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6C538"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46C6C53E" w14:textId="77777777" w:rsidR="003635BB" w:rsidRPr="00F45561" w:rsidRDefault="003635BB" w:rsidP="004F3D96">
                            <w:pPr>
                              <w:pStyle w:val="ECCTabletext"/>
                              <w:jc w:val="center"/>
                              <w:rPr>
                                <w:lang w:val="de-DE"/>
                              </w:rPr>
                            </w:pPr>
                            <w:r>
                              <w:rPr>
                                <w:lang w:val="de-DE"/>
                              </w:rPr>
                              <w:t>N</w:t>
                            </w:r>
                          </w:p>
                        </w:txbxContent>
                      </v:textbox>
                      <w10:anchorlock/>
                    </v:shape>
                  </w:pict>
                </mc:Fallback>
              </mc:AlternateContent>
            </w:r>
            <w:r w:rsidRPr="00691DCA">
              <w:rPr>
                <w:rFonts w:ascii="Arial" w:eastAsia="Calibri" w:hAnsi="Arial" w:cs="Arial"/>
                <w:sz w:val="20"/>
                <w:szCs w:val="20"/>
                <w:lang w:val="en-GB"/>
              </w:rPr>
              <w:t>Group membership required to read? (Y/N)</w:t>
            </w:r>
          </w:p>
        </w:tc>
      </w:tr>
      <w:tr w:rsidR="004F3D96" w:rsidRPr="00691DCA" w14:paraId="46C6C494" w14:textId="77777777" w:rsidTr="00A12C3E">
        <w:tblPrEx>
          <w:tblCellMar>
            <w:left w:w="108" w:type="dxa"/>
            <w:right w:w="108" w:type="dxa"/>
          </w:tblCellMar>
        </w:tblPrEx>
        <w:trPr>
          <w:cantSplit/>
          <w:trHeight w:hRule="exact" w:val="74"/>
        </w:trPr>
        <w:tc>
          <w:tcPr>
            <w:tcW w:w="9639" w:type="dxa"/>
            <w:gridSpan w:val="3"/>
            <w:tcBorders>
              <w:top w:val="nil"/>
              <w:left w:val="nil"/>
              <w:bottom w:val="nil"/>
              <w:right w:val="nil"/>
            </w:tcBorders>
            <w:vAlign w:val="center"/>
          </w:tcPr>
          <w:p w14:paraId="46C6C492" w14:textId="77777777" w:rsidR="004F3D96" w:rsidRPr="00691DCA" w:rsidRDefault="004F3D96" w:rsidP="004F3D96">
            <w:pPr>
              <w:spacing w:before="240" w:after="60" w:line="240" w:lineRule="auto"/>
              <w:jc w:val="both"/>
              <w:rPr>
                <w:rFonts w:ascii="Arial" w:eastAsia="Calibri" w:hAnsi="Arial" w:cs="Arial"/>
                <w:sz w:val="20"/>
                <w:szCs w:val="20"/>
                <w:lang w:val="en-GB"/>
              </w:rPr>
            </w:pPr>
          </w:p>
          <w:p w14:paraId="46C6C493" w14:textId="77777777" w:rsidR="004F3D96" w:rsidRPr="00691DCA" w:rsidRDefault="004F3D96" w:rsidP="004F3D96">
            <w:pPr>
              <w:spacing w:before="240" w:after="60" w:line="240" w:lineRule="auto"/>
              <w:jc w:val="both"/>
              <w:rPr>
                <w:rFonts w:ascii="Arial" w:eastAsia="Calibri" w:hAnsi="Arial" w:cs="Arial"/>
                <w:sz w:val="20"/>
                <w:szCs w:val="20"/>
                <w:lang w:val="en-GB"/>
              </w:rPr>
            </w:pPr>
          </w:p>
        </w:tc>
      </w:tr>
      <w:tr w:rsidR="004F3D96" w:rsidRPr="00691DCA" w14:paraId="46C6C496" w14:textId="77777777" w:rsidTr="00A1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39" w:type="dxa"/>
            <w:gridSpan w:val="3"/>
            <w:tcBorders>
              <w:top w:val="single" w:sz="6" w:space="0" w:color="C00000"/>
              <w:left w:val="single" w:sz="6" w:space="0" w:color="C00000"/>
              <w:bottom w:val="nil"/>
              <w:right w:val="single" w:sz="6" w:space="0" w:color="C00000"/>
            </w:tcBorders>
            <w:vAlign w:val="center"/>
          </w:tcPr>
          <w:p w14:paraId="46C6C495"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 xml:space="preserve">Summary: </w:t>
            </w:r>
          </w:p>
        </w:tc>
      </w:tr>
      <w:tr w:rsidR="004F3D96" w:rsidRPr="00691DCA" w14:paraId="46C6C4AC" w14:textId="77777777" w:rsidTr="00A1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9"/>
        </w:trPr>
        <w:tc>
          <w:tcPr>
            <w:tcW w:w="9639" w:type="dxa"/>
            <w:gridSpan w:val="3"/>
            <w:tcBorders>
              <w:top w:val="nil"/>
              <w:left w:val="single" w:sz="6" w:space="0" w:color="C00000"/>
              <w:bottom w:val="single" w:sz="6" w:space="0" w:color="C00000"/>
              <w:right w:val="single" w:sz="6" w:space="0" w:color="C00000"/>
            </w:tcBorders>
          </w:tcPr>
          <w:p w14:paraId="46C6C497" w14:textId="77777777" w:rsidR="004F3D96" w:rsidRPr="00691DCA" w:rsidRDefault="004F3D96" w:rsidP="004F3D96">
            <w:pPr>
              <w:spacing w:before="240" w:after="60" w:line="240" w:lineRule="auto"/>
              <w:jc w:val="both"/>
              <w:rPr>
                <w:rFonts w:ascii="Arial" w:eastAsia="Calibri" w:hAnsi="Arial" w:cs="Arial"/>
                <w:sz w:val="20"/>
                <w:szCs w:val="20"/>
                <w:lang w:val="en-GB"/>
              </w:rPr>
            </w:pPr>
            <w:r w:rsidRPr="00691DCA">
              <w:rPr>
                <w:rFonts w:ascii="Arial" w:eastAsia="Calibri" w:hAnsi="Arial" w:cs="Arial"/>
                <w:sz w:val="20"/>
                <w:szCs w:val="20"/>
                <w:lang w:val="en-GB"/>
              </w:rPr>
              <w:t>This ECO Bulletin provides a summary update on aspects of progress in spectrum management outside the CEPT. The items in this bulletin include:</w:t>
            </w:r>
          </w:p>
          <w:sdt>
            <w:sdtPr>
              <w:rPr>
                <w:rFonts w:ascii="Arial" w:hAnsi="Arial" w:cs="Arial"/>
                <w:sz w:val="20"/>
                <w:szCs w:val="20"/>
                <w:lang w:val="en-GB"/>
              </w:rPr>
              <w:id w:val="700049169"/>
              <w:docPartObj>
                <w:docPartGallery w:val="Table of Contents"/>
                <w:docPartUnique/>
              </w:docPartObj>
            </w:sdtPr>
            <w:sdtEndPr>
              <w:rPr>
                <w:b/>
                <w:bCs/>
                <w:noProof/>
              </w:rPr>
            </w:sdtEndPr>
            <w:sdtContent>
              <w:p w14:paraId="46C6C498" w14:textId="77777777" w:rsidR="006D7D16" w:rsidRPr="00691DCA" w:rsidRDefault="00681BE3">
                <w:pPr>
                  <w:pStyle w:val="TOC1"/>
                  <w:tabs>
                    <w:tab w:val="left" w:pos="442"/>
                    <w:tab w:val="right" w:leader="dot" w:pos="9628"/>
                  </w:tabs>
                  <w:rPr>
                    <w:rFonts w:eastAsiaTheme="minorEastAsia"/>
                    <w:noProof/>
                    <w:lang w:eastAsia="da-DK"/>
                  </w:rPr>
                </w:pPr>
                <w:r w:rsidRPr="00691DCA">
                  <w:rPr>
                    <w:rFonts w:ascii="Arial" w:hAnsi="Arial" w:cs="Arial"/>
                    <w:sz w:val="20"/>
                    <w:szCs w:val="20"/>
                    <w:lang w:val="en-GB"/>
                  </w:rPr>
                  <w:fldChar w:fldCharType="begin"/>
                </w:r>
                <w:r w:rsidRPr="00691DCA">
                  <w:rPr>
                    <w:rFonts w:ascii="Arial" w:hAnsi="Arial" w:cs="Arial"/>
                    <w:sz w:val="20"/>
                    <w:szCs w:val="20"/>
                    <w:lang w:val="en-GB"/>
                  </w:rPr>
                  <w:instrText xml:space="preserve"> TOC \o "1-3" \n \h \z \u </w:instrText>
                </w:r>
                <w:r w:rsidRPr="00691DCA">
                  <w:rPr>
                    <w:rFonts w:ascii="Arial" w:hAnsi="Arial" w:cs="Arial"/>
                    <w:sz w:val="20"/>
                    <w:szCs w:val="20"/>
                    <w:lang w:val="en-GB"/>
                  </w:rPr>
                  <w:fldChar w:fldCharType="separate"/>
                </w:r>
                <w:hyperlink w:anchor="_Toc12461946" w:history="1">
                  <w:r w:rsidR="006D7D16" w:rsidRPr="00691DCA">
                    <w:rPr>
                      <w:rStyle w:val="Hyperlink"/>
                      <w:noProof/>
                      <w:lang w:val="en-GB"/>
                    </w:rPr>
                    <w:t>1</w:t>
                  </w:r>
                  <w:r w:rsidR="006D7D16" w:rsidRPr="00691DCA">
                    <w:rPr>
                      <w:rFonts w:eastAsiaTheme="minorEastAsia"/>
                      <w:noProof/>
                      <w:lang w:eastAsia="da-DK"/>
                    </w:rPr>
                    <w:tab/>
                  </w:r>
                  <w:r w:rsidR="006D7D16" w:rsidRPr="00691DCA">
                    <w:rPr>
                      <w:rStyle w:val="Hyperlink"/>
                      <w:noProof/>
                      <w:lang w:val="en-GB"/>
                    </w:rPr>
                    <w:t>Asia Pacific Region (APT)</w:t>
                  </w:r>
                </w:hyperlink>
              </w:p>
              <w:p w14:paraId="46C6C499" w14:textId="77777777" w:rsidR="006D7D16" w:rsidRPr="00691DCA" w:rsidRDefault="00C50459">
                <w:pPr>
                  <w:pStyle w:val="TOC2"/>
                  <w:tabs>
                    <w:tab w:val="left" w:pos="880"/>
                    <w:tab w:val="right" w:leader="dot" w:pos="9628"/>
                  </w:tabs>
                  <w:rPr>
                    <w:rFonts w:eastAsiaTheme="minorEastAsia"/>
                    <w:noProof/>
                    <w:lang w:eastAsia="da-DK"/>
                  </w:rPr>
                </w:pPr>
                <w:hyperlink w:anchor="_Toc12461947" w:history="1">
                  <w:r w:rsidR="006D7D16" w:rsidRPr="00691DCA">
                    <w:rPr>
                      <w:rStyle w:val="Hyperlink"/>
                      <w:noProof/>
                      <w:lang w:val="en-GB"/>
                    </w:rPr>
                    <w:t>1.1</w:t>
                  </w:r>
                  <w:r w:rsidR="006D7D16" w:rsidRPr="00691DCA">
                    <w:rPr>
                      <w:rFonts w:eastAsiaTheme="minorEastAsia"/>
                      <w:noProof/>
                      <w:lang w:eastAsia="da-DK"/>
                    </w:rPr>
                    <w:tab/>
                  </w:r>
                  <w:r w:rsidR="006D7D16" w:rsidRPr="00691DCA">
                    <w:rPr>
                      <w:rStyle w:val="Hyperlink"/>
                      <w:noProof/>
                      <w:lang w:val="en-GB"/>
                    </w:rPr>
                    <w:t>India 5G spectrum auction</w:t>
                  </w:r>
                </w:hyperlink>
              </w:p>
              <w:p w14:paraId="46C6C49A" w14:textId="77777777" w:rsidR="006D7D16" w:rsidRPr="00691DCA" w:rsidRDefault="00C50459">
                <w:pPr>
                  <w:pStyle w:val="TOC2"/>
                  <w:tabs>
                    <w:tab w:val="left" w:pos="880"/>
                    <w:tab w:val="right" w:leader="dot" w:pos="9628"/>
                  </w:tabs>
                  <w:rPr>
                    <w:rFonts w:eastAsiaTheme="minorEastAsia"/>
                    <w:noProof/>
                    <w:lang w:eastAsia="da-DK"/>
                  </w:rPr>
                </w:pPr>
                <w:hyperlink w:anchor="_Toc12461948" w:history="1">
                  <w:r w:rsidR="006D7D16" w:rsidRPr="00691DCA">
                    <w:rPr>
                      <w:rStyle w:val="Hyperlink"/>
                      <w:noProof/>
                      <w:lang w:val="en-GB"/>
                    </w:rPr>
                    <w:t>1.2</w:t>
                  </w:r>
                  <w:r w:rsidR="006D7D16" w:rsidRPr="00691DCA">
                    <w:rPr>
                      <w:rFonts w:eastAsiaTheme="minorEastAsia"/>
                      <w:noProof/>
                      <w:lang w:eastAsia="da-DK"/>
                    </w:rPr>
                    <w:tab/>
                  </w:r>
                  <w:r w:rsidR="006D7D16" w:rsidRPr="00691DCA">
                    <w:rPr>
                      <w:rStyle w:val="Hyperlink"/>
                      <w:noProof/>
                      <w:lang w:val="en-GB"/>
                    </w:rPr>
                    <w:t>China awards 5G licence to state broadcaster</w:t>
                  </w:r>
                </w:hyperlink>
              </w:p>
              <w:p w14:paraId="46C6C49B" w14:textId="77777777" w:rsidR="006D7D16" w:rsidRPr="00691DCA" w:rsidRDefault="00C50459">
                <w:pPr>
                  <w:pStyle w:val="TOC2"/>
                  <w:tabs>
                    <w:tab w:val="left" w:pos="880"/>
                    <w:tab w:val="right" w:leader="dot" w:pos="9628"/>
                  </w:tabs>
                  <w:rPr>
                    <w:rFonts w:eastAsiaTheme="minorEastAsia"/>
                    <w:noProof/>
                    <w:lang w:eastAsia="da-DK"/>
                  </w:rPr>
                </w:pPr>
                <w:hyperlink w:anchor="_Toc12461949" w:history="1">
                  <w:r w:rsidR="006D7D16" w:rsidRPr="00691DCA">
                    <w:rPr>
                      <w:rStyle w:val="Hyperlink"/>
                      <w:noProof/>
                      <w:lang w:val="en-GB"/>
                    </w:rPr>
                    <w:t>1.3</w:t>
                  </w:r>
                  <w:r w:rsidR="006D7D16" w:rsidRPr="00691DCA">
                    <w:rPr>
                      <w:rFonts w:eastAsiaTheme="minorEastAsia"/>
                      <w:noProof/>
                      <w:lang w:eastAsia="da-DK"/>
                    </w:rPr>
                    <w:tab/>
                  </w:r>
                  <w:r w:rsidR="006D7D16" w:rsidRPr="00691DCA">
                    <w:rPr>
                      <w:rStyle w:val="Hyperlink"/>
                      <w:noProof/>
                      <w:lang w:val="en-GB"/>
                    </w:rPr>
                    <w:t>Singapore 5G plans</w:t>
                  </w:r>
                </w:hyperlink>
              </w:p>
              <w:p w14:paraId="46C6C49C" w14:textId="77777777" w:rsidR="006D7D16" w:rsidRPr="00691DCA" w:rsidRDefault="00C50459">
                <w:pPr>
                  <w:pStyle w:val="TOC1"/>
                  <w:tabs>
                    <w:tab w:val="left" w:pos="442"/>
                    <w:tab w:val="right" w:leader="dot" w:pos="9628"/>
                  </w:tabs>
                  <w:rPr>
                    <w:rFonts w:eastAsiaTheme="minorEastAsia"/>
                    <w:noProof/>
                    <w:lang w:eastAsia="da-DK"/>
                  </w:rPr>
                </w:pPr>
                <w:hyperlink w:anchor="_Toc12461950" w:history="1">
                  <w:r w:rsidR="006D7D16" w:rsidRPr="00691DCA">
                    <w:rPr>
                      <w:rStyle w:val="Hyperlink"/>
                      <w:noProof/>
                      <w:lang w:val="en-GB"/>
                    </w:rPr>
                    <w:t>2</w:t>
                  </w:r>
                  <w:r w:rsidR="006D7D16" w:rsidRPr="00691DCA">
                    <w:rPr>
                      <w:rFonts w:eastAsiaTheme="minorEastAsia"/>
                      <w:noProof/>
                      <w:lang w:eastAsia="da-DK"/>
                    </w:rPr>
                    <w:tab/>
                  </w:r>
                  <w:r w:rsidR="006D7D16" w:rsidRPr="00691DCA">
                    <w:rPr>
                      <w:rStyle w:val="Hyperlink"/>
                      <w:noProof/>
                      <w:lang w:val="en-GB"/>
                    </w:rPr>
                    <w:t>Americas (CITEL)</w:t>
                  </w:r>
                </w:hyperlink>
              </w:p>
              <w:p w14:paraId="46C6C49D" w14:textId="77777777" w:rsidR="006D7D16" w:rsidRPr="00691DCA" w:rsidRDefault="00C50459">
                <w:pPr>
                  <w:pStyle w:val="TOC2"/>
                  <w:tabs>
                    <w:tab w:val="left" w:pos="880"/>
                    <w:tab w:val="right" w:leader="dot" w:pos="9628"/>
                  </w:tabs>
                  <w:rPr>
                    <w:rFonts w:eastAsiaTheme="minorEastAsia"/>
                    <w:noProof/>
                    <w:lang w:eastAsia="da-DK"/>
                  </w:rPr>
                </w:pPr>
                <w:hyperlink w:anchor="_Toc12461951" w:history="1">
                  <w:r w:rsidR="006D7D16" w:rsidRPr="00691DCA">
                    <w:rPr>
                      <w:rStyle w:val="Hyperlink"/>
                      <w:noProof/>
                      <w:lang w:val="en-GB"/>
                    </w:rPr>
                    <w:t>2.1</w:t>
                  </w:r>
                  <w:r w:rsidR="006D7D16" w:rsidRPr="00691DCA">
                    <w:rPr>
                      <w:rFonts w:eastAsiaTheme="minorEastAsia"/>
                      <w:noProof/>
                      <w:lang w:eastAsia="da-DK"/>
                    </w:rPr>
                    <w:tab/>
                  </w:r>
                  <w:r w:rsidR="006D7D16" w:rsidRPr="00691DCA">
                    <w:rPr>
                      <w:rStyle w:val="Hyperlink"/>
                      <w:noProof/>
                      <w:lang w:val="en-GB"/>
                    </w:rPr>
                    <w:t>USA</w:t>
                  </w:r>
                </w:hyperlink>
              </w:p>
              <w:p w14:paraId="46C6C49E" w14:textId="77777777" w:rsidR="006D7D16" w:rsidRPr="00691DCA" w:rsidRDefault="00C50459">
                <w:pPr>
                  <w:pStyle w:val="TOC3"/>
                  <w:rPr>
                    <w:rFonts w:eastAsiaTheme="minorEastAsia"/>
                    <w:noProof/>
                    <w:lang w:eastAsia="da-DK"/>
                  </w:rPr>
                </w:pPr>
                <w:hyperlink w:anchor="_Toc12461952" w:history="1">
                  <w:r w:rsidR="006D7D16" w:rsidRPr="00691DCA">
                    <w:rPr>
                      <w:rStyle w:val="Hyperlink"/>
                      <w:noProof/>
                      <w:lang w:val="en-GB"/>
                    </w:rPr>
                    <w:t>2.1.1</w:t>
                  </w:r>
                  <w:r w:rsidR="006D7D16" w:rsidRPr="00691DCA">
                    <w:rPr>
                      <w:rFonts w:eastAsiaTheme="minorEastAsia"/>
                      <w:noProof/>
                      <w:lang w:eastAsia="da-DK"/>
                    </w:rPr>
                    <w:tab/>
                  </w:r>
                  <w:r w:rsidR="006D7D16" w:rsidRPr="00691DCA">
                    <w:rPr>
                      <w:rStyle w:val="Hyperlink"/>
                      <w:noProof/>
                      <w:lang w:val="en-GB"/>
                    </w:rPr>
                    <w:t>Update on NGSO satellite plans and launches</w:t>
                  </w:r>
                </w:hyperlink>
              </w:p>
              <w:p w14:paraId="46C6C49F" w14:textId="77777777" w:rsidR="006D7D16" w:rsidRPr="00691DCA" w:rsidRDefault="00C50459">
                <w:pPr>
                  <w:pStyle w:val="TOC3"/>
                  <w:rPr>
                    <w:rFonts w:eastAsiaTheme="minorEastAsia"/>
                    <w:noProof/>
                    <w:lang w:eastAsia="da-DK"/>
                  </w:rPr>
                </w:pPr>
                <w:hyperlink w:anchor="_Toc12461953" w:history="1">
                  <w:r w:rsidR="006D7D16" w:rsidRPr="00691DCA">
                    <w:rPr>
                      <w:rStyle w:val="Hyperlink"/>
                      <w:noProof/>
                      <w:lang w:val="en-GB"/>
                    </w:rPr>
                    <w:t>2.1.2</w:t>
                  </w:r>
                  <w:r w:rsidR="006D7D16" w:rsidRPr="00691DCA">
                    <w:rPr>
                      <w:rFonts w:eastAsiaTheme="minorEastAsia"/>
                      <w:noProof/>
                      <w:lang w:eastAsia="da-DK"/>
                    </w:rPr>
                    <w:tab/>
                  </w:r>
                  <w:r w:rsidR="006D7D16" w:rsidRPr="00691DCA">
                    <w:rPr>
                      <w:rStyle w:val="Hyperlink"/>
                      <w:noProof/>
                      <w:lang w:val="en-GB"/>
                    </w:rPr>
                    <w:t>Update on FCC mmWave auctions</w:t>
                  </w:r>
                </w:hyperlink>
              </w:p>
              <w:p w14:paraId="46C6C4A0" w14:textId="77777777" w:rsidR="006D7D16" w:rsidRPr="00691DCA" w:rsidRDefault="00C50459">
                <w:pPr>
                  <w:pStyle w:val="TOC3"/>
                  <w:rPr>
                    <w:rFonts w:eastAsiaTheme="minorEastAsia"/>
                    <w:noProof/>
                    <w:lang w:eastAsia="da-DK"/>
                  </w:rPr>
                </w:pPr>
                <w:hyperlink w:anchor="_Toc12461954" w:history="1">
                  <w:r w:rsidR="006D7D16" w:rsidRPr="00691DCA">
                    <w:rPr>
                      <w:rStyle w:val="Hyperlink"/>
                      <w:noProof/>
                      <w:lang w:val="en-GB"/>
                    </w:rPr>
                    <w:t>2.1.3</w:t>
                  </w:r>
                  <w:r w:rsidR="006D7D16" w:rsidRPr="00691DCA">
                    <w:rPr>
                      <w:rFonts w:eastAsiaTheme="minorEastAsia"/>
                      <w:noProof/>
                      <w:lang w:eastAsia="da-DK"/>
                    </w:rPr>
                    <w:tab/>
                  </w:r>
                  <w:r w:rsidR="006D7D16" w:rsidRPr="00691DCA">
                    <w:rPr>
                      <w:rStyle w:val="Hyperlink"/>
                      <w:noProof/>
                      <w:lang w:val="en-GB"/>
                    </w:rPr>
                    <w:t>FCC 5.9 GHz</w:t>
                  </w:r>
                </w:hyperlink>
              </w:p>
              <w:p w14:paraId="46C6C4A1" w14:textId="77777777" w:rsidR="006D7D16" w:rsidRPr="00691DCA" w:rsidRDefault="00C50459">
                <w:pPr>
                  <w:pStyle w:val="TOC3"/>
                  <w:rPr>
                    <w:rFonts w:eastAsiaTheme="minorEastAsia"/>
                    <w:noProof/>
                    <w:lang w:eastAsia="da-DK"/>
                  </w:rPr>
                </w:pPr>
                <w:hyperlink w:anchor="_Toc12461955" w:history="1">
                  <w:r w:rsidR="006D7D16" w:rsidRPr="00691DCA">
                    <w:rPr>
                      <w:rStyle w:val="Hyperlink"/>
                      <w:noProof/>
                      <w:lang w:val="en-GB"/>
                    </w:rPr>
                    <w:t>2.1.4</w:t>
                  </w:r>
                  <w:r w:rsidR="006D7D16" w:rsidRPr="00691DCA">
                    <w:rPr>
                      <w:rFonts w:eastAsiaTheme="minorEastAsia"/>
                      <w:noProof/>
                      <w:lang w:eastAsia="da-DK"/>
                    </w:rPr>
                    <w:tab/>
                  </w:r>
                  <w:r w:rsidR="006D7D16" w:rsidRPr="00691DCA">
                    <w:rPr>
                      <w:rStyle w:val="Hyperlink"/>
                      <w:noProof/>
                      <w:lang w:val="en-GB"/>
                    </w:rPr>
                    <w:t>FCC 95 GHz</w:t>
                  </w:r>
                </w:hyperlink>
              </w:p>
              <w:p w14:paraId="46C6C4A2" w14:textId="77777777" w:rsidR="006D7D16" w:rsidRPr="00691DCA" w:rsidRDefault="00C50459">
                <w:pPr>
                  <w:pStyle w:val="TOC3"/>
                  <w:rPr>
                    <w:rFonts w:eastAsiaTheme="minorEastAsia"/>
                    <w:noProof/>
                    <w:lang w:eastAsia="da-DK"/>
                  </w:rPr>
                </w:pPr>
                <w:hyperlink w:anchor="_Toc12461956" w:history="1">
                  <w:r w:rsidR="006D7D16" w:rsidRPr="00691DCA">
                    <w:rPr>
                      <w:rStyle w:val="Hyperlink"/>
                      <w:noProof/>
                      <w:lang w:val="en-GB"/>
                    </w:rPr>
                    <w:t>2.1.5</w:t>
                  </w:r>
                  <w:r w:rsidR="006D7D16" w:rsidRPr="00691DCA">
                    <w:rPr>
                      <w:rFonts w:eastAsiaTheme="minorEastAsia"/>
                      <w:noProof/>
                      <w:lang w:eastAsia="da-DK"/>
                    </w:rPr>
                    <w:tab/>
                  </w:r>
                  <w:r w:rsidR="006D7D16" w:rsidRPr="00691DCA">
                    <w:rPr>
                      <w:rStyle w:val="Hyperlink"/>
                      <w:noProof/>
                      <w:lang w:val="en-GB"/>
                    </w:rPr>
                    <w:t>FCC 5G FAST</w:t>
                  </w:r>
                </w:hyperlink>
              </w:p>
              <w:p w14:paraId="46C6C4A3" w14:textId="77777777" w:rsidR="006D7D16" w:rsidRPr="00691DCA" w:rsidRDefault="00C50459">
                <w:pPr>
                  <w:pStyle w:val="TOC3"/>
                  <w:rPr>
                    <w:rFonts w:eastAsiaTheme="minorEastAsia"/>
                    <w:noProof/>
                    <w:lang w:eastAsia="da-DK"/>
                  </w:rPr>
                </w:pPr>
                <w:hyperlink w:anchor="_Toc12461957" w:history="1">
                  <w:r w:rsidR="006D7D16" w:rsidRPr="00691DCA">
                    <w:rPr>
                      <w:rStyle w:val="Hyperlink"/>
                      <w:noProof/>
                      <w:lang w:val="en-GB"/>
                    </w:rPr>
                    <w:t>2.1.6</w:t>
                  </w:r>
                  <w:r w:rsidR="006D7D16" w:rsidRPr="00691DCA">
                    <w:rPr>
                      <w:rFonts w:eastAsiaTheme="minorEastAsia"/>
                      <w:noProof/>
                      <w:lang w:eastAsia="da-DK"/>
                    </w:rPr>
                    <w:tab/>
                  </w:r>
                  <w:r w:rsidR="006D7D16" w:rsidRPr="00691DCA">
                    <w:rPr>
                      <w:rStyle w:val="Hyperlink"/>
                      <w:noProof/>
                      <w:lang w:val="en-GB"/>
                    </w:rPr>
                    <w:t>FCC proposals for replanning of 900 MHz band</w:t>
                  </w:r>
                </w:hyperlink>
              </w:p>
              <w:p w14:paraId="46C6C4A4" w14:textId="77777777" w:rsidR="006D7D16" w:rsidRPr="00691DCA" w:rsidRDefault="00C50459">
                <w:pPr>
                  <w:pStyle w:val="TOC3"/>
                  <w:rPr>
                    <w:rFonts w:eastAsiaTheme="minorEastAsia"/>
                    <w:noProof/>
                    <w:lang w:eastAsia="da-DK"/>
                  </w:rPr>
                </w:pPr>
                <w:hyperlink w:anchor="_Toc12461958" w:history="1">
                  <w:r w:rsidR="006D7D16" w:rsidRPr="00691DCA">
                    <w:rPr>
                      <w:rStyle w:val="Hyperlink"/>
                      <w:noProof/>
                      <w:lang w:val="en-GB"/>
                    </w:rPr>
                    <w:t>2.1.7</w:t>
                  </w:r>
                  <w:r w:rsidR="006D7D16" w:rsidRPr="00691DCA">
                    <w:rPr>
                      <w:rFonts w:eastAsiaTheme="minorEastAsia"/>
                      <w:noProof/>
                      <w:lang w:eastAsia="da-DK"/>
                    </w:rPr>
                    <w:tab/>
                  </w:r>
                  <w:r w:rsidR="006D7D16" w:rsidRPr="00691DCA">
                    <w:rPr>
                      <w:rStyle w:val="Hyperlink"/>
                      <w:noProof/>
                      <w:lang w:val="en-GB"/>
                    </w:rPr>
                    <w:t>FCC proposed release of mid band spectrum for mobile use</w:t>
                  </w:r>
                </w:hyperlink>
              </w:p>
              <w:p w14:paraId="46C6C4A5" w14:textId="77777777" w:rsidR="006D7D16" w:rsidRPr="00691DCA" w:rsidRDefault="00C50459">
                <w:pPr>
                  <w:pStyle w:val="TOC3"/>
                  <w:rPr>
                    <w:rFonts w:eastAsiaTheme="minorEastAsia"/>
                    <w:noProof/>
                    <w:lang w:eastAsia="da-DK"/>
                  </w:rPr>
                </w:pPr>
                <w:hyperlink w:anchor="_Toc12461959" w:history="1">
                  <w:r w:rsidR="006D7D16" w:rsidRPr="00691DCA">
                    <w:rPr>
                      <w:rStyle w:val="Hyperlink"/>
                      <w:noProof/>
                      <w:lang w:val="en-GB"/>
                    </w:rPr>
                    <w:t>2.1.8</w:t>
                  </w:r>
                  <w:r w:rsidR="006D7D16" w:rsidRPr="00691DCA">
                    <w:rPr>
                      <w:rFonts w:eastAsiaTheme="minorEastAsia"/>
                      <w:noProof/>
                      <w:lang w:eastAsia="da-DK"/>
                    </w:rPr>
                    <w:tab/>
                  </w:r>
                  <w:r w:rsidR="006D7D16" w:rsidRPr="00691DCA">
                    <w:rPr>
                      <w:rStyle w:val="Hyperlink"/>
                      <w:noProof/>
                      <w:lang w:val="en-GB"/>
                    </w:rPr>
                    <w:t>FCC UWB ground penetrating radar for autonomous vehicles 103-403 MHz</w:t>
                  </w:r>
                </w:hyperlink>
              </w:p>
              <w:p w14:paraId="46C6C4A6" w14:textId="77777777" w:rsidR="006D7D16" w:rsidRPr="00691DCA" w:rsidRDefault="00C50459">
                <w:pPr>
                  <w:pStyle w:val="TOC2"/>
                  <w:tabs>
                    <w:tab w:val="left" w:pos="880"/>
                    <w:tab w:val="right" w:leader="dot" w:pos="9628"/>
                  </w:tabs>
                  <w:rPr>
                    <w:rFonts w:eastAsiaTheme="minorEastAsia"/>
                    <w:noProof/>
                    <w:lang w:eastAsia="da-DK"/>
                  </w:rPr>
                </w:pPr>
                <w:hyperlink w:anchor="_Toc12461960" w:history="1">
                  <w:r w:rsidR="006D7D16" w:rsidRPr="00691DCA">
                    <w:rPr>
                      <w:rStyle w:val="Hyperlink"/>
                      <w:noProof/>
                      <w:lang w:val="en-GB"/>
                    </w:rPr>
                    <w:t>2.2</w:t>
                  </w:r>
                  <w:r w:rsidR="006D7D16" w:rsidRPr="00691DCA">
                    <w:rPr>
                      <w:rFonts w:eastAsiaTheme="minorEastAsia"/>
                      <w:noProof/>
                      <w:lang w:eastAsia="da-DK"/>
                    </w:rPr>
                    <w:tab/>
                  </w:r>
                  <w:r w:rsidR="006D7D16" w:rsidRPr="00691DCA">
                    <w:rPr>
                      <w:rStyle w:val="Hyperlink"/>
                      <w:noProof/>
                      <w:lang w:val="en-GB"/>
                    </w:rPr>
                    <w:t>Canada 600 mhZ auction results</w:t>
                  </w:r>
                </w:hyperlink>
              </w:p>
              <w:p w14:paraId="46C6C4A7" w14:textId="77777777" w:rsidR="006D7D16" w:rsidRPr="00691DCA" w:rsidRDefault="00C50459">
                <w:pPr>
                  <w:pStyle w:val="TOC2"/>
                  <w:tabs>
                    <w:tab w:val="left" w:pos="880"/>
                    <w:tab w:val="right" w:leader="dot" w:pos="9628"/>
                  </w:tabs>
                  <w:rPr>
                    <w:rFonts w:eastAsiaTheme="minorEastAsia"/>
                    <w:noProof/>
                    <w:lang w:eastAsia="da-DK"/>
                  </w:rPr>
                </w:pPr>
                <w:hyperlink w:anchor="_Toc12461961" w:history="1">
                  <w:r w:rsidR="006D7D16" w:rsidRPr="00691DCA">
                    <w:rPr>
                      <w:rStyle w:val="Hyperlink"/>
                      <w:noProof/>
                      <w:lang w:val="en-GB"/>
                    </w:rPr>
                    <w:t>2.3</w:t>
                  </w:r>
                  <w:r w:rsidR="006D7D16" w:rsidRPr="00691DCA">
                    <w:rPr>
                      <w:rFonts w:eastAsiaTheme="minorEastAsia"/>
                      <w:noProof/>
                      <w:lang w:eastAsia="da-DK"/>
                    </w:rPr>
                    <w:tab/>
                  </w:r>
                  <w:r w:rsidR="006D7D16" w:rsidRPr="00691DCA">
                    <w:rPr>
                      <w:rStyle w:val="Hyperlink"/>
                      <w:noProof/>
                      <w:lang w:val="en-GB"/>
                    </w:rPr>
                    <w:t>CITEL questionnaire to administrations on unlicensed or license-exempt access to frequency bands</w:t>
                  </w:r>
                </w:hyperlink>
              </w:p>
              <w:p w14:paraId="46C6C4A8" w14:textId="77777777" w:rsidR="006D7D16" w:rsidRPr="00691DCA" w:rsidRDefault="00C50459">
                <w:pPr>
                  <w:pStyle w:val="TOC1"/>
                  <w:tabs>
                    <w:tab w:val="left" w:pos="442"/>
                    <w:tab w:val="right" w:leader="dot" w:pos="9628"/>
                  </w:tabs>
                  <w:rPr>
                    <w:rFonts w:eastAsiaTheme="minorEastAsia"/>
                    <w:noProof/>
                    <w:lang w:eastAsia="da-DK"/>
                  </w:rPr>
                </w:pPr>
                <w:hyperlink w:anchor="_Toc12461962" w:history="1">
                  <w:r w:rsidR="006D7D16" w:rsidRPr="00691DCA">
                    <w:rPr>
                      <w:rStyle w:val="Hyperlink"/>
                      <w:noProof/>
                      <w:lang w:val="en-GB"/>
                    </w:rPr>
                    <w:t>3</w:t>
                  </w:r>
                  <w:r w:rsidR="006D7D16" w:rsidRPr="00691DCA">
                    <w:rPr>
                      <w:rFonts w:eastAsiaTheme="minorEastAsia"/>
                      <w:noProof/>
                      <w:lang w:eastAsia="da-DK"/>
                    </w:rPr>
                    <w:tab/>
                  </w:r>
                  <w:r w:rsidR="006D7D16" w:rsidRPr="00691DCA">
                    <w:rPr>
                      <w:rStyle w:val="Hyperlink"/>
                      <w:noProof/>
                      <w:lang w:val="en-GB"/>
                    </w:rPr>
                    <w:t>Global developments</w:t>
                  </w:r>
                </w:hyperlink>
              </w:p>
              <w:p w14:paraId="46C6C4A9" w14:textId="77777777" w:rsidR="006D7D16" w:rsidRPr="00691DCA" w:rsidRDefault="00C50459">
                <w:pPr>
                  <w:pStyle w:val="TOC2"/>
                  <w:tabs>
                    <w:tab w:val="left" w:pos="880"/>
                    <w:tab w:val="right" w:leader="dot" w:pos="9628"/>
                  </w:tabs>
                  <w:rPr>
                    <w:rFonts w:eastAsiaTheme="minorEastAsia"/>
                    <w:noProof/>
                    <w:lang w:eastAsia="da-DK"/>
                  </w:rPr>
                </w:pPr>
                <w:hyperlink w:anchor="_Toc12461963" w:history="1">
                  <w:r w:rsidR="006D7D16" w:rsidRPr="00691DCA">
                    <w:rPr>
                      <w:rStyle w:val="Hyperlink"/>
                      <w:noProof/>
                      <w:lang w:val="en-GB"/>
                    </w:rPr>
                    <w:t>3.1</w:t>
                  </w:r>
                  <w:r w:rsidR="006D7D16" w:rsidRPr="00691DCA">
                    <w:rPr>
                      <w:rFonts w:eastAsiaTheme="minorEastAsia"/>
                      <w:noProof/>
                      <w:lang w:eastAsia="da-DK"/>
                    </w:rPr>
                    <w:tab/>
                  </w:r>
                  <w:r w:rsidR="006D7D16" w:rsidRPr="00691DCA">
                    <w:rPr>
                      <w:rStyle w:val="Hyperlink"/>
                      <w:noProof/>
                      <w:lang w:val="en-GB"/>
                    </w:rPr>
                    <w:t>5G deployments update</w:t>
                  </w:r>
                </w:hyperlink>
              </w:p>
              <w:p w14:paraId="46C6C4AA" w14:textId="77777777" w:rsidR="006D7D16" w:rsidRPr="00691DCA" w:rsidRDefault="00C50459">
                <w:pPr>
                  <w:pStyle w:val="TOC2"/>
                  <w:tabs>
                    <w:tab w:val="left" w:pos="880"/>
                    <w:tab w:val="right" w:leader="dot" w:pos="9628"/>
                  </w:tabs>
                  <w:rPr>
                    <w:rFonts w:eastAsiaTheme="minorEastAsia"/>
                    <w:noProof/>
                    <w:lang w:eastAsia="da-DK"/>
                  </w:rPr>
                </w:pPr>
                <w:hyperlink w:anchor="_Toc12461964" w:history="1">
                  <w:r w:rsidR="006D7D16" w:rsidRPr="00691DCA">
                    <w:rPr>
                      <w:rStyle w:val="Hyperlink"/>
                      <w:noProof/>
                      <w:lang w:val="en-GB"/>
                    </w:rPr>
                    <w:t>3.2</w:t>
                  </w:r>
                  <w:r w:rsidR="006D7D16" w:rsidRPr="00691DCA">
                    <w:rPr>
                      <w:rFonts w:eastAsiaTheme="minorEastAsia"/>
                      <w:noProof/>
                      <w:lang w:eastAsia="da-DK"/>
                    </w:rPr>
                    <w:tab/>
                  </w:r>
                  <w:r w:rsidR="006D7D16" w:rsidRPr="00691DCA">
                    <w:rPr>
                      <w:rStyle w:val="Hyperlink"/>
                      <w:noProof/>
                      <w:lang w:val="en-GB"/>
                    </w:rPr>
                    <w:t>Alphabet Loon and softbank HAPS partnership</w:t>
                  </w:r>
                </w:hyperlink>
              </w:p>
              <w:p w14:paraId="46C6C4AB" w14:textId="77777777" w:rsidR="00E472B7" w:rsidRPr="00691DCA" w:rsidRDefault="00681BE3" w:rsidP="005E1F4F">
                <w:pPr>
                  <w:pStyle w:val="TOC1"/>
                  <w:tabs>
                    <w:tab w:val="left" w:pos="442"/>
                    <w:tab w:val="right" w:leader="dot" w:pos="9628"/>
                  </w:tabs>
                  <w:rPr>
                    <w:rFonts w:ascii="Arial" w:hAnsi="Arial" w:cs="Arial"/>
                    <w:sz w:val="20"/>
                    <w:szCs w:val="20"/>
                    <w:lang w:val="en-GB"/>
                  </w:rPr>
                </w:pPr>
                <w:r w:rsidRPr="00691DCA">
                  <w:rPr>
                    <w:rFonts w:ascii="Arial" w:hAnsi="Arial" w:cs="Arial"/>
                    <w:sz w:val="20"/>
                    <w:szCs w:val="20"/>
                    <w:lang w:val="en-GB"/>
                  </w:rPr>
                  <w:fldChar w:fldCharType="end"/>
                </w:r>
              </w:p>
            </w:sdtContent>
          </w:sdt>
        </w:tc>
      </w:tr>
    </w:tbl>
    <w:p w14:paraId="46C6C4AD" w14:textId="77777777" w:rsidR="005E1F4F" w:rsidRPr="00691DCA" w:rsidRDefault="005E1F4F">
      <w:pPr>
        <w:rPr>
          <w:rFonts w:ascii="Arial" w:hAnsi="Arial" w:cs="Arial"/>
          <w:sz w:val="20"/>
          <w:szCs w:val="20"/>
        </w:rPr>
      </w:pPr>
      <w:r w:rsidRPr="00691DCA">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F3D96" w:rsidRPr="00691DCA" w14:paraId="46C6C4AF" w14:textId="77777777" w:rsidTr="00A12C3E">
        <w:trPr>
          <w:cantSplit/>
          <w:trHeight w:val="443"/>
        </w:trPr>
        <w:tc>
          <w:tcPr>
            <w:tcW w:w="9639" w:type="dxa"/>
            <w:tcBorders>
              <w:top w:val="single" w:sz="6" w:space="0" w:color="C00000"/>
              <w:left w:val="single" w:sz="6" w:space="0" w:color="C00000"/>
              <w:bottom w:val="nil"/>
              <w:right w:val="single" w:sz="6" w:space="0" w:color="C00000"/>
            </w:tcBorders>
            <w:vAlign w:val="center"/>
          </w:tcPr>
          <w:p w14:paraId="46C6C4AE"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lastRenderedPageBreak/>
              <w:t>Proposal:</w:t>
            </w:r>
          </w:p>
        </w:tc>
      </w:tr>
      <w:tr w:rsidR="004F3D96" w:rsidRPr="00691DCA" w14:paraId="46C6C4B3" w14:textId="77777777" w:rsidTr="00A12C3E">
        <w:trPr>
          <w:cantSplit/>
          <w:trHeight w:val="1132"/>
        </w:trPr>
        <w:tc>
          <w:tcPr>
            <w:tcW w:w="9639" w:type="dxa"/>
            <w:tcBorders>
              <w:top w:val="nil"/>
              <w:left w:val="single" w:sz="6" w:space="0" w:color="C00000"/>
              <w:bottom w:val="single" w:sz="6" w:space="0" w:color="C00000"/>
              <w:right w:val="single" w:sz="6" w:space="0" w:color="C00000"/>
            </w:tcBorders>
          </w:tcPr>
          <w:p w14:paraId="46C6C4B0" w14:textId="77777777" w:rsidR="004F3D96" w:rsidRPr="00691DCA" w:rsidRDefault="004F3D96" w:rsidP="004F3D96">
            <w:pPr>
              <w:spacing w:before="60" w:after="60" w:line="240" w:lineRule="auto"/>
              <w:jc w:val="both"/>
              <w:rPr>
                <w:rFonts w:ascii="Arial" w:eastAsia="Calibri" w:hAnsi="Arial" w:cs="Arial"/>
                <w:sz w:val="20"/>
                <w:szCs w:val="20"/>
                <w:lang w:val="en-GB"/>
              </w:rPr>
            </w:pPr>
            <w:r w:rsidRPr="00691DCA">
              <w:rPr>
                <w:rFonts w:ascii="Arial" w:eastAsia="Calibri" w:hAnsi="Arial" w:cs="Arial"/>
                <w:sz w:val="20"/>
                <w:szCs w:val="20"/>
                <w:lang w:val="en-GB"/>
              </w:rPr>
              <w:t xml:space="preserve">ECC is invited to note this </w:t>
            </w:r>
            <w:r w:rsidR="00367E17" w:rsidRPr="00691DCA">
              <w:rPr>
                <w:rFonts w:ascii="Arial" w:eastAsia="Calibri" w:hAnsi="Arial" w:cs="Arial"/>
                <w:sz w:val="20"/>
                <w:szCs w:val="20"/>
                <w:lang w:val="en-GB"/>
              </w:rPr>
              <w:t>B</w:t>
            </w:r>
            <w:r w:rsidR="005C70F7" w:rsidRPr="00691DCA">
              <w:rPr>
                <w:rFonts w:ascii="Arial" w:eastAsia="Calibri" w:hAnsi="Arial" w:cs="Arial"/>
                <w:sz w:val="20"/>
                <w:szCs w:val="20"/>
                <w:lang w:val="en-GB"/>
              </w:rPr>
              <w:t>ulletin.</w:t>
            </w:r>
          </w:p>
          <w:p w14:paraId="46C6C4B1" w14:textId="77777777" w:rsidR="004F3D96" w:rsidRPr="00691DCA" w:rsidRDefault="004F3D96" w:rsidP="004F3D96">
            <w:pPr>
              <w:spacing w:before="240" w:after="60" w:line="240" w:lineRule="auto"/>
              <w:jc w:val="both"/>
              <w:rPr>
                <w:rFonts w:ascii="Arial" w:eastAsia="Calibri" w:hAnsi="Arial" w:cs="Arial"/>
                <w:sz w:val="20"/>
                <w:szCs w:val="20"/>
                <w:lang w:val="en-GB"/>
              </w:rPr>
            </w:pPr>
            <w:r w:rsidRPr="00691DCA">
              <w:rPr>
                <w:rFonts w:ascii="Arial" w:eastAsia="Calibri" w:hAnsi="Arial" w:cs="Arial"/>
                <w:sz w:val="20"/>
                <w:szCs w:val="20"/>
                <w:lang w:val="en-GB"/>
              </w:rPr>
              <w:t xml:space="preserve">Several of the issues covered in this bulletin should be noted or discussed </w:t>
            </w:r>
            <w:r w:rsidR="005C70F7" w:rsidRPr="00691DCA">
              <w:rPr>
                <w:rFonts w:ascii="Arial" w:eastAsia="Calibri" w:hAnsi="Arial" w:cs="Arial"/>
                <w:sz w:val="20"/>
                <w:szCs w:val="20"/>
                <w:lang w:val="en-GB"/>
              </w:rPr>
              <w:t>at the respective WG/ PT level, in particular</w:t>
            </w:r>
            <w:r w:rsidR="003F4AE8" w:rsidRPr="00691DCA">
              <w:rPr>
                <w:rFonts w:ascii="Arial" w:eastAsia="Calibri" w:hAnsi="Arial" w:cs="Arial"/>
                <w:sz w:val="20"/>
                <w:szCs w:val="20"/>
                <w:lang w:val="en-GB"/>
              </w:rPr>
              <w:t xml:space="preserve"> in WG FM, WG SE, CPG, ECC PT1, FM44 and SE40.</w:t>
            </w:r>
          </w:p>
          <w:p w14:paraId="46C6C4B2" w14:textId="77777777" w:rsidR="005E1F4F" w:rsidRPr="00691DCA" w:rsidRDefault="005E1F4F" w:rsidP="003F4AE8">
            <w:pPr>
              <w:spacing w:before="60" w:after="60" w:line="240" w:lineRule="auto"/>
              <w:jc w:val="both"/>
              <w:rPr>
                <w:rFonts w:ascii="Arial" w:eastAsia="Calibri" w:hAnsi="Arial" w:cs="Arial"/>
                <w:sz w:val="20"/>
                <w:szCs w:val="20"/>
                <w:lang w:val="en-GB"/>
              </w:rPr>
            </w:pPr>
          </w:p>
        </w:tc>
      </w:tr>
      <w:tr w:rsidR="004F3D96" w:rsidRPr="00691DCA" w14:paraId="46C6C4B5" w14:textId="77777777" w:rsidTr="00A12C3E">
        <w:trPr>
          <w:cantSplit/>
          <w:trHeight w:val="443"/>
        </w:trPr>
        <w:tc>
          <w:tcPr>
            <w:tcW w:w="9639" w:type="dxa"/>
            <w:tcBorders>
              <w:top w:val="single" w:sz="6" w:space="0" w:color="C00000"/>
              <w:left w:val="single" w:sz="6" w:space="0" w:color="C00000"/>
              <w:bottom w:val="nil"/>
              <w:right w:val="single" w:sz="6" w:space="0" w:color="C00000"/>
            </w:tcBorders>
            <w:vAlign w:val="center"/>
          </w:tcPr>
          <w:p w14:paraId="46C6C4B4" w14:textId="77777777" w:rsidR="004F3D96" w:rsidRPr="00691DCA" w:rsidRDefault="004F3D96" w:rsidP="004F3D96">
            <w:pPr>
              <w:tabs>
                <w:tab w:val="right" w:pos="4750"/>
              </w:tabs>
              <w:spacing w:before="120" w:after="60" w:line="240" w:lineRule="auto"/>
              <w:jc w:val="both"/>
              <w:rPr>
                <w:rFonts w:ascii="Arial" w:eastAsia="Calibri" w:hAnsi="Arial" w:cs="Arial"/>
                <w:b/>
                <w:sz w:val="20"/>
                <w:szCs w:val="20"/>
                <w:lang w:val="en-GB"/>
              </w:rPr>
            </w:pPr>
            <w:r w:rsidRPr="00691DCA">
              <w:rPr>
                <w:rFonts w:ascii="Arial" w:eastAsia="Calibri" w:hAnsi="Arial" w:cs="Arial"/>
                <w:b/>
                <w:sz w:val="20"/>
                <w:szCs w:val="20"/>
                <w:lang w:val="en-GB"/>
              </w:rPr>
              <w:t>Background:</w:t>
            </w:r>
          </w:p>
        </w:tc>
      </w:tr>
      <w:tr w:rsidR="004F3D96" w:rsidRPr="00691DCA" w14:paraId="46C6C4B8" w14:textId="77777777" w:rsidTr="00A12C3E">
        <w:trPr>
          <w:cantSplit/>
          <w:trHeight w:val="1098"/>
        </w:trPr>
        <w:tc>
          <w:tcPr>
            <w:tcW w:w="9639" w:type="dxa"/>
            <w:tcBorders>
              <w:top w:val="nil"/>
              <w:left w:val="single" w:sz="6" w:space="0" w:color="C00000"/>
              <w:bottom w:val="single" w:sz="6" w:space="0" w:color="C00000"/>
              <w:right w:val="single" w:sz="6" w:space="0" w:color="C00000"/>
            </w:tcBorders>
          </w:tcPr>
          <w:p w14:paraId="46C6C4B6" w14:textId="77777777" w:rsidR="004F3D96" w:rsidRPr="00691DCA" w:rsidRDefault="004F3D96" w:rsidP="004F3D96">
            <w:pPr>
              <w:spacing w:before="240" w:after="60" w:line="240" w:lineRule="auto"/>
              <w:jc w:val="both"/>
              <w:rPr>
                <w:rFonts w:ascii="Arial" w:eastAsia="Calibri" w:hAnsi="Arial" w:cs="Arial"/>
                <w:bCs/>
                <w:sz w:val="20"/>
                <w:szCs w:val="20"/>
                <w:lang w:val="en-GB"/>
              </w:rPr>
            </w:pPr>
            <w:r w:rsidRPr="00691DCA">
              <w:rPr>
                <w:rFonts w:ascii="Arial" w:eastAsia="Calibri" w:hAnsi="Arial" w:cs="Arial"/>
                <w:bCs/>
                <w:sz w:val="20"/>
                <w:szCs w:val="20"/>
                <w:lang w:val="en-GB"/>
              </w:rPr>
              <w:t>The Office brings to each ECC meeting a bulletin on activities in radio communications in other regions</w:t>
            </w:r>
            <w:r w:rsidR="005C70F7" w:rsidRPr="00691DCA">
              <w:rPr>
                <w:rFonts w:ascii="Arial" w:eastAsia="Calibri" w:hAnsi="Arial" w:cs="Arial"/>
                <w:bCs/>
                <w:sz w:val="20"/>
                <w:szCs w:val="20"/>
                <w:lang w:val="en-GB"/>
              </w:rPr>
              <w:t xml:space="preserve"> outside CEPT, </w:t>
            </w:r>
            <w:r w:rsidRPr="00691DCA">
              <w:rPr>
                <w:rFonts w:ascii="Arial" w:eastAsia="Calibri" w:hAnsi="Arial" w:cs="Arial"/>
                <w:bCs/>
                <w:sz w:val="20"/>
                <w:szCs w:val="20"/>
                <w:lang w:val="en-GB"/>
              </w:rPr>
              <w:t xml:space="preserve">where a regulatory dimension is raised (e.g. by innovative services or technology). </w:t>
            </w:r>
          </w:p>
          <w:p w14:paraId="46C6C4B7" w14:textId="77777777" w:rsidR="004F3D96" w:rsidRPr="00691DCA" w:rsidRDefault="004F3D96" w:rsidP="005C70F7">
            <w:pPr>
              <w:spacing w:before="60" w:after="60" w:line="240" w:lineRule="auto"/>
              <w:jc w:val="both"/>
              <w:rPr>
                <w:rFonts w:ascii="Arial" w:eastAsia="Calibri" w:hAnsi="Arial" w:cs="Arial"/>
                <w:sz w:val="20"/>
                <w:szCs w:val="20"/>
                <w:lang w:val="en-GB"/>
              </w:rPr>
            </w:pPr>
            <w:r w:rsidRPr="00691DCA">
              <w:rPr>
                <w:rFonts w:ascii="Arial" w:eastAsia="Calibri" w:hAnsi="Arial" w:cs="Arial"/>
                <w:bCs/>
                <w:sz w:val="20"/>
                <w:szCs w:val="20"/>
                <w:lang w:val="en-GB"/>
              </w:rPr>
              <w:t xml:space="preserve">The primary objective is to identify whether the ECC needs to investigate further or consider possible new actions. A secondary but more frequently addressed objective is to enable comparison to be made </w:t>
            </w:r>
            <w:r w:rsidR="005C70F7" w:rsidRPr="00691DCA">
              <w:rPr>
                <w:rFonts w:ascii="Arial" w:eastAsia="Calibri" w:hAnsi="Arial" w:cs="Arial"/>
                <w:bCs/>
                <w:sz w:val="20"/>
                <w:szCs w:val="20"/>
                <w:lang w:val="en-GB"/>
              </w:rPr>
              <w:t>with</w:t>
            </w:r>
            <w:r w:rsidRPr="00691DCA">
              <w:rPr>
                <w:rFonts w:ascii="Arial" w:eastAsia="Calibri" w:hAnsi="Arial" w:cs="Arial"/>
                <w:bCs/>
                <w:sz w:val="20"/>
                <w:szCs w:val="20"/>
                <w:lang w:val="en-GB"/>
              </w:rPr>
              <w:t xml:space="preserve"> the regulatory approach in other regions </w:t>
            </w:r>
            <w:r w:rsidR="005C70F7" w:rsidRPr="00691DCA">
              <w:rPr>
                <w:rFonts w:ascii="Arial" w:eastAsia="Calibri" w:hAnsi="Arial" w:cs="Arial"/>
                <w:bCs/>
                <w:sz w:val="20"/>
                <w:szCs w:val="20"/>
                <w:lang w:val="en-GB"/>
              </w:rPr>
              <w:t>for</w:t>
            </w:r>
            <w:r w:rsidRPr="00691DCA">
              <w:rPr>
                <w:rFonts w:ascii="Arial" w:eastAsia="Calibri" w:hAnsi="Arial" w:cs="Arial"/>
                <w:bCs/>
                <w:sz w:val="20"/>
                <w:szCs w:val="20"/>
                <w:lang w:val="en-GB"/>
              </w:rPr>
              <w:t xml:space="preserve"> subjects already treated by the ECC (including, where relevant, to the work of the CPG).</w:t>
            </w:r>
          </w:p>
        </w:tc>
      </w:tr>
    </w:tbl>
    <w:p w14:paraId="46C6C4B9" w14:textId="77777777" w:rsidR="004F3D96" w:rsidRPr="00691DCA" w:rsidRDefault="004F3D96">
      <w:pPr>
        <w:rPr>
          <w:rFonts w:ascii="Arial" w:eastAsia="Times New Roman" w:hAnsi="Arial" w:cs="Arial"/>
          <w:b/>
          <w:bCs/>
          <w:caps/>
          <w:color w:val="D2232A"/>
          <w:kern w:val="32"/>
          <w:sz w:val="20"/>
          <w:szCs w:val="20"/>
          <w:lang w:val="en-GB"/>
        </w:rPr>
      </w:pPr>
      <w:r w:rsidRPr="00691DCA">
        <w:rPr>
          <w:rFonts w:ascii="Arial" w:eastAsia="Times New Roman" w:hAnsi="Arial" w:cs="Arial"/>
          <w:b/>
          <w:bCs/>
          <w:caps/>
          <w:color w:val="D2232A"/>
          <w:kern w:val="32"/>
          <w:sz w:val="20"/>
          <w:szCs w:val="20"/>
          <w:lang w:val="en-GB"/>
        </w:rPr>
        <w:br w:type="page"/>
      </w:r>
    </w:p>
    <w:p w14:paraId="46C6C4BA" w14:textId="77777777" w:rsidR="00612266" w:rsidRPr="00691DCA" w:rsidRDefault="00612266" w:rsidP="00612266">
      <w:pPr>
        <w:pStyle w:val="Heading1"/>
        <w:rPr>
          <w:rStyle w:val="ECCParagraph"/>
          <w:szCs w:val="20"/>
        </w:rPr>
      </w:pPr>
      <w:bookmarkStart w:id="1" w:name="_Toc12461946"/>
      <w:r w:rsidRPr="00691DCA">
        <w:rPr>
          <w:rStyle w:val="ECCParagraph"/>
          <w:szCs w:val="20"/>
        </w:rPr>
        <w:lastRenderedPageBreak/>
        <w:t>Asia Pacific Region (APT)</w:t>
      </w:r>
      <w:bookmarkEnd w:id="1"/>
    </w:p>
    <w:p w14:paraId="46C6C4BB" w14:textId="77777777" w:rsidR="00612266" w:rsidRPr="00691DCA" w:rsidRDefault="00612266" w:rsidP="00612266">
      <w:pPr>
        <w:pStyle w:val="Heading2"/>
        <w:rPr>
          <w:szCs w:val="20"/>
          <w:lang w:val="en-GB"/>
        </w:rPr>
      </w:pPr>
      <w:bookmarkStart w:id="2" w:name="_Ref1394269"/>
      <w:bookmarkStart w:id="3" w:name="_Toc12461947"/>
      <w:r w:rsidRPr="00691DCA">
        <w:rPr>
          <w:szCs w:val="20"/>
          <w:lang w:val="en-GB"/>
        </w:rPr>
        <w:t xml:space="preserve">India </w:t>
      </w:r>
      <w:r w:rsidR="003B1D07" w:rsidRPr="00691DCA">
        <w:rPr>
          <w:szCs w:val="20"/>
          <w:lang w:val="en-GB"/>
        </w:rPr>
        <w:t>5G</w:t>
      </w:r>
      <w:r w:rsidRPr="00691DCA">
        <w:rPr>
          <w:szCs w:val="20"/>
          <w:lang w:val="en-GB"/>
        </w:rPr>
        <w:t xml:space="preserve"> </w:t>
      </w:r>
      <w:r w:rsidR="00672AB9" w:rsidRPr="00691DCA">
        <w:rPr>
          <w:szCs w:val="20"/>
          <w:lang w:val="en-GB"/>
        </w:rPr>
        <w:t xml:space="preserve">spectrum </w:t>
      </w:r>
      <w:r w:rsidRPr="00691DCA">
        <w:rPr>
          <w:szCs w:val="20"/>
          <w:lang w:val="en-GB"/>
        </w:rPr>
        <w:t>auction</w:t>
      </w:r>
      <w:bookmarkEnd w:id="2"/>
      <w:bookmarkEnd w:id="3"/>
    </w:p>
    <w:p w14:paraId="46C6C4BC" w14:textId="77777777" w:rsidR="00672AB9" w:rsidRPr="00691DCA" w:rsidRDefault="00672AB9" w:rsidP="003B1D07">
      <w:pPr>
        <w:spacing w:line="240" w:lineRule="auto"/>
        <w:jc w:val="both"/>
        <w:rPr>
          <w:rFonts w:ascii="Arial" w:hAnsi="Arial" w:cs="Arial"/>
          <w:sz w:val="20"/>
          <w:szCs w:val="20"/>
          <w:lang w:val="en-GB"/>
        </w:rPr>
      </w:pPr>
      <w:r w:rsidRPr="00691DCA">
        <w:rPr>
          <w:rFonts w:ascii="Arial" w:hAnsi="Arial" w:cs="Arial"/>
          <w:sz w:val="20"/>
          <w:szCs w:val="20"/>
          <w:lang w:val="en-GB"/>
        </w:rPr>
        <w:t>The Indian spectrum auction, originally scheduled for June 2019, is now set to take place</w:t>
      </w:r>
      <w:r w:rsidR="00AB5ED7" w:rsidRPr="00691DCA">
        <w:rPr>
          <w:rFonts w:ascii="Arial" w:hAnsi="Arial" w:cs="Arial"/>
          <w:sz w:val="20"/>
          <w:szCs w:val="20"/>
          <w:lang w:val="en-GB"/>
        </w:rPr>
        <w:t xml:space="preserve"> later in 2019. There are differing views from operators on whether to commence the auction as soon as possible or to delay until 2020.</w:t>
      </w:r>
    </w:p>
    <w:p w14:paraId="46C6C4BD" w14:textId="77777777" w:rsidR="00672AB9" w:rsidRPr="00691DCA" w:rsidRDefault="00672AB9" w:rsidP="00672AB9">
      <w:pPr>
        <w:spacing w:line="240" w:lineRule="auto"/>
        <w:jc w:val="both"/>
        <w:rPr>
          <w:rFonts w:ascii="Arial" w:hAnsi="Arial" w:cs="Arial"/>
          <w:sz w:val="20"/>
          <w:szCs w:val="20"/>
          <w:lang w:val="en-GB"/>
        </w:rPr>
      </w:pPr>
      <w:r w:rsidRPr="00691DCA">
        <w:rPr>
          <w:rFonts w:ascii="Arial" w:hAnsi="Arial" w:cs="Arial"/>
          <w:sz w:val="20"/>
          <w:szCs w:val="20"/>
          <w:lang w:val="en-GB"/>
        </w:rPr>
        <w:t>In response to comments from operators on high reserve prices, the government has sought a comprehensive review of the telecom regulator’s recommendations for the upcoming auctions. The department of telecommunications (DoT) made the request to the Telecom Regulatory Authority of India (</w:t>
      </w:r>
      <w:proofErr w:type="spellStart"/>
      <w:r w:rsidRPr="00691DCA">
        <w:rPr>
          <w:rFonts w:ascii="Arial" w:hAnsi="Arial" w:cs="Arial"/>
          <w:sz w:val="20"/>
          <w:szCs w:val="20"/>
          <w:lang w:val="en-GB"/>
        </w:rPr>
        <w:t>Trai</w:t>
      </w:r>
      <w:proofErr w:type="spellEnd"/>
      <w:r w:rsidRPr="00691DCA">
        <w:rPr>
          <w:rFonts w:ascii="Arial" w:hAnsi="Arial" w:cs="Arial"/>
          <w:sz w:val="20"/>
          <w:szCs w:val="20"/>
          <w:lang w:val="en-GB"/>
        </w:rPr>
        <w:t>) to ensure competition, sale of all spectrum and bringing the benefits of 5G to social sectors.</w:t>
      </w:r>
    </w:p>
    <w:p w14:paraId="46C6C4BE" w14:textId="77777777" w:rsidR="00672AB9" w:rsidRPr="00691DCA" w:rsidRDefault="00672AB9" w:rsidP="00672AB9">
      <w:pPr>
        <w:spacing w:line="240" w:lineRule="auto"/>
        <w:jc w:val="both"/>
        <w:rPr>
          <w:rFonts w:ascii="Arial" w:hAnsi="Arial" w:cs="Arial"/>
          <w:sz w:val="20"/>
          <w:szCs w:val="20"/>
          <w:lang w:val="en-GB"/>
        </w:rPr>
      </w:pPr>
      <w:r w:rsidRPr="00691DCA">
        <w:rPr>
          <w:rFonts w:ascii="Arial" w:hAnsi="Arial" w:cs="Arial"/>
          <w:sz w:val="20"/>
          <w:szCs w:val="20"/>
          <w:lang w:val="en-GB"/>
        </w:rPr>
        <w:t>In addition</w:t>
      </w:r>
      <w:r w:rsidR="00AB5ED7" w:rsidRPr="00691DCA">
        <w:rPr>
          <w:rFonts w:ascii="Arial" w:hAnsi="Arial" w:cs="Arial"/>
          <w:sz w:val="20"/>
          <w:szCs w:val="20"/>
          <w:lang w:val="en-GB"/>
        </w:rPr>
        <w:t xml:space="preserve">, the DoT has recommended including previously unsold spectrum in the 700 MHz, 800 MHz, 900 MHz and 1800 MHz bands, in addition to the </w:t>
      </w:r>
      <w:r w:rsidRPr="00691DCA">
        <w:rPr>
          <w:rFonts w:ascii="Arial" w:hAnsi="Arial" w:cs="Arial"/>
          <w:sz w:val="20"/>
          <w:szCs w:val="20"/>
          <w:lang w:val="en-GB"/>
        </w:rPr>
        <w:t>3.3-3.6 GHz band</w:t>
      </w:r>
      <w:r w:rsidR="00AB5ED7" w:rsidRPr="00691DCA">
        <w:rPr>
          <w:rFonts w:ascii="Arial" w:hAnsi="Arial" w:cs="Arial"/>
          <w:sz w:val="20"/>
          <w:szCs w:val="20"/>
          <w:lang w:val="en-GB"/>
        </w:rPr>
        <w:t>.</w:t>
      </w:r>
    </w:p>
    <w:p w14:paraId="46C6C4BF" w14:textId="77777777" w:rsidR="000C7421" w:rsidRPr="00691DCA" w:rsidRDefault="00AB5ED7" w:rsidP="003B5BC2">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 </w:t>
      </w:r>
      <w:r w:rsidR="003B5BC2" w:rsidRPr="00691DCA">
        <w:rPr>
          <w:rFonts w:ascii="Arial" w:hAnsi="Arial" w:cs="Arial"/>
          <w:b/>
          <w:sz w:val="20"/>
          <w:szCs w:val="20"/>
          <w:lang w:val="en-GB"/>
        </w:rPr>
        <w:t>(For information in ECC PT1</w:t>
      </w:r>
      <w:r w:rsidR="007F0193" w:rsidRPr="00691DCA">
        <w:rPr>
          <w:rFonts w:ascii="Arial" w:hAnsi="Arial" w:cs="Arial"/>
          <w:b/>
          <w:sz w:val="20"/>
          <w:szCs w:val="20"/>
          <w:lang w:val="en-GB"/>
        </w:rPr>
        <w:t xml:space="preserve"> and WGFM</w:t>
      </w:r>
      <w:r w:rsidR="003B5BC2" w:rsidRPr="00691DCA">
        <w:rPr>
          <w:rFonts w:ascii="Arial" w:hAnsi="Arial" w:cs="Arial"/>
          <w:b/>
          <w:sz w:val="20"/>
          <w:szCs w:val="20"/>
          <w:lang w:val="en-GB"/>
        </w:rPr>
        <w:t>)</w:t>
      </w:r>
    </w:p>
    <w:p w14:paraId="46C6C4C0" w14:textId="77777777" w:rsidR="000C7421" w:rsidRPr="00691DCA" w:rsidRDefault="008D6A20" w:rsidP="000C7421">
      <w:pPr>
        <w:pStyle w:val="Heading2"/>
        <w:rPr>
          <w:szCs w:val="20"/>
          <w:lang w:val="en-GB"/>
        </w:rPr>
      </w:pPr>
      <w:bookmarkStart w:id="4" w:name="_Toc12461948"/>
      <w:r w:rsidRPr="00691DCA">
        <w:rPr>
          <w:szCs w:val="20"/>
          <w:lang w:val="en-GB"/>
        </w:rPr>
        <w:t>China awards 5G licence to state broadcaster</w:t>
      </w:r>
      <w:bookmarkEnd w:id="4"/>
    </w:p>
    <w:p w14:paraId="46C6C4C1" w14:textId="77777777" w:rsidR="00550B36" w:rsidRPr="00691DCA" w:rsidRDefault="00550B36" w:rsidP="00D23FA7">
      <w:pPr>
        <w:spacing w:line="240" w:lineRule="auto"/>
        <w:jc w:val="both"/>
        <w:rPr>
          <w:rFonts w:ascii="Arial" w:hAnsi="Arial" w:cs="Arial"/>
          <w:sz w:val="20"/>
          <w:szCs w:val="20"/>
          <w:lang w:val="en-GB"/>
        </w:rPr>
      </w:pPr>
      <w:r w:rsidRPr="00691DCA">
        <w:rPr>
          <w:rFonts w:ascii="Arial" w:hAnsi="Arial" w:cs="Arial"/>
          <w:sz w:val="20"/>
          <w:szCs w:val="20"/>
          <w:lang w:val="en-GB"/>
        </w:rPr>
        <w:t>The Chinese government have awarded a 4th 5G licence to the state broadcaster China Broadcasting Network (CBN).</w:t>
      </w:r>
    </w:p>
    <w:p w14:paraId="46C6C4C2" w14:textId="77777777" w:rsidR="00550B36" w:rsidRPr="00691DCA" w:rsidRDefault="00550B36" w:rsidP="00D23FA7">
      <w:pPr>
        <w:spacing w:line="240" w:lineRule="auto"/>
        <w:jc w:val="both"/>
        <w:rPr>
          <w:rFonts w:ascii="Arial" w:hAnsi="Arial" w:cs="Arial"/>
          <w:sz w:val="20"/>
          <w:szCs w:val="20"/>
          <w:lang w:val="en-GB"/>
        </w:rPr>
      </w:pPr>
      <w:r w:rsidRPr="00691DCA">
        <w:rPr>
          <w:rFonts w:ascii="Arial" w:hAnsi="Arial" w:cs="Arial"/>
          <w:sz w:val="20"/>
          <w:szCs w:val="20"/>
          <w:lang w:val="en-GB"/>
        </w:rPr>
        <w:t>In December 2018, MIIT awarded China Mobile 160 MHz of 5G spectrum in two bands: 2515-2675 MHz and 4.8-4.9 GHz. Rivals China Telecom and China Unicom received 100 MHz each in the 3.4-3.5 GHz and</w:t>
      </w:r>
      <w:r w:rsidR="00D23FA7" w:rsidRPr="00691DCA">
        <w:rPr>
          <w:rFonts w:ascii="Arial" w:hAnsi="Arial" w:cs="Arial"/>
          <w:sz w:val="20"/>
          <w:szCs w:val="20"/>
          <w:lang w:val="en-GB"/>
        </w:rPr>
        <w:t xml:space="preserve"> 3.5-3.6 GHz bands respectively.</w:t>
      </w:r>
    </w:p>
    <w:p w14:paraId="46C6C4C3" w14:textId="77777777" w:rsidR="00D23FA7" w:rsidRPr="00691DCA" w:rsidRDefault="00D23FA7" w:rsidP="00D23FA7">
      <w:pPr>
        <w:spacing w:line="240" w:lineRule="auto"/>
        <w:jc w:val="both"/>
        <w:rPr>
          <w:rFonts w:ascii="Arial" w:hAnsi="Arial" w:cs="Arial"/>
          <w:sz w:val="20"/>
          <w:szCs w:val="20"/>
          <w:lang w:val="en-GB"/>
        </w:rPr>
      </w:pPr>
      <w:r w:rsidRPr="00691DCA">
        <w:rPr>
          <w:rFonts w:ascii="Arial" w:hAnsi="Arial" w:cs="Arial"/>
          <w:sz w:val="20"/>
          <w:szCs w:val="20"/>
          <w:lang w:val="en-GB"/>
        </w:rPr>
        <w:t>It is thought that the three incumbents will get the same frequencies they received on a trial basis last December and that CBN will get spectrum in the 4.9-5 GHz band.</w:t>
      </w:r>
    </w:p>
    <w:p w14:paraId="46C6C4C4" w14:textId="77777777" w:rsidR="00D23FA7" w:rsidRPr="00691DCA" w:rsidRDefault="00D23FA7" w:rsidP="00D23FA7">
      <w:pPr>
        <w:spacing w:line="240" w:lineRule="auto"/>
        <w:jc w:val="both"/>
        <w:rPr>
          <w:rFonts w:ascii="Arial" w:hAnsi="Arial" w:cs="Arial"/>
          <w:sz w:val="20"/>
          <w:szCs w:val="20"/>
          <w:lang w:val="en-GB"/>
        </w:rPr>
      </w:pPr>
      <w:r w:rsidRPr="00691DCA">
        <w:rPr>
          <w:rFonts w:ascii="Arial" w:hAnsi="Arial" w:cs="Arial"/>
          <w:sz w:val="20"/>
          <w:szCs w:val="20"/>
          <w:lang w:val="en-GB"/>
        </w:rPr>
        <w:t>CBN is a cable television operator which also holds spectrum in the 700 MHz band but only as a broadcaster and not for mobile services. There has been a suggestion that CBN would be given 4.9-5 GHz in exchange for its 700 MHz frequencies. The latter band would then be made available to the incumbents.</w:t>
      </w:r>
    </w:p>
    <w:p w14:paraId="46C6C4C5" w14:textId="77777777" w:rsidR="00D23FA7" w:rsidRPr="00691DCA" w:rsidRDefault="00D23FA7" w:rsidP="00D23FA7">
      <w:pPr>
        <w:spacing w:line="240" w:lineRule="auto"/>
        <w:jc w:val="both"/>
        <w:rPr>
          <w:rFonts w:ascii="Arial" w:hAnsi="Arial" w:cs="Arial"/>
          <w:sz w:val="20"/>
          <w:szCs w:val="20"/>
          <w:lang w:val="en-GB"/>
        </w:rPr>
      </w:pPr>
      <w:r w:rsidRPr="00691DCA">
        <w:rPr>
          <w:rFonts w:ascii="Arial" w:hAnsi="Arial" w:cs="Arial"/>
          <w:sz w:val="20"/>
          <w:szCs w:val="20"/>
          <w:lang w:val="en-GB"/>
        </w:rPr>
        <w:t>However, it is now thought the Chinese authorities might award the newcomer 2 x 45 MHz in the 700 MHz band on top of the 4.9-5 GHz band, making a total of 190 MHz and creating a more viable rival to the three incumbents.</w:t>
      </w:r>
    </w:p>
    <w:p w14:paraId="46C6C4C6" w14:textId="77777777" w:rsidR="000C7421" w:rsidRPr="00691DCA" w:rsidRDefault="000C7421" w:rsidP="00AB5ED7">
      <w:pPr>
        <w:spacing w:line="240" w:lineRule="auto"/>
        <w:jc w:val="both"/>
        <w:rPr>
          <w:rFonts w:ascii="Arial" w:hAnsi="Arial" w:cs="Arial"/>
          <w:b/>
          <w:sz w:val="20"/>
          <w:szCs w:val="20"/>
          <w:lang w:val="en-GB"/>
        </w:rPr>
      </w:pPr>
      <w:r w:rsidRPr="00691DCA">
        <w:rPr>
          <w:rFonts w:ascii="Arial" w:hAnsi="Arial" w:cs="Arial"/>
          <w:b/>
          <w:sz w:val="20"/>
          <w:szCs w:val="20"/>
          <w:lang w:val="en-GB"/>
        </w:rPr>
        <w:t>(For information in ECC PT1</w:t>
      </w:r>
      <w:r w:rsidR="005F3F7E" w:rsidRPr="00691DCA">
        <w:rPr>
          <w:rFonts w:ascii="Arial" w:hAnsi="Arial" w:cs="Arial"/>
          <w:b/>
          <w:sz w:val="20"/>
          <w:szCs w:val="20"/>
          <w:lang w:val="en-GB"/>
        </w:rPr>
        <w:t xml:space="preserve"> and WGFM</w:t>
      </w:r>
      <w:r w:rsidRPr="00691DCA">
        <w:rPr>
          <w:rFonts w:ascii="Arial" w:hAnsi="Arial" w:cs="Arial"/>
          <w:b/>
          <w:sz w:val="20"/>
          <w:szCs w:val="20"/>
          <w:lang w:val="en-GB"/>
        </w:rPr>
        <w:t>)</w:t>
      </w:r>
    </w:p>
    <w:p w14:paraId="46C6C4C7" w14:textId="77777777" w:rsidR="00DC1B76" w:rsidRPr="00691DCA" w:rsidRDefault="006D7D16" w:rsidP="00DC1B76">
      <w:pPr>
        <w:pStyle w:val="Heading2"/>
        <w:rPr>
          <w:lang w:val="en-GB"/>
        </w:rPr>
      </w:pPr>
      <w:bookmarkStart w:id="5" w:name="_Toc12461949"/>
      <w:r w:rsidRPr="00691DCA">
        <w:rPr>
          <w:lang w:val="en-GB"/>
        </w:rPr>
        <w:t>Singapore</w:t>
      </w:r>
      <w:r w:rsidR="00DC1B76" w:rsidRPr="00691DCA">
        <w:rPr>
          <w:lang w:val="en-GB"/>
        </w:rPr>
        <w:t xml:space="preserve"> 5G plans</w:t>
      </w:r>
      <w:bookmarkEnd w:id="5"/>
    </w:p>
    <w:p w14:paraId="46C6C4C8" w14:textId="77777777" w:rsidR="00AB5ED7" w:rsidRPr="00691DCA" w:rsidRDefault="00AB5ED7" w:rsidP="00AB5ED7">
      <w:pPr>
        <w:spacing w:line="240" w:lineRule="auto"/>
        <w:jc w:val="both"/>
        <w:rPr>
          <w:rFonts w:ascii="Arial" w:hAnsi="Arial" w:cs="Arial"/>
          <w:sz w:val="20"/>
          <w:szCs w:val="20"/>
          <w:lang w:val="en-GB"/>
        </w:rPr>
      </w:pPr>
      <w:r w:rsidRPr="00691DCA">
        <w:rPr>
          <w:rFonts w:ascii="Arial" w:hAnsi="Arial" w:cs="Arial"/>
          <w:sz w:val="20"/>
          <w:szCs w:val="20"/>
          <w:lang w:val="en-GB"/>
        </w:rPr>
        <w:t>The Singaporean regulatory authority IMDA have launched a consultation seeking views on the policy and regulatory framework</w:t>
      </w:r>
      <w:r w:rsidR="0013190F" w:rsidRPr="00691DCA">
        <w:rPr>
          <w:rFonts w:ascii="Arial" w:hAnsi="Arial" w:cs="Arial"/>
          <w:sz w:val="20"/>
          <w:szCs w:val="20"/>
          <w:lang w:val="en-GB"/>
        </w:rPr>
        <w:t xml:space="preserve"> for the introduction of 5G from 2020 onwards. </w:t>
      </w:r>
    </w:p>
    <w:p w14:paraId="46C6C4C9" w14:textId="77777777" w:rsidR="0013190F" w:rsidRPr="00691DCA" w:rsidRDefault="0013190F" w:rsidP="00AB5ED7">
      <w:pPr>
        <w:spacing w:line="240" w:lineRule="auto"/>
        <w:jc w:val="both"/>
        <w:rPr>
          <w:rFonts w:ascii="Arial" w:hAnsi="Arial" w:cs="Arial"/>
          <w:sz w:val="20"/>
          <w:szCs w:val="20"/>
          <w:lang w:val="en-GB"/>
        </w:rPr>
      </w:pPr>
      <w:r w:rsidRPr="00691DCA">
        <w:rPr>
          <w:rFonts w:ascii="Arial" w:hAnsi="Arial" w:cs="Arial"/>
          <w:sz w:val="20"/>
          <w:szCs w:val="20"/>
          <w:lang w:val="en-GB"/>
        </w:rPr>
        <w:t xml:space="preserve">The IMDA wishes to see rapid deployment of 2 standalone 5G networks, however the key band for coverage of 3.4-3.6 GHz will not be available until 2021. IMDA is working with satellite operators and neighbouring countries to free up this band. An initial 150 MHz is planned to be made available, with 50 MHz for both outdoor and indoor deployments, and 100 MHz with a mixture of outdoor and restricted indoor only use. </w:t>
      </w:r>
    </w:p>
    <w:p w14:paraId="46C6C4CA" w14:textId="77777777" w:rsidR="0013190F" w:rsidRPr="00691DCA" w:rsidRDefault="0013190F" w:rsidP="00AB5ED7">
      <w:pPr>
        <w:spacing w:line="240" w:lineRule="auto"/>
        <w:jc w:val="both"/>
        <w:rPr>
          <w:rFonts w:ascii="Arial" w:hAnsi="Arial" w:cs="Arial"/>
          <w:sz w:val="20"/>
          <w:szCs w:val="20"/>
          <w:lang w:val="en-GB"/>
        </w:rPr>
      </w:pPr>
      <w:r w:rsidRPr="00691DCA">
        <w:rPr>
          <w:rFonts w:ascii="Arial" w:hAnsi="Arial" w:cs="Arial"/>
          <w:sz w:val="20"/>
          <w:szCs w:val="20"/>
          <w:lang w:val="en-GB"/>
        </w:rPr>
        <w:t xml:space="preserve">The band will be awarded to two winners through a </w:t>
      </w:r>
      <w:r w:rsidR="005F3F7E" w:rsidRPr="00691DCA">
        <w:rPr>
          <w:rFonts w:ascii="Arial" w:hAnsi="Arial" w:cs="Arial"/>
          <w:sz w:val="20"/>
          <w:szCs w:val="20"/>
          <w:lang w:val="en-GB"/>
        </w:rPr>
        <w:t xml:space="preserve">dual </w:t>
      </w:r>
      <w:r w:rsidRPr="00691DCA">
        <w:rPr>
          <w:rFonts w:ascii="Arial" w:hAnsi="Arial" w:cs="Arial"/>
          <w:sz w:val="20"/>
          <w:szCs w:val="20"/>
          <w:lang w:val="en-GB"/>
        </w:rPr>
        <w:t xml:space="preserve">beauty contest </w:t>
      </w:r>
      <w:r w:rsidR="005F3F7E" w:rsidRPr="00691DCA">
        <w:rPr>
          <w:rFonts w:ascii="Arial" w:hAnsi="Arial" w:cs="Arial"/>
          <w:sz w:val="20"/>
          <w:szCs w:val="20"/>
          <w:lang w:val="en-GB"/>
        </w:rPr>
        <w:t xml:space="preserve">and auction </w:t>
      </w:r>
      <w:r w:rsidRPr="00691DCA">
        <w:rPr>
          <w:rFonts w:ascii="Arial" w:hAnsi="Arial" w:cs="Arial"/>
          <w:sz w:val="20"/>
          <w:szCs w:val="20"/>
          <w:lang w:val="en-GB"/>
        </w:rPr>
        <w:t xml:space="preserve">approach. Each winner will additionally receive 800 MHz in </w:t>
      </w:r>
      <w:r w:rsidR="005F3F7E" w:rsidRPr="00691DCA">
        <w:rPr>
          <w:rFonts w:ascii="Arial" w:hAnsi="Arial" w:cs="Arial"/>
          <w:sz w:val="20"/>
          <w:szCs w:val="20"/>
          <w:lang w:val="en-GB"/>
        </w:rPr>
        <w:t>either the</w:t>
      </w:r>
      <w:r w:rsidRPr="00691DCA">
        <w:rPr>
          <w:rFonts w:ascii="Arial" w:hAnsi="Arial" w:cs="Arial"/>
          <w:sz w:val="20"/>
          <w:szCs w:val="20"/>
          <w:lang w:val="en-GB"/>
        </w:rPr>
        <w:t xml:space="preserve"> 26 GHz </w:t>
      </w:r>
      <w:r w:rsidR="005F3F7E" w:rsidRPr="00691DCA">
        <w:rPr>
          <w:rFonts w:ascii="Arial" w:hAnsi="Arial" w:cs="Arial"/>
          <w:sz w:val="20"/>
          <w:szCs w:val="20"/>
          <w:lang w:val="en-GB"/>
        </w:rPr>
        <w:t>or 28 GHz band. The award process is expected to launch later in 2019.</w:t>
      </w:r>
    </w:p>
    <w:p w14:paraId="46C6C4CB" w14:textId="77777777" w:rsidR="00DC1B76" w:rsidRPr="00691DCA" w:rsidRDefault="00DC1B76" w:rsidP="003B5BC2">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(For information in </w:t>
      </w:r>
      <w:r w:rsidR="000C7421" w:rsidRPr="00691DCA">
        <w:rPr>
          <w:rFonts w:ascii="Arial" w:hAnsi="Arial" w:cs="Arial"/>
          <w:b/>
          <w:sz w:val="20"/>
          <w:szCs w:val="20"/>
          <w:lang w:val="en-GB"/>
        </w:rPr>
        <w:t>ECC PT1</w:t>
      </w:r>
      <w:r w:rsidR="005F3F7E" w:rsidRPr="00691DCA">
        <w:rPr>
          <w:rFonts w:ascii="Arial" w:hAnsi="Arial" w:cs="Arial"/>
          <w:b/>
          <w:sz w:val="20"/>
          <w:szCs w:val="20"/>
          <w:lang w:val="en-GB"/>
        </w:rPr>
        <w:t xml:space="preserve"> and WGFM</w:t>
      </w:r>
      <w:r w:rsidR="000C7421" w:rsidRPr="00691DCA">
        <w:rPr>
          <w:rFonts w:ascii="Arial" w:hAnsi="Arial" w:cs="Arial"/>
          <w:b/>
          <w:sz w:val="20"/>
          <w:szCs w:val="20"/>
          <w:lang w:val="en-GB"/>
        </w:rPr>
        <w:t>)</w:t>
      </w:r>
    </w:p>
    <w:p w14:paraId="46C6C4CC" w14:textId="77777777" w:rsidR="00612266" w:rsidRPr="00691DCA" w:rsidRDefault="00612266" w:rsidP="00612266">
      <w:pPr>
        <w:pStyle w:val="Heading1"/>
        <w:rPr>
          <w:rStyle w:val="ECCParagraph"/>
          <w:szCs w:val="20"/>
        </w:rPr>
      </w:pPr>
      <w:bookmarkStart w:id="6" w:name="_Toc12461950"/>
      <w:r w:rsidRPr="00691DCA">
        <w:rPr>
          <w:rStyle w:val="ECCParagraph"/>
          <w:szCs w:val="20"/>
        </w:rPr>
        <w:lastRenderedPageBreak/>
        <w:t>Americas (CITEL)</w:t>
      </w:r>
      <w:bookmarkEnd w:id="6"/>
    </w:p>
    <w:p w14:paraId="46C6C4CD" w14:textId="77777777" w:rsidR="001D0218" w:rsidRPr="00691DCA" w:rsidRDefault="00612266" w:rsidP="001D0218">
      <w:pPr>
        <w:pStyle w:val="Heading2"/>
        <w:rPr>
          <w:szCs w:val="20"/>
          <w:lang w:val="en-GB"/>
        </w:rPr>
      </w:pPr>
      <w:bookmarkStart w:id="7" w:name="_Toc12461951"/>
      <w:r w:rsidRPr="00691DCA">
        <w:rPr>
          <w:szCs w:val="20"/>
          <w:lang w:val="en-GB"/>
        </w:rPr>
        <w:t>USA</w:t>
      </w:r>
      <w:bookmarkEnd w:id="7"/>
    </w:p>
    <w:p w14:paraId="46C6C4CE" w14:textId="77777777" w:rsidR="004B72FC" w:rsidRPr="00691DCA" w:rsidRDefault="00980E1B" w:rsidP="004B72FC">
      <w:pPr>
        <w:pStyle w:val="Heading3"/>
        <w:rPr>
          <w:szCs w:val="20"/>
          <w:lang w:val="en-GB"/>
        </w:rPr>
      </w:pPr>
      <w:bookmarkStart w:id="8" w:name="_Ref1394352"/>
      <w:bookmarkStart w:id="9" w:name="_Toc12461952"/>
      <w:r w:rsidRPr="00691DCA">
        <w:rPr>
          <w:szCs w:val="20"/>
          <w:lang w:val="en-GB"/>
        </w:rPr>
        <w:t xml:space="preserve">Update on </w:t>
      </w:r>
      <w:r w:rsidR="004B72FC" w:rsidRPr="00691DCA">
        <w:rPr>
          <w:szCs w:val="20"/>
          <w:lang w:val="en-GB"/>
        </w:rPr>
        <w:t>NGSO satellite</w:t>
      </w:r>
      <w:r w:rsidR="00F957D7" w:rsidRPr="00691DCA">
        <w:rPr>
          <w:szCs w:val="20"/>
          <w:lang w:val="en-GB"/>
        </w:rPr>
        <w:t xml:space="preserve"> plans</w:t>
      </w:r>
      <w:bookmarkEnd w:id="8"/>
      <w:r w:rsidR="00F957D7" w:rsidRPr="00691DCA">
        <w:rPr>
          <w:szCs w:val="20"/>
          <w:lang w:val="en-GB"/>
        </w:rPr>
        <w:t xml:space="preserve"> </w:t>
      </w:r>
      <w:r w:rsidR="00064ADF" w:rsidRPr="00691DCA">
        <w:rPr>
          <w:szCs w:val="20"/>
          <w:lang w:val="en-GB"/>
        </w:rPr>
        <w:t>and launches</w:t>
      </w:r>
      <w:bookmarkEnd w:id="9"/>
    </w:p>
    <w:p w14:paraId="46C6C4CF" w14:textId="77777777" w:rsidR="005F3F7E" w:rsidRPr="00691DCA" w:rsidRDefault="005F3F7E" w:rsidP="005F3F7E">
      <w:pPr>
        <w:spacing w:line="240" w:lineRule="auto"/>
        <w:jc w:val="both"/>
        <w:rPr>
          <w:rFonts w:ascii="Arial" w:hAnsi="Arial" w:cs="Arial"/>
          <w:sz w:val="20"/>
          <w:szCs w:val="20"/>
          <w:lang w:val="en-GB"/>
        </w:rPr>
      </w:pPr>
      <w:r w:rsidRPr="00691DCA">
        <w:rPr>
          <w:rFonts w:ascii="Arial" w:hAnsi="Arial" w:cs="Arial"/>
          <w:sz w:val="20"/>
          <w:szCs w:val="20"/>
          <w:lang w:val="en-GB"/>
        </w:rPr>
        <w:t xml:space="preserve">The Federal Communications Commission (FCC) have approved a request from SpaceX reduce the altitude of 1500 of its </w:t>
      </w:r>
      <w:r w:rsidR="008A7772" w:rsidRPr="00691DCA">
        <w:rPr>
          <w:rFonts w:ascii="Arial" w:hAnsi="Arial" w:cs="Arial"/>
          <w:sz w:val="20"/>
          <w:szCs w:val="20"/>
          <w:lang w:val="en-GB"/>
        </w:rPr>
        <w:t xml:space="preserve">4425 originally approved </w:t>
      </w:r>
      <w:r w:rsidRPr="00691DCA">
        <w:rPr>
          <w:rFonts w:ascii="Arial" w:hAnsi="Arial" w:cs="Arial"/>
          <w:sz w:val="20"/>
          <w:szCs w:val="20"/>
          <w:lang w:val="en-GB"/>
        </w:rPr>
        <w:t xml:space="preserve">Ku Band </w:t>
      </w:r>
      <w:proofErr w:type="spellStart"/>
      <w:r w:rsidRPr="00691DCA">
        <w:rPr>
          <w:rFonts w:ascii="Arial" w:hAnsi="Arial" w:cs="Arial"/>
          <w:sz w:val="20"/>
          <w:szCs w:val="20"/>
          <w:lang w:val="en-GB"/>
        </w:rPr>
        <w:t>Starlink</w:t>
      </w:r>
      <w:proofErr w:type="spellEnd"/>
      <w:r w:rsidRPr="00691DCA">
        <w:rPr>
          <w:rFonts w:ascii="Arial" w:hAnsi="Arial" w:cs="Arial"/>
          <w:sz w:val="20"/>
          <w:szCs w:val="20"/>
          <w:lang w:val="en-GB"/>
        </w:rPr>
        <w:t xml:space="preserve"> satellites from 1</w:t>
      </w:r>
      <w:r w:rsidR="003A7DA7" w:rsidRPr="00691DCA">
        <w:rPr>
          <w:rFonts w:ascii="Arial" w:hAnsi="Arial" w:cs="Arial"/>
          <w:sz w:val="20"/>
          <w:szCs w:val="20"/>
          <w:lang w:val="en-GB"/>
        </w:rPr>
        <w:t>15</w:t>
      </w:r>
      <w:r w:rsidRPr="00691DCA">
        <w:rPr>
          <w:rFonts w:ascii="Arial" w:hAnsi="Arial" w:cs="Arial"/>
          <w:sz w:val="20"/>
          <w:szCs w:val="20"/>
          <w:lang w:val="en-GB"/>
        </w:rPr>
        <w:t>0 to 550 kilometres. The FCC also authorised SpaceX to slightly reduce the number of satellites in th</w:t>
      </w:r>
      <w:r w:rsidR="008A7772" w:rsidRPr="00691DCA">
        <w:rPr>
          <w:rFonts w:ascii="Arial" w:hAnsi="Arial" w:cs="Arial"/>
          <w:sz w:val="20"/>
          <w:szCs w:val="20"/>
          <w:lang w:val="en-GB"/>
        </w:rPr>
        <w:t>is</w:t>
      </w:r>
      <w:r w:rsidRPr="00691DCA">
        <w:rPr>
          <w:rFonts w:ascii="Arial" w:hAnsi="Arial" w:cs="Arial"/>
          <w:sz w:val="20"/>
          <w:szCs w:val="20"/>
          <w:lang w:val="en-GB"/>
        </w:rPr>
        <w:t xml:space="preserve"> </w:t>
      </w:r>
      <w:r w:rsidR="008A7772" w:rsidRPr="00691DCA">
        <w:rPr>
          <w:rFonts w:ascii="Arial" w:hAnsi="Arial" w:cs="Arial"/>
          <w:sz w:val="20"/>
          <w:szCs w:val="20"/>
          <w:lang w:val="en-GB"/>
        </w:rPr>
        <w:t xml:space="preserve">part of the </w:t>
      </w:r>
      <w:r w:rsidRPr="00691DCA">
        <w:rPr>
          <w:rFonts w:ascii="Arial" w:hAnsi="Arial" w:cs="Arial"/>
          <w:sz w:val="20"/>
          <w:szCs w:val="20"/>
          <w:lang w:val="en-GB"/>
        </w:rPr>
        <w:t>constellation</w:t>
      </w:r>
      <w:r w:rsidR="008A7772" w:rsidRPr="00691DCA">
        <w:rPr>
          <w:rFonts w:ascii="Arial" w:hAnsi="Arial" w:cs="Arial"/>
          <w:sz w:val="20"/>
          <w:szCs w:val="20"/>
          <w:lang w:val="en-GB"/>
        </w:rPr>
        <w:t xml:space="preserve"> from 4425 to 4409</w:t>
      </w:r>
      <w:r w:rsidR="004D4933" w:rsidRPr="00691DCA">
        <w:rPr>
          <w:rFonts w:ascii="Arial" w:hAnsi="Arial" w:cs="Arial"/>
          <w:sz w:val="20"/>
          <w:szCs w:val="20"/>
          <w:lang w:val="en-GB"/>
        </w:rPr>
        <w:t>. The reduction is based on the fact that the</w:t>
      </w:r>
      <w:r w:rsidRPr="00691DCA">
        <w:rPr>
          <w:rFonts w:ascii="Arial" w:hAnsi="Arial" w:cs="Arial"/>
          <w:sz w:val="20"/>
          <w:szCs w:val="20"/>
          <w:lang w:val="en-GB"/>
        </w:rPr>
        <w:t xml:space="preserve"> lower orbit </w:t>
      </w:r>
      <w:r w:rsidR="004D4933" w:rsidRPr="00691DCA">
        <w:rPr>
          <w:rFonts w:ascii="Arial" w:hAnsi="Arial" w:cs="Arial"/>
          <w:sz w:val="20"/>
          <w:szCs w:val="20"/>
          <w:lang w:val="en-GB"/>
        </w:rPr>
        <w:t>would</w:t>
      </w:r>
      <w:r w:rsidRPr="00691DCA">
        <w:rPr>
          <w:rFonts w:ascii="Arial" w:hAnsi="Arial" w:cs="Arial"/>
          <w:sz w:val="20"/>
          <w:szCs w:val="20"/>
          <w:lang w:val="en-GB"/>
        </w:rPr>
        <w:t xml:space="preserve"> reduce latency so </w:t>
      </w:r>
      <w:r w:rsidR="008A7772" w:rsidRPr="00691DCA">
        <w:rPr>
          <w:rFonts w:ascii="Arial" w:hAnsi="Arial" w:cs="Arial"/>
          <w:sz w:val="20"/>
          <w:szCs w:val="20"/>
          <w:lang w:val="en-GB"/>
        </w:rPr>
        <w:t>fewer</w:t>
      </w:r>
      <w:r w:rsidRPr="00691DCA">
        <w:rPr>
          <w:rFonts w:ascii="Arial" w:hAnsi="Arial" w:cs="Arial"/>
          <w:sz w:val="20"/>
          <w:szCs w:val="20"/>
          <w:lang w:val="en-GB"/>
        </w:rPr>
        <w:t xml:space="preserve"> satellites would be needed.</w:t>
      </w:r>
      <w:r w:rsidR="003A7DA7" w:rsidRPr="00691DCA">
        <w:rPr>
          <w:rFonts w:ascii="Arial" w:hAnsi="Arial" w:cs="Arial"/>
          <w:sz w:val="20"/>
          <w:szCs w:val="20"/>
          <w:lang w:val="en-GB"/>
        </w:rPr>
        <w:t xml:space="preserve"> Additionally </w:t>
      </w:r>
      <w:r w:rsidR="004D4933" w:rsidRPr="00691DCA">
        <w:rPr>
          <w:rFonts w:ascii="Arial" w:hAnsi="Arial" w:cs="Arial"/>
          <w:sz w:val="20"/>
          <w:szCs w:val="20"/>
          <w:lang w:val="en-GB"/>
        </w:rPr>
        <w:t>the lower orbit helps with debris mitigation, as any defunct satellites would re-enter the Earth’s atmosphere within 5 years, as well as providing increased distance to other proposed constellations (</w:t>
      </w:r>
      <w:proofErr w:type="spellStart"/>
      <w:r w:rsidR="004D4933" w:rsidRPr="00691DCA">
        <w:rPr>
          <w:rFonts w:ascii="Arial" w:hAnsi="Arial" w:cs="Arial"/>
          <w:sz w:val="20"/>
          <w:szCs w:val="20"/>
          <w:lang w:val="en-GB"/>
        </w:rPr>
        <w:t>OneWeb</w:t>
      </w:r>
      <w:proofErr w:type="spellEnd"/>
      <w:r w:rsidR="004D4933" w:rsidRPr="00691DCA">
        <w:rPr>
          <w:rFonts w:ascii="Arial" w:hAnsi="Arial" w:cs="Arial"/>
          <w:sz w:val="20"/>
          <w:szCs w:val="20"/>
          <w:lang w:val="en-GB"/>
        </w:rPr>
        <w:t xml:space="preserve">, </w:t>
      </w:r>
      <w:proofErr w:type="spellStart"/>
      <w:r w:rsidR="004D4933" w:rsidRPr="00691DCA">
        <w:rPr>
          <w:rFonts w:ascii="Arial" w:hAnsi="Arial" w:cs="Arial"/>
          <w:sz w:val="20"/>
          <w:szCs w:val="20"/>
          <w:lang w:val="en-GB"/>
        </w:rPr>
        <w:t>Telesat</w:t>
      </w:r>
      <w:proofErr w:type="spellEnd"/>
      <w:r w:rsidR="004D4933" w:rsidRPr="00691DCA">
        <w:rPr>
          <w:rFonts w:ascii="Arial" w:hAnsi="Arial" w:cs="Arial"/>
          <w:sz w:val="20"/>
          <w:szCs w:val="20"/>
          <w:lang w:val="en-GB"/>
        </w:rPr>
        <w:t>).</w:t>
      </w:r>
    </w:p>
    <w:p w14:paraId="46C6C4D0" w14:textId="77777777" w:rsidR="004D4933" w:rsidRPr="00691DCA" w:rsidRDefault="004D4933" w:rsidP="005F3F7E">
      <w:pPr>
        <w:spacing w:line="240" w:lineRule="auto"/>
        <w:jc w:val="both"/>
        <w:rPr>
          <w:rFonts w:ascii="Arial" w:hAnsi="Arial" w:cs="Arial"/>
          <w:sz w:val="20"/>
          <w:szCs w:val="20"/>
          <w:lang w:val="en-GB"/>
        </w:rPr>
      </w:pPr>
      <w:r w:rsidRPr="00691DCA">
        <w:rPr>
          <w:rFonts w:ascii="Arial" w:hAnsi="Arial" w:cs="Arial"/>
          <w:sz w:val="20"/>
          <w:szCs w:val="20"/>
          <w:lang w:val="en-GB"/>
        </w:rPr>
        <w:t>The FCC also approved the use of Ku Band gateway earth stations for fewer than 75 of these lower-altitude satellites (the remainder of the gateway links operate in Ka Band).</w:t>
      </w:r>
      <w:r w:rsidR="00541BB7" w:rsidRPr="00691DCA">
        <w:rPr>
          <w:rFonts w:ascii="Arial" w:hAnsi="Arial" w:cs="Arial"/>
          <w:sz w:val="20"/>
          <w:szCs w:val="20"/>
          <w:lang w:val="en-GB"/>
        </w:rPr>
        <w:t xml:space="preserve"> This proposal raised objections from </w:t>
      </w:r>
      <w:proofErr w:type="spellStart"/>
      <w:r w:rsidR="00541BB7" w:rsidRPr="00691DCA">
        <w:rPr>
          <w:rFonts w:ascii="Arial" w:hAnsi="Arial" w:cs="Arial"/>
          <w:sz w:val="20"/>
          <w:szCs w:val="20"/>
          <w:lang w:val="en-GB"/>
        </w:rPr>
        <w:t>OneWeb</w:t>
      </w:r>
      <w:proofErr w:type="spellEnd"/>
      <w:r w:rsidR="00541BB7" w:rsidRPr="00691DCA">
        <w:rPr>
          <w:rFonts w:ascii="Arial" w:hAnsi="Arial" w:cs="Arial"/>
          <w:sz w:val="20"/>
          <w:szCs w:val="20"/>
          <w:lang w:val="en-GB"/>
        </w:rPr>
        <w:t xml:space="preserve"> and Kepler based on concerns over potential interference to their own satellite networks in the same band.</w:t>
      </w:r>
    </w:p>
    <w:p w14:paraId="46C6C4D1" w14:textId="77777777" w:rsidR="004D4933" w:rsidRPr="00691DCA" w:rsidRDefault="008A7772" w:rsidP="008A7772">
      <w:pPr>
        <w:spacing w:line="240" w:lineRule="auto"/>
        <w:jc w:val="both"/>
        <w:rPr>
          <w:rFonts w:ascii="Arial" w:hAnsi="Arial" w:cs="Arial"/>
          <w:sz w:val="20"/>
          <w:szCs w:val="20"/>
          <w:lang w:val="en-GB"/>
        </w:rPr>
      </w:pPr>
      <w:r w:rsidRPr="00691DCA">
        <w:rPr>
          <w:rFonts w:ascii="Arial" w:hAnsi="Arial" w:cs="Arial"/>
          <w:sz w:val="20"/>
          <w:szCs w:val="20"/>
          <w:lang w:val="en-GB"/>
        </w:rPr>
        <w:t xml:space="preserve">As it now stands, SpaceX has FCC approval for </w:t>
      </w:r>
      <w:r w:rsidR="004D4933" w:rsidRPr="00691DCA">
        <w:rPr>
          <w:rFonts w:ascii="Arial" w:hAnsi="Arial" w:cs="Arial"/>
          <w:sz w:val="20"/>
          <w:szCs w:val="20"/>
          <w:lang w:val="en-GB"/>
        </w:rPr>
        <w:t>11927</w:t>
      </w:r>
      <w:r w:rsidRPr="00691DCA">
        <w:rPr>
          <w:rFonts w:ascii="Arial" w:hAnsi="Arial" w:cs="Arial"/>
          <w:sz w:val="20"/>
          <w:szCs w:val="20"/>
          <w:lang w:val="en-GB"/>
        </w:rPr>
        <w:t xml:space="preserve"> </w:t>
      </w:r>
      <w:proofErr w:type="spellStart"/>
      <w:r w:rsidR="004D4933" w:rsidRPr="00691DCA">
        <w:rPr>
          <w:rFonts w:ascii="Arial" w:hAnsi="Arial" w:cs="Arial"/>
          <w:sz w:val="20"/>
          <w:szCs w:val="20"/>
          <w:lang w:val="en-GB"/>
        </w:rPr>
        <w:t>Starlink</w:t>
      </w:r>
      <w:proofErr w:type="spellEnd"/>
      <w:r w:rsidR="004D4933" w:rsidRPr="00691DCA">
        <w:rPr>
          <w:rFonts w:ascii="Arial" w:hAnsi="Arial" w:cs="Arial"/>
          <w:sz w:val="20"/>
          <w:szCs w:val="20"/>
          <w:lang w:val="en-GB"/>
        </w:rPr>
        <w:t xml:space="preserve"> </w:t>
      </w:r>
      <w:r w:rsidRPr="00691DCA">
        <w:rPr>
          <w:rFonts w:ascii="Arial" w:hAnsi="Arial" w:cs="Arial"/>
          <w:sz w:val="20"/>
          <w:szCs w:val="20"/>
          <w:lang w:val="en-GB"/>
        </w:rPr>
        <w:t xml:space="preserve">satellites </w:t>
      </w:r>
      <w:r w:rsidR="004D4933" w:rsidRPr="00691DCA">
        <w:rPr>
          <w:rFonts w:ascii="Arial" w:hAnsi="Arial" w:cs="Arial"/>
          <w:sz w:val="20"/>
          <w:szCs w:val="20"/>
          <w:lang w:val="en-GB"/>
        </w:rPr>
        <w:t>at 3 orbit heights in the following frequency bands:</w:t>
      </w:r>
    </w:p>
    <w:p w14:paraId="46C6C4D2" w14:textId="77777777" w:rsidR="004D4933" w:rsidRPr="00691DCA" w:rsidRDefault="004D4933" w:rsidP="004D4933">
      <w:pPr>
        <w:pStyle w:val="ListParagraph"/>
        <w:numPr>
          <w:ilvl w:val="0"/>
          <w:numId w:val="29"/>
        </w:numPr>
        <w:spacing w:line="240" w:lineRule="auto"/>
        <w:jc w:val="both"/>
        <w:rPr>
          <w:rFonts w:ascii="Arial" w:hAnsi="Arial" w:cs="Arial"/>
          <w:sz w:val="20"/>
          <w:szCs w:val="20"/>
          <w:lang w:val="en-GB"/>
        </w:rPr>
      </w:pPr>
      <w:r w:rsidRPr="00691DCA">
        <w:rPr>
          <w:rFonts w:ascii="Arial" w:hAnsi="Arial" w:cs="Arial"/>
          <w:b/>
          <w:sz w:val="20"/>
          <w:szCs w:val="20"/>
          <w:lang w:val="en-GB"/>
        </w:rPr>
        <w:t>V Band</w:t>
      </w:r>
      <w:r w:rsidRPr="00691DCA">
        <w:rPr>
          <w:rFonts w:ascii="Arial" w:hAnsi="Arial" w:cs="Arial"/>
          <w:sz w:val="20"/>
          <w:szCs w:val="20"/>
          <w:lang w:val="en-GB"/>
        </w:rPr>
        <w:t xml:space="preserve">: 37.5-42 GHz (space-to-Earth), </w:t>
      </w:r>
      <w:r w:rsidR="008A7772" w:rsidRPr="00691DCA">
        <w:rPr>
          <w:rFonts w:ascii="Arial" w:hAnsi="Arial" w:cs="Arial"/>
          <w:sz w:val="20"/>
          <w:szCs w:val="20"/>
          <w:lang w:val="en-GB"/>
        </w:rPr>
        <w:t xml:space="preserve">47.2-50.2 GHz (Earth-to-space) </w:t>
      </w:r>
    </w:p>
    <w:p w14:paraId="46C6C4D3" w14:textId="77777777" w:rsidR="004D4933" w:rsidRPr="00691DCA" w:rsidRDefault="004D4933" w:rsidP="004D4933">
      <w:pPr>
        <w:pStyle w:val="ListParagraph"/>
        <w:numPr>
          <w:ilvl w:val="0"/>
          <w:numId w:val="29"/>
        </w:numPr>
        <w:spacing w:line="240" w:lineRule="auto"/>
        <w:jc w:val="both"/>
        <w:rPr>
          <w:rFonts w:ascii="Arial" w:hAnsi="Arial" w:cs="Arial"/>
          <w:sz w:val="20"/>
          <w:szCs w:val="20"/>
          <w:lang w:val="en-GB"/>
        </w:rPr>
      </w:pPr>
      <w:r w:rsidRPr="00691DCA">
        <w:rPr>
          <w:rFonts w:ascii="Arial" w:hAnsi="Arial" w:cs="Arial"/>
          <w:b/>
          <w:sz w:val="20"/>
          <w:szCs w:val="20"/>
          <w:lang w:val="en-GB"/>
        </w:rPr>
        <w:t>Ku Band</w:t>
      </w:r>
      <w:r w:rsidRPr="00691DCA">
        <w:rPr>
          <w:rFonts w:ascii="Arial" w:hAnsi="Arial" w:cs="Arial"/>
          <w:sz w:val="20"/>
          <w:szCs w:val="20"/>
          <w:lang w:val="en-GB"/>
        </w:rPr>
        <w:t>: 10.7-12-7 GHz (space-to-Earth), 14-14.5 GHz (Earth-to-space)</w:t>
      </w:r>
    </w:p>
    <w:p w14:paraId="46C6C4D4" w14:textId="77777777" w:rsidR="004D4933" w:rsidRPr="00691DCA" w:rsidRDefault="004D4933" w:rsidP="004D4933">
      <w:pPr>
        <w:pStyle w:val="ListParagraph"/>
        <w:numPr>
          <w:ilvl w:val="0"/>
          <w:numId w:val="29"/>
        </w:numPr>
        <w:spacing w:line="240" w:lineRule="auto"/>
        <w:jc w:val="both"/>
        <w:rPr>
          <w:rFonts w:ascii="Arial" w:hAnsi="Arial" w:cs="Arial"/>
          <w:sz w:val="20"/>
          <w:szCs w:val="20"/>
          <w:lang w:val="en-GB"/>
        </w:rPr>
      </w:pPr>
      <w:r w:rsidRPr="00691DCA">
        <w:rPr>
          <w:rFonts w:ascii="Arial" w:hAnsi="Arial" w:cs="Arial"/>
          <w:b/>
          <w:sz w:val="20"/>
          <w:szCs w:val="20"/>
          <w:lang w:val="en-GB"/>
        </w:rPr>
        <w:t>Ka Band</w:t>
      </w:r>
      <w:r w:rsidRPr="00691DCA">
        <w:rPr>
          <w:rFonts w:ascii="Arial" w:hAnsi="Arial" w:cs="Arial"/>
          <w:sz w:val="20"/>
          <w:szCs w:val="20"/>
          <w:lang w:val="en-GB"/>
        </w:rPr>
        <w:t xml:space="preserve">: 17.8-18.6 GHz and 18.8-19.3 GHz (space-to-Earth), </w:t>
      </w:r>
      <w:r w:rsidR="008A7772" w:rsidRPr="00691DCA">
        <w:rPr>
          <w:rFonts w:ascii="Arial" w:hAnsi="Arial" w:cs="Arial"/>
          <w:sz w:val="20"/>
          <w:szCs w:val="20"/>
          <w:lang w:val="en-GB"/>
        </w:rPr>
        <w:t>27.5-29.1 GHz a</w:t>
      </w:r>
      <w:r w:rsidRPr="00691DCA">
        <w:rPr>
          <w:rFonts w:ascii="Arial" w:hAnsi="Arial" w:cs="Arial"/>
          <w:sz w:val="20"/>
          <w:szCs w:val="20"/>
          <w:lang w:val="en-GB"/>
        </w:rPr>
        <w:t>nd 29.5-30 GHz (Earth-to-space)</w:t>
      </w:r>
    </w:p>
    <w:tbl>
      <w:tblPr>
        <w:tblStyle w:val="TableGrid1"/>
        <w:tblW w:w="0" w:type="auto"/>
        <w:tblInd w:w="38" w:type="dxa"/>
        <w:tblLook w:val="0000" w:firstRow="0" w:lastRow="0" w:firstColumn="0" w:lastColumn="0" w:noHBand="0" w:noVBand="0"/>
      </w:tblPr>
      <w:tblGrid>
        <w:gridCol w:w="1334"/>
        <w:gridCol w:w="1233"/>
        <w:gridCol w:w="6434"/>
      </w:tblGrid>
      <w:tr w:rsidR="003A7DA7" w:rsidRPr="00691DCA" w14:paraId="46C6C4D8" w14:textId="77777777" w:rsidTr="003A7DA7">
        <w:tc>
          <w:tcPr>
            <w:tcW w:w="1334" w:type="dxa"/>
          </w:tcPr>
          <w:p w14:paraId="46C6C4D5" w14:textId="77777777" w:rsidR="003A7DA7" w:rsidRPr="00691DCA" w:rsidRDefault="003A7DA7" w:rsidP="008A7772">
            <w:pPr>
              <w:jc w:val="both"/>
              <w:rPr>
                <w:rFonts w:ascii="Arial" w:hAnsi="Arial" w:cs="Arial"/>
                <w:b/>
                <w:lang w:val="en-GB"/>
              </w:rPr>
            </w:pPr>
            <w:r w:rsidRPr="00691DCA">
              <w:rPr>
                <w:rFonts w:ascii="Arial" w:hAnsi="Arial" w:cs="Arial"/>
                <w:b/>
                <w:lang w:val="en-GB"/>
              </w:rPr>
              <w:t>Orbit height (km)</w:t>
            </w:r>
          </w:p>
        </w:tc>
        <w:tc>
          <w:tcPr>
            <w:tcW w:w="1233" w:type="dxa"/>
          </w:tcPr>
          <w:p w14:paraId="46C6C4D6" w14:textId="77777777" w:rsidR="003A7DA7" w:rsidRPr="00691DCA" w:rsidRDefault="003A7DA7" w:rsidP="008A7772">
            <w:pPr>
              <w:jc w:val="both"/>
              <w:rPr>
                <w:rFonts w:ascii="Arial" w:hAnsi="Arial" w:cs="Arial"/>
                <w:b/>
                <w:lang w:val="en-GB"/>
              </w:rPr>
            </w:pPr>
            <w:r w:rsidRPr="00691DCA">
              <w:rPr>
                <w:rFonts w:ascii="Arial" w:hAnsi="Arial" w:cs="Arial"/>
                <w:b/>
                <w:lang w:val="en-GB"/>
              </w:rPr>
              <w:t xml:space="preserve">No. </w:t>
            </w:r>
            <w:proofErr w:type="spellStart"/>
            <w:r w:rsidRPr="00691DCA">
              <w:rPr>
                <w:rFonts w:ascii="Arial" w:hAnsi="Arial" w:cs="Arial"/>
                <w:b/>
                <w:lang w:val="en-GB"/>
              </w:rPr>
              <w:t>sats</w:t>
            </w:r>
            <w:proofErr w:type="spellEnd"/>
          </w:p>
        </w:tc>
        <w:tc>
          <w:tcPr>
            <w:tcW w:w="6434" w:type="dxa"/>
          </w:tcPr>
          <w:p w14:paraId="46C6C4D7" w14:textId="77777777" w:rsidR="003A7DA7" w:rsidRPr="00691DCA" w:rsidRDefault="003A7DA7" w:rsidP="008A7772">
            <w:pPr>
              <w:jc w:val="both"/>
              <w:rPr>
                <w:rFonts w:ascii="Arial" w:hAnsi="Arial" w:cs="Arial"/>
                <w:b/>
                <w:lang w:val="en-GB"/>
              </w:rPr>
            </w:pPr>
            <w:r w:rsidRPr="00691DCA">
              <w:rPr>
                <w:rFonts w:ascii="Arial" w:hAnsi="Arial" w:cs="Arial"/>
                <w:b/>
                <w:lang w:val="en-GB"/>
              </w:rPr>
              <w:t>Frequency bands</w:t>
            </w:r>
          </w:p>
        </w:tc>
      </w:tr>
      <w:tr w:rsidR="003A7DA7" w:rsidRPr="00691DCA" w14:paraId="46C6C4DC" w14:textId="77777777" w:rsidTr="003A7DA7">
        <w:tc>
          <w:tcPr>
            <w:tcW w:w="1334" w:type="dxa"/>
          </w:tcPr>
          <w:p w14:paraId="46C6C4D9" w14:textId="77777777" w:rsidR="003A7DA7" w:rsidRPr="00691DCA" w:rsidRDefault="003A7DA7" w:rsidP="003635BB">
            <w:pPr>
              <w:jc w:val="both"/>
              <w:rPr>
                <w:rFonts w:ascii="Arial" w:hAnsi="Arial" w:cs="Arial"/>
                <w:lang w:val="en-GB"/>
              </w:rPr>
            </w:pPr>
            <w:r w:rsidRPr="00691DCA">
              <w:rPr>
                <w:rFonts w:ascii="Arial" w:hAnsi="Arial" w:cs="Arial"/>
                <w:lang w:val="en-GB"/>
              </w:rPr>
              <w:t>340</w:t>
            </w:r>
          </w:p>
        </w:tc>
        <w:tc>
          <w:tcPr>
            <w:tcW w:w="1233" w:type="dxa"/>
          </w:tcPr>
          <w:p w14:paraId="46C6C4DA" w14:textId="77777777" w:rsidR="003A7DA7" w:rsidRPr="00691DCA" w:rsidRDefault="003A7DA7" w:rsidP="003635BB">
            <w:pPr>
              <w:jc w:val="both"/>
              <w:rPr>
                <w:rFonts w:ascii="Arial" w:hAnsi="Arial" w:cs="Arial"/>
                <w:lang w:val="en-GB"/>
              </w:rPr>
            </w:pPr>
            <w:r w:rsidRPr="00691DCA">
              <w:rPr>
                <w:rFonts w:ascii="Arial" w:hAnsi="Arial" w:cs="Arial"/>
                <w:lang w:val="en-GB"/>
              </w:rPr>
              <w:t>7518</w:t>
            </w:r>
          </w:p>
        </w:tc>
        <w:tc>
          <w:tcPr>
            <w:tcW w:w="6434" w:type="dxa"/>
          </w:tcPr>
          <w:p w14:paraId="46C6C4DB" w14:textId="77777777" w:rsidR="003A7DA7" w:rsidRPr="00691DCA" w:rsidRDefault="003A7DA7" w:rsidP="003A7DA7">
            <w:pPr>
              <w:jc w:val="both"/>
              <w:rPr>
                <w:rFonts w:ascii="Arial" w:hAnsi="Arial" w:cs="Arial"/>
                <w:lang w:val="en-GB"/>
              </w:rPr>
            </w:pPr>
            <w:r w:rsidRPr="00691DCA">
              <w:rPr>
                <w:rFonts w:ascii="Arial" w:hAnsi="Arial" w:cs="Arial"/>
                <w:lang w:val="en-GB"/>
              </w:rPr>
              <w:t>V Band</w:t>
            </w:r>
          </w:p>
        </w:tc>
      </w:tr>
      <w:tr w:rsidR="003A7DA7" w:rsidRPr="00691DCA" w14:paraId="46C6C4E0" w14:textId="77777777" w:rsidTr="003A7DA7">
        <w:tc>
          <w:tcPr>
            <w:tcW w:w="1334" w:type="dxa"/>
          </w:tcPr>
          <w:p w14:paraId="46C6C4DD" w14:textId="77777777" w:rsidR="003A7DA7" w:rsidRPr="00691DCA" w:rsidRDefault="003A7DA7" w:rsidP="008A7772">
            <w:pPr>
              <w:jc w:val="both"/>
              <w:rPr>
                <w:rFonts w:ascii="Arial" w:hAnsi="Arial" w:cs="Arial"/>
                <w:lang w:val="en-GB"/>
              </w:rPr>
            </w:pPr>
            <w:r w:rsidRPr="00691DCA">
              <w:rPr>
                <w:rFonts w:ascii="Arial" w:hAnsi="Arial" w:cs="Arial"/>
                <w:lang w:val="en-GB"/>
              </w:rPr>
              <w:t>550</w:t>
            </w:r>
          </w:p>
        </w:tc>
        <w:tc>
          <w:tcPr>
            <w:tcW w:w="1233" w:type="dxa"/>
          </w:tcPr>
          <w:p w14:paraId="46C6C4DE" w14:textId="77777777" w:rsidR="003A7DA7" w:rsidRPr="00691DCA" w:rsidRDefault="003A7DA7" w:rsidP="008A7772">
            <w:pPr>
              <w:jc w:val="both"/>
              <w:rPr>
                <w:rFonts w:ascii="Arial" w:hAnsi="Arial" w:cs="Arial"/>
                <w:lang w:val="en-GB"/>
              </w:rPr>
            </w:pPr>
            <w:r w:rsidRPr="00691DCA">
              <w:rPr>
                <w:rFonts w:ascii="Arial" w:hAnsi="Arial" w:cs="Arial"/>
                <w:lang w:val="en-GB"/>
              </w:rPr>
              <w:t>1500</w:t>
            </w:r>
          </w:p>
        </w:tc>
        <w:tc>
          <w:tcPr>
            <w:tcW w:w="6434" w:type="dxa"/>
          </w:tcPr>
          <w:p w14:paraId="46C6C4DF" w14:textId="77777777" w:rsidR="003A7DA7" w:rsidRPr="00691DCA" w:rsidRDefault="003A7DA7" w:rsidP="004D4933">
            <w:pPr>
              <w:jc w:val="both"/>
              <w:rPr>
                <w:rFonts w:ascii="Arial" w:hAnsi="Arial" w:cs="Arial"/>
                <w:lang w:val="en-GB"/>
              </w:rPr>
            </w:pPr>
            <w:r w:rsidRPr="00691DCA">
              <w:rPr>
                <w:rFonts w:ascii="Arial" w:hAnsi="Arial" w:cs="Arial"/>
                <w:lang w:val="en-GB"/>
              </w:rPr>
              <w:t xml:space="preserve">V Band, Ku Band (user and 75 gateway </w:t>
            </w:r>
            <w:r w:rsidR="004D4933" w:rsidRPr="00691DCA">
              <w:rPr>
                <w:rFonts w:ascii="Arial" w:hAnsi="Arial" w:cs="Arial"/>
                <w:lang w:val="en-GB"/>
              </w:rPr>
              <w:t>links</w:t>
            </w:r>
            <w:r w:rsidRPr="00691DCA">
              <w:rPr>
                <w:rFonts w:ascii="Arial" w:hAnsi="Arial" w:cs="Arial"/>
                <w:lang w:val="en-GB"/>
              </w:rPr>
              <w:t>), Ka Band (gateway)</w:t>
            </w:r>
          </w:p>
        </w:tc>
      </w:tr>
      <w:tr w:rsidR="003A7DA7" w:rsidRPr="00691DCA" w14:paraId="46C6C4E4" w14:textId="77777777" w:rsidTr="003A7DA7">
        <w:tc>
          <w:tcPr>
            <w:tcW w:w="1334" w:type="dxa"/>
          </w:tcPr>
          <w:p w14:paraId="46C6C4E1" w14:textId="77777777" w:rsidR="003A7DA7" w:rsidRPr="00691DCA" w:rsidRDefault="003A7DA7" w:rsidP="008A7772">
            <w:pPr>
              <w:jc w:val="both"/>
              <w:rPr>
                <w:rFonts w:ascii="Arial" w:hAnsi="Arial" w:cs="Arial"/>
                <w:lang w:val="en-GB"/>
              </w:rPr>
            </w:pPr>
            <w:r w:rsidRPr="00691DCA">
              <w:rPr>
                <w:rFonts w:ascii="Arial" w:hAnsi="Arial" w:cs="Arial"/>
                <w:lang w:val="en-GB"/>
              </w:rPr>
              <w:t>1150</w:t>
            </w:r>
          </w:p>
        </w:tc>
        <w:tc>
          <w:tcPr>
            <w:tcW w:w="1233" w:type="dxa"/>
          </w:tcPr>
          <w:p w14:paraId="46C6C4E2" w14:textId="77777777" w:rsidR="003A7DA7" w:rsidRPr="00691DCA" w:rsidRDefault="004D4933" w:rsidP="008A7772">
            <w:pPr>
              <w:jc w:val="both"/>
              <w:rPr>
                <w:rFonts w:ascii="Arial" w:hAnsi="Arial" w:cs="Arial"/>
                <w:lang w:val="en-GB"/>
              </w:rPr>
            </w:pPr>
            <w:r w:rsidRPr="00691DCA">
              <w:rPr>
                <w:rFonts w:ascii="Arial" w:hAnsi="Arial" w:cs="Arial"/>
                <w:lang w:val="en-GB"/>
              </w:rPr>
              <w:t>2909</w:t>
            </w:r>
          </w:p>
        </w:tc>
        <w:tc>
          <w:tcPr>
            <w:tcW w:w="6434" w:type="dxa"/>
          </w:tcPr>
          <w:p w14:paraId="46C6C4E3" w14:textId="77777777" w:rsidR="003A7DA7" w:rsidRPr="00691DCA" w:rsidRDefault="003A7DA7" w:rsidP="003A7DA7">
            <w:pPr>
              <w:jc w:val="both"/>
              <w:rPr>
                <w:rFonts w:ascii="Arial" w:hAnsi="Arial" w:cs="Arial"/>
                <w:lang w:val="en-GB"/>
              </w:rPr>
            </w:pPr>
            <w:r w:rsidRPr="00691DCA">
              <w:rPr>
                <w:rFonts w:ascii="Arial" w:hAnsi="Arial" w:cs="Arial"/>
                <w:lang w:val="en-GB"/>
              </w:rPr>
              <w:t>V Band, Ku Band (user), Ka Band (gateway)</w:t>
            </w:r>
          </w:p>
        </w:tc>
      </w:tr>
    </w:tbl>
    <w:p w14:paraId="46C6C4E5" w14:textId="77777777" w:rsidR="004D4933" w:rsidRPr="00691DCA" w:rsidRDefault="004D4933" w:rsidP="00541BB7">
      <w:pPr>
        <w:spacing w:line="240" w:lineRule="auto"/>
        <w:jc w:val="both"/>
        <w:rPr>
          <w:rFonts w:ascii="Arial" w:hAnsi="Arial" w:cs="Arial"/>
          <w:sz w:val="20"/>
          <w:szCs w:val="20"/>
          <w:lang w:val="en-GB"/>
        </w:rPr>
      </w:pPr>
    </w:p>
    <w:p w14:paraId="46C6C4E6" w14:textId="77777777" w:rsidR="004D4933" w:rsidRPr="00691DCA" w:rsidRDefault="004D4933" w:rsidP="00541BB7">
      <w:pPr>
        <w:spacing w:line="240" w:lineRule="auto"/>
        <w:jc w:val="both"/>
        <w:rPr>
          <w:rFonts w:ascii="Arial" w:hAnsi="Arial" w:cs="Arial"/>
          <w:sz w:val="20"/>
          <w:szCs w:val="20"/>
          <w:lang w:val="en-GB"/>
        </w:rPr>
      </w:pPr>
      <w:r w:rsidRPr="00691DCA">
        <w:rPr>
          <w:rFonts w:ascii="Arial" w:hAnsi="Arial" w:cs="Arial"/>
          <w:sz w:val="20"/>
          <w:szCs w:val="20"/>
          <w:lang w:val="en-GB"/>
        </w:rPr>
        <w:t xml:space="preserve">The first 60 </w:t>
      </w:r>
      <w:r w:rsidR="00541BB7" w:rsidRPr="00691DCA">
        <w:rPr>
          <w:rFonts w:ascii="Arial" w:hAnsi="Arial" w:cs="Arial"/>
          <w:sz w:val="20"/>
          <w:szCs w:val="20"/>
          <w:lang w:val="en-GB"/>
        </w:rPr>
        <w:t xml:space="preserve">operational </w:t>
      </w:r>
      <w:r w:rsidRPr="00691DCA">
        <w:rPr>
          <w:rFonts w:ascii="Arial" w:hAnsi="Arial" w:cs="Arial"/>
          <w:sz w:val="20"/>
          <w:szCs w:val="20"/>
          <w:lang w:val="en-GB"/>
        </w:rPr>
        <w:t xml:space="preserve">satellites in the </w:t>
      </w:r>
      <w:proofErr w:type="spellStart"/>
      <w:r w:rsidRPr="00691DCA">
        <w:rPr>
          <w:rFonts w:ascii="Arial" w:hAnsi="Arial" w:cs="Arial"/>
          <w:sz w:val="20"/>
          <w:szCs w:val="20"/>
          <w:lang w:val="en-GB"/>
        </w:rPr>
        <w:t>Starlink</w:t>
      </w:r>
      <w:proofErr w:type="spellEnd"/>
      <w:r w:rsidRPr="00691DCA">
        <w:rPr>
          <w:rFonts w:ascii="Arial" w:hAnsi="Arial" w:cs="Arial"/>
          <w:sz w:val="20"/>
          <w:szCs w:val="20"/>
          <w:lang w:val="en-GB"/>
        </w:rPr>
        <w:t xml:space="preserve"> </w:t>
      </w:r>
      <w:r w:rsidR="00541BB7" w:rsidRPr="00691DCA">
        <w:rPr>
          <w:rFonts w:ascii="Arial" w:hAnsi="Arial" w:cs="Arial"/>
          <w:sz w:val="20"/>
          <w:szCs w:val="20"/>
          <w:lang w:val="en-GB"/>
        </w:rPr>
        <w:t xml:space="preserve">constellation were successfully launched on a Falcon-9 rocket from Cape </w:t>
      </w:r>
      <w:proofErr w:type="spellStart"/>
      <w:r w:rsidR="00541BB7" w:rsidRPr="00691DCA">
        <w:rPr>
          <w:rFonts w:ascii="Arial" w:hAnsi="Arial" w:cs="Arial"/>
          <w:sz w:val="20"/>
          <w:szCs w:val="20"/>
          <w:lang w:val="en-GB"/>
        </w:rPr>
        <w:t>Carnaveral</w:t>
      </w:r>
      <w:proofErr w:type="spellEnd"/>
      <w:r w:rsidR="00541BB7" w:rsidRPr="00691DCA">
        <w:rPr>
          <w:rFonts w:ascii="Arial" w:hAnsi="Arial" w:cs="Arial"/>
          <w:sz w:val="20"/>
          <w:szCs w:val="20"/>
          <w:lang w:val="en-GB"/>
        </w:rPr>
        <w:t xml:space="preserve"> on 23 May, and entered orbit at the 550 km height.</w:t>
      </w:r>
      <w:r w:rsidR="009D1382" w:rsidRPr="00691DCA">
        <w:rPr>
          <w:rFonts w:ascii="Arial" w:hAnsi="Arial" w:cs="Arial"/>
          <w:sz w:val="20"/>
          <w:szCs w:val="20"/>
          <w:lang w:val="en-GB"/>
        </w:rPr>
        <w:t xml:space="preserve"> SpaceX have announced they plan up to 5 additional launches by the end of the year, with the aim to start providing services at high latitudes in the US and Canada by 2020. Global coverage is planned to be achieved after 24 launches (1500 satellites).</w:t>
      </w:r>
    </w:p>
    <w:p w14:paraId="46C6C4E7" w14:textId="77777777" w:rsidR="00541BB7" w:rsidRPr="00691DCA" w:rsidRDefault="009D1382" w:rsidP="00541BB7">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This follows </w:t>
      </w:r>
      <w:hyperlink r:id="rId9" w:history="1">
        <w:proofErr w:type="spellStart"/>
        <w:r w:rsidR="00541BB7" w:rsidRPr="00691DCA">
          <w:rPr>
            <w:rStyle w:val="Hyperlink"/>
            <w:rFonts w:ascii="Arial" w:eastAsia="Calibri" w:hAnsi="Arial" w:cs="Arial"/>
            <w:sz w:val="20"/>
            <w:szCs w:val="20"/>
            <w:lang w:val="en-GB" w:eastAsia="da-DK"/>
          </w:rPr>
          <w:t>OneWeb</w:t>
        </w:r>
      </w:hyperlink>
      <w:r w:rsidR="00541BB7" w:rsidRPr="00691DCA">
        <w:rPr>
          <w:rFonts w:ascii="Arial" w:eastAsia="Calibri" w:hAnsi="Arial" w:cs="Arial"/>
          <w:sz w:val="20"/>
          <w:szCs w:val="20"/>
          <w:lang w:val="en-GB" w:eastAsia="da-DK"/>
        </w:rPr>
        <w:t>’s</w:t>
      </w:r>
      <w:proofErr w:type="spellEnd"/>
      <w:r w:rsidR="00541BB7" w:rsidRPr="00691DCA">
        <w:rPr>
          <w:rFonts w:ascii="Arial" w:eastAsia="Calibri" w:hAnsi="Arial" w:cs="Arial"/>
          <w:sz w:val="20"/>
          <w:szCs w:val="20"/>
          <w:lang w:val="en-GB" w:eastAsia="da-DK"/>
        </w:rPr>
        <w:t xml:space="preserve"> </w:t>
      </w:r>
      <w:r w:rsidRPr="00691DCA">
        <w:rPr>
          <w:rFonts w:ascii="Arial" w:eastAsia="Calibri" w:hAnsi="Arial" w:cs="Arial"/>
          <w:sz w:val="20"/>
          <w:szCs w:val="20"/>
          <w:lang w:val="en-GB" w:eastAsia="da-DK"/>
        </w:rPr>
        <w:t xml:space="preserve">successful launch of its first 6 </w:t>
      </w:r>
      <w:r w:rsidR="00541BB7" w:rsidRPr="00691DCA">
        <w:rPr>
          <w:rFonts w:ascii="Arial" w:eastAsia="Calibri" w:hAnsi="Arial" w:cs="Arial"/>
          <w:sz w:val="20"/>
          <w:szCs w:val="20"/>
          <w:lang w:val="en-GB" w:eastAsia="da-DK"/>
        </w:rPr>
        <w:t xml:space="preserve">satellites on a Soyuz rocket from Kourou, French Guiana, on </w:t>
      </w:r>
      <w:proofErr w:type="spellStart"/>
      <w:r w:rsidR="00541BB7" w:rsidRPr="00691DCA">
        <w:rPr>
          <w:rFonts w:ascii="Arial" w:eastAsia="Calibri" w:hAnsi="Arial" w:cs="Arial"/>
          <w:sz w:val="20"/>
          <w:szCs w:val="20"/>
          <w:lang w:val="en-GB" w:eastAsia="da-DK"/>
        </w:rPr>
        <w:t>Februrary</w:t>
      </w:r>
      <w:proofErr w:type="spellEnd"/>
      <w:r w:rsidR="00541BB7" w:rsidRPr="00691DCA">
        <w:rPr>
          <w:rFonts w:ascii="Arial" w:eastAsia="Calibri" w:hAnsi="Arial" w:cs="Arial"/>
          <w:sz w:val="20"/>
          <w:szCs w:val="20"/>
          <w:lang w:val="en-GB" w:eastAsia="da-DK"/>
        </w:rPr>
        <w:t xml:space="preserve"> 2</w:t>
      </w:r>
      <w:r w:rsidRPr="00691DCA">
        <w:rPr>
          <w:rFonts w:ascii="Arial" w:eastAsia="Calibri" w:hAnsi="Arial" w:cs="Arial"/>
          <w:sz w:val="20"/>
          <w:szCs w:val="20"/>
          <w:lang w:val="en-GB" w:eastAsia="da-DK"/>
        </w:rPr>
        <w:t>7</w:t>
      </w:r>
      <w:r w:rsidR="00541BB7" w:rsidRPr="00691DCA">
        <w:rPr>
          <w:rFonts w:ascii="Arial" w:eastAsia="Calibri" w:hAnsi="Arial" w:cs="Arial"/>
          <w:sz w:val="20"/>
          <w:szCs w:val="20"/>
          <w:lang w:val="en-GB" w:eastAsia="da-DK"/>
        </w:rPr>
        <w:t xml:space="preserve">. </w:t>
      </w:r>
      <w:r w:rsidRPr="00691DCA">
        <w:rPr>
          <w:rFonts w:ascii="Arial" w:eastAsia="Calibri" w:hAnsi="Arial" w:cs="Arial"/>
          <w:sz w:val="20"/>
          <w:szCs w:val="20"/>
          <w:lang w:val="en-GB" w:eastAsia="da-DK"/>
        </w:rPr>
        <w:t xml:space="preserve">A major function of these satellites is to meet the ITU’s “bringing into use” deadline for </w:t>
      </w:r>
      <w:proofErr w:type="spellStart"/>
      <w:r w:rsidRPr="00691DCA">
        <w:rPr>
          <w:rFonts w:ascii="Arial" w:eastAsia="Calibri" w:hAnsi="Arial" w:cs="Arial"/>
          <w:sz w:val="20"/>
          <w:szCs w:val="20"/>
          <w:lang w:val="en-GB" w:eastAsia="da-DK"/>
        </w:rPr>
        <w:t>OneWeb’s</w:t>
      </w:r>
      <w:proofErr w:type="spellEnd"/>
      <w:r w:rsidRPr="00691DCA">
        <w:rPr>
          <w:rFonts w:ascii="Arial" w:eastAsia="Calibri" w:hAnsi="Arial" w:cs="Arial"/>
          <w:sz w:val="20"/>
          <w:szCs w:val="20"/>
          <w:lang w:val="en-GB" w:eastAsia="da-DK"/>
        </w:rPr>
        <w:t xml:space="preserve"> satellite filing. </w:t>
      </w:r>
      <w:proofErr w:type="spellStart"/>
      <w:r w:rsidRPr="00691DCA">
        <w:rPr>
          <w:rFonts w:ascii="Arial" w:eastAsia="Calibri" w:hAnsi="Arial" w:cs="Arial"/>
          <w:sz w:val="20"/>
          <w:szCs w:val="20"/>
          <w:lang w:val="en-GB" w:eastAsia="da-DK"/>
        </w:rPr>
        <w:t>OneWeb</w:t>
      </w:r>
      <w:proofErr w:type="spellEnd"/>
      <w:r w:rsidRPr="00691DCA">
        <w:rPr>
          <w:rFonts w:ascii="Arial" w:eastAsia="Calibri" w:hAnsi="Arial" w:cs="Arial"/>
          <w:sz w:val="20"/>
          <w:szCs w:val="20"/>
          <w:lang w:val="en-GB" w:eastAsia="da-DK"/>
        </w:rPr>
        <w:t xml:space="preserve"> plans a series of monthly launches starting in August or September 2021, to complete the first phase of the constellation of 648 satellites in 2021. </w:t>
      </w:r>
      <w:r w:rsidR="00241D92" w:rsidRPr="00691DCA">
        <w:rPr>
          <w:rFonts w:ascii="Arial" w:eastAsia="Calibri" w:hAnsi="Arial" w:cs="Arial"/>
          <w:sz w:val="20"/>
          <w:szCs w:val="20"/>
          <w:lang w:val="en-GB" w:eastAsia="da-DK"/>
        </w:rPr>
        <w:t xml:space="preserve">Commercial services are planned from 2020. </w:t>
      </w:r>
      <w:proofErr w:type="spellStart"/>
      <w:r w:rsidR="00241D92" w:rsidRPr="00691DCA">
        <w:rPr>
          <w:rFonts w:ascii="Arial" w:eastAsia="Calibri" w:hAnsi="Arial" w:cs="Arial"/>
          <w:sz w:val="20"/>
          <w:szCs w:val="20"/>
          <w:lang w:val="en-GB" w:eastAsia="da-DK"/>
        </w:rPr>
        <w:t>OneWeb</w:t>
      </w:r>
      <w:proofErr w:type="spellEnd"/>
      <w:r w:rsidR="00241D92" w:rsidRPr="00691DCA">
        <w:rPr>
          <w:rFonts w:ascii="Arial" w:eastAsia="Calibri" w:hAnsi="Arial" w:cs="Arial"/>
          <w:sz w:val="20"/>
          <w:szCs w:val="20"/>
          <w:lang w:val="en-GB" w:eastAsia="da-DK"/>
        </w:rPr>
        <w:t xml:space="preserve"> plans to increase the constellation size to 2000 in future if successful, and recently announced it has secured an additional USD $1.25 billion in funding.</w:t>
      </w:r>
    </w:p>
    <w:p w14:paraId="46C6C4E8" w14:textId="77777777" w:rsidR="00241D92" w:rsidRPr="00691DCA" w:rsidRDefault="00241D92" w:rsidP="00541BB7">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Meanwhile, Amazon have announced plans to join the </w:t>
      </w:r>
      <w:r w:rsidR="002B2193" w:rsidRPr="00691DCA">
        <w:rPr>
          <w:rFonts w:ascii="Arial" w:eastAsia="Calibri" w:hAnsi="Arial" w:cs="Arial"/>
          <w:sz w:val="20"/>
          <w:szCs w:val="20"/>
          <w:lang w:val="en-GB" w:eastAsia="da-DK"/>
        </w:rPr>
        <w:t xml:space="preserve">race to provide </w:t>
      </w:r>
      <w:r w:rsidR="009126C2" w:rsidRPr="00691DCA">
        <w:rPr>
          <w:rFonts w:ascii="Arial" w:eastAsia="Calibri" w:hAnsi="Arial" w:cs="Arial"/>
          <w:sz w:val="20"/>
          <w:szCs w:val="20"/>
          <w:lang w:val="en-GB" w:eastAsia="da-DK"/>
        </w:rPr>
        <w:t xml:space="preserve">satellite </w:t>
      </w:r>
      <w:r w:rsidR="002B2193" w:rsidRPr="00691DCA">
        <w:rPr>
          <w:rFonts w:ascii="Arial" w:eastAsia="Calibri" w:hAnsi="Arial" w:cs="Arial"/>
          <w:sz w:val="20"/>
          <w:szCs w:val="20"/>
          <w:lang w:val="en-GB" w:eastAsia="da-DK"/>
        </w:rPr>
        <w:t xml:space="preserve">broadband access via </w:t>
      </w:r>
      <w:r w:rsidR="009126C2" w:rsidRPr="00691DCA">
        <w:rPr>
          <w:rFonts w:ascii="Arial" w:eastAsia="Calibri" w:hAnsi="Arial" w:cs="Arial"/>
          <w:sz w:val="20"/>
          <w:szCs w:val="20"/>
          <w:lang w:val="en-GB" w:eastAsia="da-DK"/>
        </w:rPr>
        <w:t>their own NGSO constellation, dubbed</w:t>
      </w:r>
      <w:r w:rsidR="002B2193" w:rsidRPr="00691DCA">
        <w:rPr>
          <w:rFonts w:ascii="Arial" w:eastAsia="Calibri" w:hAnsi="Arial" w:cs="Arial"/>
          <w:sz w:val="20"/>
          <w:szCs w:val="20"/>
          <w:lang w:val="en-GB" w:eastAsia="da-DK"/>
        </w:rPr>
        <w:t xml:space="preserve"> ‘Project Kuiper’</w:t>
      </w:r>
      <w:r w:rsidR="009126C2" w:rsidRPr="00691DCA">
        <w:rPr>
          <w:rFonts w:ascii="Arial" w:eastAsia="Calibri" w:hAnsi="Arial" w:cs="Arial"/>
          <w:sz w:val="20"/>
          <w:szCs w:val="20"/>
          <w:lang w:val="en-GB" w:eastAsia="da-DK"/>
        </w:rPr>
        <w:t xml:space="preserve">. Amazon plans </w:t>
      </w:r>
      <w:r w:rsidR="002B2193" w:rsidRPr="00691DCA">
        <w:rPr>
          <w:rFonts w:ascii="Arial" w:eastAsia="Calibri" w:hAnsi="Arial" w:cs="Arial"/>
          <w:sz w:val="20"/>
          <w:szCs w:val="20"/>
          <w:lang w:val="en-GB" w:eastAsia="da-DK"/>
        </w:rPr>
        <w:t xml:space="preserve">a constellation of 3236 LEO satellites </w:t>
      </w:r>
      <w:r w:rsidR="009126C2" w:rsidRPr="00691DCA">
        <w:rPr>
          <w:rFonts w:ascii="Arial" w:eastAsia="Calibri" w:hAnsi="Arial" w:cs="Arial"/>
          <w:sz w:val="20"/>
          <w:szCs w:val="20"/>
          <w:lang w:val="en-GB" w:eastAsia="da-DK"/>
        </w:rPr>
        <w:t xml:space="preserve">(784 at 590 km, 1296 at 610 km, 1156 at 630 km) </w:t>
      </w:r>
      <w:r w:rsidR="002B2193" w:rsidRPr="00691DCA">
        <w:rPr>
          <w:rFonts w:ascii="Arial" w:eastAsia="Calibri" w:hAnsi="Arial" w:cs="Arial"/>
          <w:sz w:val="20"/>
          <w:szCs w:val="20"/>
          <w:lang w:val="en-GB" w:eastAsia="da-DK"/>
        </w:rPr>
        <w:t xml:space="preserve">operating in Ka Band frequencies (17.7-18.6 GHz and 18.8-20.2 GHz space-to-Earth, and 27.5-30 GHz </w:t>
      </w:r>
      <w:r w:rsidR="009126C2" w:rsidRPr="00691DCA">
        <w:rPr>
          <w:rFonts w:ascii="Arial" w:eastAsia="Calibri" w:hAnsi="Arial" w:cs="Arial"/>
          <w:sz w:val="20"/>
          <w:szCs w:val="20"/>
          <w:lang w:val="en-GB" w:eastAsia="da-DK"/>
        </w:rPr>
        <w:t>Earth-to-space), through 3 ITU filings submitted by the USA. The constellation aims to provide coverage from 56 degrees north to 56 degrees south, covering 95% of the world’s population.</w:t>
      </w:r>
    </w:p>
    <w:p w14:paraId="46C6C4E9" w14:textId="77777777" w:rsidR="00A12C3E" w:rsidRPr="00691DCA" w:rsidRDefault="007F0193" w:rsidP="00DD4B69">
      <w:pPr>
        <w:spacing w:line="240" w:lineRule="auto"/>
        <w:jc w:val="both"/>
        <w:rPr>
          <w:rFonts w:ascii="Arial" w:hAnsi="Arial" w:cs="Arial"/>
          <w:b/>
          <w:sz w:val="20"/>
          <w:szCs w:val="20"/>
          <w:lang w:val="en-GB"/>
        </w:rPr>
      </w:pPr>
      <w:r w:rsidRPr="00691DCA">
        <w:rPr>
          <w:rFonts w:ascii="Arial" w:hAnsi="Arial" w:cs="Arial"/>
          <w:b/>
          <w:sz w:val="20"/>
          <w:szCs w:val="20"/>
          <w:lang w:val="en-GB"/>
        </w:rPr>
        <w:t>(For information in WGFM, FM44, WGSE, SE40)</w:t>
      </w:r>
    </w:p>
    <w:p w14:paraId="46C6C4EA" w14:textId="77777777" w:rsidR="00A12C3E" w:rsidRPr="00691DCA" w:rsidRDefault="00A12C3E" w:rsidP="00612266">
      <w:pPr>
        <w:pStyle w:val="Heading3"/>
        <w:rPr>
          <w:szCs w:val="20"/>
          <w:lang w:val="en-GB"/>
        </w:rPr>
      </w:pPr>
      <w:bookmarkStart w:id="10" w:name="_Ref1394897"/>
      <w:bookmarkStart w:id="11" w:name="_Ref1394905"/>
      <w:bookmarkStart w:id="12" w:name="_Toc12461953"/>
      <w:r w:rsidRPr="00691DCA">
        <w:rPr>
          <w:szCs w:val="20"/>
          <w:lang w:val="en-GB"/>
        </w:rPr>
        <w:lastRenderedPageBreak/>
        <w:t xml:space="preserve">Update on FCC </w:t>
      </w:r>
      <w:proofErr w:type="spellStart"/>
      <w:r w:rsidRPr="00691DCA">
        <w:rPr>
          <w:szCs w:val="20"/>
          <w:lang w:val="en-GB"/>
        </w:rPr>
        <w:t>mmWave</w:t>
      </w:r>
      <w:proofErr w:type="spellEnd"/>
      <w:r w:rsidRPr="00691DCA">
        <w:rPr>
          <w:szCs w:val="20"/>
          <w:lang w:val="en-GB"/>
        </w:rPr>
        <w:t xml:space="preserve"> auctions</w:t>
      </w:r>
      <w:bookmarkEnd w:id="10"/>
      <w:bookmarkEnd w:id="11"/>
      <w:bookmarkEnd w:id="12"/>
    </w:p>
    <w:p w14:paraId="46C6C4EB" w14:textId="77777777" w:rsidR="00777705" w:rsidRPr="00691DCA" w:rsidRDefault="008D6A20" w:rsidP="001439A2">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The FCC’s auction of spectrum at 24 GHz (</w:t>
      </w:r>
      <w:hyperlink r:id="rId10" w:history="1">
        <w:r w:rsidRPr="00691DCA">
          <w:rPr>
            <w:rStyle w:val="Hyperlink"/>
            <w:rFonts w:ascii="Arial" w:eastAsia="Calibri" w:hAnsi="Arial" w:cs="Arial"/>
            <w:sz w:val="20"/>
            <w:szCs w:val="20"/>
            <w:lang w:val="en-GB" w:eastAsia="da-DK"/>
          </w:rPr>
          <w:t>Auction 102</w:t>
        </w:r>
      </w:hyperlink>
      <w:r w:rsidRPr="00691DCA">
        <w:rPr>
          <w:rFonts w:ascii="Arial" w:eastAsia="Calibri" w:hAnsi="Arial" w:cs="Arial"/>
          <w:sz w:val="20"/>
          <w:szCs w:val="20"/>
          <w:lang w:val="en-GB" w:eastAsia="da-DK"/>
        </w:rPr>
        <w:t>) completed on May 28 af</w:t>
      </w:r>
      <w:r w:rsidR="00777705" w:rsidRPr="00691DCA">
        <w:rPr>
          <w:rFonts w:ascii="Arial" w:eastAsia="Calibri" w:hAnsi="Arial" w:cs="Arial"/>
          <w:sz w:val="20"/>
          <w:szCs w:val="20"/>
          <w:lang w:val="en-GB" w:eastAsia="da-DK"/>
        </w:rPr>
        <w:t>ter 2 months of bidding rounds.</w:t>
      </w:r>
      <w:r w:rsidRPr="00691DCA">
        <w:rPr>
          <w:rFonts w:ascii="Arial" w:eastAsia="Calibri" w:hAnsi="Arial" w:cs="Arial"/>
          <w:sz w:val="20"/>
          <w:szCs w:val="20"/>
          <w:lang w:val="en-GB" w:eastAsia="da-DK"/>
        </w:rPr>
        <w:t xml:space="preserve"> A tota</w:t>
      </w:r>
      <w:r w:rsidR="00777705" w:rsidRPr="00691DCA">
        <w:rPr>
          <w:rFonts w:ascii="Arial" w:eastAsia="Calibri" w:hAnsi="Arial" w:cs="Arial"/>
          <w:sz w:val="20"/>
          <w:szCs w:val="20"/>
          <w:lang w:val="en-GB" w:eastAsia="da-DK"/>
        </w:rPr>
        <w:t>l of 2</w:t>
      </w:r>
      <w:r w:rsidR="00273CC0" w:rsidRPr="00691DCA">
        <w:rPr>
          <w:rFonts w:ascii="Arial" w:eastAsia="Calibri" w:hAnsi="Arial" w:cs="Arial"/>
          <w:sz w:val="20"/>
          <w:szCs w:val="20"/>
          <w:lang w:val="en-GB" w:eastAsia="da-DK"/>
        </w:rPr>
        <w:t>81</w:t>
      </w:r>
      <w:r w:rsidR="00777705" w:rsidRPr="00691DCA">
        <w:rPr>
          <w:rFonts w:ascii="Arial" w:eastAsia="Calibri" w:hAnsi="Arial" w:cs="Arial"/>
          <w:sz w:val="20"/>
          <w:szCs w:val="20"/>
          <w:lang w:val="en-GB" w:eastAsia="da-DK"/>
        </w:rPr>
        <w:t>4 county level licences</w:t>
      </w:r>
      <w:r w:rsidRPr="00691DCA">
        <w:rPr>
          <w:rFonts w:ascii="Arial" w:eastAsia="Calibri" w:hAnsi="Arial" w:cs="Arial"/>
          <w:sz w:val="20"/>
          <w:szCs w:val="20"/>
          <w:lang w:val="en-GB" w:eastAsia="da-DK"/>
        </w:rPr>
        <w:t xml:space="preserve"> in 100 MHz blocks </w:t>
      </w:r>
      <w:r w:rsidR="00777705" w:rsidRPr="00691DCA">
        <w:rPr>
          <w:rFonts w:ascii="Arial" w:eastAsia="Calibri" w:hAnsi="Arial" w:cs="Arial"/>
          <w:sz w:val="20"/>
          <w:szCs w:val="20"/>
          <w:lang w:val="en-GB" w:eastAsia="da-DK"/>
        </w:rPr>
        <w:t>were awarded to 2</w:t>
      </w:r>
      <w:r w:rsidR="00273CC0" w:rsidRPr="00691DCA">
        <w:rPr>
          <w:rFonts w:ascii="Arial" w:eastAsia="Calibri" w:hAnsi="Arial" w:cs="Arial"/>
          <w:sz w:val="20"/>
          <w:szCs w:val="20"/>
          <w:lang w:val="en-GB" w:eastAsia="da-DK"/>
        </w:rPr>
        <w:t>9</w:t>
      </w:r>
      <w:r w:rsidR="00777705" w:rsidRPr="00691DCA">
        <w:rPr>
          <w:rFonts w:ascii="Arial" w:eastAsia="Calibri" w:hAnsi="Arial" w:cs="Arial"/>
          <w:sz w:val="20"/>
          <w:szCs w:val="20"/>
          <w:lang w:val="en-GB" w:eastAsia="da-DK"/>
        </w:rPr>
        <w:t xml:space="preserve"> bidders </w:t>
      </w:r>
      <w:r w:rsidRPr="00691DCA">
        <w:rPr>
          <w:rFonts w:ascii="Arial" w:eastAsia="Calibri" w:hAnsi="Arial" w:cs="Arial"/>
          <w:sz w:val="20"/>
          <w:szCs w:val="20"/>
          <w:lang w:val="en-GB" w:eastAsia="da-DK"/>
        </w:rPr>
        <w:t>within 24.25</w:t>
      </w:r>
      <w:r w:rsidR="00777705" w:rsidRPr="00691DCA">
        <w:rPr>
          <w:rFonts w:ascii="Arial" w:eastAsia="Calibri" w:hAnsi="Arial" w:cs="Arial"/>
          <w:sz w:val="20"/>
          <w:szCs w:val="20"/>
          <w:lang w:val="en-GB" w:eastAsia="da-DK"/>
        </w:rPr>
        <w:t>-24.45 GHz and 24.75-25.25 GHz, raising a total of USD $2 billion. Combined with the previous auction in the 28 GHz band, (</w:t>
      </w:r>
      <w:hyperlink r:id="rId11" w:history="1">
        <w:r w:rsidR="00777705" w:rsidRPr="00691DCA">
          <w:rPr>
            <w:rStyle w:val="Hyperlink"/>
            <w:rFonts w:ascii="Arial" w:eastAsia="Calibri" w:hAnsi="Arial" w:cs="Arial"/>
            <w:sz w:val="20"/>
            <w:szCs w:val="20"/>
            <w:lang w:val="en-GB" w:eastAsia="da-DK"/>
          </w:rPr>
          <w:t>Auction 101</w:t>
        </w:r>
      </w:hyperlink>
      <w:r w:rsidR="00777705" w:rsidRPr="00691DCA">
        <w:rPr>
          <w:rStyle w:val="Hyperlink"/>
          <w:rFonts w:ascii="Arial" w:eastAsia="Calibri" w:hAnsi="Arial" w:cs="Arial"/>
          <w:sz w:val="20"/>
          <w:szCs w:val="20"/>
          <w:lang w:val="en-GB" w:eastAsia="da-DK"/>
        </w:rPr>
        <w:t>)</w:t>
      </w:r>
      <w:r w:rsidR="00777705" w:rsidRPr="00691DCA">
        <w:rPr>
          <w:rFonts w:ascii="Arial" w:eastAsia="Calibri" w:hAnsi="Arial" w:cs="Arial"/>
          <w:sz w:val="20"/>
          <w:szCs w:val="20"/>
          <w:lang w:val="en-GB" w:eastAsia="da-DK"/>
        </w:rPr>
        <w:t xml:space="preserve">, a total of USD $2.7 billion was raised covering 5869 licences. The higher price at 24 GHz reflects the fact that these licences covered more high population areas. </w:t>
      </w:r>
    </w:p>
    <w:p w14:paraId="46C6C4EC" w14:textId="77777777" w:rsidR="00273CC0" w:rsidRPr="00691DCA" w:rsidRDefault="00273CC0" w:rsidP="001439A2">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The final millimetre wave spectrum auction under the FCC’s Spectrum Frontiers initiative is planned to commence in December 2019</w:t>
      </w:r>
      <w:r w:rsidR="009A43FC" w:rsidRPr="00691DCA">
        <w:rPr>
          <w:rFonts w:ascii="Arial" w:eastAsia="Calibri" w:hAnsi="Arial" w:cs="Arial"/>
          <w:sz w:val="20"/>
          <w:szCs w:val="20"/>
          <w:lang w:val="en-GB" w:eastAsia="da-DK"/>
        </w:rPr>
        <w:t xml:space="preserve"> (</w:t>
      </w:r>
      <w:hyperlink r:id="rId12" w:history="1">
        <w:r w:rsidR="009A43FC" w:rsidRPr="00691DCA">
          <w:rPr>
            <w:rStyle w:val="Hyperlink"/>
            <w:rFonts w:ascii="Arial" w:eastAsia="Calibri" w:hAnsi="Arial" w:cs="Arial"/>
            <w:sz w:val="20"/>
            <w:szCs w:val="20"/>
            <w:lang w:val="en-GB" w:eastAsia="da-DK"/>
          </w:rPr>
          <w:t>Auction 103</w:t>
        </w:r>
      </w:hyperlink>
      <w:r w:rsidR="009A43FC" w:rsidRPr="00691DCA">
        <w:rPr>
          <w:rFonts w:ascii="Arial" w:eastAsia="Calibri" w:hAnsi="Arial" w:cs="Arial"/>
          <w:sz w:val="20"/>
          <w:szCs w:val="20"/>
          <w:lang w:val="en-GB" w:eastAsia="da-DK"/>
        </w:rPr>
        <w:t>)</w:t>
      </w:r>
      <w:r w:rsidRPr="00691DCA">
        <w:rPr>
          <w:rFonts w:ascii="Arial" w:eastAsia="Calibri" w:hAnsi="Arial" w:cs="Arial"/>
          <w:sz w:val="20"/>
          <w:szCs w:val="20"/>
          <w:lang w:val="en-GB" w:eastAsia="da-DK"/>
        </w:rPr>
        <w:t xml:space="preserve">. </w:t>
      </w:r>
      <w:r w:rsidR="009A43FC" w:rsidRPr="00691DCA">
        <w:rPr>
          <w:rFonts w:ascii="Arial" w:eastAsia="Calibri" w:hAnsi="Arial" w:cs="Arial"/>
          <w:sz w:val="20"/>
          <w:szCs w:val="20"/>
          <w:lang w:val="en-GB" w:eastAsia="da-DK"/>
        </w:rPr>
        <w:t>The FCC plans to</w:t>
      </w:r>
      <w:r w:rsidRPr="00691DCA">
        <w:rPr>
          <w:rFonts w:ascii="Arial" w:eastAsia="Calibri" w:hAnsi="Arial" w:cs="Arial"/>
          <w:sz w:val="20"/>
          <w:szCs w:val="20"/>
          <w:lang w:val="en-GB" w:eastAsia="da-DK"/>
        </w:rPr>
        <w:t xml:space="preserve"> release spectrum in the upper 37 GHz (37.6–38.6 GHz), 39 GHz (38.6–40 GHz) and 47 GHz (47.2–48.2 GHz) </w:t>
      </w:r>
      <w:r w:rsidR="009A43FC" w:rsidRPr="00691DCA">
        <w:rPr>
          <w:rFonts w:ascii="Arial" w:eastAsia="Calibri" w:hAnsi="Arial" w:cs="Arial"/>
          <w:sz w:val="20"/>
          <w:szCs w:val="20"/>
          <w:lang w:val="en-GB" w:eastAsia="da-DK"/>
        </w:rPr>
        <w:t xml:space="preserve">bands through an incentive auction. A </w:t>
      </w:r>
      <w:hyperlink r:id="rId13" w:history="1">
        <w:r w:rsidR="009A43FC" w:rsidRPr="00691DCA">
          <w:rPr>
            <w:rStyle w:val="Hyperlink"/>
            <w:rFonts w:ascii="Arial" w:eastAsia="Calibri" w:hAnsi="Arial" w:cs="Arial"/>
            <w:sz w:val="20"/>
            <w:szCs w:val="20"/>
            <w:lang w:val="en-GB" w:eastAsia="da-DK"/>
          </w:rPr>
          <w:t>public notice</w:t>
        </w:r>
      </w:hyperlink>
      <w:r w:rsidR="009A43FC" w:rsidRPr="00691DCA">
        <w:rPr>
          <w:rFonts w:ascii="Arial" w:eastAsia="Calibri" w:hAnsi="Arial" w:cs="Arial"/>
          <w:sz w:val="20"/>
          <w:szCs w:val="20"/>
          <w:lang w:val="en-GB" w:eastAsia="da-DK"/>
        </w:rPr>
        <w:t xml:space="preserve"> issued in May sets out proposed options for reconfiguration of existing licences in the 39 GHz band.</w:t>
      </w:r>
    </w:p>
    <w:p w14:paraId="46C6C4ED" w14:textId="77777777" w:rsidR="00DD4B69" w:rsidRPr="00691DCA" w:rsidRDefault="007F0193" w:rsidP="00DD4B69">
      <w:pPr>
        <w:spacing w:line="240" w:lineRule="auto"/>
        <w:jc w:val="both"/>
        <w:rPr>
          <w:rFonts w:ascii="Arial" w:hAnsi="Arial" w:cs="Arial"/>
          <w:b/>
          <w:sz w:val="20"/>
          <w:szCs w:val="20"/>
          <w:lang w:val="en-GB"/>
        </w:rPr>
      </w:pPr>
      <w:r w:rsidRPr="00691DCA">
        <w:rPr>
          <w:rFonts w:ascii="Arial" w:hAnsi="Arial" w:cs="Arial"/>
          <w:b/>
          <w:sz w:val="20"/>
          <w:szCs w:val="20"/>
          <w:lang w:val="en-GB"/>
        </w:rPr>
        <w:t>(For information in ECC PT1 and WGFM)</w:t>
      </w:r>
    </w:p>
    <w:p w14:paraId="46C6C4EE" w14:textId="77777777" w:rsidR="005F3F7E" w:rsidRPr="00691DCA" w:rsidRDefault="005F3F7E" w:rsidP="005F3F7E">
      <w:pPr>
        <w:pStyle w:val="Heading3"/>
        <w:rPr>
          <w:szCs w:val="20"/>
          <w:lang w:val="en-GB"/>
        </w:rPr>
      </w:pPr>
      <w:bookmarkStart w:id="13" w:name="_Toc12461954"/>
      <w:r w:rsidRPr="00691DCA">
        <w:rPr>
          <w:szCs w:val="20"/>
          <w:lang w:val="en-GB"/>
        </w:rPr>
        <w:t>FCC 5.9 GHz</w:t>
      </w:r>
      <w:bookmarkEnd w:id="13"/>
    </w:p>
    <w:p w14:paraId="46C6C4EF" w14:textId="77777777" w:rsidR="00592F5F" w:rsidRPr="00691DCA" w:rsidRDefault="000A3F72" w:rsidP="00592F5F">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Last October, in its </w:t>
      </w:r>
      <w:hyperlink r:id="rId14" w:history="1">
        <w:r w:rsidRPr="00691DCA">
          <w:rPr>
            <w:rStyle w:val="Hyperlink"/>
            <w:rFonts w:ascii="Arial" w:hAnsi="Arial" w:cs="Arial"/>
            <w:sz w:val="20"/>
            <w:szCs w:val="20"/>
            <w:lang w:val="en-GB" w:eastAsia="da-DK"/>
          </w:rPr>
          <w:t>Notice of Proposed Rulemaking (NPRM)</w:t>
        </w:r>
      </w:hyperlink>
      <w:r w:rsidRPr="00691DCA">
        <w:rPr>
          <w:rFonts w:ascii="Arial" w:eastAsia="Calibri" w:hAnsi="Arial" w:cs="Arial"/>
          <w:sz w:val="20"/>
          <w:szCs w:val="20"/>
          <w:lang w:val="en-GB" w:eastAsia="da-DK"/>
        </w:rPr>
        <w:t xml:space="preserve">, </w:t>
      </w:r>
      <w:r w:rsidR="00F31AB8" w:rsidRPr="00691DCA">
        <w:rPr>
          <w:rFonts w:ascii="Arial" w:eastAsia="Calibri" w:hAnsi="Arial" w:cs="Arial"/>
          <w:sz w:val="20"/>
          <w:szCs w:val="20"/>
          <w:lang w:val="en-GB" w:eastAsia="da-DK"/>
        </w:rPr>
        <w:t xml:space="preserve">FCC proposed rules to promote new opportunities for unlicensed use in portions of the 1200 </w:t>
      </w:r>
      <w:r w:rsidR="007405C1" w:rsidRPr="00691DCA">
        <w:rPr>
          <w:rFonts w:ascii="Arial" w:eastAsia="Calibri" w:hAnsi="Arial" w:cs="Arial"/>
          <w:sz w:val="20"/>
          <w:szCs w:val="20"/>
          <w:lang w:val="en-GB" w:eastAsia="da-DK"/>
        </w:rPr>
        <w:t>MHz</w:t>
      </w:r>
      <w:r w:rsidR="00F31AB8" w:rsidRPr="00691DCA">
        <w:rPr>
          <w:rFonts w:ascii="Arial" w:eastAsia="Calibri" w:hAnsi="Arial" w:cs="Arial"/>
          <w:sz w:val="20"/>
          <w:szCs w:val="20"/>
          <w:lang w:val="en-GB" w:eastAsia="da-DK"/>
        </w:rPr>
        <w:t xml:space="preserve"> of spectrum in the 5.925-7.125 GHz (6 GHz) band while ensuring that licensed services operating in the band continue to operate. </w:t>
      </w:r>
      <w:r w:rsidR="007405C1" w:rsidRPr="00691DCA">
        <w:rPr>
          <w:rFonts w:ascii="Arial" w:eastAsia="Calibri" w:hAnsi="Arial" w:cs="Arial"/>
          <w:sz w:val="20"/>
          <w:szCs w:val="20"/>
          <w:lang w:val="en-GB" w:eastAsia="da-DK"/>
        </w:rPr>
        <w:t xml:space="preserve">Comments on this NPRM were due before February 15, while reply comments before March 18. </w:t>
      </w:r>
    </w:p>
    <w:p w14:paraId="46C6C4F0" w14:textId="77777777" w:rsidR="00592F5F" w:rsidRPr="00691DCA" w:rsidRDefault="007405C1" w:rsidP="00592F5F">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In the latest round of comments, FCC received in particular the reply from the US Cellular Telecommunications Industry Association (CTIA), which invites to act quickly to make available a proper amount of licensed spectrum</w:t>
      </w:r>
      <w:r w:rsidR="00592F5F" w:rsidRPr="00691DCA">
        <w:rPr>
          <w:rFonts w:ascii="Arial" w:eastAsia="Calibri" w:hAnsi="Arial" w:cs="Arial"/>
          <w:sz w:val="20"/>
          <w:szCs w:val="20"/>
          <w:lang w:val="en-GB" w:eastAsia="da-DK"/>
        </w:rPr>
        <w:t xml:space="preserve"> for flexible use</w:t>
      </w:r>
      <w:r w:rsidRPr="00691DCA">
        <w:rPr>
          <w:rFonts w:ascii="Arial" w:eastAsia="Calibri" w:hAnsi="Arial" w:cs="Arial"/>
          <w:sz w:val="20"/>
          <w:szCs w:val="20"/>
          <w:lang w:val="en-GB" w:eastAsia="da-DK"/>
        </w:rPr>
        <w:t xml:space="preserve"> in the mid-band</w:t>
      </w:r>
      <w:r w:rsidR="00592F5F" w:rsidRPr="00691DCA">
        <w:rPr>
          <w:rFonts w:ascii="Arial" w:eastAsia="Calibri" w:hAnsi="Arial" w:cs="Arial"/>
          <w:sz w:val="20"/>
          <w:szCs w:val="20"/>
          <w:lang w:val="en-GB" w:eastAsia="da-DK"/>
        </w:rPr>
        <w:t xml:space="preserve">, above 3 GHz. CTIA </w:t>
      </w:r>
      <w:r w:rsidRPr="00691DCA">
        <w:rPr>
          <w:rFonts w:ascii="Arial" w:eastAsia="Calibri" w:hAnsi="Arial" w:cs="Arial"/>
          <w:sz w:val="20"/>
          <w:szCs w:val="20"/>
          <w:lang w:val="en-GB" w:eastAsia="da-DK"/>
        </w:rPr>
        <w:t xml:space="preserve">believes there is no </w:t>
      </w:r>
      <w:r w:rsidR="00E97B16" w:rsidRPr="00691DCA">
        <w:rPr>
          <w:rFonts w:ascii="Arial" w:eastAsia="Calibri" w:hAnsi="Arial" w:cs="Arial"/>
          <w:sz w:val="20"/>
          <w:szCs w:val="20"/>
          <w:lang w:val="en-GB" w:eastAsia="da-DK"/>
        </w:rPr>
        <w:t>basis to designate the full 1200 MHz</w:t>
      </w:r>
      <w:r w:rsidRPr="00691DCA">
        <w:rPr>
          <w:rFonts w:ascii="Arial" w:eastAsia="Calibri" w:hAnsi="Arial" w:cs="Arial"/>
          <w:sz w:val="20"/>
          <w:szCs w:val="20"/>
          <w:lang w:val="en-GB" w:eastAsia="da-DK"/>
        </w:rPr>
        <w:t xml:space="preserve"> of </w:t>
      </w:r>
      <w:r w:rsidR="00E97B16" w:rsidRPr="00691DCA">
        <w:rPr>
          <w:rFonts w:ascii="Arial" w:eastAsia="Calibri" w:hAnsi="Arial" w:cs="Arial"/>
          <w:sz w:val="20"/>
          <w:szCs w:val="20"/>
          <w:lang w:val="en-GB" w:eastAsia="da-DK"/>
        </w:rPr>
        <w:t xml:space="preserve">the </w:t>
      </w:r>
      <w:r w:rsidRPr="00691DCA">
        <w:rPr>
          <w:rFonts w:ascii="Arial" w:eastAsia="Calibri" w:hAnsi="Arial" w:cs="Arial"/>
          <w:sz w:val="20"/>
          <w:szCs w:val="20"/>
          <w:lang w:val="en-GB" w:eastAsia="da-DK"/>
        </w:rPr>
        <w:t xml:space="preserve">6 GHz spectrum to unlicensed use. In </w:t>
      </w:r>
      <w:r w:rsidR="00E97B16" w:rsidRPr="00691DCA">
        <w:rPr>
          <w:rFonts w:ascii="Arial" w:eastAsia="Calibri" w:hAnsi="Arial" w:cs="Arial"/>
          <w:sz w:val="20"/>
          <w:szCs w:val="20"/>
          <w:lang w:val="en-GB" w:eastAsia="da-DK"/>
        </w:rPr>
        <w:t xml:space="preserve">their view, in </w:t>
      </w:r>
      <w:r w:rsidRPr="00691DCA">
        <w:rPr>
          <w:rFonts w:ascii="Arial" w:eastAsia="Calibri" w:hAnsi="Arial" w:cs="Arial"/>
          <w:sz w:val="20"/>
          <w:szCs w:val="20"/>
          <w:lang w:val="en-GB" w:eastAsia="da-DK"/>
        </w:rPr>
        <w:t xml:space="preserve">light of evidence that substantial swaths of unlicensed spectrum lie nearly vacant, </w:t>
      </w:r>
      <w:r w:rsidR="00E97B16" w:rsidRPr="00691DCA">
        <w:rPr>
          <w:rFonts w:ascii="Arial" w:eastAsia="Calibri" w:hAnsi="Arial" w:cs="Arial"/>
          <w:sz w:val="20"/>
          <w:szCs w:val="20"/>
          <w:lang w:val="en-GB" w:eastAsia="da-DK"/>
        </w:rPr>
        <w:t>FCC</w:t>
      </w:r>
      <w:r w:rsidRPr="00691DCA">
        <w:rPr>
          <w:rFonts w:ascii="Arial" w:eastAsia="Calibri" w:hAnsi="Arial" w:cs="Arial"/>
          <w:sz w:val="20"/>
          <w:szCs w:val="20"/>
          <w:lang w:val="en-GB" w:eastAsia="da-DK"/>
        </w:rPr>
        <w:t xml:space="preserve"> should adopt a balanced approach to the 6 GHz band, including a spectrum sharing regime for unlicensed operations in the lower portion of the 6 GHz band and a framework for licensed, flexible use services in the upper 6 GHz band.</w:t>
      </w:r>
      <w:r w:rsidR="00592F5F" w:rsidRPr="00691DCA">
        <w:rPr>
          <w:rFonts w:ascii="Arial" w:eastAsia="Calibri" w:hAnsi="Arial" w:cs="Arial"/>
          <w:sz w:val="20"/>
          <w:szCs w:val="20"/>
          <w:lang w:val="en-GB" w:eastAsia="da-DK"/>
        </w:rPr>
        <w:t xml:space="preserve"> CTIA finally observed that the 7.125-8.5 GHz band, currently allocated for federal use but </w:t>
      </w:r>
      <w:r w:rsidR="00E97B16" w:rsidRPr="00691DCA">
        <w:rPr>
          <w:rFonts w:ascii="Arial" w:eastAsia="Calibri" w:hAnsi="Arial" w:cs="Arial"/>
          <w:sz w:val="20"/>
          <w:szCs w:val="20"/>
          <w:lang w:val="en-GB" w:eastAsia="da-DK"/>
        </w:rPr>
        <w:t>underutilis</w:t>
      </w:r>
      <w:r w:rsidR="00592F5F" w:rsidRPr="00691DCA">
        <w:rPr>
          <w:rFonts w:ascii="Arial" w:eastAsia="Calibri" w:hAnsi="Arial" w:cs="Arial"/>
          <w:sz w:val="20"/>
          <w:szCs w:val="20"/>
          <w:lang w:val="en-GB" w:eastAsia="da-DK"/>
        </w:rPr>
        <w:t>ed, could accommodate fixed service operations relocated out of the 6 GHz band.</w:t>
      </w:r>
    </w:p>
    <w:p w14:paraId="46C6C4F1" w14:textId="77777777" w:rsidR="007405C1" w:rsidRPr="00691DCA" w:rsidRDefault="00592F5F" w:rsidP="00E97B16">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Several RLAN industries expressed a different opinion </w:t>
      </w:r>
      <w:r w:rsidR="00E97B16" w:rsidRPr="00691DCA">
        <w:rPr>
          <w:rFonts w:ascii="Arial" w:eastAsia="Calibri" w:hAnsi="Arial" w:cs="Arial"/>
          <w:sz w:val="20"/>
          <w:szCs w:val="20"/>
          <w:lang w:val="en-GB" w:eastAsia="da-DK"/>
        </w:rPr>
        <w:t xml:space="preserve">in their reply comment, </w:t>
      </w:r>
      <w:r w:rsidRPr="00691DCA">
        <w:rPr>
          <w:rFonts w:ascii="Arial" w:eastAsia="Calibri" w:hAnsi="Arial" w:cs="Arial"/>
          <w:sz w:val="20"/>
          <w:szCs w:val="20"/>
          <w:lang w:val="en-GB" w:eastAsia="da-DK"/>
        </w:rPr>
        <w:t>restating that opening the entire 6 GHz band to unlicensed technologies is essential to meeting growing demand for wireless connectivity</w:t>
      </w:r>
      <w:r w:rsidR="00E97B16" w:rsidRPr="00691DCA">
        <w:rPr>
          <w:rFonts w:ascii="Arial" w:eastAsia="Calibri" w:hAnsi="Arial" w:cs="Arial"/>
          <w:sz w:val="20"/>
          <w:szCs w:val="20"/>
          <w:lang w:val="en-GB" w:eastAsia="da-DK"/>
        </w:rPr>
        <w:t xml:space="preserve"> and this can be achieved without relocating large numbers of licensed incumbents, constraining their future growth, or dislocating federal users. FCC is invited to reject the proposal from CTIA to auction a portion of the band as the scheme is considered unworkable, unnecessary, and unsupported, since no concrete explanation of the plan has been provided.</w:t>
      </w:r>
    </w:p>
    <w:p w14:paraId="46C6C4F2" w14:textId="77777777" w:rsidR="004D1790" w:rsidRPr="00691DCA" w:rsidRDefault="007F0193" w:rsidP="001D0218">
      <w:pPr>
        <w:spacing w:line="240" w:lineRule="auto"/>
        <w:jc w:val="both"/>
        <w:rPr>
          <w:rFonts w:ascii="Arial" w:hAnsi="Arial" w:cs="Arial"/>
          <w:b/>
          <w:sz w:val="20"/>
          <w:szCs w:val="20"/>
          <w:lang w:val="en-GB"/>
        </w:rPr>
      </w:pPr>
      <w:r w:rsidRPr="00691DCA">
        <w:rPr>
          <w:rFonts w:ascii="Arial" w:hAnsi="Arial" w:cs="Arial"/>
          <w:b/>
          <w:sz w:val="20"/>
          <w:szCs w:val="20"/>
          <w:lang w:val="en-GB"/>
        </w:rPr>
        <w:t>(</w:t>
      </w:r>
      <w:r w:rsidR="000A3F72" w:rsidRPr="00691DCA">
        <w:rPr>
          <w:rFonts w:ascii="Arial" w:hAnsi="Arial" w:cs="Arial"/>
          <w:b/>
          <w:sz w:val="20"/>
          <w:szCs w:val="20"/>
          <w:lang w:val="en-GB"/>
        </w:rPr>
        <w:t>For information in WGFM, FM57, SE45, CPG</w:t>
      </w:r>
      <w:r w:rsidRPr="00691DCA">
        <w:rPr>
          <w:rFonts w:ascii="Arial" w:hAnsi="Arial" w:cs="Arial"/>
          <w:b/>
          <w:sz w:val="20"/>
          <w:szCs w:val="20"/>
          <w:lang w:val="en-GB"/>
        </w:rPr>
        <w:t>)</w:t>
      </w:r>
    </w:p>
    <w:p w14:paraId="46C6C4F3" w14:textId="77777777" w:rsidR="004D1790" w:rsidRPr="00691DCA" w:rsidRDefault="004D1790" w:rsidP="004D1790">
      <w:pPr>
        <w:pStyle w:val="Heading3"/>
        <w:rPr>
          <w:szCs w:val="20"/>
          <w:lang w:val="en-GB"/>
        </w:rPr>
      </w:pPr>
      <w:bookmarkStart w:id="14" w:name="_Toc12461955"/>
      <w:r w:rsidRPr="00691DCA">
        <w:rPr>
          <w:szCs w:val="20"/>
          <w:lang w:val="en-GB"/>
        </w:rPr>
        <w:t>FCC 95 GHz</w:t>
      </w:r>
      <w:bookmarkEnd w:id="14"/>
    </w:p>
    <w:p w14:paraId="46C6C4F4" w14:textId="77777777" w:rsidR="00B527F3" w:rsidRPr="00691DCA" w:rsidRDefault="00B527F3" w:rsidP="00B527F3">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In March FCC adopted rules to encourage research and development in the spectrum between 95 GHz and 3 THz, creating a new category of license called the Spectrum Horizons License.</w:t>
      </w:r>
      <w:r w:rsidR="00191C2A" w:rsidRPr="00691DCA">
        <w:rPr>
          <w:rFonts w:ascii="Arial" w:eastAsia="Calibri" w:hAnsi="Arial" w:cs="Arial"/>
          <w:sz w:val="20"/>
          <w:szCs w:val="20"/>
          <w:lang w:val="en-GB" w:eastAsia="da-DK"/>
        </w:rPr>
        <w:t xml:space="preserve"> In addition to offering users experimental licenses, the FCC designated 21.2 GHz of spectrum for unlicensed operations</w:t>
      </w:r>
      <w:r w:rsidR="006B6946" w:rsidRPr="00691DCA">
        <w:rPr>
          <w:rFonts w:ascii="Arial" w:eastAsia="Calibri" w:hAnsi="Arial" w:cs="Arial"/>
          <w:sz w:val="20"/>
          <w:szCs w:val="20"/>
          <w:lang w:val="en-GB" w:eastAsia="da-DK"/>
        </w:rPr>
        <w:t xml:space="preserve"> in the</w:t>
      </w:r>
      <w:r w:rsidR="00191C2A" w:rsidRPr="00691DCA">
        <w:rPr>
          <w:rFonts w:ascii="Arial" w:eastAsia="Calibri" w:hAnsi="Arial" w:cs="Arial"/>
          <w:sz w:val="20"/>
          <w:szCs w:val="20"/>
          <w:lang w:val="en-GB" w:eastAsia="da-DK"/>
        </w:rPr>
        <w:t xml:space="preserve"> 116</w:t>
      </w:r>
      <w:r w:rsidR="006B6946" w:rsidRPr="00691DCA">
        <w:rPr>
          <w:rFonts w:ascii="Arial" w:eastAsia="Calibri" w:hAnsi="Arial" w:cs="Arial"/>
          <w:sz w:val="20"/>
          <w:szCs w:val="20"/>
          <w:lang w:val="en-GB" w:eastAsia="da-DK"/>
        </w:rPr>
        <w:noBreakHyphen/>
      </w:r>
      <w:r w:rsidR="00191C2A" w:rsidRPr="00691DCA">
        <w:rPr>
          <w:rFonts w:ascii="Arial" w:eastAsia="Calibri" w:hAnsi="Arial" w:cs="Arial"/>
          <w:sz w:val="20"/>
          <w:szCs w:val="20"/>
          <w:lang w:val="en-GB" w:eastAsia="da-DK"/>
        </w:rPr>
        <w:t>123, 174.8</w:t>
      </w:r>
      <w:r w:rsidR="006B6946" w:rsidRPr="00691DCA">
        <w:rPr>
          <w:rFonts w:ascii="Arial" w:eastAsia="Calibri" w:hAnsi="Arial" w:cs="Arial"/>
          <w:sz w:val="20"/>
          <w:szCs w:val="20"/>
          <w:lang w:val="en-GB" w:eastAsia="da-DK"/>
        </w:rPr>
        <w:t>-</w:t>
      </w:r>
      <w:r w:rsidR="00191C2A" w:rsidRPr="00691DCA">
        <w:rPr>
          <w:rFonts w:ascii="Arial" w:eastAsia="Calibri" w:hAnsi="Arial" w:cs="Arial"/>
          <w:sz w:val="20"/>
          <w:szCs w:val="20"/>
          <w:lang w:val="en-GB" w:eastAsia="da-DK"/>
        </w:rPr>
        <w:t>182, 185</w:t>
      </w:r>
      <w:r w:rsidR="006B6946" w:rsidRPr="00691DCA">
        <w:rPr>
          <w:rFonts w:ascii="Arial" w:eastAsia="Calibri" w:hAnsi="Arial" w:cs="Arial"/>
          <w:sz w:val="20"/>
          <w:szCs w:val="20"/>
          <w:lang w:val="en-GB" w:eastAsia="da-DK"/>
        </w:rPr>
        <w:t>-</w:t>
      </w:r>
      <w:r w:rsidR="00191C2A" w:rsidRPr="00691DCA">
        <w:rPr>
          <w:rFonts w:ascii="Arial" w:eastAsia="Calibri" w:hAnsi="Arial" w:cs="Arial"/>
          <w:sz w:val="20"/>
          <w:szCs w:val="20"/>
          <w:lang w:val="en-GB" w:eastAsia="da-DK"/>
        </w:rPr>
        <w:t>190 and 244</w:t>
      </w:r>
      <w:r w:rsidR="006B6946" w:rsidRPr="00691DCA">
        <w:rPr>
          <w:rFonts w:ascii="Arial" w:eastAsia="Calibri" w:hAnsi="Arial" w:cs="Arial"/>
          <w:sz w:val="20"/>
          <w:szCs w:val="20"/>
          <w:lang w:val="en-GB" w:eastAsia="da-DK"/>
        </w:rPr>
        <w:t>-</w:t>
      </w:r>
      <w:r w:rsidR="00191C2A" w:rsidRPr="00691DCA">
        <w:rPr>
          <w:rFonts w:ascii="Arial" w:eastAsia="Calibri" w:hAnsi="Arial" w:cs="Arial"/>
          <w:sz w:val="20"/>
          <w:szCs w:val="20"/>
          <w:lang w:val="en-GB" w:eastAsia="da-DK"/>
        </w:rPr>
        <w:t xml:space="preserve"> 246 GHz. </w:t>
      </w:r>
    </w:p>
    <w:p w14:paraId="46C6C4F5" w14:textId="77777777" w:rsidR="00191C2A" w:rsidRPr="00691DCA" w:rsidRDefault="00191C2A" w:rsidP="00B527F3">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Prior to this action, no rules permitted communication, whether licensed or unlicensed, in the spectrum above 95 GHz. Use was limited to industrial, scientific, medical (ISM), amateur radio and radio experiments.</w:t>
      </w:r>
    </w:p>
    <w:p w14:paraId="46C6C4F6" w14:textId="77777777" w:rsidR="00191C2A" w:rsidRPr="00691DCA" w:rsidRDefault="00191C2A" w:rsidP="00191C2A">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For the unlicensed bands, rules similar to those governing the 57 </w:t>
      </w:r>
      <w:r w:rsidR="006B6946" w:rsidRPr="00691DCA">
        <w:rPr>
          <w:rFonts w:ascii="Arial" w:eastAsia="Calibri" w:hAnsi="Arial" w:cs="Arial"/>
          <w:sz w:val="20"/>
          <w:szCs w:val="20"/>
          <w:lang w:val="en-GB" w:eastAsia="da-DK"/>
        </w:rPr>
        <w:t>-</w:t>
      </w:r>
      <w:r w:rsidRPr="00691DCA">
        <w:rPr>
          <w:rFonts w:ascii="Arial" w:eastAsia="Calibri" w:hAnsi="Arial" w:cs="Arial"/>
          <w:sz w:val="20"/>
          <w:szCs w:val="20"/>
          <w:lang w:val="en-GB" w:eastAsia="da-DK"/>
        </w:rPr>
        <w:t xml:space="preserve">71 GHz unlicensed band have been adopted. Devices may transmit a maximum </w:t>
      </w:r>
      <w:proofErr w:type="spellStart"/>
      <w:r w:rsidRPr="00691DCA">
        <w:rPr>
          <w:rFonts w:ascii="Arial" w:eastAsia="Calibri" w:hAnsi="Arial" w:cs="Arial"/>
          <w:sz w:val="20"/>
          <w:szCs w:val="20"/>
          <w:lang w:val="en-GB" w:eastAsia="da-DK"/>
        </w:rPr>
        <w:t>e.i.r.p</w:t>
      </w:r>
      <w:proofErr w:type="spellEnd"/>
      <w:r w:rsidRPr="00691DCA">
        <w:rPr>
          <w:rFonts w:ascii="Arial" w:eastAsia="Calibri" w:hAnsi="Arial" w:cs="Arial"/>
          <w:sz w:val="20"/>
          <w:szCs w:val="20"/>
          <w:lang w:val="en-GB" w:eastAsia="da-DK"/>
        </w:rPr>
        <w:t xml:space="preserve">. of 40 dBm (average) and 43 dBm (peak). Outdoor point-to-point transmissions may have a higher maximum </w:t>
      </w:r>
      <w:proofErr w:type="spellStart"/>
      <w:r w:rsidRPr="00691DCA">
        <w:rPr>
          <w:rFonts w:ascii="Arial" w:eastAsia="Calibri" w:hAnsi="Arial" w:cs="Arial"/>
          <w:sz w:val="20"/>
          <w:szCs w:val="20"/>
          <w:lang w:val="en-GB" w:eastAsia="da-DK"/>
        </w:rPr>
        <w:t>e.i.r.p.of</w:t>
      </w:r>
      <w:proofErr w:type="spellEnd"/>
      <w:r w:rsidRPr="00691DCA">
        <w:rPr>
          <w:rFonts w:ascii="Arial" w:eastAsia="Calibri" w:hAnsi="Arial" w:cs="Arial"/>
          <w:sz w:val="20"/>
          <w:szCs w:val="20"/>
          <w:lang w:val="en-GB" w:eastAsia="da-DK"/>
        </w:rPr>
        <w:t xml:space="preserve"> 82 dBm (average) and 85 dBm (peak) if the transmitters use antennas with a minimum gain of 51 </w:t>
      </w:r>
      <w:proofErr w:type="spellStart"/>
      <w:r w:rsidRPr="00691DCA">
        <w:rPr>
          <w:rFonts w:ascii="Arial" w:eastAsia="Calibri" w:hAnsi="Arial" w:cs="Arial"/>
          <w:sz w:val="20"/>
          <w:szCs w:val="20"/>
          <w:lang w:val="en-GB" w:eastAsia="da-DK"/>
        </w:rPr>
        <w:t>dBi</w:t>
      </w:r>
      <w:proofErr w:type="spellEnd"/>
      <w:r w:rsidRPr="00691DCA">
        <w:rPr>
          <w:rFonts w:ascii="Arial" w:eastAsia="Calibri" w:hAnsi="Arial" w:cs="Arial"/>
          <w:sz w:val="20"/>
          <w:szCs w:val="20"/>
          <w:lang w:val="en-GB" w:eastAsia="da-DK"/>
        </w:rPr>
        <w:t xml:space="preserve">. For antenna gain below 51 dB, the maximum </w:t>
      </w:r>
      <w:r w:rsidRPr="00691DCA">
        <w:rPr>
          <w:rFonts w:ascii="Arial" w:eastAsia="Calibri" w:hAnsi="Arial" w:cs="Arial"/>
          <w:sz w:val="20"/>
          <w:szCs w:val="20"/>
          <w:lang w:val="en-GB" w:eastAsia="da-DK"/>
        </w:rPr>
        <w:lastRenderedPageBreak/>
        <w:t>power is reduced by 2 dB for each dB of antenna gain below 51 </w:t>
      </w:r>
      <w:proofErr w:type="spellStart"/>
      <w:r w:rsidRPr="00691DCA">
        <w:rPr>
          <w:rFonts w:ascii="Arial" w:eastAsia="Calibri" w:hAnsi="Arial" w:cs="Arial"/>
          <w:sz w:val="20"/>
          <w:szCs w:val="20"/>
          <w:lang w:val="en-GB" w:eastAsia="da-DK"/>
        </w:rPr>
        <w:t>dBi</w:t>
      </w:r>
      <w:proofErr w:type="spellEnd"/>
      <w:r w:rsidRPr="00691DCA">
        <w:rPr>
          <w:rFonts w:ascii="Arial" w:eastAsia="Calibri" w:hAnsi="Arial" w:cs="Arial"/>
          <w:sz w:val="20"/>
          <w:szCs w:val="20"/>
          <w:lang w:val="en-GB" w:eastAsia="da-DK"/>
        </w:rPr>
        <w:t xml:space="preserve">. FCC did not limit the power at the input to the antenna (conducted power). </w:t>
      </w:r>
    </w:p>
    <w:p w14:paraId="46C6C4F7" w14:textId="77777777" w:rsidR="006B6946" w:rsidRPr="00691DCA" w:rsidRDefault="00191C2A" w:rsidP="00191C2A">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Spectrum Horizons Experimental Radio licenses may be issued in any frequency band between 95 GHz and 3 THz and in any geographic area. Before granting a license, the FCC will review each request to evaluate potential interference with other uses. Any licenses will be granted for a single 10-year term to encourage </w:t>
      </w:r>
      <w:r w:rsidR="006B6946" w:rsidRPr="00691DCA">
        <w:rPr>
          <w:rFonts w:ascii="Arial" w:eastAsia="Calibri" w:hAnsi="Arial" w:cs="Arial"/>
          <w:sz w:val="20"/>
          <w:szCs w:val="20"/>
          <w:lang w:val="en-GB" w:eastAsia="da-DK"/>
        </w:rPr>
        <w:t>investments</w:t>
      </w:r>
      <w:r w:rsidRPr="00691DCA">
        <w:rPr>
          <w:rFonts w:ascii="Arial" w:eastAsia="Calibri" w:hAnsi="Arial" w:cs="Arial"/>
          <w:sz w:val="20"/>
          <w:szCs w:val="20"/>
          <w:lang w:val="en-GB" w:eastAsia="da-DK"/>
        </w:rPr>
        <w:t xml:space="preserve"> in this largely untested spectrum, and yield more useful long-term information and data. The </w:t>
      </w:r>
      <w:r w:rsidR="006B6946" w:rsidRPr="00691DCA">
        <w:rPr>
          <w:rFonts w:ascii="Arial" w:eastAsia="Calibri" w:hAnsi="Arial" w:cs="Arial"/>
          <w:sz w:val="20"/>
          <w:szCs w:val="20"/>
          <w:lang w:val="en-GB" w:eastAsia="da-DK"/>
        </w:rPr>
        <w:t xml:space="preserve">status and results of the experimental use </w:t>
      </w:r>
      <w:r w:rsidRPr="00691DCA">
        <w:rPr>
          <w:rFonts w:ascii="Arial" w:eastAsia="Calibri" w:hAnsi="Arial" w:cs="Arial"/>
          <w:sz w:val="20"/>
          <w:szCs w:val="20"/>
          <w:lang w:val="en-GB" w:eastAsia="da-DK"/>
        </w:rPr>
        <w:t xml:space="preserve">will </w:t>
      </w:r>
      <w:r w:rsidR="006B6946" w:rsidRPr="00691DCA">
        <w:rPr>
          <w:rFonts w:ascii="Arial" w:eastAsia="Calibri" w:hAnsi="Arial" w:cs="Arial"/>
          <w:sz w:val="20"/>
          <w:szCs w:val="20"/>
          <w:lang w:val="en-GB" w:eastAsia="da-DK"/>
        </w:rPr>
        <w:t xml:space="preserve">be included in </w:t>
      </w:r>
      <w:r w:rsidRPr="00691DCA">
        <w:rPr>
          <w:rFonts w:ascii="Arial" w:eastAsia="Calibri" w:hAnsi="Arial" w:cs="Arial"/>
          <w:sz w:val="20"/>
          <w:szCs w:val="20"/>
          <w:lang w:val="en-GB" w:eastAsia="da-DK"/>
        </w:rPr>
        <w:t>an interim report within five years.</w:t>
      </w:r>
      <w:r w:rsidR="006B6946" w:rsidRPr="00691DCA">
        <w:rPr>
          <w:rFonts w:ascii="Arial" w:eastAsia="Calibri" w:hAnsi="Arial" w:cs="Arial"/>
          <w:sz w:val="20"/>
          <w:szCs w:val="20"/>
          <w:lang w:val="en-GB" w:eastAsia="da-DK"/>
        </w:rPr>
        <w:t xml:space="preserve"> </w:t>
      </w:r>
    </w:p>
    <w:p w14:paraId="46C6C4F8" w14:textId="77777777" w:rsidR="00191C2A" w:rsidRPr="00691DCA" w:rsidRDefault="006B6946" w:rsidP="00191C2A">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T</w:t>
      </w:r>
      <w:r w:rsidR="00191C2A" w:rsidRPr="00691DCA">
        <w:rPr>
          <w:rFonts w:ascii="Arial" w:eastAsia="Calibri" w:hAnsi="Arial" w:cs="Arial"/>
          <w:sz w:val="20"/>
          <w:szCs w:val="20"/>
          <w:lang w:val="en-GB" w:eastAsia="da-DK"/>
        </w:rPr>
        <w:t xml:space="preserve">he </w:t>
      </w:r>
      <w:r w:rsidRPr="00691DCA">
        <w:rPr>
          <w:rFonts w:ascii="Arial" w:eastAsia="Calibri" w:hAnsi="Arial" w:cs="Arial"/>
          <w:sz w:val="20"/>
          <w:szCs w:val="20"/>
          <w:lang w:val="en-GB" w:eastAsia="da-DK"/>
        </w:rPr>
        <w:t xml:space="preserve">FCC </w:t>
      </w:r>
      <w:r w:rsidR="00191C2A" w:rsidRPr="00691DCA">
        <w:rPr>
          <w:rFonts w:ascii="Arial" w:eastAsia="Calibri" w:hAnsi="Arial" w:cs="Arial"/>
          <w:sz w:val="20"/>
          <w:szCs w:val="20"/>
          <w:lang w:val="en-GB" w:eastAsia="da-DK"/>
        </w:rPr>
        <w:t>ruling allows licensees to market and sell devices directly to users</w:t>
      </w:r>
      <w:r w:rsidRPr="00691DCA">
        <w:rPr>
          <w:rFonts w:ascii="Arial" w:eastAsia="Calibri" w:hAnsi="Arial" w:cs="Arial"/>
          <w:sz w:val="20"/>
          <w:szCs w:val="20"/>
          <w:lang w:val="en-GB" w:eastAsia="da-DK"/>
        </w:rPr>
        <w:t>,</w:t>
      </w:r>
      <w:r w:rsidR="00191C2A" w:rsidRPr="00691DCA">
        <w:rPr>
          <w:rFonts w:ascii="Arial" w:eastAsia="Calibri" w:hAnsi="Arial" w:cs="Arial"/>
          <w:sz w:val="20"/>
          <w:szCs w:val="20"/>
          <w:lang w:val="en-GB" w:eastAsia="da-DK"/>
        </w:rPr>
        <w:t xml:space="preserve"> to allow early adopters and other trial participants to help offset the costs of developing systems and equipment. However, any equip</w:t>
      </w:r>
      <w:r w:rsidRPr="00691DCA">
        <w:rPr>
          <w:rFonts w:ascii="Arial" w:eastAsia="Calibri" w:hAnsi="Arial" w:cs="Arial"/>
          <w:sz w:val="20"/>
          <w:szCs w:val="20"/>
          <w:lang w:val="en-GB" w:eastAsia="da-DK"/>
        </w:rPr>
        <w:t>ment sold must be retrieved or made inoperable</w:t>
      </w:r>
      <w:r w:rsidR="00191C2A" w:rsidRPr="00691DCA">
        <w:rPr>
          <w:rFonts w:ascii="Arial" w:eastAsia="Calibri" w:hAnsi="Arial" w:cs="Arial"/>
          <w:sz w:val="20"/>
          <w:szCs w:val="20"/>
          <w:lang w:val="en-GB" w:eastAsia="da-DK"/>
        </w:rPr>
        <w:t xml:space="preserve"> at the end of the trial.</w:t>
      </w:r>
    </w:p>
    <w:p w14:paraId="46C6C4F9" w14:textId="77777777" w:rsidR="00191C2A" w:rsidRPr="00691DCA" w:rsidRDefault="006B6946" w:rsidP="00191C2A">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Airwaves </w:t>
      </w:r>
      <w:r w:rsidR="00CF4A7D" w:rsidRPr="00691DCA">
        <w:rPr>
          <w:rFonts w:ascii="Arial" w:eastAsia="Calibri" w:hAnsi="Arial" w:cs="Arial"/>
          <w:sz w:val="20"/>
          <w:szCs w:val="20"/>
          <w:lang w:val="en-GB" w:eastAsia="da-DK"/>
        </w:rPr>
        <w:t>between</w:t>
      </w:r>
      <w:r w:rsidRPr="00691DCA">
        <w:rPr>
          <w:rFonts w:ascii="Arial" w:eastAsia="Calibri" w:hAnsi="Arial" w:cs="Arial"/>
          <w:sz w:val="20"/>
          <w:szCs w:val="20"/>
          <w:lang w:val="en-GB" w:eastAsia="da-DK"/>
        </w:rPr>
        <w:t xml:space="preserve"> 95 GHz </w:t>
      </w:r>
      <w:r w:rsidR="00CF4A7D" w:rsidRPr="00691DCA">
        <w:rPr>
          <w:rFonts w:ascii="Arial" w:eastAsia="Calibri" w:hAnsi="Arial" w:cs="Arial"/>
          <w:sz w:val="20"/>
          <w:szCs w:val="20"/>
          <w:lang w:val="en-GB" w:eastAsia="da-DK"/>
        </w:rPr>
        <w:t>and 3 THz</w:t>
      </w:r>
      <w:r w:rsidR="00B527F3" w:rsidRPr="00691DCA">
        <w:rPr>
          <w:rFonts w:ascii="Arial" w:eastAsia="Calibri" w:hAnsi="Arial" w:cs="Arial"/>
          <w:sz w:val="20"/>
          <w:szCs w:val="20"/>
          <w:lang w:val="en-GB" w:eastAsia="da-DK"/>
        </w:rPr>
        <w:t xml:space="preserve"> have propagation characteristics that </w:t>
      </w:r>
      <w:r w:rsidR="00CF4A7D" w:rsidRPr="00691DCA">
        <w:rPr>
          <w:rFonts w:ascii="Arial" w:eastAsia="Calibri" w:hAnsi="Arial" w:cs="Arial"/>
          <w:sz w:val="20"/>
          <w:szCs w:val="20"/>
          <w:lang w:val="en-GB" w:eastAsia="da-DK"/>
        </w:rPr>
        <w:t>can</w:t>
      </w:r>
      <w:r w:rsidR="00B527F3" w:rsidRPr="00691DCA">
        <w:rPr>
          <w:rFonts w:ascii="Arial" w:eastAsia="Calibri" w:hAnsi="Arial" w:cs="Arial"/>
          <w:sz w:val="20"/>
          <w:szCs w:val="20"/>
          <w:lang w:val="en-GB" w:eastAsia="da-DK"/>
        </w:rPr>
        <w:t xml:space="preserve"> enable large numbers of devices to operate, while limiting the possibility of interference to existing uses, such as space research and atmospheric sensing.</w:t>
      </w:r>
      <w:r w:rsidR="00191C2A" w:rsidRPr="00691DCA">
        <w:rPr>
          <w:rFonts w:ascii="Arial" w:eastAsia="Calibri" w:hAnsi="Arial" w:cs="Arial"/>
          <w:sz w:val="20"/>
          <w:szCs w:val="20"/>
          <w:lang w:val="en-GB" w:eastAsia="da-DK"/>
        </w:rPr>
        <w:t xml:space="preserve"> </w:t>
      </w:r>
      <w:r w:rsidRPr="00691DCA">
        <w:rPr>
          <w:rFonts w:ascii="Arial" w:eastAsia="Calibri" w:hAnsi="Arial" w:cs="Arial"/>
          <w:sz w:val="20"/>
          <w:szCs w:val="20"/>
          <w:lang w:val="en-GB" w:eastAsia="da-DK"/>
        </w:rPr>
        <w:t>R</w:t>
      </w:r>
      <w:r w:rsidR="00191C2A" w:rsidRPr="00691DCA">
        <w:rPr>
          <w:rFonts w:ascii="Arial" w:eastAsia="Calibri" w:hAnsi="Arial" w:cs="Arial"/>
          <w:sz w:val="20"/>
          <w:szCs w:val="20"/>
          <w:lang w:val="en-GB" w:eastAsia="da-DK"/>
        </w:rPr>
        <w:t xml:space="preserve">esearchers believe </w:t>
      </w:r>
      <w:r w:rsidRPr="00691DCA">
        <w:rPr>
          <w:rFonts w:ascii="Arial" w:eastAsia="Calibri" w:hAnsi="Arial" w:cs="Arial"/>
          <w:sz w:val="20"/>
          <w:szCs w:val="20"/>
          <w:lang w:val="en-GB" w:eastAsia="da-DK"/>
        </w:rPr>
        <w:t xml:space="preserve">that this portion of spectrum </w:t>
      </w:r>
      <w:r w:rsidR="00191C2A" w:rsidRPr="00691DCA">
        <w:rPr>
          <w:rFonts w:ascii="Arial" w:eastAsia="Calibri" w:hAnsi="Arial" w:cs="Arial"/>
          <w:sz w:val="20"/>
          <w:szCs w:val="20"/>
          <w:lang w:val="en-GB" w:eastAsia="da-DK"/>
        </w:rPr>
        <w:t>could become integral to the sixth generation of wireless communications (6G)</w:t>
      </w:r>
      <w:r w:rsidR="00CF4A7D" w:rsidRPr="00691DCA">
        <w:rPr>
          <w:rFonts w:ascii="Arial" w:eastAsia="Calibri" w:hAnsi="Arial" w:cs="Arial"/>
          <w:sz w:val="20"/>
          <w:szCs w:val="20"/>
          <w:lang w:val="en-GB" w:eastAsia="da-DK"/>
        </w:rPr>
        <w:t>.</w:t>
      </w:r>
      <w:r w:rsidR="00191C2A" w:rsidRPr="00691DCA">
        <w:rPr>
          <w:rFonts w:ascii="Arial" w:eastAsia="Calibri" w:hAnsi="Arial" w:cs="Arial"/>
          <w:sz w:val="20"/>
          <w:szCs w:val="20"/>
          <w:lang w:val="en-GB" w:eastAsia="da-DK"/>
        </w:rPr>
        <w:t xml:space="preserve"> </w:t>
      </w:r>
    </w:p>
    <w:p w14:paraId="46C6C4FA" w14:textId="77777777" w:rsidR="004D1790" w:rsidRPr="00691DCA" w:rsidRDefault="004D1790" w:rsidP="001D0218">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(For information in </w:t>
      </w:r>
      <w:r w:rsidR="00CF4A7D" w:rsidRPr="00691DCA">
        <w:rPr>
          <w:rFonts w:ascii="Arial" w:hAnsi="Arial" w:cs="Arial"/>
          <w:b/>
          <w:sz w:val="20"/>
          <w:szCs w:val="20"/>
          <w:lang w:val="en-GB"/>
        </w:rPr>
        <w:t>WG FM and WG SE</w:t>
      </w:r>
      <w:r w:rsidRPr="00691DCA">
        <w:rPr>
          <w:rFonts w:ascii="Arial" w:hAnsi="Arial" w:cs="Arial"/>
          <w:b/>
          <w:sz w:val="20"/>
          <w:szCs w:val="20"/>
          <w:lang w:val="en-GB"/>
        </w:rPr>
        <w:t>)</w:t>
      </w:r>
    </w:p>
    <w:p w14:paraId="46C6C4FB" w14:textId="77777777" w:rsidR="00A079FC" w:rsidRPr="00691DCA" w:rsidRDefault="00A079FC" w:rsidP="00A079FC">
      <w:pPr>
        <w:pStyle w:val="Heading3"/>
        <w:rPr>
          <w:szCs w:val="20"/>
          <w:lang w:val="en-GB"/>
        </w:rPr>
      </w:pPr>
      <w:bookmarkStart w:id="15" w:name="_Toc12461956"/>
      <w:r w:rsidRPr="00691DCA">
        <w:rPr>
          <w:szCs w:val="20"/>
          <w:lang w:val="en-GB"/>
        </w:rPr>
        <w:t>FCC 5G FAST</w:t>
      </w:r>
      <w:bookmarkEnd w:id="15"/>
    </w:p>
    <w:p w14:paraId="46C6C4FC" w14:textId="77777777" w:rsidR="00AF2B52" w:rsidRPr="00691DCA" w:rsidRDefault="00CF4A7D" w:rsidP="00831BB4">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FCC is pursuing a comprehensive</w:t>
      </w:r>
      <w:r w:rsidR="00831BB4" w:rsidRPr="00691DCA">
        <w:rPr>
          <w:rFonts w:ascii="Arial" w:eastAsia="Calibri" w:hAnsi="Arial" w:cs="Arial"/>
          <w:sz w:val="20"/>
          <w:szCs w:val="20"/>
          <w:lang w:val="en-GB" w:eastAsia="da-DK"/>
        </w:rPr>
        <w:t xml:space="preserve"> strategy to Facilitate America´</w:t>
      </w:r>
      <w:r w:rsidRPr="00691DCA">
        <w:rPr>
          <w:rFonts w:ascii="Arial" w:eastAsia="Calibri" w:hAnsi="Arial" w:cs="Arial"/>
          <w:sz w:val="20"/>
          <w:szCs w:val="20"/>
          <w:lang w:val="en-GB" w:eastAsia="da-DK"/>
        </w:rPr>
        <w:t>s Superiority in 5G Technology (the 5G FAST Plan). This includes three key components: (1) freeing up spectrum, (2) promoting telecommunication infrastructures and (3) modernising regulations</w:t>
      </w:r>
      <w:r w:rsidR="00AF2B52" w:rsidRPr="00691DCA">
        <w:rPr>
          <w:rFonts w:ascii="Arial" w:eastAsia="Calibri" w:hAnsi="Arial" w:cs="Arial"/>
          <w:sz w:val="20"/>
          <w:szCs w:val="20"/>
          <w:lang w:val="en-GB" w:eastAsia="da-DK"/>
        </w:rPr>
        <w:t xml:space="preserve">. </w:t>
      </w:r>
    </w:p>
    <w:p w14:paraId="46C6C4FD" w14:textId="77777777" w:rsidR="00AF2B52" w:rsidRPr="00691DCA" w:rsidRDefault="00AF2B52" w:rsidP="00831BB4">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Additional spectrum is being made available in different kind of frequencies. With the auctions of high-band spectrum which are being completed this year in the 24-47 GHz range, FCC will release almost 5 GH</w:t>
      </w:r>
      <w:r w:rsidR="00645133" w:rsidRPr="00691DCA">
        <w:rPr>
          <w:rFonts w:ascii="Arial" w:eastAsia="Calibri" w:hAnsi="Arial" w:cs="Arial"/>
          <w:sz w:val="20"/>
          <w:szCs w:val="20"/>
          <w:lang w:val="en-GB" w:eastAsia="da-DK"/>
        </w:rPr>
        <w:t>z</w:t>
      </w:r>
      <w:r w:rsidRPr="00691DCA">
        <w:rPr>
          <w:rFonts w:ascii="Arial" w:eastAsia="Calibri" w:hAnsi="Arial" w:cs="Arial"/>
          <w:sz w:val="20"/>
          <w:szCs w:val="20"/>
          <w:lang w:val="en-GB" w:eastAsia="da-DK"/>
        </w:rPr>
        <w:t xml:space="preserve"> of 5G spectrum into the market. Moreover, FCC considers making possibly available 844 MHz of additional spectrum for 5G deployments in the mid-band (</w:t>
      </w:r>
      <w:hyperlink r:id="rId15" w:history="1">
        <w:r w:rsidRPr="00691DCA">
          <w:rPr>
            <w:rFonts w:ascii="Arial" w:eastAsia="Calibri" w:hAnsi="Arial" w:cs="Arial"/>
            <w:sz w:val="20"/>
            <w:szCs w:val="20"/>
            <w:lang w:val="en-GB" w:eastAsia="da-DK"/>
          </w:rPr>
          <w:t>2.5 GHz</w:t>
        </w:r>
      </w:hyperlink>
      <w:r w:rsidRPr="00691DCA">
        <w:rPr>
          <w:rFonts w:ascii="Arial" w:eastAsia="Calibri" w:hAnsi="Arial" w:cs="Arial"/>
          <w:sz w:val="20"/>
          <w:szCs w:val="20"/>
          <w:lang w:val="en-GB" w:eastAsia="da-DK"/>
        </w:rPr>
        <w:t xml:space="preserve">, </w:t>
      </w:r>
      <w:hyperlink r:id="rId16" w:history="1">
        <w:r w:rsidRPr="00691DCA">
          <w:rPr>
            <w:rFonts w:ascii="Arial" w:eastAsia="Calibri" w:hAnsi="Arial" w:cs="Arial"/>
            <w:sz w:val="20"/>
            <w:szCs w:val="20"/>
            <w:lang w:val="en-GB" w:eastAsia="da-DK"/>
          </w:rPr>
          <w:t>3.5 GHz</w:t>
        </w:r>
      </w:hyperlink>
      <w:r w:rsidRPr="00691DCA">
        <w:rPr>
          <w:rFonts w:ascii="Arial" w:eastAsia="Calibri" w:hAnsi="Arial" w:cs="Arial"/>
          <w:sz w:val="20"/>
          <w:szCs w:val="20"/>
          <w:lang w:val="en-GB" w:eastAsia="da-DK"/>
        </w:rPr>
        <w:t xml:space="preserve">, and </w:t>
      </w:r>
      <w:hyperlink r:id="rId17" w:history="1">
        <w:r w:rsidRPr="00691DCA">
          <w:rPr>
            <w:rFonts w:ascii="Arial" w:eastAsia="Calibri" w:hAnsi="Arial" w:cs="Arial"/>
            <w:sz w:val="20"/>
            <w:szCs w:val="20"/>
            <w:lang w:val="en-GB" w:eastAsia="da-DK"/>
          </w:rPr>
          <w:t>3.7-4.2 GHz</w:t>
        </w:r>
      </w:hyperlink>
      <w:r w:rsidRPr="00691DCA">
        <w:rPr>
          <w:rFonts w:ascii="Arial" w:eastAsia="Calibri" w:hAnsi="Arial" w:cs="Arial"/>
          <w:sz w:val="20"/>
          <w:szCs w:val="20"/>
          <w:lang w:val="en-GB" w:eastAsia="da-DK"/>
        </w:rPr>
        <w:t xml:space="preserve"> bands</w:t>
      </w:r>
      <w:r w:rsidR="003635BB" w:rsidRPr="00691DCA">
        <w:rPr>
          <w:rFonts w:ascii="Arial" w:eastAsia="Calibri" w:hAnsi="Arial" w:cs="Arial"/>
          <w:sz w:val="20"/>
          <w:szCs w:val="20"/>
          <w:lang w:val="en-GB" w:eastAsia="da-DK"/>
        </w:rPr>
        <w:t>)</w:t>
      </w:r>
      <w:r w:rsidR="00831BB4" w:rsidRPr="00691DCA">
        <w:rPr>
          <w:rFonts w:ascii="Arial" w:eastAsia="Calibri" w:hAnsi="Arial" w:cs="Arial"/>
          <w:sz w:val="20"/>
          <w:szCs w:val="20"/>
          <w:lang w:val="en-GB" w:eastAsia="da-DK"/>
        </w:rPr>
        <w:t>,</w:t>
      </w:r>
      <w:r w:rsidR="003635BB" w:rsidRPr="00691DCA">
        <w:rPr>
          <w:rFonts w:ascii="Arial" w:eastAsia="Calibri" w:hAnsi="Arial" w:cs="Arial"/>
          <w:sz w:val="20"/>
          <w:szCs w:val="20"/>
          <w:lang w:val="en-GB" w:eastAsia="da-DK"/>
        </w:rPr>
        <w:t xml:space="preserve"> while the</w:t>
      </w:r>
      <w:r w:rsidRPr="00691DCA">
        <w:rPr>
          <w:rFonts w:ascii="Arial" w:eastAsia="Calibri" w:hAnsi="Arial" w:cs="Arial"/>
          <w:sz w:val="20"/>
          <w:szCs w:val="20"/>
          <w:lang w:val="en-GB" w:eastAsia="da-DK"/>
        </w:rPr>
        <w:t xml:space="preserve"> use of spectrum below 1 GHz (low-band) is </w:t>
      </w:r>
      <w:r w:rsidR="003635BB" w:rsidRPr="00691DCA">
        <w:rPr>
          <w:rFonts w:ascii="Arial" w:eastAsia="Calibri" w:hAnsi="Arial" w:cs="Arial"/>
          <w:sz w:val="20"/>
          <w:szCs w:val="20"/>
          <w:lang w:val="en-GB" w:eastAsia="da-DK"/>
        </w:rPr>
        <w:t>currently</w:t>
      </w:r>
      <w:r w:rsidRPr="00691DCA">
        <w:rPr>
          <w:rFonts w:ascii="Arial" w:eastAsia="Calibri" w:hAnsi="Arial" w:cs="Arial"/>
          <w:sz w:val="20"/>
          <w:szCs w:val="20"/>
          <w:lang w:val="en-GB" w:eastAsia="da-DK"/>
        </w:rPr>
        <w:t xml:space="preserve"> being improved to achieve wider coverage. </w:t>
      </w:r>
      <w:r w:rsidR="00645133" w:rsidRPr="00691DCA">
        <w:rPr>
          <w:rFonts w:ascii="Arial" w:eastAsia="Calibri" w:hAnsi="Arial" w:cs="Arial"/>
          <w:sz w:val="20"/>
          <w:szCs w:val="20"/>
          <w:lang w:val="en-GB" w:eastAsia="da-DK"/>
        </w:rPr>
        <w:t xml:space="preserve">New opportunities will </w:t>
      </w:r>
      <w:r w:rsidR="00831BB4" w:rsidRPr="00691DCA">
        <w:rPr>
          <w:rFonts w:ascii="Arial" w:eastAsia="Calibri" w:hAnsi="Arial" w:cs="Arial"/>
          <w:sz w:val="20"/>
          <w:szCs w:val="20"/>
          <w:lang w:val="en-GB" w:eastAsia="da-DK"/>
        </w:rPr>
        <w:t xml:space="preserve">also </w:t>
      </w:r>
      <w:r w:rsidR="00645133" w:rsidRPr="00691DCA">
        <w:rPr>
          <w:rFonts w:ascii="Arial" w:eastAsia="Calibri" w:hAnsi="Arial" w:cs="Arial"/>
          <w:sz w:val="20"/>
          <w:szCs w:val="20"/>
          <w:lang w:val="en-GB" w:eastAsia="da-DK"/>
        </w:rPr>
        <w:t>be created for the use of unlicensed spectrum in the 6 GHz and 95 GHz bands.</w:t>
      </w:r>
    </w:p>
    <w:p w14:paraId="46C6C4FE" w14:textId="77777777" w:rsidR="00AF2B52" w:rsidRPr="00691DCA" w:rsidRDefault="003635BB" w:rsidP="00831BB4">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FCC is </w:t>
      </w:r>
      <w:r w:rsidR="00831BB4" w:rsidRPr="00691DCA">
        <w:rPr>
          <w:rFonts w:ascii="Arial" w:eastAsia="Calibri" w:hAnsi="Arial" w:cs="Arial"/>
          <w:sz w:val="20"/>
          <w:szCs w:val="20"/>
          <w:lang w:val="en-GB" w:eastAsia="da-DK"/>
        </w:rPr>
        <w:t xml:space="preserve">also </w:t>
      </w:r>
      <w:r w:rsidRPr="00691DCA">
        <w:rPr>
          <w:rFonts w:ascii="Arial" w:eastAsia="Calibri" w:hAnsi="Arial" w:cs="Arial"/>
          <w:sz w:val="20"/>
          <w:szCs w:val="20"/>
          <w:lang w:val="en-GB" w:eastAsia="da-DK"/>
        </w:rPr>
        <w:t>updating infrastructure policy and encouraging the private sector to invest in 5G networks</w:t>
      </w:r>
      <w:r w:rsidR="00831BB4" w:rsidRPr="00691DCA">
        <w:rPr>
          <w:rFonts w:ascii="Arial" w:eastAsia="Calibri" w:hAnsi="Arial" w:cs="Arial"/>
          <w:sz w:val="20"/>
          <w:szCs w:val="20"/>
          <w:lang w:val="en-GB" w:eastAsia="da-DK"/>
        </w:rPr>
        <w:t xml:space="preserve"> with the intention to </w:t>
      </w:r>
      <w:r w:rsidRPr="00691DCA">
        <w:rPr>
          <w:rFonts w:ascii="Arial" w:eastAsia="Calibri" w:hAnsi="Arial" w:cs="Arial"/>
          <w:sz w:val="20"/>
          <w:szCs w:val="20"/>
          <w:lang w:val="en-GB" w:eastAsia="da-DK"/>
        </w:rPr>
        <w:t>ease</w:t>
      </w:r>
      <w:r w:rsidR="00645133" w:rsidRPr="00691DCA">
        <w:rPr>
          <w:rFonts w:ascii="Arial" w:eastAsia="Calibri" w:hAnsi="Arial" w:cs="Arial"/>
          <w:sz w:val="20"/>
          <w:szCs w:val="20"/>
          <w:lang w:val="en-GB" w:eastAsia="da-DK"/>
        </w:rPr>
        <w:t xml:space="preserve"> the deployment of </w:t>
      </w:r>
      <w:r w:rsidRPr="00691DCA">
        <w:rPr>
          <w:rFonts w:ascii="Arial" w:eastAsia="Calibri" w:hAnsi="Arial" w:cs="Arial"/>
          <w:sz w:val="20"/>
          <w:szCs w:val="20"/>
          <w:lang w:val="en-GB" w:eastAsia="da-DK"/>
        </w:rPr>
        <w:t xml:space="preserve">a denser </w:t>
      </w:r>
      <w:r w:rsidR="00645133" w:rsidRPr="00691DCA">
        <w:rPr>
          <w:rFonts w:ascii="Arial" w:eastAsia="Calibri" w:hAnsi="Arial" w:cs="Arial"/>
          <w:sz w:val="20"/>
          <w:szCs w:val="20"/>
          <w:lang w:val="en-GB" w:eastAsia="da-DK"/>
        </w:rPr>
        <w:t xml:space="preserve">telecommunication infrastructure, </w:t>
      </w:r>
      <w:r w:rsidRPr="00691DCA">
        <w:rPr>
          <w:rFonts w:ascii="Arial" w:eastAsia="Calibri" w:hAnsi="Arial" w:cs="Arial"/>
          <w:sz w:val="20"/>
          <w:szCs w:val="20"/>
          <w:lang w:val="en-GB" w:eastAsia="da-DK"/>
        </w:rPr>
        <w:t>on which</w:t>
      </w:r>
      <w:r w:rsidR="00645133" w:rsidRPr="00691DCA">
        <w:rPr>
          <w:rFonts w:ascii="Arial" w:eastAsia="Calibri" w:hAnsi="Arial" w:cs="Arial"/>
          <w:sz w:val="20"/>
          <w:szCs w:val="20"/>
          <w:lang w:val="en-GB" w:eastAsia="da-DK"/>
        </w:rPr>
        <w:t xml:space="preserve"> 5G will rely </w:t>
      </w:r>
      <w:r w:rsidRPr="00691DCA">
        <w:rPr>
          <w:rFonts w:ascii="Arial" w:eastAsia="Calibri" w:hAnsi="Arial" w:cs="Arial"/>
          <w:sz w:val="20"/>
          <w:szCs w:val="20"/>
          <w:lang w:val="en-GB" w:eastAsia="da-DK"/>
        </w:rPr>
        <w:t>more</w:t>
      </w:r>
      <w:r w:rsidR="00645133" w:rsidRPr="00691DCA">
        <w:rPr>
          <w:rFonts w:ascii="Arial" w:eastAsia="Calibri" w:hAnsi="Arial" w:cs="Arial"/>
          <w:sz w:val="20"/>
          <w:szCs w:val="20"/>
          <w:lang w:val="en-GB" w:eastAsia="da-DK"/>
        </w:rPr>
        <w:t xml:space="preserve"> than the previous generations. </w:t>
      </w:r>
    </w:p>
    <w:p w14:paraId="46C6C4FF" w14:textId="77777777" w:rsidR="00831BB4" w:rsidRPr="00691DCA" w:rsidRDefault="003635BB" w:rsidP="00831BB4">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Outdated</w:t>
      </w:r>
      <w:r w:rsidR="00645133" w:rsidRPr="00691DCA">
        <w:rPr>
          <w:rFonts w:ascii="Arial" w:eastAsia="Calibri" w:hAnsi="Arial" w:cs="Arial"/>
          <w:sz w:val="20"/>
          <w:szCs w:val="20"/>
          <w:lang w:val="en-GB" w:eastAsia="da-DK"/>
        </w:rPr>
        <w:t xml:space="preserve"> regulations </w:t>
      </w:r>
      <w:r w:rsidRPr="00691DCA">
        <w:rPr>
          <w:rFonts w:ascii="Arial" w:eastAsia="Calibri" w:hAnsi="Arial" w:cs="Arial"/>
          <w:sz w:val="20"/>
          <w:szCs w:val="20"/>
          <w:lang w:val="en-GB" w:eastAsia="da-DK"/>
        </w:rPr>
        <w:t xml:space="preserve">are also being revised to promote </w:t>
      </w:r>
      <w:r w:rsidR="00645133" w:rsidRPr="00691DCA">
        <w:rPr>
          <w:rFonts w:ascii="Arial" w:eastAsia="Calibri" w:hAnsi="Arial" w:cs="Arial"/>
          <w:sz w:val="20"/>
          <w:szCs w:val="20"/>
          <w:lang w:val="en-GB" w:eastAsia="da-DK"/>
        </w:rPr>
        <w:t>wired backbone of 5G networks</w:t>
      </w:r>
      <w:r w:rsidR="00831BB4" w:rsidRPr="00691DCA">
        <w:rPr>
          <w:rFonts w:ascii="Arial" w:eastAsia="Calibri" w:hAnsi="Arial" w:cs="Arial"/>
          <w:sz w:val="20"/>
          <w:szCs w:val="20"/>
          <w:lang w:val="en-GB" w:eastAsia="da-DK"/>
        </w:rPr>
        <w:t xml:space="preserve"> and digital opportunities for citizens</w:t>
      </w:r>
      <w:r w:rsidR="00645133" w:rsidRPr="00691DCA">
        <w:rPr>
          <w:rFonts w:ascii="Arial" w:eastAsia="Calibri" w:hAnsi="Arial" w:cs="Arial"/>
          <w:sz w:val="20"/>
          <w:szCs w:val="20"/>
          <w:lang w:val="en-GB" w:eastAsia="da-DK"/>
        </w:rPr>
        <w:t xml:space="preserve">. </w:t>
      </w:r>
      <w:r w:rsidR="00831BB4" w:rsidRPr="00691DCA">
        <w:rPr>
          <w:rFonts w:ascii="Arial" w:eastAsia="Calibri" w:hAnsi="Arial" w:cs="Arial"/>
          <w:sz w:val="20"/>
          <w:szCs w:val="20"/>
          <w:lang w:val="en-GB" w:eastAsia="da-DK"/>
        </w:rPr>
        <w:t>For instance, n</w:t>
      </w:r>
      <w:r w:rsidR="00645133" w:rsidRPr="00691DCA">
        <w:rPr>
          <w:rFonts w:ascii="Arial" w:eastAsia="Calibri" w:hAnsi="Arial" w:cs="Arial"/>
          <w:sz w:val="20"/>
          <w:szCs w:val="20"/>
          <w:lang w:val="en-GB" w:eastAsia="da-DK"/>
        </w:rPr>
        <w:t>ew rules were adopted to reduce reg</w:t>
      </w:r>
      <w:r w:rsidR="00831BB4" w:rsidRPr="00691DCA">
        <w:rPr>
          <w:rFonts w:ascii="Arial" w:eastAsia="Calibri" w:hAnsi="Arial" w:cs="Arial"/>
          <w:sz w:val="20"/>
          <w:szCs w:val="20"/>
          <w:lang w:val="en-GB" w:eastAsia="da-DK"/>
        </w:rPr>
        <w:t>ulatory impediments to deploy</w:t>
      </w:r>
      <w:r w:rsidR="00645133" w:rsidRPr="00691DCA">
        <w:rPr>
          <w:rFonts w:ascii="Arial" w:eastAsia="Calibri" w:hAnsi="Arial" w:cs="Arial"/>
          <w:sz w:val="20"/>
          <w:szCs w:val="20"/>
          <w:lang w:val="en-GB" w:eastAsia="da-DK"/>
        </w:rPr>
        <w:t xml:space="preserve"> small-cell</w:t>
      </w:r>
      <w:r w:rsidRPr="00691DCA">
        <w:rPr>
          <w:rFonts w:ascii="Arial" w:eastAsia="Calibri" w:hAnsi="Arial" w:cs="Arial"/>
          <w:sz w:val="20"/>
          <w:szCs w:val="20"/>
          <w:lang w:val="en-GB" w:eastAsia="da-DK"/>
        </w:rPr>
        <w:t>s</w:t>
      </w:r>
      <w:r w:rsidR="00645133" w:rsidRPr="00691DCA">
        <w:rPr>
          <w:rFonts w:ascii="Arial" w:eastAsia="Calibri" w:hAnsi="Arial" w:cs="Arial"/>
          <w:sz w:val="20"/>
          <w:szCs w:val="20"/>
          <w:lang w:val="en-GB" w:eastAsia="da-DK"/>
        </w:rPr>
        <w:t xml:space="preserve"> for 5G </w:t>
      </w:r>
      <w:r w:rsidR="00831BB4" w:rsidRPr="00691DCA">
        <w:rPr>
          <w:rFonts w:ascii="Arial" w:eastAsia="Calibri" w:hAnsi="Arial" w:cs="Arial"/>
          <w:sz w:val="20"/>
          <w:szCs w:val="20"/>
          <w:lang w:val="en-GB" w:eastAsia="da-DK"/>
        </w:rPr>
        <w:t xml:space="preserve">as well as to decrease cost and speed up the process for 5G backhaul deployment, thus </w:t>
      </w:r>
      <w:r w:rsidR="00645133" w:rsidRPr="00691DCA">
        <w:rPr>
          <w:rFonts w:ascii="Arial" w:eastAsia="Calibri" w:hAnsi="Arial" w:cs="Arial"/>
          <w:sz w:val="20"/>
          <w:szCs w:val="20"/>
          <w:lang w:val="en-GB" w:eastAsia="da-DK"/>
        </w:rPr>
        <w:t>expand</w:t>
      </w:r>
      <w:r w:rsidRPr="00691DCA">
        <w:rPr>
          <w:rFonts w:ascii="Arial" w:eastAsia="Calibri" w:hAnsi="Arial" w:cs="Arial"/>
          <w:sz w:val="20"/>
          <w:szCs w:val="20"/>
          <w:lang w:val="en-GB" w:eastAsia="da-DK"/>
        </w:rPr>
        <w:t>ing</w:t>
      </w:r>
      <w:r w:rsidR="00645133" w:rsidRPr="00691DCA">
        <w:rPr>
          <w:rFonts w:ascii="Arial" w:eastAsia="Calibri" w:hAnsi="Arial" w:cs="Arial"/>
          <w:sz w:val="20"/>
          <w:szCs w:val="20"/>
          <w:lang w:val="en-GB" w:eastAsia="da-DK"/>
        </w:rPr>
        <w:t xml:space="preserve"> the reach of 5G for faster, </w:t>
      </w:r>
      <w:r w:rsidR="00F31AB8" w:rsidRPr="00691DCA">
        <w:rPr>
          <w:rFonts w:ascii="Arial" w:eastAsia="Calibri" w:hAnsi="Arial" w:cs="Arial"/>
          <w:sz w:val="20"/>
          <w:szCs w:val="20"/>
          <w:lang w:val="en-GB" w:eastAsia="da-DK"/>
        </w:rPr>
        <w:t xml:space="preserve">more reliable wireless service. Revision of regulations addresses, in general, different areas to favour investments </w:t>
      </w:r>
      <w:r w:rsidR="00831BB4" w:rsidRPr="00691DCA">
        <w:rPr>
          <w:rFonts w:ascii="Arial" w:eastAsia="Calibri" w:hAnsi="Arial" w:cs="Arial"/>
          <w:sz w:val="20"/>
          <w:szCs w:val="20"/>
          <w:lang w:val="en-GB" w:eastAsia="da-DK"/>
        </w:rPr>
        <w:t>in next-g</w:t>
      </w:r>
      <w:r w:rsidR="00F31AB8" w:rsidRPr="00691DCA">
        <w:rPr>
          <w:rFonts w:ascii="Arial" w:eastAsia="Calibri" w:hAnsi="Arial" w:cs="Arial"/>
          <w:sz w:val="20"/>
          <w:szCs w:val="20"/>
          <w:lang w:val="en-GB" w:eastAsia="da-DK"/>
        </w:rPr>
        <w:t>eneration networks and services, promote innovation while protecting internet openness and freedom and guarantee integrity in the equipment or service supply chain.</w:t>
      </w:r>
    </w:p>
    <w:p w14:paraId="46C6C500" w14:textId="77777777" w:rsidR="00A079FC" w:rsidRPr="00691DCA" w:rsidRDefault="00A079FC" w:rsidP="00A079FC">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(For information in </w:t>
      </w:r>
      <w:r w:rsidR="00F31AB8" w:rsidRPr="00691DCA">
        <w:rPr>
          <w:rFonts w:ascii="Arial" w:hAnsi="Arial" w:cs="Arial"/>
          <w:b/>
          <w:sz w:val="20"/>
          <w:szCs w:val="20"/>
          <w:lang w:val="en-GB"/>
        </w:rPr>
        <w:t>WG FM</w:t>
      </w:r>
      <w:r w:rsidRPr="00691DCA">
        <w:rPr>
          <w:rFonts w:ascii="Arial" w:hAnsi="Arial" w:cs="Arial"/>
          <w:b/>
          <w:sz w:val="20"/>
          <w:szCs w:val="20"/>
          <w:lang w:val="en-GB"/>
        </w:rPr>
        <w:t>)</w:t>
      </w:r>
    </w:p>
    <w:p w14:paraId="46C6C501" w14:textId="77777777" w:rsidR="00976CEA" w:rsidRPr="00691DCA" w:rsidRDefault="004D1790" w:rsidP="0085432A">
      <w:pPr>
        <w:pStyle w:val="Heading3"/>
        <w:rPr>
          <w:szCs w:val="20"/>
          <w:lang w:val="en-GB"/>
        </w:rPr>
      </w:pPr>
      <w:bookmarkStart w:id="16" w:name="_Toc12461957"/>
      <w:r w:rsidRPr="00691DCA">
        <w:rPr>
          <w:szCs w:val="20"/>
          <w:lang w:val="en-GB"/>
        </w:rPr>
        <w:t xml:space="preserve">FCC </w:t>
      </w:r>
      <w:r w:rsidR="00976CEA" w:rsidRPr="00691DCA">
        <w:rPr>
          <w:szCs w:val="20"/>
          <w:lang w:val="en-GB"/>
        </w:rPr>
        <w:t xml:space="preserve">proposals for </w:t>
      </w:r>
      <w:proofErr w:type="spellStart"/>
      <w:r w:rsidR="00976CEA" w:rsidRPr="00691DCA">
        <w:rPr>
          <w:szCs w:val="20"/>
          <w:lang w:val="en-GB"/>
        </w:rPr>
        <w:t>replanning</w:t>
      </w:r>
      <w:proofErr w:type="spellEnd"/>
      <w:r w:rsidR="00976CEA" w:rsidRPr="00691DCA">
        <w:rPr>
          <w:szCs w:val="20"/>
          <w:lang w:val="en-GB"/>
        </w:rPr>
        <w:t xml:space="preserve"> of </w:t>
      </w:r>
      <w:r w:rsidRPr="00691DCA">
        <w:rPr>
          <w:szCs w:val="20"/>
          <w:lang w:val="en-GB"/>
        </w:rPr>
        <w:t>900 MHz</w:t>
      </w:r>
      <w:r w:rsidR="00976CEA" w:rsidRPr="00691DCA">
        <w:rPr>
          <w:szCs w:val="20"/>
          <w:lang w:val="en-GB"/>
        </w:rPr>
        <w:t xml:space="preserve"> band</w:t>
      </w:r>
      <w:bookmarkEnd w:id="16"/>
    </w:p>
    <w:p w14:paraId="46C6C502" w14:textId="77777777" w:rsidR="00024462" w:rsidRPr="00691DCA" w:rsidRDefault="00024462" w:rsidP="00024462">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The FCC have issued a Notice of Proposed Rulemaking (</w:t>
      </w:r>
      <w:hyperlink r:id="rId18" w:history="1">
        <w:r w:rsidRPr="00691DCA">
          <w:rPr>
            <w:rFonts w:ascii="Arial" w:hAnsi="Arial" w:cs="Arial"/>
            <w:color w:val="0000FF"/>
            <w:sz w:val="20"/>
            <w:u w:val="single"/>
            <w:lang w:val="en-US"/>
          </w:rPr>
          <w:t>NPRM</w:t>
        </w:r>
      </w:hyperlink>
      <w:r w:rsidRPr="00691DCA">
        <w:rPr>
          <w:rFonts w:ascii="Arial" w:eastAsia="Calibri" w:hAnsi="Arial" w:cs="Arial"/>
          <w:sz w:val="20"/>
          <w:szCs w:val="20"/>
          <w:lang w:val="en-GB" w:eastAsia="da-DK"/>
        </w:rPr>
        <w:t>) in April 2019 proposing to reorganise the 900 MHz band (896-901/935-940 MHz), designated for narrowband private land mobile radio, with deployed systems primarily used for two-way communication by land transportation, utility, manufacturing</w:t>
      </w:r>
      <w:r w:rsidR="00976CEA" w:rsidRPr="00691DCA">
        <w:rPr>
          <w:rFonts w:ascii="Arial" w:eastAsia="Calibri" w:hAnsi="Arial" w:cs="Arial"/>
          <w:sz w:val="20"/>
          <w:szCs w:val="20"/>
          <w:lang w:val="en-GB" w:eastAsia="da-DK"/>
        </w:rPr>
        <w:t>, and petrochemical companies. The proposals plan to reconfigure the band to allow for increased use by broadband applications such as smart grids.</w:t>
      </w:r>
    </w:p>
    <w:p w14:paraId="46C6C503" w14:textId="77777777" w:rsidR="00024462" w:rsidRPr="00691DCA" w:rsidRDefault="00024462" w:rsidP="00024462">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lastRenderedPageBreak/>
        <w:t xml:space="preserve">The 900 MHz band currently consists of 399 narrowband 2 x 12.5 </w:t>
      </w:r>
      <w:r w:rsidR="00E36082" w:rsidRPr="00691DCA">
        <w:rPr>
          <w:rFonts w:ascii="Arial" w:eastAsia="Calibri" w:hAnsi="Arial" w:cs="Arial"/>
          <w:sz w:val="20"/>
          <w:szCs w:val="20"/>
          <w:lang w:val="en-GB" w:eastAsia="da-DK"/>
        </w:rPr>
        <w:t>k</w:t>
      </w:r>
      <w:r w:rsidRPr="00691DCA">
        <w:rPr>
          <w:rFonts w:ascii="Arial" w:eastAsia="Calibri" w:hAnsi="Arial" w:cs="Arial"/>
          <w:sz w:val="20"/>
          <w:szCs w:val="20"/>
          <w:lang w:val="en-GB" w:eastAsia="da-DK"/>
        </w:rPr>
        <w:t>Hz frequency pairs grouped into 10 duplex blocks. Some of these licences are for 51 “major trading areas” while others are assigned on a site-by-site basis.</w:t>
      </w:r>
      <w:r w:rsidR="00E36082" w:rsidRPr="00691DCA">
        <w:rPr>
          <w:rFonts w:ascii="Arial" w:eastAsia="Calibri" w:hAnsi="Arial" w:cs="Arial"/>
          <w:sz w:val="20"/>
          <w:szCs w:val="20"/>
          <w:lang w:val="en-GB" w:eastAsia="da-DK"/>
        </w:rPr>
        <w:t xml:space="preserve"> </w:t>
      </w:r>
      <w:r w:rsidRPr="00691DCA">
        <w:rPr>
          <w:rFonts w:ascii="Arial" w:eastAsia="Calibri" w:hAnsi="Arial" w:cs="Arial"/>
          <w:sz w:val="20"/>
          <w:szCs w:val="20"/>
          <w:lang w:val="en-GB" w:eastAsia="da-DK"/>
        </w:rPr>
        <w:t xml:space="preserve">The FCC proposes to realign the band so that a 2x3 MHz (897.5–900.5 MHz paired with 936.5–939.5 MHz) portion of it comprises a broadband segment and the two blocks of 2 x 1.5 MHz above and below that allocation are reserved for continued narrowband operations. The FCC is open to alternative realignments, including 2 x 5 </w:t>
      </w:r>
      <w:proofErr w:type="spellStart"/>
      <w:r w:rsidRPr="00691DCA">
        <w:rPr>
          <w:rFonts w:ascii="Arial" w:eastAsia="Calibri" w:hAnsi="Arial" w:cs="Arial"/>
          <w:sz w:val="20"/>
          <w:szCs w:val="20"/>
          <w:lang w:val="en-GB" w:eastAsia="da-DK"/>
        </w:rPr>
        <w:t>MHz.</w:t>
      </w:r>
      <w:proofErr w:type="spellEnd"/>
    </w:p>
    <w:p w14:paraId="46C6C504" w14:textId="77777777" w:rsidR="00976CEA" w:rsidRPr="00691DCA" w:rsidRDefault="00976CEA" w:rsidP="00976CEA">
      <w:pPr>
        <w:spacing w:line="240" w:lineRule="auto"/>
        <w:jc w:val="both"/>
        <w:rPr>
          <w:rFonts w:ascii="Arial" w:hAnsi="Arial" w:cs="Arial"/>
          <w:b/>
          <w:sz w:val="20"/>
          <w:szCs w:val="20"/>
          <w:lang w:val="en-GB"/>
        </w:rPr>
      </w:pPr>
      <w:r w:rsidRPr="00691DCA">
        <w:rPr>
          <w:rFonts w:ascii="Arial" w:hAnsi="Arial" w:cs="Arial"/>
          <w:b/>
          <w:sz w:val="20"/>
          <w:szCs w:val="20"/>
          <w:lang w:val="en-GB"/>
        </w:rPr>
        <w:t>(For information in WGFM)</w:t>
      </w:r>
    </w:p>
    <w:p w14:paraId="46C6C505" w14:textId="77777777" w:rsidR="0085432A" w:rsidRPr="00691DCA" w:rsidRDefault="00976CEA" w:rsidP="0085432A">
      <w:pPr>
        <w:pStyle w:val="Heading3"/>
        <w:rPr>
          <w:szCs w:val="20"/>
          <w:lang w:val="en-GB"/>
        </w:rPr>
      </w:pPr>
      <w:bookmarkStart w:id="17" w:name="_Toc12461958"/>
      <w:r w:rsidRPr="00691DCA">
        <w:rPr>
          <w:szCs w:val="20"/>
          <w:lang w:val="en-GB"/>
        </w:rPr>
        <w:t>FCC proposed release of mid band spectrum</w:t>
      </w:r>
      <w:r w:rsidR="00E36082" w:rsidRPr="00691DCA">
        <w:rPr>
          <w:szCs w:val="20"/>
          <w:lang w:val="en-GB"/>
        </w:rPr>
        <w:t xml:space="preserve"> for mobile use</w:t>
      </w:r>
      <w:bookmarkEnd w:id="17"/>
    </w:p>
    <w:p w14:paraId="46C6C506" w14:textId="77777777" w:rsidR="00E36082" w:rsidRPr="00691DCA" w:rsidRDefault="002B3B72" w:rsidP="002B3B72">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In an </w:t>
      </w:r>
      <w:hyperlink r:id="rId19" w:history="1">
        <w:r w:rsidRPr="00691DCA">
          <w:rPr>
            <w:rStyle w:val="Hyperlink"/>
            <w:rFonts w:ascii="Arial" w:eastAsia="Calibri" w:hAnsi="Arial" w:cs="Arial"/>
            <w:sz w:val="20"/>
            <w:szCs w:val="20"/>
            <w:lang w:val="en-GB" w:eastAsia="da-DK"/>
          </w:rPr>
          <w:t>NPRM</w:t>
        </w:r>
      </w:hyperlink>
      <w:r w:rsidRPr="00691DCA">
        <w:rPr>
          <w:rFonts w:ascii="Arial" w:eastAsia="Calibri" w:hAnsi="Arial" w:cs="Arial"/>
          <w:sz w:val="20"/>
          <w:szCs w:val="20"/>
          <w:lang w:val="en-GB" w:eastAsia="da-DK"/>
        </w:rPr>
        <w:t xml:space="preserve"> issued in May, t</w:t>
      </w:r>
      <w:r w:rsidR="00E36082" w:rsidRPr="00691DCA">
        <w:rPr>
          <w:rFonts w:ascii="Arial" w:eastAsia="Calibri" w:hAnsi="Arial" w:cs="Arial"/>
          <w:sz w:val="20"/>
          <w:szCs w:val="20"/>
          <w:lang w:val="en-GB" w:eastAsia="da-DK"/>
        </w:rPr>
        <w:t xml:space="preserve">he FCC propose to open up access in 1675-1680 MHz for shared use between existing users and new </w:t>
      </w:r>
      <w:r w:rsidRPr="00691DCA">
        <w:rPr>
          <w:rFonts w:ascii="Arial" w:eastAsia="Calibri" w:hAnsi="Arial" w:cs="Arial"/>
          <w:sz w:val="20"/>
          <w:szCs w:val="20"/>
          <w:lang w:val="en-GB" w:eastAsia="da-DK"/>
        </w:rPr>
        <w:t xml:space="preserve">fixed or </w:t>
      </w:r>
      <w:r w:rsidR="00E36082" w:rsidRPr="00691DCA">
        <w:rPr>
          <w:rFonts w:ascii="Arial" w:eastAsia="Calibri" w:hAnsi="Arial" w:cs="Arial"/>
          <w:sz w:val="20"/>
          <w:szCs w:val="20"/>
          <w:lang w:val="en-GB" w:eastAsia="da-DK"/>
        </w:rPr>
        <w:t xml:space="preserve">mobile use. The band is currently allocated on a co-primary basis to </w:t>
      </w:r>
      <w:proofErr w:type="spellStart"/>
      <w:r w:rsidR="00E36082" w:rsidRPr="00691DCA">
        <w:rPr>
          <w:rFonts w:ascii="Arial" w:eastAsia="Calibri" w:hAnsi="Arial" w:cs="Arial"/>
          <w:sz w:val="20"/>
          <w:szCs w:val="20"/>
          <w:lang w:val="en-GB" w:eastAsia="da-DK"/>
        </w:rPr>
        <w:t>MetAi</w:t>
      </w:r>
      <w:r w:rsidRPr="00691DCA">
        <w:rPr>
          <w:rFonts w:ascii="Arial" w:eastAsia="Calibri" w:hAnsi="Arial" w:cs="Arial"/>
          <w:sz w:val="20"/>
          <w:szCs w:val="20"/>
          <w:lang w:val="en-GB" w:eastAsia="da-DK"/>
        </w:rPr>
        <w:t>d</w:t>
      </w:r>
      <w:r w:rsidR="00E36082" w:rsidRPr="00691DCA">
        <w:rPr>
          <w:rFonts w:ascii="Arial" w:eastAsia="Calibri" w:hAnsi="Arial" w:cs="Arial"/>
          <w:sz w:val="20"/>
          <w:szCs w:val="20"/>
          <w:lang w:val="en-GB" w:eastAsia="da-DK"/>
        </w:rPr>
        <w:t>s</w:t>
      </w:r>
      <w:proofErr w:type="spellEnd"/>
      <w:r w:rsidR="00E36082" w:rsidRPr="00691DCA">
        <w:rPr>
          <w:rFonts w:ascii="Arial" w:eastAsia="Calibri" w:hAnsi="Arial" w:cs="Arial"/>
          <w:sz w:val="20"/>
          <w:szCs w:val="20"/>
          <w:lang w:val="en-GB" w:eastAsia="da-DK"/>
        </w:rPr>
        <w:t xml:space="preserve">/radiosondes and </w:t>
      </w:r>
      <w:proofErr w:type="spellStart"/>
      <w:r w:rsidR="00E36082" w:rsidRPr="00691DCA">
        <w:rPr>
          <w:rFonts w:ascii="Arial" w:eastAsia="Calibri" w:hAnsi="Arial" w:cs="Arial"/>
          <w:sz w:val="20"/>
          <w:szCs w:val="20"/>
          <w:lang w:val="en-GB" w:eastAsia="da-DK"/>
        </w:rPr>
        <w:t>MetSat</w:t>
      </w:r>
      <w:proofErr w:type="spellEnd"/>
      <w:r w:rsidR="00E36082" w:rsidRPr="00691DCA">
        <w:rPr>
          <w:rFonts w:ascii="Arial" w:eastAsia="Calibri" w:hAnsi="Arial" w:cs="Arial"/>
          <w:sz w:val="20"/>
          <w:szCs w:val="20"/>
          <w:lang w:val="en-GB" w:eastAsia="da-DK"/>
        </w:rPr>
        <w:t xml:space="preserve">. The FCC is investigating the feasibility of geographical sharing </w:t>
      </w:r>
      <w:r w:rsidRPr="00691DCA">
        <w:rPr>
          <w:rFonts w:ascii="Arial" w:eastAsia="Calibri" w:hAnsi="Arial" w:cs="Arial"/>
          <w:sz w:val="20"/>
          <w:szCs w:val="20"/>
          <w:lang w:val="en-GB" w:eastAsia="da-DK"/>
        </w:rPr>
        <w:t xml:space="preserve">between these uses and new flexible wireless broadband use, </w:t>
      </w:r>
    </w:p>
    <w:p w14:paraId="46C6C507" w14:textId="77777777" w:rsidR="002B3B72" w:rsidRPr="00691DCA" w:rsidRDefault="002B3B72" w:rsidP="002B3B72">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The move is in response to a request from </w:t>
      </w:r>
      <w:proofErr w:type="spellStart"/>
      <w:r w:rsidRPr="00691DCA">
        <w:rPr>
          <w:rFonts w:ascii="Arial" w:eastAsia="Calibri" w:hAnsi="Arial" w:cs="Arial"/>
          <w:sz w:val="20"/>
          <w:szCs w:val="20"/>
          <w:lang w:val="en-GB" w:eastAsia="da-DK"/>
        </w:rPr>
        <w:t>Ligado</w:t>
      </w:r>
      <w:proofErr w:type="spellEnd"/>
      <w:r w:rsidRPr="00691DCA">
        <w:rPr>
          <w:rFonts w:ascii="Arial" w:eastAsia="Calibri" w:hAnsi="Arial" w:cs="Arial"/>
          <w:sz w:val="20"/>
          <w:szCs w:val="20"/>
          <w:lang w:val="en-GB" w:eastAsia="da-DK"/>
        </w:rPr>
        <w:t>, who hold 5 MHz of spectrum below this range.</w:t>
      </w:r>
    </w:p>
    <w:p w14:paraId="46C6C508" w14:textId="77777777" w:rsidR="002B3B72" w:rsidRPr="00691DCA" w:rsidRDefault="002B3B72" w:rsidP="002B3B72">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Separately, the FCC is understood to be exploring options in a range of bands with the aim of releasing up to 2125 MHz of additional “mid-band” spectrum, including 3100-3550 MHz and 7125-8500 MHz, </w:t>
      </w:r>
      <w:r w:rsidR="00732B43" w:rsidRPr="00691DCA">
        <w:rPr>
          <w:rFonts w:ascii="Arial" w:eastAsia="Calibri" w:hAnsi="Arial" w:cs="Arial"/>
          <w:sz w:val="20"/>
          <w:szCs w:val="20"/>
          <w:lang w:val="en-GB" w:eastAsia="da-DK"/>
        </w:rPr>
        <w:t>and</w:t>
      </w:r>
      <w:r w:rsidRPr="00691DCA">
        <w:rPr>
          <w:rFonts w:ascii="Arial" w:eastAsia="Calibri" w:hAnsi="Arial" w:cs="Arial"/>
          <w:sz w:val="20"/>
          <w:szCs w:val="20"/>
          <w:lang w:val="en-GB" w:eastAsia="da-DK"/>
        </w:rPr>
        <w:t xml:space="preserve"> the ongoing plans for release of spectrum 3700-4200 </w:t>
      </w:r>
      <w:proofErr w:type="spellStart"/>
      <w:r w:rsidRPr="00691DCA">
        <w:rPr>
          <w:rFonts w:ascii="Arial" w:eastAsia="Calibri" w:hAnsi="Arial" w:cs="Arial"/>
          <w:sz w:val="20"/>
          <w:szCs w:val="20"/>
          <w:lang w:val="en-GB" w:eastAsia="da-DK"/>
        </w:rPr>
        <w:t>MHz.</w:t>
      </w:r>
      <w:proofErr w:type="spellEnd"/>
    </w:p>
    <w:p w14:paraId="46C6C509" w14:textId="77777777" w:rsidR="004D1790" w:rsidRPr="00691DCA" w:rsidRDefault="004D1790" w:rsidP="004D1790">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(For information in </w:t>
      </w:r>
      <w:r w:rsidR="002B3B72" w:rsidRPr="00691DCA">
        <w:rPr>
          <w:rFonts w:ascii="Arial" w:hAnsi="Arial" w:cs="Arial"/>
          <w:b/>
          <w:sz w:val="20"/>
          <w:szCs w:val="20"/>
          <w:lang w:val="en-GB"/>
        </w:rPr>
        <w:t>WGFM and ECC PT1)</w:t>
      </w:r>
    </w:p>
    <w:p w14:paraId="46C6C50A" w14:textId="77777777" w:rsidR="00024462" w:rsidRPr="00691DCA" w:rsidRDefault="00024462" w:rsidP="00024462">
      <w:pPr>
        <w:pStyle w:val="Heading3"/>
        <w:rPr>
          <w:szCs w:val="20"/>
          <w:lang w:val="en-GB"/>
        </w:rPr>
      </w:pPr>
      <w:bookmarkStart w:id="18" w:name="_Toc12461959"/>
      <w:r w:rsidRPr="00691DCA">
        <w:rPr>
          <w:szCs w:val="20"/>
          <w:lang w:val="en-GB"/>
        </w:rPr>
        <w:t xml:space="preserve">FCC </w:t>
      </w:r>
      <w:r w:rsidR="00732B43" w:rsidRPr="00691DCA">
        <w:rPr>
          <w:szCs w:val="20"/>
          <w:lang w:val="en-GB"/>
        </w:rPr>
        <w:t xml:space="preserve">UWB ground penetrating radar </w:t>
      </w:r>
      <w:r w:rsidR="001D50B3" w:rsidRPr="00691DCA">
        <w:rPr>
          <w:szCs w:val="20"/>
          <w:lang w:val="en-GB"/>
        </w:rPr>
        <w:t xml:space="preserve">for autonomous vehicles </w:t>
      </w:r>
      <w:r w:rsidR="00732B43" w:rsidRPr="00691DCA">
        <w:rPr>
          <w:szCs w:val="20"/>
          <w:lang w:val="en-GB"/>
        </w:rPr>
        <w:t>103-403 MHz</w:t>
      </w:r>
      <w:bookmarkEnd w:id="18"/>
    </w:p>
    <w:p w14:paraId="46C6C50B" w14:textId="77777777" w:rsidR="00732B43" w:rsidRPr="00691DCA" w:rsidRDefault="00732B43" w:rsidP="00732B43">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On June 19 the FCC issued a </w:t>
      </w:r>
      <w:hyperlink r:id="rId20" w:history="1">
        <w:r w:rsidRPr="00691DCA">
          <w:rPr>
            <w:rStyle w:val="Hyperlink"/>
            <w:rFonts w:ascii="Arial" w:eastAsia="Calibri" w:hAnsi="Arial" w:cs="Arial"/>
            <w:sz w:val="20"/>
            <w:szCs w:val="20"/>
            <w:lang w:val="en-GB" w:eastAsia="da-DK"/>
          </w:rPr>
          <w:t>public notice</w:t>
        </w:r>
      </w:hyperlink>
      <w:r w:rsidRPr="00691DCA">
        <w:rPr>
          <w:rFonts w:ascii="Arial" w:eastAsia="Calibri" w:hAnsi="Arial" w:cs="Arial"/>
          <w:sz w:val="20"/>
          <w:szCs w:val="20"/>
          <w:lang w:val="en-GB" w:eastAsia="da-DK"/>
        </w:rPr>
        <w:t xml:space="preserve"> announcing that they received a request for a waiver of their UWB rules for use of evaluation kits of a UWB ground penetrating radar device operating between 103-403 </w:t>
      </w:r>
      <w:proofErr w:type="spellStart"/>
      <w:r w:rsidRPr="00691DCA">
        <w:rPr>
          <w:rFonts w:ascii="Arial" w:eastAsia="Calibri" w:hAnsi="Arial" w:cs="Arial"/>
          <w:sz w:val="20"/>
          <w:szCs w:val="20"/>
          <w:lang w:val="en-GB" w:eastAsia="da-DK"/>
        </w:rPr>
        <w:t>MHz.</w:t>
      </w:r>
      <w:proofErr w:type="spellEnd"/>
      <w:r w:rsidRPr="00691DCA">
        <w:rPr>
          <w:rFonts w:ascii="Arial" w:eastAsia="Calibri" w:hAnsi="Arial" w:cs="Arial"/>
          <w:sz w:val="20"/>
          <w:szCs w:val="20"/>
          <w:lang w:val="en-GB" w:eastAsia="da-DK"/>
        </w:rPr>
        <w:t xml:space="preserve"> The request was received from Geophysical Survey Systems, Inc. (GSSI) who wish to market up to 2000 evaluation kits for use by autonomous vehicles (e.g. self-driving cars), which would use the device to read features of the road beneath the pavement and use this data for vehicle guidance. </w:t>
      </w:r>
    </w:p>
    <w:p w14:paraId="46C6C50C" w14:textId="77777777" w:rsidR="00E02D4A" w:rsidRPr="00691DCA" w:rsidRDefault="00732B43" w:rsidP="00732B43">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GSSI seeks a rule waiver to permit it to use a stepped frequency configuration for its device which steps through its frequency range at 6 MHz intervals. The existing rules require that an UWB should have </w:t>
      </w:r>
      <w:r w:rsidR="00E02D4A" w:rsidRPr="00691DCA">
        <w:rPr>
          <w:rFonts w:ascii="Arial" w:hAnsi="Arial" w:cs="Arial"/>
          <w:color w:val="222222"/>
          <w:sz w:val="21"/>
          <w:szCs w:val="21"/>
          <w:shd w:val="clear" w:color="auto" w:fill="FFFFFF"/>
        </w:rPr>
        <w:t>a </w:t>
      </w:r>
      <w:r w:rsidR="00E02D4A" w:rsidRPr="00691DCA">
        <w:fldChar w:fldCharType="begin"/>
      </w:r>
      <w:r w:rsidR="00E02D4A" w:rsidRPr="00691DCA">
        <w:instrText xml:space="preserve"> HYPERLINK "https://en.wikipedia.org/wiki/Bandwidth_(signal_processing)" \o "Bandwidth (signal processing)" </w:instrText>
      </w:r>
      <w:r w:rsidR="00E02D4A" w:rsidRPr="00691DCA">
        <w:fldChar w:fldCharType="separate"/>
      </w:r>
      <w:r w:rsidR="00E02D4A" w:rsidRPr="00691DCA">
        <w:rPr>
          <w:rStyle w:val="Hyperlink"/>
          <w:rFonts w:ascii="Arial" w:hAnsi="Arial" w:cs="Arial"/>
          <w:color w:val="0B0080"/>
          <w:sz w:val="21"/>
          <w:szCs w:val="21"/>
          <w:u w:val="none"/>
          <w:shd w:val="clear" w:color="auto" w:fill="FFFFFF"/>
        </w:rPr>
        <w:t>bandwidth</w:t>
      </w:r>
      <w:r w:rsidR="00E02D4A" w:rsidRPr="00691DCA">
        <w:fldChar w:fldCharType="end"/>
      </w:r>
      <w:r w:rsidR="00E02D4A" w:rsidRPr="00691DCA">
        <w:rPr>
          <w:rFonts w:ascii="Arial" w:hAnsi="Arial" w:cs="Arial"/>
          <w:color w:val="222222"/>
          <w:sz w:val="21"/>
          <w:szCs w:val="21"/>
          <w:shd w:val="clear" w:color="auto" w:fill="FFFFFF"/>
        </w:rPr>
        <w:t xml:space="preserve"> exceeding the lesser of 500 MHz or 20% of the </w:t>
      </w:r>
      <w:r w:rsidR="00E02D4A" w:rsidRPr="00691DCA">
        <w:fldChar w:fldCharType="begin"/>
      </w:r>
      <w:r w:rsidR="00E02D4A" w:rsidRPr="00691DCA">
        <w:instrText xml:space="preserve"> HYPERLINK "https://en.wikipedia.org/wiki/Center_frequency" \o "" </w:instrText>
      </w:r>
      <w:r w:rsidR="00E02D4A" w:rsidRPr="00691DCA">
        <w:fldChar w:fldCharType="separate"/>
      </w:r>
      <w:r w:rsidR="00E02D4A" w:rsidRPr="00691DCA">
        <w:rPr>
          <w:rStyle w:val="Hyperlink"/>
          <w:rFonts w:ascii="Arial" w:hAnsi="Arial" w:cs="Arial"/>
          <w:color w:val="0B0080"/>
          <w:sz w:val="21"/>
          <w:szCs w:val="21"/>
          <w:u w:val="none"/>
          <w:shd w:val="clear" w:color="auto" w:fill="FFFFFF"/>
        </w:rPr>
        <w:t>center frequency</w:t>
      </w:r>
      <w:r w:rsidR="00E02D4A" w:rsidRPr="00691DCA">
        <w:fldChar w:fldCharType="end"/>
      </w:r>
      <w:r w:rsidR="00E02D4A" w:rsidRPr="00691DCA">
        <w:t>.</w:t>
      </w:r>
    </w:p>
    <w:p w14:paraId="46C6C50D" w14:textId="77777777" w:rsidR="004D1790" w:rsidRPr="00691DCA" w:rsidRDefault="00024462" w:rsidP="004D1790">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(For information in </w:t>
      </w:r>
      <w:r w:rsidR="001F6E86" w:rsidRPr="00691DCA">
        <w:rPr>
          <w:rFonts w:ascii="Arial" w:hAnsi="Arial" w:cs="Arial"/>
          <w:b/>
          <w:sz w:val="20"/>
          <w:szCs w:val="20"/>
          <w:lang w:val="en-GB"/>
        </w:rPr>
        <w:t>WGFM)</w:t>
      </w:r>
    </w:p>
    <w:p w14:paraId="46C6C50E" w14:textId="77777777" w:rsidR="004D1790" w:rsidRPr="00691DCA" w:rsidRDefault="002A1A89" w:rsidP="004D1790">
      <w:pPr>
        <w:pStyle w:val="Heading2"/>
        <w:rPr>
          <w:lang w:val="en-GB"/>
        </w:rPr>
      </w:pPr>
      <w:bookmarkStart w:id="19" w:name="_Toc12461960"/>
      <w:r w:rsidRPr="00691DCA">
        <w:rPr>
          <w:lang w:val="en-GB"/>
        </w:rPr>
        <w:t>Canada</w:t>
      </w:r>
      <w:r w:rsidR="004D1790" w:rsidRPr="00691DCA">
        <w:rPr>
          <w:lang w:val="en-GB"/>
        </w:rPr>
        <w:t xml:space="preserve"> 600 mhZ</w:t>
      </w:r>
      <w:r w:rsidR="00F16859" w:rsidRPr="00691DCA">
        <w:rPr>
          <w:lang w:val="en-GB"/>
        </w:rPr>
        <w:t xml:space="preserve"> auction results</w:t>
      </w:r>
      <w:bookmarkEnd w:id="19"/>
    </w:p>
    <w:p w14:paraId="46C6C50F" w14:textId="77777777" w:rsidR="00F16859" w:rsidRPr="00691DCA" w:rsidRDefault="00F16859" w:rsidP="00F16859">
      <w:pPr>
        <w:spacing w:before="100" w:beforeAutospacing="1" w:after="100" w:afterAutospacing="1" w:line="240" w:lineRule="auto"/>
        <w:rPr>
          <w:rFonts w:ascii="Arial" w:eastAsia="Calibri" w:hAnsi="Arial" w:cs="Arial"/>
          <w:sz w:val="20"/>
          <w:szCs w:val="20"/>
          <w:lang w:val="en-GB" w:eastAsia="da-DK"/>
        </w:rPr>
      </w:pPr>
      <w:r w:rsidRPr="00691DCA">
        <w:rPr>
          <w:rFonts w:ascii="Arial" w:eastAsia="Calibri" w:hAnsi="Arial" w:cs="Arial"/>
          <w:sz w:val="20"/>
          <w:szCs w:val="20"/>
          <w:lang w:val="en-GB" w:eastAsia="da-DK"/>
        </w:rPr>
        <w:t xml:space="preserve">The Canadian </w:t>
      </w:r>
      <w:hyperlink r:id="rId21" w:history="1">
        <w:r w:rsidRPr="00691DCA">
          <w:rPr>
            <w:rStyle w:val="Hyperlink"/>
            <w:rFonts w:ascii="Arial" w:eastAsia="Calibri" w:hAnsi="Arial" w:cs="Arial"/>
            <w:sz w:val="20"/>
            <w:szCs w:val="20"/>
            <w:lang w:val="en-GB" w:eastAsia="da-DK"/>
          </w:rPr>
          <w:t>spectrum auction</w:t>
        </w:r>
      </w:hyperlink>
      <w:r w:rsidRPr="00691DCA">
        <w:rPr>
          <w:rFonts w:ascii="Arial" w:eastAsia="Calibri" w:hAnsi="Arial" w:cs="Arial"/>
          <w:sz w:val="20"/>
          <w:szCs w:val="20"/>
          <w:lang w:val="en-GB" w:eastAsia="da-DK"/>
        </w:rPr>
        <w:t xml:space="preserve"> of the 600 MHz band (617-652 MHz paired with 663-698 MHz) concluded on April 4 after 3 weeks of bidding. 9 bidders won a total of 104 licences, including 40 licences to regional providers. The auction raised a total of CAD $3.47 billion (</w:t>
      </w:r>
      <w:proofErr w:type="spellStart"/>
      <w:r w:rsidRPr="00691DCA">
        <w:rPr>
          <w:rFonts w:ascii="Arial" w:eastAsia="Calibri" w:hAnsi="Arial" w:cs="Arial"/>
          <w:sz w:val="20"/>
          <w:szCs w:val="20"/>
          <w:lang w:val="en-GB" w:eastAsia="da-DK"/>
        </w:rPr>
        <w:t>approx</w:t>
      </w:r>
      <w:proofErr w:type="spellEnd"/>
      <w:r w:rsidRPr="00691DCA">
        <w:rPr>
          <w:rFonts w:ascii="Arial" w:eastAsia="Calibri" w:hAnsi="Arial" w:cs="Arial"/>
          <w:sz w:val="20"/>
          <w:szCs w:val="20"/>
          <w:lang w:val="en-GB" w:eastAsia="da-DK"/>
        </w:rPr>
        <w:t xml:space="preserve"> USD 2.6 billion).</w:t>
      </w:r>
    </w:p>
    <w:p w14:paraId="46C6C510" w14:textId="77777777" w:rsidR="004D1790" w:rsidRPr="00691DCA" w:rsidRDefault="004D1790" w:rsidP="004D1790">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(For information in </w:t>
      </w:r>
      <w:r w:rsidR="00F16859" w:rsidRPr="00691DCA">
        <w:rPr>
          <w:rFonts w:ascii="Arial" w:hAnsi="Arial" w:cs="Arial"/>
          <w:b/>
          <w:sz w:val="20"/>
          <w:szCs w:val="20"/>
          <w:lang w:val="en-GB"/>
        </w:rPr>
        <w:t>ECC PT1 and WGFM)</w:t>
      </w:r>
    </w:p>
    <w:p w14:paraId="46C6C511" w14:textId="77777777" w:rsidR="00A079FC" w:rsidRPr="00691DCA" w:rsidRDefault="00024462" w:rsidP="004D1790">
      <w:pPr>
        <w:spacing w:line="240" w:lineRule="auto"/>
        <w:jc w:val="both"/>
        <w:rPr>
          <w:rFonts w:ascii="Arial" w:hAnsi="Arial" w:cs="Arial"/>
          <w:b/>
          <w:sz w:val="20"/>
          <w:szCs w:val="20"/>
          <w:lang w:val="en-GB"/>
        </w:rPr>
      </w:pPr>
      <w:r w:rsidRPr="00691DCA">
        <w:rPr>
          <w:rFonts w:ascii="Arial" w:hAnsi="Arial" w:cs="Arial"/>
          <w:b/>
          <w:sz w:val="20"/>
          <w:szCs w:val="20"/>
          <w:lang w:val="en-GB"/>
        </w:rPr>
        <w:tab/>
      </w:r>
    </w:p>
    <w:p w14:paraId="46C6C512" w14:textId="77777777" w:rsidR="00A079FC" w:rsidRPr="00691DCA" w:rsidRDefault="00A079FC" w:rsidP="00A079FC">
      <w:pPr>
        <w:pStyle w:val="Heading2"/>
        <w:rPr>
          <w:lang w:val="en-GB"/>
        </w:rPr>
      </w:pPr>
      <w:bookmarkStart w:id="20" w:name="_Toc12461961"/>
      <w:r w:rsidRPr="00691DCA">
        <w:rPr>
          <w:lang w:val="en-GB"/>
        </w:rPr>
        <w:t>CITEL questionnaire to administrations on unlicensed or license-exempt access to frequency bands</w:t>
      </w:r>
      <w:bookmarkEnd w:id="20"/>
    </w:p>
    <w:p w14:paraId="46C6C513" w14:textId="77777777" w:rsidR="002239AA" w:rsidRPr="00691DCA" w:rsidRDefault="002239AA" w:rsidP="002239AA">
      <w:pPr>
        <w:spacing w:line="240" w:lineRule="auto"/>
        <w:jc w:val="both"/>
        <w:rPr>
          <w:rFonts w:ascii="Arial" w:hAnsi="Arial" w:cs="Arial"/>
          <w:sz w:val="20"/>
          <w:szCs w:val="20"/>
          <w:lang w:val="en-GB"/>
        </w:rPr>
      </w:pPr>
      <w:r w:rsidRPr="00691DCA">
        <w:rPr>
          <w:rFonts w:ascii="Arial" w:hAnsi="Arial" w:cs="Arial"/>
          <w:sz w:val="20"/>
          <w:szCs w:val="20"/>
          <w:lang w:val="en-GB"/>
        </w:rPr>
        <w:t xml:space="preserve">The 33rd Meeting of Permanent Consultative Committee II: Radiocommunications (PCC.II) met in Monterrey (Mexico) last 8-12 April and decided to hand out a questionnaire to CITEL administration on unlicensed or license-exempt access to frequency bands. The questionnaire </w:t>
      </w:r>
      <w:r w:rsidR="00B527F3" w:rsidRPr="00691DCA">
        <w:rPr>
          <w:rFonts w:ascii="Arial" w:hAnsi="Arial" w:cs="Arial"/>
          <w:sz w:val="20"/>
          <w:szCs w:val="20"/>
          <w:lang w:val="en-GB"/>
        </w:rPr>
        <w:t>is intended to understand</w:t>
      </w:r>
      <w:r w:rsidRPr="00691DCA">
        <w:rPr>
          <w:rFonts w:ascii="Arial" w:hAnsi="Arial" w:cs="Arial"/>
          <w:sz w:val="20"/>
          <w:szCs w:val="20"/>
          <w:lang w:val="en-GB"/>
        </w:rPr>
        <w:t xml:space="preserve"> the general and regulatory principles associated with the use of unlicensed or license-exempt access to frequency bands as </w:t>
      </w:r>
      <w:r w:rsidRPr="00691DCA">
        <w:rPr>
          <w:rFonts w:ascii="Arial" w:hAnsi="Arial" w:cs="Arial"/>
          <w:sz w:val="20"/>
          <w:szCs w:val="20"/>
          <w:lang w:val="en-GB"/>
        </w:rPr>
        <w:lastRenderedPageBreak/>
        <w:t>a spectrum management technique.</w:t>
      </w:r>
      <w:r w:rsidR="00B527F3" w:rsidRPr="00691DCA">
        <w:rPr>
          <w:rFonts w:ascii="Arial" w:hAnsi="Arial" w:cs="Arial"/>
          <w:sz w:val="20"/>
          <w:szCs w:val="20"/>
          <w:lang w:val="en-GB"/>
        </w:rPr>
        <w:t xml:space="preserve"> In particular, the questionnaire addresses possible specific regulation for ISM, as well as equipment homologation procedures and related regulations.</w:t>
      </w:r>
    </w:p>
    <w:p w14:paraId="46C6C514" w14:textId="77777777" w:rsidR="00A079FC" w:rsidRPr="00691DCA" w:rsidRDefault="002239AA" w:rsidP="00A079FC">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 </w:t>
      </w:r>
      <w:r w:rsidR="00A079FC" w:rsidRPr="00691DCA">
        <w:rPr>
          <w:rFonts w:ascii="Arial" w:hAnsi="Arial" w:cs="Arial"/>
          <w:b/>
          <w:sz w:val="20"/>
          <w:szCs w:val="20"/>
          <w:lang w:val="en-GB"/>
        </w:rPr>
        <w:t xml:space="preserve">(For information in </w:t>
      </w:r>
      <w:r w:rsidRPr="00691DCA">
        <w:rPr>
          <w:rFonts w:ascii="Arial" w:hAnsi="Arial" w:cs="Arial"/>
          <w:b/>
          <w:sz w:val="20"/>
          <w:szCs w:val="20"/>
          <w:lang w:val="en-GB"/>
        </w:rPr>
        <w:t>WG FM</w:t>
      </w:r>
      <w:r w:rsidR="00A079FC" w:rsidRPr="00691DCA">
        <w:rPr>
          <w:rFonts w:ascii="Arial" w:hAnsi="Arial" w:cs="Arial"/>
          <w:b/>
          <w:sz w:val="20"/>
          <w:szCs w:val="20"/>
          <w:lang w:val="en-GB"/>
        </w:rPr>
        <w:t>)</w:t>
      </w:r>
    </w:p>
    <w:p w14:paraId="46C6C515" w14:textId="77777777" w:rsidR="004D1790" w:rsidRPr="00691DCA" w:rsidRDefault="004D1790" w:rsidP="001D0218">
      <w:pPr>
        <w:spacing w:line="240" w:lineRule="auto"/>
        <w:jc w:val="both"/>
        <w:rPr>
          <w:rFonts w:ascii="Arial" w:hAnsi="Arial" w:cs="Arial"/>
          <w:b/>
          <w:sz w:val="20"/>
          <w:szCs w:val="20"/>
          <w:lang w:val="en-GB"/>
        </w:rPr>
      </w:pPr>
    </w:p>
    <w:p w14:paraId="46C6C516" w14:textId="77777777" w:rsidR="001D0218" w:rsidRPr="00691DCA" w:rsidRDefault="001D0218" w:rsidP="001D0218">
      <w:pPr>
        <w:pStyle w:val="Heading1"/>
        <w:ind w:left="431" w:hanging="431"/>
        <w:rPr>
          <w:szCs w:val="20"/>
          <w:lang w:val="en-GB"/>
        </w:rPr>
      </w:pPr>
      <w:bookmarkStart w:id="21" w:name="_Toc12461962"/>
      <w:r w:rsidRPr="00691DCA">
        <w:rPr>
          <w:szCs w:val="20"/>
          <w:lang w:val="en-GB"/>
        </w:rPr>
        <w:t>Global</w:t>
      </w:r>
      <w:r w:rsidR="00A12C3E" w:rsidRPr="00691DCA">
        <w:rPr>
          <w:szCs w:val="20"/>
          <w:lang w:val="en-GB"/>
        </w:rPr>
        <w:t xml:space="preserve"> developments</w:t>
      </w:r>
      <w:bookmarkEnd w:id="21"/>
    </w:p>
    <w:p w14:paraId="46C6C517" w14:textId="77777777" w:rsidR="00BD7A2A" w:rsidRPr="00691DCA" w:rsidRDefault="009A6FE4" w:rsidP="00BD7A2A">
      <w:pPr>
        <w:pStyle w:val="Heading2"/>
        <w:rPr>
          <w:szCs w:val="20"/>
          <w:lang w:val="en-GB"/>
        </w:rPr>
      </w:pPr>
      <w:bookmarkStart w:id="22" w:name="_Ref1395081"/>
      <w:bookmarkStart w:id="23" w:name="_Toc12461963"/>
      <w:r w:rsidRPr="00691DCA">
        <w:rPr>
          <w:szCs w:val="20"/>
          <w:lang w:val="en-GB"/>
        </w:rPr>
        <w:t xml:space="preserve">5G </w:t>
      </w:r>
      <w:r w:rsidR="00006126" w:rsidRPr="00691DCA">
        <w:rPr>
          <w:szCs w:val="20"/>
          <w:lang w:val="en-GB"/>
        </w:rPr>
        <w:t>deployment</w:t>
      </w:r>
      <w:r w:rsidR="00E65363" w:rsidRPr="00691DCA">
        <w:rPr>
          <w:szCs w:val="20"/>
          <w:lang w:val="en-GB"/>
        </w:rPr>
        <w:t>s</w:t>
      </w:r>
      <w:r w:rsidR="00006126" w:rsidRPr="00691DCA">
        <w:rPr>
          <w:szCs w:val="20"/>
          <w:lang w:val="en-GB"/>
        </w:rPr>
        <w:t xml:space="preserve"> </w:t>
      </w:r>
      <w:r w:rsidRPr="00691DCA">
        <w:rPr>
          <w:szCs w:val="20"/>
          <w:lang w:val="en-GB"/>
        </w:rPr>
        <w:t>update</w:t>
      </w:r>
      <w:bookmarkEnd w:id="22"/>
      <w:bookmarkEnd w:id="23"/>
    </w:p>
    <w:p w14:paraId="46C6C518" w14:textId="77777777" w:rsidR="00793D82" w:rsidRPr="00691DCA" w:rsidRDefault="004F5553" w:rsidP="007F0193">
      <w:pPr>
        <w:spacing w:line="240" w:lineRule="auto"/>
        <w:jc w:val="both"/>
        <w:rPr>
          <w:rFonts w:ascii="Arial" w:hAnsi="Arial" w:cs="Arial"/>
          <w:sz w:val="20"/>
          <w:szCs w:val="20"/>
          <w:lang w:val="en-GB"/>
        </w:rPr>
      </w:pPr>
      <w:r w:rsidRPr="00691DCA">
        <w:rPr>
          <w:rFonts w:ascii="Arial" w:hAnsi="Arial" w:cs="Arial"/>
          <w:sz w:val="20"/>
          <w:szCs w:val="20"/>
          <w:lang w:val="en-GB"/>
        </w:rPr>
        <w:t>According to information from the GSMA, there are now</w:t>
      </w:r>
      <w:r w:rsidR="00020C93" w:rsidRPr="00691DCA">
        <w:rPr>
          <w:rFonts w:ascii="Arial" w:hAnsi="Arial" w:cs="Arial"/>
          <w:sz w:val="20"/>
          <w:szCs w:val="20"/>
          <w:lang w:val="en-GB"/>
        </w:rPr>
        <w:t xml:space="preserve"> 100 operators in 27 countries with 5G spectrum assignments</w:t>
      </w:r>
      <w:r w:rsidRPr="00691DCA">
        <w:rPr>
          <w:rFonts w:ascii="Arial" w:hAnsi="Arial" w:cs="Arial"/>
          <w:sz w:val="20"/>
          <w:szCs w:val="20"/>
          <w:lang w:val="en-GB"/>
        </w:rPr>
        <w:t>.</w:t>
      </w:r>
    </w:p>
    <w:p w14:paraId="46C6C519" w14:textId="77777777" w:rsidR="004F5553" w:rsidRPr="00691DCA" w:rsidRDefault="004F5553" w:rsidP="007F0193">
      <w:pPr>
        <w:spacing w:line="240" w:lineRule="auto"/>
        <w:jc w:val="both"/>
        <w:rPr>
          <w:rFonts w:ascii="Arial" w:hAnsi="Arial" w:cs="Arial"/>
          <w:sz w:val="20"/>
          <w:szCs w:val="20"/>
          <w:lang w:val="en-GB"/>
        </w:rPr>
      </w:pPr>
      <w:r w:rsidRPr="00691DCA">
        <w:rPr>
          <w:rFonts w:ascii="Arial" w:hAnsi="Arial" w:cs="Arial"/>
          <w:sz w:val="20"/>
          <w:szCs w:val="20"/>
          <w:lang w:val="en-GB"/>
        </w:rPr>
        <w:t>GSA have reported that during the second quarter of 2019 several markets switched on 5G following the introduction of new 5G compatible smartphones. Some communications service providers have set ambitious targets of reaching up to 90 percent population coverage within the first year. As 5G devices increasingly become available and more service providers launch 5G, over 10 million 5G subscriptions are projected worldwide by the end of 2019. 5G subscription uptake is expected to be significantly faster than that of LTE.</w:t>
      </w:r>
    </w:p>
    <w:p w14:paraId="46C6C51A" w14:textId="77777777" w:rsidR="00F90DE4" w:rsidRPr="00691DCA" w:rsidRDefault="00F90DE4" w:rsidP="00F90DE4">
      <w:pPr>
        <w:spacing w:line="240" w:lineRule="auto"/>
        <w:jc w:val="both"/>
        <w:rPr>
          <w:rFonts w:ascii="Arial" w:hAnsi="Arial" w:cs="Arial"/>
          <w:sz w:val="20"/>
          <w:szCs w:val="20"/>
          <w:lang w:val="en-GB"/>
        </w:rPr>
      </w:pPr>
      <w:r w:rsidRPr="00691DCA">
        <w:rPr>
          <w:rFonts w:ascii="Arial" w:hAnsi="Arial" w:cs="Arial"/>
          <w:sz w:val="20"/>
          <w:szCs w:val="20"/>
          <w:lang w:val="en-GB"/>
        </w:rPr>
        <w:t>According to GSA:</w:t>
      </w:r>
    </w:p>
    <w:p w14:paraId="46C6C51B" w14:textId="77777777" w:rsidR="004F5553" w:rsidRPr="00691DCA" w:rsidRDefault="004F5553" w:rsidP="00F90DE4">
      <w:pPr>
        <w:pStyle w:val="ListParagraph"/>
        <w:numPr>
          <w:ilvl w:val="0"/>
          <w:numId w:val="28"/>
        </w:numPr>
        <w:spacing w:line="240" w:lineRule="auto"/>
        <w:jc w:val="both"/>
        <w:rPr>
          <w:rFonts w:ascii="Arial" w:hAnsi="Arial" w:cs="Arial"/>
          <w:sz w:val="20"/>
          <w:szCs w:val="20"/>
          <w:lang w:val="en-GB"/>
        </w:rPr>
      </w:pPr>
      <w:r w:rsidRPr="00691DCA">
        <w:rPr>
          <w:rFonts w:ascii="Arial" w:hAnsi="Arial" w:cs="Arial"/>
          <w:sz w:val="20"/>
          <w:szCs w:val="20"/>
          <w:lang w:val="en-GB"/>
        </w:rPr>
        <w:t>There are 734 operators with commercially launched LTE networks (broadband fixed wireless access and or mobile). At least 112</w:t>
      </w:r>
      <w:r w:rsidR="00F90DE4" w:rsidRPr="00691DCA">
        <w:rPr>
          <w:rFonts w:ascii="Arial" w:hAnsi="Arial" w:cs="Arial"/>
          <w:sz w:val="20"/>
          <w:szCs w:val="20"/>
          <w:lang w:val="en-GB"/>
        </w:rPr>
        <w:t xml:space="preserve"> </w:t>
      </w:r>
      <w:r w:rsidRPr="00691DCA">
        <w:rPr>
          <w:rFonts w:ascii="Arial" w:hAnsi="Arial" w:cs="Arial"/>
          <w:sz w:val="20"/>
          <w:szCs w:val="20"/>
          <w:lang w:val="en-GB"/>
        </w:rPr>
        <w:t>other companies have licences suitable for LTE services, are deploying LTE, or are planning LTE networks; or are evaluating, testing or trialling LTE.</w:t>
      </w:r>
    </w:p>
    <w:p w14:paraId="46C6C51C" w14:textId="77777777" w:rsidR="004F5553" w:rsidRPr="00691DCA" w:rsidRDefault="004F5553" w:rsidP="004F5553">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226</w:t>
      </w:r>
      <w:r w:rsidR="00F90DE4" w:rsidRPr="00691DCA">
        <w:rPr>
          <w:rFonts w:ascii="Arial" w:hAnsi="Arial" w:cs="Arial"/>
          <w:sz w:val="20"/>
          <w:szCs w:val="20"/>
          <w:lang w:val="en-GB"/>
        </w:rPr>
        <w:t xml:space="preserve"> </w:t>
      </w:r>
      <w:r w:rsidRPr="00691DCA">
        <w:rPr>
          <w:rFonts w:ascii="Arial" w:hAnsi="Arial" w:cs="Arial"/>
          <w:sz w:val="20"/>
          <w:szCs w:val="20"/>
          <w:lang w:val="en-GB"/>
        </w:rPr>
        <w:t>operators hold licences to use spectrum for TDD services, 160</w:t>
      </w:r>
      <w:r w:rsidR="00F90DE4" w:rsidRPr="00691DCA">
        <w:rPr>
          <w:rFonts w:ascii="Arial" w:hAnsi="Arial" w:cs="Arial"/>
          <w:sz w:val="20"/>
          <w:szCs w:val="20"/>
          <w:lang w:val="en-GB"/>
        </w:rPr>
        <w:t xml:space="preserve"> </w:t>
      </w:r>
      <w:r w:rsidRPr="00691DCA">
        <w:rPr>
          <w:rFonts w:ascii="Arial" w:hAnsi="Arial" w:cs="Arial"/>
          <w:sz w:val="20"/>
          <w:szCs w:val="20"/>
          <w:lang w:val="en-GB"/>
        </w:rPr>
        <w:t>of which have launched services.</w:t>
      </w:r>
    </w:p>
    <w:p w14:paraId="46C6C51D" w14:textId="77777777" w:rsidR="004F5553" w:rsidRPr="00691DCA" w:rsidRDefault="004F5553" w:rsidP="004F5553">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298operators have deployed/launched LTE-Advanced or LTE-Advanced Pro technologies in their commercial networks. 174operators are investing in one or more LTE-Advanced Pro technologies</w:t>
      </w:r>
    </w:p>
    <w:p w14:paraId="46C6C51E" w14:textId="77777777" w:rsidR="004F5553" w:rsidRPr="00691DCA" w:rsidRDefault="004F5553" w:rsidP="004F5553">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231</w:t>
      </w:r>
      <w:r w:rsidR="00F90DE4" w:rsidRPr="00691DCA">
        <w:rPr>
          <w:rFonts w:ascii="Arial" w:hAnsi="Arial" w:cs="Arial"/>
          <w:sz w:val="20"/>
          <w:szCs w:val="20"/>
          <w:lang w:val="en-GB"/>
        </w:rPr>
        <w:t xml:space="preserve"> </w:t>
      </w:r>
      <w:r w:rsidRPr="00691DCA">
        <w:rPr>
          <w:rFonts w:ascii="Arial" w:hAnsi="Arial" w:cs="Arial"/>
          <w:sz w:val="20"/>
          <w:szCs w:val="20"/>
          <w:lang w:val="en-GB"/>
        </w:rPr>
        <w:t>operators in 91 countries are investing in 5G networks in the form of tests, trials, pilots, planned and actual deployments.</w:t>
      </w:r>
    </w:p>
    <w:p w14:paraId="46C6C51F" w14:textId="77777777" w:rsidR="004F5553" w:rsidRPr="00691DCA" w:rsidRDefault="004F5553" w:rsidP="004F5553">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By mid-May 2019</w:t>
      </w:r>
      <w:r w:rsidR="00F90DE4" w:rsidRPr="00691DCA">
        <w:rPr>
          <w:rFonts w:ascii="Arial" w:hAnsi="Arial" w:cs="Arial"/>
          <w:sz w:val="20"/>
          <w:szCs w:val="20"/>
          <w:lang w:val="en-GB"/>
        </w:rPr>
        <w:t>,</w:t>
      </w:r>
      <w:r w:rsidRPr="00691DCA">
        <w:rPr>
          <w:rFonts w:ascii="Arial" w:hAnsi="Arial" w:cs="Arial"/>
          <w:sz w:val="20"/>
          <w:szCs w:val="20"/>
          <w:lang w:val="en-GB"/>
        </w:rPr>
        <w:t xml:space="preserve"> 41</w:t>
      </w:r>
      <w:r w:rsidR="00F90DE4" w:rsidRPr="00691DCA">
        <w:rPr>
          <w:rFonts w:ascii="Arial" w:hAnsi="Arial" w:cs="Arial"/>
          <w:sz w:val="20"/>
          <w:szCs w:val="20"/>
          <w:lang w:val="en-GB"/>
        </w:rPr>
        <w:t xml:space="preserve"> </w:t>
      </w:r>
      <w:r w:rsidRPr="00691DCA">
        <w:rPr>
          <w:rFonts w:ascii="Arial" w:hAnsi="Arial" w:cs="Arial"/>
          <w:sz w:val="20"/>
          <w:szCs w:val="20"/>
          <w:lang w:val="en-GB"/>
        </w:rPr>
        <w:t xml:space="preserve">operators had announced that they had deployed either 3GPP or non-3GPP-compliant 5G technology in their networks. </w:t>
      </w:r>
      <w:r w:rsidR="00F90DE4" w:rsidRPr="00691DCA">
        <w:rPr>
          <w:rFonts w:ascii="Arial" w:hAnsi="Arial" w:cs="Arial"/>
          <w:sz w:val="20"/>
          <w:szCs w:val="20"/>
          <w:lang w:val="en-GB"/>
        </w:rPr>
        <w:t>14</w:t>
      </w:r>
      <w:r w:rsidRPr="00691DCA">
        <w:rPr>
          <w:rFonts w:ascii="Arial" w:hAnsi="Arial" w:cs="Arial"/>
          <w:sz w:val="20"/>
          <w:szCs w:val="20"/>
          <w:lang w:val="en-GB"/>
        </w:rPr>
        <w:t xml:space="preserve"> had announced the launch of 5G mobile or FWA services (many of them with only very limited availability). </w:t>
      </w:r>
      <w:r w:rsidR="00F90DE4" w:rsidRPr="00691DCA">
        <w:rPr>
          <w:rFonts w:ascii="Arial" w:hAnsi="Arial" w:cs="Arial"/>
          <w:sz w:val="20"/>
          <w:szCs w:val="20"/>
          <w:lang w:val="en-GB"/>
        </w:rPr>
        <w:t>12</w:t>
      </w:r>
      <w:r w:rsidRPr="00691DCA">
        <w:rPr>
          <w:rFonts w:ascii="Arial" w:hAnsi="Arial" w:cs="Arial"/>
          <w:sz w:val="20"/>
          <w:szCs w:val="20"/>
          <w:lang w:val="en-GB"/>
        </w:rPr>
        <w:t xml:space="preserve"> of those are understood to have deployed 3GPP-compliant networks. These figures are reduced by one since the last update as Nordic Telecom in Czechia has confirmed to GSA that its announced ‘5G’ service launch is currently based on LTE.</w:t>
      </w:r>
    </w:p>
    <w:p w14:paraId="46C6C520" w14:textId="77777777" w:rsidR="004F5553" w:rsidRPr="00691DCA" w:rsidRDefault="004F5553" w:rsidP="00F90DE4">
      <w:pPr>
        <w:tabs>
          <w:tab w:val="left" w:pos="3694"/>
        </w:tabs>
        <w:spacing w:line="240" w:lineRule="auto"/>
        <w:jc w:val="both"/>
        <w:rPr>
          <w:rFonts w:ascii="Arial" w:hAnsi="Arial" w:cs="Arial"/>
          <w:sz w:val="20"/>
          <w:szCs w:val="20"/>
          <w:lang w:val="en-GB"/>
        </w:rPr>
      </w:pPr>
      <w:r w:rsidRPr="00691DCA">
        <w:rPr>
          <w:rFonts w:ascii="Arial" w:hAnsi="Arial" w:cs="Arial"/>
          <w:sz w:val="20"/>
          <w:szCs w:val="20"/>
          <w:lang w:val="en-GB"/>
        </w:rPr>
        <w:tab/>
      </w:r>
    </w:p>
    <w:p w14:paraId="46C6C521" w14:textId="77777777" w:rsidR="00793D82" w:rsidRPr="00691DCA" w:rsidRDefault="004F5553" w:rsidP="00793D82">
      <w:pPr>
        <w:spacing w:line="240" w:lineRule="auto"/>
        <w:jc w:val="both"/>
        <w:rPr>
          <w:rFonts w:ascii="Arial" w:hAnsi="Arial" w:cs="Arial"/>
          <w:sz w:val="20"/>
          <w:szCs w:val="20"/>
          <w:lang w:val="en-GB"/>
        </w:rPr>
      </w:pPr>
      <w:r w:rsidRPr="00691DCA">
        <w:rPr>
          <w:rFonts w:ascii="Arial" w:hAnsi="Arial" w:cs="Arial"/>
          <w:sz w:val="20"/>
          <w:szCs w:val="20"/>
          <w:lang w:val="en-GB"/>
        </w:rPr>
        <w:t>The number of available 5G devices has grown rapidly since the start of 2019 with the launch of commercial 5G services.</w:t>
      </w:r>
    </w:p>
    <w:p w14:paraId="46C6C522" w14:textId="77777777" w:rsidR="00793D82" w:rsidRPr="00691DCA" w:rsidRDefault="00793D82" w:rsidP="004F5553">
      <w:pPr>
        <w:tabs>
          <w:tab w:val="left" w:pos="5891"/>
        </w:tabs>
        <w:spacing w:line="240" w:lineRule="auto"/>
        <w:jc w:val="both"/>
        <w:rPr>
          <w:rFonts w:ascii="Arial" w:hAnsi="Arial" w:cs="Arial"/>
          <w:sz w:val="20"/>
          <w:szCs w:val="20"/>
          <w:lang w:val="en-GB"/>
        </w:rPr>
      </w:pPr>
      <w:r w:rsidRPr="00691DCA">
        <w:rPr>
          <w:rFonts w:ascii="Arial" w:hAnsi="Arial" w:cs="Arial"/>
          <w:sz w:val="20"/>
          <w:szCs w:val="20"/>
          <w:lang w:val="en-GB"/>
        </w:rPr>
        <w:t>By the end of May, GSA had i</w:t>
      </w:r>
      <w:r w:rsidR="004F5553" w:rsidRPr="00691DCA">
        <w:rPr>
          <w:rFonts w:ascii="Arial" w:hAnsi="Arial" w:cs="Arial"/>
          <w:sz w:val="20"/>
          <w:szCs w:val="20"/>
          <w:lang w:val="en-GB"/>
        </w:rPr>
        <w:t>dentified:</w:t>
      </w:r>
      <w:r w:rsidR="004F5553" w:rsidRPr="00691DCA">
        <w:rPr>
          <w:rFonts w:ascii="Arial" w:hAnsi="Arial" w:cs="Arial"/>
          <w:sz w:val="20"/>
          <w:szCs w:val="20"/>
          <w:lang w:val="en-GB"/>
        </w:rPr>
        <w:tab/>
      </w:r>
    </w:p>
    <w:p w14:paraId="46C6C523" w14:textId="77777777" w:rsidR="00793D82" w:rsidRPr="00691DCA" w:rsidRDefault="004F5553" w:rsidP="00793D82">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9</w:t>
      </w:r>
      <w:r w:rsidR="00793D82" w:rsidRPr="00691DCA">
        <w:rPr>
          <w:rFonts w:ascii="Arial" w:hAnsi="Arial" w:cs="Arial"/>
          <w:sz w:val="20"/>
          <w:szCs w:val="20"/>
          <w:lang w:val="en-GB"/>
        </w:rPr>
        <w:t xml:space="preserve"> announced form factors (phones, hotspots, indoor CPE, outdoor CPE, laptops, modules, </w:t>
      </w:r>
      <w:proofErr w:type="spellStart"/>
      <w:r w:rsidR="00793D82" w:rsidRPr="00691DCA">
        <w:rPr>
          <w:rFonts w:ascii="Arial" w:hAnsi="Arial" w:cs="Arial"/>
          <w:sz w:val="20"/>
          <w:szCs w:val="20"/>
          <w:lang w:val="en-GB"/>
        </w:rPr>
        <w:t>snap-on</w:t>
      </w:r>
      <w:proofErr w:type="spellEnd"/>
      <w:r w:rsidR="00793D82" w:rsidRPr="00691DCA">
        <w:rPr>
          <w:rFonts w:ascii="Arial" w:hAnsi="Arial" w:cs="Arial"/>
          <w:sz w:val="20"/>
          <w:szCs w:val="20"/>
          <w:lang w:val="en-GB"/>
        </w:rPr>
        <w:t xml:space="preserve"> dongles/adapters, IoT routers, and USB terminals).</w:t>
      </w:r>
    </w:p>
    <w:p w14:paraId="46C6C524" w14:textId="77777777" w:rsidR="00793D82" w:rsidRPr="00691DCA" w:rsidRDefault="004F5553" w:rsidP="00793D82">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33</w:t>
      </w:r>
      <w:r w:rsidR="00793D82" w:rsidRPr="00691DCA">
        <w:rPr>
          <w:rFonts w:ascii="Arial" w:hAnsi="Arial" w:cs="Arial"/>
          <w:sz w:val="20"/>
          <w:szCs w:val="20"/>
          <w:lang w:val="en-GB"/>
        </w:rPr>
        <w:t xml:space="preserve"> vendors that have announced available or forthcoming 5G devices.</w:t>
      </w:r>
    </w:p>
    <w:p w14:paraId="46C6C525" w14:textId="77777777" w:rsidR="00793D82" w:rsidRPr="00691DCA" w:rsidRDefault="004F5553" w:rsidP="004F5553">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 xml:space="preserve">64 </w:t>
      </w:r>
      <w:r w:rsidR="00793D82" w:rsidRPr="00691DCA">
        <w:rPr>
          <w:rFonts w:ascii="Arial" w:hAnsi="Arial" w:cs="Arial"/>
          <w:sz w:val="20"/>
          <w:szCs w:val="20"/>
          <w:lang w:val="en-GB"/>
        </w:rPr>
        <w:t>announced devices, up from 50 in May and 33 in March</w:t>
      </w:r>
      <w:r w:rsidRPr="00691DCA">
        <w:rPr>
          <w:rFonts w:ascii="Arial" w:hAnsi="Arial" w:cs="Arial"/>
          <w:sz w:val="20"/>
          <w:szCs w:val="20"/>
          <w:lang w:val="en-GB"/>
        </w:rPr>
        <w:t xml:space="preserve"> </w:t>
      </w:r>
      <w:r w:rsidR="00793D82" w:rsidRPr="00691DCA">
        <w:rPr>
          <w:rFonts w:ascii="Arial" w:hAnsi="Arial" w:cs="Arial"/>
          <w:sz w:val="20"/>
          <w:szCs w:val="20"/>
          <w:lang w:val="en-GB"/>
        </w:rPr>
        <w:t>(excluding regional variants, re-badged devices, phones that can be upgraded using a separate adapter, and prototypes not expected to be commercialised)</w:t>
      </w:r>
    </w:p>
    <w:p w14:paraId="46C6C526"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t>17</w:t>
      </w:r>
      <w:r w:rsidR="00793D82" w:rsidRPr="00691DCA">
        <w:rPr>
          <w:rFonts w:ascii="Arial" w:hAnsi="Arial" w:cs="Arial"/>
          <w:sz w:val="20"/>
          <w:szCs w:val="20"/>
          <w:lang w:val="en-GB"/>
        </w:rPr>
        <w:t xml:space="preserve"> phones (plus regional variants)</w:t>
      </w:r>
    </w:p>
    <w:p w14:paraId="46C6C527"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t>6</w:t>
      </w:r>
      <w:r w:rsidR="00793D82" w:rsidRPr="00691DCA">
        <w:rPr>
          <w:rFonts w:ascii="Arial" w:hAnsi="Arial" w:cs="Arial"/>
          <w:sz w:val="20"/>
          <w:szCs w:val="20"/>
          <w:lang w:val="en-GB"/>
        </w:rPr>
        <w:t xml:space="preserve"> hotspots (plus regional variants)</w:t>
      </w:r>
    </w:p>
    <w:p w14:paraId="46C6C528"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t>19</w:t>
      </w:r>
      <w:r w:rsidR="00793D82" w:rsidRPr="00691DCA">
        <w:rPr>
          <w:rFonts w:ascii="Arial" w:hAnsi="Arial" w:cs="Arial"/>
          <w:sz w:val="20"/>
          <w:szCs w:val="20"/>
          <w:lang w:val="en-GB"/>
        </w:rPr>
        <w:t xml:space="preserve"> CPE devices (indoor and outdoor, including two Verizon-spec compliant devices)</w:t>
      </w:r>
    </w:p>
    <w:p w14:paraId="46C6C529"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t>16</w:t>
      </w:r>
      <w:r w:rsidR="00793D82" w:rsidRPr="00691DCA">
        <w:rPr>
          <w:rFonts w:ascii="Arial" w:hAnsi="Arial" w:cs="Arial"/>
          <w:sz w:val="20"/>
          <w:szCs w:val="20"/>
          <w:lang w:val="en-GB"/>
        </w:rPr>
        <w:t xml:space="preserve"> modules</w:t>
      </w:r>
    </w:p>
    <w:p w14:paraId="46C6C52A"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t>2</w:t>
      </w:r>
      <w:r w:rsidR="00793D82" w:rsidRPr="00691DCA">
        <w:rPr>
          <w:rFonts w:ascii="Arial" w:hAnsi="Arial" w:cs="Arial"/>
          <w:sz w:val="20"/>
          <w:szCs w:val="20"/>
          <w:lang w:val="en-GB"/>
        </w:rPr>
        <w:t xml:space="preserve"> </w:t>
      </w:r>
      <w:proofErr w:type="spellStart"/>
      <w:r w:rsidR="00793D82" w:rsidRPr="00691DCA">
        <w:rPr>
          <w:rFonts w:ascii="Arial" w:hAnsi="Arial" w:cs="Arial"/>
          <w:sz w:val="20"/>
          <w:szCs w:val="20"/>
          <w:lang w:val="en-GB"/>
        </w:rPr>
        <w:t>snap-on</w:t>
      </w:r>
      <w:proofErr w:type="spellEnd"/>
      <w:r w:rsidR="00793D82" w:rsidRPr="00691DCA">
        <w:rPr>
          <w:rFonts w:ascii="Arial" w:hAnsi="Arial" w:cs="Arial"/>
          <w:sz w:val="20"/>
          <w:szCs w:val="20"/>
          <w:lang w:val="en-GB"/>
        </w:rPr>
        <w:t xml:space="preserve"> dongles/adapters</w:t>
      </w:r>
    </w:p>
    <w:p w14:paraId="46C6C52B"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t>2</w:t>
      </w:r>
      <w:r w:rsidR="00793D82" w:rsidRPr="00691DCA">
        <w:rPr>
          <w:rFonts w:ascii="Arial" w:hAnsi="Arial" w:cs="Arial"/>
          <w:sz w:val="20"/>
          <w:szCs w:val="20"/>
          <w:lang w:val="en-GB"/>
        </w:rPr>
        <w:t xml:space="preserve"> IoT routers</w:t>
      </w:r>
    </w:p>
    <w:p w14:paraId="46C6C52C"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t>1</w:t>
      </w:r>
      <w:r w:rsidR="00793D82" w:rsidRPr="00691DCA">
        <w:rPr>
          <w:rFonts w:ascii="Arial" w:hAnsi="Arial" w:cs="Arial"/>
          <w:sz w:val="20"/>
          <w:szCs w:val="20"/>
          <w:lang w:val="en-GB"/>
        </w:rPr>
        <w:t xml:space="preserve"> laptop</w:t>
      </w:r>
    </w:p>
    <w:p w14:paraId="46C6C52D" w14:textId="77777777" w:rsidR="00793D82" w:rsidRPr="00691DCA" w:rsidRDefault="004F5553" w:rsidP="00793D82">
      <w:pPr>
        <w:pStyle w:val="ListParagraph"/>
        <w:numPr>
          <w:ilvl w:val="0"/>
          <w:numId w:val="23"/>
        </w:numPr>
        <w:spacing w:line="240" w:lineRule="auto"/>
        <w:jc w:val="both"/>
        <w:rPr>
          <w:rFonts w:ascii="Arial" w:hAnsi="Arial" w:cs="Arial"/>
          <w:sz w:val="20"/>
          <w:szCs w:val="20"/>
          <w:lang w:val="en-GB"/>
        </w:rPr>
      </w:pPr>
      <w:r w:rsidRPr="00691DCA">
        <w:rPr>
          <w:rFonts w:ascii="Arial" w:hAnsi="Arial" w:cs="Arial"/>
          <w:sz w:val="20"/>
          <w:szCs w:val="20"/>
          <w:lang w:val="en-GB"/>
        </w:rPr>
        <w:lastRenderedPageBreak/>
        <w:t>1</w:t>
      </w:r>
      <w:r w:rsidR="00793D82" w:rsidRPr="00691DCA">
        <w:rPr>
          <w:rFonts w:ascii="Arial" w:hAnsi="Arial" w:cs="Arial"/>
          <w:sz w:val="20"/>
          <w:szCs w:val="20"/>
          <w:lang w:val="en-GB"/>
        </w:rPr>
        <w:t xml:space="preserve"> USB terminal.</w:t>
      </w:r>
    </w:p>
    <w:p w14:paraId="46C6C52E" w14:textId="77777777" w:rsidR="0085432A" w:rsidRPr="00691DCA" w:rsidRDefault="00793D82" w:rsidP="0085432A">
      <w:pPr>
        <w:pStyle w:val="ListParagraph"/>
        <w:numPr>
          <w:ilvl w:val="0"/>
          <w:numId w:val="24"/>
        </w:numPr>
        <w:spacing w:line="240" w:lineRule="auto"/>
        <w:jc w:val="both"/>
        <w:rPr>
          <w:rFonts w:ascii="Arial" w:hAnsi="Arial" w:cs="Arial"/>
          <w:sz w:val="20"/>
          <w:szCs w:val="20"/>
          <w:lang w:val="en-GB"/>
        </w:rPr>
      </w:pPr>
      <w:r w:rsidRPr="00691DCA">
        <w:rPr>
          <w:rFonts w:ascii="Arial" w:hAnsi="Arial" w:cs="Arial"/>
          <w:sz w:val="20"/>
          <w:szCs w:val="20"/>
          <w:lang w:val="en-GB"/>
        </w:rPr>
        <w:t xml:space="preserve">5G chipsets from five vendors – Huawei, Intel, </w:t>
      </w:r>
      <w:proofErr w:type="spellStart"/>
      <w:r w:rsidRPr="00691DCA">
        <w:rPr>
          <w:rFonts w:ascii="Arial" w:hAnsi="Arial" w:cs="Arial"/>
          <w:sz w:val="20"/>
          <w:szCs w:val="20"/>
          <w:lang w:val="en-GB"/>
        </w:rPr>
        <w:t>Mediatek</w:t>
      </w:r>
      <w:proofErr w:type="spellEnd"/>
      <w:r w:rsidRPr="00691DCA">
        <w:rPr>
          <w:rFonts w:ascii="Arial" w:hAnsi="Arial" w:cs="Arial"/>
          <w:sz w:val="20"/>
          <w:szCs w:val="20"/>
          <w:lang w:val="en-GB"/>
        </w:rPr>
        <w:t>, Qualcomm and Samsung – although Intel has announced its withdrawal from the 5G modem market.</w:t>
      </w:r>
    </w:p>
    <w:p w14:paraId="46C6C52F" w14:textId="77777777" w:rsidR="007F0193" w:rsidRPr="00691DCA" w:rsidRDefault="007F0193" w:rsidP="007F0193">
      <w:pPr>
        <w:spacing w:line="240" w:lineRule="auto"/>
        <w:jc w:val="both"/>
        <w:rPr>
          <w:rFonts w:ascii="Arial" w:hAnsi="Arial" w:cs="Arial"/>
          <w:b/>
          <w:sz w:val="20"/>
          <w:szCs w:val="20"/>
          <w:lang w:val="en-GB"/>
        </w:rPr>
      </w:pPr>
      <w:r w:rsidRPr="00691DCA">
        <w:rPr>
          <w:rFonts w:ascii="Arial" w:hAnsi="Arial" w:cs="Arial"/>
          <w:b/>
          <w:sz w:val="20"/>
          <w:szCs w:val="20"/>
          <w:lang w:val="en-GB"/>
        </w:rPr>
        <w:t>(For information in ECC PT1)</w:t>
      </w:r>
    </w:p>
    <w:p w14:paraId="46C6C530" w14:textId="77777777" w:rsidR="00DC1B76" w:rsidRPr="00691DCA" w:rsidRDefault="00DC1B76" w:rsidP="00DC1B76">
      <w:pPr>
        <w:pStyle w:val="Heading2"/>
        <w:rPr>
          <w:lang w:val="en-GB"/>
        </w:rPr>
      </w:pPr>
      <w:bookmarkStart w:id="24" w:name="_Toc12461964"/>
      <w:r w:rsidRPr="00691DCA">
        <w:rPr>
          <w:lang w:val="en-GB"/>
        </w:rPr>
        <w:t xml:space="preserve">Alphabet Loon </w:t>
      </w:r>
      <w:r w:rsidR="006A0A4B" w:rsidRPr="00691DCA">
        <w:rPr>
          <w:lang w:val="en-GB"/>
        </w:rPr>
        <w:t xml:space="preserve">and softbank </w:t>
      </w:r>
      <w:r w:rsidRPr="00691DCA">
        <w:rPr>
          <w:lang w:val="en-GB"/>
        </w:rPr>
        <w:t>HAPS</w:t>
      </w:r>
      <w:r w:rsidR="006A0A4B" w:rsidRPr="00691DCA">
        <w:rPr>
          <w:lang w:val="en-GB"/>
        </w:rPr>
        <w:t xml:space="preserve"> partnership</w:t>
      </w:r>
      <w:bookmarkEnd w:id="24"/>
    </w:p>
    <w:p w14:paraId="46C6C531" w14:textId="77777777" w:rsidR="006A0A4B" w:rsidRPr="00691DCA" w:rsidRDefault="006A0A4B" w:rsidP="006A0A4B">
      <w:pPr>
        <w:spacing w:line="240" w:lineRule="auto"/>
        <w:jc w:val="both"/>
        <w:rPr>
          <w:rFonts w:ascii="Arial" w:hAnsi="Arial" w:cs="Arial"/>
          <w:sz w:val="20"/>
          <w:szCs w:val="20"/>
          <w:lang w:val="en-GB"/>
        </w:rPr>
      </w:pPr>
      <w:r w:rsidRPr="00691DCA">
        <w:rPr>
          <w:rFonts w:ascii="Arial" w:hAnsi="Arial" w:cs="Arial"/>
          <w:sz w:val="20"/>
          <w:szCs w:val="20"/>
          <w:lang w:val="en-GB"/>
        </w:rPr>
        <w:t xml:space="preserve">Softbank’s </w:t>
      </w:r>
      <w:proofErr w:type="spellStart"/>
      <w:r w:rsidRPr="00691DCA">
        <w:rPr>
          <w:rFonts w:ascii="Arial" w:hAnsi="Arial" w:cs="Arial"/>
          <w:sz w:val="20"/>
          <w:szCs w:val="20"/>
          <w:lang w:val="en-GB"/>
        </w:rPr>
        <w:t>HAPSMobile</w:t>
      </w:r>
      <w:proofErr w:type="spellEnd"/>
      <w:r w:rsidRPr="00691DCA">
        <w:rPr>
          <w:rFonts w:ascii="Arial" w:hAnsi="Arial" w:cs="Arial"/>
          <w:sz w:val="20"/>
          <w:szCs w:val="20"/>
          <w:lang w:val="en-GB"/>
        </w:rPr>
        <w:t xml:space="preserve"> has announced a USD $125 million investment in Alphabet’s Loon. </w:t>
      </w:r>
    </w:p>
    <w:p w14:paraId="46C6C532" w14:textId="77777777" w:rsidR="006A0A4B" w:rsidRPr="00691DCA" w:rsidRDefault="006A0A4B" w:rsidP="006A0A4B">
      <w:pPr>
        <w:spacing w:line="240" w:lineRule="auto"/>
        <w:jc w:val="both"/>
        <w:rPr>
          <w:rFonts w:ascii="Arial" w:hAnsi="Arial" w:cs="Arial"/>
          <w:sz w:val="20"/>
          <w:szCs w:val="20"/>
          <w:lang w:val="en-GB"/>
        </w:rPr>
      </w:pPr>
      <w:proofErr w:type="spellStart"/>
      <w:r w:rsidRPr="00691DCA">
        <w:rPr>
          <w:rFonts w:ascii="Arial" w:hAnsi="Arial" w:cs="Arial"/>
          <w:sz w:val="20"/>
          <w:szCs w:val="20"/>
          <w:lang w:val="en-GB"/>
        </w:rPr>
        <w:t>HAPSMobile</w:t>
      </w:r>
      <w:proofErr w:type="spellEnd"/>
      <w:r w:rsidRPr="00691DCA">
        <w:rPr>
          <w:rFonts w:ascii="Arial" w:hAnsi="Arial" w:cs="Arial"/>
          <w:sz w:val="20"/>
          <w:szCs w:val="20"/>
          <w:lang w:val="en-GB"/>
        </w:rPr>
        <w:t xml:space="preserve"> began in 2017 as a joint venture between Softbank and </w:t>
      </w:r>
      <w:proofErr w:type="spellStart"/>
      <w:r w:rsidRPr="00691DCA">
        <w:rPr>
          <w:rFonts w:ascii="Arial" w:hAnsi="Arial" w:cs="Arial"/>
          <w:sz w:val="20"/>
          <w:szCs w:val="20"/>
          <w:lang w:val="en-GB"/>
        </w:rPr>
        <w:t>Aerovironment</w:t>
      </w:r>
      <w:proofErr w:type="spellEnd"/>
      <w:r w:rsidRPr="00691DCA">
        <w:rPr>
          <w:rFonts w:ascii="Arial" w:hAnsi="Arial" w:cs="Arial"/>
          <w:sz w:val="20"/>
          <w:szCs w:val="20"/>
          <w:lang w:val="en-GB"/>
        </w:rPr>
        <w:t xml:space="preserve">, a U.S.-based aerospace company. The venture has developed a solar-powered drone, called Hawk 30, which travels up to 20 km above Earth’s surface for stratospheric telecommunications delivery, and has begun initial flight tests this year. </w:t>
      </w:r>
    </w:p>
    <w:p w14:paraId="46C6C533" w14:textId="77777777" w:rsidR="006A0A4B" w:rsidRPr="00691DCA" w:rsidRDefault="006A0A4B" w:rsidP="006A0A4B">
      <w:pPr>
        <w:spacing w:line="240" w:lineRule="auto"/>
        <w:jc w:val="both"/>
        <w:rPr>
          <w:rFonts w:ascii="Arial" w:hAnsi="Arial" w:cs="Arial"/>
          <w:sz w:val="20"/>
          <w:szCs w:val="20"/>
          <w:lang w:val="en-GB"/>
        </w:rPr>
      </w:pPr>
      <w:r w:rsidRPr="00691DCA">
        <w:rPr>
          <w:rFonts w:ascii="Arial" w:hAnsi="Arial" w:cs="Arial"/>
          <w:sz w:val="20"/>
          <w:szCs w:val="20"/>
          <w:lang w:val="en-GB"/>
        </w:rPr>
        <w:t>Alphabet’s Loon division builds high altitude balloons for delivering internet connectivity and has been in development since 2013. In 2017, Loon launched an internet service for some 100,000 residents in Puerto Rico, and in 2018 it installed ground infrastructure in Kenya with the aim to launch services later this year.</w:t>
      </w:r>
    </w:p>
    <w:p w14:paraId="46C6C534" w14:textId="77777777" w:rsidR="006A0A4B" w:rsidRPr="00691DCA" w:rsidRDefault="006A0A4B" w:rsidP="00064ADF">
      <w:pPr>
        <w:spacing w:line="240" w:lineRule="auto"/>
        <w:jc w:val="both"/>
        <w:rPr>
          <w:rFonts w:ascii="Arial" w:hAnsi="Arial" w:cs="Arial"/>
          <w:sz w:val="20"/>
          <w:szCs w:val="20"/>
          <w:lang w:val="en-GB"/>
        </w:rPr>
      </w:pPr>
      <w:r w:rsidRPr="00691DCA">
        <w:rPr>
          <w:rFonts w:ascii="Arial" w:hAnsi="Arial" w:cs="Arial"/>
          <w:sz w:val="20"/>
          <w:szCs w:val="20"/>
          <w:lang w:val="en-GB"/>
        </w:rPr>
        <w:t xml:space="preserve">The two companies are now exploring commercial collaborations to accelerate the deployment of high-altitude network connectivity solutions, Softbank said. The companies are focused initially on expanding mobile internet to remote areas, enabling internet of things (IoT) applications, and expanding 5G deployments. </w:t>
      </w:r>
    </w:p>
    <w:p w14:paraId="46C6C535" w14:textId="77777777" w:rsidR="00DC1B76" w:rsidRPr="00DD4B69" w:rsidRDefault="00DC1B76" w:rsidP="00DD4B69">
      <w:pPr>
        <w:spacing w:line="240" w:lineRule="auto"/>
        <w:jc w:val="both"/>
        <w:rPr>
          <w:rFonts w:ascii="Arial" w:hAnsi="Arial" w:cs="Arial"/>
          <w:b/>
          <w:sz w:val="20"/>
          <w:szCs w:val="20"/>
          <w:lang w:val="en-GB"/>
        </w:rPr>
      </w:pPr>
      <w:r w:rsidRPr="00691DCA">
        <w:rPr>
          <w:rFonts w:ascii="Arial" w:hAnsi="Arial" w:cs="Arial"/>
          <w:b/>
          <w:sz w:val="20"/>
          <w:szCs w:val="20"/>
          <w:lang w:val="en-GB"/>
        </w:rPr>
        <w:t xml:space="preserve">(For information in </w:t>
      </w:r>
      <w:r w:rsidR="006A0A4B" w:rsidRPr="00691DCA">
        <w:rPr>
          <w:rFonts w:ascii="Arial" w:hAnsi="Arial" w:cs="Arial"/>
          <w:b/>
          <w:sz w:val="20"/>
          <w:szCs w:val="20"/>
          <w:lang w:val="en-GB"/>
        </w:rPr>
        <w:t>CPG</w:t>
      </w:r>
      <w:r w:rsidRPr="00691DCA">
        <w:rPr>
          <w:rFonts w:ascii="Arial" w:hAnsi="Arial" w:cs="Arial"/>
          <w:b/>
          <w:sz w:val="20"/>
          <w:szCs w:val="20"/>
          <w:lang w:val="en-GB"/>
        </w:rPr>
        <w:t>)</w:t>
      </w:r>
    </w:p>
    <w:sectPr w:rsidR="00DC1B76" w:rsidRPr="00DD4B69" w:rsidSect="00327F87">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C53C" w14:textId="77777777" w:rsidR="00D6221B" w:rsidRDefault="00D6221B" w:rsidP="006E0A73">
      <w:pPr>
        <w:spacing w:after="0" w:line="240" w:lineRule="auto"/>
      </w:pPr>
      <w:r>
        <w:separator/>
      </w:r>
    </w:p>
  </w:endnote>
  <w:endnote w:type="continuationSeparator" w:id="0">
    <w:p w14:paraId="46C6C53D" w14:textId="77777777" w:rsidR="00D6221B" w:rsidRDefault="00D6221B" w:rsidP="006E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C53A" w14:textId="77777777" w:rsidR="00D6221B" w:rsidRDefault="00D6221B" w:rsidP="006E0A73">
      <w:pPr>
        <w:spacing w:after="0" w:line="240" w:lineRule="auto"/>
      </w:pPr>
      <w:r>
        <w:separator/>
      </w:r>
    </w:p>
  </w:footnote>
  <w:footnote w:type="continuationSeparator" w:id="0">
    <w:p w14:paraId="46C6C53B" w14:textId="77777777" w:rsidR="00D6221B" w:rsidRDefault="00D6221B" w:rsidP="006E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C08"/>
    <w:multiLevelType w:val="hybridMultilevel"/>
    <w:tmpl w:val="269A5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7F5FB0"/>
    <w:multiLevelType w:val="hybridMultilevel"/>
    <w:tmpl w:val="54CC69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4142B32"/>
    <w:multiLevelType w:val="hybridMultilevel"/>
    <w:tmpl w:val="A3B27D96"/>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 w15:restartNumberingAfterBreak="0">
    <w:nsid w:val="06D12F64"/>
    <w:multiLevelType w:val="hybridMultilevel"/>
    <w:tmpl w:val="B33692F8"/>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15:restartNumberingAfterBreak="0">
    <w:nsid w:val="12991CC0"/>
    <w:multiLevelType w:val="hybridMultilevel"/>
    <w:tmpl w:val="6636AD2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color w:val="000000"/>
        <w:sz w:val="22"/>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5" w15:restartNumberingAfterBreak="0">
    <w:nsid w:val="17AC5879"/>
    <w:multiLevelType w:val="hybridMultilevel"/>
    <w:tmpl w:val="59D8368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4E635DF"/>
    <w:multiLevelType w:val="hybridMultilevel"/>
    <w:tmpl w:val="C282A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A464E9"/>
    <w:multiLevelType w:val="hybridMultilevel"/>
    <w:tmpl w:val="334A1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AC0DE4"/>
    <w:multiLevelType w:val="hybridMultilevel"/>
    <w:tmpl w:val="08ECA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D94C76"/>
    <w:multiLevelType w:val="hybridMultilevel"/>
    <w:tmpl w:val="6A328DF4"/>
    <w:lvl w:ilvl="0" w:tplc="0406000F">
      <w:start w:val="1"/>
      <w:numFmt w:val="decimal"/>
      <w:lvlText w:val="%1."/>
      <w:lvlJc w:val="left"/>
      <w:pPr>
        <w:ind w:left="720" w:hanging="360"/>
      </w:pPr>
    </w:lvl>
    <w:lvl w:ilvl="1" w:tplc="55A4F62A">
      <w:start w:val="1"/>
      <w:numFmt w:val="lowerLetter"/>
      <w:lvlText w:val="%2."/>
      <w:lvlJc w:val="left"/>
      <w:pPr>
        <w:ind w:left="1440" w:hanging="360"/>
      </w:pPr>
      <w:rPr>
        <w:rFonts w:ascii="Calibri" w:hAnsi="Calibri" w:cs="Calibri" w:hint="default"/>
        <w:color w:val="000000"/>
        <w:sz w:val="22"/>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384B4E1F"/>
    <w:multiLevelType w:val="multilevel"/>
    <w:tmpl w:val="5C06D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63F7A"/>
    <w:multiLevelType w:val="multilevel"/>
    <w:tmpl w:val="4A92575E"/>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4B937C0"/>
    <w:multiLevelType w:val="hybridMultilevel"/>
    <w:tmpl w:val="03FC5CDC"/>
    <w:lvl w:ilvl="0" w:tplc="0406000F">
      <w:start w:val="1"/>
      <w:numFmt w:val="decimal"/>
      <w:lvlText w:val="%1."/>
      <w:lvlJc w:val="left"/>
      <w:pPr>
        <w:ind w:left="360" w:hanging="360"/>
      </w:pPr>
    </w:lvl>
    <w:lvl w:ilvl="1" w:tplc="04060001">
      <w:start w:val="1"/>
      <w:numFmt w:val="bullet"/>
      <w:lvlText w:val=""/>
      <w:lvlJc w:val="left"/>
      <w:pPr>
        <w:ind w:left="1080" w:hanging="360"/>
      </w:pPr>
      <w:rPr>
        <w:rFonts w:ascii="Symbol" w:hAnsi="Symbol" w:hint="default"/>
        <w:color w:val="000000"/>
        <w:sz w:val="22"/>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45632763"/>
    <w:multiLevelType w:val="hybridMultilevel"/>
    <w:tmpl w:val="73226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CA10700"/>
    <w:multiLevelType w:val="hybridMultilevel"/>
    <w:tmpl w:val="8BAE1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0470347"/>
    <w:multiLevelType w:val="hybridMultilevel"/>
    <w:tmpl w:val="CF6A9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59A4378"/>
    <w:multiLevelType w:val="multilevel"/>
    <w:tmpl w:val="1D7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824F9"/>
    <w:multiLevelType w:val="hybridMultilevel"/>
    <w:tmpl w:val="2F368482"/>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8" w15:restartNumberingAfterBreak="0">
    <w:nsid w:val="65942C81"/>
    <w:multiLevelType w:val="hybridMultilevel"/>
    <w:tmpl w:val="25E2C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5DA28A4"/>
    <w:multiLevelType w:val="hybridMultilevel"/>
    <w:tmpl w:val="A4C49E8C"/>
    <w:lvl w:ilvl="0" w:tplc="04060001">
      <w:start w:val="1"/>
      <w:numFmt w:val="bullet"/>
      <w:lvlText w:val=""/>
      <w:lvlJc w:val="left"/>
      <w:pPr>
        <w:ind w:left="360" w:hanging="360"/>
      </w:pPr>
      <w:rPr>
        <w:rFonts w:ascii="Symbol" w:hAnsi="Symbol" w:hint="default"/>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0" w15:restartNumberingAfterBreak="0">
    <w:nsid w:val="71103323"/>
    <w:multiLevelType w:val="multilevel"/>
    <w:tmpl w:val="2A5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C7E4B"/>
    <w:multiLevelType w:val="hybridMultilevel"/>
    <w:tmpl w:val="CE726E96"/>
    <w:lvl w:ilvl="0" w:tplc="94865304">
      <w:start w:val="1"/>
      <w:numFmt w:val="decimal"/>
      <w:lvlText w:val="%1."/>
      <w:lvlJc w:val="left"/>
      <w:pPr>
        <w:ind w:left="360" w:hanging="360"/>
      </w:pPr>
      <w:rPr>
        <w:b w:val="0"/>
        <w:color w:val="000000"/>
      </w:rPr>
    </w:lvl>
    <w:lvl w:ilvl="1" w:tplc="446C4D5C">
      <w:start w:val="1"/>
      <w:numFmt w:val="lowerLetter"/>
      <w:lvlText w:val="%2."/>
      <w:lvlJc w:val="left"/>
      <w:pPr>
        <w:ind w:left="1080" w:hanging="360"/>
      </w:pPr>
      <w:rPr>
        <w:rFonts w:ascii="Calibri" w:hAnsi="Calibri" w:cs="Calibri" w:hint="default"/>
        <w:b w:val="0"/>
        <w:color w:val="00000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2" w15:restartNumberingAfterBreak="0">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4"/>
  </w:num>
  <w:num w:numId="3">
    <w:abstractNumId w:val="11"/>
  </w:num>
  <w:num w:numId="4">
    <w:abstractNumId w:val="0"/>
  </w:num>
  <w:num w:numId="5">
    <w:abstractNumId w:val="3"/>
  </w:num>
  <w:num w:numId="6">
    <w:abstractNumId w:val="1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7"/>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4"/>
  </w:num>
  <w:num w:numId="18">
    <w:abstractNumId w:val="11"/>
  </w:num>
  <w:num w:numId="19">
    <w:abstractNumId w:val="11"/>
  </w:num>
  <w:num w:numId="20">
    <w:abstractNumId w:val="11"/>
  </w:num>
  <w:num w:numId="21">
    <w:abstractNumId w:val="11"/>
  </w:num>
  <w:num w:numId="22">
    <w:abstractNumId w:val="8"/>
  </w:num>
  <w:num w:numId="23">
    <w:abstractNumId w:val="5"/>
  </w:num>
  <w:num w:numId="24">
    <w:abstractNumId w:val="6"/>
  </w:num>
  <w:num w:numId="25">
    <w:abstractNumId w:val="7"/>
  </w:num>
  <w:num w:numId="26">
    <w:abstractNumId w:val="18"/>
  </w:num>
  <w:num w:numId="27">
    <w:abstractNumId w:val="10"/>
  </w:num>
  <w:num w:numId="28">
    <w:abstractNumId w:val="15"/>
  </w:num>
  <w:num w:numId="29">
    <w:abstractNumId w:val="13"/>
  </w:num>
  <w:num w:numId="30">
    <w:abstractNumId w:val="11"/>
  </w:num>
  <w:num w:numId="31">
    <w:abstractNumId w:val="20"/>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E70"/>
    <w:rsid w:val="00002348"/>
    <w:rsid w:val="00006126"/>
    <w:rsid w:val="00012298"/>
    <w:rsid w:val="000164D8"/>
    <w:rsid w:val="00020C93"/>
    <w:rsid w:val="00024462"/>
    <w:rsid w:val="0005618C"/>
    <w:rsid w:val="0005702A"/>
    <w:rsid w:val="00064ADF"/>
    <w:rsid w:val="0007001F"/>
    <w:rsid w:val="000772DC"/>
    <w:rsid w:val="000868DB"/>
    <w:rsid w:val="00090298"/>
    <w:rsid w:val="00091541"/>
    <w:rsid w:val="00093E64"/>
    <w:rsid w:val="000A3F72"/>
    <w:rsid w:val="000A6661"/>
    <w:rsid w:val="000C7421"/>
    <w:rsid w:val="000D6B58"/>
    <w:rsid w:val="000F6F38"/>
    <w:rsid w:val="000F7AE7"/>
    <w:rsid w:val="00110835"/>
    <w:rsid w:val="00115E6C"/>
    <w:rsid w:val="00121A69"/>
    <w:rsid w:val="00127BF8"/>
    <w:rsid w:val="0013190F"/>
    <w:rsid w:val="0013311C"/>
    <w:rsid w:val="00134E4E"/>
    <w:rsid w:val="001439A2"/>
    <w:rsid w:val="0014429B"/>
    <w:rsid w:val="00162D23"/>
    <w:rsid w:val="00166FF4"/>
    <w:rsid w:val="0016775A"/>
    <w:rsid w:val="00182BA6"/>
    <w:rsid w:val="00190C90"/>
    <w:rsid w:val="00191C2A"/>
    <w:rsid w:val="001A07AB"/>
    <w:rsid w:val="001B1C5C"/>
    <w:rsid w:val="001C207B"/>
    <w:rsid w:val="001C2E7A"/>
    <w:rsid w:val="001C77FB"/>
    <w:rsid w:val="001D0218"/>
    <w:rsid w:val="001D0CA2"/>
    <w:rsid w:val="001D50B3"/>
    <w:rsid w:val="001D53EF"/>
    <w:rsid w:val="001E56D9"/>
    <w:rsid w:val="001F11FD"/>
    <w:rsid w:val="001F27FB"/>
    <w:rsid w:val="001F6E86"/>
    <w:rsid w:val="00211CD7"/>
    <w:rsid w:val="00212129"/>
    <w:rsid w:val="00216691"/>
    <w:rsid w:val="00216A9A"/>
    <w:rsid w:val="002239AA"/>
    <w:rsid w:val="00240A99"/>
    <w:rsid w:val="00241D92"/>
    <w:rsid w:val="00244DEE"/>
    <w:rsid w:val="00266218"/>
    <w:rsid w:val="00273168"/>
    <w:rsid w:val="00273CC0"/>
    <w:rsid w:val="0028196E"/>
    <w:rsid w:val="00284FF1"/>
    <w:rsid w:val="00292D80"/>
    <w:rsid w:val="002A1A89"/>
    <w:rsid w:val="002A543F"/>
    <w:rsid w:val="002B1A39"/>
    <w:rsid w:val="002B2193"/>
    <w:rsid w:val="002B3B72"/>
    <w:rsid w:val="002B6904"/>
    <w:rsid w:val="002D4CC8"/>
    <w:rsid w:val="002F5D22"/>
    <w:rsid w:val="00303955"/>
    <w:rsid w:val="00316276"/>
    <w:rsid w:val="0032130A"/>
    <w:rsid w:val="00325E39"/>
    <w:rsid w:val="00326E20"/>
    <w:rsid w:val="00327F87"/>
    <w:rsid w:val="0034479C"/>
    <w:rsid w:val="00356A3B"/>
    <w:rsid w:val="003635BB"/>
    <w:rsid w:val="00367E17"/>
    <w:rsid w:val="00374255"/>
    <w:rsid w:val="003748C7"/>
    <w:rsid w:val="00375A62"/>
    <w:rsid w:val="00387AA9"/>
    <w:rsid w:val="003A0FB4"/>
    <w:rsid w:val="003A62C2"/>
    <w:rsid w:val="003A7DA7"/>
    <w:rsid w:val="003B1D07"/>
    <w:rsid w:val="003B5BC2"/>
    <w:rsid w:val="003C0111"/>
    <w:rsid w:val="003C4284"/>
    <w:rsid w:val="003E7A77"/>
    <w:rsid w:val="003F1C75"/>
    <w:rsid w:val="003F2AF8"/>
    <w:rsid w:val="003F4AE8"/>
    <w:rsid w:val="0040409E"/>
    <w:rsid w:val="004260C0"/>
    <w:rsid w:val="0047781D"/>
    <w:rsid w:val="00497E1E"/>
    <w:rsid w:val="004B4C3E"/>
    <w:rsid w:val="004B72FC"/>
    <w:rsid w:val="004C1BDD"/>
    <w:rsid w:val="004D1790"/>
    <w:rsid w:val="004D4933"/>
    <w:rsid w:val="004D5FDA"/>
    <w:rsid w:val="004E29B2"/>
    <w:rsid w:val="004E5063"/>
    <w:rsid w:val="004F3D96"/>
    <w:rsid w:val="004F5553"/>
    <w:rsid w:val="00507ECE"/>
    <w:rsid w:val="00527482"/>
    <w:rsid w:val="00534E70"/>
    <w:rsid w:val="00541BB7"/>
    <w:rsid w:val="00541D48"/>
    <w:rsid w:val="00550B36"/>
    <w:rsid w:val="0055415B"/>
    <w:rsid w:val="00554A70"/>
    <w:rsid w:val="005602B9"/>
    <w:rsid w:val="00575C7B"/>
    <w:rsid w:val="00577BC5"/>
    <w:rsid w:val="00587BF7"/>
    <w:rsid w:val="00592F5F"/>
    <w:rsid w:val="005A684A"/>
    <w:rsid w:val="005C2BAB"/>
    <w:rsid w:val="005C70F7"/>
    <w:rsid w:val="005D201A"/>
    <w:rsid w:val="005D7C97"/>
    <w:rsid w:val="005E08C5"/>
    <w:rsid w:val="005E1F4F"/>
    <w:rsid w:val="005E3A78"/>
    <w:rsid w:val="005E4537"/>
    <w:rsid w:val="005F3F7E"/>
    <w:rsid w:val="006017AE"/>
    <w:rsid w:val="00603BF0"/>
    <w:rsid w:val="0061000A"/>
    <w:rsid w:val="00611791"/>
    <w:rsid w:val="00612266"/>
    <w:rsid w:val="006263AB"/>
    <w:rsid w:val="006266B5"/>
    <w:rsid w:val="00627893"/>
    <w:rsid w:val="00627B8A"/>
    <w:rsid w:val="0063672D"/>
    <w:rsid w:val="00644B18"/>
    <w:rsid w:val="00645133"/>
    <w:rsid w:val="00652DDF"/>
    <w:rsid w:val="00661B82"/>
    <w:rsid w:val="00672AB9"/>
    <w:rsid w:val="00681BE3"/>
    <w:rsid w:val="00684360"/>
    <w:rsid w:val="00691DCA"/>
    <w:rsid w:val="006A0A4B"/>
    <w:rsid w:val="006A2DF7"/>
    <w:rsid w:val="006B1972"/>
    <w:rsid w:val="006B1A3F"/>
    <w:rsid w:val="006B220F"/>
    <w:rsid w:val="006B6946"/>
    <w:rsid w:val="006B7F30"/>
    <w:rsid w:val="006C02EB"/>
    <w:rsid w:val="006D079C"/>
    <w:rsid w:val="006D1BE5"/>
    <w:rsid w:val="006D7D16"/>
    <w:rsid w:val="006E0A73"/>
    <w:rsid w:val="006E3D59"/>
    <w:rsid w:val="0070555D"/>
    <w:rsid w:val="00723E64"/>
    <w:rsid w:val="00732B43"/>
    <w:rsid w:val="007356BA"/>
    <w:rsid w:val="007405C1"/>
    <w:rsid w:val="00741686"/>
    <w:rsid w:val="00742C2B"/>
    <w:rsid w:val="0074749F"/>
    <w:rsid w:val="007549DC"/>
    <w:rsid w:val="007625C6"/>
    <w:rsid w:val="00764283"/>
    <w:rsid w:val="00772950"/>
    <w:rsid w:val="00775652"/>
    <w:rsid w:val="00777705"/>
    <w:rsid w:val="00793D82"/>
    <w:rsid w:val="007A4FB0"/>
    <w:rsid w:val="007A7065"/>
    <w:rsid w:val="007C3341"/>
    <w:rsid w:val="007C5853"/>
    <w:rsid w:val="007E6908"/>
    <w:rsid w:val="007F0193"/>
    <w:rsid w:val="00831BB4"/>
    <w:rsid w:val="008368ED"/>
    <w:rsid w:val="00840762"/>
    <w:rsid w:val="0085432A"/>
    <w:rsid w:val="00876945"/>
    <w:rsid w:val="008A4AD7"/>
    <w:rsid w:val="008A7772"/>
    <w:rsid w:val="008B1EC3"/>
    <w:rsid w:val="008C012F"/>
    <w:rsid w:val="008C02C7"/>
    <w:rsid w:val="008C4495"/>
    <w:rsid w:val="008C48B8"/>
    <w:rsid w:val="008C4D34"/>
    <w:rsid w:val="008C5D99"/>
    <w:rsid w:val="008D27F3"/>
    <w:rsid w:val="008D6A20"/>
    <w:rsid w:val="008F0F56"/>
    <w:rsid w:val="008F239A"/>
    <w:rsid w:val="0090008B"/>
    <w:rsid w:val="00902A64"/>
    <w:rsid w:val="00902F4F"/>
    <w:rsid w:val="009126C2"/>
    <w:rsid w:val="009164BB"/>
    <w:rsid w:val="00921698"/>
    <w:rsid w:val="00927DA1"/>
    <w:rsid w:val="0093089A"/>
    <w:rsid w:val="009443AD"/>
    <w:rsid w:val="00956A3F"/>
    <w:rsid w:val="00970EBF"/>
    <w:rsid w:val="00976CEA"/>
    <w:rsid w:val="00980E1B"/>
    <w:rsid w:val="00986ACA"/>
    <w:rsid w:val="00992581"/>
    <w:rsid w:val="00993643"/>
    <w:rsid w:val="00995921"/>
    <w:rsid w:val="009A43FC"/>
    <w:rsid w:val="009A6FE4"/>
    <w:rsid w:val="009B3821"/>
    <w:rsid w:val="009D1382"/>
    <w:rsid w:val="009E057E"/>
    <w:rsid w:val="009E6A4C"/>
    <w:rsid w:val="009F3EFE"/>
    <w:rsid w:val="009F461C"/>
    <w:rsid w:val="00A079FC"/>
    <w:rsid w:val="00A11D66"/>
    <w:rsid w:val="00A12C3E"/>
    <w:rsid w:val="00A16DBE"/>
    <w:rsid w:val="00A44964"/>
    <w:rsid w:val="00A514EE"/>
    <w:rsid w:val="00A66C47"/>
    <w:rsid w:val="00A73945"/>
    <w:rsid w:val="00A8215F"/>
    <w:rsid w:val="00A8562F"/>
    <w:rsid w:val="00A862A3"/>
    <w:rsid w:val="00A87079"/>
    <w:rsid w:val="00A909E2"/>
    <w:rsid w:val="00A948F4"/>
    <w:rsid w:val="00AA438D"/>
    <w:rsid w:val="00AA7061"/>
    <w:rsid w:val="00AB0965"/>
    <w:rsid w:val="00AB5ED7"/>
    <w:rsid w:val="00AC1F50"/>
    <w:rsid w:val="00AC207E"/>
    <w:rsid w:val="00AC6730"/>
    <w:rsid w:val="00AD354E"/>
    <w:rsid w:val="00AF2B52"/>
    <w:rsid w:val="00B03FA9"/>
    <w:rsid w:val="00B12B8F"/>
    <w:rsid w:val="00B21591"/>
    <w:rsid w:val="00B527F3"/>
    <w:rsid w:val="00B632AB"/>
    <w:rsid w:val="00B730E3"/>
    <w:rsid w:val="00B76301"/>
    <w:rsid w:val="00B84202"/>
    <w:rsid w:val="00B866ED"/>
    <w:rsid w:val="00B97958"/>
    <w:rsid w:val="00BA0702"/>
    <w:rsid w:val="00BA1607"/>
    <w:rsid w:val="00BA4067"/>
    <w:rsid w:val="00BC4347"/>
    <w:rsid w:val="00BD1069"/>
    <w:rsid w:val="00BD6BCE"/>
    <w:rsid w:val="00BD6FDA"/>
    <w:rsid w:val="00BD7A2A"/>
    <w:rsid w:val="00BF1B18"/>
    <w:rsid w:val="00BF1C90"/>
    <w:rsid w:val="00BF47F4"/>
    <w:rsid w:val="00BF5453"/>
    <w:rsid w:val="00C001AB"/>
    <w:rsid w:val="00C0333A"/>
    <w:rsid w:val="00C20C9C"/>
    <w:rsid w:val="00C21AAD"/>
    <w:rsid w:val="00C2793C"/>
    <w:rsid w:val="00C3166D"/>
    <w:rsid w:val="00C32B10"/>
    <w:rsid w:val="00C354CA"/>
    <w:rsid w:val="00C50459"/>
    <w:rsid w:val="00C55A04"/>
    <w:rsid w:val="00C566CA"/>
    <w:rsid w:val="00C67F96"/>
    <w:rsid w:val="00C71633"/>
    <w:rsid w:val="00C73A87"/>
    <w:rsid w:val="00C80B73"/>
    <w:rsid w:val="00C81770"/>
    <w:rsid w:val="00C845BF"/>
    <w:rsid w:val="00C9503C"/>
    <w:rsid w:val="00CC3AD6"/>
    <w:rsid w:val="00CC4D42"/>
    <w:rsid w:val="00CE3903"/>
    <w:rsid w:val="00CF4A7D"/>
    <w:rsid w:val="00CF7BF7"/>
    <w:rsid w:val="00D16783"/>
    <w:rsid w:val="00D23FA7"/>
    <w:rsid w:val="00D27276"/>
    <w:rsid w:val="00D2735D"/>
    <w:rsid w:val="00D61B18"/>
    <w:rsid w:val="00D61C13"/>
    <w:rsid w:val="00D6221B"/>
    <w:rsid w:val="00D666D3"/>
    <w:rsid w:val="00D77151"/>
    <w:rsid w:val="00D8002C"/>
    <w:rsid w:val="00D96386"/>
    <w:rsid w:val="00DB0D95"/>
    <w:rsid w:val="00DB433C"/>
    <w:rsid w:val="00DB7117"/>
    <w:rsid w:val="00DC1B76"/>
    <w:rsid w:val="00DD4B69"/>
    <w:rsid w:val="00DF3E02"/>
    <w:rsid w:val="00E02D4A"/>
    <w:rsid w:val="00E232B5"/>
    <w:rsid w:val="00E269A2"/>
    <w:rsid w:val="00E27F65"/>
    <w:rsid w:val="00E35067"/>
    <w:rsid w:val="00E35FEE"/>
    <w:rsid w:val="00E36082"/>
    <w:rsid w:val="00E36A47"/>
    <w:rsid w:val="00E472B7"/>
    <w:rsid w:val="00E548DC"/>
    <w:rsid w:val="00E55815"/>
    <w:rsid w:val="00E576A8"/>
    <w:rsid w:val="00E63DCA"/>
    <w:rsid w:val="00E65363"/>
    <w:rsid w:val="00E676C0"/>
    <w:rsid w:val="00E807FB"/>
    <w:rsid w:val="00E87D57"/>
    <w:rsid w:val="00E97B16"/>
    <w:rsid w:val="00EC690B"/>
    <w:rsid w:val="00EC753D"/>
    <w:rsid w:val="00EE4D44"/>
    <w:rsid w:val="00EF09FF"/>
    <w:rsid w:val="00EF15DC"/>
    <w:rsid w:val="00EF4F82"/>
    <w:rsid w:val="00EF5740"/>
    <w:rsid w:val="00F005AA"/>
    <w:rsid w:val="00F11A3D"/>
    <w:rsid w:val="00F13689"/>
    <w:rsid w:val="00F16859"/>
    <w:rsid w:val="00F31AB8"/>
    <w:rsid w:val="00F33359"/>
    <w:rsid w:val="00F354C1"/>
    <w:rsid w:val="00F3563D"/>
    <w:rsid w:val="00F370DA"/>
    <w:rsid w:val="00F64167"/>
    <w:rsid w:val="00F70217"/>
    <w:rsid w:val="00F90DE4"/>
    <w:rsid w:val="00F957D7"/>
    <w:rsid w:val="00FA422B"/>
    <w:rsid w:val="00FA66A6"/>
    <w:rsid w:val="00FB1FC2"/>
    <w:rsid w:val="00FC0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C47E"/>
  <w15:docId w15:val="{27297A5B-0057-4275-87E9-C470C8C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A73"/>
  </w:style>
  <w:style w:type="paragraph" w:styleId="Heading1">
    <w:name w:val="heading 1"/>
    <w:aliases w:val="ECC Heading 1"/>
    <w:next w:val="Normal"/>
    <w:link w:val="Heading1Char"/>
    <w:qFormat/>
    <w:rsid w:val="001D0218"/>
    <w:pPr>
      <w:keepNext/>
      <w:numPr>
        <w:numId w:val="3"/>
      </w:numPr>
      <w:spacing w:before="600" w:after="60" w:line="240" w:lineRule="auto"/>
      <w:jc w:val="both"/>
      <w:outlineLvl w:val="0"/>
    </w:pPr>
    <w:rPr>
      <w:rFonts w:ascii="Arial" w:eastAsia="Times New Roman" w:hAnsi="Arial" w:cs="Arial"/>
      <w:b/>
      <w:bCs/>
      <w:caps/>
      <w:color w:val="D2232A"/>
      <w:kern w:val="32"/>
      <w:sz w:val="20"/>
      <w:szCs w:val="32"/>
    </w:rPr>
  </w:style>
  <w:style w:type="paragraph" w:styleId="Heading2">
    <w:name w:val="heading 2"/>
    <w:aliases w:val="ECC Heading 2"/>
    <w:next w:val="Normal"/>
    <w:link w:val="Heading2Char"/>
    <w:qFormat/>
    <w:rsid w:val="001D0218"/>
    <w:pPr>
      <w:keepNext/>
      <w:numPr>
        <w:ilvl w:val="1"/>
        <w:numId w:val="3"/>
      </w:numPr>
      <w:spacing w:before="480" w:after="60" w:line="240" w:lineRule="auto"/>
      <w:jc w:val="both"/>
      <w:outlineLvl w:val="1"/>
    </w:pPr>
    <w:rPr>
      <w:rFonts w:ascii="Arial" w:eastAsia="Times New Roman" w:hAnsi="Arial" w:cs="Arial"/>
      <w:b/>
      <w:bCs/>
      <w:iCs/>
      <w:caps/>
      <w:sz w:val="20"/>
      <w:szCs w:val="28"/>
    </w:rPr>
  </w:style>
  <w:style w:type="paragraph" w:styleId="Heading3">
    <w:name w:val="heading 3"/>
    <w:aliases w:val="ECC Heading 3"/>
    <w:next w:val="Normal"/>
    <w:link w:val="Heading3Char"/>
    <w:qFormat/>
    <w:rsid w:val="001D0218"/>
    <w:pPr>
      <w:keepNext/>
      <w:numPr>
        <w:ilvl w:val="2"/>
        <w:numId w:val="3"/>
      </w:numPr>
      <w:spacing w:before="360" w:after="60" w:line="240" w:lineRule="auto"/>
      <w:jc w:val="both"/>
      <w:outlineLvl w:val="2"/>
    </w:pPr>
    <w:rPr>
      <w:rFonts w:ascii="Arial" w:eastAsia="Times New Roman" w:hAnsi="Arial" w:cs="Arial"/>
      <w:b/>
      <w:bCs/>
      <w:sz w:val="20"/>
      <w:szCs w:val="26"/>
    </w:rPr>
  </w:style>
  <w:style w:type="paragraph" w:styleId="Heading4">
    <w:name w:val="heading 4"/>
    <w:aliases w:val="ECC Heading 4"/>
    <w:next w:val="Normal"/>
    <w:link w:val="Heading4Char"/>
    <w:qFormat/>
    <w:rsid w:val="001D0218"/>
    <w:pPr>
      <w:numPr>
        <w:ilvl w:val="3"/>
        <w:numId w:val="3"/>
      </w:numPr>
      <w:spacing w:before="360" w:after="60" w:line="240" w:lineRule="auto"/>
      <w:ind w:left="862" w:hanging="862"/>
      <w:jc w:val="both"/>
      <w:outlineLvl w:val="3"/>
    </w:pPr>
    <w:rPr>
      <w:rFonts w:ascii="Arial" w:eastAsia="Times New Roman" w:hAnsi="Arial" w:cs="Arial"/>
      <w:bCs/>
      <w:i/>
      <w:color w:val="D2232A"/>
      <w:sz w:val="20"/>
      <w:szCs w:val="26"/>
    </w:rPr>
  </w:style>
  <w:style w:type="paragraph" w:styleId="Heading5">
    <w:name w:val="heading 5"/>
    <w:basedOn w:val="Normal"/>
    <w:next w:val="Normal"/>
    <w:link w:val="Heading5Char"/>
    <w:semiHidden/>
    <w:qFormat/>
    <w:rsid w:val="001D0218"/>
    <w:pPr>
      <w:numPr>
        <w:ilvl w:val="4"/>
        <w:numId w:val="3"/>
      </w:numPr>
      <w:spacing w:before="240" w:after="60" w:line="240" w:lineRule="auto"/>
      <w:jc w:val="both"/>
      <w:outlineLvl w:val="4"/>
    </w:pPr>
    <w:rPr>
      <w:rFonts w:ascii="Arial" w:eastAsia="Calibri" w:hAnsi="Arial" w:cs="Times New Roman"/>
      <w:b/>
      <w:bCs/>
      <w:i/>
      <w:iCs/>
      <w:sz w:val="26"/>
      <w:szCs w:val="26"/>
      <w:lang w:val="en-GB"/>
    </w:rPr>
  </w:style>
  <w:style w:type="paragraph" w:styleId="Heading6">
    <w:name w:val="heading 6"/>
    <w:basedOn w:val="Normal"/>
    <w:next w:val="Normal"/>
    <w:link w:val="Heading6Char"/>
    <w:semiHidden/>
    <w:qFormat/>
    <w:rsid w:val="001D0218"/>
    <w:pPr>
      <w:numPr>
        <w:ilvl w:val="5"/>
        <w:numId w:val="3"/>
      </w:numPr>
      <w:spacing w:before="240" w:after="60" w:line="240" w:lineRule="auto"/>
      <w:jc w:val="both"/>
      <w:outlineLvl w:val="5"/>
    </w:pPr>
    <w:rPr>
      <w:rFonts w:ascii="Arial" w:eastAsia="Calibri" w:hAnsi="Arial" w:cs="Times New Roman"/>
      <w:b/>
      <w:bCs/>
      <w:lang w:val="en-GB"/>
    </w:rPr>
  </w:style>
  <w:style w:type="paragraph" w:styleId="Heading7">
    <w:name w:val="heading 7"/>
    <w:basedOn w:val="Normal"/>
    <w:next w:val="Normal"/>
    <w:link w:val="Heading7Char"/>
    <w:semiHidden/>
    <w:qFormat/>
    <w:rsid w:val="001D0218"/>
    <w:pPr>
      <w:numPr>
        <w:ilvl w:val="6"/>
        <w:numId w:val="3"/>
      </w:numPr>
      <w:spacing w:before="240" w:after="60" w:line="240" w:lineRule="auto"/>
      <w:jc w:val="both"/>
      <w:outlineLvl w:val="6"/>
    </w:pPr>
    <w:rPr>
      <w:rFonts w:ascii="Arial" w:eastAsia="Calibri" w:hAnsi="Arial" w:cs="Times New Roman"/>
      <w:sz w:val="24"/>
      <w:lang w:val="en-GB"/>
    </w:rPr>
  </w:style>
  <w:style w:type="paragraph" w:styleId="Heading8">
    <w:name w:val="heading 8"/>
    <w:basedOn w:val="Normal"/>
    <w:next w:val="Normal"/>
    <w:link w:val="Heading8Char"/>
    <w:semiHidden/>
    <w:qFormat/>
    <w:rsid w:val="001D0218"/>
    <w:pPr>
      <w:numPr>
        <w:ilvl w:val="7"/>
        <w:numId w:val="3"/>
      </w:numPr>
      <w:spacing w:before="240" w:after="60" w:line="240" w:lineRule="auto"/>
      <w:jc w:val="both"/>
      <w:outlineLvl w:val="7"/>
    </w:pPr>
    <w:rPr>
      <w:rFonts w:ascii="Arial" w:eastAsia="Calibri" w:hAnsi="Arial" w:cs="Times New Roman"/>
      <w:i/>
      <w:iCs/>
      <w:sz w:val="24"/>
      <w:lang w:val="en-GB"/>
    </w:rPr>
  </w:style>
  <w:style w:type="paragraph" w:styleId="Heading9">
    <w:name w:val="heading 9"/>
    <w:basedOn w:val="Normal"/>
    <w:next w:val="Normal"/>
    <w:link w:val="Heading9Char"/>
    <w:semiHidden/>
    <w:qFormat/>
    <w:rsid w:val="001D0218"/>
    <w:pPr>
      <w:numPr>
        <w:ilvl w:val="8"/>
        <w:numId w:val="3"/>
      </w:numPr>
      <w:spacing w:before="240" w:after="60" w:line="240" w:lineRule="auto"/>
      <w:jc w:val="both"/>
      <w:outlineLvl w:val="8"/>
    </w:pPr>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2A"/>
    <w:rPr>
      <w:color w:val="0000FF" w:themeColor="hyperlink"/>
      <w:u w:val="single"/>
    </w:rPr>
  </w:style>
  <w:style w:type="paragraph" w:styleId="BalloonText">
    <w:name w:val="Balloon Text"/>
    <w:basedOn w:val="Normal"/>
    <w:link w:val="BalloonTextChar"/>
    <w:uiPriority w:val="99"/>
    <w:semiHidden/>
    <w:unhideWhenUsed/>
    <w:rsid w:val="003F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75"/>
    <w:rPr>
      <w:rFonts w:ascii="Tahoma" w:hAnsi="Tahoma" w:cs="Tahoma"/>
      <w:sz w:val="16"/>
      <w:szCs w:val="16"/>
    </w:rPr>
  </w:style>
  <w:style w:type="character" w:styleId="FollowedHyperlink">
    <w:name w:val="FollowedHyperlink"/>
    <w:basedOn w:val="DefaultParagraphFont"/>
    <w:uiPriority w:val="99"/>
    <w:semiHidden/>
    <w:unhideWhenUsed/>
    <w:rsid w:val="0005618C"/>
    <w:rPr>
      <w:color w:val="800080" w:themeColor="followedHyperlink"/>
      <w:u w:val="single"/>
    </w:rPr>
  </w:style>
  <w:style w:type="paragraph" w:styleId="NormalWeb">
    <w:name w:val="Normal (Web)"/>
    <w:basedOn w:val="Normal"/>
    <w:uiPriority w:val="99"/>
    <w:rsid w:val="00CC3AD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6218"/>
    <w:pPr>
      <w:ind w:left="720"/>
      <w:contextualSpacing/>
    </w:pPr>
  </w:style>
  <w:style w:type="paragraph" w:customStyle="1" w:styleId="ECCTabletext">
    <w:name w:val="ECC Table text"/>
    <w:basedOn w:val="Normal"/>
    <w:qFormat/>
    <w:rsid w:val="004F3D96"/>
    <w:pPr>
      <w:spacing w:before="60" w:after="60" w:line="240" w:lineRule="auto"/>
      <w:jc w:val="both"/>
    </w:pPr>
    <w:rPr>
      <w:rFonts w:ascii="Arial" w:eastAsia="Calibri" w:hAnsi="Arial" w:cs="Times New Roman"/>
      <w:sz w:val="20"/>
      <w:lang w:val="en-GB"/>
    </w:rPr>
  </w:style>
  <w:style w:type="table" w:customStyle="1" w:styleId="TableGrid2">
    <w:name w:val="Table Grid2"/>
    <w:basedOn w:val="TableNormal"/>
    <w:next w:val="TableGrid"/>
    <w:uiPriority w:val="59"/>
    <w:rsid w:val="001F27FB"/>
    <w:pPr>
      <w:spacing w:after="0" w:line="240" w:lineRule="auto"/>
    </w:pPr>
    <w:rPr>
      <w:rFonts w:ascii="CG Times" w:eastAsia="MS Mincho" w:hAnsi="CG Times"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1B82"/>
    <w:rPr>
      <w:b/>
      <w:bCs/>
    </w:rPr>
  </w:style>
  <w:style w:type="paragraph" w:styleId="Header">
    <w:name w:val="header"/>
    <w:basedOn w:val="Normal"/>
    <w:link w:val="HeaderChar"/>
    <w:uiPriority w:val="99"/>
    <w:unhideWhenUsed/>
    <w:rsid w:val="006E0A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0A73"/>
  </w:style>
  <w:style w:type="paragraph" w:styleId="Footer">
    <w:name w:val="footer"/>
    <w:basedOn w:val="Normal"/>
    <w:link w:val="FooterChar"/>
    <w:uiPriority w:val="99"/>
    <w:unhideWhenUsed/>
    <w:rsid w:val="006E0A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0A73"/>
  </w:style>
  <w:style w:type="paragraph" w:customStyle="1" w:styleId="Default">
    <w:name w:val="Default"/>
    <w:rsid w:val="006E0A7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80B73"/>
    <w:rPr>
      <w:sz w:val="16"/>
      <w:szCs w:val="16"/>
    </w:rPr>
  </w:style>
  <w:style w:type="paragraph" w:styleId="CommentText">
    <w:name w:val="annotation text"/>
    <w:basedOn w:val="Normal"/>
    <w:link w:val="CommentTextChar"/>
    <w:uiPriority w:val="99"/>
    <w:semiHidden/>
    <w:unhideWhenUsed/>
    <w:rsid w:val="00C80B73"/>
    <w:pPr>
      <w:spacing w:line="240" w:lineRule="auto"/>
    </w:pPr>
    <w:rPr>
      <w:sz w:val="20"/>
      <w:szCs w:val="20"/>
    </w:rPr>
  </w:style>
  <w:style w:type="character" w:customStyle="1" w:styleId="CommentTextChar">
    <w:name w:val="Comment Text Char"/>
    <w:basedOn w:val="DefaultParagraphFont"/>
    <w:link w:val="CommentText"/>
    <w:uiPriority w:val="99"/>
    <w:semiHidden/>
    <w:rsid w:val="00C80B73"/>
    <w:rPr>
      <w:sz w:val="20"/>
      <w:szCs w:val="20"/>
    </w:rPr>
  </w:style>
  <w:style w:type="paragraph" w:styleId="CommentSubject">
    <w:name w:val="annotation subject"/>
    <w:basedOn w:val="CommentText"/>
    <w:next w:val="CommentText"/>
    <w:link w:val="CommentSubjectChar"/>
    <w:uiPriority w:val="99"/>
    <w:semiHidden/>
    <w:unhideWhenUsed/>
    <w:rsid w:val="00C80B73"/>
    <w:rPr>
      <w:b/>
      <w:bCs/>
    </w:rPr>
  </w:style>
  <w:style w:type="character" w:customStyle="1" w:styleId="CommentSubjectChar">
    <w:name w:val="Comment Subject Char"/>
    <w:basedOn w:val="CommentTextChar"/>
    <w:link w:val="CommentSubject"/>
    <w:uiPriority w:val="99"/>
    <w:semiHidden/>
    <w:rsid w:val="00C80B73"/>
    <w:rPr>
      <w:b/>
      <w:bCs/>
      <w:sz w:val="20"/>
      <w:szCs w:val="20"/>
    </w:rPr>
  </w:style>
  <w:style w:type="table" w:customStyle="1" w:styleId="TableGrid1">
    <w:name w:val="Table Grid1"/>
    <w:basedOn w:val="TableNormal"/>
    <w:rsid w:val="00E27F65"/>
    <w:pPr>
      <w:spacing w:after="0" w:line="240" w:lineRule="auto"/>
    </w:pPr>
    <w:rPr>
      <w:rFonts w:ascii="Times New Roman" w:eastAsia="Batang"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563D"/>
    <w:pPr>
      <w:spacing w:after="0" w:line="240" w:lineRule="auto"/>
    </w:pPr>
    <w:rPr>
      <w:rFonts w:ascii="Century" w:eastAsia="MS Mincho" w:hAnsi="Century" w:cs="Times New Roman"/>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EF15DC"/>
    <w:rPr>
      <w:i/>
      <w:iCs/>
    </w:rPr>
  </w:style>
  <w:style w:type="character" w:customStyle="1" w:styleId="Heading1Char">
    <w:name w:val="Heading 1 Char"/>
    <w:aliases w:val="ECC Heading 1 Char"/>
    <w:basedOn w:val="DefaultParagraphFont"/>
    <w:link w:val="Heading1"/>
    <w:rsid w:val="001D0218"/>
    <w:rPr>
      <w:rFonts w:ascii="Arial" w:eastAsia="Times New Roman" w:hAnsi="Arial" w:cs="Arial"/>
      <w:b/>
      <w:bCs/>
      <w:caps/>
      <w:color w:val="D2232A"/>
      <w:kern w:val="32"/>
      <w:sz w:val="20"/>
      <w:szCs w:val="32"/>
    </w:rPr>
  </w:style>
  <w:style w:type="character" w:customStyle="1" w:styleId="Heading2Char">
    <w:name w:val="Heading 2 Char"/>
    <w:aliases w:val="ECC Heading 2 Char"/>
    <w:basedOn w:val="DefaultParagraphFont"/>
    <w:link w:val="Heading2"/>
    <w:rsid w:val="001D0218"/>
    <w:rPr>
      <w:rFonts w:ascii="Arial" w:eastAsia="Times New Roman" w:hAnsi="Arial" w:cs="Arial"/>
      <w:b/>
      <w:bCs/>
      <w:iCs/>
      <w:caps/>
      <w:sz w:val="20"/>
      <w:szCs w:val="28"/>
    </w:rPr>
  </w:style>
  <w:style w:type="character" w:customStyle="1" w:styleId="Heading3Char">
    <w:name w:val="Heading 3 Char"/>
    <w:aliases w:val="ECC Heading 3 Char"/>
    <w:basedOn w:val="DefaultParagraphFont"/>
    <w:link w:val="Heading3"/>
    <w:rsid w:val="001D0218"/>
    <w:rPr>
      <w:rFonts w:ascii="Arial" w:eastAsia="Times New Roman" w:hAnsi="Arial" w:cs="Arial"/>
      <w:b/>
      <w:bCs/>
      <w:sz w:val="20"/>
      <w:szCs w:val="26"/>
    </w:rPr>
  </w:style>
  <w:style w:type="character" w:customStyle="1" w:styleId="Heading4Char">
    <w:name w:val="Heading 4 Char"/>
    <w:aliases w:val="ECC Heading 4 Char"/>
    <w:basedOn w:val="DefaultParagraphFont"/>
    <w:link w:val="Heading4"/>
    <w:rsid w:val="001D0218"/>
    <w:rPr>
      <w:rFonts w:ascii="Arial" w:eastAsia="Times New Roman" w:hAnsi="Arial" w:cs="Arial"/>
      <w:bCs/>
      <w:i/>
      <w:color w:val="D2232A"/>
      <w:sz w:val="20"/>
      <w:szCs w:val="26"/>
    </w:rPr>
  </w:style>
  <w:style w:type="character" w:customStyle="1" w:styleId="Heading5Char">
    <w:name w:val="Heading 5 Char"/>
    <w:basedOn w:val="DefaultParagraphFont"/>
    <w:link w:val="Heading5"/>
    <w:semiHidden/>
    <w:rsid w:val="001D0218"/>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1D0218"/>
    <w:rPr>
      <w:rFonts w:ascii="Arial" w:eastAsia="Calibri" w:hAnsi="Arial" w:cs="Times New Roman"/>
      <w:b/>
      <w:bCs/>
      <w:lang w:val="en-GB"/>
    </w:rPr>
  </w:style>
  <w:style w:type="character" w:customStyle="1" w:styleId="Heading7Char">
    <w:name w:val="Heading 7 Char"/>
    <w:basedOn w:val="DefaultParagraphFont"/>
    <w:link w:val="Heading7"/>
    <w:semiHidden/>
    <w:rsid w:val="001D0218"/>
    <w:rPr>
      <w:rFonts w:ascii="Arial" w:eastAsia="Calibri" w:hAnsi="Arial" w:cs="Times New Roman"/>
      <w:sz w:val="24"/>
      <w:lang w:val="en-GB"/>
    </w:rPr>
  </w:style>
  <w:style w:type="character" w:customStyle="1" w:styleId="Heading8Char">
    <w:name w:val="Heading 8 Char"/>
    <w:basedOn w:val="DefaultParagraphFont"/>
    <w:link w:val="Heading8"/>
    <w:semiHidden/>
    <w:rsid w:val="001D0218"/>
    <w:rPr>
      <w:rFonts w:ascii="Arial" w:eastAsia="Calibri" w:hAnsi="Arial" w:cs="Times New Roman"/>
      <w:i/>
      <w:iCs/>
      <w:sz w:val="24"/>
      <w:lang w:val="en-GB"/>
    </w:rPr>
  </w:style>
  <w:style w:type="character" w:customStyle="1" w:styleId="Heading9Char">
    <w:name w:val="Heading 9 Char"/>
    <w:basedOn w:val="DefaultParagraphFont"/>
    <w:link w:val="Heading9"/>
    <w:semiHidden/>
    <w:rsid w:val="001D0218"/>
    <w:rPr>
      <w:rFonts w:ascii="Arial" w:eastAsia="Calibri" w:hAnsi="Arial" w:cs="Arial"/>
      <w:lang w:val="en-GB"/>
    </w:rPr>
  </w:style>
  <w:style w:type="paragraph" w:customStyle="1" w:styleId="ECCTablenote">
    <w:name w:val="ECC Table note"/>
    <w:qFormat/>
    <w:rsid w:val="001D0218"/>
    <w:pPr>
      <w:spacing w:after="60" w:line="240" w:lineRule="auto"/>
      <w:ind w:left="284" w:hanging="284"/>
      <w:jc w:val="both"/>
    </w:pPr>
    <w:rPr>
      <w:rFonts w:ascii="Arial" w:eastAsia="Times New Roman" w:hAnsi="Arial" w:cs="Times New Roman"/>
      <w:sz w:val="16"/>
      <w:szCs w:val="16"/>
      <w:lang w:val="en-GB"/>
    </w:rPr>
  </w:style>
  <w:style w:type="character" w:customStyle="1" w:styleId="ECCParagraph">
    <w:name w:val="ECC Paragraph"/>
    <w:basedOn w:val="DefaultParagraphFont"/>
    <w:uiPriority w:val="1"/>
    <w:qFormat/>
    <w:rsid w:val="001D0218"/>
    <w:rPr>
      <w:rFonts w:ascii="Arial" w:hAnsi="Arial"/>
      <w:noProof w:val="0"/>
      <w:sz w:val="20"/>
      <w:bdr w:val="none" w:sz="0" w:space="0" w:color="auto"/>
      <w:lang w:val="en-GB"/>
    </w:rPr>
  </w:style>
  <w:style w:type="paragraph" w:styleId="TOCHeading">
    <w:name w:val="TOC Heading"/>
    <w:basedOn w:val="Heading1"/>
    <w:next w:val="Normal"/>
    <w:uiPriority w:val="39"/>
    <w:unhideWhenUsed/>
    <w:qFormat/>
    <w:rsid w:val="00612266"/>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681BE3"/>
    <w:pPr>
      <w:spacing w:after="0"/>
    </w:pPr>
  </w:style>
  <w:style w:type="paragraph" w:styleId="TOC2">
    <w:name w:val="toc 2"/>
    <w:basedOn w:val="Normal"/>
    <w:next w:val="Normal"/>
    <w:autoRedefine/>
    <w:uiPriority w:val="39"/>
    <w:unhideWhenUsed/>
    <w:qFormat/>
    <w:rsid w:val="00681BE3"/>
    <w:pPr>
      <w:spacing w:after="0"/>
      <w:ind w:left="221"/>
    </w:pPr>
  </w:style>
  <w:style w:type="paragraph" w:styleId="TOC3">
    <w:name w:val="toc 3"/>
    <w:basedOn w:val="Normal"/>
    <w:next w:val="Normal"/>
    <w:autoRedefine/>
    <w:uiPriority w:val="39"/>
    <w:unhideWhenUsed/>
    <w:qFormat/>
    <w:rsid w:val="00681BE3"/>
    <w:pPr>
      <w:tabs>
        <w:tab w:val="left" w:pos="1320"/>
        <w:tab w:val="right" w:leader="dot" w:pos="9628"/>
      </w:tabs>
      <w:spacing w:after="0"/>
      <w:ind w:left="442"/>
    </w:pPr>
  </w:style>
  <w:style w:type="paragraph" w:customStyle="1" w:styleId="ECCLetterHead">
    <w:name w:val="ECC Letter Head"/>
    <w:basedOn w:val="Normal"/>
    <w:link w:val="ECCLetterHeadZchn"/>
    <w:qFormat/>
    <w:rsid w:val="004D1790"/>
    <w:pPr>
      <w:tabs>
        <w:tab w:val="right" w:pos="4750"/>
      </w:tabs>
      <w:spacing w:before="120" w:after="60" w:line="240" w:lineRule="auto"/>
      <w:jc w:val="both"/>
    </w:pPr>
    <w:rPr>
      <w:rFonts w:ascii="Arial" w:eastAsia="Calibri" w:hAnsi="Arial" w:cs="Times New Roman"/>
      <w:b/>
      <w:szCs w:val="20"/>
      <w:lang w:val="en-GB"/>
    </w:rPr>
  </w:style>
  <w:style w:type="character" w:customStyle="1" w:styleId="ECCLetterHeadZchn">
    <w:name w:val="ECC Letter Head Zchn"/>
    <w:basedOn w:val="DefaultParagraphFont"/>
    <w:link w:val="ECCLetterHead"/>
    <w:rsid w:val="004D1790"/>
    <w:rPr>
      <w:rFonts w:ascii="Arial" w:eastAsia="Calibri"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8796">
      <w:bodyDiv w:val="1"/>
      <w:marLeft w:val="0"/>
      <w:marRight w:val="0"/>
      <w:marTop w:val="0"/>
      <w:marBottom w:val="0"/>
      <w:divBdr>
        <w:top w:val="none" w:sz="0" w:space="0" w:color="auto"/>
        <w:left w:val="none" w:sz="0" w:space="0" w:color="auto"/>
        <w:bottom w:val="none" w:sz="0" w:space="0" w:color="auto"/>
        <w:right w:val="none" w:sz="0" w:space="0" w:color="auto"/>
      </w:divBdr>
      <w:divsChild>
        <w:div w:id="457452894">
          <w:marLeft w:val="0"/>
          <w:marRight w:val="0"/>
          <w:marTop w:val="0"/>
          <w:marBottom w:val="0"/>
          <w:divBdr>
            <w:top w:val="none" w:sz="0" w:space="0" w:color="auto"/>
            <w:left w:val="none" w:sz="0" w:space="0" w:color="auto"/>
            <w:bottom w:val="none" w:sz="0" w:space="0" w:color="auto"/>
            <w:right w:val="none" w:sz="0" w:space="0" w:color="auto"/>
          </w:divBdr>
          <w:divsChild>
            <w:div w:id="957638432">
              <w:marLeft w:val="0"/>
              <w:marRight w:val="0"/>
              <w:marTop w:val="0"/>
              <w:marBottom w:val="0"/>
              <w:divBdr>
                <w:top w:val="none" w:sz="0" w:space="0" w:color="auto"/>
                <w:left w:val="none" w:sz="0" w:space="0" w:color="auto"/>
                <w:bottom w:val="none" w:sz="0" w:space="0" w:color="auto"/>
                <w:right w:val="none" w:sz="0" w:space="0" w:color="auto"/>
              </w:divBdr>
              <w:divsChild>
                <w:div w:id="1629313966">
                  <w:marLeft w:val="0"/>
                  <w:marRight w:val="0"/>
                  <w:marTop w:val="0"/>
                  <w:marBottom w:val="0"/>
                  <w:divBdr>
                    <w:top w:val="none" w:sz="0" w:space="0" w:color="auto"/>
                    <w:left w:val="none" w:sz="0" w:space="0" w:color="auto"/>
                    <w:bottom w:val="none" w:sz="0" w:space="0" w:color="auto"/>
                    <w:right w:val="none" w:sz="0" w:space="0" w:color="auto"/>
                  </w:divBdr>
                </w:div>
              </w:divsChild>
            </w:div>
            <w:div w:id="1510021781">
              <w:marLeft w:val="0"/>
              <w:marRight w:val="0"/>
              <w:marTop w:val="0"/>
              <w:marBottom w:val="0"/>
              <w:divBdr>
                <w:top w:val="none" w:sz="0" w:space="0" w:color="auto"/>
                <w:left w:val="none" w:sz="0" w:space="0" w:color="auto"/>
                <w:bottom w:val="none" w:sz="0" w:space="0" w:color="auto"/>
                <w:right w:val="none" w:sz="0" w:space="0" w:color="auto"/>
              </w:divBdr>
              <w:divsChild>
                <w:div w:id="451291675">
                  <w:marLeft w:val="0"/>
                  <w:marRight w:val="0"/>
                  <w:marTop w:val="0"/>
                  <w:marBottom w:val="0"/>
                  <w:divBdr>
                    <w:top w:val="none" w:sz="0" w:space="0" w:color="auto"/>
                    <w:left w:val="none" w:sz="0" w:space="0" w:color="auto"/>
                    <w:bottom w:val="none" w:sz="0" w:space="0" w:color="auto"/>
                    <w:right w:val="none" w:sz="0" w:space="0" w:color="auto"/>
                  </w:divBdr>
                </w:div>
              </w:divsChild>
            </w:div>
            <w:div w:id="1784957981">
              <w:marLeft w:val="0"/>
              <w:marRight w:val="0"/>
              <w:marTop w:val="0"/>
              <w:marBottom w:val="0"/>
              <w:divBdr>
                <w:top w:val="none" w:sz="0" w:space="0" w:color="auto"/>
                <w:left w:val="none" w:sz="0" w:space="0" w:color="auto"/>
                <w:bottom w:val="none" w:sz="0" w:space="0" w:color="auto"/>
                <w:right w:val="none" w:sz="0" w:space="0" w:color="auto"/>
              </w:divBdr>
              <w:divsChild>
                <w:div w:id="18256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12">
      <w:bodyDiv w:val="1"/>
      <w:marLeft w:val="0"/>
      <w:marRight w:val="0"/>
      <w:marTop w:val="0"/>
      <w:marBottom w:val="0"/>
      <w:divBdr>
        <w:top w:val="none" w:sz="0" w:space="0" w:color="auto"/>
        <w:left w:val="none" w:sz="0" w:space="0" w:color="auto"/>
        <w:bottom w:val="none" w:sz="0" w:space="0" w:color="auto"/>
        <w:right w:val="none" w:sz="0" w:space="0" w:color="auto"/>
      </w:divBdr>
      <w:divsChild>
        <w:div w:id="895504579">
          <w:marLeft w:val="0"/>
          <w:marRight w:val="0"/>
          <w:marTop w:val="0"/>
          <w:marBottom w:val="0"/>
          <w:divBdr>
            <w:top w:val="none" w:sz="0" w:space="0" w:color="auto"/>
            <w:left w:val="none" w:sz="0" w:space="0" w:color="auto"/>
            <w:bottom w:val="none" w:sz="0" w:space="0" w:color="auto"/>
            <w:right w:val="none" w:sz="0" w:space="0" w:color="auto"/>
          </w:divBdr>
        </w:div>
        <w:div w:id="1130824989">
          <w:marLeft w:val="0"/>
          <w:marRight w:val="0"/>
          <w:marTop w:val="0"/>
          <w:marBottom w:val="0"/>
          <w:divBdr>
            <w:top w:val="none" w:sz="0" w:space="0" w:color="auto"/>
            <w:left w:val="none" w:sz="0" w:space="0" w:color="auto"/>
            <w:bottom w:val="none" w:sz="0" w:space="0" w:color="auto"/>
            <w:right w:val="none" w:sz="0" w:space="0" w:color="auto"/>
          </w:divBdr>
        </w:div>
        <w:div w:id="1570387551">
          <w:marLeft w:val="0"/>
          <w:marRight w:val="0"/>
          <w:marTop w:val="0"/>
          <w:marBottom w:val="0"/>
          <w:divBdr>
            <w:top w:val="none" w:sz="0" w:space="0" w:color="auto"/>
            <w:left w:val="none" w:sz="0" w:space="0" w:color="auto"/>
            <w:bottom w:val="none" w:sz="0" w:space="0" w:color="auto"/>
            <w:right w:val="none" w:sz="0" w:space="0" w:color="auto"/>
          </w:divBdr>
        </w:div>
      </w:divsChild>
    </w:div>
    <w:div w:id="98795221">
      <w:bodyDiv w:val="1"/>
      <w:marLeft w:val="0"/>
      <w:marRight w:val="0"/>
      <w:marTop w:val="0"/>
      <w:marBottom w:val="0"/>
      <w:divBdr>
        <w:top w:val="none" w:sz="0" w:space="0" w:color="auto"/>
        <w:left w:val="none" w:sz="0" w:space="0" w:color="auto"/>
        <w:bottom w:val="none" w:sz="0" w:space="0" w:color="auto"/>
        <w:right w:val="none" w:sz="0" w:space="0" w:color="auto"/>
      </w:divBdr>
    </w:div>
    <w:div w:id="107627369">
      <w:bodyDiv w:val="1"/>
      <w:marLeft w:val="0"/>
      <w:marRight w:val="0"/>
      <w:marTop w:val="0"/>
      <w:marBottom w:val="0"/>
      <w:divBdr>
        <w:top w:val="none" w:sz="0" w:space="0" w:color="auto"/>
        <w:left w:val="none" w:sz="0" w:space="0" w:color="auto"/>
        <w:bottom w:val="none" w:sz="0" w:space="0" w:color="auto"/>
        <w:right w:val="none" w:sz="0" w:space="0" w:color="auto"/>
      </w:divBdr>
    </w:div>
    <w:div w:id="200360549">
      <w:bodyDiv w:val="1"/>
      <w:marLeft w:val="0"/>
      <w:marRight w:val="0"/>
      <w:marTop w:val="0"/>
      <w:marBottom w:val="0"/>
      <w:divBdr>
        <w:top w:val="none" w:sz="0" w:space="0" w:color="auto"/>
        <w:left w:val="none" w:sz="0" w:space="0" w:color="auto"/>
        <w:bottom w:val="none" w:sz="0" w:space="0" w:color="auto"/>
        <w:right w:val="none" w:sz="0" w:space="0" w:color="auto"/>
      </w:divBdr>
    </w:div>
    <w:div w:id="223834574">
      <w:bodyDiv w:val="1"/>
      <w:marLeft w:val="0"/>
      <w:marRight w:val="0"/>
      <w:marTop w:val="0"/>
      <w:marBottom w:val="0"/>
      <w:divBdr>
        <w:top w:val="none" w:sz="0" w:space="0" w:color="auto"/>
        <w:left w:val="none" w:sz="0" w:space="0" w:color="auto"/>
        <w:bottom w:val="none" w:sz="0" w:space="0" w:color="auto"/>
        <w:right w:val="none" w:sz="0" w:space="0" w:color="auto"/>
      </w:divBdr>
    </w:div>
    <w:div w:id="271591045">
      <w:bodyDiv w:val="1"/>
      <w:marLeft w:val="0"/>
      <w:marRight w:val="0"/>
      <w:marTop w:val="0"/>
      <w:marBottom w:val="0"/>
      <w:divBdr>
        <w:top w:val="none" w:sz="0" w:space="0" w:color="auto"/>
        <w:left w:val="none" w:sz="0" w:space="0" w:color="auto"/>
        <w:bottom w:val="none" w:sz="0" w:space="0" w:color="auto"/>
        <w:right w:val="none" w:sz="0" w:space="0" w:color="auto"/>
      </w:divBdr>
    </w:div>
    <w:div w:id="332874066">
      <w:bodyDiv w:val="1"/>
      <w:marLeft w:val="0"/>
      <w:marRight w:val="0"/>
      <w:marTop w:val="0"/>
      <w:marBottom w:val="0"/>
      <w:divBdr>
        <w:top w:val="none" w:sz="0" w:space="0" w:color="auto"/>
        <w:left w:val="none" w:sz="0" w:space="0" w:color="auto"/>
        <w:bottom w:val="none" w:sz="0" w:space="0" w:color="auto"/>
        <w:right w:val="none" w:sz="0" w:space="0" w:color="auto"/>
      </w:divBdr>
    </w:div>
    <w:div w:id="346177778">
      <w:bodyDiv w:val="1"/>
      <w:marLeft w:val="0"/>
      <w:marRight w:val="0"/>
      <w:marTop w:val="0"/>
      <w:marBottom w:val="0"/>
      <w:divBdr>
        <w:top w:val="none" w:sz="0" w:space="0" w:color="auto"/>
        <w:left w:val="none" w:sz="0" w:space="0" w:color="auto"/>
        <w:bottom w:val="none" w:sz="0" w:space="0" w:color="auto"/>
        <w:right w:val="none" w:sz="0" w:space="0" w:color="auto"/>
      </w:divBdr>
    </w:div>
    <w:div w:id="375356344">
      <w:bodyDiv w:val="1"/>
      <w:marLeft w:val="0"/>
      <w:marRight w:val="0"/>
      <w:marTop w:val="0"/>
      <w:marBottom w:val="0"/>
      <w:divBdr>
        <w:top w:val="none" w:sz="0" w:space="0" w:color="auto"/>
        <w:left w:val="none" w:sz="0" w:space="0" w:color="auto"/>
        <w:bottom w:val="none" w:sz="0" w:space="0" w:color="auto"/>
        <w:right w:val="none" w:sz="0" w:space="0" w:color="auto"/>
      </w:divBdr>
    </w:div>
    <w:div w:id="428281687">
      <w:bodyDiv w:val="1"/>
      <w:marLeft w:val="0"/>
      <w:marRight w:val="0"/>
      <w:marTop w:val="0"/>
      <w:marBottom w:val="0"/>
      <w:divBdr>
        <w:top w:val="none" w:sz="0" w:space="0" w:color="auto"/>
        <w:left w:val="none" w:sz="0" w:space="0" w:color="auto"/>
        <w:bottom w:val="none" w:sz="0" w:space="0" w:color="auto"/>
        <w:right w:val="none" w:sz="0" w:space="0" w:color="auto"/>
      </w:divBdr>
    </w:div>
    <w:div w:id="491063067">
      <w:bodyDiv w:val="1"/>
      <w:marLeft w:val="0"/>
      <w:marRight w:val="0"/>
      <w:marTop w:val="0"/>
      <w:marBottom w:val="0"/>
      <w:divBdr>
        <w:top w:val="none" w:sz="0" w:space="0" w:color="auto"/>
        <w:left w:val="none" w:sz="0" w:space="0" w:color="auto"/>
        <w:bottom w:val="none" w:sz="0" w:space="0" w:color="auto"/>
        <w:right w:val="none" w:sz="0" w:space="0" w:color="auto"/>
      </w:divBdr>
    </w:div>
    <w:div w:id="498623773">
      <w:bodyDiv w:val="1"/>
      <w:marLeft w:val="0"/>
      <w:marRight w:val="0"/>
      <w:marTop w:val="0"/>
      <w:marBottom w:val="0"/>
      <w:divBdr>
        <w:top w:val="none" w:sz="0" w:space="0" w:color="auto"/>
        <w:left w:val="none" w:sz="0" w:space="0" w:color="auto"/>
        <w:bottom w:val="none" w:sz="0" w:space="0" w:color="auto"/>
        <w:right w:val="none" w:sz="0" w:space="0" w:color="auto"/>
      </w:divBdr>
    </w:div>
    <w:div w:id="607590034">
      <w:bodyDiv w:val="1"/>
      <w:marLeft w:val="0"/>
      <w:marRight w:val="0"/>
      <w:marTop w:val="0"/>
      <w:marBottom w:val="0"/>
      <w:divBdr>
        <w:top w:val="none" w:sz="0" w:space="0" w:color="auto"/>
        <w:left w:val="none" w:sz="0" w:space="0" w:color="auto"/>
        <w:bottom w:val="none" w:sz="0" w:space="0" w:color="auto"/>
        <w:right w:val="none" w:sz="0" w:space="0" w:color="auto"/>
      </w:divBdr>
    </w:div>
    <w:div w:id="725110967">
      <w:bodyDiv w:val="1"/>
      <w:marLeft w:val="0"/>
      <w:marRight w:val="0"/>
      <w:marTop w:val="0"/>
      <w:marBottom w:val="0"/>
      <w:divBdr>
        <w:top w:val="none" w:sz="0" w:space="0" w:color="auto"/>
        <w:left w:val="none" w:sz="0" w:space="0" w:color="auto"/>
        <w:bottom w:val="none" w:sz="0" w:space="0" w:color="auto"/>
        <w:right w:val="none" w:sz="0" w:space="0" w:color="auto"/>
      </w:divBdr>
    </w:div>
    <w:div w:id="750781646">
      <w:bodyDiv w:val="1"/>
      <w:marLeft w:val="0"/>
      <w:marRight w:val="0"/>
      <w:marTop w:val="0"/>
      <w:marBottom w:val="0"/>
      <w:divBdr>
        <w:top w:val="none" w:sz="0" w:space="0" w:color="auto"/>
        <w:left w:val="none" w:sz="0" w:space="0" w:color="auto"/>
        <w:bottom w:val="none" w:sz="0" w:space="0" w:color="auto"/>
        <w:right w:val="none" w:sz="0" w:space="0" w:color="auto"/>
      </w:divBdr>
    </w:div>
    <w:div w:id="784927980">
      <w:bodyDiv w:val="1"/>
      <w:marLeft w:val="0"/>
      <w:marRight w:val="0"/>
      <w:marTop w:val="0"/>
      <w:marBottom w:val="0"/>
      <w:divBdr>
        <w:top w:val="none" w:sz="0" w:space="0" w:color="auto"/>
        <w:left w:val="none" w:sz="0" w:space="0" w:color="auto"/>
        <w:bottom w:val="none" w:sz="0" w:space="0" w:color="auto"/>
        <w:right w:val="none" w:sz="0" w:space="0" w:color="auto"/>
      </w:divBdr>
    </w:div>
    <w:div w:id="791897444">
      <w:bodyDiv w:val="1"/>
      <w:marLeft w:val="0"/>
      <w:marRight w:val="0"/>
      <w:marTop w:val="0"/>
      <w:marBottom w:val="0"/>
      <w:divBdr>
        <w:top w:val="none" w:sz="0" w:space="0" w:color="auto"/>
        <w:left w:val="none" w:sz="0" w:space="0" w:color="auto"/>
        <w:bottom w:val="none" w:sz="0" w:space="0" w:color="auto"/>
        <w:right w:val="none" w:sz="0" w:space="0" w:color="auto"/>
      </w:divBdr>
    </w:div>
    <w:div w:id="796920710">
      <w:bodyDiv w:val="1"/>
      <w:marLeft w:val="0"/>
      <w:marRight w:val="0"/>
      <w:marTop w:val="0"/>
      <w:marBottom w:val="0"/>
      <w:divBdr>
        <w:top w:val="none" w:sz="0" w:space="0" w:color="auto"/>
        <w:left w:val="none" w:sz="0" w:space="0" w:color="auto"/>
        <w:bottom w:val="none" w:sz="0" w:space="0" w:color="auto"/>
        <w:right w:val="none" w:sz="0" w:space="0" w:color="auto"/>
      </w:divBdr>
    </w:div>
    <w:div w:id="828330609">
      <w:bodyDiv w:val="1"/>
      <w:marLeft w:val="0"/>
      <w:marRight w:val="0"/>
      <w:marTop w:val="0"/>
      <w:marBottom w:val="0"/>
      <w:divBdr>
        <w:top w:val="none" w:sz="0" w:space="0" w:color="auto"/>
        <w:left w:val="none" w:sz="0" w:space="0" w:color="auto"/>
        <w:bottom w:val="none" w:sz="0" w:space="0" w:color="auto"/>
        <w:right w:val="none" w:sz="0" w:space="0" w:color="auto"/>
      </w:divBdr>
    </w:div>
    <w:div w:id="894396404">
      <w:bodyDiv w:val="1"/>
      <w:marLeft w:val="0"/>
      <w:marRight w:val="0"/>
      <w:marTop w:val="0"/>
      <w:marBottom w:val="0"/>
      <w:divBdr>
        <w:top w:val="none" w:sz="0" w:space="0" w:color="auto"/>
        <w:left w:val="none" w:sz="0" w:space="0" w:color="auto"/>
        <w:bottom w:val="none" w:sz="0" w:space="0" w:color="auto"/>
        <w:right w:val="none" w:sz="0" w:space="0" w:color="auto"/>
      </w:divBdr>
    </w:div>
    <w:div w:id="908224388">
      <w:bodyDiv w:val="1"/>
      <w:marLeft w:val="0"/>
      <w:marRight w:val="0"/>
      <w:marTop w:val="0"/>
      <w:marBottom w:val="0"/>
      <w:divBdr>
        <w:top w:val="none" w:sz="0" w:space="0" w:color="auto"/>
        <w:left w:val="none" w:sz="0" w:space="0" w:color="auto"/>
        <w:bottom w:val="none" w:sz="0" w:space="0" w:color="auto"/>
        <w:right w:val="none" w:sz="0" w:space="0" w:color="auto"/>
      </w:divBdr>
    </w:div>
    <w:div w:id="946620784">
      <w:bodyDiv w:val="1"/>
      <w:marLeft w:val="0"/>
      <w:marRight w:val="0"/>
      <w:marTop w:val="0"/>
      <w:marBottom w:val="0"/>
      <w:divBdr>
        <w:top w:val="none" w:sz="0" w:space="0" w:color="auto"/>
        <w:left w:val="none" w:sz="0" w:space="0" w:color="auto"/>
        <w:bottom w:val="none" w:sz="0" w:space="0" w:color="auto"/>
        <w:right w:val="none" w:sz="0" w:space="0" w:color="auto"/>
      </w:divBdr>
    </w:div>
    <w:div w:id="997197868">
      <w:bodyDiv w:val="1"/>
      <w:marLeft w:val="0"/>
      <w:marRight w:val="0"/>
      <w:marTop w:val="0"/>
      <w:marBottom w:val="0"/>
      <w:divBdr>
        <w:top w:val="none" w:sz="0" w:space="0" w:color="auto"/>
        <w:left w:val="none" w:sz="0" w:space="0" w:color="auto"/>
        <w:bottom w:val="none" w:sz="0" w:space="0" w:color="auto"/>
        <w:right w:val="none" w:sz="0" w:space="0" w:color="auto"/>
      </w:divBdr>
    </w:div>
    <w:div w:id="1046414830">
      <w:bodyDiv w:val="1"/>
      <w:marLeft w:val="0"/>
      <w:marRight w:val="0"/>
      <w:marTop w:val="0"/>
      <w:marBottom w:val="0"/>
      <w:divBdr>
        <w:top w:val="none" w:sz="0" w:space="0" w:color="auto"/>
        <w:left w:val="none" w:sz="0" w:space="0" w:color="auto"/>
        <w:bottom w:val="none" w:sz="0" w:space="0" w:color="auto"/>
        <w:right w:val="none" w:sz="0" w:space="0" w:color="auto"/>
      </w:divBdr>
    </w:div>
    <w:div w:id="1065956887">
      <w:bodyDiv w:val="1"/>
      <w:marLeft w:val="0"/>
      <w:marRight w:val="0"/>
      <w:marTop w:val="0"/>
      <w:marBottom w:val="0"/>
      <w:divBdr>
        <w:top w:val="none" w:sz="0" w:space="0" w:color="auto"/>
        <w:left w:val="none" w:sz="0" w:space="0" w:color="auto"/>
        <w:bottom w:val="none" w:sz="0" w:space="0" w:color="auto"/>
        <w:right w:val="none" w:sz="0" w:space="0" w:color="auto"/>
      </w:divBdr>
      <w:divsChild>
        <w:div w:id="592130460">
          <w:marLeft w:val="0"/>
          <w:marRight w:val="0"/>
          <w:marTop w:val="0"/>
          <w:marBottom w:val="0"/>
          <w:divBdr>
            <w:top w:val="none" w:sz="0" w:space="0" w:color="auto"/>
            <w:left w:val="none" w:sz="0" w:space="0" w:color="auto"/>
            <w:bottom w:val="none" w:sz="0" w:space="0" w:color="auto"/>
            <w:right w:val="none" w:sz="0" w:space="0" w:color="auto"/>
          </w:divBdr>
        </w:div>
      </w:divsChild>
    </w:div>
    <w:div w:id="1067992170">
      <w:bodyDiv w:val="1"/>
      <w:marLeft w:val="0"/>
      <w:marRight w:val="0"/>
      <w:marTop w:val="0"/>
      <w:marBottom w:val="0"/>
      <w:divBdr>
        <w:top w:val="none" w:sz="0" w:space="0" w:color="auto"/>
        <w:left w:val="none" w:sz="0" w:space="0" w:color="auto"/>
        <w:bottom w:val="none" w:sz="0" w:space="0" w:color="auto"/>
        <w:right w:val="none" w:sz="0" w:space="0" w:color="auto"/>
      </w:divBdr>
    </w:div>
    <w:div w:id="1119953207">
      <w:bodyDiv w:val="1"/>
      <w:marLeft w:val="0"/>
      <w:marRight w:val="0"/>
      <w:marTop w:val="0"/>
      <w:marBottom w:val="0"/>
      <w:divBdr>
        <w:top w:val="none" w:sz="0" w:space="0" w:color="auto"/>
        <w:left w:val="none" w:sz="0" w:space="0" w:color="auto"/>
        <w:bottom w:val="none" w:sz="0" w:space="0" w:color="auto"/>
        <w:right w:val="none" w:sz="0" w:space="0" w:color="auto"/>
      </w:divBdr>
    </w:div>
    <w:div w:id="1131363089">
      <w:bodyDiv w:val="1"/>
      <w:marLeft w:val="0"/>
      <w:marRight w:val="0"/>
      <w:marTop w:val="0"/>
      <w:marBottom w:val="0"/>
      <w:divBdr>
        <w:top w:val="none" w:sz="0" w:space="0" w:color="auto"/>
        <w:left w:val="none" w:sz="0" w:space="0" w:color="auto"/>
        <w:bottom w:val="none" w:sz="0" w:space="0" w:color="auto"/>
        <w:right w:val="none" w:sz="0" w:space="0" w:color="auto"/>
      </w:divBdr>
    </w:div>
    <w:div w:id="1132986973">
      <w:bodyDiv w:val="1"/>
      <w:marLeft w:val="0"/>
      <w:marRight w:val="0"/>
      <w:marTop w:val="0"/>
      <w:marBottom w:val="0"/>
      <w:divBdr>
        <w:top w:val="none" w:sz="0" w:space="0" w:color="auto"/>
        <w:left w:val="none" w:sz="0" w:space="0" w:color="auto"/>
        <w:bottom w:val="none" w:sz="0" w:space="0" w:color="auto"/>
        <w:right w:val="none" w:sz="0" w:space="0" w:color="auto"/>
      </w:divBdr>
    </w:div>
    <w:div w:id="1149975266">
      <w:bodyDiv w:val="1"/>
      <w:marLeft w:val="0"/>
      <w:marRight w:val="0"/>
      <w:marTop w:val="0"/>
      <w:marBottom w:val="0"/>
      <w:divBdr>
        <w:top w:val="none" w:sz="0" w:space="0" w:color="auto"/>
        <w:left w:val="none" w:sz="0" w:space="0" w:color="auto"/>
        <w:bottom w:val="none" w:sz="0" w:space="0" w:color="auto"/>
        <w:right w:val="none" w:sz="0" w:space="0" w:color="auto"/>
      </w:divBdr>
    </w:div>
    <w:div w:id="1189178352">
      <w:bodyDiv w:val="1"/>
      <w:marLeft w:val="0"/>
      <w:marRight w:val="0"/>
      <w:marTop w:val="0"/>
      <w:marBottom w:val="0"/>
      <w:divBdr>
        <w:top w:val="none" w:sz="0" w:space="0" w:color="auto"/>
        <w:left w:val="none" w:sz="0" w:space="0" w:color="auto"/>
        <w:bottom w:val="none" w:sz="0" w:space="0" w:color="auto"/>
        <w:right w:val="none" w:sz="0" w:space="0" w:color="auto"/>
      </w:divBdr>
    </w:div>
    <w:div w:id="1205362021">
      <w:bodyDiv w:val="1"/>
      <w:marLeft w:val="0"/>
      <w:marRight w:val="0"/>
      <w:marTop w:val="0"/>
      <w:marBottom w:val="0"/>
      <w:divBdr>
        <w:top w:val="none" w:sz="0" w:space="0" w:color="auto"/>
        <w:left w:val="none" w:sz="0" w:space="0" w:color="auto"/>
        <w:bottom w:val="none" w:sz="0" w:space="0" w:color="auto"/>
        <w:right w:val="none" w:sz="0" w:space="0" w:color="auto"/>
      </w:divBdr>
    </w:div>
    <w:div w:id="1222332451">
      <w:bodyDiv w:val="1"/>
      <w:marLeft w:val="0"/>
      <w:marRight w:val="0"/>
      <w:marTop w:val="0"/>
      <w:marBottom w:val="0"/>
      <w:divBdr>
        <w:top w:val="none" w:sz="0" w:space="0" w:color="auto"/>
        <w:left w:val="none" w:sz="0" w:space="0" w:color="auto"/>
        <w:bottom w:val="none" w:sz="0" w:space="0" w:color="auto"/>
        <w:right w:val="none" w:sz="0" w:space="0" w:color="auto"/>
      </w:divBdr>
    </w:div>
    <w:div w:id="1230728027">
      <w:bodyDiv w:val="1"/>
      <w:marLeft w:val="0"/>
      <w:marRight w:val="0"/>
      <w:marTop w:val="0"/>
      <w:marBottom w:val="0"/>
      <w:divBdr>
        <w:top w:val="none" w:sz="0" w:space="0" w:color="auto"/>
        <w:left w:val="none" w:sz="0" w:space="0" w:color="auto"/>
        <w:bottom w:val="none" w:sz="0" w:space="0" w:color="auto"/>
        <w:right w:val="none" w:sz="0" w:space="0" w:color="auto"/>
      </w:divBdr>
    </w:div>
    <w:div w:id="1243755043">
      <w:bodyDiv w:val="1"/>
      <w:marLeft w:val="0"/>
      <w:marRight w:val="0"/>
      <w:marTop w:val="0"/>
      <w:marBottom w:val="0"/>
      <w:divBdr>
        <w:top w:val="none" w:sz="0" w:space="0" w:color="auto"/>
        <w:left w:val="none" w:sz="0" w:space="0" w:color="auto"/>
        <w:bottom w:val="none" w:sz="0" w:space="0" w:color="auto"/>
        <w:right w:val="none" w:sz="0" w:space="0" w:color="auto"/>
      </w:divBdr>
    </w:div>
    <w:div w:id="1280144956">
      <w:bodyDiv w:val="1"/>
      <w:marLeft w:val="0"/>
      <w:marRight w:val="0"/>
      <w:marTop w:val="0"/>
      <w:marBottom w:val="0"/>
      <w:divBdr>
        <w:top w:val="none" w:sz="0" w:space="0" w:color="auto"/>
        <w:left w:val="none" w:sz="0" w:space="0" w:color="auto"/>
        <w:bottom w:val="none" w:sz="0" w:space="0" w:color="auto"/>
        <w:right w:val="none" w:sz="0" w:space="0" w:color="auto"/>
      </w:divBdr>
      <w:divsChild>
        <w:div w:id="270823527">
          <w:marLeft w:val="0"/>
          <w:marRight w:val="0"/>
          <w:marTop w:val="0"/>
          <w:marBottom w:val="0"/>
          <w:divBdr>
            <w:top w:val="none" w:sz="0" w:space="0" w:color="auto"/>
            <w:left w:val="none" w:sz="0" w:space="0" w:color="auto"/>
            <w:bottom w:val="none" w:sz="0" w:space="0" w:color="auto"/>
            <w:right w:val="none" w:sz="0" w:space="0" w:color="auto"/>
          </w:divBdr>
          <w:divsChild>
            <w:div w:id="1014262165">
              <w:marLeft w:val="0"/>
              <w:marRight w:val="0"/>
              <w:marTop w:val="0"/>
              <w:marBottom w:val="0"/>
              <w:divBdr>
                <w:top w:val="none" w:sz="0" w:space="0" w:color="auto"/>
                <w:left w:val="none" w:sz="0" w:space="0" w:color="auto"/>
                <w:bottom w:val="none" w:sz="0" w:space="0" w:color="auto"/>
                <w:right w:val="none" w:sz="0" w:space="0" w:color="auto"/>
              </w:divBdr>
            </w:div>
          </w:divsChild>
        </w:div>
        <w:div w:id="1004555651">
          <w:marLeft w:val="0"/>
          <w:marRight w:val="0"/>
          <w:marTop w:val="0"/>
          <w:marBottom w:val="0"/>
          <w:divBdr>
            <w:top w:val="none" w:sz="0" w:space="0" w:color="auto"/>
            <w:left w:val="none" w:sz="0" w:space="0" w:color="auto"/>
            <w:bottom w:val="none" w:sz="0" w:space="0" w:color="auto"/>
            <w:right w:val="none" w:sz="0" w:space="0" w:color="auto"/>
          </w:divBdr>
          <w:divsChild>
            <w:div w:id="2106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469">
      <w:bodyDiv w:val="1"/>
      <w:marLeft w:val="0"/>
      <w:marRight w:val="0"/>
      <w:marTop w:val="0"/>
      <w:marBottom w:val="0"/>
      <w:divBdr>
        <w:top w:val="none" w:sz="0" w:space="0" w:color="auto"/>
        <w:left w:val="none" w:sz="0" w:space="0" w:color="auto"/>
        <w:bottom w:val="none" w:sz="0" w:space="0" w:color="auto"/>
        <w:right w:val="none" w:sz="0" w:space="0" w:color="auto"/>
      </w:divBdr>
    </w:div>
    <w:div w:id="1369064030">
      <w:bodyDiv w:val="1"/>
      <w:marLeft w:val="0"/>
      <w:marRight w:val="0"/>
      <w:marTop w:val="0"/>
      <w:marBottom w:val="0"/>
      <w:divBdr>
        <w:top w:val="none" w:sz="0" w:space="0" w:color="auto"/>
        <w:left w:val="none" w:sz="0" w:space="0" w:color="auto"/>
        <w:bottom w:val="none" w:sz="0" w:space="0" w:color="auto"/>
        <w:right w:val="none" w:sz="0" w:space="0" w:color="auto"/>
      </w:divBdr>
    </w:div>
    <w:div w:id="1394163281">
      <w:bodyDiv w:val="1"/>
      <w:marLeft w:val="0"/>
      <w:marRight w:val="0"/>
      <w:marTop w:val="0"/>
      <w:marBottom w:val="0"/>
      <w:divBdr>
        <w:top w:val="none" w:sz="0" w:space="0" w:color="auto"/>
        <w:left w:val="none" w:sz="0" w:space="0" w:color="auto"/>
        <w:bottom w:val="none" w:sz="0" w:space="0" w:color="auto"/>
        <w:right w:val="none" w:sz="0" w:space="0" w:color="auto"/>
      </w:divBdr>
    </w:div>
    <w:div w:id="1460805232">
      <w:bodyDiv w:val="1"/>
      <w:marLeft w:val="0"/>
      <w:marRight w:val="0"/>
      <w:marTop w:val="0"/>
      <w:marBottom w:val="0"/>
      <w:divBdr>
        <w:top w:val="none" w:sz="0" w:space="0" w:color="auto"/>
        <w:left w:val="none" w:sz="0" w:space="0" w:color="auto"/>
        <w:bottom w:val="none" w:sz="0" w:space="0" w:color="auto"/>
        <w:right w:val="none" w:sz="0" w:space="0" w:color="auto"/>
      </w:divBdr>
    </w:div>
    <w:div w:id="1505170924">
      <w:bodyDiv w:val="1"/>
      <w:marLeft w:val="0"/>
      <w:marRight w:val="0"/>
      <w:marTop w:val="0"/>
      <w:marBottom w:val="0"/>
      <w:divBdr>
        <w:top w:val="none" w:sz="0" w:space="0" w:color="auto"/>
        <w:left w:val="none" w:sz="0" w:space="0" w:color="auto"/>
        <w:bottom w:val="none" w:sz="0" w:space="0" w:color="auto"/>
        <w:right w:val="none" w:sz="0" w:space="0" w:color="auto"/>
      </w:divBdr>
    </w:div>
    <w:div w:id="1511138726">
      <w:bodyDiv w:val="1"/>
      <w:marLeft w:val="0"/>
      <w:marRight w:val="0"/>
      <w:marTop w:val="0"/>
      <w:marBottom w:val="0"/>
      <w:divBdr>
        <w:top w:val="none" w:sz="0" w:space="0" w:color="auto"/>
        <w:left w:val="none" w:sz="0" w:space="0" w:color="auto"/>
        <w:bottom w:val="none" w:sz="0" w:space="0" w:color="auto"/>
        <w:right w:val="none" w:sz="0" w:space="0" w:color="auto"/>
      </w:divBdr>
    </w:div>
    <w:div w:id="1512526753">
      <w:bodyDiv w:val="1"/>
      <w:marLeft w:val="0"/>
      <w:marRight w:val="0"/>
      <w:marTop w:val="0"/>
      <w:marBottom w:val="0"/>
      <w:divBdr>
        <w:top w:val="none" w:sz="0" w:space="0" w:color="auto"/>
        <w:left w:val="none" w:sz="0" w:space="0" w:color="auto"/>
        <w:bottom w:val="none" w:sz="0" w:space="0" w:color="auto"/>
        <w:right w:val="none" w:sz="0" w:space="0" w:color="auto"/>
      </w:divBdr>
    </w:div>
    <w:div w:id="1513716394">
      <w:bodyDiv w:val="1"/>
      <w:marLeft w:val="0"/>
      <w:marRight w:val="0"/>
      <w:marTop w:val="0"/>
      <w:marBottom w:val="0"/>
      <w:divBdr>
        <w:top w:val="none" w:sz="0" w:space="0" w:color="auto"/>
        <w:left w:val="none" w:sz="0" w:space="0" w:color="auto"/>
        <w:bottom w:val="none" w:sz="0" w:space="0" w:color="auto"/>
        <w:right w:val="none" w:sz="0" w:space="0" w:color="auto"/>
      </w:divBdr>
      <w:divsChild>
        <w:div w:id="20325770">
          <w:marLeft w:val="0"/>
          <w:marRight w:val="0"/>
          <w:marTop w:val="0"/>
          <w:marBottom w:val="0"/>
          <w:divBdr>
            <w:top w:val="none" w:sz="0" w:space="0" w:color="auto"/>
            <w:left w:val="none" w:sz="0" w:space="0" w:color="auto"/>
            <w:bottom w:val="none" w:sz="0" w:space="0" w:color="auto"/>
            <w:right w:val="none" w:sz="0" w:space="0" w:color="auto"/>
          </w:divBdr>
        </w:div>
        <w:div w:id="68503278">
          <w:marLeft w:val="0"/>
          <w:marRight w:val="0"/>
          <w:marTop w:val="0"/>
          <w:marBottom w:val="0"/>
          <w:divBdr>
            <w:top w:val="none" w:sz="0" w:space="0" w:color="auto"/>
            <w:left w:val="none" w:sz="0" w:space="0" w:color="auto"/>
            <w:bottom w:val="none" w:sz="0" w:space="0" w:color="auto"/>
            <w:right w:val="none" w:sz="0" w:space="0" w:color="auto"/>
          </w:divBdr>
        </w:div>
        <w:div w:id="85155902">
          <w:marLeft w:val="0"/>
          <w:marRight w:val="0"/>
          <w:marTop w:val="0"/>
          <w:marBottom w:val="0"/>
          <w:divBdr>
            <w:top w:val="none" w:sz="0" w:space="0" w:color="auto"/>
            <w:left w:val="none" w:sz="0" w:space="0" w:color="auto"/>
            <w:bottom w:val="none" w:sz="0" w:space="0" w:color="auto"/>
            <w:right w:val="none" w:sz="0" w:space="0" w:color="auto"/>
          </w:divBdr>
        </w:div>
        <w:div w:id="96798500">
          <w:marLeft w:val="0"/>
          <w:marRight w:val="0"/>
          <w:marTop w:val="0"/>
          <w:marBottom w:val="0"/>
          <w:divBdr>
            <w:top w:val="none" w:sz="0" w:space="0" w:color="auto"/>
            <w:left w:val="none" w:sz="0" w:space="0" w:color="auto"/>
            <w:bottom w:val="none" w:sz="0" w:space="0" w:color="auto"/>
            <w:right w:val="none" w:sz="0" w:space="0" w:color="auto"/>
          </w:divBdr>
        </w:div>
        <w:div w:id="117379281">
          <w:marLeft w:val="0"/>
          <w:marRight w:val="0"/>
          <w:marTop w:val="0"/>
          <w:marBottom w:val="0"/>
          <w:divBdr>
            <w:top w:val="none" w:sz="0" w:space="0" w:color="auto"/>
            <w:left w:val="none" w:sz="0" w:space="0" w:color="auto"/>
            <w:bottom w:val="none" w:sz="0" w:space="0" w:color="auto"/>
            <w:right w:val="none" w:sz="0" w:space="0" w:color="auto"/>
          </w:divBdr>
        </w:div>
        <w:div w:id="127431984">
          <w:marLeft w:val="0"/>
          <w:marRight w:val="0"/>
          <w:marTop w:val="0"/>
          <w:marBottom w:val="0"/>
          <w:divBdr>
            <w:top w:val="none" w:sz="0" w:space="0" w:color="auto"/>
            <w:left w:val="none" w:sz="0" w:space="0" w:color="auto"/>
            <w:bottom w:val="none" w:sz="0" w:space="0" w:color="auto"/>
            <w:right w:val="none" w:sz="0" w:space="0" w:color="auto"/>
          </w:divBdr>
        </w:div>
        <w:div w:id="129713589">
          <w:marLeft w:val="0"/>
          <w:marRight w:val="0"/>
          <w:marTop w:val="0"/>
          <w:marBottom w:val="0"/>
          <w:divBdr>
            <w:top w:val="none" w:sz="0" w:space="0" w:color="auto"/>
            <w:left w:val="none" w:sz="0" w:space="0" w:color="auto"/>
            <w:bottom w:val="none" w:sz="0" w:space="0" w:color="auto"/>
            <w:right w:val="none" w:sz="0" w:space="0" w:color="auto"/>
          </w:divBdr>
        </w:div>
        <w:div w:id="149558999">
          <w:marLeft w:val="0"/>
          <w:marRight w:val="0"/>
          <w:marTop w:val="0"/>
          <w:marBottom w:val="0"/>
          <w:divBdr>
            <w:top w:val="none" w:sz="0" w:space="0" w:color="auto"/>
            <w:left w:val="none" w:sz="0" w:space="0" w:color="auto"/>
            <w:bottom w:val="none" w:sz="0" w:space="0" w:color="auto"/>
            <w:right w:val="none" w:sz="0" w:space="0" w:color="auto"/>
          </w:divBdr>
        </w:div>
        <w:div w:id="156697871">
          <w:marLeft w:val="0"/>
          <w:marRight w:val="0"/>
          <w:marTop w:val="0"/>
          <w:marBottom w:val="0"/>
          <w:divBdr>
            <w:top w:val="none" w:sz="0" w:space="0" w:color="auto"/>
            <w:left w:val="none" w:sz="0" w:space="0" w:color="auto"/>
            <w:bottom w:val="none" w:sz="0" w:space="0" w:color="auto"/>
            <w:right w:val="none" w:sz="0" w:space="0" w:color="auto"/>
          </w:divBdr>
        </w:div>
        <w:div w:id="176389736">
          <w:marLeft w:val="0"/>
          <w:marRight w:val="0"/>
          <w:marTop w:val="0"/>
          <w:marBottom w:val="0"/>
          <w:divBdr>
            <w:top w:val="none" w:sz="0" w:space="0" w:color="auto"/>
            <w:left w:val="none" w:sz="0" w:space="0" w:color="auto"/>
            <w:bottom w:val="none" w:sz="0" w:space="0" w:color="auto"/>
            <w:right w:val="none" w:sz="0" w:space="0" w:color="auto"/>
          </w:divBdr>
        </w:div>
        <w:div w:id="185795724">
          <w:marLeft w:val="0"/>
          <w:marRight w:val="0"/>
          <w:marTop w:val="0"/>
          <w:marBottom w:val="0"/>
          <w:divBdr>
            <w:top w:val="none" w:sz="0" w:space="0" w:color="auto"/>
            <w:left w:val="none" w:sz="0" w:space="0" w:color="auto"/>
            <w:bottom w:val="none" w:sz="0" w:space="0" w:color="auto"/>
            <w:right w:val="none" w:sz="0" w:space="0" w:color="auto"/>
          </w:divBdr>
        </w:div>
        <w:div w:id="185949735">
          <w:marLeft w:val="0"/>
          <w:marRight w:val="0"/>
          <w:marTop w:val="0"/>
          <w:marBottom w:val="0"/>
          <w:divBdr>
            <w:top w:val="none" w:sz="0" w:space="0" w:color="auto"/>
            <w:left w:val="none" w:sz="0" w:space="0" w:color="auto"/>
            <w:bottom w:val="none" w:sz="0" w:space="0" w:color="auto"/>
            <w:right w:val="none" w:sz="0" w:space="0" w:color="auto"/>
          </w:divBdr>
        </w:div>
        <w:div w:id="190846929">
          <w:marLeft w:val="0"/>
          <w:marRight w:val="0"/>
          <w:marTop w:val="0"/>
          <w:marBottom w:val="0"/>
          <w:divBdr>
            <w:top w:val="none" w:sz="0" w:space="0" w:color="auto"/>
            <w:left w:val="none" w:sz="0" w:space="0" w:color="auto"/>
            <w:bottom w:val="none" w:sz="0" w:space="0" w:color="auto"/>
            <w:right w:val="none" w:sz="0" w:space="0" w:color="auto"/>
          </w:divBdr>
        </w:div>
        <w:div w:id="256133437">
          <w:marLeft w:val="0"/>
          <w:marRight w:val="0"/>
          <w:marTop w:val="0"/>
          <w:marBottom w:val="0"/>
          <w:divBdr>
            <w:top w:val="none" w:sz="0" w:space="0" w:color="auto"/>
            <w:left w:val="none" w:sz="0" w:space="0" w:color="auto"/>
            <w:bottom w:val="none" w:sz="0" w:space="0" w:color="auto"/>
            <w:right w:val="none" w:sz="0" w:space="0" w:color="auto"/>
          </w:divBdr>
        </w:div>
        <w:div w:id="264388911">
          <w:marLeft w:val="0"/>
          <w:marRight w:val="0"/>
          <w:marTop w:val="0"/>
          <w:marBottom w:val="0"/>
          <w:divBdr>
            <w:top w:val="none" w:sz="0" w:space="0" w:color="auto"/>
            <w:left w:val="none" w:sz="0" w:space="0" w:color="auto"/>
            <w:bottom w:val="none" w:sz="0" w:space="0" w:color="auto"/>
            <w:right w:val="none" w:sz="0" w:space="0" w:color="auto"/>
          </w:divBdr>
        </w:div>
        <w:div w:id="284434083">
          <w:marLeft w:val="0"/>
          <w:marRight w:val="0"/>
          <w:marTop w:val="0"/>
          <w:marBottom w:val="0"/>
          <w:divBdr>
            <w:top w:val="none" w:sz="0" w:space="0" w:color="auto"/>
            <w:left w:val="none" w:sz="0" w:space="0" w:color="auto"/>
            <w:bottom w:val="none" w:sz="0" w:space="0" w:color="auto"/>
            <w:right w:val="none" w:sz="0" w:space="0" w:color="auto"/>
          </w:divBdr>
        </w:div>
        <w:div w:id="310211716">
          <w:marLeft w:val="0"/>
          <w:marRight w:val="0"/>
          <w:marTop w:val="0"/>
          <w:marBottom w:val="0"/>
          <w:divBdr>
            <w:top w:val="none" w:sz="0" w:space="0" w:color="auto"/>
            <w:left w:val="none" w:sz="0" w:space="0" w:color="auto"/>
            <w:bottom w:val="none" w:sz="0" w:space="0" w:color="auto"/>
            <w:right w:val="none" w:sz="0" w:space="0" w:color="auto"/>
          </w:divBdr>
        </w:div>
        <w:div w:id="382873020">
          <w:marLeft w:val="0"/>
          <w:marRight w:val="0"/>
          <w:marTop w:val="0"/>
          <w:marBottom w:val="0"/>
          <w:divBdr>
            <w:top w:val="none" w:sz="0" w:space="0" w:color="auto"/>
            <w:left w:val="none" w:sz="0" w:space="0" w:color="auto"/>
            <w:bottom w:val="none" w:sz="0" w:space="0" w:color="auto"/>
            <w:right w:val="none" w:sz="0" w:space="0" w:color="auto"/>
          </w:divBdr>
        </w:div>
        <w:div w:id="396169522">
          <w:marLeft w:val="0"/>
          <w:marRight w:val="0"/>
          <w:marTop w:val="0"/>
          <w:marBottom w:val="0"/>
          <w:divBdr>
            <w:top w:val="none" w:sz="0" w:space="0" w:color="auto"/>
            <w:left w:val="none" w:sz="0" w:space="0" w:color="auto"/>
            <w:bottom w:val="none" w:sz="0" w:space="0" w:color="auto"/>
            <w:right w:val="none" w:sz="0" w:space="0" w:color="auto"/>
          </w:divBdr>
        </w:div>
        <w:div w:id="439489403">
          <w:marLeft w:val="0"/>
          <w:marRight w:val="0"/>
          <w:marTop w:val="0"/>
          <w:marBottom w:val="0"/>
          <w:divBdr>
            <w:top w:val="none" w:sz="0" w:space="0" w:color="auto"/>
            <w:left w:val="none" w:sz="0" w:space="0" w:color="auto"/>
            <w:bottom w:val="none" w:sz="0" w:space="0" w:color="auto"/>
            <w:right w:val="none" w:sz="0" w:space="0" w:color="auto"/>
          </w:divBdr>
        </w:div>
        <w:div w:id="457257594">
          <w:marLeft w:val="0"/>
          <w:marRight w:val="0"/>
          <w:marTop w:val="0"/>
          <w:marBottom w:val="0"/>
          <w:divBdr>
            <w:top w:val="none" w:sz="0" w:space="0" w:color="auto"/>
            <w:left w:val="none" w:sz="0" w:space="0" w:color="auto"/>
            <w:bottom w:val="none" w:sz="0" w:space="0" w:color="auto"/>
            <w:right w:val="none" w:sz="0" w:space="0" w:color="auto"/>
          </w:divBdr>
        </w:div>
        <w:div w:id="474183248">
          <w:marLeft w:val="0"/>
          <w:marRight w:val="0"/>
          <w:marTop w:val="0"/>
          <w:marBottom w:val="0"/>
          <w:divBdr>
            <w:top w:val="none" w:sz="0" w:space="0" w:color="auto"/>
            <w:left w:val="none" w:sz="0" w:space="0" w:color="auto"/>
            <w:bottom w:val="none" w:sz="0" w:space="0" w:color="auto"/>
            <w:right w:val="none" w:sz="0" w:space="0" w:color="auto"/>
          </w:divBdr>
        </w:div>
        <w:div w:id="503863182">
          <w:marLeft w:val="0"/>
          <w:marRight w:val="0"/>
          <w:marTop w:val="0"/>
          <w:marBottom w:val="0"/>
          <w:divBdr>
            <w:top w:val="none" w:sz="0" w:space="0" w:color="auto"/>
            <w:left w:val="none" w:sz="0" w:space="0" w:color="auto"/>
            <w:bottom w:val="none" w:sz="0" w:space="0" w:color="auto"/>
            <w:right w:val="none" w:sz="0" w:space="0" w:color="auto"/>
          </w:divBdr>
        </w:div>
        <w:div w:id="506990384">
          <w:marLeft w:val="0"/>
          <w:marRight w:val="0"/>
          <w:marTop w:val="0"/>
          <w:marBottom w:val="0"/>
          <w:divBdr>
            <w:top w:val="none" w:sz="0" w:space="0" w:color="auto"/>
            <w:left w:val="none" w:sz="0" w:space="0" w:color="auto"/>
            <w:bottom w:val="none" w:sz="0" w:space="0" w:color="auto"/>
            <w:right w:val="none" w:sz="0" w:space="0" w:color="auto"/>
          </w:divBdr>
        </w:div>
        <w:div w:id="529102593">
          <w:marLeft w:val="0"/>
          <w:marRight w:val="0"/>
          <w:marTop w:val="0"/>
          <w:marBottom w:val="0"/>
          <w:divBdr>
            <w:top w:val="none" w:sz="0" w:space="0" w:color="auto"/>
            <w:left w:val="none" w:sz="0" w:space="0" w:color="auto"/>
            <w:bottom w:val="none" w:sz="0" w:space="0" w:color="auto"/>
            <w:right w:val="none" w:sz="0" w:space="0" w:color="auto"/>
          </w:divBdr>
        </w:div>
        <w:div w:id="536312138">
          <w:marLeft w:val="0"/>
          <w:marRight w:val="0"/>
          <w:marTop w:val="0"/>
          <w:marBottom w:val="0"/>
          <w:divBdr>
            <w:top w:val="none" w:sz="0" w:space="0" w:color="auto"/>
            <w:left w:val="none" w:sz="0" w:space="0" w:color="auto"/>
            <w:bottom w:val="none" w:sz="0" w:space="0" w:color="auto"/>
            <w:right w:val="none" w:sz="0" w:space="0" w:color="auto"/>
          </w:divBdr>
        </w:div>
        <w:div w:id="563180720">
          <w:marLeft w:val="0"/>
          <w:marRight w:val="0"/>
          <w:marTop w:val="0"/>
          <w:marBottom w:val="0"/>
          <w:divBdr>
            <w:top w:val="none" w:sz="0" w:space="0" w:color="auto"/>
            <w:left w:val="none" w:sz="0" w:space="0" w:color="auto"/>
            <w:bottom w:val="none" w:sz="0" w:space="0" w:color="auto"/>
            <w:right w:val="none" w:sz="0" w:space="0" w:color="auto"/>
          </w:divBdr>
        </w:div>
        <w:div w:id="578028074">
          <w:marLeft w:val="0"/>
          <w:marRight w:val="0"/>
          <w:marTop w:val="0"/>
          <w:marBottom w:val="0"/>
          <w:divBdr>
            <w:top w:val="none" w:sz="0" w:space="0" w:color="auto"/>
            <w:left w:val="none" w:sz="0" w:space="0" w:color="auto"/>
            <w:bottom w:val="none" w:sz="0" w:space="0" w:color="auto"/>
            <w:right w:val="none" w:sz="0" w:space="0" w:color="auto"/>
          </w:divBdr>
        </w:div>
        <w:div w:id="622931083">
          <w:marLeft w:val="0"/>
          <w:marRight w:val="0"/>
          <w:marTop w:val="0"/>
          <w:marBottom w:val="0"/>
          <w:divBdr>
            <w:top w:val="none" w:sz="0" w:space="0" w:color="auto"/>
            <w:left w:val="none" w:sz="0" w:space="0" w:color="auto"/>
            <w:bottom w:val="none" w:sz="0" w:space="0" w:color="auto"/>
            <w:right w:val="none" w:sz="0" w:space="0" w:color="auto"/>
          </w:divBdr>
        </w:div>
        <w:div w:id="675890274">
          <w:marLeft w:val="0"/>
          <w:marRight w:val="0"/>
          <w:marTop w:val="0"/>
          <w:marBottom w:val="0"/>
          <w:divBdr>
            <w:top w:val="none" w:sz="0" w:space="0" w:color="auto"/>
            <w:left w:val="none" w:sz="0" w:space="0" w:color="auto"/>
            <w:bottom w:val="none" w:sz="0" w:space="0" w:color="auto"/>
            <w:right w:val="none" w:sz="0" w:space="0" w:color="auto"/>
          </w:divBdr>
        </w:div>
        <w:div w:id="676082426">
          <w:marLeft w:val="0"/>
          <w:marRight w:val="0"/>
          <w:marTop w:val="0"/>
          <w:marBottom w:val="0"/>
          <w:divBdr>
            <w:top w:val="none" w:sz="0" w:space="0" w:color="auto"/>
            <w:left w:val="none" w:sz="0" w:space="0" w:color="auto"/>
            <w:bottom w:val="none" w:sz="0" w:space="0" w:color="auto"/>
            <w:right w:val="none" w:sz="0" w:space="0" w:color="auto"/>
          </w:divBdr>
        </w:div>
        <w:div w:id="717123093">
          <w:marLeft w:val="0"/>
          <w:marRight w:val="0"/>
          <w:marTop w:val="0"/>
          <w:marBottom w:val="0"/>
          <w:divBdr>
            <w:top w:val="none" w:sz="0" w:space="0" w:color="auto"/>
            <w:left w:val="none" w:sz="0" w:space="0" w:color="auto"/>
            <w:bottom w:val="none" w:sz="0" w:space="0" w:color="auto"/>
            <w:right w:val="none" w:sz="0" w:space="0" w:color="auto"/>
          </w:divBdr>
        </w:div>
        <w:div w:id="721563780">
          <w:marLeft w:val="0"/>
          <w:marRight w:val="0"/>
          <w:marTop w:val="0"/>
          <w:marBottom w:val="0"/>
          <w:divBdr>
            <w:top w:val="none" w:sz="0" w:space="0" w:color="auto"/>
            <w:left w:val="none" w:sz="0" w:space="0" w:color="auto"/>
            <w:bottom w:val="none" w:sz="0" w:space="0" w:color="auto"/>
            <w:right w:val="none" w:sz="0" w:space="0" w:color="auto"/>
          </w:divBdr>
        </w:div>
        <w:div w:id="736434575">
          <w:marLeft w:val="0"/>
          <w:marRight w:val="0"/>
          <w:marTop w:val="0"/>
          <w:marBottom w:val="0"/>
          <w:divBdr>
            <w:top w:val="none" w:sz="0" w:space="0" w:color="auto"/>
            <w:left w:val="none" w:sz="0" w:space="0" w:color="auto"/>
            <w:bottom w:val="none" w:sz="0" w:space="0" w:color="auto"/>
            <w:right w:val="none" w:sz="0" w:space="0" w:color="auto"/>
          </w:divBdr>
        </w:div>
        <w:div w:id="757138617">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826241141">
          <w:marLeft w:val="0"/>
          <w:marRight w:val="0"/>
          <w:marTop w:val="0"/>
          <w:marBottom w:val="0"/>
          <w:divBdr>
            <w:top w:val="none" w:sz="0" w:space="0" w:color="auto"/>
            <w:left w:val="none" w:sz="0" w:space="0" w:color="auto"/>
            <w:bottom w:val="none" w:sz="0" w:space="0" w:color="auto"/>
            <w:right w:val="none" w:sz="0" w:space="0" w:color="auto"/>
          </w:divBdr>
        </w:div>
        <w:div w:id="846217622">
          <w:marLeft w:val="0"/>
          <w:marRight w:val="0"/>
          <w:marTop w:val="0"/>
          <w:marBottom w:val="0"/>
          <w:divBdr>
            <w:top w:val="none" w:sz="0" w:space="0" w:color="auto"/>
            <w:left w:val="none" w:sz="0" w:space="0" w:color="auto"/>
            <w:bottom w:val="none" w:sz="0" w:space="0" w:color="auto"/>
            <w:right w:val="none" w:sz="0" w:space="0" w:color="auto"/>
          </w:divBdr>
        </w:div>
        <w:div w:id="875892388">
          <w:marLeft w:val="0"/>
          <w:marRight w:val="0"/>
          <w:marTop w:val="0"/>
          <w:marBottom w:val="0"/>
          <w:divBdr>
            <w:top w:val="none" w:sz="0" w:space="0" w:color="auto"/>
            <w:left w:val="none" w:sz="0" w:space="0" w:color="auto"/>
            <w:bottom w:val="none" w:sz="0" w:space="0" w:color="auto"/>
            <w:right w:val="none" w:sz="0" w:space="0" w:color="auto"/>
          </w:divBdr>
        </w:div>
        <w:div w:id="905845106">
          <w:marLeft w:val="0"/>
          <w:marRight w:val="0"/>
          <w:marTop w:val="0"/>
          <w:marBottom w:val="0"/>
          <w:divBdr>
            <w:top w:val="none" w:sz="0" w:space="0" w:color="auto"/>
            <w:left w:val="none" w:sz="0" w:space="0" w:color="auto"/>
            <w:bottom w:val="none" w:sz="0" w:space="0" w:color="auto"/>
            <w:right w:val="none" w:sz="0" w:space="0" w:color="auto"/>
          </w:divBdr>
        </w:div>
        <w:div w:id="967737151">
          <w:marLeft w:val="0"/>
          <w:marRight w:val="0"/>
          <w:marTop w:val="0"/>
          <w:marBottom w:val="0"/>
          <w:divBdr>
            <w:top w:val="none" w:sz="0" w:space="0" w:color="auto"/>
            <w:left w:val="none" w:sz="0" w:space="0" w:color="auto"/>
            <w:bottom w:val="none" w:sz="0" w:space="0" w:color="auto"/>
            <w:right w:val="none" w:sz="0" w:space="0" w:color="auto"/>
          </w:divBdr>
        </w:div>
        <w:div w:id="975377309">
          <w:marLeft w:val="0"/>
          <w:marRight w:val="0"/>
          <w:marTop w:val="0"/>
          <w:marBottom w:val="0"/>
          <w:divBdr>
            <w:top w:val="none" w:sz="0" w:space="0" w:color="auto"/>
            <w:left w:val="none" w:sz="0" w:space="0" w:color="auto"/>
            <w:bottom w:val="none" w:sz="0" w:space="0" w:color="auto"/>
            <w:right w:val="none" w:sz="0" w:space="0" w:color="auto"/>
          </w:divBdr>
        </w:div>
        <w:div w:id="1004670225">
          <w:marLeft w:val="0"/>
          <w:marRight w:val="0"/>
          <w:marTop w:val="0"/>
          <w:marBottom w:val="0"/>
          <w:divBdr>
            <w:top w:val="none" w:sz="0" w:space="0" w:color="auto"/>
            <w:left w:val="none" w:sz="0" w:space="0" w:color="auto"/>
            <w:bottom w:val="none" w:sz="0" w:space="0" w:color="auto"/>
            <w:right w:val="none" w:sz="0" w:space="0" w:color="auto"/>
          </w:divBdr>
        </w:div>
        <w:div w:id="1005476913">
          <w:marLeft w:val="0"/>
          <w:marRight w:val="0"/>
          <w:marTop w:val="0"/>
          <w:marBottom w:val="0"/>
          <w:divBdr>
            <w:top w:val="none" w:sz="0" w:space="0" w:color="auto"/>
            <w:left w:val="none" w:sz="0" w:space="0" w:color="auto"/>
            <w:bottom w:val="none" w:sz="0" w:space="0" w:color="auto"/>
            <w:right w:val="none" w:sz="0" w:space="0" w:color="auto"/>
          </w:divBdr>
        </w:div>
        <w:div w:id="1033965334">
          <w:marLeft w:val="0"/>
          <w:marRight w:val="0"/>
          <w:marTop w:val="0"/>
          <w:marBottom w:val="0"/>
          <w:divBdr>
            <w:top w:val="none" w:sz="0" w:space="0" w:color="auto"/>
            <w:left w:val="none" w:sz="0" w:space="0" w:color="auto"/>
            <w:bottom w:val="none" w:sz="0" w:space="0" w:color="auto"/>
            <w:right w:val="none" w:sz="0" w:space="0" w:color="auto"/>
          </w:divBdr>
        </w:div>
        <w:div w:id="1043404531">
          <w:marLeft w:val="0"/>
          <w:marRight w:val="0"/>
          <w:marTop w:val="0"/>
          <w:marBottom w:val="0"/>
          <w:divBdr>
            <w:top w:val="none" w:sz="0" w:space="0" w:color="auto"/>
            <w:left w:val="none" w:sz="0" w:space="0" w:color="auto"/>
            <w:bottom w:val="none" w:sz="0" w:space="0" w:color="auto"/>
            <w:right w:val="none" w:sz="0" w:space="0" w:color="auto"/>
          </w:divBdr>
        </w:div>
        <w:div w:id="1053191070">
          <w:marLeft w:val="0"/>
          <w:marRight w:val="0"/>
          <w:marTop w:val="0"/>
          <w:marBottom w:val="0"/>
          <w:divBdr>
            <w:top w:val="none" w:sz="0" w:space="0" w:color="auto"/>
            <w:left w:val="none" w:sz="0" w:space="0" w:color="auto"/>
            <w:bottom w:val="none" w:sz="0" w:space="0" w:color="auto"/>
            <w:right w:val="none" w:sz="0" w:space="0" w:color="auto"/>
          </w:divBdr>
        </w:div>
        <w:div w:id="1064530111">
          <w:marLeft w:val="0"/>
          <w:marRight w:val="0"/>
          <w:marTop w:val="0"/>
          <w:marBottom w:val="0"/>
          <w:divBdr>
            <w:top w:val="none" w:sz="0" w:space="0" w:color="auto"/>
            <w:left w:val="none" w:sz="0" w:space="0" w:color="auto"/>
            <w:bottom w:val="none" w:sz="0" w:space="0" w:color="auto"/>
            <w:right w:val="none" w:sz="0" w:space="0" w:color="auto"/>
          </w:divBdr>
        </w:div>
        <w:div w:id="1137449973">
          <w:marLeft w:val="0"/>
          <w:marRight w:val="0"/>
          <w:marTop w:val="0"/>
          <w:marBottom w:val="0"/>
          <w:divBdr>
            <w:top w:val="none" w:sz="0" w:space="0" w:color="auto"/>
            <w:left w:val="none" w:sz="0" w:space="0" w:color="auto"/>
            <w:bottom w:val="none" w:sz="0" w:space="0" w:color="auto"/>
            <w:right w:val="none" w:sz="0" w:space="0" w:color="auto"/>
          </w:divBdr>
        </w:div>
        <w:div w:id="1161972328">
          <w:marLeft w:val="0"/>
          <w:marRight w:val="0"/>
          <w:marTop w:val="0"/>
          <w:marBottom w:val="0"/>
          <w:divBdr>
            <w:top w:val="none" w:sz="0" w:space="0" w:color="auto"/>
            <w:left w:val="none" w:sz="0" w:space="0" w:color="auto"/>
            <w:bottom w:val="none" w:sz="0" w:space="0" w:color="auto"/>
            <w:right w:val="none" w:sz="0" w:space="0" w:color="auto"/>
          </w:divBdr>
        </w:div>
        <w:div w:id="1184242226">
          <w:marLeft w:val="0"/>
          <w:marRight w:val="0"/>
          <w:marTop w:val="0"/>
          <w:marBottom w:val="0"/>
          <w:divBdr>
            <w:top w:val="none" w:sz="0" w:space="0" w:color="auto"/>
            <w:left w:val="none" w:sz="0" w:space="0" w:color="auto"/>
            <w:bottom w:val="none" w:sz="0" w:space="0" w:color="auto"/>
            <w:right w:val="none" w:sz="0" w:space="0" w:color="auto"/>
          </w:divBdr>
        </w:div>
        <w:div w:id="1196890609">
          <w:marLeft w:val="0"/>
          <w:marRight w:val="0"/>
          <w:marTop w:val="0"/>
          <w:marBottom w:val="0"/>
          <w:divBdr>
            <w:top w:val="none" w:sz="0" w:space="0" w:color="auto"/>
            <w:left w:val="none" w:sz="0" w:space="0" w:color="auto"/>
            <w:bottom w:val="none" w:sz="0" w:space="0" w:color="auto"/>
            <w:right w:val="none" w:sz="0" w:space="0" w:color="auto"/>
          </w:divBdr>
        </w:div>
        <w:div w:id="1208642973">
          <w:marLeft w:val="0"/>
          <w:marRight w:val="0"/>
          <w:marTop w:val="0"/>
          <w:marBottom w:val="0"/>
          <w:divBdr>
            <w:top w:val="none" w:sz="0" w:space="0" w:color="auto"/>
            <w:left w:val="none" w:sz="0" w:space="0" w:color="auto"/>
            <w:bottom w:val="none" w:sz="0" w:space="0" w:color="auto"/>
            <w:right w:val="none" w:sz="0" w:space="0" w:color="auto"/>
          </w:divBdr>
        </w:div>
        <w:div w:id="1264605831">
          <w:marLeft w:val="0"/>
          <w:marRight w:val="0"/>
          <w:marTop w:val="0"/>
          <w:marBottom w:val="0"/>
          <w:divBdr>
            <w:top w:val="none" w:sz="0" w:space="0" w:color="auto"/>
            <w:left w:val="none" w:sz="0" w:space="0" w:color="auto"/>
            <w:bottom w:val="none" w:sz="0" w:space="0" w:color="auto"/>
            <w:right w:val="none" w:sz="0" w:space="0" w:color="auto"/>
          </w:divBdr>
        </w:div>
        <w:div w:id="1280602285">
          <w:marLeft w:val="0"/>
          <w:marRight w:val="0"/>
          <w:marTop w:val="0"/>
          <w:marBottom w:val="0"/>
          <w:divBdr>
            <w:top w:val="none" w:sz="0" w:space="0" w:color="auto"/>
            <w:left w:val="none" w:sz="0" w:space="0" w:color="auto"/>
            <w:bottom w:val="none" w:sz="0" w:space="0" w:color="auto"/>
            <w:right w:val="none" w:sz="0" w:space="0" w:color="auto"/>
          </w:divBdr>
        </w:div>
        <w:div w:id="1293175900">
          <w:marLeft w:val="0"/>
          <w:marRight w:val="0"/>
          <w:marTop w:val="0"/>
          <w:marBottom w:val="0"/>
          <w:divBdr>
            <w:top w:val="none" w:sz="0" w:space="0" w:color="auto"/>
            <w:left w:val="none" w:sz="0" w:space="0" w:color="auto"/>
            <w:bottom w:val="none" w:sz="0" w:space="0" w:color="auto"/>
            <w:right w:val="none" w:sz="0" w:space="0" w:color="auto"/>
          </w:divBdr>
        </w:div>
        <w:div w:id="1301424738">
          <w:marLeft w:val="0"/>
          <w:marRight w:val="0"/>
          <w:marTop w:val="0"/>
          <w:marBottom w:val="0"/>
          <w:divBdr>
            <w:top w:val="none" w:sz="0" w:space="0" w:color="auto"/>
            <w:left w:val="none" w:sz="0" w:space="0" w:color="auto"/>
            <w:bottom w:val="none" w:sz="0" w:space="0" w:color="auto"/>
            <w:right w:val="none" w:sz="0" w:space="0" w:color="auto"/>
          </w:divBdr>
        </w:div>
        <w:div w:id="1383627935">
          <w:marLeft w:val="0"/>
          <w:marRight w:val="0"/>
          <w:marTop w:val="0"/>
          <w:marBottom w:val="0"/>
          <w:divBdr>
            <w:top w:val="none" w:sz="0" w:space="0" w:color="auto"/>
            <w:left w:val="none" w:sz="0" w:space="0" w:color="auto"/>
            <w:bottom w:val="none" w:sz="0" w:space="0" w:color="auto"/>
            <w:right w:val="none" w:sz="0" w:space="0" w:color="auto"/>
          </w:divBdr>
        </w:div>
        <w:div w:id="1384526477">
          <w:marLeft w:val="0"/>
          <w:marRight w:val="0"/>
          <w:marTop w:val="0"/>
          <w:marBottom w:val="0"/>
          <w:divBdr>
            <w:top w:val="none" w:sz="0" w:space="0" w:color="auto"/>
            <w:left w:val="none" w:sz="0" w:space="0" w:color="auto"/>
            <w:bottom w:val="none" w:sz="0" w:space="0" w:color="auto"/>
            <w:right w:val="none" w:sz="0" w:space="0" w:color="auto"/>
          </w:divBdr>
        </w:div>
        <w:div w:id="1403606109">
          <w:marLeft w:val="0"/>
          <w:marRight w:val="0"/>
          <w:marTop w:val="0"/>
          <w:marBottom w:val="0"/>
          <w:divBdr>
            <w:top w:val="none" w:sz="0" w:space="0" w:color="auto"/>
            <w:left w:val="none" w:sz="0" w:space="0" w:color="auto"/>
            <w:bottom w:val="none" w:sz="0" w:space="0" w:color="auto"/>
            <w:right w:val="none" w:sz="0" w:space="0" w:color="auto"/>
          </w:divBdr>
        </w:div>
        <w:div w:id="1487552461">
          <w:marLeft w:val="0"/>
          <w:marRight w:val="0"/>
          <w:marTop w:val="0"/>
          <w:marBottom w:val="0"/>
          <w:divBdr>
            <w:top w:val="none" w:sz="0" w:space="0" w:color="auto"/>
            <w:left w:val="none" w:sz="0" w:space="0" w:color="auto"/>
            <w:bottom w:val="none" w:sz="0" w:space="0" w:color="auto"/>
            <w:right w:val="none" w:sz="0" w:space="0" w:color="auto"/>
          </w:divBdr>
        </w:div>
        <w:div w:id="1488477850">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78967532">
          <w:marLeft w:val="0"/>
          <w:marRight w:val="0"/>
          <w:marTop w:val="0"/>
          <w:marBottom w:val="0"/>
          <w:divBdr>
            <w:top w:val="none" w:sz="0" w:space="0" w:color="auto"/>
            <w:left w:val="none" w:sz="0" w:space="0" w:color="auto"/>
            <w:bottom w:val="none" w:sz="0" w:space="0" w:color="auto"/>
            <w:right w:val="none" w:sz="0" w:space="0" w:color="auto"/>
          </w:divBdr>
        </w:div>
        <w:div w:id="1692099645">
          <w:marLeft w:val="0"/>
          <w:marRight w:val="0"/>
          <w:marTop w:val="0"/>
          <w:marBottom w:val="0"/>
          <w:divBdr>
            <w:top w:val="none" w:sz="0" w:space="0" w:color="auto"/>
            <w:left w:val="none" w:sz="0" w:space="0" w:color="auto"/>
            <w:bottom w:val="none" w:sz="0" w:space="0" w:color="auto"/>
            <w:right w:val="none" w:sz="0" w:space="0" w:color="auto"/>
          </w:divBdr>
        </w:div>
        <w:div w:id="1725105360">
          <w:marLeft w:val="0"/>
          <w:marRight w:val="0"/>
          <w:marTop w:val="0"/>
          <w:marBottom w:val="0"/>
          <w:divBdr>
            <w:top w:val="none" w:sz="0" w:space="0" w:color="auto"/>
            <w:left w:val="none" w:sz="0" w:space="0" w:color="auto"/>
            <w:bottom w:val="none" w:sz="0" w:space="0" w:color="auto"/>
            <w:right w:val="none" w:sz="0" w:space="0" w:color="auto"/>
          </w:divBdr>
        </w:div>
        <w:div w:id="1727296375">
          <w:marLeft w:val="0"/>
          <w:marRight w:val="0"/>
          <w:marTop w:val="0"/>
          <w:marBottom w:val="0"/>
          <w:divBdr>
            <w:top w:val="none" w:sz="0" w:space="0" w:color="auto"/>
            <w:left w:val="none" w:sz="0" w:space="0" w:color="auto"/>
            <w:bottom w:val="none" w:sz="0" w:space="0" w:color="auto"/>
            <w:right w:val="none" w:sz="0" w:space="0" w:color="auto"/>
          </w:divBdr>
        </w:div>
        <w:div w:id="1797063212">
          <w:marLeft w:val="0"/>
          <w:marRight w:val="0"/>
          <w:marTop w:val="0"/>
          <w:marBottom w:val="0"/>
          <w:divBdr>
            <w:top w:val="none" w:sz="0" w:space="0" w:color="auto"/>
            <w:left w:val="none" w:sz="0" w:space="0" w:color="auto"/>
            <w:bottom w:val="none" w:sz="0" w:space="0" w:color="auto"/>
            <w:right w:val="none" w:sz="0" w:space="0" w:color="auto"/>
          </w:divBdr>
        </w:div>
        <w:div w:id="1836066375">
          <w:marLeft w:val="0"/>
          <w:marRight w:val="0"/>
          <w:marTop w:val="0"/>
          <w:marBottom w:val="0"/>
          <w:divBdr>
            <w:top w:val="none" w:sz="0" w:space="0" w:color="auto"/>
            <w:left w:val="none" w:sz="0" w:space="0" w:color="auto"/>
            <w:bottom w:val="none" w:sz="0" w:space="0" w:color="auto"/>
            <w:right w:val="none" w:sz="0" w:space="0" w:color="auto"/>
          </w:divBdr>
        </w:div>
        <w:div w:id="1868064075">
          <w:marLeft w:val="0"/>
          <w:marRight w:val="0"/>
          <w:marTop w:val="0"/>
          <w:marBottom w:val="0"/>
          <w:divBdr>
            <w:top w:val="none" w:sz="0" w:space="0" w:color="auto"/>
            <w:left w:val="none" w:sz="0" w:space="0" w:color="auto"/>
            <w:bottom w:val="none" w:sz="0" w:space="0" w:color="auto"/>
            <w:right w:val="none" w:sz="0" w:space="0" w:color="auto"/>
          </w:divBdr>
        </w:div>
        <w:div w:id="1950507658">
          <w:marLeft w:val="0"/>
          <w:marRight w:val="0"/>
          <w:marTop w:val="0"/>
          <w:marBottom w:val="0"/>
          <w:divBdr>
            <w:top w:val="none" w:sz="0" w:space="0" w:color="auto"/>
            <w:left w:val="none" w:sz="0" w:space="0" w:color="auto"/>
            <w:bottom w:val="none" w:sz="0" w:space="0" w:color="auto"/>
            <w:right w:val="none" w:sz="0" w:space="0" w:color="auto"/>
          </w:divBdr>
        </w:div>
        <w:div w:id="1963265516">
          <w:marLeft w:val="0"/>
          <w:marRight w:val="0"/>
          <w:marTop w:val="0"/>
          <w:marBottom w:val="0"/>
          <w:divBdr>
            <w:top w:val="none" w:sz="0" w:space="0" w:color="auto"/>
            <w:left w:val="none" w:sz="0" w:space="0" w:color="auto"/>
            <w:bottom w:val="none" w:sz="0" w:space="0" w:color="auto"/>
            <w:right w:val="none" w:sz="0" w:space="0" w:color="auto"/>
          </w:divBdr>
        </w:div>
        <w:div w:id="1965387997">
          <w:marLeft w:val="0"/>
          <w:marRight w:val="0"/>
          <w:marTop w:val="0"/>
          <w:marBottom w:val="0"/>
          <w:divBdr>
            <w:top w:val="none" w:sz="0" w:space="0" w:color="auto"/>
            <w:left w:val="none" w:sz="0" w:space="0" w:color="auto"/>
            <w:bottom w:val="none" w:sz="0" w:space="0" w:color="auto"/>
            <w:right w:val="none" w:sz="0" w:space="0" w:color="auto"/>
          </w:divBdr>
        </w:div>
        <w:div w:id="1986662735">
          <w:marLeft w:val="0"/>
          <w:marRight w:val="0"/>
          <w:marTop w:val="0"/>
          <w:marBottom w:val="0"/>
          <w:divBdr>
            <w:top w:val="none" w:sz="0" w:space="0" w:color="auto"/>
            <w:left w:val="none" w:sz="0" w:space="0" w:color="auto"/>
            <w:bottom w:val="none" w:sz="0" w:space="0" w:color="auto"/>
            <w:right w:val="none" w:sz="0" w:space="0" w:color="auto"/>
          </w:divBdr>
        </w:div>
        <w:div w:id="2021815178">
          <w:marLeft w:val="0"/>
          <w:marRight w:val="0"/>
          <w:marTop w:val="0"/>
          <w:marBottom w:val="0"/>
          <w:divBdr>
            <w:top w:val="none" w:sz="0" w:space="0" w:color="auto"/>
            <w:left w:val="none" w:sz="0" w:space="0" w:color="auto"/>
            <w:bottom w:val="none" w:sz="0" w:space="0" w:color="auto"/>
            <w:right w:val="none" w:sz="0" w:space="0" w:color="auto"/>
          </w:divBdr>
        </w:div>
        <w:div w:id="2035693961">
          <w:marLeft w:val="0"/>
          <w:marRight w:val="0"/>
          <w:marTop w:val="0"/>
          <w:marBottom w:val="0"/>
          <w:divBdr>
            <w:top w:val="none" w:sz="0" w:space="0" w:color="auto"/>
            <w:left w:val="none" w:sz="0" w:space="0" w:color="auto"/>
            <w:bottom w:val="none" w:sz="0" w:space="0" w:color="auto"/>
            <w:right w:val="none" w:sz="0" w:space="0" w:color="auto"/>
          </w:divBdr>
        </w:div>
        <w:div w:id="2077124326">
          <w:marLeft w:val="0"/>
          <w:marRight w:val="0"/>
          <w:marTop w:val="0"/>
          <w:marBottom w:val="0"/>
          <w:divBdr>
            <w:top w:val="none" w:sz="0" w:space="0" w:color="auto"/>
            <w:left w:val="none" w:sz="0" w:space="0" w:color="auto"/>
            <w:bottom w:val="none" w:sz="0" w:space="0" w:color="auto"/>
            <w:right w:val="none" w:sz="0" w:space="0" w:color="auto"/>
          </w:divBdr>
        </w:div>
      </w:divsChild>
    </w:div>
    <w:div w:id="1532188811">
      <w:bodyDiv w:val="1"/>
      <w:marLeft w:val="0"/>
      <w:marRight w:val="0"/>
      <w:marTop w:val="0"/>
      <w:marBottom w:val="0"/>
      <w:divBdr>
        <w:top w:val="none" w:sz="0" w:space="0" w:color="auto"/>
        <w:left w:val="none" w:sz="0" w:space="0" w:color="auto"/>
        <w:bottom w:val="none" w:sz="0" w:space="0" w:color="auto"/>
        <w:right w:val="none" w:sz="0" w:space="0" w:color="auto"/>
      </w:divBdr>
    </w:div>
    <w:div w:id="1617636186">
      <w:bodyDiv w:val="1"/>
      <w:marLeft w:val="0"/>
      <w:marRight w:val="0"/>
      <w:marTop w:val="0"/>
      <w:marBottom w:val="0"/>
      <w:divBdr>
        <w:top w:val="none" w:sz="0" w:space="0" w:color="auto"/>
        <w:left w:val="none" w:sz="0" w:space="0" w:color="auto"/>
        <w:bottom w:val="none" w:sz="0" w:space="0" w:color="auto"/>
        <w:right w:val="none" w:sz="0" w:space="0" w:color="auto"/>
      </w:divBdr>
    </w:div>
    <w:div w:id="1705017039">
      <w:bodyDiv w:val="1"/>
      <w:marLeft w:val="0"/>
      <w:marRight w:val="0"/>
      <w:marTop w:val="0"/>
      <w:marBottom w:val="0"/>
      <w:divBdr>
        <w:top w:val="none" w:sz="0" w:space="0" w:color="auto"/>
        <w:left w:val="none" w:sz="0" w:space="0" w:color="auto"/>
        <w:bottom w:val="none" w:sz="0" w:space="0" w:color="auto"/>
        <w:right w:val="none" w:sz="0" w:space="0" w:color="auto"/>
      </w:divBdr>
    </w:div>
    <w:div w:id="1737782082">
      <w:bodyDiv w:val="1"/>
      <w:marLeft w:val="0"/>
      <w:marRight w:val="0"/>
      <w:marTop w:val="0"/>
      <w:marBottom w:val="0"/>
      <w:divBdr>
        <w:top w:val="none" w:sz="0" w:space="0" w:color="auto"/>
        <w:left w:val="none" w:sz="0" w:space="0" w:color="auto"/>
        <w:bottom w:val="none" w:sz="0" w:space="0" w:color="auto"/>
        <w:right w:val="none" w:sz="0" w:space="0" w:color="auto"/>
      </w:divBdr>
    </w:div>
    <w:div w:id="1739549411">
      <w:bodyDiv w:val="1"/>
      <w:marLeft w:val="0"/>
      <w:marRight w:val="0"/>
      <w:marTop w:val="0"/>
      <w:marBottom w:val="0"/>
      <w:divBdr>
        <w:top w:val="none" w:sz="0" w:space="0" w:color="auto"/>
        <w:left w:val="none" w:sz="0" w:space="0" w:color="auto"/>
        <w:bottom w:val="none" w:sz="0" w:space="0" w:color="auto"/>
        <w:right w:val="none" w:sz="0" w:space="0" w:color="auto"/>
      </w:divBdr>
    </w:div>
    <w:div w:id="1750931327">
      <w:bodyDiv w:val="1"/>
      <w:marLeft w:val="0"/>
      <w:marRight w:val="0"/>
      <w:marTop w:val="0"/>
      <w:marBottom w:val="0"/>
      <w:divBdr>
        <w:top w:val="none" w:sz="0" w:space="0" w:color="auto"/>
        <w:left w:val="none" w:sz="0" w:space="0" w:color="auto"/>
        <w:bottom w:val="none" w:sz="0" w:space="0" w:color="auto"/>
        <w:right w:val="none" w:sz="0" w:space="0" w:color="auto"/>
      </w:divBdr>
    </w:div>
    <w:div w:id="1755780982">
      <w:bodyDiv w:val="1"/>
      <w:marLeft w:val="0"/>
      <w:marRight w:val="0"/>
      <w:marTop w:val="0"/>
      <w:marBottom w:val="0"/>
      <w:divBdr>
        <w:top w:val="none" w:sz="0" w:space="0" w:color="auto"/>
        <w:left w:val="none" w:sz="0" w:space="0" w:color="auto"/>
        <w:bottom w:val="none" w:sz="0" w:space="0" w:color="auto"/>
        <w:right w:val="none" w:sz="0" w:space="0" w:color="auto"/>
      </w:divBdr>
    </w:div>
    <w:div w:id="1772580532">
      <w:bodyDiv w:val="1"/>
      <w:marLeft w:val="0"/>
      <w:marRight w:val="0"/>
      <w:marTop w:val="0"/>
      <w:marBottom w:val="0"/>
      <w:divBdr>
        <w:top w:val="none" w:sz="0" w:space="0" w:color="auto"/>
        <w:left w:val="none" w:sz="0" w:space="0" w:color="auto"/>
        <w:bottom w:val="none" w:sz="0" w:space="0" w:color="auto"/>
        <w:right w:val="none" w:sz="0" w:space="0" w:color="auto"/>
      </w:divBdr>
    </w:div>
    <w:div w:id="1816147026">
      <w:bodyDiv w:val="1"/>
      <w:marLeft w:val="0"/>
      <w:marRight w:val="0"/>
      <w:marTop w:val="0"/>
      <w:marBottom w:val="0"/>
      <w:divBdr>
        <w:top w:val="none" w:sz="0" w:space="0" w:color="auto"/>
        <w:left w:val="none" w:sz="0" w:space="0" w:color="auto"/>
        <w:bottom w:val="none" w:sz="0" w:space="0" w:color="auto"/>
        <w:right w:val="none" w:sz="0" w:space="0" w:color="auto"/>
      </w:divBdr>
    </w:div>
    <w:div w:id="1850289670">
      <w:bodyDiv w:val="1"/>
      <w:marLeft w:val="0"/>
      <w:marRight w:val="0"/>
      <w:marTop w:val="0"/>
      <w:marBottom w:val="0"/>
      <w:divBdr>
        <w:top w:val="none" w:sz="0" w:space="0" w:color="auto"/>
        <w:left w:val="none" w:sz="0" w:space="0" w:color="auto"/>
        <w:bottom w:val="none" w:sz="0" w:space="0" w:color="auto"/>
        <w:right w:val="none" w:sz="0" w:space="0" w:color="auto"/>
      </w:divBdr>
    </w:div>
    <w:div w:id="1871723794">
      <w:bodyDiv w:val="1"/>
      <w:marLeft w:val="0"/>
      <w:marRight w:val="0"/>
      <w:marTop w:val="0"/>
      <w:marBottom w:val="0"/>
      <w:divBdr>
        <w:top w:val="none" w:sz="0" w:space="0" w:color="auto"/>
        <w:left w:val="none" w:sz="0" w:space="0" w:color="auto"/>
        <w:bottom w:val="none" w:sz="0" w:space="0" w:color="auto"/>
        <w:right w:val="none" w:sz="0" w:space="0" w:color="auto"/>
      </w:divBdr>
    </w:div>
    <w:div w:id="1874884781">
      <w:bodyDiv w:val="1"/>
      <w:marLeft w:val="0"/>
      <w:marRight w:val="0"/>
      <w:marTop w:val="0"/>
      <w:marBottom w:val="0"/>
      <w:divBdr>
        <w:top w:val="none" w:sz="0" w:space="0" w:color="auto"/>
        <w:left w:val="none" w:sz="0" w:space="0" w:color="auto"/>
        <w:bottom w:val="none" w:sz="0" w:space="0" w:color="auto"/>
        <w:right w:val="none" w:sz="0" w:space="0" w:color="auto"/>
      </w:divBdr>
    </w:div>
    <w:div w:id="1910848593">
      <w:bodyDiv w:val="1"/>
      <w:marLeft w:val="0"/>
      <w:marRight w:val="0"/>
      <w:marTop w:val="0"/>
      <w:marBottom w:val="0"/>
      <w:divBdr>
        <w:top w:val="none" w:sz="0" w:space="0" w:color="auto"/>
        <w:left w:val="none" w:sz="0" w:space="0" w:color="auto"/>
        <w:bottom w:val="none" w:sz="0" w:space="0" w:color="auto"/>
        <w:right w:val="none" w:sz="0" w:space="0" w:color="auto"/>
      </w:divBdr>
    </w:div>
    <w:div w:id="2023164096">
      <w:bodyDiv w:val="1"/>
      <w:marLeft w:val="0"/>
      <w:marRight w:val="0"/>
      <w:marTop w:val="0"/>
      <w:marBottom w:val="0"/>
      <w:divBdr>
        <w:top w:val="none" w:sz="0" w:space="0" w:color="auto"/>
        <w:left w:val="none" w:sz="0" w:space="0" w:color="auto"/>
        <w:bottom w:val="none" w:sz="0" w:space="0" w:color="auto"/>
        <w:right w:val="none" w:sz="0" w:space="0" w:color="auto"/>
      </w:divBdr>
    </w:div>
    <w:div w:id="2032872506">
      <w:bodyDiv w:val="1"/>
      <w:marLeft w:val="0"/>
      <w:marRight w:val="0"/>
      <w:marTop w:val="0"/>
      <w:marBottom w:val="0"/>
      <w:divBdr>
        <w:top w:val="none" w:sz="0" w:space="0" w:color="auto"/>
        <w:left w:val="none" w:sz="0" w:space="0" w:color="auto"/>
        <w:bottom w:val="none" w:sz="0" w:space="0" w:color="auto"/>
        <w:right w:val="none" w:sz="0" w:space="0" w:color="auto"/>
      </w:divBdr>
    </w:div>
    <w:div w:id="2033064914">
      <w:bodyDiv w:val="1"/>
      <w:marLeft w:val="0"/>
      <w:marRight w:val="0"/>
      <w:marTop w:val="0"/>
      <w:marBottom w:val="0"/>
      <w:divBdr>
        <w:top w:val="none" w:sz="0" w:space="0" w:color="auto"/>
        <w:left w:val="none" w:sz="0" w:space="0" w:color="auto"/>
        <w:bottom w:val="none" w:sz="0" w:space="0" w:color="auto"/>
        <w:right w:val="none" w:sz="0" w:space="0" w:color="auto"/>
      </w:divBdr>
    </w:div>
    <w:div w:id="2046176979">
      <w:bodyDiv w:val="1"/>
      <w:marLeft w:val="0"/>
      <w:marRight w:val="0"/>
      <w:marTop w:val="0"/>
      <w:marBottom w:val="0"/>
      <w:divBdr>
        <w:top w:val="none" w:sz="0" w:space="0" w:color="auto"/>
        <w:left w:val="none" w:sz="0" w:space="0" w:color="auto"/>
        <w:bottom w:val="none" w:sz="0" w:space="0" w:color="auto"/>
        <w:right w:val="none" w:sz="0" w:space="0" w:color="auto"/>
      </w:divBdr>
      <w:divsChild>
        <w:div w:id="23213240">
          <w:marLeft w:val="0"/>
          <w:marRight w:val="0"/>
          <w:marTop w:val="0"/>
          <w:marBottom w:val="0"/>
          <w:divBdr>
            <w:top w:val="none" w:sz="0" w:space="0" w:color="auto"/>
            <w:left w:val="none" w:sz="0" w:space="0" w:color="auto"/>
            <w:bottom w:val="none" w:sz="0" w:space="0" w:color="auto"/>
            <w:right w:val="none" w:sz="0" w:space="0" w:color="auto"/>
          </w:divBdr>
        </w:div>
        <w:div w:id="27797059">
          <w:marLeft w:val="0"/>
          <w:marRight w:val="0"/>
          <w:marTop w:val="0"/>
          <w:marBottom w:val="0"/>
          <w:divBdr>
            <w:top w:val="none" w:sz="0" w:space="0" w:color="auto"/>
            <w:left w:val="none" w:sz="0" w:space="0" w:color="auto"/>
            <w:bottom w:val="none" w:sz="0" w:space="0" w:color="auto"/>
            <w:right w:val="none" w:sz="0" w:space="0" w:color="auto"/>
          </w:divBdr>
        </w:div>
        <w:div w:id="31157291">
          <w:marLeft w:val="0"/>
          <w:marRight w:val="0"/>
          <w:marTop w:val="0"/>
          <w:marBottom w:val="0"/>
          <w:divBdr>
            <w:top w:val="none" w:sz="0" w:space="0" w:color="auto"/>
            <w:left w:val="none" w:sz="0" w:space="0" w:color="auto"/>
            <w:bottom w:val="none" w:sz="0" w:space="0" w:color="auto"/>
            <w:right w:val="none" w:sz="0" w:space="0" w:color="auto"/>
          </w:divBdr>
        </w:div>
        <w:div w:id="68967939">
          <w:marLeft w:val="0"/>
          <w:marRight w:val="0"/>
          <w:marTop w:val="0"/>
          <w:marBottom w:val="0"/>
          <w:divBdr>
            <w:top w:val="none" w:sz="0" w:space="0" w:color="auto"/>
            <w:left w:val="none" w:sz="0" w:space="0" w:color="auto"/>
            <w:bottom w:val="none" w:sz="0" w:space="0" w:color="auto"/>
            <w:right w:val="none" w:sz="0" w:space="0" w:color="auto"/>
          </w:divBdr>
        </w:div>
        <w:div w:id="74402362">
          <w:marLeft w:val="0"/>
          <w:marRight w:val="0"/>
          <w:marTop w:val="0"/>
          <w:marBottom w:val="0"/>
          <w:divBdr>
            <w:top w:val="none" w:sz="0" w:space="0" w:color="auto"/>
            <w:left w:val="none" w:sz="0" w:space="0" w:color="auto"/>
            <w:bottom w:val="none" w:sz="0" w:space="0" w:color="auto"/>
            <w:right w:val="none" w:sz="0" w:space="0" w:color="auto"/>
          </w:divBdr>
        </w:div>
        <w:div w:id="100881939">
          <w:marLeft w:val="0"/>
          <w:marRight w:val="0"/>
          <w:marTop w:val="0"/>
          <w:marBottom w:val="0"/>
          <w:divBdr>
            <w:top w:val="none" w:sz="0" w:space="0" w:color="auto"/>
            <w:left w:val="none" w:sz="0" w:space="0" w:color="auto"/>
            <w:bottom w:val="none" w:sz="0" w:space="0" w:color="auto"/>
            <w:right w:val="none" w:sz="0" w:space="0" w:color="auto"/>
          </w:divBdr>
        </w:div>
        <w:div w:id="118423577">
          <w:marLeft w:val="0"/>
          <w:marRight w:val="0"/>
          <w:marTop w:val="0"/>
          <w:marBottom w:val="0"/>
          <w:divBdr>
            <w:top w:val="none" w:sz="0" w:space="0" w:color="auto"/>
            <w:left w:val="none" w:sz="0" w:space="0" w:color="auto"/>
            <w:bottom w:val="none" w:sz="0" w:space="0" w:color="auto"/>
            <w:right w:val="none" w:sz="0" w:space="0" w:color="auto"/>
          </w:divBdr>
        </w:div>
        <w:div w:id="190655531">
          <w:marLeft w:val="0"/>
          <w:marRight w:val="0"/>
          <w:marTop w:val="0"/>
          <w:marBottom w:val="0"/>
          <w:divBdr>
            <w:top w:val="none" w:sz="0" w:space="0" w:color="auto"/>
            <w:left w:val="none" w:sz="0" w:space="0" w:color="auto"/>
            <w:bottom w:val="none" w:sz="0" w:space="0" w:color="auto"/>
            <w:right w:val="none" w:sz="0" w:space="0" w:color="auto"/>
          </w:divBdr>
        </w:div>
        <w:div w:id="211231162">
          <w:marLeft w:val="0"/>
          <w:marRight w:val="0"/>
          <w:marTop w:val="0"/>
          <w:marBottom w:val="0"/>
          <w:divBdr>
            <w:top w:val="none" w:sz="0" w:space="0" w:color="auto"/>
            <w:left w:val="none" w:sz="0" w:space="0" w:color="auto"/>
            <w:bottom w:val="none" w:sz="0" w:space="0" w:color="auto"/>
            <w:right w:val="none" w:sz="0" w:space="0" w:color="auto"/>
          </w:divBdr>
        </w:div>
        <w:div w:id="278071882">
          <w:marLeft w:val="0"/>
          <w:marRight w:val="0"/>
          <w:marTop w:val="0"/>
          <w:marBottom w:val="0"/>
          <w:divBdr>
            <w:top w:val="none" w:sz="0" w:space="0" w:color="auto"/>
            <w:left w:val="none" w:sz="0" w:space="0" w:color="auto"/>
            <w:bottom w:val="none" w:sz="0" w:space="0" w:color="auto"/>
            <w:right w:val="none" w:sz="0" w:space="0" w:color="auto"/>
          </w:divBdr>
        </w:div>
        <w:div w:id="292713845">
          <w:marLeft w:val="0"/>
          <w:marRight w:val="0"/>
          <w:marTop w:val="0"/>
          <w:marBottom w:val="0"/>
          <w:divBdr>
            <w:top w:val="none" w:sz="0" w:space="0" w:color="auto"/>
            <w:left w:val="none" w:sz="0" w:space="0" w:color="auto"/>
            <w:bottom w:val="none" w:sz="0" w:space="0" w:color="auto"/>
            <w:right w:val="none" w:sz="0" w:space="0" w:color="auto"/>
          </w:divBdr>
        </w:div>
        <w:div w:id="317727995">
          <w:marLeft w:val="0"/>
          <w:marRight w:val="0"/>
          <w:marTop w:val="0"/>
          <w:marBottom w:val="0"/>
          <w:divBdr>
            <w:top w:val="none" w:sz="0" w:space="0" w:color="auto"/>
            <w:left w:val="none" w:sz="0" w:space="0" w:color="auto"/>
            <w:bottom w:val="none" w:sz="0" w:space="0" w:color="auto"/>
            <w:right w:val="none" w:sz="0" w:space="0" w:color="auto"/>
          </w:divBdr>
        </w:div>
        <w:div w:id="342244381">
          <w:marLeft w:val="0"/>
          <w:marRight w:val="0"/>
          <w:marTop w:val="0"/>
          <w:marBottom w:val="0"/>
          <w:divBdr>
            <w:top w:val="none" w:sz="0" w:space="0" w:color="auto"/>
            <w:left w:val="none" w:sz="0" w:space="0" w:color="auto"/>
            <w:bottom w:val="none" w:sz="0" w:space="0" w:color="auto"/>
            <w:right w:val="none" w:sz="0" w:space="0" w:color="auto"/>
          </w:divBdr>
        </w:div>
        <w:div w:id="355468121">
          <w:marLeft w:val="0"/>
          <w:marRight w:val="0"/>
          <w:marTop w:val="0"/>
          <w:marBottom w:val="0"/>
          <w:divBdr>
            <w:top w:val="none" w:sz="0" w:space="0" w:color="auto"/>
            <w:left w:val="none" w:sz="0" w:space="0" w:color="auto"/>
            <w:bottom w:val="none" w:sz="0" w:space="0" w:color="auto"/>
            <w:right w:val="none" w:sz="0" w:space="0" w:color="auto"/>
          </w:divBdr>
        </w:div>
        <w:div w:id="373507694">
          <w:marLeft w:val="0"/>
          <w:marRight w:val="0"/>
          <w:marTop w:val="0"/>
          <w:marBottom w:val="0"/>
          <w:divBdr>
            <w:top w:val="none" w:sz="0" w:space="0" w:color="auto"/>
            <w:left w:val="none" w:sz="0" w:space="0" w:color="auto"/>
            <w:bottom w:val="none" w:sz="0" w:space="0" w:color="auto"/>
            <w:right w:val="none" w:sz="0" w:space="0" w:color="auto"/>
          </w:divBdr>
        </w:div>
        <w:div w:id="481890412">
          <w:marLeft w:val="0"/>
          <w:marRight w:val="0"/>
          <w:marTop w:val="0"/>
          <w:marBottom w:val="0"/>
          <w:divBdr>
            <w:top w:val="none" w:sz="0" w:space="0" w:color="auto"/>
            <w:left w:val="none" w:sz="0" w:space="0" w:color="auto"/>
            <w:bottom w:val="none" w:sz="0" w:space="0" w:color="auto"/>
            <w:right w:val="none" w:sz="0" w:space="0" w:color="auto"/>
          </w:divBdr>
        </w:div>
        <w:div w:id="492454159">
          <w:marLeft w:val="0"/>
          <w:marRight w:val="0"/>
          <w:marTop w:val="0"/>
          <w:marBottom w:val="0"/>
          <w:divBdr>
            <w:top w:val="none" w:sz="0" w:space="0" w:color="auto"/>
            <w:left w:val="none" w:sz="0" w:space="0" w:color="auto"/>
            <w:bottom w:val="none" w:sz="0" w:space="0" w:color="auto"/>
            <w:right w:val="none" w:sz="0" w:space="0" w:color="auto"/>
          </w:divBdr>
        </w:div>
        <w:div w:id="518007687">
          <w:marLeft w:val="0"/>
          <w:marRight w:val="0"/>
          <w:marTop w:val="0"/>
          <w:marBottom w:val="0"/>
          <w:divBdr>
            <w:top w:val="none" w:sz="0" w:space="0" w:color="auto"/>
            <w:left w:val="none" w:sz="0" w:space="0" w:color="auto"/>
            <w:bottom w:val="none" w:sz="0" w:space="0" w:color="auto"/>
            <w:right w:val="none" w:sz="0" w:space="0" w:color="auto"/>
          </w:divBdr>
        </w:div>
        <w:div w:id="550119897">
          <w:marLeft w:val="0"/>
          <w:marRight w:val="0"/>
          <w:marTop w:val="0"/>
          <w:marBottom w:val="0"/>
          <w:divBdr>
            <w:top w:val="none" w:sz="0" w:space="0" w:color="auto"/>
            <w:left w:val="none" w:sz="0" w:space="0" w:color="auto"/>
            <w:bottom w:val="none" w:sz="0" w:space="0" w:color="auto"/>
            <w:right w:val="none" w:sz="0" w:space="0" w:color="auto"/>
          </w:divBdr>
        </w:div>
        <w:div w:id="622883754">
          <w:marLeft w:val="0"/>
          <w:marRight w:val="0"/>
          <w:marTop w:val="0"/>
          <w:marBottom w:val="0"/>
          <w:divBdr>
            <w:top w:val="none" w:sz="0" w:space="0" w:color="auto"/>
            <w:left w:val="none" w:sz="0" w:space="0" w:color="auto"/>
            <w:bottom w:val="none" w:sz="0" w:space="0" w:color="auto"/>
            <w:right w:val="none" w:sz="0" w:space="0" w:color="auto"/>
          </w:divBdr>
        </w:div>
        <w:div w:id="649093073">
          <w:marLeft w:val="0"/>
          <w:marRight w:val="0"/>
          <w:marTop w:val="0"/>
          <w:marBottom w:val="0"/>
          <w:divBdr>
            <w:top w:val="none" w:sz="0" w:space="0" w:color="auto"/>
            <w:left w:val="none" w:sz="0" w:space="0" w:color="auto"/>
            <w:bottom w:val="none" w:sz="0" w:space="0" w:color="auto"/>
            <w:right w:val="none" w:sz="0" w:space="0" w:color="auto"/>
          </w:divBdr>
        </w:div>
        <w:div w:id="655305073">
          <w:marLeft w:val="0"/>
          <w:marRight w:val="0"/>
          <w:marTop w:val="0"/>
          <w:marBottom w:val="0"/>
          <w:divBdr>
            <w:top w:val="none" w:sz="0" w:space="0" w:color="auto"/>
            <w:left w:val="none" w:sz="0" w:space="0" w:color="auto"/>
            <w:bottom w:val="none" w:sz="0" w:space="0" w:color="auto"/>
            <w:right w:val="none" w:sz="0" w:space="0" w:color="auto"/>
          </w:divBdr>
        </w:div>
        <w:div w:id="658964536">
          <w:marLeft w:val="0"/>
          <w:marRight w:val="0"/>
          <w:marTop w:val="0"/>
          <w:marBottom w:val="0"/>
          <w:divBdr>
            <w:top w:val="none" w:sz="0" w:space="0" w:color="auto"/>
            <w:left w:val="none" w:sz="0" w:space="0" w:color="auto"/>
            <w:bottom w:val="none" w:sz="0" w:space="0" w:color="auto"/>
            <w:right w:val="none" w:sz="0" w:space="0" w:color="auto"/>
          </w:divBdr>
        </w:div>
        <w:div w:id="697849929">
          <w:marLeft w:val="0"/>
          <w:marRight w:val="0"/>
          <w:marTop w:val="0"/>
          <w:marBottom w:val="0"/>
          <w:divBdr>
            <w:top w:val="none" w:sz="0" w:space="0" w:color="auto"/>
            <w:left w:val="none" w:sz="0" w:space="0" w:color="auto"/>
            <w:bottom w:val="none" w:sz="0" w:space="0" w:color="auto"/>
            <w:right w:val="none" w:sz="0" w:space="0" w:color="auto"/>
          </w:divBdr>
        </w:div>
        <w:div w:id="714885952">
          <w:marLeft w:val="0"/>
          <w:marRight w:val="0"/>
          <w:marTop w:val="0"/>
          <w:marBottom w:val="0"/>
          <w:divBdr>
            <w:top w:val="none" w:sz="0" w:space="0" w:color="auto"/>
            <w:left w:val="none" w:sz="0" w:space="0" w:color="auto"/>
            <w:bottom w:val="none" w:sz="0" w:space="0" w:color="auto"/>
            <w:right w:val="none" w:sz="0" w:space="0" w:color="auto"/>
          </w:divBdr>
        </w:div>
        <w:div w:id="797067232">
          <w:marLeft w:val="0"/>
          <w:marRight w:val="0"/>
          <w:marTop w:val="0"/>
          <w:marBottom w:val="0"/>
          <w:divBdr>
            <w:top w:val="none" w:sz="0" w:space="0" w:color="auto"/>
            <w:left w:val="none" w:sz="0" w:space="0" w:color="auto"/>
            <w:bottom w:val="none" w:sz="0" w:space="0" w:color="auto"/>
            <w:right w:val="none" w:sz="0" w:space="0" w:color="auto"/>
          </w:divBdr>
        </w:div>
        <w:div w:id="831222074">
          <w:marLeft w:val="0"/>
          <w:marRight w:val="0"/>
          <w:marTop w:val="0"/>
          <w:marBottom w:val="0"/>
          <w:divBdr>
            <w:top w:val="none" w:sz="0" w:space="0" w:color="auto"/>
            <w:left w:val="none" w:sz="0" w:space="0" w:color="auto"/>
            <w:bottom w:val="none" w:sz="0" w:space="0" w:color="auto"/>
            <w:right w:val="none" w:sz="0" w:space="0" w:color="auto"/>
          </w:divBdr>
        </w:div>
        <w:div w:id="839387914">
          <w:marLeft w:val="0"/>
          <w:marRight w:val="0"/>
          <w:marTop w:val="0"/>
          <w:marBottom w:val="0"/>
          <w:divBdr>
            <w:top w:val="none" w:sz="0" w:space="0" w:color="auto"/>
            <w:left w:val="none" w:sz="0" w:space="0" w:color="auto"/>
            <w:bottom w:val="none" w:sz="0" w:space="0" w:color="auto"/>
            <w:right w:val="none" w:sz="0" w:space="0" w:color="auto"/>
          </w:divBdr>
        </w:div>
        <w:div w:id="849107083">
          <w:marLeft w:val="0"/>
          <w:marRight w:val="0"/>
          <w:marTop w:val="0"/>
          <w:marBottom w:val="0"/>
          <w:divBdr>
            <w:top w:val="none" w:sz="0" w:space="0" w:color="auto"/>
            <w:left w:val="none" w:sz="0" w:space="0" w:color="auto"/>
            <w:bottom w:val="none" w:sz="0" w:space="0" w:color="auto"/>
            <w:right w:val="none" w:sz="0" w:space="0" w:color="auto"/>
          </w:divBdr>
        </w:div>
        <w:div w:id="887760832">
          <w:marLeft w:val="0"/>
          <w:marRight w:val="0"/>
          <w:marTop w:val="0"/>
          <w:marBottom w:val="0"/>
          <w:divBdr>
            <w:top w:val="none" w:sz="0" w:space="0" w:color="auto"/>
            <w:left w:val="none" w:sz="0" w:space="0" w:color="auto"/>
            <w:bottom w:val="none" w:sz="0" w:space="0" w:color="auto"/>
            <w:right w:val="none" w:sz="0" w:space="0" w:color="auto"/>
          </w:divBdr>
        </w:div>
        <w:div w:id="971400278">
          <w:marLeft w:val="0"/>
          <w:marRight w:val="0"/>
          <w:marTop w:val="0"/>
          <w:marBottom w:val="0"/>
          <w:divBdr>
            <w:top w:val="none" w:sz="0" w:space="0" w:color="auto"/>
            <w:left w:val="none" w:sz="0" w:space="0" w:color="auto"/>
            <w:bottom w:val="none" w:sz="0" w:space="0" w:color="auto"/>
            <w:right w:val="none" w:sz="0" w:space="0" w:color="auto"/>
          </w:divBdr>
        </w:div>
        <w:div w:id="1017073283">
          <w:marLeft w:val="0"/>
          <w:marRight w:val="0"/>
          <w:marTop w:val="0"/>
          <w:marBottom w:val="0"/>
          <w:divBdr>
            <w:top w:val="none" w:sz="0" w:space="0" w:color="auto"/>
            <w:left w:val="none" w:sz="0" w:space="0" w:color="auto"/>
            <w:bottom w:val="none" w:sz="0" w:space="0" w:color="auto"/>
            <w:right w:val="none" w:sz="0" w:space="0" w:color="auto"/>
          </w:divBdr>
        </w:div>
        <w:div w:id="1039089872">
          <w:marLeft w:val="0"/>
          <w:marRight w:val="0"/>
          <w:marTop w:val="0"/>
          <w:marBottom w:val="0"/>
          <w:divBdr>
            <w:top w:val="none" w:sz="0" w:space="0" w:color="auto"/>
            <w:left w:val="none" w:sz="0" w:space="0" w:color="auto"/>
            <w:bottom w:val="none" w:sz="0" w:space="0" w:color="auto"/>
            <w:right w:val="none" w:sz="0" w:space="0" w:color="auto"/>
          </w:divBdr>
        </w:div>
        <w:div w:id="1050766959">
          <w:marLeft w:val="0"/>
          <w:marRight w:val="0"/>
          <w:marTop w:val="0"/>
          <w:marBottom w:val="0"/>
          <w:divBdr>
            <w:top w:val="none" w:sz="0" w:space="0" w:color="auto"/>
            <w:left w:val="none" w:sz="0" w:space="0" w:color="auto"/>
            <w:bottom w:val="none" w:sz="0" w:space="0" w:color="auto"/>
            <w:right w:val="none" w:sz="0" w:space="0" w:color="auto"/>
          </w:divBdr>
        </w:div>
        <w:div w:id="1136028750">
          <w:marLeft w:val="0"/>
          <w:marRight w:val="0"/>
          <w:marTop w:val="0"/>
          <w:marBottom w:val="0"/>
          <w:divBdr>
            <w:top w:val="none" w:sz="0" w:space="0" w:color="auto"/>
            <w:left w:val="none" w:sz="0" w:space="0" w:color="auto"/>
            <w:bottom w:val="none" w:sz="0" w:space="0" w:color="auto"/>
            <w:right w:val="none" w:sz="0" w:space="0" w:color="auto"/>
          </w:divBdr>
        </w:div>
        <w:div w:id="1164934395">
          <w:marLeft w:val="0"/>
          <w:marRight w:val="0"/>
          <w:marTop w:val="0"/>
          <w:marBottom w:val="0"/>
          <w:divBdr>
            <w:top w:val="none" w:sz="0" w:space="0" w:color="auto"/>
            <w:left w:val="none" w:sz="0" w:space="0" w:color="auto"/>
            <w:bottom w:val="none" w:sz="0" w:space="0" w:color="auto"/>
            <w:right w:val="none" w:sz="0" w:space="0" w:color="auto"/>
          </w:divBdr>
        </w:div>
        <w:div w:id="1168979024">
          <w:marLeft w:val="0"/>
          <w:marRight w:val="0"/>
          <w:marTop w:val="0"/>
          <w:marBottom w:val="0"/>
          <w:divBdr>
            <w:top w:val="none" w:sz="0" w:space="0" w:color="auto"/>
            <w:left w:val="none" w:sz="0" w:space="0" w:color="auto"/>
            <w:bottom w:val="none" w:sz="0" w:space="0" w:color="auto"/>
            <w:right w:val="none" w:sz="0" w:space="0" w:color="auto"/>
          </w:divBdr>
        </w:div>
        <w:div w:id="1180120098">
          <w:marLeft w:val="0"/>
          <w:marRight w:val="0"/>
          <w:marTop w:val="0"/>
          <w:marBottom w:val="0"/>
          <w:divBdr>
            <w:top w:val="none" w:sz="0" w:space="0" w:color="auto"/>
            <w:left w:val="none" w:sz="0" w:space="0" w:color="auto"/>
            <w:bottom w:val="none" w:sz="0" w:space="0" w:color="auto"/>
            <w:right w:val="none" w:sz="0" w:space="0" w:color="auto"/>
          </w:divBdr>
        </w:div>
        <w:div w:id="1195997993">
          <w:marLeft w:val="0"/>
          <w:marRight w:val="0"/>
          <w:marTop w:val="0"/>
          <w:marBottom w:val="0"/>
          <w:divBdr>
            <w:top w:val="none" w:sz="0" w:space="0" w:color="auto"/>
            <w:left w:val="none" w:sz="0" w:space="0" w:color="auto"/>
            <w:bottom w:val="none" w:sz="0" w:space="0" w:color="auto"/>
            <w:right w:val="none" w:sz="0" w:space="0" w:color="auto"/>
          </w:divBdr>
        </w:div>
        <w:div w:id="1210218944">
          <w:marLeft w:val="0"/>
          <w:marRight w:val="0"/>
          <w:marTop w:val="0"/>
          <w:marBottom w:val="0"/>
          <w:divBdr>
            <w:top w:val="none" w:sz="0" w:space="0" w:color="auto"/>
            <w:left w:val="none" w:sz="0" w:space="0" w:color="auto"/>
            <w:bottom w:val="none" w:sz="0" w:space="0" w:color="auto"/>
            <w:right w:val="none" w:sz="0" w:space="0" w:color="auto"/>
          </w:divBdr>
        </w:div>
        <w:div w:id="1254246694">
          <w:marLeft w:val="0"/>
          <w:marRight w:val="0"/>
          <w:marTop w:val="0"/>
          <w:marBottom w:val="0"/>
          <w:divBdr>
            <w:top w:val="none" w:sz="0" w:space="0" w:color="auto"/>
            <w:left w:val="none" w:sz="0" w:space="0" w:color="auto"/>
            <w:bottom w:val="none" w:sz="0" w:space="0" w:color="auto"/>
            <w:right w:val="none" w:sz="0" w:space="0" w:color="auto"/>
          </w:divBdr>
        </w:div>
        <w:div w:id="1260873912">
          <w:marLeft w:val="0"/>
          <w:marRight w:val="0"/>
          <w:marTop w:val="0"/>
          <w:marBottom w:val="0"/>
          <w:divBdr>
            <w:top w:val="none" w:sz="0" w:space="0" w:color="auto"/>
            <w:left w:val="none" w:sz="0" w:space="0" w:color="auto"/>
            <w:bottom w:val="none" w:sz="0" w:space="0" w:color="auto"/>
            <w:right w:val="none" w:sz="0" w:space="0" w:color="auto"/>
          </w:divBdr>
        </w:div>
        <w:div w:id="1275870064">
          <w:marLeft w:val="0"/>
          <w:marRight w:val="0"/>
          <w:marTop w:val="0"/>
          <w:marBottom w:val="0"/>
          <w:divBdr>
            <w:top w:val="none" w:sz="0" w:space="0" w:color="auto"/>
            <w:left w:val="none" w:sz="0" w:space="0" w:color="auto"/>
            <w:bottom w:val="none" w:sz="0" w:space="0" w:color="auto"/>
            <w:right w:val="none" w:sz="0" w:space="0" w:color="auto"/>
          </w:divBdr>
        </w:div>
        <w:div w:id="1282689733">
          <w:marLeft w:val="0"/>
          <w:marRight w:val="0"/>
          <w:marTop w:val="0"/>
          <w:marBottom w:val="0"/>
          <w:divBdr>
            <w:top w:val="none" w:sz="0" w:space="0" w:color="auto"/>
            <w:left w:val="none" w:sz="0" w:space="0" w:color="auto"/>
            <w:bottom w:val="none" w:sz="0" w:space="0" w:color="auto"/>
            <w:right w:val="none" w:sz="0" w:space="0" w:color="auto"/>
          </w:divBdr>
        </w:div>
        <w:div w:id="1282765627">
          <w:marLeft w:val="0"/>
          <w:marRight w:val="0"/>
          <w:marTop w:val="0"/>
          <w:marBottom w:val="0"/>
          <w:divBdr>
            <w:top w:val="none" w:sz="0" w:space="0" w:color="auto"/>
            <w:left w:val="none" w:sz="0" w:space="0" w:color="auto"/>
            <w:bottom w:val="none" w:sz="0" w:space="0" w:color="auto"/>
            <w:right w:val="none" w:sz="0" w:space="0" w:color="auto"/>
          </w:divBdr>
        </w:div>
        <w:div w:id="1297298222">
          <w:marLeft w:val="0"/>
          <w:marRight w:val="0"/>
          <w:marTop w:val="0"/>
          <w:marBottom w:val="0"/>
          <w:divBdr>
            <w:top w:val="none" w:sz="0" w:space="0" w:color="auto"/>
            <w:left w:val="none" w:sz="0" w:space="0" w:color="auto"/>
            <w:bottom w:val="none" w:sz="0" w:space="0" w:color="auto"/>
            <w:right w:val="none" w:sz="0" w:space="0" w:color="auto"/>
          </w:divBdr>
        </w:div>
        <w:div w:id="1341548846">
          <w:marLeft w:val="0"/>
          <w:marRight w:val="0"/>
          <w:marTop w:val="0"/>
          <w:marBottom w:val="0"/>
          <w:divBdr>
            <w:top w:val="none" w:sz="0" w:space="0" w:color="auto"/>
            <w:left w:val="none" w:sz="0" w:space="0" w:color="auto"/>
            <w:bottom w:val="none" w:sz="0" w:space="0" w:color="auto"/>
            <w:right w:val="none" w:sz="0" w:space="0" w:color="auto"/>
          </w:divBdr>
        </w:div>
        <w:div w:id="1419131279">
          <w:marLeft w:val="0"/>
          <w:marRight w:val="0"/>
          <w:marTop w:val="0"/>
          <w:marBottom w:val="0"/>
          <w:divBdr>
            <w:top w:val="none" w:sz="0" w:space="0" w:color="auto"/>
            <w:left w:val="none" w:sz="0" w:space="0" w:color="auto"/>
            <w:bottom w:val="none" w:sz="0" w:space="0" w:color="auto"/>
            <w:right w:val="none" w:sz="0" w:space="0" w:color="auto"/>
          </w:divBdr>
        </w:div>
        <w:div w:id="1492790190">
          <w:marLeft w:val="0"/>
          <w:marRight w:val="0"/>
          <w:marTop w:val="0"/>
          <w:marBottom w:val="0"/>
          <w:divBdr>
            <w:top w:val="none" w:sz="0" w:space="0" w:color="auto"/>
            <w:left w:val="none" w:sz="0" w:space="0" w:color="auto"/>
            <w:bottom w:val="none" w:sz="0" w:space="0" w:color="auto"/>
            <w:right w:val="none" w:sz="0" w:space="0" w:color="auto"/>
          </w:divBdr>
        </w:div>
        <w:div w:id="1580285171">
          <w:marLeft w:val="0"/>
          <w:marRight w:val="0"/>
          <w:marTop w:val="0"/>
          <w:marBottom w:val="0"/>
          <w:divBdr>
            <w:top w:val="none" w:sz="0" w:space="0" w:color="auto"/>
            <w:left w:val="none" w:sz="0" w:space="0" w:color="auto"/>
            <w:bottom w:val="none" w:sz="0" w:space="0" w:color="auto"/>
            <w:right w:val="none" w:sz="0" w:space="0" w:color="auto"/>
          </w:divBdr>
        </w:div>
        <w:div w:id="1586381334">
          <w:marLeft w:val="0"/>
          <w:marRight w:val="0"/>
          <w:marTop w:val="0"/>
          <w:marBottom w:val="0"/>
          <w:divBdr>
            <w:top w:val="none" w:sz="0" w:space="0" w:color="auto"/>
            <w:left w:val="none" w:sz="0" w:space="0" w:color="auto"/>
            <w:bottom w:val="none" w:sz="0" w:space="0" w:color="auto"/>
            <w:right w:val="none" w:sz="0" w:space="0" w:color="auto"/>
          </w:divBdr>
        </w:div>
        <w:div w:id="1638216164">
          <w:marLeft w:val="0"/>
          <w:marRight w:val="0"/>
          <w:marTop w:val="0"/>
          <w:marBottom w:val="0"/>
          <w:divBdr>
            <w:top w:val="none" w:sz="0" w:space="0" w:color="auto"/>
            <w:left w:val="none" w:sz="0" w:space="0" w:color="auto"/>
            <w:bottom w:val="none" w:sz="0" w:space="0" w:color="auto"/>
            <w:right w:val="none" w:sz="0" w:space="0" w:color="auto"/>
          </w:divBdr>
        </w:div>
        <w:div w:id="1671256043">
          <w:marLeft w:val="0"/>
          <w:marRight w:val="0"/>
          <w:marTop w:val="0"/>
          <w:marBottom w:val="0"/>
          <w:divBdr>
            <w:top w:val="none" w:sz="0" w:space="0" w:color="auto"/>
            <w:left w:val="none" w:sz="0" w:space="0" w:color="auto"/>
            <w:bottom w:val="none" w:sz="0" w:space="0" w:color="auto"/>
            <w:right w:val="none" w:sz="0" w:space="0" w:color="auto"/>
          </w:divBdr>
        </w:div>
        <w:div w:id="1674643805">
          <w:marLeft w:val="0"/>
          <w:marRight w:val="0"/>
          <w:marTop w:val="0"/>
          <w:marBottom w:val="0"/>
          <w:divBdr>
            <w:top w:val="none" w:sz="0" w:space="0" w:color="auto"/>
            <w:left w:val="none" w:sz="0" w:space="0" w:color="auto"/>
            <w:bottom w:val="none" w:sz="0" w:space="0" w:color="auto"/>
            <w:right w:val="none" w:sz="0" w:space="0" w:color="auto"/>
          </w:divBdr>
        </w:div>
        <w:div w:id="1700466405">
          <w:marLeft w:val="0"/>
          <w:marRight w:val="0"/>
          <w:marTop w:val="0"/>
          <w:marBottom w:val="0"/>
          <w:divBdr>
            <w:top w:val="none" w:sz="0" w:space="0" w:color="auto"/>
            <w:left w:val="none" w:sz="0" w:space="0" w:color="auto"/>
            <w:bottom w:val="none" w:sz="0" w:space="0" w:color="auto"/>
            <w:right w:val="none" w:sz="0" w:space="0" w:color="auto"/>
          </w:divBdr>
        </w:div>
        <w:div w:id="1708483437">
          <w:marLeft w:val="0"/>
          <w:marRight w:val="0"/>
          <w:marTop w:val="0"/>
          <w:marBottom w:val="0"/>
          <w:divBdr>
            <w:top w:val="none" w:sz="0" w:space="0" w:color="auto"/>
            <w:left w:val="none" w:sz="0" w:space="0" w:color="auto"/>
            <w:bottom w:val="none" w:sz="0" w:space="0" w:color="auto"/>
            <w:right w:val="none" w:sz="0" w:space="0" w:color="auto"/>
          </w:divBdr>
        </w:div>
        <w:div w:id="1737780483">
          <w:marLeft w:val="0"/>
          <w:marRight w:val="0"/>
          <w:marTop w:val="0"/>
          <w:marBottom w:val="0"/>
          <w:divBdr>
            <w:top w:val="none" w:sz="0" w:space="0" w:color="auto"/>
            <w:left w:val="none" w:sz="0" w:space="0" w:color="auto"/>
            <w:bottom w:val="none" w:sz="0" w:space="0" w:color="auto"/>
            <w:right w:val="none" w:sz="0" w:space="0" w:color="auto"/>
          </w:divBdr>
        </w:div>
        <w:div w:id="1759861026">
          <w:marLeft w:val="0"/>
          <w:marRight w:val="0"/>
          <w:marTop w:val="0"/>
          <w:marBottom w:val="0"/>
          <w:divBdr>
            <w:top w:val="none" w:sz="0" w:space="0" w:color="auto"/>
            <w:left w:val="none" w:sz="0" w:space="0" w:color="auto"/>
            <w:bottom w:val="none" w:sz="0" w:space="0" w:color="auto"/>
            <w:right w:val="none" w:sz="0" w:space="0" w:color="auto"/>
          </w:divBdr>
        </w:div>
        <w:div w:id="1768039766">
          <w:marLeft w:val="0"/>
          <w:marRight w:val="0"/>
          <w:marTop w:val="0"/>
          <w:marBottom w:val="0"/>
          <w:divBdr>
            <w:top w:val="none" w:sz="0" w:space="0" w:color="auto"/>
            <w:left w:val="none" w:sz="0" w:space="0" w:color="auto"/>
            <w:bottom w:val="none" w:sz="0" w:space="0" w:color="auto"/>
            <w:right w:val="none" w:sz="0" w:space="0" w:color="auto"/>
          </w:divBdr>
        </w:div>
        <w:div w:id="1840075712">
          <w:marLeft w:val="0"/>
          <w:marRight w:val="0"/>
          <w:marTop w:val="0"/>
          <w:marBottom w:val="0"/>
          <w:divBdr>
            <w:top w:val="none" w:sz="0" w:space="0" w:color="auto"/>
            <w:left w:val="none" w:sz="0" w:space="0" w:color="auto"/>
            <w:bottom w:val="none" w:sz="0" w:space="0" w:color="auto"/>
            <w:right w:val="none" w:sz="0" w:space="0" w:color="auto"/>
          </w:divBdr>
        </w:div>
        <w:div w:id="1842886935">
          <w:marLeft w:val="0"/>
          <w:marRight w:val="0"/>
          <w:marTop w:val="0"/>
          <w:marBottom w:val="0"/>
          <w:divBdr>
            <w:top w:val="none" w:sz="0" w:space="0" w:color="auto"/>
            <w:left w:val="none" w:sz="0" w:space="0" w:color="auto"/>
            <w:bottom w:val="none" w:sz="0" w:space="0" w:color="auto"/>
            <w:right w:val="none" w:sz="0" w:space="0" w:color="auto"/>
          </w:divBdr>
        </w:div>
        <w:div w:id="1868132977">
          <w:marLeft w:val="0"/>
          <w:marRight w:val="0"/>
          <w:marTop w:val="0"/>
          <w:marBottom w:val="0"/>
          <w:divBdr>
            <w:top w:val="none" w:sz="0" w:space="0" w:color="auto"/>
            <w:left w:val="none" w:sz="0" w:space="0" w:color="auto"/>
            <w:bottom w:val="none" w:sz="0" w:space="0" w:color="auto"/>
            <w:right w:val="none" w:sz="0" w:space="0" w:color="auto"/>
          </w:divBdr>
        </w:div>
        <w:div w:id="1917401682">
          <w:marLeft w:val="0"/>
          <w:marRight w:val="0"/>
          <w:marTop w:val="0"/>
          <w:marBottom w:val="0"/>
          <w:divBdr>
            <w:top w:val="none" w:sz="0" w:space="0" w:color="auto"/>
            <w:left w:val="none" w:sz="0" w:space="0" w:color="auto"/>
            <w:bottom w:val="none" w:sz="0" w:space="0" w:color="auto"/>
            <w:right w:val="none" w:sz="0" w:space="0" w:color="auto"/>
          </w:divBdr>
        </w:div>
        <w:div w:id="1928925854">
          <w:marLeft w:val="0"/>
          <w:marRight w:val="0"/>
          <w:marTop w:val="0"/>
          <w:marBottom w:val="0"/>
          <w:divBdr>
            <w:top w:val="none" w:sz="0" w:space="0" w:color="auto"/>
            <w:left w:val="none" w:sz="0" w:space="0" w:color="auto"/>
            <w:bottom w:val="none" w:sz="0" w:space="0" w:color="auto"/>
            <w:right w:val="none" w:sz="0" w:space="0" w:color="auto"/>
          </w:divBdr>
        </w:div>
        <w:div w:id="1961953976">
          <w:marLeft w:val="0"/>
          <w:marRight w:val="0"/>
          <w:marTop w:val="0"/>
          <w:marBottom w:val="0"/>
          <w:divBdr>
            <w:top w:val="none" w:sz="0" w:space="0" w:color="auto"/>
            <w:left w:val="none" w:sz="0" w:space="0" w:color="auto"/>
            <w:bottom w:val="none" w:sz="0" w:space="0" w:color="auto"/>
            <w:right w:val="none" w:sz="0" w:space="0" w:color="auto"/>
          </w:divBdr>
        </w:div>
        <w:div w:id="1964773085">
          <w:marLeft w:val="0"/>
          <w:marRight w:val="0"/>
          <w:marTop w:val="0"/>
          <w:marBottom w:val="0"/>
          <w:divBdr>
            <w:top w:val="none" w:sz="0" w:space="0" w:color="auto"/>
            <w:left w:val="none" w:sz="0" w:space="0" w:color="auto"/>
            <w:bottom w:val="none" w:sz="0" w:space="0" w:color="auto"/>
            <w:right w:val="none" w:sz="0" w:space="0" w:color="auto"/>
          </w:divBdr>
        </w:div>
        <w:div w:id="1985503299">
          <w:marLeft w:val="0"/>
          <w:marRight w:val="0"/>
          <w:marTop w:val="0"/>
          <w:marBottom w:val="0"/>
          <w:divBdr>
            <w:top w:val="none" w:sz="0" w:space="0" w:color="auto"/>
            <w:left w:val="none" w:sz="0" w:space="0" w:color="auto"/>
            <w:bottom w:val="none" w:sz="0" w:space="0" w:color="auto"/>
            <w:right w:val="none" w:sz="0" w:space="0" w:color="auto"/>
          </w:divBdr>
        </w:div>
        <w:div w:id="2015569404">
          <w:marLeft w:val="0"/>
          <w:marRight w:val="0"/>
          <w:marTop w:val="0"/>
          <w:marBottom w:val="0"/>
          <w:divBdr>
            <w:top w:val="none" w:sz="0" w:space="0" w:color="auto"/>
            <w:left w:val="none" w:sz="0" w:space="0" w:color="auto"/>
            <w:bottom w:val="none" w:sz="0" w:space="0" w:color="auto"/>
            <w:right w:val="none" w:sz="0" w:space="0" w:color="auto"/>
          </w:divBdr>
        </w:div>
        <w:div w:id="2022664862">
          <w:marLeft w:val="0"/>
          <w:marRight w:val="0"/>
          <w:marTop w:val="0"/>
          <w:marBottom w:val="0"/>
          <w:divBdr>
            <w:top w:val="none" w:sz="0" w:space="0" w:color="auto"/>
            <w:left w:val="none" w:sz="0" w:space="0" w:color="auto"/>
            <w:bottom w:val="none" w:sz="0" w:space="0" w:color="auto"/>
            <w:right w:val="none" w:sz="0" w:space="0" w:color="auto"/>
          </w:divBdr>
        </w:div>
        <w:div w:id="2043241500">
          <w:marLeft w:val="0"/>
          <w:marRight w:val="0"/>
          <w:marTop w:val="0"/>
          <w:marBottom w:val="0"/>
          <w:divBdr>
            <w:top w:val="none" w:sz="0" w:space="0" w:color="auto"/>
            <w:left w:val="none" w:sz="0" w:space="0" w:color="auto"/>
            <w:bottom w:val="none" w:sz="0" w:space="0" w:color="auto"/>
            <w:right w:val="none" w:sz="0" w:space="0" w:color="auto"/>
          </w:divBdr>
        </w:div>
        <w:div w:id="2043901433">
          <w:marLeft w:val="0"/>
          <w:marRight w:val="0"/>
          <w:marTop w:val="0"/>
          <w:marBottom w:val="0"/>
          <w:divBdr>
            <w:top w:val="none" w:sz="0" w:space="0" w:color="auto"/>
            <w:left w:val="none" w:sz="0" w:space="0" w:color="auto"/>
            <w:bottom w:val="none" w:sz="0" w:space="0" w:color="auto"/>
            <w:right w:val="none" w:sz="0" w:space="0" w:color="auto"/>
          </w:divBdr>
        </w:div>
        <w:div w:id="2055736308">
          <w:marLeft w:val="0"/>
          <w:marRight w:val="0"/>
          <w:marTop w:val="0"/>
          <w:marBottom w:val="0"/>
          <w:divBdr>
            <w:top w:val="none" w:sz="0" w:space="0" w:color="auto"/>
            <w:left w:val="none" w:sz="0" w:space="0" w:color="auto"/>
            <w:bottom w:val="none" w:sz="0" w:space="0" w:color="auto"/>
            <w:right w:val="none" w:sz="0" w:space="0" w:color="auto"/>
          </w:divBdr>
        </w:div>
        <w:div w:id="2066636965">
          <w:marLeft w:val="0"/>
          <w:marRight w:val="0"/>
          <w:marTop w:val="0"/>
          <w:marBottom w:val="0"/>
          <w:divBdr>
            <w:top w:val="none" w:sz="0" w:space="0" w:color="auto"/>
            <w:left w:val="none" w:sz="0" w:space="0" w:color="auto"/>
            <w:bottom w:val="none" w:sz="0" w:space="0" w:color="auto"/>
            <w:right w:val="none" w:sz="0" w:space="0" w:color="auto"/>
          </w:divBdr>
        </w:div>
        <w:div w:id="2095086052">
          <w:marLeft w:val="0"/>
          <w:marRight w:val="0"/>
          <w:marTop w:val="0"/>
          <w:marBottom w:val="0"/>
          <w:divBdr>
            <w:top w:val="none" w:sz="0" w:space="0" w:color="auto"/>
            <w:left w:val="none" w:sz="0" w:space="0" w:color="auto"/>
            <w:bottom w:val="none" w:sz="0" w:space="0" w:color="auto"/>
            <w:right w:val="none" w:sz="0" w:space="0" w:color="auto"/>
          </w:divBdr>
        </w:div>
        <w:div w:id="2111078374">
          <w:marLeft w:val="0"/>
          <w:marRight w:val="0"/>
          <w:marTop w:val="0"/>
          <w:marBottom w:val="0"/>
          <w:divBdr>
            <w:top w:val="none" w:sz="0" w:space="0" w:color="auto"/>
            <w:left w:val="none" w:sz="0" w:space="0" w:color="auto"/>
            <w:bottom w:val="none" w:sz="0" w:space="0" w:color="auto"/>
            <w:right w:val="none" w:sz="0" w:space="0" w:color="auto"/>
          </w:divBdr>
        </w:div>
        <w:div w:id="2112116596">
          <w:marLeft w:val="0"/>
          <w:marRight w:val="0"/>
          <w:marTop w:val="0"/>
          <w:marBottom w:val="0"/>
          <w:divBdr>
            <w:top w:val="none" w:sz="0" w:space="0" w:color="auto"/>
            <w:left w:val="none" w:sz="0" w:space="0" w:color="auto"/>
            <w:bottom w:val="none" w:sz="0" w:space="0" w:color="auto"/>
            <w:right w:val="none" w:sz="0" w:space="0" w:color="auto"/>
          </w:divBdr>
        </w:div>
        <w:div w:id="2113741545">
          <w:marLeft w:val="0"/>
          <w:marRight w:val="0"/>
          <w:marTop w:val="0"/>
          <w:marBottom w:val="0"/>
          <w:divBdr>
            <w:top w:val="none" w:sz="0" w:space="0" w:color="auto"/>
            <w:left w:val="none" w:sz="0" w:space="0" w:color="auto"/>
            <w:bottom w:val="none" w:sz="0" w:space="0" w:color="auto"/>
            <w:right w:val="none" w:sz="0" w:space="0" w:color="auto"/>
          </w:divBdr>
        </w:div>
      </w:divsChild>
    </w:div>
    <w:div w:id="2077704910">
      <w:bodyDiv w:val="1"/>
      <w:marLeft w:val="0"/>
      <w:marRight w:val="0"/>
      <w:marTop w:val="0"/>
      <w:marBottom w:val="0"/>
      <w:divBdr>
        <w:top w:val="none" w:sz="0" w:space="0" w:color="auto"/>
        <w:left w:val="none" w:sz="0" w:space="0" w:color="auto"/>
        <w:bottom w:val="none" w:sz="0" w:space="0" w:color="auto"/>
        <w:right w:val="none" w:sz="0" w:space="0" w:color="auto"/>
      </w:divBdr>
    </w:div>
    <w:div w:id="2085562905">
      <w:bodyDiv w:val="1"/>
      <w:marLeft w:val="0"/>
      <w:marRight w:val="0"/>
      <w:marTop w:val="0"/>
      <w:marBottom w:val="0"/>
      <w:divBdr>
        <w:top w:val="none" w:sz="0" w:space="0" w:color="auto"/>
        <w:left w:val="none" w:sz="0" w:space="0" w:color="auto"/>
        <w:bottom w:val="none" w:sz="0" w:space="0" w:color="auto"/>
        <w:right w:val="none" w:sz="0" w:space="0" w:color="auto"/>
      </w:divBdr>
    </w:div>
    <w:div w:id="2105301455">
      <w:bodyDiv w:val="1"/>
      <w:marLeft w:val="0"/>
      <w:marRight w:val="0"/>
      <w:marTop w:val="0"/>
      <w:marBottom w:val="0"/>
      <w:divBdr>
        <w:top w:val="none" w:sz="0" w:space="0" w:color="auto"/>
        <w:left w:val="none" w:sz="0" w:space="0" w:color="auto"/>
        <w:bottom w:val="none" w:sz="0" w:space="0" w:color="auto"/>
        <w:right w:val="none" w:sz="0" w:space="0" w:color="auto"/>
      </w:divBdr>
    </w:div>
    <w:div w:id="2114083237">
      <w:bodyDiv w:val="1"/>
      <w:marLeft w:val="0"/>
      <w:marRight w:val="0"/>
      <w:marTop w:val="0"/>
      <w:marBottom w:val="0"/>
      <w:divBdr>
        <w:top w:val="none" w:sz="0" w:space="0" w:color="auto"/>
        <w:left w:val="none" w:sz="0" w:space="0" w:color="auto"/>
        <w:bottom w:val="none" w:sz="0" w:space="0" w:color="auto"/>
        <w:right w:val="none" w:sz="0" w:space="0" w:color="auto"/>
      </w:divBdr>
    </w:div>
    <w:div w:id="2128114764">
      <w:bodyDiv w:val="1"/>
      <w:marLeft w:val="0"/>
      <w:marRight w:val="0"/>
      <w:marTop w:val="0"/>
      <w:marBottom w:val="0"/>
      <w:divBdr>
        <w:top w:val="none" w:sz="0" w:space="0" w:color="auto"/>
        <w:left w:val="none" w:sz="0" w:space="0" w:color="auto"/>
        <w:bottom w:val="none" w:sz="0" w:space="0" w:color="auto"/>
        <w:right w:val="none" w:sz="0" w:space="0" w:color="auto"/>
      </w:divBdr>
    </w:div>
    <w:div w:id="2146239925">
      <w:bodyDiv w:val="1"/>
      <w:marLeft w:val="0"/>
      <w:marRight w:val="0"/>
      <w:marTop w:val="0"/>
      <w:marBottom w:val="0"/>
      <w:divBdr>
        <w:top w:val="none" w:sz="0" w:space="0" w:color="auto"/>
        <w:left w:val="none" w:sz="0" w:space="0" w:color="auto"/>
        <w:bottom w:val="none" w:sz="0" w:space="0" w:color="auto"/>
        <w:right w:val="none" w:sz="0" w:space="0" w:color="auto"/>
      </w:divBdr>
    </w:div>
    <w:div w:id="2146584660">
      <w:bodyDiv w:val="1"/>
      <w:marLeft w:val="0"/>
      <w:marRight w:val="0"/>
      <w:marTop w:val="0"/>
      <w:marBottom w:val="0"/>
      <w:divBdr>
        <w:top w:val="none" w:sz="0" w:space="0" w:color="auto"/>
        <w:left w:val="none" w:sz="0" w:space="0" w:color="auto"/>
        <w:bottom w:val="none" w:sz="0" w:space="0" w:color="auto"/>
        <w:right w:val="none" w:sz="0" w:space="0" w:color="auto"/>
      </w:divBdr>
      <w:divsChild>
        <w:div w:id="972516076">
          <w:marLeft w:val="0"/>
          <w:marRight w:val="0"/>
          <w:marTop w:val="0"/>
          <w:marBottom w:val="0"/>
          <w:divBdr>
            <w:top w:val="none" w:sz="0" w:space="0" w:color="auto"/>
            <w:left w:val="none" w:sz="0" w:space="0" w:color="auto"/>
            <w:bottom w:val="none" w:sz="0" w:space="0" w:color="auto"/>
            <w:right w:val="none" w:sz="0" w:space="0" w:color="auto"/>
          </w:divBdr>
          <w:divsChild>
            <w:div w:id="974719465">
              <w:marLeft w:val="0"/>
              <w:marRight w:val="0"/>
              <w:marTop w:val="0"/>
              <w:marBottom w:val="0"/>
              <w:divBdr>
                <w:top w:val="none" w:sz="0" w:space="0" w:color="auto"/>
                <w:left w:val="none" w:sz="0" w:space="0" w:color="auto"/>
                <w:bottom w:val="none" w:sz="0" w:space="0" w:color="auto"/>
                <w:right w:val="none" w:sz="0" w:space="0" w:color="auto"/>
              </w:divBdr>
              <w:divsChild>
                <w:div w:id="139075361">
                  <w:marLeft w:val="0"/>
                  <w:marRight w:val="0"/>
                  <w:marTop w:val="150"/>
                  <w:marBottom w:val="225"/>
                  <w:divBdr>
                    <w:top w:val="none" w:sz="0" w:space="0" w:color="auto"/>
                    <w:left w:val="none" w:sz="0" w:space="0" w:color="auto"/>
                    <w:bottom w:val="none" w:sz="0" w:space="0" w:color="auto"/>
                    <w:right w:val="none" w:sz="0" w:space="0" w:color="auto"/>
                  </w:divBdr>
                </w:div>
              </w:divsChild>
            </w:div>
            <w:div w:id="1683556586">
              <w:marLeft w:val="0"/>
              <w:marRight w:val="0"/>
              <w:marTop w:val="0"/>
              <w:marBottom w:val="120"/>
              <w:divBdr>
                <w:top w:val="none" w:sz="0" w:space="0" w:color="auto"/>
                <w:left w:val="none" w:sz="0" w:space="0" w:color="auto"/>
                <w:bottom w:val="none" w:sz="0" w:space="0" w:color="auto"/>
                <w:right w:val="none" w:sz="0" w:space="0" w:color="auto"/>
              </w:divBdr>
            </w:div>
            <w:div w:id="2093771889">
              <w:marLeft w:val="0"/>
              <w:marRight w:val="0"/>
              <w:marTop w:val="0"/>
              <w:marBottom w:val="0"/>
              <w:divBdr>
                <w:top w:val="none" w:sz="0" w:space="0" w:color="auto"/>
                <w:left w:val="none" w:sz="0" w:space="0" w:color="auto"/>
                <w:bottom w:val="none" w:sz="0" w:space="0" w:color="auto"/>
                <w:right w:val="none" w:sz="0" w:space="0" w:color="auto"/>
              </w:divBdr>
              <w:divsChild>
                <w:div w:id="799958680">
                  <w:marLeft w:val="0"/>
                  <w:marRight w:val="0"/>
                  <w:marTop w:val="0"/>
                  <w:marBottom w:val="0"/>
                  <w:divBdr>
                    <w:top w:val="none" w:sz="0" w:space="0" w:color="auto"/>
                    <w:left w:val="none" w:sz="0" w:space="0" w:color="auto"/>
                    <w:bottom w:val="none" w:sz="0" w:space="0" w:color="auto"/>
                    <w:right w:val="none" w:sz="0" w:space="0" w:color="auto"/>
                  </w:divBdr>
                  <w:divsChild>
                    <w:div w:id="126166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20467362">
          <w:marLeft w:val="0"/>
          <w:marRight w:val="0"/>
          <w:marTop w:val="0"/>
          <w:marBottom w:val="0"/>
          <w:divBdr>
            <w:top w:val="none" w:sz="0" w:space="0" w:color="auto"/>
            <w:left w:val="none" w:sz="0" w:space="0" w:color="auto"/>
            <w:bottom w:val="none" w:sz="0" w:space="0" w:color="auto"/>
            <w:right w:val="none" w:sz="0" w:space="0" w:color="auto"/>
          </w:divBdr>
          <w:divsChild>
            <w:div w:id="36243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cs.fcc.gov/public/attachments/DA-19-397A1.pdf" TargetMode="External"/><Relationship Id="rId18" Type="http://schemas.openxmlformats.org/officeDocument/2006/relationships/hyperlink" Target="https://docs.fcc.gov/public/attachments/FCC-19-18A1.pdf" TargetMode="External"/><Relationship Id="rId3" Type="http://schemas.openxmlformats.org/officeDocument/2006/relationships/styles" Target="styles.xml"/><Relationship Id="rId21" Type="http://schemas.openxmlformats.org/officeDocument/2006/relationships/hyperlink" Target="http://www.ic.gc.ca/eic/site/smt-gst.nsf/eng/h_sf11331.html" TargetMode="External"/><Relationship Id="rId7" Type="http://schemas.openxmlformats.org/officeDocument/2006/relationships/endnotes" Target="endnotes.xml"/><Relationship Id="rId12" Type="http://schemas.openxmlformats.org/officeDocument/2006/relationships/hyperlink" Target="https://www.fcc.gov/auction/103" TargetMode="External"/><Relationship Id="rId17" Type="http://schemas.openxmlformats.org/officeDocument/2006/relationships/hyperlink" Target="https://www.fcc.gov/document/fcc-proposes-expand-flexible-use-mid-band-spectrum" TargetMode="External"/><Relationship Id="rId2" Type="http://schemas.openxmlformats.org/officeDocument/2006/relationships/numbering" Target="numbering.xml"/><Relationship Id="rId16" Type="http://schemas.openxmlformats.org/officeDocument/2006/relationships/hyperlink" Target="https://www.fcc.gov/document/fcc-acts-increase-investment-and-deployment-35-ghz-band-0" TargetMode="External"/><Relationship Id="rId20" Type="http://schemas.openxmlformats.org/officeDocument/2006/relationships/hyperlink" Target="https://www.fcc.gov/document/oet-seeks-comment-geophysical-survey-systems-inc-uwb-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auction/101" TargetMode="External"/><Relationship Id="rId5" Type="http://schemas.openxmlformats.org/officeDocument/2006/relationships/webSettings" Target="webSettings.xml"/><Relationship Id="rId15" Type="http://schemas.openxmlformats.org/officeDocument/2006/relationships/hyperlink" Target="https://www.fcc.gov/document/fcc-seeks-transform-25-ghz-band-nextgen-5g-connectivity" TargetMode="External"/><Relationship Id="rId23" Type="http://schemas.openxmlformats.org/officeDocument/2006/relationships/theme" Target="theme/theme1.xml"/><Relationship Id="rId10" Type="http://schemas.openxmlformats.org/officeDocument/2006/relationships/hyperlink" Target="https://www.fcc.gov/auction/102" TargetMode="External"/><Relationship Id="rId19" Type="http://schemas.openxmlformats.org/officeDocument/2006/relationships/hyperlink" Target="https://www.fcc.gov/document/fcc-moves-open-airwaves-mobile-services-1675-1680-mhz-band" TargetMode="External"/><Relationship Id="rId4" Type="http://schemas.openxmlformats.org/officeDocument/2006/relationships/settings" Target="settings.xml"/><Relationship Id="rId9" Type="http://schemas.openxmlformats.org/officeDocument/2006/relationships/hyperlink" Target="http://www.oneweb.world/" TargetMode="External"/><Relationship Id="rId14" Type="http://schemas.openxmlformats.org/officeDocument/2006/relationships/hyperlink" Target="https://ecfsapi.fcc.gov/file/1024814219781/FCC-18-147A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C040-044F-42D0-8457-314532C4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ECC Secretary</cp:lastModifiedBy>
  <cp:revision>10</cp:revision>
  <dcterms:created xsi:type="dcterms:W3CDTF">2019-06-27T05:08:00Z</dcterms:created>
  <dcterms:modified xsi:type="dcterms:W3CDTF">2019-06-27T13:38:00Z</dcterms:modified>
</cp:coreProperties>
</file>