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AE" w:rsidRPr="002305AE" w:rsidRDefault="00291F6E" w:rsidP="002305AE">
      <w:pPr>
        <w:jc w:val="center"/>
        <w:rPr>
          <w:b/>
        </w:rPr>
      </w:pPr>
      <w:r>
        <w:rPr>
          <w:b/>
        </w:rPr>
        <w:t>ECC o</w:t>
      </w:r>
      <w:r w:rsidR="002305AE" w:rsidRPr="002305AE">
        <w:rPr>
          <w:b/>
        </w:rPr>
        <w:t>ptions that may assist in the alleviation of interference to meteorological radar from WAS/RLAN at 5.6-5.65 GHz</w:t>
      </w:r>
    </w:p>
    <w:p w:rsidR="00B03E5C" w:rsidRDefault="00B03E5C">
      <w:bookmarkStart w:id="0" w:name="_GoBack"/>
      <w:bookmarkEnd w:id="0"/>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26"/>
        <w:gridCol w:w="3574"/>
        <w:gridCol w:w="3798"/>
        <w:gridCol w:w="3260"/>
      </w:tblGrid>
      <w:tr w:rsidR="008544CD" w:rsidRPr="00FE1795" w:rsidTr="00FE5912">
        <w:trPr>
          <w:trHeight w:val="59"/>
          <w:tblHeader/>
        </w:trPr>
        <w:tc>
          <w:tcPr>
            <w:tcW w:w="3226" w:type="dxa"/>
            <w:tcBorders>
              <w:top w:val="single" w:sz="4" w:space="0" w:color="D2232A"/>
              <w:left w:val="single" w:sz="4" w:space="0" w:color="D2232A"/>
              <w:bottom w:val="single" w:sz="4" w:space="0" w:color="D2232A"/>
              <w:right w:val="nil"/>
            </w:tcBorders>
            <w:shd w:val="clear" w:color="auto" w:fill="D2232A"/>
            <w:vAlign w:val="center"/>
          </w:tcPr>
          <w:p w:rsidR="008544CD" w:rsidRPr="004222C8" w:rsidRDefault="008544CD" w:rsidP="000E77D0">
            <w:pPr>
              <w:pStyle w:val="ECCTableHeaderwhitefont"/>
              <w:rPr>
                <w:rStyle w:val="ECCHLbold"/>
                <w:rFonts w:cs="Arial"/>
                <w:b w:val="0"/>
              </w:rPr>
            </w:pPr>
            <w:r w:rsidRPr="004222C8">
              <w:rPr>
                <w:rFonts w:cs="Arial"/>
                <w:b/>
              </w:rPr>
              <w:t>Option</w:t>
            </w:r>
          </w:p>
        </w:tc>
        <w:tc>
          <w:tcPr>
            <w:tcW w:w="3574" w:type="dxa"/>
            <w:tcBorders>
              <w:top w:val="single" w:sz="4" w:space="0" w:color="D2232A"/>
              <w:left w:val="nil"/>
              <w:bottom w:val="single" w:sz="4" w:space="0" w:color="D2232A"/>
              <w:right w:val="nil"/>
            </w:tcBorders>
            <w:shd w:val="clear" w:color="auto" w:fill="D2232A"/>
            <w:vAlign w:val="center"/>
          </w:tcPr>
          <w:p w:rsidR="008544CD" w:rsidRPr="004222C8" w:rsidRDefault="008544CD" w:rsidP="000E77D0">
            <w:pPr>
              <w:pStyle w:val="ECCTableHeaderwhitefont"/>
              <w:rPr>
                <w:rStyle w:val="ECCHLbold"/>
                <w:rFonts w:cs="Arial"/>
                <w:b w:val="0"/>
              </w:rPr>
            </w:pPr>
            <w:r w:rsidRPr="004222C8">
              <w:rPr>
                <w:rFonts w:cs="Arial"/>
                <w:b/>
              </w:rPr>
              <w:t>Advantage</w:t>
            </w:r>
          </w:p>
        </w:tc>
        <w:tc>
          <w:tcPr>
            <w:tcW w:w="3798" w:type="dxa"/>
            <w:tcBorders>
              <w:top w:val="single" w:sz="4" w:space="0" w:color="D2232A"/>
              <w:left w:val="nil"/>
              <w:bottom w:val="single" w:sz="4" w:space="0" w:color="D2232A"/>
              <w:right w:val="single" w:sz="4" w:space="0" w:color="D2232A"/>
            </w:tcBorders>
            <w:shd w:val="clear" w:color="auto" w:fill="D2232A"/>
            <w:vAlign w:val="center"/>
          </w:tcPr>
          <w:p w:rsidR="008544CD" w:rsidRPr="004222C8" w:rsidRDefault="008544CD" w:rsidP="000E77D0">
            <w:pPr>
              <w:pStyle w:val="ECCTableHeaderwhitefont"/>
              <w:rPr>
                <w:rStyle w:val="ECCHLbold"/>
                <w:rFonts w:cs="Arial"/>
                <w:b w:val="0"/>
              </w:rPr>
            </w:pPr>
            <w:r w:rsidRPr="004222C8">
              <w:rPr>
                <w:rFonts w:cs="Arial"/>
                <w:b/>
              </w:rPr>
              <w:t>Disadvantage</w:t>
            </w:r>
          </w:p>
        </w:tc>
        <w:tc>
          <w:tcPr>
            <w:tcW w:w="3260" w:type="dxa"/>
            <w:tcBorders>
              <w:top w:val="single" w:sz="4" w:space="0" w:color="D2232A"/>
              <w:left w:val="nil"/>
              <w:bottom w:val="single" w:sz="4" w:space="0" w:color="D2232A"/>
              <w:right w:val="single" w:sz="4" w:space="0" w:color="D2232A"/>
            </w:tcBorders>
            <w:shd w:val="clear" w:color="auto" w:fill="D2232A"/>
            <w:vAlign w:val="center"/>
          </w:tcPr>
          <w:p w:rsidR="008544CD" w:rsidRPr="004222C8" w:rsidDel="007D6FC4" w:rsidRDefault="008544CD" w:rsidP="000E77D0">
            <w:pPr>
              <w:pStyle w:val="ECCTableHeaderwhitefont"/>
              <w:rPr>
                <w:rFonts w:cs="Arial"/>
                <w:b/>
              </w:rPr>
            </w:pPr>
            <w:bookmarkStart w:id="1" w:name="_Hlk53636171"/>
            <w:r w:rsidRPr="004222C8">
              <w:rPr>
                <w:rFonts w:cs="Arial"/>
                <w:b/>
              </w:rPr>
              <w:t>Effectiveness of interference reduction</w:t>
            </w:r>
            <w:bookmarkEnd w:id="1"/>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8544CD" w:rsidRPr="00B21D70" w:rsidRDefault="008544CD" w:rsidP="00841856">
            <w:pPr>
              <w:spacing w:before="60"/>
              <w:jc w:val="left"/>
              <w:rPr>
                <w:rFonts w:cs="Arial"/>
                <w:szCs w:val="20"/>
              </w:rPr>
            </w:pPr>
            <w:r w:rsidRPr="00B21D70">
              <w:rPr>
                <w:rFonts w:cs="Arial"/>
                <w:szCs w:val="20"/>
              </w:rPr>
              <w:t>Status Quo</w:t>
            </w:r>
          </w:p>
        </w:tc>
        <w:tc>
          <w:tcPr>
            <w:tcW w:w="3574" w:type="dxa"/>
            <w:tcBorders>
              <w:top w:val="single" w:sz="4" w:space="0" w:color="D2232A"/>
              <w:left w:val="single" w:sz="4" w:space="0" w:color="D2232A"/>
              <w:bottom w:val="single" w:sz="4" w:space="0" w:color="D2232A"/>
              <w:right w:val="single" w:sz="4" w:space="0" w:color="D2232A"/>
            </w:tcBorders>
          </w:tcPr>
          <w:p w:rsidR="008544CD" w:rsidRPr="00B21D70" w:rsidRDefault="008544CD" w:rsidP="00B21D70">
            <w:pPr>
              <w:pStyle w:val="ECCTabletext"/>
              <w:rPr>
                <w:rFonts w:cs="Arial"/>
                <w:szCs w:val="20"/>
              </w:rPr>
            </w:pPr>
            <w:r w:rsidRPr="00B21D70">
              <w:rPr>
                <w:rFonts w:cs="Arial"/>
                <w:szCs w:val="20"/>
              </w:rPr>
              <w:t xml:space="preserve">Actions under the current frameworks including enforcement actions (on users, vendors, </w:t>
            </w:r>
            <w:r w:rsidRPr="00B21D70">
              <w:rPr>
                <w:rFonts w:cs="Arial"/>
                <w:color w:val="000000"/>
                <w:szCs w:val="20"/>
              </w:rPr>
              <w:t>manufacturers</w:t>
            </w:r>
            <w:r w:rsidRPr="00B21D70">
              <w:rPr>
                <w:rFonts w:cs="Arial"/>
                <w:szCs w:val="20"/>
              </w:rPr>
              <w:t xml:space="preserve"> and resellers) would continue. Business as usual.</w:t>
            </w:r>
          </w:p>
        </w:tc>
        <w:tc>
          <w:tcPr>
            <w:tcW w:w="3798"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pStyle w:val="ECCTabletext"/>
              <w:rPr>
                <w:rFonts w:cs="Arial"/>
                <w:szCs w:val="20"/>
              </w:rPr>
            </w:pPr>
            <w:r w:rsidRPr="00B21D70">
              <w:rPr>
                <w:rFonts w:cs="Arial"/>
                <w:szCs w:val="20"/>
              </w:rPr>
              <w:t xml:space="preserve">No improvement of the situation for meteorological radars, if current </w:t>
            </w:r>
            <w:r>
              <w:rPr>
                <w:rFonts w:cs="Arial"/>
                <w:szCs w:val="20"/>
              </w:rPr>
              <w:t xml:space="preserve">levels of </w:t>
            </w:r>
            <w:r w:rsidRPr="00B21D70">
              <w:rPr>
                <w:rFonts w:cs="Arial"/>
                <w:szCs w:val="20"/>
              </w:rPr>
              <w:t>enforcement</w:t>
            </w:r>
            <w:r>
              <w:rPr>
                <w:rFonts w:cs="Arial"/>
                <w:szCs w:val="20"/>
              </w:rPr>
              <w:t xml:space="preserve"> (both vendors and users),</w:t>
            </w:r>
            <w:r w:rsidRPr="00B21D70">
              <w:rPr>
                <w:rFonts w:cs="Arial"/>
                <w:szCs w:val="20"/>
              </w:rPr>
              <w:t xml:space="preserve"> across CEPT</w:t>
            </w:r>
            <w:r>
              <w:rPr>
                <w:rFonts w:cs="Arial"/>
                <w:szCs w:val="20"/>
              </w:rPr>
              <w:t>,</w:t>
            </w:r>
            <w:r w:rsidRPr="00B21D70">
              <w:rPr>
                <w:rFonts w:cs="Arial"/>
                <w:szCs w:val="20"/>
              </w:rPr>
              <w:t xml:space="preserve"> continue.</w:t>
            </w: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152204" w:rsidRDefault="008544CD" w:rsidP="000E77D0">
            <w:pPr>
              <w:pStyle w:val="ECCTabletext"/>
              <w:jc w:val="center"/>
              <w:rPr>
                <w:rFonts w:cs="Arial"/>
                <w:b/>
                <w:bCs/>
                <w:szCs w:val="20"/>
              </w:rPr>
            </w:pPr>
            <w:r w:rsidRPr="00152204">
              <w:rPr>
                <w:rFonts w:cs="Arial"/>
                <w:b/>
                <w:bCs/>
                <w:szCs w:val="20"/>
              </w:rPr>
              <w:t>NONE</w:t>
            </w:r>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pStyle w:val="ECCTabletext"/>
              <w:jc w:val="left"/>
              <w:rPr>
                <w:rFonts w:cs="Arial"/>
                <w:szCs w:val="20"/>
              </w:rPr>
            </w:pPr>
            <w:r w:rsidRPr="00B21D70">
              <w:rPr>
                <w:rFonts w:cs="Arial"/>
                <w:szCs w:val="20"/>
              </w:rPr>
              <w:t>Turn ECC Report 192, into a Recommendation</w:t>
            </w:r>
            <w:r>
              <w:rPr>
                <w:rFonts w:cs="Arial"/>
                <w:szCs w:val="20"/>
              </w:rPr>
              <w:t>:</w:t>
            </w:r>
          </w:p>
          <w:p w:rsidR="008544CD" w:rsidRPr="00B21D70" w:rsidRDefault="008544CD" w:rsidP="000E77D0">
            <w:pPr>
              <w:spacing w:before="120" w:after="120"/>
              <w:jc w:val="left"/>
              <w:rPr>
                <w:rFonts w:cs="Arial"/>
                <w:szCs w:val="20"/>
              </w:rPr>
            </w:pPr>
            <w:r w:rsidRPr="00B21D70">
              <w:rPr>
                <w:rFonts w:cs="Arial"/>
                <w:szCs w:val="20"/>
              </w:rPr>
              <w:t>- Guidance to manufacturers and notified bodies</w:t>
            </w:r>
            <w:r w:rsidRPr="00B21D70">
              <w:rPr>
                <w:rStyle w:val="Appelnotedebasdep"/>
                <w:rFonts w:cs="Arial"/>
                <w:szCs w:val="20"/>
              </w:rPr>
              <w:footnoteReference w:id="2"/>
            </w:r>
          </w:p>
          <w:p w:rsidR="008544CD" w:rsidRPr="00B21D70" w:rsidRDefault="008544CD" w:rsidP="000E77D0">
            <w:pPr>
              <w:spacing w:before="120" w:after="120"/>
              <w:jc w:val="left"/>
              <w:rPr>
                <w:rFonts w:cs="Arial"/>
                <w:szCs w:val="20"/>
              </w:rPr>
            </w:pPr>
            <w:r w:rsidRPr="00B21D70">
              <w:rPr>
                <w:rFonts w:cs="Arial"/>
                <w:szCs w:val="20"/>
              </w:rPr>
              <w:t>- Guidance to enforcement authorities</w:t>
            </w:r>
            <w:r w:rsidRPr="00B21D70">
              <w:rPr>
                <w:rFonts w:cs="Arial"/>
                <w:szCs w:val="20"/>
                <w:vertAlign w:val="superscript"/>
              </w:rPr>
              <w:t>1</w:t>
            </w:r>
          </w:p>
        </w:tc>
        <w:tc>
          <w:tcPr>
            <w:tcW w:w="3574" w:type="dxa"/>
            <w:tcBorders>
              <w:top w:val="single" w:sz="4" w:space="0" w:color="D2232A"/>
              <w:left w:val="single" w:sz="4" w:space="0" w:color="D2232A"/>
              <w:bottom w:val="single" w:sz="4" w:space="0" w:color="D2232A"/>
              <w:right w:val="single" w:sz="4" w:space="0" w:color="D2232A"/>
            </w:tcBorders>
          </w:tcPr>
          <w:p w:rsidR="008544CD" w:rsidRPr="00B21D70" w:rsidRDefault="008544CD" w:rsidP="001A03C0">
            <w:pPr>
              <w:pStyle w:val="ECCTabletext"/>
              <w:rPr>
                <w:rFonts w:cs="Arial"/>
                <w:szCs w:val="20"/>
              </w:rPr>
            </w:pPr>
            <w:r w:rsidRPr="00B21D70">
              <w:rPr>
                <w:rFonts w:cs="Arial"/>
                <w:szCs w:val="20"/>
              </w:rPr>
              <w:t>Amplifies the need to exercise rigorous and consistent enforcement</w:t>
            </w:r>
            <w:r>
              <w:rPr>
                <w:rFonts w:cs="Arial"/>
                <w:szCs w:val="20"/>
              </w:rPr>
              <w:t xml:space="preserve"> </w:t>
            </w:r>
            <w:r w:rsidRPr="009B0EA2">
              <w:rPr>
                <w:rFonts w:cs="Arial"/>
                <w:szCs w:val="20"/>
              </w:rPr>
              <w:t>in order to increase pressure on rogue vendors</w:t>
            </w:r>
            <w:r>
              <w:rPr>
                <w:rFonts w:cs="Arial"/>
                <w:szCs w:val="20"/>
              </w:rPr>
              <w:t>.</w:t>
            </w:r>
          </w:p>
        </w:tc>
        <w:tc>
          <w:tcPr>
            <w:tcW w:w="3798" w:type="dxa"/>
            <w:tcBorders>
              <w:top w:val="single" w:sz="4" w:space="0" w:color="D2232A"/>
              <w:left w:val="single" w:sz="4" w:space="0" w:color="D2232A"/>
              <w:bottom w:val="single" w:sz="4" w:space="0" w:color="D2232A"/>
              <w:right w:val="single" w:sz="4" w:space="0" w:color="D2232A"/>
            </w:tcBorders>
          </w:tcPr>
          <w:p w:rsidR="008544CD" w:rsidRPr="00B21D70" w:rsidDel="007D6FC4" w:rsidRDefault="008544CD" w:rsidP="001A03C0">
            <w:pPr>
              <w:pStyle w:val="ECCTabletext"/>
              <w:rPr>
                <w:rFonts w:cs="Arial"/>
                <w:szCs w:val="20"/>
              </w:rPr>
            </w:pPr>
            <w:r w:rsidRPr="00B21D70">
              <w:rPr>
                <w:rFonts w:cs="Arial"/>
                <w:szCs w:val="20"/>
              </w:rPr>
              <w:t xml:space="preserve">Market surveillance and monitoring activities on 5 GHz WAS/RLAN have significantly increased since the first publication of ECC Report 192 (2014). </w:t>
            </w:r>
            <w:r w:rsidR="00B82CD2" w:rsidRPr="00B21D70">
              <w:rPr>
                <w:rFonts w:cs="Arial"/>
                <w:szCs w:val="20"/>
              </w:rPr>
              <w:t>However,</w:t>
            </w:r>
            <w:r w:rsidRPr="00B21D70">
              <w:rPr>
                <w:rFonts w:cs="Arial"/>
                <w:szCs w:val="20"/>
              </w:rPr>
              <w:t xml:space="preserve"> this hasn’t stopped the continuous increase, taking CEPT as a whole, in the number of reported interference cases.</w:t>
            </w: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152204" w:rsidRDefault="008544CD" w:rsidP="000E77D0">
            <w:pPr>
              <w:pStyle w:val="ECCTabletext"/>
              <w:jc w:val="center"/>
              <w:rPr>
                <w:rFonts w:cs="Arial"/>
                <w:szCs w:val="20"/>
              </w:rPr>
            </w:pPr>
            <w:r w:rsidRPr="00152204">
              <w:rPr>
                <w:rFonts w:cs="Arial"/>
                <w:b/>
                <w:bCs/>
                <w:szCs w:val="20"/>
              </w:rPr>
              <w:t xml:space="preserve">NONE </w:t>
            </w:r>
            <w:r w:rsidRPr="00152204">
              <w:rPr>
                <w:rFonts w:cs="Arial"/>
                <w:szCs w:val="20"/>
              </w:rPr>
              <w:t>(if this action is not associated with improvement of the enforcement actions)</w:t>
            </w:r>
          </w:p>
          <w:p w:rsidR="008544CD" w:rsidRPr="00152204" w:rsidRDefault="008544CD" w:rsidP="000E77D0">
            <w:pPr>
              <w:pStyle w:val="ECCTabletext"/>
              <w:jc w:val="center"/>
              <w:rPr>
                <w:rFonts w:cs="Arial"/>
                <w:szCs w:val="20"/>
              </w:rPr>
            </w:pPr>
          </w:p>
          <w:p w:rsidR="008544CD" w:rsidRPr="00152204" w:rsidDel="007D6FC4" w:rsidRDefault="008544CD" w:rsidP="000E77D0">
            <w:pPr>
              <w:pStyle w:val="ECCTabletext"/>
              <w:jc w:val="center"/>
              <w:rPr>
                <w:rFonts w:cs="Arial"/>
                <w:szCs w:val="20"/>
              </w:rPr>
            </w:pPr>
            <w:r w:rsidRPr="00152204">
              <w:rPr>
                <w:rFonts w:cs="Arial"/>
                <w:szCs w:val="20"/>
              </w:rPr>
              <w:t xml:space="preserve">to </w:t>
            </w:r>
            <w:r w:rsidRPr="00152204">
              <w:rPr>
                <w:rFonts w:cs="Arial"/>
                <w:b/>
                <w:bCs/>
                <w:szCs w:val="20"/>
              </w:rPr>
              <w:t>MEDIUM</w:t>
            </w:r>
            <w:r w:rsidRPr="00152204">
              <w:rPr>
                <w:rFonts w:cs="Arial"/>
                <w:szCs w:val="20"/>
              </w:rPr>
              <w:t xml:space="preserve"> (if the guidance in ECC Report 192 are applied (see ECC action plan Item 1))</w:t>
            </w:r>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8544CD" w:rsidRPr="00B21D70" w:rsidRDefault="008544CD" w:rsidP="001A03C0">
            <w:pPr>
              <w:pStyle w:val="ECCTabletext"/>
              <w:jc w:val="left"/>
              <w:rPr>
                <w:rFonts w:cs="Arial"/>
                <w:szCs w:val="20"/>
              </w:rPr>
            </w:pPr>
            <w:r w:rsidRPr="00B21D70">
              <w:rPr>
                <w:rFonts w:cs="Arial"/>
                <w:szCs w:val="20"/>
              </w:rPr>
              <w:lastRenderedPageBreak/>
              <w:t>Revise ECC/DEC</w:t>
            </w:r>
            <w:r w:rsidR="00E633C2">
              <w:rPr>
                <w:rFonts w:cs="Arial"/>
                <w:szCs w:val="20"/>
              </w:rPr>
              <w:t>/</w:t>
            </w:r>
            <w:r w:rsidRPr="00B21D70">
              <w:rPr>
                <w:rFonts w:cs="Arial"/>
                <w:szCs w:val="20"/>
              </w:rPr>
              <w:t xml:space="preserve">(04)08 include the use of a database for </w:t>
            </w:r>
            <w:r w:rsidRPr="00B21D70">
              <w:rPr>
                <w:rFonts w:cs="Arial"/>
                <w:b/>
                <w:szCs w:val="20"/>
                <w:u w:val="single"/>
              </w:rPr>
              <w:t>fixed outdoor</w:t>
            </w:r>
            <w:r w:rsidRPr="00B21D70">
              <w:rPr>
                <w:rFonts w:cs="Arial"/>
                <w:szCs w:val="20"/>
              </w:rPr>
              <w:t xml:space="preserve"> </w:t>
            </w:r>
            <w:proofErr w:type="spellStart"/>
            <w:r>
              <w:rPr>
                <w:rFonts w:cs="Arial"/>
                <w:szCs w:val="20"/>
              </w:rPr>
              <w:t>PtP</w:t>
            </w:r>
            <w:proofErr w:type="spellEnd"/>
            <w:r>
              <w:rPr>
                <w:rStyle w:val="Appelnotedebasdep"/>
                <w:rFonts w:cs="Arial"/>
                <w:szCs w:val="20"/>
              </w:rPr>
              <w:footnoteReference w:id="3"/>
            </w:r>
            <w:r w:rsidRPr="00B21D70">
              <w:rPr>
                <w:rFonts w:cs="Arial"/>
                <w:szCs w:val="20"/>
              </w:rPr>
              <w:t xml:space="preserve"> and </w:t>
            </w:r>
            <w:proofErr w:type="spellStart"/>
            <w:r>
              <w:rPr>
                <w:rFonts w:cs="Arial"/>
                <w:szCs w:val="20"/>
              </w:rPr>
              <w:t>PmP</w:t>
            </w:r>
            <w:proofErr w:type="spellEnd"/>
            <w:r>
              <w:rPr>
                <w:rStyle w:val="Appelnotedebasdep"/>
                <w:rFonts w:cs="Arial"/>
                <w:szCs w:val="20"/>
              </w:rPr>
              <w:footnoteReference w:id="4"/>
            </w:r>
            <w:r w:rsidRPr="00B21D70">
              <w:rPr>
                <w:rFonts w:cs="Arial"/>
                <w:szCs w:val="20"/>
              </w:rPr>
              <w:t xml:space="preserve"> equipment through mandatory registration, at national level, of e.g. SSID, MAC, address and location (as proposed by FM22)</w:t>
            </w:r>
          </w:p>
        </w:tc>
        <w:tc>
          <w:tcPr>
            <w:tcW w:w="3574"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pStyle w:val="ECCTabletext"/>
              <w:rPr>
                <w:rFonts w:cs="Arial"/>
                <w:szCs w:val="20"/>
              </w:rPr>
            </w:pPr>
            <w:r w:rsidRPr="00B21D70">
              <w:rPr>
                <w:rFonts w:cs="Arial"/>
                <w:szCs w:val="20"/>
              </w:rPr>
              <w:t xml:space="preserve">Provides mechanisms to spectrum monitoring and enforcement experts to handle interferences </w:t>
            </w:r>
            <w:r>
              <w:rPr>
                <w:rFonts w:cs="Arial"/>
                <w:szCs w:val="20"/>
              </w:rPr>
              <w:t xml:space="preserve">to meteorological radars </w:t>
            </w:r>
            <w:r w:rsidRPr="00B21D70">
              <w:rPr>
                <w:rFonts w:cs="Arial"/>
                <w:szCs w:val="20"/>
              </w:rPr>
              <w:t>caused by WAS/RLAN fixed outdoor installations.</w:t>
            </w:r>
          </w:p>
          <w:p w:rsidR="008544CD" w:rsidRPr="00B21D70" w:rsidRDefault="008544CD" w:rsidP="000E77D0">
            <w:pPr>
              <w:pStyle w:val="ECCTabletext"/>
              <w:rPr>
                <w:rFonts w:cs="Arial"/>
                <w:szCs w:val="20"/>
              </w:rPr>
            </w:pPr>
            <w:r w:rsidRPr="00B21D70">
              <w:rPr>
                <w:rFonts w:cs="Arial"/>
                <w:szCs w:val="20"/>
              </w:rPr>
              <w:t xml:space="preserve">A new </w:t>
            </w:r>
            <w:r>
              <w:rPr>
                <w:rFonts w:cs="Arial"/>
                <w:szCs w:val="20"/>
              </w:rPr>
              <w:t>i</w:t>
            </w:r>
            <w:r w:rsidRPr="00B21D70">
              <w:rPr>
                <w:rFonts w:cs="Arial"/>
                <w:szCs w:val="20"/>
              </w:rPr>
              <w:t>ncentive of using compliant equipment.</w:t>
            </w:r>
          </w:p>
          <w:p w:rsidR="008544CD" w:rsidRPr="00B21D70" w:rsidRDefault="008544CD" w:rsidP="000E77D0">
            <w:pPr>
              <w:pStyle w:val="ECCTabletext"/>
              <w:rPr>
                <w:rFonts w:cs="Arial"/>
                <w:szCs w:val="20"/>
              </w:rPr>
            </w:pPr>
            <w:r w:rsidRPr="00B21D70">
              <w:rPr>
                <w:rFonts w:cs="Arial"/>
                <w:szCs w:val="20"/>
              </w:rPr>
              <w:t>Improve locating and identifying the interfering source.</w:t>
            </w:r>
          </w:p>
          <w:p w:rsidR="008544CD" w:rsidRPr="00B21D70" w:rsidRDefault="008544CD" w:rsidP="000E77D0">
            <w:pPr>
              <w:pStyle w:val="ECCTabletext"/>
              <w:rPr>
                <w:rFonts w:cs="Arial"/>
                <w:szCs w:val="20"/>
              </w:rPr>
            </w:pPr>
            <w:r w:rsidRPr="00B21D70">
              <w:rPr>
                <w:rFonts w:cs="Arial"/>
                <w:szCs w:val="20"/>
              </w:rPr>
              <w:t>May provide a reduction in resources needed for investigation and enforcement.</w:t>
            </w:r>
          </w:p>
        </w:tc>
        <w:tc>
          <w:tcPr>
            <w:tcW w:w="3798"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pStyle w:val="ECCTabletext"/>
              <w:rPr>
                <w:rFonts w:cs="Arial"/>
                <w:szCs w:val="20"/>
              </w:rPr>
            </w:pPr>
            <w:r w:rsidRPr="00B21D70">
              <w:rPr>
                <w:rFonts w:cs="Arial"/>
                <w:szCs w:val="20"/>
              </w:rPr>
              <w:t>Users might not register equipment into the database, either intentionally or unintentionally. In case of simple database without some automatic management, it may contain users who do not have operational equipment.</w:t>
            </w:r>
          </w:p>
          <w:p w:rsidR="008544CD" w:rsidRPr="00B21D70" w:rsidRDefault="008544CD" w:rsidP="000E77D0">
            <w:pPr>
              <w:pStyle w:val="ECCTabletext"/>
              <w:rPr>
                <w:rFonts w:cs="Arial"/>
                <w:szCs w:val="20"/>
              </w:rPr>
            </w:pPr>
            <w:r w:rsidRPr="00B21D70">
              <w:rPr>
                <w:rFonts w:cs="Arial"/>
                <w:szCs w:val="20"/>
              </w:rPr>
              <w:t>Requires additional administrative resources, where no database exists.</w:t>
            </w: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152204" w:rsidRDefault="008544CD" w:rsidP="000E77D0">
            <w:pPr>
              <w:pStyle w:val="ECCTabletext"/>
              <w:jc w:val="center"/>
              <w:rPr>
                <w:rFonts w:cs="Arial"/>
                <w:szCs w:val="20"/>
              </w:rPr>
            </w:pPr>
            <w:r w:rsidRPr="00152204">
              <w:rPr>
                <w:rFonts w:cs="Arial"/>
                <w:b/>
                <w:bCs/>
                <w:szCs w:val="20"/>
              </w:rPr>
              <w:t xml:space="preserve">NONE </w:t>
            </w:r>
            <w:r w:rsidRPr="00152204">
              <w:rPr>
                <w:rFonts w:cs="Arial"/>
                <w:szCs w:val="20"/>
              </w:rPr>
              <w:t>(if this action is not associated with improvement of the enforcement actions)</w:t>
            </w:r>
          </w:p>
          <w:p w:rsidR="008544CD" w:rsidRPr="00152204" w:rsidRDefault="008544CD" w:rsidP="000E77D0">
            <w:pPr>
              <w:pStyle w:val="ECCTabletext"/>
              <w:jc w:val="center"/>
              <w:rPr>
                <w:rFonts w:cs="Arial"/>
                <w:szCs w:val="20"/>
              </w:rPr>
            </w:pPr>
          </w:p>
          <w:p w:rsidR="008544CD" w:rsidRPr="00152204" w:rsidDel="007D6FC4" w:rsidRDefault="008544CD" w:rsidP="000E77D0">
            <w:pPr>
              <w:pStyle w:val="ECCTabletext"/>
              <w:jc w:val="center"/>
              <w:rPr>
                <w:rFonts w:cs="Arial"/>
                <w:szCs w:val="20"/>
              </w:rPr>
            </w:pPr>
            <w:r w:rsidRPr="00152204">
              <w:rPr>
                <w:rFonts w:cs="Arial"/>
                <w:szCs w:val="20"/>
              </w:rPr>
              <w:t xml:space="preserve">… to </w:t>
            </w:r>
            <w:r w:rsidRPr="00152204">
              <w:rPr>
                <w:rFonts w:cs="Arial"/>
                <w:b/>
                <w:bCs/>
                <w:szCs w:val="20"/>
              </w:rPr>
              <w:t>MEDIUM/HIGH</w:t>
            </w:r>
            <w:r w:rsidRPr="00152204">
              <w:rPr>
                <w:rFonts w:cs="Arial"/>
                <w:szCs w:val="20"/>
              </w:rPr>
              <w:t xml:space="preserve"> (improving interferer location together </w:t>
            </w:r>
            <w:r w:rsidR="006418DF" w:rsidRPr="00152204">
              <w:rPr>
                <w:rFonts w:cs="Arial"/>
                <w:szCs w:val="20"/>
              </w:rPr>
              <w:t>with improved</w:t>
            </w:r>
            <w:r w:rsidRPr="00152204">
              <w:rPr>
                <w:rFonts w:cs="Arial"/>
                <w:szCs w:val="20"/>
              </w:rPr>
              <w:t xml:space="preserve"> enforcement actions will put pressure on all manufacturers)</w:t>
            </w:r>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E73B43" w:rsidRPr="00EC5CA5" w:rsidRDefault="008544CD" w:rsidP="00E73B43">
            <w:pPr>
              <w:pStyle w:val="ECCTabletext"/>
              <w:jc w:val="left"/>
              <w:rPr>
                <w:rFonts w:cs="Arial"/>
                <w:szCs w:val="20"/>
              </w:rPr>
            </w:pPr>
            <w:r w:rsidRPr="00EC5CA5">
              <w:rPr>
                <w:rFonts w:cs="Arial"/>
                <w:szCs w:val="20"/>
              </w:rPr>
              <w:t>Highlight the band 5350-5470 MHz as an extension / additional opportunity to 5.6 GHz via guidance in an ECC output (which may include sharing issues with EESS, radars and other incumbents).</w:t>
            </w:r>
          </w:p>
        </w:tc>
        <w:tc>
          <w:tcPr>
            <w:tcW w:w="3574" w:type="dxa"/>
            <w:tcBorders>
              <w:top w:val="single" w:sz="4" w:space="0" w:color="D2232A"/>
              <w:left w:val="single" w:sz="4" w:space="0" w:color="D2232A"/>
              <w:bottom w:val="single" w:sz="4" w:space="0" w:color="D2232A"/>
              <w:right w:val="single" w:sz="4" w:space="0" w:color="D2232A"/>
            </w:tcBorders>
          </w:tcPr>
          <w:p w:rsidR="008544CD" w:rsidRPr="00EC5CA5" w:rsidRDefault="008544CD" w:rsidP="000E77D0">
            <w:pPr>
              <w:pStyle w:val="ECCTabletext"/>
              <w:rPr>
                <w:rFonts w:cs="Arial"/>
                <w:szCs w:val="20"/>
              </w:rPr>
            </w:pPr>
            <w:r w:rsidRPr="00EC5CA5">
              <w:rPr>
                <w:rFonts w:cs="Arial"/>
                <w:szCs w:val="20"/>
              </w:rPr>
              <w:t>Provides national administrations with information on the conditions for possible radar band migration on a case by case basis.</w:t>
            </w:r>
          </w:p>
          <w:p w:rsidR="008544CD" w:rsidRPr="00EC5CA5" w:rsidRDefault="008544CD" w:rsidP="000E77D0">
            <w:pPr>
              <w:pStyle w:val="ECCTabletext"/>
              <w:rPr>
                <w:rFonts w:cs="Arial"/>
                <w:szCs w:val="20"/>
              </w:rPr>
            </w:pPr>
            <w:r w:rsidRPr="00EC5CA5">
              <w:rPr>
                <w:rFonts w:cs="Arial"/>
                <w:szCs w:val="20"/>
              </w:rPr>
              <w:t>May be an effective action for some radars (e.g. in urban areas) that are particularly exposed to potential interference by RLANs.</w:t>
            </w:r>
          </w:p>
          <w:p w:rsidR="008544CD" w:rsidRPr="00EC5CA5" w:rsidRDefault="008544CD" w:rsidP="000E77D0">
            <w:pPr>
              <w:pStyle w:val="ECCTabletext"/>
              <w:rPr>
                <w:rFonts w:cs="Arial"/>
                <w:szCs w:val="20"/>
              </w:rPr>
            </w:pPr>
            <w:r w:rsidRPr="00EC5CA5">
              <w:rPr>
                <w:rFonts w:cs="Arial"/>
                <w:szCs w:val="20"/>
              </w:rPr>
              <w:t>Should avoid any RLAN interference to meteorological radars and hence provide a long-term solution</w:t>
            </w:r>
            <w:r w:rsidR="002F281C" w:rsidRPr="00EC5CA5">
              <w:rPr>
                <w:rFonts w:cs="Arial"/>
                <w:szCs w:val="20"/>
              </w:rPr>
              <w:t>.</w:t>
            </w:r>
          </w:p>
        </w:tc>
        <w:tc>
          <w:tcPr>
            <w:tcW w:w="3798" w:type="dxa"/>
            <w:tcBorders>
              <w:top w:val="single" w:sz="4" w:space="0" w:color="D2232A"/>
              <w:left w:val="single" w:sz="4" w:space="0" w:color="D2232A"/>
              <w:bottom w:val="single" w:sz="4" w:space="0" w:color="D2232A"/>
              <w:right w:val="single" w:sz="4" w:space="0" w:color="D2232A"/>
            </w:tcBorders>
          </w:tcPr>
          <w:p w:rsidR="008544CD" w:rsidRPr="00EC5CA5" w:rsidRDefault="008544CD" w:rsidP="004D05E1">
            <w:pPr>
              <w:spacing w:before="60"/>
              <w:rPr>
                <w:rFonts w:cs="Arial"/>
                <w:szCs w:val="20"/>
              </w:rPr>
            </w:pPr>
            <w:r w:rsidRPr="00EC5CA5">
              <w:rPr>
                <w:rFonts w:cs="Arial"/>
                <w:szCs w:val="20"/>
              </w:rPr>
              <w:t>Additional cost to replace existing radars in order to change band.</w:t>
            </w:r>
          </w:p>
          <w:p w:rsidR="008544CD" w:rsidRPr="00EC5CA5" w:rsidRDefault="008544CD" w:rsidP="000E77D0">
            <w:pPr>
              <w:pStyle w:val="ECCTabletext"/>
              <w:rPr>
                <w:rFonts w:cs="Arial"/>
                <w:szCs w:val="20"/>
              </w:rPr>
            </w:pPr>
            <w:r w:rsidRPr="00EC5CA5">
              <w:rPr>
                <w:rFonts w:cs="Arial"/>
                <w:szCs w:val="20"/>
              </w:rPr>
              <w:t>The implementation of this option will hide the difficulties of individual CEPT administration, and ECC as a whole, around dealing effectively with spectrum sharing using advanced/software defined mitigation techniques for licence-exempt use.</w:t>
            </w:r>
          </w:p>
          <w:p w:rsidR="006E3FEC" w:rsidRPr="00EC5CA5" w:rsidRDefault="006E3FEC" w:rsidP="002D4069">
            <w:pPr>
              <w:pStyle w:val="ECCTabletext"/>
              <w:rPr>
                <w:rFonts w:cs="Arial"/>
                <w:szCs w:val="20"/>
              </w:rPr>
            </w:pPr>
            <w:r w:rsidRPr="00EC5CA5">
              <w:rPr>
                <w:rFonts w:cs="Arial"/>
                <w:szCs w:val="20"/>
              </w:rPr>
              <w:t>This might lead to some impact on incumbent services.</w:t>
            </w:r>
          </w:p>
          <w:p w:rsidR="008544CD" w:rsidRPr="00EC5CA5" w:rsidRDefault="00CB7BF9" w:rsidP="006E3FEC">
            <w:pPr>
              <w:pStyle w:val="ECCTabletext"/>
              <w:rPr>
                <w:rFonts w:cs="Arial"/>
                <w:szCs w:val="20"/>
              </w:rPr>
            </w:pPr>
            <w:r w:rsidRPr="00EC5CA5">
              <w:rPr>
                <w:rFonts w:cs="Arial"/>
                <w:szCs w:val="20"/>
              </w:rPr>
              <w:t>Possible requirement for guidance on coordination/compatibility</w:t>
            </w:r>
            <w:r w:rsidR="00BF0314" w:rsidRPr="00EC5CA5">
              <w:rPr>
                <w:rFonts w:cs="Arial"/>
                <w:szCs w:val="20"/>
              </w:rPr>
              <w:t xml:space="preserve"> </w:t>
            </w:r>
            <w:r w:rsidRPr="00EC5CA5">
              <w:rPr>
                <w:rFonts w:cs="Arial"/>
                <w:szCs w:val="20"/>
              </w:rPr>
              <w:t>with incumbent services (other radars, Copernicus…).</w:t>
            </w: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6E3FEC" w:rsidDel="007D6FC4" w:rsidRDefault="008544CD" w:rsidP="000E77D0">
            <w:pPr>
              <w:pStyle w:val="ECCTabletext"/>
              <w:jc w:val="center"/>
              <w:rPr>
                <w:rFonts w:cs="Arial"/>
                <w:szCs w:val="20"/>
              </w:rPr>
            </w:pPr>
            <w:r w:rsidRPr="006E3FEC">
              <w:rPr>
                <w:rFonts w:cs="Arial"/>
                <w:b/>
                <w:bCs/>
                <w:szCs w:val="20"/>
              </w:rPr>
              <w:t xml:space="preserve">HIGH </w:t>
            </w:r>
            <w:r w:rsidRPr="006E3FEC">
              <w:rPr>
                <w:rFonts w:cs="Arial"/>
                <w:szCs w:val="20"/>
              </w:rPr>
              <w:t>(for the related radars)</w:t>
            </w:r>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8544CD" w:rsidRPr="00B21D70" w:rsidRDefault="008544CD" w:rsidP="00E8682A">
            <w:pPr>
              <w:pStyle w:val="ECCTabletext"/>
              <w:jc w:val="left"/>
              <w:rPr>
                <w:rFonts w:cs="Arial"/>
                <w:szCs w:val="20"/>
              </w:rPr>
            </w:pPr>
            <w:r w:rsidRPr="00B21D70">
              <w:rPr>
                <w:rFonts w:cs="Arial"/>
                <w:szCs w:val="20"/>
              </w:rPr>
              <w:lastRenderedPageBreak/>
              <w:t>Revise ECC/DEC</w:t>
            </w:r>
            <w:r w:rsidR="00E633C2">
              <w:rPr>
                <w:rFonts w:cs="Arial"/>
                <w:szCs w:val="20"/>
              </w:rPr>
              <w:t>/</w:t>
            </w:r>
            <w:r w:rsidRPr="00B21D70">
              <w:rPr>
                <w:rFonts w:cs="Arial"/>
                <w:szCs w:val="20"/>
              </w:rPr>
              <w:t>(04)08 to exclude the use of 5600</w:t>
            </w:r>
            <w:r>
              <w:rPr>
                <w:rFonts w:cs="Arial"/>
                <w:szCs w:val="20"/>
              </w:rPr>
              <w:t>-</w:t>
            </w:r>
            <w:r w:rsidRPr="00B21D70">
              <w:rPr>
                <w:rFonts w:cs="Arial"/>
                <w:szCs w:val="20"/>
              </w:rPr>
              <w:t>5650 MHz band by WAS/RLAN equipment.</w:t>
            </w:r>
          </w:p>
        </w:tc>
        <w:tc>
          <w:tcPr>
            <w:tcW w:w="3574" w:type="dxa"/>
            <w:tcBorders>
              <w:top w:val="single" w:sz="4" w:space="0" w:color="D2232A"/>
              <w:left w:val="single" w:sz="4" w:space="0" w:color="D2232A"/>
              <w:bottom w:val="single" w:sz="4" w:space="0" w:color="D2232A"/>
              <w:right w:val="single" w:sz="4" w:space="0" w:color="D2232A"/>
            </w:tcBorders>
          </w:tcPr>
          <w:p w:rsidR="008544CD" w:rsidRPr="00B21D70" w:rsidRDefault="008544CD" w:rsidP="004D05E1">
            <w:pPr>
              <w:spacing w:before="60"/>
              <w:rPr>
                <w:rFonts w:cs="Arial"/>
                <w:szCs w:val="20"/>
              </w:rPr>
            </w:pPr>
            <w:r w:rsidRPr="00B21D70">
              <w:rPr>
                <w:rFonts w:cs="Arial"/>
                <w:szCs w:val="20"/>
              </w:rPr>
              <w:t>This should facilitate actions by administrations to prevent interference with radars as use would be non-compliant in its entirety.</w:t>
            </w:r>
          </w:p>
          <w:p w:rsidR="008544CD" w:rsidRPr="00B21D70" w:rsidRDefault="008544CD" w:rsidP="000E77D0">
            <w:pPr>
              <w:pStyle w:val="ECCTabletext"/>
              <w:rPr>
                <w:rFonts w:cs="Arial"/>
                <w:szCs w:val="20"/>
              </w:rPr>
            </w:pPr>
            <w:r w:rsidRPr="00B21D70">
              <w:rPr>
                <w:rFonts w:cs="Arial"/>
                <w:szCs w:val="20"/>
              </w:rPr>
              <w:t>Simple restriction that applies to all equipment and can be easily implemented in corresponding harmonised standard.</w:t>
            </w:r>
          </w:p>
        </w:tc>
        <w:tc>
          <w:tcPr>
            <w:tcW w:w="3798"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pStyle w:val="ECCTabletext"/>
              <w:rPr>
                <w:rFonts w:cs="Arial"/>
                <w:szCs w:val="20"/>
              </w:rPr>
            </w:pPr>
            <w:r w:rsidRPr="00B21D70">
              <w:rPr>
                <w:rFonts w:cs="Arial"/>
                <w:szCs w:val="20"/>
              </w:rPr>
              <w:t>Legacy equipment can and will remain in place for some time, there will be the need for a transitional period.</w:t>
            </w:r>
          </w:p>
          <w:p w:rsidR="008544CD" w:rsidRPr="00B21D70" w:rsidRDefault="008544CD" w:rsidP="000E77D0">
            <w:pPr>
              <w:spacing w:before="120" w:after="120"/>
              <w:rPr>
                <w:rFonts w:cs="Arial"/>
                <w:szCs w:val="20"/>
              </w:rPr>
            </w:pPr>
            <w:r w:rsidRPr="00B21D70">
              <w:rPr>
                <w:rFonts w:cs="Arial"/>
                <w:szCs w:val="20"/>
              </w:rPr>
              <w:t>Reduced spectrum availability for 5</w:t>
            </w:r>
            <w:r>
              <w:rPr>
                <w:rFonts w:cs="Arial"/>
                <w:szCs w:val="20"/>
              </w:rPr>
              <w:t xml:space="preserve"> </w:t>
            </w:r>
            <w:r w:rsidRPr="00B21D70">
              <w:rPr>
                <w:rFonts w:cs="Arial"/>
                <w:szCs w:val="20"/>
              </w:rPr>
              <w:t>GHz WAS/RLAN use, both indoor and outdoor.</w:t>
            </w:r>
          </w:p>
          <w:p w:rsidR="008544CD" w:rsidRPr="00B21D70" w:rsidRDefault="008544CD" w:rsidP="00E8682A">
            <w:pPr>
              <w:pStyle w:val="ECCTabletext"/>
              <w:rPr>
                <w:rFonts w:cs="Arial"/>
                <w:szCs w:val="20"/>
              </w:rPr>
            </w:pPr>
            <w:r>
              <w:rPr>
                <w:rFonts w:cs="Arial"/>
                <w:szCs w:val="20"/>
              </w:rPr>
              <w:t>Would require an update of the EC Decision for EU/EFTA countries.</w:t>
            </w: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4123BE" w:rsidRDefault="008544CD" w:rsidP="000E77D0">
            <w:pPr>
              <w:pStyle w:val="ECCTabletext"/>
              <w:jc w:val="center"/>
              <w:rPr>
                <w:rFonts w:cs="Arial"/>
                <w:szCs w:val="20"/>
              </w:rPr>
            </w:pPr>
            <w:r w:rsidRPr="004123BE">
              <w:rPr>
                <w:rFonts w:cs="Arial"/>
                <w:b/>
                <w:bCs/>
                <w:szCs w:val="20"/>
              </w:rPr>
              <w:t xml:space="preserve">NONE </w:t>
            </w:r>
            <w:r w:rsidRPr="004123BE">
              <w:rPr>
                <w:rFonts w:cs="Arial"/>
                <w:szCs w:val="20"/>
              </w:rPr>
              <w:t>(if this action is not associated with improvement of the enforcement actions)</w:t>
            </w:r>
          </w:p>
          <w:p w:rsidR="008544CD" w:rsidRPr="004123BE" w:rsidRDefault="008544CD" w:rsidP="000E77D0">
            <w:pPr>
              <w:pStyle w:val="ECCTabletext"/>
              <w:jc w:val="center"/>
              <w:rPr>
                <w:rFonts w:cs="Arial"/>
                <w:szCs w:val="20"/>
              </w:rPr>
            </w:pPr>
          </w:p>
          <w:p w:rsidR="008544CD" w:rsidRPr="004123BE" w:rsidDel="007D6FC4" w:rsidRDefault="008544CD" w:rsidP="000E77D0">
            <w:pPr>
              <w:pStyle w:val="ECCTabletext"/>
              <w:jc w:val="center"/>
              <w:rPr>
                <w:rFonts w:cs="Arial"/>
                <w:szCs w:val="20"/>
              </w:rPr>
            </w:pPr>
            <w:r w:rsidRPr="004123BE">
              <w:rPr>
                <w:rFonts w:cs="Arial"/>
                <w:szCs w:val="20"/>
              </w:rPr>
              <w:t xml:space="preserve">… to </w:t>
            </w:r>
            <w:r w:rsidRPr="004123BE">
              <w:rPr>
                <w:rFonts w:cs="Arial"/>
                <w:b/>
                <w:bCs/>
                <w:szCs w:val="20"/>
              </w:rPr>
              <w:t>HIGH</w:t>
            </w:r>
            <w:r w:rsidRPr="004123BE">
              <w:rPr>
                <w:rFonts w:cs="Arial"/>
                <w:szCs w:val="20"/>
              </w:rPr>
              <w:t xml:space="preserve"> (in the medium term, if transitional measures are taken to ensure a rapid </w:t>
            </w:r>
            <w:proofErr w:type="spellStart"/>
            <w:r w:rsidRPr="004123BE">
              <w:rPr>
                <w:rFonts w:cs="Arial"/>
                <w:szCs w:val="20"/>
              </w:rPr>
              <w:t>refarming</w:t>
            </w:r>
            <w:proofErr w:type="spellEnd"/>
            <w:r w:rsidRPr="004123BE">
              <w:rPr>
                <w:rFonts w:cs="Arial"/>
                <w:szCs w:val="20"/>
              </w:rPr>
              <w:t>)</w:t>
            </w:r>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8544CD" w:rsidRPr="00B21D70" w:rsidDel="007D6FC4" w:rsidRDefault="008544CD" w:rsidP="00E8682A">
            <w:pPr>
              <w:pStyle w:val="ECCTabletext"/>
              <w:jc w:val="left"/>
              <w:rPr>
                <w:rFonts w:cs="Arial"/>
                <w:szCs w:val="20"/>
              </w:rPr>
            </w:pPr>
            <w:r w:rsidRPr="00B21D70">
              <w:rPr>
                <w:rFonts w:cs="Arial"/>
                <w:szCs w:val="20"/>
              </w:rPr>
              <w:t>Revise ECC/DEC</w:t>
            </w:r>
            <w:r w:rsidR="00E633C2">
              <w:rPr>
                <w:rFonts w:cs="Arial"/>
                <w:szCs w:val="20"/>
              </w:rPr>
              <w:t>/</w:t>
            </w:r>
            <w:r w:rsidRPr="00B21D70">
              <w:rPr>
                <w:rFonts w:cs="Arial"/>
                <w:szCs w:val="20"/>
              </w:rPr>
              <w:t xml:space="preserve">(04)08 to remove the use of 5600-5650 MHz band by </w:t>
            </w:r>
            <w:r w:rsidRPr="00B21D70">
              <w:rPr>
                <w:rFonts w:cs="Arial"/>
                <w:b/>
                <w:szCs w:val="20"/>
                <w:u w:val="single"/>
              </w:rPr>
              <w:t>fixed outdoor</w:t>
            </w:r>
            <w:r w:rsidRPr="00B21D70">
              <w:rPr>
                <w:rFonts w:cs="Arial"/>
                <w:szCs w:val="20"/>
              </w:rPr>
              <w:t xml:space="preserve"> </w:t>
            </w:r>
            <w:proofErr w:type="spellStart"/>
            <w:r>
              <w:rPr>
                <w:rFonts w:cs="Arial"/>
                <w:szCs w:val="20"/>
              </w:rPr>
              <w:t>PtP</w:t>
            </w:r>
            <w:proofErr w:type="spellEnd"/>
            <w:r w:rsidRPr="00B21D70">
              <w:rPr>
                <w:rFonts w:cs="Arial"/>
                <w:szCs w:val="20"/>
              </w:rPr>
              <w:t xml:space="preserve"> and </w:t>
            </w:r>
            <w:proofErr w:type="spellStart"/>
            <w:r>
              <w:rPr>
                <w:rFonts w:cs="Arial"/>
                <w:szCs w:val="20"/>
              </w:rPr>
              <w:t>PmP</w:t>
            </w:r>
            <w:proofErr w:type="spellEnd"/>
            <w:r w:rsidRPr="00B21D70" w:rsidDel="002E3E2A">
              <w:rPr>
                <w:rFonts w:cs="Arial"/>
                <w:szCs w:val="20"/>
              </w:rPr>
              <w:t xml:space="preserve"> </w:t>
            </w:r>
            <w:r w:rsidRPr="00B21D70">
              <w:rPr>
                <w:rFonts w:cs="Arial"/>
                <w:szCs w:val="20"/>
              </w:rPr>
              <w:t>equipment</w:t>
            </w:r>
          </w:p>
        </w:tc>
        <w:tc>
          <w:tcPr>
            <w:tcW w:w="3574" w:type="dxa"/>
            <w:tcBorders>
              <w:top w:val="single" w:sz="4" w:space="0" w:color="D2232A"/>
              <w:left w:val="single" w:sz="4" w:space="0" w:color="D2232A"/>
              <w:bottom w:val="single" w:sz="4" w:space="0" w:color="D2232A"/>
              <w:right w:val="single" w:sz="4" w:space="0" w:color="D2232A"/>
            </w:tcBorders>
          </w:tcPr>
          <w:p w:rsidR="008544CD" w:rsidRPr="00B21D70" w:rsidRDefault="008544CD" w:rsidP="004D05E1">
            <w:pPr>
              <w:spacing w:before="60"/>
              <w:rPr>
                <w:rFonts w:cs="Arial"/>
                <w:szCs w:val="20"/>
              </w:rPr>
            </w:pPr>
            <w:r w:rsidRPr="00B21D70">
              <w:rPr>
                <w:rFonts w:cs="Arial"/>
                <w:szCs w:val="20"/>
              </w:rPr>
              <w:t xml:space="preserve">This should facilitate actions by administrations to prevent interference with radars from fixed outdoor </w:t>
            </w:r>
            <w:proofErr w:type="spellStart"/>
            <w:r>
              <w:rPr>
                <w:rFonts w:cs="Arial"/>
                <w:szCs w:val="20"/>
              </w:rPr>
              <w:t>PtP</w:t>
            </w:r>
            <w:proofErr w:type="spellEnd"/>
            <w:r w:rsidRPr="00B21D70">
              <w:rPr>
                <w:rFonts w:cs="Arial"/>
                <w:szCs w:val="20"/>
              </w:rPr>
              <w:t xml:space="preserve"> and </w:t>
            </w:r>
            <w:proofErr w:type="spellStart"/>
            <w:r>
              <w:rPr>
                <w:rFonts w:cs="Arial"/>
                <w:szCs w:val="20"/>
              </w:rPr>
              <w:t>PmP</w:t>
            </w:r>
            <w:proofErr w:type="spellEnd"/>
            <w:r w:rsidRPr="00B21D70">
              <w:rPr>
                <w:rFonts w:cs="Arial"/>
                <w:szCs w:val="20"/>
              </w:rPr>
              <w:t xml:space="preserve"> use.</w:t>
            </w:r>
          </w:p>
          <w:p w:rsidR="008544CD" w:rsidRPr="00B21D70" w:rsidDel="007D6FC4" w:rsidRDefault="008544CD" w:rsidP="004D05E1">
            <w:pPr>
              <w:spacing w:before="60"/>
              <w:rPr>
                <w:rFonts w:cs="Arial"/>
                <w:szCs w:val="20"/>
              </w:rPr>
            </w:pPr>
            <w:r w:rsidRPr="00B21D70">
              <w:rPr>
                <w:rFonts w:cs="Arial"/>
                <w:szCs w:val="20"/>
              </w:rPr>
              <w:t>This should facilitate actions by administrations to prevent interference on radars by targeting only the main interference scenarios.</w:t>
            </w:r>
          </w:p>
        </w:tc>
        <w:tc>
          <w:tcPr>
            <w:tcW w:w="3798" w:type="dxa"/>
            <w:tcBorders>
              <w:top w:val="single" w:sz="4" w:space="0" w:color="D2232A"/>
              <w:left w:val="single" w:sz="4" w:space="0" w:color="D2232A"/>
              <w:bottom w:val="single" w:sz="4" w:space="0" w:color="D2232A"/>
              <w:right w:val="single" w:sz="4" w:space="0" w:color="D2232A"/>
            </w:tcBorders>
          </w:tcPr>
          <w:p w:rsidR="008544CD" w:rsidRPr="00B21D70" w:rsidRDefault="008544CD" w:rsidP="004D05E1">
            <w:pPr>
              <w:spacing w:before="60"/>
              <w:rPr>
                <w:rFonts w:cs="Arial"/>
                <w:szCs w:val="20"/>
              </w:rPr>
            </w:pPr>
            <w:r w:rsidRPr="00B21D70">
              <w:rPr>
                <w:rFonts w:cs="Arial"/>
                <w:szCs w:val="20"/>
              </w:rPr>
              <w:t>Legacy equipment can and will remain in place for some time, there will be the need for a transitional period.</w:t>
            </w:r>
          </w:p>
          <w:p w:rsidR="008544CD" w:rsidRPr="00B21D70" w:rsidRDefault="008544CD" w:rsidP="004D05E1">
            <w:pPr>
              <w:spacing w:before="60"/>
              <w:rPr>
                <w:rFonts w:cs="Arial"/>
                <w:szCs w:val="20"/>
              </w:rPr>
            </w:pPr>
            <w:r w:rsidRPr="00B21D70">
              <w:rPr>
                <w:rFonts w:cs="Arial"/>
                <w:szCs w:val="20"/>
              </w:rPr>
              <w:t>Reduced spectrum availability for fixed outdoor 5</w:t>
            </w:r>
            <w:r>
              <w:rPr>
                <w:rFonts w:cs="Arial"/>
                <w:szCs w:val="20"/>
              </w:rPr>
              <w:t xml:space="preserve"> </w:t>
            </w:r>
            <w:r w:rsidRPr="00B21D70">
              <w:rPr>
                <w:rFonts w:cs="Arial"/>
                <w:szCs w:val="20"/>
              </w:rPr>
              <w:t xml:space="preserve">GHz </w:t>
            </w:r>
            <w:proofErr w:type="spellStart"/>
            <w:r>
              <w:rPr>
                <w:rFonts w:cs="Arial"/>
                <w:szCs w:val="20"/>
              </w:rPr>
              <w:t>PtP</w:t>
            </w:r>
            <w:proofErr w:type="spellEnd"/>
            <w:r w:rsidRPr="00B21D70">
              <w:rPr>
                <w:rFonts w:cs="Arial"/>
                <w:szCs w:val="20"/>
              </w:rPr>
              <w:t xml:space="preserve"> and </w:t>
            </w:r>
            <w:proofErr w:type="spellStart"/>
            <w:r>
              <w:rPr>
                <w:rFonts w:cs="Arial"/>
                <w:szCs w:val="20"/>
              </w:rPr>
              <w:t>PmP</w:t>
            </w:r>
            <w:proofErr w:type="spellEnd"/>
            <w:r w:rsidRPr="00B21D70">
              <w:rPr>
                <w:rFonts w:cs="Arial"/>
                <w:szCs w:val="20"/>
              </w:rPr>
              <w:t xml:space="preserve"> use.</w:t>
            </w:r>
          </w:p>
          <w:p w:rsidR="008544CD" w:rsidRPr="00B21D70" w:rsidDel="007D6FC4" w:rsidRDefault="008544CD" w:rsidP="0066739C">
            <w:pPr>
              <w:pStyle w:val="ECCTabletext"/>
              <w:rPr>
                <w:rFonts w:cs="Arial"/>
                <w:szCs w:val="20"/>
              </w:rPr>
            </w:pPr>
            <w:r>
              <w:rPr>
                <w:rFonts w:cs="Arial"/>
                <w:szCs w:val="20"/>
              </w:rPr>
              <w:t>Would require an update of the EC Decision for EU/EFTA countries.</w:t>
            </w: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4123BE" w:rsidRDefault="008544CD" w:rsidP="000E77D0">
            <w:pPr>
              <w:pStyle w:val="ECCTabletext"/>
              <w:jc w:val="center"/>
              <w:rPr>
                <w:rFonts w:cs="Arial"/>
                <w:szCs w:val="20"/>
              </w:rPr>
            </w:pPr>
            <w:r w:rsidRPr="004123BE">
              <w:rPr>
                <w:rFonts w:cs="Arial"/>
                <w:b/>
                <w:bCs/>
                <w:szCs w:val="20"/>
              </w:rPr>
              <w:t xml:space="preserve">NONE </w:t>
            </w:r>
            <w:r w:rsidRPr="004123BE">
              <w:rPr>
                <w:rFonts w:cs="Arial"/>
                <w:szCs w:val="20"/>
              </w:rPr>
              <w:t>(if this action is not associated with improvement of the enforcement actions)</w:t>
            </w:r>
          </w:p>
          <w:p w:rsidR="008544CD" w:rsidRPr="004123BE" w:rsidRDefault="008544CD" w:rsidP="000E77D0">
            <w:pPr>
              <w:pStyle w:val="ECCTabletext"/>
              <w:jc w:val="center"/>
              <w:rPr>
                <w:rFonts w:cs="Arial"/>
                <w:szCs w:val="20"/>
              </w:rPr>
            </w:pPr>
          </w:p>
          <w:p w:rsidR="008544CD" w:rsidRPr="004123BE" w:rsidDel="007D6FC4" w:rsidRDefault="008544CD" w:rsidP="000E77D0">
            <w:pPr>
              <w:pStyle w:val="ECCTabletext"/>
              <w:jc w:val="center"/>
              <w:rPr>
                <w:rFonts w:cs="Arial"/>
                <w:szCs w:val="20"/>
              </w:rPr>
            </w:pPr>
            <w:r w:rsidRPr="004123BE">
              <w:rPr>
                <w:rFonts w:cs="Arial"/>
                <w:szCs w:val="20"/>
              </w:rPr>
              <w:t xml:space="preserve">… to </w:t>
            </w:r>
            <w:r w:rsidRPr="004123BE">
              <w:rPr>
                <w:rFonts w:cs="Arial"/>
                <w:b/>
                <w:bCs/>
                <w:szCs w:val="20"/>
              </w:rPr>
              <w:t>MEDIUM/HIGH</w:t>
            </w:r>
            <w:r w:rsidRPr="004123BE">
              <w:rPr>
                <w:rFonts w:cs="Arial"/>
                <w:szCs w:val="20"/>
              </w:rPr>
              <w:t xml:space="preserve"> (in the medium term, if transitional measures are taken to ensure a rapid </w:t>
            </w:r>
            <w:proofErr w:type="spellStart"/>
            <w:r w:rsidRPr="004123BE">
              <w:rPr>
                <w:rFonts w:cs="Arial"/>
                <w:szCs w:val="20"/>
              </w:rPr>
              <w:t>refarming</w:t>
            </w:r>
            <w:proofErr w:type="spellEnd"/>
            <w:r w:rsidRPr="004123BE">
              <w:rPr>
                <w:rFonts w:cs="Arial"/>
                <w:szCs w:val="20"/>
              </w:rPr>
              <w:t xml:space="preserve"> and that clear and efficient rules are set to qualify fixed outdoor equipment)</w:t>
            </w:r>
          </w:p>
        </w:tc>
      </w:tr>
      <w:tr w:rsidR="008544CD" w:rsidTr="00FE5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6"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pStyle w:val="ECCTabletext"/>
              <w:jc w:val="left"/>
              <w:rPr>
                <w:rFonts w:cs="Arial"/>
                <w:szCs w:val="20"/>
              </w:rPr>
            </w:pPr>
            <w:r w:rsidRPr="00B21D70">
              <w:rPr>
                <w:rFonts w:cs="Arial"/>
                <w:szCs w:val="20"/>
              </w:rPr>
              <w:t>Improve collaboration between ECC, ADCO and EC, through a focus on the weather radar interference issue</w:t>
            </w:r>
          </w:p>
        </w:tc>
        <w:tc>
          <w:tcPr>
            <w:tcW w:w="3574" w:type="dxa"/>
            <w:tcBorders>
              <w:top w:val="single" w:sz="4" w:space="0" w:color="D2232A"/>
              <w:left w:val="single" w:sz="4" w:space="0" w:color="D2232A"/>
              <w:bottom w:val="single" w:sz="4" w:space="0" w:color="D2232A"/>
              <w:right w:val="single" w:sz="4" w:space="0" w:color="D2232A"/>
            </w:tcBorders>
          </w:tcPr>
          <w:p w:rsidR="008544CD" w:rsidRPr="00B21D70" w:rsidRDefault="008544CD" w:rsidP="000E77D0">
            <w:pPr>
              <w:spacing w:before="120" w:after="120"/>
              <w:rPr>
                <w:rFonts w:cs="Arial"/>
                <w:szCs w:val="20"/>
              </w:rPr>
            </w:pPr>
          </w:p>
        </w:tc>
        <w:tc>
          <w:tcPr>
            <w:tcW w:w="3798" w:type="dxa"/>
            <w:tcBorders>
              <w:top w:val="single" w:sz="4" w:space="0" w:color="D2232A"/>
              <w:left w:val="single" w:sz="4" w:space="0" w:color="D2232A"/>
              <w:bottom w:val="single" w:sz="4" w:space="0" w:color="D2232A"/>
              <w:right w:val="single" w:sz="4" w:space="0" w:color="D2232A"/>
            </w:tcBorders>
          </w:tcPr>
          <w:p w:rsidR="008544CD" w:rsidRPr="00B21D70" w:rsidDel="002C10C1" w:rsidRDefault="008544CD" w:rsidP="000E77D0">
            <w:pPr>
              <w:spacing w:before="120" w:after="120"/>
              <w:rPr>
                <w:rFonts w:cs="Arial"/>
                <w:szCs w:val="20"/>
              </w:rPr>
            </w:pPr>
          </w:p>
        </w:tc>
        <w:tc>
          <w:tcPr>
            <w:tcW w:w="3260" w:type="dxa"/>
            <w:tcBorders>
              <w:top w:val="single" w:sz="4" w:space="0" w:color="D2232A"/>
              <w:left w:val="single" w:sz="4" w:space="0" w:color="D2232A"/>
              <w:bottom w:val="single" w:sz="4" w:space="0" w:color="D2232A"/>
              <w:right w:val="single" w:sz="4" w:space="0" w:color="D2232A"/>
            </w:tcBorders>
            <w:vAlign w:val="center"/>
          </w:tcPr>
          <w:p w:rsidR="008544CD" w:rsidRPr="004123BE" w:rsidRDefault="008544CD" w:rsidP="000E77D0">
            <w:pPr>
              <w:pStyle w:val="ECCTabletext"/>
              <w:jc w:val="center"/>
              <w:rPr>
                <w:rFonts w:cs="Arial"/>
                <w:szCs w:val="20"/>
              </w:rPr>
            </w:pPr>
            <w:r w:rsidRPr="004123BE">
              <w:rPr>
                <w:rFonts w:cs="Arial"/>
                <w:b/>
                <w:bCs/>
                <w:szCs w:val="20"/>
              </w:rPr>
              <w:t xml:space="preserve">MEDIUM </w:t>
            </w:r>
            <w:r w:rsidRPr="004123BE">
              <w:rPr>
                <w:rFonts w:cs="Arial"/>
                <w:szCs w:val="20"/>
              </w:rPr>
              <w:t>(as such would be a flag to RLAN manufacturers and users)</w:t>
            </w:r>
          </w:p>
          <w:p w:rsidR="008544CD" w:rsidRPr="004123BE" w:rsidRDefault="008544CD" w:rsidP="000E77D0">
            <w:pPr>
              <w:pStyle w:val="ECCTabletext"/>
              <w:jc w:val="center"/>
              <w:rPr>
                <w:rFonts w:cs="Arial"/>
                <w:szCs w:val="20"/>
              </w:rPr>
            </w:pPr>
          </w:p>
          <w:p w:rsidR="008544CD" w:rsidRPr="004123BE" w:rsidDel="007D6FC4" w:rsidRDefault="008544CD" w:rsidP="000E77D0">
            <w:pPr>
              <w:pStyle w:val="ECCTabletext"/>
              <w:jc w:val="center"/>
              <w:rPr>
                <w:rFonts w:cs="Arial"/>
                <w:szCs w:val="20"/>
              </w:rPr>
            </w:pPr>
            <w:r w:rsidRPr="004123BE">
              <w:rPr>
                <w:rFonts w:cs="Arial"/>
                <w:szCs w:val="20"/>
              </w:rPr>
              <w:t xml:space="preserve">… to </w:t>
            </w:r>
            <w:r w:rsidRPr="004123BE">
              <w:rPr>
                <w:rFonts w:cs="Arial"/>
                <w:b/>
                <w:bCs/>
                <w:szCs w:val="20"/>
              </w:rPr>
              <w:t>HIGH</w:t>
            </w:r>
            <w:r w:rsidRPr="004123BE">
              <w:rPr>
                <w:rFonts w:cs="Arial"/>
                <w:szCs w:val="20"/>
              </w:rPr>
              <w:t xml:space="preserve"> (in the medium term, if it leads to real measures toward improving interference monitoring, enforcement and putting on the market)</w:t>
            </w:r>
          </w:p>
        </w:tc>
      </w:tr>
    </w:tbl>
    <w:p w:rsidR="00C74FFE" w:rsidRDefault="00C74FFE" w:rsidP="002C09D5">
      <w:pPr>
        <w:rPr>
          <w:rFonts w:eastAsia="Times New Roman"/>
          <w:b/>
          <w:bCs/>
          <w:color w:val="D2232A"/>
          <w:szCs w:val="20"/>
          <w:lang w:val="da-DK"/>
        </w:rPr>
      </w:pPr>
    </w:p>
    <w:sectPr w:rsidR="00C74FFE" w:rsidSect="005F411A">
      <w:headerReference w:type="even" r:id="rId12"/>
      <w:headerReference w:type="default" r:id="rId13"/>
      <w:headerReference w:type="first" r:id="rId14"/>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F1" w:rsidRDefault="00A370F1" w:rsidP="00DB17F9">
      <w:r>
        <w:separator/>
      </w:r>
    </w:p>
    <w:p w:rsidR="00A370F1" w:rsidRDefault="00A370F1"/>
  </w:endnote>
  <w:endnote w:type="continuationSeparator" w:id="0">
    <w:p w:rsidR="00A370F1" w:rsidRDefault="00A370F1" w:rsidP="00DB17F9">
      <w:r>
        <w:continuationSeparator/>
      </w:r>
    </w:p>
    <w:p w:rsidR="00A370F1" w:rsidRDefault="00A3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F1" w:rsidRPr="00F51BD6" w:rsidRDefault="00A370F1" w:rsidP="00CD07E7">
      <w:pPr>
        <w:spacing w:before="120" w:after="0"/>
      </w:pPr>
      <w:r>
        <w:separator/>
      </w:r>
    </w:p>
  </w:footnote>
  <w:footnote w:type="continuationSeparator" w:id="0">
    <w:p w:rsidR="00A370F1" w:rsidRDefault="00A370F1" w:rsidP="00CD07E7">
      <w:pPr>
        <w:spacing w:before="120" w:after="0"/>
      </w:pPr>
      <w:r>
        <w:continuationSeparator/>
      </w:r>
    </w:p>
  </w:footnote>
  <w:footnote w:type="continuationNotice" w:id="1">
    <w:p w:rsidR="00A370F1" w:rsidRPr="00CD07E7" w:rsidRDefault="00A370F1" w:rsidP="00CD07E7">
      <w:pPr>
        <w:spacing w:before="120" w:after="0"/>
      </w:pPr>
    </w:p>
  </w:footnote>
  <w:footnote w:id="2">
    <w:p w:rsidR="008544CD" w:rsidRDefault="008544CD" w:rsidP="004D05E1">
      <w:pPr>
        <w:pStyle w:val="Notedebasdepage"/>
        <w:spacing w:before="60" w:after="60"/>
      </w:pPr>
      <w:r>
        <w:rPr>
          <w:rStyle w:val="Appelnotedebasdep"/>
        </w:rPr>
        <w:footnoteRef/>
      </w:r>
      <w:r>
        <w:t xml:space="preserve"> -</w:t>
      </w:r>
      <w:r>
        <w:tab/>
        <w:t>In those interference cases where the DFS mechanism in the WAS/RLAN equipment is disabled, or where the equipment could be configured to a country where different or no DFS requirements apply, market enforcement shall not allow such equipment to be operated or remain in use and no effort should be undertaken to resolve the interference case by re-configuring the country of operation or by re-enabling DFS;</w:t>
      </w:r>
    </w:p>
    <w:p w:rsidR="008544CD" w:rsidRPr="00966C25" w:rsidRDefault="008544CD" w:rsidP="004D05E1">
      <w:pPr>
        <w:pStyle w:val="Notedebasdepage"/>
        <w:spacing w:before="60" w:after="60"/>
        <w:rPr>
          <w:lang w:val="en-GB"/>
        </w:rPr>
      </w:pPr>
      <w:r>
        <w:t>-</w:t>
      </w:r>
      <w:r>
        <w:tab/>
        <w:t>Market enforcement and surveillance authorities are also advised to initiate appropriate actions to prevent further that such equipment is placed on the market. It is also recommended that the equipment is submitted to a test laboratory to determine why the DFS mechanism is failing</w:t>
      </w:r>
    </w:p>
  </w:footnote>
  <w:footnote w:id="3">
    <w:p w:rsidR="008544CD" w:rsidRPr="004D05E1" w:rsidRDefault="008544CD" w:rsidP="004D05E1">
      <w:pPr>
        <w:pStyle w:val="Notedebasdepage"/>
        <w:spacing w:before="60" w:after="60"/>
        <w:rPr>
          <w:lang w:val="en-GB"/>
        </w:rPr>
      </w:pPr>
      <w:r w:rsidRPr="004D05E1">
        <w:rPr>
          <w:rStyle w:val="Appelnotedebasdep"/>
          <w:lang w:val="en-GB"/>
        </w:rPr>
        <w:footnoteRef/>
      </w:r>
      <w:r w:rsidRPr="004D05E1">
        <w:rPr>
          <w:lang w:val="en-GB"/>
        </w:rPr>
        <w:t xml:space="preserve"> </w:t>
      </w:r>
      <w:proofErr w:type="spellStart"/>
      <w:r w:rsidRPr="004D05E1">
        <w:rPr>
          <w:lang w:val="en-GB"/>
        </w:rPr>
        <w:t>PtP</w:t>
      </w:r>
      <w:proofErr w:type="spellEnd"/>
      <w:r w:rsidRPr="004D05E1">
        <w:rPr>
          <w:lang w:val="en-GB"/>
        </w:rPr>
        <w:t xml:space="preserve"> = Point-to-Point</w:t>
      </w:r>
    </w:p>
  </w:footnote>
  <w:footnote w:id="4">
    <w:p w:rsidR="008544CD" w:rsidRPr="004D05E1" w:rsidRDefault="008544CD" w:rsidP="004D05E1">
      <w:pPr>
        <w:pStyle w:val="Notedebasdepage"/>
        <w:spacing w:before="60" w:after="60"/>
        <w:rPr>
          <w:lang w:val="en-GB"/>
        </w:rPr>
      </w:pPr>
      <w:r w:rsidRPr="004D05E1">
        <w:rPr>
          <w:rStyle w:val="Appelnotedebasdep"/>
          <w:lang w:val="en-GB"/>
        </w:rPr>
        <w:footnoteRef/>
      </w:r>
      <w:r w:rsidRPr="004D05E1">
        <w:rPr>
          <w:lang w:val="en-GB"/>
        </w:rPr>
        <w:t xml:space="preserve"> </w:t>
      </w:r>
      <w:proofErr w:type="spellStart"/>
      <w:r w:rsidRPr="004D05E1">
        <w:rPr>
          <w:lang w:val="en-GB"/>
        </w:rPr>
        <w:t>PmP</w:t>
      </w:r>
      <w:proofErr w:type="spellEnd"/>
      <w:r w:rsidRPr="004D05E1">
        <w:rPr>
          <w:lang w:val="en-GB"/>
        </w:rPr>
        <w:t xml:space="preserve"> = Point-to-multi-Point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714F0F" w:rsidRDefault="00102172" w:rsidP="00714F0F">
    <w:pPr>
      <w:pStyle w:val="ECCpageHeader"/>
    </w:pPr>
    <w:r w:rsidRPr="00714F0F">
      <w:tab/>
    </w:r>
    <w:r w:rsidR="006418DF">
      <w:tab/>
    </w:r>
    <w:r w:rsidR="006418DF">
      <w:tab/>
    </w:r>
    <w:r w:rsidR="006418DF">
      <w:tab/>
    </w:r>
    <w:r w:rsidR="006418DF">
      <w:tab/>
    </w:r>
    <w:r w:rsidR="006418DF">
      <w:tab/>
    </w:r>
    <w:r w:rsidR="006418DF">
      <w:tab/>
    </w:r>
    <w:r w:rsidRPr="00714F0F">
      <w:t xml:space="preserve">Page </w:t>
    </w:r>
    <w:r w:rsidRPr="00714F0F">
      <w:fldChar w:fldCharType="begin"/>
    </w:r>
    <w:r w:rsidRPr="00714F0F">
      <w:instrText xml:space="preserve"> PAGE  \* Arabic  \* MERGEFORMAT </w:instrText>
    </w:r>
    <w:r w:rsidRPr="00714F0F">
      <w:fldChar w:fldCharType="separate"/>
    </w:r>
    <w:r w:rsidR="002305AE">
      <w:rPr>
        <w:noProof/>
      </w:rPr>
      <w:t>3</w:t>
    </w:r>
    <w:r w:rsidRPr="00714F0F">
      <w:fldChar w:fldCharType="end"/>
    </w:r>
  </w:p>
  <w:p w:rsidR="00E11D7E" w:rsidRDefault="00E11D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EE" w:rsidRPr="00EC5CA5" w:rsidRDefault="006374EE" w:rsidP="00750CDF">
    <w:pPr>
      <w:pStyle w:val="En-tte"/>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7.25pt;height:60pt" o:bullet="t">
        <v:imagedata r:id="rId1" o:title="Editor's Note"/>
      </v:shape>
    </w:pict>
  </w:numPicBullet>
  <w:abstractNum w:abstractNumId="0">
    <w:nsid w:val="09303186"/>
    <w:multiLevelType w:val="hybridMultilevel"/>
    <w:tmpl w:val="84986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C49063D"/>
    <w:multiLevelType w:val="hybridMultilevel"/>
    <w:tmpl w:val="63E00EF8"/>
    <w:lvl w:ilvl="0" w:tplc="4EEE7F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77D45045"/>
    <w:multiLevelType w:val="hybridMultilevel"/>
    <w:tmpl w:val="62082EE8"/>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7"/>
  </w:num>
  <w:num w:numId="6">
    <w:abstractNumId w:val="6"/>
  </w:num>
  <w:num w:numId="7">
    <w:abstractNumId w:val="8"/>
  </w:num>
  <w:num w:numId="8">
    <w:abstractNumId w:val="3"/>
  </w:num>
  <w:num w:numId="9">
    <w:abstractNumId w:val="3"/>
  </w:num>
  <w:num w:numId="10">
    <w:abstractNumId w:val="10"/>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1112E"/>
    <w:rsid w:val="00012E3B"/>
    <w:rsid w:val="000246C3"/>
    <w:rsid w:val="00032BC1"/>
    <w:rsid w:val="000362B9"/>
    <w:rsid w:val="00041A18"/>
    <w:rsid w:val="0004622B"/>
    <w:rsid w:val="00046727"/>
    <w:rsid w:val="0005104A"/>
    <w:rsid w:val="0005676D"/>
    <w:rsid w:val="00060C8A"/>
    <w:rsid w:val="00062C08"/>
    <w:rsid w:val="00063939"/>
    <w:rsid w:val="00067793"/>
    <w:rsid w:val="00075319"/>
    <w:rsid w:val="00075C8E"/>
    <w:rsid w:val="00080D4D"/>
    <w:rsid w:val="000812F5"/>
    <w:rsid w:val="00081E7F"/>
    <w:rsid w:val="00082DD7"/>
    <w:rsid w:val="00082FEC"/>
    <w:rsid w:val="00083A34"/>
    <w:rsid w:val="00084917"/>
    <w:rsid w:val="0008718D"/>
    <w:rsid w:val="000943FB"/>
    <w:rsid w:val="00095620"/>
    <w:rsid w:val="000957DD"/>
    <w:rsid w:val="00096FF3"/>
    <w:rsid w:val="00097B8A"/>
    <w:rsid w:val="000A27D3"/>
    <w:rsid w:val="000A3940"/>
    <w:rsid w:val="000B6D45"/>
    <w:rsid w:val="000B6DDE"/>
    <w:rsid w:val="000C028F"/>
    <w:rsid w:val="000C32FD"/>
    <w:rsid w:val="000C7F25"/>
    <w:rsid w:val="000D1710"/>
    <w:rsid w:val="000D2139"/>
    <w:rsid w:val="000D41B6"/>
    <w:rsid w:val="000D43BB"/>
    <w:rsid w:val="000D51B2"/>
    <w:rsid w:val="000E3E4D"/>
    <w:rsid w:val="000E4060"/>
    <w:rsid w:val="000E42F5"/>
    <w:rsid w:val="000E77D0"/>
    <w:rsid w:val="000F0594"/>
    <w:rsid w:val="000F0CA8"/>
    <w:rsid w:val="000F24F5"/>
    <w:rsid w:val="000F2ED9"/>
    <w:rsid w:val="001006CA"/>
    <w:rsid w:val="00100F8B"/>
    <w:rsid w:val="00102172"/>
    <w:rsid w:val="001039B3"/>
    <w:rsid w:val="00107129"/>
    <w:rsid w:val="00110652"/>
    <w:rsid w:val="00114458"/>
    <w:rsid w:val="00125A74"/>
    <w:rsid w:val="00130DA3"/>
    <w:rsid w:val="00135CE2"/>
    <w:rsid w:val="00137102"/>
    <w:rsid w:val="00143A96"/>
    <w:rsid w:val="00144644"/>
    <w:rsid w:val="00145DAE"/>
    <w:rsid w:val="00152204"/>
    <w:rsid w:val="001526A2"/>
    <w:rsid w:val="00154F16"/>
    <w:rsid w:val="00156314"/>
    <w:rsid w:val="0017018F"/>
    <w:rsid w:val="00172B28"/>
    <w:rsid w:val="0017525F"/>
    <w:rsid w:val="00183FE0"/>
    <w:rsid w:val="0018553F"/>
    <w:rsid w:val="00197389"/>
    <w:rsid w:val="001A01CA"/>
    <w:rsid w:val="001A03C0"/>
    <w:rsid w:val="001B0583"/>
    <w:rsid w:val="001B6083"/>
    <w:rsid w:val="001C30A8"/>
    <w:rsid w:val="001C3A98"/>
    <w:rsid w:val="001C42D9"/>
    <w:rsid w:val="001D305F"/>
    <w:rsid w:val="001E12BC"/>
    <w:rsid w:val="001E1733"/>
    <w:rsid w:val="001E2E1F"/>
    <w:rsid w:val="001E7993"/>
    <w:rsid w:val="001F7F07"/>
    <w:rsid w:val="0020079A"/>
    <w:rsid w:val="00212662"/>
    <w:rsid w:val="002126BA"/>
    <w:rsid w:val="00213654"/>
    <w:rsid w:val="002165C3"/>
    <w:rsid w:val="00220834"/>
    <w:rsid w:val="002215CB"/>
    <w:rsid w:val="00222F9E"/>
    <w:rsid w:val="002302A9"/>
    <w:rsid w:val="002305AE"/>
    <w:rsid w:val="00231A0F"/>
    <w:rsid w:val="0023746D"/>
    <w:rsid w:val="0023759B"/>
    <w:rsid w:val="00247B0B"/>
    <w:rsid w:val="00250879"/>
    <w:rsid w:val="002575FB"/>
    <w:rsid w:val="00263FFB"/>
    <w:rsid w:val="0026589C"/>
    <w:rsid w:val="00265F50"/>
    <w:rsid w:val="002722D1"/>
    <w:rsid w:val="00274F84"/>
    <w:rsid w:val="0027787F"/>
    <w:rsid w:val="0028060B"/>
    <w:rsid w:val="0028120C"/>
    <w:rsid w:val="00283417"/>
    <w:rsid w:val="00291F6E"/>
    <w:rsid w:val="002955F1"/>
    <w:rsid w:val="00295827"/>
    <w:rsid w:val="00295F16"/>
    <w:rsid w:val="00296632"/>
    <w:rsid w:val="00296C44"/>
    <w:rsid w:val="002A02A9"/>
    <w:rsid w:val="002A033F"/>
    <w:rsid w:val="002A5054"/>
    <w:rsid w:val="002A5C5F"/>
    <w:rsid w:val="002A6FB2"/>
    <w:rsid w:val="002C09D5"/>
    <w:rsid w:val="002C10C1"/>
    <w:rsid w:val="002C41D0"/>
    <w:rsid w:val="002C6DC3"/>
    <w:rsid w:val="002D1FA9"/>
    <w:rsid w:val="002D4069"/>
    <w:rsid w:val="002D50A3"/>
    <w:rsid w:val="002E1802"/>
    <w:rsid w:val="002E3E2A"/>
    <w:rsid w:val="002E5BF4"/>
    <w:rsid w:val="002F281C"/>
    <w:rsid w:val="002F70E6"/>
    <w:rsid w:val="003007C0"/>
    <w:rsid w:val="00301550"/>
    <w:rsid w:val="003040C0"/>
    <w:rsid w:val="00307A79"/>
    <w:rsid w:val="003204D5"/>
    <w:rsid w:val="00320ED0"/>
    <w:rsid w:val="00321B4E"/>
    <w:rsid w:val="00322E6A"/>
    <w:rsid w:val="003314A0"/>
    <w:rsid w:val="003525E8"/>
    <w:rsid w:val="00361374"/>
    <w:rsid w:val="00365CA3"/>
    <w:rsid w:val="003739BF"/>
    <w:rsid w:val="00380D89"/>
    <w:rsid w:val="00381169"/>
    <w:rsid w:val="0038287C"/>
    <w:rsid w:val="0038358E"/>
    <w:rsid w:val="00387DDE"/>
    <w:rsid w:val="00391A01"/>
    <w:rsid w:val="00392B97"/>
    <w:rsid w:val="003953D8"/>
    <w:rsid w:val="003A0EB5"/>
    <w:rsid w:val="003A5711"/>
    <w:rsid w:val="003A66A7"/>
    <w:rsid w:val="003A73CB"/>
    <w:rsid w:val="003B6AEF"/>
    <w:rsid w:val="003C64D9"/>
    <w:rsid w:val="003E18F4"/>
    <w:rsid w:val="003E2E42"/>
    <w:rsid w:val="003E4EF0"/>
    <w:rsid w:val="003E70E0"/>
    <w:rsid w:val="003F7A0F"/>
    <w:rsid w:val="00401973"/>
    <w:rsid w:val="00403CE6"/>
    <w:rsid w:val="00403FDC"/>
    <w:rsid w:val="004110CA"/>
    <w:rsid w:val="0041160E"/>
    <w:rsid w:val="00411C51"/>
    <w:rsid w:val="004123BE"/>
    <w:rsid w:val="0041735A"/>
    <w:rsid w:val="004222C8"/>
    <w:rsid w:val="00422840"/>
    <w:rsid w:val="004256D6"/>
    <w:rsid w:val="0042761F"/>
    <w:rsid w:val="00431162"/>
    <w:rsid w:val="00431674"/>
    <w:rsid w:val="00435ECB"/>
    <w:rsid w:val="00436511"/>
    <w:rsid w:val="00441D22"/>
    <w:rsid w:val="00441EE0"/>
    <w:rsid w:val="004424CD"/>
    <w:rsid w:val="00443482"/>
    <w:rsid w:val="00450308"/>
    <w:rsid w:val="0045678C"/>
    <w:rsid w:val="00457AD1"/>
    <w:rsid w:val="00460DCE"/>
    <w:rsid w:val="0046427F"/>
    <w:rsid w:val="004658DA"/>
    <w:rsid w:val="00473B83"/>
    <w:rsid w:val="00483BCC"/>
    <w:rsid w:val="00485665"/>
    <w:rsid w:val="00491977"/>
    <w:rsid w:val="004A1329"/>
    <w:rsid w:val="004A43D2"/>
    <w:rsid w:val="004B05E3"/>
    <w:rsid w:val="004C1A87"/>
    <w:rsid w:val="004C4A2E"/>
    <w:rsid w:val="004D05E1"/>
    <w:rsid w:val="004D0EF4"/>
    <w:rsid w:val="004D6738"/>
    <w:rsid w:val="004E057E"/>
    <w:rsid w:val="004E44C8"/>
    <w:rsid w:val="004E53BE"/>
    <w:rsid w:val="004E7F82"/>
    <w:rsid w:val="004F14E6"/>
    <w:rsid w:val="004F2F7C"/>
    <w:rsid w:val="004F3EA9"/>
    <w:rsid w:val="00501992"/>
    <w:rsid w:val="005026AC"/>
    <w:rsid w:val="00503E48"/>
    <w:rsid w:val="00510AE7"/>
    <w:rsid w:val="005124FC"/>
    <w:rsid w:val="005201FF"/>
    <w:rsid w:val="00520EFD"/>
    <w:rsid w:val="0053062A"/>
    <w:rsid w:val="00533E2F"/>
    <w:rsid w:val="00535050"/>
    <w:rsid w:val="00536F3C"/>
    <w:rsid w:val="0054260E"/>
    <w:rsid w:val="00545F00"/>
    <w:rsid w:val="00550D79"/>
    <w:rsid w:val="00552A30"/>
    <w:rsid w:val="0055441E"/>
    <w:rsid w:val="00554A6A"/>
    <w:rsid w:val="005559AC"/>
    <w:rsid w:val="00555FB3"/>
    <w:rsid w:val="00557B5A"/>
    <w:rsid w:val="00560EBD"/>
    <w:rsid w:val="005611D0"/>
    <w:rsid w:val="00566AED"/>
    <w:rsid w:val="00566BD4"/>
    <w:rsid w:val="00576411"/>
    <w:rsid w:val="00577CAF"/>
    <w:rsid w:val="00580223"/>
    <w:rsid w:val="005856E2"/>
    <w:rsid w:val="0058601C"/>
    <w:rsid w:val="00592B11"/>
    <w:rsid w:val="00594186"/>
    <w:rsid w:val="0059791B"/>
    <w:rsid w:val="005A03AB"/>
    <w:rsid w:val="005A05D1"/>
    <w:rsid w:val="005A3F1A"/>
    <w:rsid w:val="005A53B8"/>
    <w:rsid w:val="005A5984"/>
    <w:rsid w:val="005B202B"/>
    <w:rsid w:val="005C10EB"/>
    <w:rsid w:val="005C2301"/>
    <w:rsid w:val="005C5A96"/>
    <w:rsid w:val="005D35D2"/>
    <w:rsid w:val="005D371D"/>
    <w:rsid w:val="005E332C"/>
    <w:rsid w:val="005E7495"/>
    <w:rsid w:val="005F411A"/>
    <w:rsid w:val="005F7581"/>
    <w:rsid w:val="006017DB"/>
    <w:rsid w:val="00601B90"/>
    <w:rsid w:val="00605351"/>
    <w:rsid w:val="0060576D"/>
    <w:rsid w:val="00621C12"/>
    <w:rsid w:val="00623E18"/>
    <w:rsid w:val="00625C5D"/>
    <w:rsid w:val="00635A22"/>
    <w:rsid w:val="006374EE"/>
    <w:rsid w:val="00640222"/>
    <w:rsid w:val="006418DF"/>
    <w:rsid w:val="00642083"/>
    <w:rsid w:val="00642963"/>
    <w:rsid w:val="006479A5"/>
    <w:rsid w:val="0065550D"/>
    <w:rsid w:val="00662039"/>
    <w:rsid w:val="00664295"/>
    <w:rsid w:val="00665364"/>
    <w:rsid w:val="0066739C"/>
    <w:rsid w:val="00667B35"/>
    <w:rsid w:val="00670EB5"/>
    <w:rsid w:val="006713EB"/>
    <w:rsid w:val="00673A9B"/>
    <w:rsid w:val="0067792A"/>
    <w:rsid w:val="00685232"/>
    <w:rsid w:val="006876A8"/>
    <w:rsid w:val="00692ECF"/>
    <w:rsid w:val="00693C0A"/>
    <w:rsid w:val="00697E4F"/>
    <w:rsid w:val="006A0986"/>
    <w:rsid w:val="006A3B77"/>
    <w:rsid w:val="006A49E3"/>
    <w:rsid w:val="006A55ED"/>
    <w:rsid w:val="006B1EFD"/>
    <w:rsid w:val="006B3EB2"/>
    <w:rsid w:val="006B41E4"/>
    <w:rsid w:val="006C0B9D"/>
    <w:rsid w:val="006C14E4"/>
    <w:rsid w:val="006C34B9"/>
    <w:rsid w:val="006C615F"/>
    <w:rsid w:val="006C6DA8"/>
    <w:rsid w:val="006C7F61"/>
    <w:rsid w:val="006D3FDC"/>
    <w:rsid w:val="006D407F"/>
    <w:rsid w:val="006D5DC2"/>
    <w:rsid w:val="006E04F8"/>
    <w:rsid w:val="006E3FEC"/>
    <w:rsid w:val="006E50FC"/>
    <w:rsid w:val="006F0442"/>
    <w:rsid w:val="006F071E"/>
    <w:rsid w:val="006F5344"/>
    <w:rsid w:val="007040AB"/>
    <w:rsid w:val="0070516F"/>
    <w:rsid w:val="007061B1"/>
    <w:rsid w:val="00714F0F"/>
    <w:rsid w:val="007160BE"/>
    <w:rsid w:val="00722F65"/>
    <w:rsid w:val="00723731"/>
    <w:rsid w:val="007257CD"/>
    <w:rsid w:val="00734A4F"/>
    <w:rsid w:val="00735CCE"/>
    <w:rsid w:val="007414C6"/>
    <w:rsid w:val="00750CDF"/>
    <w:rsid w:val="00761071"/>
    <w:rsid w:val="00762BCC"/>
    <w:rsid w:val="007637EF"/>
    <w:rsid w:val="00763BA3"/>
    <w:rsid w:val="00765B66"/>
    <w:rsid w:val="00767BB2"/>
    <w:rsid w:val="0077159C"/>
    <w:rsid w:val="00776293"/>
    <w:rsid w:val="00776D23"/>
    <w:rsid w:val="00780376"/>
    <w:rsid w:val="00780EE3"/>
    <w:rsid w:val="00791AAC"/>
    <w:rsid w:val="0079616E"/>
    <w:rsid w:val="00797D4C"/>
    <w:rsid w:val="00797DEE"/>
    <w:rsid w:val="007A07AA"/>
    <w:rsid w:val="007A1358"/>
    <w:rsid w:val="007A3695"/>
    <w:rsid w:val="007B3AB0"/>
    <w:rsid w:val="007B718F"/>
    <w:rsid w:val="007C0E7E"/>
    <w:rsid w:val="007C0FC4"/>
    <w:rsid w:val="007C14CD"/>
    <w:rsid w:val="007C4098"/>
    <w:rsid w:val="007C5F59"/>
    <w:rsid w:val="007D17C5"/>
    <w:rsid w:val="007D52EC"/>
    <w:rsid w:val="007D6FC4"/>
    <w:rsid w:val="007E090E"/>
    <w:rsid w:val="007E0F76"/>
    <w:rsid w:val="007E1A57"/>
    <w:rsid w:val="007E74B8"/>
    <w:rsid w:val="007F0CA0"/>
    <w:rsid w:val="007F1CEE"/>
    <w:rsid w:val="007F45C7"/>
    <w:rsid w:val="00807C77"/>
    <w:rsid w:val="0083126B"/>
    <w:rsid w:val="00837537"/>
    <w:rsid w:val="00841856"/>
    <w:rsid w:val="00842766"/>
    <w:rsid w:val="0085042D"/>
    <w:rsid w:val="008544CD"/>
    <w:rsid w:val="00854EBF"/>
    <w:rsid w:val="008559F7"/>
    <w:rsid w:val="0086094D"/>
    <w:rsid w:val="0086731C"/>
    <w:rsid w:val="00872382"/>
    <w:rsid w:val="00873D11"/>
    <w:rsid w:val="00886906"/>
    <w:rsid w:val="008912FE"/>
    <w:rsid w:val="00895484"/>
    <w:rsid w:val="008A245D"/>
    <w:rsid w:val="008A2624"/>
    <w:rsid w:val="008A54FC"/>
    <w:rsid w:val="008B050A"/>
    <w:rsid w:val="008B63B9"/>
    <w:rsid w:val="008B70CD"/>
    <w:rsid w:val="008D141C"/>
    <w:rsid w:val="008D2C13"/>
    <w:rsid w:val="008E6109"/>
    <w:rsid w:val="008F47AB"/>
    <w:rsid w:val="00900E3F"/>
    <w:rsid w:val="00907A34"/>
    <w:rsid w:val="00910B0A"/>
    <w:rsid w:val="009170EA"/>
    <w:rsid w:val="0092076F"/>
    <w:rsid w:val="00930439"/>
    <w:rsid w:val="009307BA"/>
    <w:rsid w:val="00935577"/>
    <w:rsid w:val="00937AEB"/>
    <w:rsid w:val="009522F6"/>
    <w:rsid w:val="00952404"/>
    <w:rsid w:val="00955CF5"/>
    <w:rsid w:val="00956A21"/>
    <w:rsid w:val="009662E3"/>
    <w:rsid w:val="00966C25"/>
    <w:rsid w:val="00966DD9"/>
    <w:rsid w:val="00967E50"/>
    <w:rsid w:val="00981479"/>
    <w:rsid w:val="00981B4F"/>
    <w:rsid w:val="00986677"/>
    <w:rsid w:val="0099421C"/>
    <w:rsid w:val="00997261"/>
    <w:rsid w:val="009A2F3A"/>
    <w:rsid w:val="009A7A45"/>
    <w:rsid w:val="009B0EA2"/>
    <w:rsid w:val="009B1E8D"/>
    <w:rsid w:val="009B3B36"/>
    <w:rsid w:val="009B53DD"/>
    <w:rsid w:val="009C3803"/>
    <w:rsid w:val="009D0FCC"/>
    <w:rsid w:val="009D2C13"/>
    <w:rsid w:val="009D35C8"/>
    <w:rsid w:val="009D3BA5"/>
    <w:rsid w:val="009D4BA1"/>
    <w:rsid w:val="009D7D5A"/>
    <w:rsid w:val="009E3B06"/>
    <w:rsid w:val="009E47EB"/>
    <w:rsid w:val="009F0D53"/>
    <w:rsid w:val="009F3A37"/>
    <w:rsid w:val="009F40F7"/>
    <w:rsid w:val="009F6EA2"/>
    <w:rsid w:val="00A02090"/>
    <w:rsid w:val="00A02B88"/>
    <w:rsid w:val="00A03731"/>
    <w:rsid w:val="00A061CE"/>
    <w:rsid w:val="00A076B5"/>
    <w:rsid w:val="00A17F69"/>
    <w:rsid w:val="00A23870"/>
    <w:rsid w:val="00A274DB"/>
    <w:rsid w:val="00A27E09"/>
    <w:rsid w:val="00A370F1"/>
    <w:rsid w:val="00A41E1E"/>
    <w:rsid w:val="00A43534"/>
    <w:rsid w:val="00A50484"/>
    <w:rsid w:val="00A50A8A"/>
    <w:rsid w:val="00A55441"/>
    <w:rsid w:val="00A55DF6"/>
    <w:rsid w:val="00A6411D"/>
    <w:rsid w:val="00A65FBF"/>
    <w:rsid w:val="00A666AD"/>
    <w:rsid w:val="00A673EB"/>
    <w:rsid w:val="00A67E0D"/>
    <w:rsid w:val="00A73298"/>
    <w:rsid w:val="00A751C0"/>
    <w:rsid w:val="00A83A3C"/>
    <w:rsid w:val="00A95ACB"/>
    <w:rsid w:val="00A96453"/>
    <w:rsid w:val="00A97942"/>
    <w:rsid w:val="00AA079B"/>
    <w:rsid w:val="00AA086A"/>
    <w:rsid w:val="00AA2613"/>
    <w:rsid w:val="00AC02F9"/>
    <w:rsid w:val="00AC0EA5"/>
    <w:rsid w:val="00AC2686"/>
    <w:rsid w:val="00AC324E"/>
    <w:rsid w:val="00AC4F81"/>
    <w:rsid w:val="00AD1BE1"/>
    <w:rsid w:val="00AD7257"/>
    <w:rsid w:val="00AE01DD"/>
    <w:rsid w:val="00AF0516"/>
    <w:rsid w:val="00AF0889"/>
    <w:rsid w:val="00AF2D0C"/>
    <w:rsid w:val="00AF4C0E"/>
    <w:rsid w:val="00B03E5C"/>
    <w:rsid w:val="00B14E5E"/>
    <w:rsid w:val="00B21D70"/>
    <w:rsid w:val="00B234CD"/>
    <w:rsid w:val="00B25910"/>
    <w:rsid w:val="00B26973"/>
    <w:rsid w:val="00B30D3B"/>
    <w:rsid w:val="00B36CD7"/>
    <w:rsid w:val="00B432D4"/>
    <w:rsid w:val="00B45091"/>
    <w:rsid w:val="00B45B16"/>
    <w:rsid w:val="00B5315C"/>
    <w:rsid w:val="00B576D7"/>
    <w:rsid w:val="00B624BF"/>
    <w:rsid w:val="00B64E17"/>
    <w:rsid w:val="00B80892"/>
    <w:rsid w:val="00B82735"/>
    <w:rsid w:val="00B82CD2"/>
    <w:rsid w:val="00B90ADB"/>
    <w:rsid w:val="00B92306"/>
    <w:rsid w:val="00B92356"/>
    <w:rsid w:val="00B92861"/>
    <w:rsid w:val="00B92B0F"/>
    <w:rsid w:val="00BA0901"/>
    <w:rsid w:val="00BA0C30"/>
    <w:rsid w:val="00BA7A69"/>
    <w:rsid w:val="00BB15E2"/>
    <w:rsid w:val="00BC0E86"/>
    <w:rsid w:val="00BC449E"/>
    <w:rsid w:val="00BD28DF"/>
    <w:rsid w:val="00BD6876"/>
    <w:rsid w:val="00BE0B23"/>
    <w:rsid w:val="00BE2864"/>
    <w:rsid w:val="00BF0314"/>
    <w:rsid w:val="00BF1261"/>
    <w:rsid w:val="00BF50C1"/>
    <w:rsid w:val="00C00565"/>
    <w:rsid w:val="00C03357"/>
    <w:rsid w:val="00C076BF"/>
    <w:rsid w:val="00C12562"/>
    <w:rsid w:val="00C212B5"/>
    <w:rsid w:val="00C25F81"/>
    <w:rsid w:val="00C27F02"/>
    <w:rsid w:val="00C32C20"/>
    <w:rsid w:val="00C428E1"/>
    <w:rsid w:val="00C44908"/>
    <w:rsid w:val="00C45580"/>
    <w:rsid w:val="00C5000D"/>
    <w:rsid w:val="00C504F4"/>
    <w:rsid w:val="00C512DE"/>
    <w:rsid w:val="00C515BC"/>
    <w:rsid w:val="00C546B1"/>
    <w:rsid w:val="00C55748"/>
    <w:rsid w:val="00C57E85"/>
    <w:rsid w:val="00C61B1D"/>
    <w:rsid w:val="00C65BB4"/>
    <w:rsid w:val="00C72196"/>
    <w:rsid w:val="00C74FFE"/>
    <w:rsid w:val="00C8071C"/>
    <w:rsid w:val="00C816CB"/>
    <w:rsid w:val="00C82461"/>
    <w:rsid w:val="00C85002"/>
    <w:rsid w:val="00C90AEA"/>
    <w:rsid w:val="00C91E3B"/>
    <w:rsid w:val="00CA07CC"/>
    <w:rsid w:val="00CA25B5"/>
    <w:rsid w:val="00CA4FCE"/>
    <w:rsid w:val="00CA5F8F"/>
    <w:rsid w:val="00CB020B"/>
    <w:rsid w:val="00CB7BF9"/>
    <w:rsid w:val="00CC5A6F"/>
    <w:rsid w:val="00CC7AA1"/>
    <w:rsid w:val="00CD07E7"/>
    <w:rsid w:val="00CD136B"/>
    <w:rsid w:val="00CD165D"/>
    <w:rsid w:val="00CD3102"/>
    <w:rsid w:val="00CD489C"/>
    <w:rsid w:val="00CD6111"/>
    <w:rsid w:val="00CE271A"/>
    <w:rsid w:val="00CE5A11"/>
    <w:rsid w:val="00CE6FF5"/>
    <w:rsid w:val="00CF5245"/>
    <w:rsid w:val="00D02DC2"/>
    <w:rsid w:val="00D051A6"/>
    <w:rsid w:val="00D06683"/>
    <w:rsid w:val="00D07B1A"/>
    <w:rsid w:val="00D10BF6"/>
    <w:rsid w:val="00D1101B"/>
    <w:rsid w:val="00D1167E"/>
    <w:rsid w:val="00D234E7"/>
    <w:rsid w:val="00D249DA"/>
    <w:rsid w:val="00D304D8"/>
    <w:rsid w:val="00D30E46"/>
    <w:rsid w:val="00D31BCB"/>
    <w:rsid w:val="00D3663D"/>
    <w:rsid w:val="00D4349F"/>
    <w:rsid w:val="00D47EF6"/>
    <w:rsid w:val="00D50AC8"/>
    <w:rsid w:val="00D60A44"/>
    <w:rsid w:val="00D61C68"/>
    <w:rsid w:val="00D652A2"/>
    <w:rsid w:val="00D66968"/>
    <w:rsid w:val="00D7390F"/>
    <w:rsid w:val="00D74F04"/>
    <w:rsid w:val="00D759E8"/>
    <w:rsid w:val="00D77959"/>
    <w:rsid w:val="00D90913"/>
    <w:rsid w:val="00D92BEC"/>
    <w:rsid w:val="00D97229"/>
    <w:rsid w:val="00DA18F2"/>
    <w:rsid w:val="00DB17F9"/>
    <w:rsid w:val="00DC022D"/>
    <w:rsid w:val="00DD434F"/>
    <w:rsid w:val="00DD5136"/>
    <w:rsid w:val="00DD6973"/>
    <w:rsid w:val="00DF2C67"/>
    <w:rsid w:val="00DF3AE2"/>
    <w:rsid w:val="00DF4256"/>
    <w:rsid w:val="00DF427E"/>
    <w:rsid w:val="00DF7D21"/>
    <w:rsid w:val="00E03771"/>
    <w:rsid w:val="00E059C5"/>
    <w:rsid w:val="00E107AF"/>
    <w:rsid w:val="00E11D7E"/>
    <w:rsid w:val="00E14334"/>
    <w:rsid w:val="00E15302"/>
    <w:rsid w:val="00E159CC"/>
    <w:rsid w:val="00E15A00"/>
    <w:rsid w:val="00E20571"/>
    <w:rsid w:val="00E22E76"/>
    <w:rsid w:val="00E2303A"/>
    <w:rsid w:val="00E24B14"/>
    <w:rsid w:val="00E2728B"/>
    <w:rsid w:val="00E313BF"/>
    <w:rsid w:val="00E32349"/>
    <w:rsid w:val="00E324E3"/>
    <w:rsid w:val="00E343BD"/>
    <w:rsid w:val="00E348D9"/>
    <w:rsid w:val="00E34C3A"/>
    <w:rsid w:val="00E36601"/>
    <w:rsid w:val="00E46600"/>
    <w:rsid w:val="00E503C0"/>
    <w:rsid w:val="00E56750"/>
    <w:rsid w:val="00E60351"/>
    <w:rsid w:val="00E633C2"/>
    <w:rsid w:val="00E6597F"/>
    <w:rsid w:val="00E668CE"/>
    <w:rsid w:val="00E67E1F"/>
    <w:rsid w:val="00E71AE7"/>
    <w:rsid w:val="00E73B43"/>
    <w:rsid w:val="00E74DFF"/>
    <w:rsid w:val="00E752E6"/>
    <w:rsid w:val="00E769ED"/>
    <w:rsid w:val="00E81F7A"/>
    <w:rsid w:val="00E82AF5"/>
    <w:rsid w:val="00E8682A"/>
    <w:rsid w:val="00E868E0"/>
    <w:rsid w:val="00E92270"/>
    <w:rsid w:val="00E94495"/>
    <w:rsid w:val="00E9481A"/>
    <w:rsid w:val="00E97036"/>
    <w:rsid w:val="00E97660"/>
    <w:rsid w:val="00EA2ED5"/>
    <w:rsid w:val="00EA6088"/>
    <w:rsid w:val="00EA6D0E"/>
    <w:rsid w:val="00EB0FC4"/>
    <w:rsid w:val="00EB134C"/>
    <w:rsid w:val="00EB6595"/>
    <w:rsid w:val="00EC1224"/>
    <w:rsid w:val="00EC1277"/>
    <w:rsid w:val="00EC1A2C"/>
    <w:rsid w:val="00EC5CA5"/>
    <w:rsid w:val="00EC6EAF"/>
    <w:rsid w:val="00ED2C10"/>
    <w:rsid w:val="00EE0C75"/>
    <w:rsid w:val="00EE6739"/>
    <w:rsid w:val="00EF3426"/>
    <w:rsid w:val="00F0781F"/>
    <w:rsid w:val="00F11542"/>
    <w:rsid w:val="00F115FD"/>
    <w:rsid w:val="00F160F3"/>
    <w:rsid w:val="00F17DEA"/>
    <w:rsid w:val="00F212EB"/>
    <w:rsid w:val="00F225CA"/>
    <w:rsid w:val="00F22C28"/>
    <w:rsid w:val="00F23D13"/>
    <w:rsid w:val="00F260F0"/>
    <w:rsid w:val="00F31C1D"/>
    <w:rsid w:val="00F32DEC"/>
    <w:rsid w:val="00F35818"/>
    <w:rsid w:val="00F36EE9"/>
    <w:rsid w:val="00F375DF"/>
    <w:rsid w:val="00F43E24"/>
    <w:rsid w:val="00F44B2E"/>
    <w:rsid w:val="00F45561"/>
    <w:rsid w:val="00F465D3"/>
    <w:rsid w:val="00F51BD6"/>
    <w:rsid w:val="00F56F06"/>
    <w:rsid w:val="00F56F62"/>
    <w:rsid w:val="00F62D48"/>
    <w:rsid w:val="00F661E8"/>
    <w:rsid w:val="00F7233F"/>
    <w:rsid w:val="00F72FCC"/>
    <w:rsid w:val="00F73815"/>
    <w:rsid w:val="00F7770D"/>
    <w:rsid w:val="00F82C1B"/>
    <w:rsid w:val="00F877F3"/>
    <w:rsid w:val="00F905E7"/>
    <w:rsid w:val="00F91FDD"/>
    <w:rsid w:val="00F93115"/>
    <w:rsid w:val="00FA18CA"/>
    <w:rsid w:val="00FA4E32"/>
    <w:rsid w:val="00FA5792"/>
    <w:rsid w:val="00FB0368"/>
    <w:rsid w:val="00FB04BE"/>
    <w:rsid w:val="00FB17C9"/>
    <w:rsid w:val="00FB200D"/>
    <w:rsid w:val="00FB3571"/>
    <w:rsid w:val="00FB4315"/>
    <w:rsid w:val="00FB4F1D"/>
    <w:rsid w:val="00FB5421"/>
    <w:rsid w:val="00FB556A"/>
    <w:rsid w:val="00FC340A"/>
    <w:rsid w:val="00FC6D66"/>
    <w:rsid w:val="00FE5912"/>
    <w:rsid w:val="00FE7EEC"/>
    <w:rsid w:val="00FF0E5A"/>
    <w:rsid w:val="00FF16E9"/>
    <w:rsid w:val="00FF3195"/>
    <w:rsid w:val="00FF38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567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Footnote symbol,Appel note de bas de p,Appel note de bas de p + (Asian) Batang,Black,Footnote Reference/,(NECG) Footnote Reference,Nota,Footnote"/>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qFormat/>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uiPriority w:val="3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paragraph" w:styleId="Pieddepage">
    <w:name w:val="footer"/>
    <w:basedOn w:val="Normal"/>
    <w:link w:val="PieddepageCar"/>
    <w:uiPriority w:val="99"/>
    <w:unhideWhenUsed/>
    <w:locked/>
    <w:rsid w:val="000C7F25"/>
    <w:pPr>
      <w:tabs>
        <w:tab w:val="center" w:pos="4513"/>
        <w:tab w:val="right" w:pos="9026"/>
      </w:tabs>
      <w:spacing w:before="0" w:after="0"/>
    </w:pPr>
  </w:style>
  <w:style w:type="character" w:customStyle="1" w:styleId="PieddepageCar">
    <w:name w:val="Pied de page Car"/>
    <w:basedOn w:val="Policepardfaut"/>
    <w:link w:val="Pieddepage"/>
    <w:uiPriority w:val="99"/>
    <w:rsid w:val="000C7F25"/>
    <w:rPr>
      <w:rFonts w:eastAsia="Calibri"/>
      <w:szCs w:val="22"/>
      <w:lang w:val="en-GB"/>
    </w:rPr>
  </w:style>
  <w:style w:type="character" w:styleId="Marquedecommentaire">
    <w:name w:val="annotation reference"/>
    <w:basedOn w:val="Policepardfaut"/>
    <w:uiPriority w:val="99"/>
    <w:semiHidden/>
    <w:unhideWhenUsed/>
    <w:locked/>
    <w:rsid w:val="007D6FC4"/>
    <w:rPr>
      <w:sz w:val="16"/>
      <w:szCs w:val="16"/>
    </w:rPr>
  </w:style>
  <w:style w:type="paragraph" w:styleId="Commentaire">
    <w:name w:val="annotation text"/>
    <w:basedOn w:val="Normal"/>
    <w:link w:val="CommentaireCar"/>
    <w:uiPriority w:val="99"/>
    <w:semiHidden/>
    <w:unhideWhenUsed/>
    <w:locked/>
    <w:rsid w:val="007D6FC4"/>
    <w:rPr>
      <w:szCs w:val="20"/>
    </w:rPr>
  </w:style>
  <w:style w:type="character" w:customStyle="1" w:styleId="CommentaireCar">
    <w:name w:val="Commentaire Car"/>
    <w:basedOn w:val="Policepardfaut"/>
    <w:link w:val="Commentaire"/>
    <w:uiPriority w:val="99"/>
    <w:semiHidden/>
    <w:rsid w:val="007D6FC4"/>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7D6FC4"/>
    <w:rPr>
      <w:b/>
      <w:bCs/>
    </w:rPr>
  </w:style>
  <w:style w:type="character" w:customStyle="1" w:styleId="ObjetducommentaireCar">
    <w:name w:val="Objet du commentaire Car"/>
    <w:basedOn w:val="CommentaireCar"/>
    <w:link w:val="Objetducommentaire"/>
    <w:uiPriority w:val="99"/>
    <w:semiHidden/>
    <w:rsid w:val="007D6FC4"/>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Footnote symbol,Appel note de bas de p,Appel note de bas de p + (Asian) Batang,Black,Footnote Reference/,(NECG) Footnote Reference,Nota,Footnote"/>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qFormat/>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uiPriority w:val="3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paragraph" w:styleId="Pieddepage">
    <w:name w:val="footer"/>
    <w:basedOn w:val="Normal"/>
    <w:link w:val="PieddepageCar"/>
    <w:uiPriority w:val="99"/>
    <w:unhideWhenUsed/>
    <w:locked/>
    <w:rsid w:val="000C7F25"/>
    <w:pPr>
      <w:tabs>
        <w:tab w:val="center" w:pos="4513"/>
        <w:tab w:val="right" w:pos="9026"/>
      </w:tabs>
      <w:spacing w:before="0" w:after="0"/>
    </w:pPr>
  </w:style>
  <w:style w:type="character" w:customStyle="1" w:styleId="PieddepageCar">
    <w:name w:val="Pied de page Car"/>
    <w:basedOn w:val="Policepardfaut"/>
    <w:link w:val="Pieddepage"/>
    <w:uiPriority w:val="99"/>
    <w:rsid w:val="000C7F25"/>
    <w:rPr>
      <w:rFonts w:eastAsia="Calibri"/>
      <w:szCs w:val="22"/>
      <w:lang w:val="en-GB"/>
    </w:rPr>
  </w:style>
  <w:style w:type="character" w:styleId="Marquedecommentaire">
    <w:name w:val="annotation reference"/>
    <w:basedOn w:val="Policepardfaut"/>
    <w:uiPriority w:val="99"/>
    <w:semiHidden/>
    <w:unhideWhenUsed/>
    <w:locked/>
    <w:rsid w:val="007D6FC4"/>
    <w:rPr>
      <w:sz w:val="16"/>
      <w:szCs w:val="16"/>
    </w:rPr>
  </w:style>
  <w:style w:type="paragraph" w:styleId="Commentaire">
    <w:name w:val="annotation text"/>
    <w:basedOn w:val="Normal"/>
    <w:link w:val="CommentaireCar"/>
    <w:uiPriority w:val="99"/>
    <w:semiHidden/>
    <w:unhideWhenUsed/>
    <w:locked/>
    <w:rsid w:val="007D6FC4"/>
    <w:rPr>
      <w:szCs w:val="20"/>
    </w:rPr>
  </w:style>
  <w:style w:type="character" w:customStyle="1" w:styleId="CommentaireCar">
    <w:name w:val="Commentaire Car"/>
    <w:basedOn w:val="Policepardfaut"/>
    <w:link w:val="Commentaire"/>
    <w:uiPriority w:val="99"/>
    <w:semiHidden/>
    <w:rsid w:val="007D6FC4"/>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7D6FC4"/>
    <w:rPr>
      <w:b/>
      <w:bCs/>
    </w:rPr>
  </w:style>
  <w:style w:type="character" w:customStyle="1" w:styleId="ObjetducommentaireCar">
    <w:name w:val="Objet du commentaire Car"/>
    <w:basedOn w:val="CommentaireCar"/>
    <w:link w:val="Objetducommentaire"/>
    <w:uiPriority w:val="99"/>
    <w:semiHidden/>
    <w:rsid w:val="007D6FC4"/>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3" ma:contentTypeDescription="Create a new document." ma:contentTypeScope="" ma:versionID="aeb40d28a5c7fe3f7b85661d50f3de25">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5f23b182c216a65bc94c9f93f4c0f7a0"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8A25-CA44-4B2E-B924-72C1FCBB3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4D182-A5B8-4ED5-8D08-28EE6781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FBBEE-08AD-4617-B081-E59F090A40C5}">
  <ds:schemaRefs>
    <ds:schemaRef ds:uri="http://schemas.microsoft.com/sharepoint/v3/contenttype/forms"/>
  </ds:schemaRefs>
</ds:datastoreItem>
</file>

<file path=customXml/itemProps4.xml><?xml version="1.0" encoding="utf-8"?>
<ds:datastoreItem xmlns:ds="http://schemas.openxmlformats.org/officeDocument/2006/customXml" ds:itemID="{EDFE8AB9-6B66-4A51-AD9A-EE2FA96F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5</TotalTime>
  <Pages>3</Pages>
  <Words>810</Words>
  <Characters>4460</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ECC</Manager>
  <Company>ECO</Company>
  <LinksUpToDate>false</LinksUpToDate>
  <CharactersWithSpaces>5260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ECC #55</cp:lastModifiedBy>
  <cp:revision>7</cp:revision>
  <cp:lastPrinted>2016-10-04T08:55:00Z</cp:lastPrinted>
  <dcterms:created xsi:type="dcterms:W3CDTF">2021-03-02T10:15:00Z</dcterms:created>
  <dcterms:modified xsi:type="dcterms:W3CDTF">2021-03-03T10:57:00Z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Stephen.Talbot@ofcom.org.uk</vt:lpwstr>
  </property>
  <property fmtid="{D5CDD505-2E9C-101B-9397-08002B2CF9AE}" pid="5" name="MSIP_Label_5a50d26f-5c2c-4137-8396-1b24eb24286c_SetDate">
    <vt:lpwstr>2020-09-23T09:35:46.3652979Z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86ddf0dd-e3fd-441a-b5f5-a6000f462e75</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0x010100D150FE42788A214EB75D5CAD861CD4C9</vt:lpwstr>
  </property>
</Properties>
</file>