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25D6A6C5" w14:textId="77777777" w:rsidTr="000E3E4D">
        <w:trPr>
          <w:cantSplit/>
          <w:trHeight w:val="1560"/>
        </w:trPr>
        <w:tc>
          <w:tcPr>
            <w:tcW w:w="4820" w:type="dxa"/>
            <w:gridSpan w:val="2"/>
            <w:tcBorders>
              <w:top w:val="nil"/>
              <w:left w:val="nil"/>
              <w:bottom w:val="nil"/>
              <w:right w:val="nil"/>
            </w:tcBorders>
            <w:vAlign w:val="center"/>
          </w:tcPr>
          <w:p w14:paraId="25D6A6C3" w14:textId="77777777" w:rsidR="00265F50" w:rsidRPr="00265F50" w:rsidRDefault="00265F50" w:rsidP="00DD5136">
            <w:pPr>
              <w:pStyle w:val="ECCLetterHead"/>
            </w:pPr>
            <w:r w:rsidRPr="00265F50">
              <w:rPr>
                <w:noProof/>
                <w:lang w:eastAsia="en-GB"/>
              </w:rPr>
              <w:drawing>
                <wp:inline distT="0" distB="0" distL="0" distR="0" wp14:anchorId="25D6A7C4" wp14:editId="25D6A7C5">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FF48B9">
              <w:t>SE40</w:t>
            </w:r>
          </w:p>
        </w:tc>
        <w:tc>
          <w:tcPr>
            <w:tcW w:w="4961" w:type="dxa"/>
            <w:tcBorders>
              <w:top w:val="nil"/>
              <w:left w:val="nil"/>
              <w:bottom w:val="nil"/>
              <w:right w:val="nil"/>
            </w:tcBorders>
          </w:tcPr>
          <w:p w14:paraId="25D6A6C4" w14:textId="0850CFEE" w:rsidR="00265F50" w:rsidRPr="00265F50" w:rsidRDefault="00265F50" w:rsidP="001E44B2">
            <w:pPr>
              <w:pStyle w:val="ECCLetterHead"/>
            </w:pPr>
            <w:r>
              <w:tab/>
              <w:t xml:space="preserve">Doc. </w:t>
            </w:r>
            <w:r w:rsidR="0062414A">
              <w:t>SE40</w:t>
            </w:r>
            <w:r w:rsidR="001E44B2">
              <w:t>(21)</w:t>
            </w:r>
            <w:r w:rsidR="00BE226B">
              <w:t>044</w:t>
            </w:r>
          </w:p>
        </w:tc>
      </w:tr>
      <w:tr w:rsidR="00F11542" w:rsidRPr="00A3755D" w14:paraId="25D6A6C7" w14:textId="77777777" w:rsidTr="000A6F19">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25D6A6C6" w14:textId="77777777" w:rsidR="00F11542" w:rsidRPr="0011705C" w:rsidRDefault="00FF48B9" w:rsidP="00AC09BC">
            <w:pPr>
              <w:pStyle w:val="ECCLetterHead"/>
            </w:pPr>
            <w:r>
              <w:t>SE40</w:t>
            </w:r>
            <w:r w:rsidR="00DD5136">
              <w:t xml:space="preserve"> (</w:t>
            </w:r>
            <w:r w:rsidR="00373E37">
              <w:t xml:space="preserve">meeting </w:t>
            </w:r>
            <w:r w:rsidR="00373E37">
              <w:rPr>
                <w:lang w:val="en-US"/>
              </w:rPr>
              <w:t>#</w:t>
            </w:r>
            <w:r w:rsidR="00373E37">
              <w:t>7</w:t>
            </w:r>
            <w:r w:rsidR="00AC09BC">
              <w:t>5</w:t>
            </w:r>
            <w:r w:rsidR="00DD5136">
              <w:t>)</w:t>
            </w:r>
          </w:p>
        </w:tc>
      </w:tr>
      <w:tr w:rsidR="00F11542" w:rsidRPr="00A3755D" w14:paraId="25D6A6C9" w14:textId="77777777" w:rsidTr="000A6F19">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25D6A6C8" w14:textId="09F75B81" w:rsidR="00F11542" w:rsidRPr="0011705C" w:rsidRDefault="00F271F1" w:rsidP="00265F50">
            <w:pPr>
              <w:pStyle w:val="ECCLetterHead"/>
            </w:pPr>
            <w:r>
              <w:t>Web meeting</w:t>
            </w:r>
            <w:r w:rsidR="00BE226B">
              <w:t>, 7 – 10 December 2021</w:t>
            </w:r>
          </w:p>
        </w:tc>
      </w:tr>
      <w:tr w:rsidR="00F11542" w:rsidRPr="00A3755D" w14:paraId="25D6A6CB" w14:textId="77777777" w:rsidTr="000A6F19">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25D6A6CA" w14:textId="77777777" w:rsidR="00F11542" w:rsidRPr="00A3755D" w:rsidRDefault="00F11542" w:rsidP="00263FFB">
            <w:pPr>
              <w:pStyle w:val="ECCLetterHead"/>
            </w:pPr>
          </w:p>
        </w:tc>
      </w:tr>
      <w:tr w:rsidR="00263FFB" w:rsidRPr="00A3755D" w14:paraId="25D6A6CE"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25D6A6CC"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25D6A6CD" w14:textId="77777777" w:rsidR="00263FFB" w:rsidRPr="00263FFB" w:rsidRDefault="00AC09BC" w:rsidP="001F21E7">
            <w:pPr>
              <w:pStyle w:val="ECCLetterHead"/>
            </w:pPr>
            <w:r>
              <w:t>30</w:t>
            </w:r>
            <w:r w:rsidRPr="00AC09BC">
              <w:rPr>
                <w:vertAlign w:val="superscript"/>
              </w:rPr>
              <w:t>th</w:t>
            </w:r>
            <w:r>
              <w:t xml:space="preserve"> November</w:t>
            </w:r>
            <w:r w:rsidR="00EC546B">
              <w:t xml:space="preserve"> 2021</w:t>
            </w:r>
          </w:p>
        </w:tc>
      </w:tr>
      <w:tr w:rsidR="00263FFB" w:rsidRPr="00A3755D" w14:paraId="25D6A6D1"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25D6A6CF"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25D6A6D0" w14:textId="77777777" w:rsidR="00263FFB" w:rsidRPr="00263FFB" w:rsidRDefault="001E44B2" w:rsidP="00263FFB">
            <w:pPr>
              <w:pStyle w:val="ECCLetterHead"/>
            </w:pPr>
            <w:r>
              <w:t>IARU R1</w:t>
            </w:r>
          </w:p>
        </w:tc>
      </w:tr>
      <w:tr w:rsidR="00263FFB" w:rsidRPr="00A3755D" w14:paraId="25D6A6D4"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25D6A6D2"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25D6A6D3" w14:textId="77777777" w:rsidR="00263FFB" w:rsidRPr="00263FFB" w:rsidRDefault="00F271F1" w:rsidP="001E44B2">
            <w:pPr>
              <w:pStyle w:val="ECCLetterHead"/>
            </w:pPr>
            <w:r>
              <w:t>Amateur vs RNSS</w:t>
            </w:r>
            <w:r w:rsidR="00AC09BC">
              <w:t xml:space="preserve"> WI39</w:t>
            </w:r>
          </w:p>
        </w:tc>
      </w:tr>
      <w:tr w:rsidR="00263FFB" w:rsidRPr="00A3755D" w14:paraId="25D6A6D6"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5D6A6D5" w14:textId="77777777" w:rsidR="00263FFB" w:rsidRPr="00263FFB" w:rsidRDefault="00263FFB" w:rsidP="00263FFB">
            <w:pPr>
              <w:pStyle w:val="ECCTabletext"/>
            </w:pPr>
            <w:r w:rsidRPr="00263FFB">
              <w:rPr>
                <w:noProof/>
                <w:lang w:eastAsia="en-GB"/>
              </w:rPr>
              <mc:AlternateContent>
                <mc:Choice Requires="wps">
                  <w:drawing>
                    <wp:anchor distT="0" distB="0" distL="114300" distR="114300" simplePos="0" relativeHeight="251662336" behindDoc="0" locked="1" layoutInCell="0" allowOverlap="1" wp14:anchorId="25D6A7C6" wp14:editId="25D6A7C7">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5D6A7D4" w14:textId="77777777" w:rsidR="000A6F19" w:rsidRPr="00F45561" w:rsidRDefault="000A6F19"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F43F9"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rsidR="000A6F19" w:rsidRPr="00F45561" w:rsidRDefault="000A6F19"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25D6A6D9"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25D6A6D7" w14:textId="77777777" w:rsidR="00263FFB" w:rsidRPr="00F32DEC" w:rsidRDefault="00263FFB" w:rsidP="00263FFB">
            <w:pPr>
              <w:rPr>
                <w:rStyle w:val="ECCParagraph"/>
              </w:rPr>
            </w:pPr>
          </w:p>
          <w:p w14:paraId="25D6A6D8" w14:textId="77777777" w:rsidR="00263FFB" w:rsidRPr="00A3755D" w:rsidRDefault="00263FFB" w:rsidP="00263FFB"/>
        </w:tc>
      </w:tr>
      <w:tr w:rsidR="00263FFB" w:rsidRPr="00A3755D" w14:paraId="25D6A6DB"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25D6A6DA" w14:textId="77777777" w:rsidR="00263FFB" w:rsidRPr="00263FFB" w:rsidRDefault="00263FFB" w:rsidP="00263FFB">
            <w:pPr>
              <w:pStyle w:val="ECCLetterHead"/>
            </w:pPr>
            <w:r w:rsidRPr="00A3755D">
              <w:t xml:space="preserve">Summary: </w:t>
            </w:r>
          </w:p>
        </w:tc>
      </w:tr>
      <w:tr w:rsidR="00263FFB" w:rsidRPr="00A3755D" w14:paraId="25D6A6DF"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25D6A6DC" w14:textId="77777777" w:rsidR="00EF435C" w:rsidRDefault="00DF6843" w:rsidP="001E44B2">
            <w:pPr>
              <w:pStyle w:val="ECCTabletext"/>
              <w:rPr>
                <w:rFonts w:cs="Arial"/>
                <w:sz w:val="22"/>
              </w:rPr>
            </w:pPr>
            <w:r w:rsidRPr="00DF6843">
              <w:rPr>
                <w:rFonts w:cs="Arial"/>
                <w:sz w:val="22"/>
              </w:rPr>
              <w:t xml:space="preserve">This </w:t>
            </w:r>
            <w:r w:rsidR="003C172A">
              <w:rPr>
                <w:rFonts w:cs="Arial"/>
                <w:sz w:val="22"/>
              </w:rPr>
              <w:t>document</w:t>
            </w:r>
            <w:r w:rsidR="00B01828">
              <w:rPr>
                <w:rFonts w:cs="Arial"/>
                <w:sz w:val="22"/>
              </w:rPr>
              <w:t xml:space="preserve"> provides </w:t>
            </w:r>
            <w:r w:rsidR="00AC09BC">
              <w:rPr>
                <w:rFonts w:cs="Arial"/>
                <w:sz w:val="22"/>
              </w:rPr>
              <w:t xml:space="preserve">an initial analysis of the preliminary studies reported in section 6.1.9 of the draft ECC Report &lt;RNSS_AS&gt;. Reference document </w:t>
            </w:r>
            <w:r w:rsidR="00AC09BC" w:rsidRPr="00AC09BC">
              <w:rPr>
                <w:rFonts w:cs="Arial"/>
                <w:sz w:val="22"/>
              </w:rPr>
              <w:t xml:space="preserve">SE40(21)035_ANNEX 9_WD_draft ECC report RNSS </w:t>
            </w:r>
            <w:proofErr w:type="spellStart"/>
            <w:r w:rsidR="00AC09BC" w:rsidRPr="00AC09BC">
              <w:rPr>
                <w:rFonts w:cs="Arial"/>
                <w:sz w:val="22"/>
              </w:rPr>
              <w:t>Amateurs_Final</w:t>
            </w:r>
            <w:proofErr w:type="spellEnd"/>
            <w:r w:rsidR="00AC09BC">
              <w:rPr>
                <w:rFonts w:cs="Arial"/>
                <w:sz w:val="22"/>
              </w:rPr>
              <w:t xml:space="preserve"> </w:t>
            </w:r>
          </w:p>
          <w:p w14:paraId="25D6A6DD" w14:textId="77777777" w:rsidR="002F70E6" w:rsidRDefault="002F70E6" w:rsidP="00263FFB">
            <w:pPr>
              <w:pStyle w:val="ECCTabletext"/>
            </w:pPr>
          </w:p>
          <w:p w14:paraId="25D6A6DE" w14:textId="77777777" w:rsidR="002F70E6" w:rsidRPr="00263FFB" w:rsidRDefault="002F70E6" w:rsidP="00263FFB">
            <w:pPr>
              <w:pStyle w:val="ECCTabletext"/>
            </w:pPr>
          </w:p>
        </w:tc>
      </w:tr>
      <w:tr w:rsidR="00263FFB" w:rsidRPr="00A3755D" w14:paraId="25D6A6E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25D6A6E0" w14:textId="77777777" w:rsidR="00263FFB" w:rsidRDefault="00263FFB" w:rsidP="00263FFB">
            <w:pPr>
              <w:pStyle w:val="ECCLetterHead"/>
            </w:pPr>
            <w:r w:rsidRPr="00A3755D">
              <w:t>Proposal:</w:t>
            </w:r>
          </w:p>
          <w:p w14:paraId="25D6A6E1" w14:textId="77777777" w:rsidR="00D15A5B" w:rsidRDefault="00AC09BC" w:rsidP="00D15A5B">
            <w:pPr>
              <w:pStyle w:val="ECCLetterHead"/>
              <w:rPr>
                <w:rFonts w:cs="Arial"/>
                <w:b w:val="0"/>
                <w:szCs w:val="22"/>
              </w:rPr>
            </w:pPr>
            <w:r>
              <w:rPr>
                <w:rFonts w:cs="Arial"/>
                <w:b w:val="0"/>
                <w:szCs w:val="22"/>
              </w:rPr>
              <w:t>See the Annex 1 for the proposal. This is submitted for consideration in the draft ECC Report.</w:t>
            </w:r>
          </w:p>
          <w:p w14:paraId="25D6A6E2" w14:textId="77777777" w:rsidR="00D15A5B" w:rsidRPr="003C172A" w:rsidRDefault="00D15A5B" w:rsidP="00D15A5B">
            <w:pPr>
              <w:pStyle w:val="ECCLetterHead"/>
              <w:rPr>
                <w:rFonts w:cs="Arial"/>
                <w:b w:val="0"/>
                <w:szCs w:val="22"/>
              </w:rPr>
            </w:pPr>
          </w:p>
        </w:tc>
      </w:tr>
      <w:tr w:rsidR="00263FFB" w:rsidRPr="00A3755D" w14:paraId="25D6A6E5" w14:textId="77777777" w:rsidTr="00D10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3"/>
        </w:trPr>
        <w:tc>
          <w:tcPr>
            <w:tcW w:w="9781" w:type="dxa"/>
            <w:gridSpan w:val="3"/>
            <w:tcBorders>
              <w:top w:val="nil"/>
              <w:left w:val="single" w:sz="6" w:space="0" w:color="C00000"/>
              <w:bottom w:val="single" w:sz="6" w:space="0" w:color="C00000"/>
              <w:right w:val="single" w:sz="6" w:space="0" w:color="C00000"/>
            </w:tcBorders>
          </w:tcPr>
          <w:p w14:paraId="25D6A6E4" w14:textId="77777777" w:rsidR="002F70E6" w:rsidRPr="00263FFB" w:rsidRDefault="002F70E6" w:rsidP="00DF6843">
            <w:pPr>
              <w:pStyle w:val="ECCBulletsLv2"/>
              <w:numPr>
                <w:ilvl w:val="0"/>
                <w:numId w:val="0"/>
              </w:numPr>
            </w:pPr>
          </w:p>
        </w:tc>
      </w:tr>
      <w:tr w:rsidR="00263FFB" w:rsidRPr="00A3755D" w14:paraId="25D6A6E7"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25D6A6E6" w14:textId="77777777" w:rsidR="00263FFB" w:rsidRPr="00263FFB" w:rsidRDefault="00263FFB" w:rsidP="00263FFB">
            <w:pPr>
              <w:pStyle w:val="ECCLetterHead"/>
            </w:pPr>
            <w:r w:rsidRPr="00A3755D">
              <w:t>Background:</w:t>
            </w:r>
          </w:p>
        </w:tc>
      </w:tr>
      <w:tr w:rsidR="00265F50" w:rsidRPr="00A3755D" w14:paraId="25D6A6E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25D6A6E8" w14:textId="77777777" w:rsidR="002F70E6" w:rsidRPr="00265F50" w:rsidRDefault="002F70E6" w:rsidP="00AC09BC">
            <w:pPr>
              <w:pStyle w:val="ECCTabletext"/>
            </w:pPr>
          </w:p>
        </w:tc>
      </w:tr>
    </w:tbl>
    <w:p w14:paraId="25D6A6EA" w14:textId="77777777" w:rsidR="00AC09BC" w:rsidRDefault="00AC09BC" w:rsidP="002B67CB">
      <w:pPr>
        <w:rPr>
          <w:rFonts w:ascii="Times New Roman" w:eastAsiaTheme="minorEastAsia" w:hAnsi="Times New Roman"/>
          <w:color w:val="000000" w:themeColor="text1"/>
          <w:sz w:val="24"/>
          <w:szCs w:val="24"/>
        </w:rPr>
      </w:pPr>
    </w:p>
    <w:p w14:paraId="25D6A6EB" w14:textId="77777777" w:rsidR="00AC09BC" w:rsidRDefault="00AC09BC">
      <w:pPr>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br w:type="page"/>
      </w:r>
    </w:p>
    <w:p w14:paraId="25D6A6EC" w14:textId="77777777" w:rsidR="00AC09BC" w:rsidRPr="00AC09BC" w:rsidRDefault="00AC09BC" w:rsidP="00AC09BC">
      <w:pPr>
        <w:rPr>
          <w:b/>
        </w:rPr>
      </w:pPr>
      <w:r w:rsidRPr="00AC09BC">
        <w:rPr>
          <w:b/>
        </w:rPr>
        <w:lastRenderedPageBreak/>
        <w:t>ANNEX 1:</w:t>
      </w:r>
    </w:p>
    <w:p w14:paraId="25D6A6ED" w14:textId="77777777" w:rsidR="00AC09BC" w:rsidRDefault="00AC09BC" w:rsidP="00AC09BC">
      <w:r w:rsidRPr="00A859CB">
        <w:t>The simulations</w:t>
      </w:r>
      <w:r>
        <w:t xml:space="preserve"> presented</w:t>
      </w:r>
      <w:r w:rsidRPr="00A859CB">
        <w:t xml:space="preserve"> in </w:t>
      </w:r>
      <w:r>
        <w:t>the working document estimate the “Interfered Area” around a range of amateur transmitters based on the calculations and analysis performed on the basis of the propagation model P.1546. The interfered area depends largely upon the transmitted power and the shape around the amateur transmitter depends on the antenna radiation pattern in the horizontal plane. Of course, the Interfered Area only exists in the presence of emissions from the amateur station.</w:t>
      </w:r>
    </w:p>
    <w:p w14:paraId="25D6A6EE" w14:textId="77777777" w:rsidR="00AC09BC" w:rsidRDefault="00AC09BC" w:rsidP="00AC09BC">
      <w:pPr>
        <w:rPr>
          <w:b/>
          <w:bCs/>
          <w:u w:val="single"/>
        </w:rPr>
      </w:pPr>
      <w:r w:rsidRPr="00A859CB">
        <w:rPr>
          <w:b/>
          <w:bCs/>
          <w:u w:val="single"/>
        </w:rPr>
        <w:t>Interfered Area</w:t>
      </w:r>
    </w:p>
    <w:p w14:paraId="25D6A6EF" w14:textId="77777777" w:rsidR="00AC09BC" w:rsidRDefault="00AC09BC" w:rsidP="00AC09BC">
      <w:r>
        <w:t>The interfered area derived from the output plots from the propagation model simulations and can be evaluated as a percentage of the area around an amateur radio station based on the typical density of active stations observed at the busiest times (</w:t>
      </w:r>
      <w:r w:rsidRPr="00EE3A37">
        <w:rPr>
          <w:highlight w:val="yellow"/>
        </w:rPr>
        <w:t>See section xxx</w:t>
      </w:r>
      <w:r>
        <w:t xml:space="preserve">): </w:t>
      </w:r>
    </w:p>
    <w:p w14:paraId="25D6A6F0" w14:textId="77777777" w:rsidR="00AC09BC" w:rsidRPr="00322182" w:rsidRDefault="00AC09BC" w:rsidP="00AC09BC">
      <w:pPr>
        <w:rPr>
          <w:b/>
          <w:bCs/>
          <w:u w:val="single"/>
        </w:rPr>
      </w:pPr>
      <w:r>
        <w:rPr>
          <w:b/>
          <w:bCs/>
          <w:u w:val="single"/>
        </w:rPr>
        <w:t xml:space="preserve">Table 1: </w:t>
      </w:r>
      <w:r w:rsidRPr="00322182">
        <w:rPr>
          <w:b/>
          <w:bCs/>
          <w:u w:val="single"/>
        </w:rPr>
        <w:t>Home Station 1</w:t>
      </w:r>
    </w:p>
    <w:tbl>
      <w:tblPr>
        <w:tblStyle w:val="TableGrid"/>
        <w:tblW w:w="0" w:type="auto"/>
        <w:tblLook w:val="04A0" w:firstRow="1" w:lastRow="0" w:firstColumn="1" w:lastColumn="0" w:noHBand="0" w:noVBand="1"/>
      </w:tblPr>
      <w:tblGrid>
        <w:gridCol w:w="1696"/>
        <w:gridCol w:w="1560"/>
        <w:gridCol w:w="1343"/>
        <w:gridCol w:w="1208"/>
        <w:gridCol w:w="1208"/>
        <w:gridCol w:w="1208"/>
      </w:tblGrid>
      <w:tr w:rsidR="00AC09BC" w14:paraId="25D6A6FB" w14:textId="77777777" w:rsidTr="00546119">
        <w:tc>
          <w:tcPr>
            <w:tcW w:w="1696" w:type="dxa"/>
          </w:tcPr>
          <w:p w14:paraId="25D6A6F1" w14:textId="77777777" w:rsidR="00AC09BC" w:rsidRDefault="00AC09BC" w:rsidP="00546119"/>
          <w:p w14:paraId="25D6A6F2" w14:textId="77777777" w:rsidR="00AC09BC" w:rsidRDefault="00AC09BC" w:rsidP="00546119">
            <w:r>
              <w:t>Power (Watts)</w:t>
            </w:r>
          </w:p>
        </w:tc>
        <w:tc>
          <w:tcPr>
            <w:tcW w:w="1560" w:type="dxa"/>
          </w:tcPr>
          <w:p w14:paraId="25D6A6F3" w14:textId="77777777" w:rsidR="00AC09BC" w:rsidRDefault="00AC09BC" w:rsidP="00546119"/>
          <w:p w14:paraId="25D6A6F4" w14:textId="77777777" w:rsidR="00AC09BC" w:rsidRDefault="00AC09BC" w:rsidP="00546119">
            <w:r>
              <w:t>Location</w:t>
            </w:r>
          </w:p>
          <w:p w14:paraId="25D6A6F5" w14:textId="77777777" w:rsidR="00AC09BC" w:rsidRDefault="00AC09BC" w:rsidP="00546119">
            <w:r>
              <w:t xml:space="preserve"> Probability %</w:t>
            </w:r>
          </w:p>
        </w:tc>
        <w:tc>
          <w:tcPr>
            <w:tcW w:w="1343" w:type="dxa"/>
          </w:tcPr>
          <w:p w14:paraId="25D6A6F6" w14:textId="77777777" w:rsidR="00AC09BC" w:rsidRDefault="00AC09BC" w:rsidP="00546119">
            <w:r>
              <w:t>Narrowband</w:t>
            </w:r>
          </w:p>
          <w:p w14:paraId="25D6A6F7" w14:textId="77777777" w:rsidR="00AC09BC" w:rsidRDefault="00AC09BC" w:rsidP="00546119">
            <w:r>
              <w:t>Interfered Area km</w:t>
            </w:r>
            <w:r w:rsidRPr="00E2182D">
              <w:rPr>
                <w:vertAlign w:val="superscript"/>
              </w:rPr>
              <w:t>2</w:t>
            </w:r>
          </w:p>
        </w:tc>
        <w:tc>
          <w:tcPr>
            <w:tcW w:w="1208" w:type="dxa"/>
          </w:tcPr>
          <w:p w14:paraId="25D6A6F8" w14:textId="77777777" w:rsidR="00AC09BC" w:rsidRDefault="00AC09BC" w:rsidP="00546119">
            <w:r>
              <w:t>% Area</w:t>
            </w:r>
          </w:p>
        </w:tc>
        <w:tc>
          <w:tcPr>
            <w:tcW w:w="1208" w:type="dxa"/>
          </w:tcPr>
          <w:p w14:paraId="25D6A6F9" w14:textId="77777777" w:rsidR="00AC09BC" w:rsidRDefault="00AC09BC" w:rsidP="00546119">
            <w:r>
              <w:t>Wideband Interfered Area km</w:t>
            </w:r>
            <w:r w:rsidRPr="00E2182D">
              <w:rPr>
                <w:vertAlign w:val="superscript"/>
              </w:rPr>
              <w:t>2</w:t>
            </w:r>
          </w:p>
        </w:tc>
        <w:tc>
          <w:tcPr>
            <w:tcW w:w="1208" w:type="dxa"/>
          </w:tcPr>
          <w:p w14:paraId="25D6A6FA" w14:textId="77777777" w:rsidR="00AC09BC" w:rsidRDefault="00AC09BC" w:rsidP="00546119">
            <w:r>
              <w:t>% Area</w:t>
            </w:r>
          </w:p>
        </w:tc>
      </w:tr>
      <w:tr w:rsidR="00AC09BC" w14:paraId="25D6A702" w14:textId="77777777" w:rsidTr="00546119">
        <w:tc>
          <w:tcPr>
            <w:tcW w:w="1696" w:type="dxa"/>
            <w:vMerge w:val="restart"/>
          </w:tcPr>
          <w:p w14:paraId="25D6A6FC" w14:textId="77777777" w:rsidR="00AC09BC" w:rsidRDefault="00AC09BC" w:rsidP="00546119">
            <w:r>
              <w:t>1</w:t>
            </w:r>
          </w:p>
        </w:tc>
        <w:tc>
          <w:tcPr>
            <w:tcW w:w="1560" w:type="dxa"/>
          </w:tcPr>
          <w:p w14:paraId="25D6A6FD" w14:textId="77777777" w:rsidR="00AC09BC" w:rsidRDefault="00AC09BC" w:rsidP="00546119">
            <w:r>
              <w:t>50</w:t>
            </w:r>
          </w:p>
        </w:tc>
        <w:tc>
          <w:tcPr>
            <w:tcW w:w="1343" w:type="dxa"/>
          </w:tcPr>
          <w:p w14:paraId="25D6A6FE" w14:textId="77777777" w:rsidR="00AC09BC" w:rsidRDefault="00AC09BC" w:rsidP="00546119">
            <w:r>
              <w:t>42</w:t>
            </w:r>
          </w:p>
        </w:tc>
        <w:tc>
          <w:tcPr>
            <w:tcW w:w="1208" w:type="dxa"/>
          </w:tcPr>
          <w:p w14:paraId="25D6A6FF" w14:textId="77777777" w:rsidR="00AC09BC" w:rsidRDefault="00AC09BC" w:rsidP="00546119">
            <w:r>
              <w:t>0.84</w:t>
            </w:r>
          </w:p>
        </w:tc>
        <w:tc>
          <w:tcPr>
            <w:tcW w:w="1208" w:type="dxa"/>
          </w:tcPr>
          <w:p w14:paraId="25D6A700" w14:textId="77777777" w:rsidR="00AC09BC" w:rsidRDefault="00AC09BC" w:rsidP="00546119">
            <w:r>
              <w:t>31</w:t>
            </w:r>
          </w:p>
        </w:tc>
        <w:tc>
          <w:tcPr>
            <w:tcW w:w="1208" w:type="dxa"/>
          </w:tcPr>
          <w:p w14:paraId="25D6A701" w14:textId="77777777" w:rsidR="00AC09BC" w:rsidRDefault="00AC09BC" w:rsidP="00546119">
            <w:r>
              <w:t>0.31</w:t>
            </w:r>
          </w:p>
        </w:tc>
      </w:tr>
      <w:tr w:rsidR="00AC09BC" w14:paraId="25D6A709" w14:textId="77777777" w:rsidTr="00546119">
        <w:tc>
          <w:tcPr>
            <w:tcW w:w="1696" w:type="dxa"/>
            <w:vMerge/>
          </w:tcPr>
          <w:p w14:paraId="25D6A703" w14:textId="77777777" w:rsidR="00AC09BC" w:rsidRDefault="00AC09BC" w:rsidP="00546119"/>
        </w:tc>
        <w:tc>
          <w:tcPr>
            <w:tcW w:w="1560" w:type="dxa"/>
          </w:tcPr>
          <w:p w14:paraId="25D6A704" w14:textId="77777777" w:rsidR="00AC09BC" w:rsidRDefault="00AC09BC" w:rsidP="00546119">
            <w:r>
              <w:t>1</w:t>
            </w:r>
          </w:p>
        </w:tc>
        <w:tc>
          <w:tcPr>
            <w:tcW w:w="1343" w:type="dxa"/>
          </w:tcPr>
          <w:p w14:paraId="25D6A705" w14:textId="77777777" w:rsidR="00AC09BC" w:rsidRDefault="00AC09BC" w:rsidP="00546119">
            <w:r>
              <w:t>47</w:t>
            </w:r>
          </w:p>
        </w:tc>
        <w:tc>
          <w:tcPr>
            <w:tcW w:w="1208" w:type="dxa"/>
          </w:tcPr>
          <w:p w14:paraId="25D6A706" w14:textId="77777777" w:rsidR="00AC09BC" w:rsidRDefault="00AC09BC" w:rsidP="00546119">
            <w:r>
              <w:t>0.94</w:t>
            </w:r>
          </w:p>
        </w:tc>
        <w:tc>
          <w:tcPr>
            <w:tcW w:w="1208" w:type="dxa"/>
          </w:tcPr>
          <w:p w14:paraId="25D6A707" w14:textId="77777777" w:rsidR="00AC09BC" w:rsidRDefault="00AC09BC" w:rsidP="00546119">
            <w:r>
              <w:t>42</w:t>
            </w:r>
          </w:p>
        </w:tc>
        <w:tc>
          <w:tcPr>
            <w:tcW w:w="1208" w:type="dxa"/>
          </w:tcPr>
          <w:p w14:paraId="25D6A708" w14:textId="77777777" w:rsidR="00AC09BC" w:rsidRDefault="00AC09BC" w:rsidP="00546119">
            <w:r>
              <w:t>0.42</w:t>
            </w:r>
          </w:p>
        </w:tc>
      </w:tr>
      <w:tr w:rsidR="00AC09BC" w14:paraId="25D6A710" w14:textId="77777777" w:rsidTr="00546119">
        <w:tc>
          <w:tcPr>
            <w:tcW w:w="1696" w:type="dxa"/>
            <w:vMerge w:val="restart"/>
          </w:tcPr>
          <w:p w14:paraId="25D6A70A" w14:textId="77777777" w:rsidR="00AC09BC" w:rsidRDefault="00AC09BC" w:rsidP="00546119">
            <w:r>
              <w:t>100</w:t>
            </w:r>
          </w:p>
        </w:tc>
        <w:tc>
          <w:tcPr>
            <w:tcW w:w="1560" w:type="dxa"/>
          </w:tcPr>
          <w:p w14:paraId="25D6A70B" w14:textId="77777777" w:rsidR="00AC09BC" w:rsidRDefault="00AC09BC" w:rsidP="00546119">
            <w:r>
              <w:t>50</w:t>
            </w:r>
          </w:p>
        </w:tc>
        <w:tc>
          <w:tcPr>
            <w:tcW w:w="1343" w:type="dxa"/>
          </w:tcPr>
          <w:p w14:paraId="25D6A70C" w14:textId="77777777" w:rsidR="00AC09BC" w:rsidRDefault="00AC09BC" w:rsidP="00546119">
            <w:r>
              <w:t>289</w:t>
            </w:r>
          </w:p>
        </w:tc>
        <w:tc>
          <w:tcPr>
            <w:tcW w:w="1208" w:type="dxa"/>
          </w:tcPr>
          <w:p w14:paraId="25D6A70D" w14:textId="77777777" w:rsidR="00AC09BC" w:rsidRDefault="00AC09BC" w:rsidP="00546119">
            <w:r>
              <w:t>5.78</w:t>
            </w:r>
          </w:p>
        </w:tc>
        <w:tc>
          <w:tcPr>
            <w:tcW w:w="1208" w:type="dxa"/>
          </w:tcPr>
          <w:p w14:paraId="25D6A70E" w14:textId="77777777" w:rsidR="00AC09BC" w:rsidRDefault="00AC09BC" w:rsidP="00546119">
            <w:r>
              <w:t>254</w:t>
            </w:r>
          </w:p>
        </w:tc>
        <w:tc>
          <w:tcPr>
            <w:tcW w:w="1208" w:type="dxa"/>
          </w:tcPr>
          <w:p w14:paraId="25D6A70F" w14:textId="77777777" w:rsidR="00AC09BC" w:rsidRDefault="00AC09BC" w:rsidP="00546119">
            <w:r>
              <w:t>2.54</w:t>
            </w:r>
          </w:p>
        </w:tc>
      </w:tr>
      <w:tr w:rsidR="00AC09BC" w14:paraId="25D6A717" w14:textId="77777777" w:rsidTr="00546119">
        <w:tc>
          <w:tcPr>
            <w:tcW w:w="1696" w:type="dxa"/>
            <w:vMerge/>
          </w:tcPr>
          <w:p w14:paraId="25D6A711" w14:textId="77777777" w:rsidR="00AC09BC" w:rsidRDefault="00AC09BC" w:rsidP="00546119"/>
        </w:tc>
        <w:tc>
          <w:tcPr>
            <w:tcW w:w="1560" w:type="dxa"/>
          </w:tcPr>
          <w:p w14:paraId="25D6A712" w14:textId="77777777" w:rsidR="00AC09BC" w:rsidRDefault="00AC09BC" w:rsidP="00546119">
            <w:r>
              <w:t>1</w:t>
            </w:r>
          </w:p>
        </w:tc>
        <w:tc>
          <w:tcPr>
            <w:tcW w:w="1343" w:type="dxa"/>
          </w:tcPr>
          <w:p w14:paraId="25D6A713" w14:textId="77777777" w:rsidR="00AC09BC" w:rsidRDefault="00AC09BC" w:rsidP="00546119">
            <w:r>
              <w:t>433</w:t>
            </w:r>
          </w:p>
        </w:tc>
        <w:tc>
          <w:tcPr>
            <w:tcW w:w="1208" w:type="dxa"/>
          </w:tcPr>
          <w:p w14:paraId="25D6A714" w14:textId="77777777" w:rsidR="00AC09BC" w:rsidRDefault="00AC09BC" w:rsidP="00546119">
            <w:r>
              <w:t>8.66</w:t>
            </w:r>
          </w:p>
        </w:tc>
        <w:tc>
          <w:tcPr>
            <w:tcW w:w="1208" w:type="dxa"/>
          </w:tcPr>
          <w:p w14:paraId="25D6A715" w14:textId="77777777" w:rsidR="00AC09BC" w:rsidRDefault="00AC09BC" w:rsidP="00546119">
            <w:r>
              <w:t>305</w:t>
            </w:r>
          </w:p>
        </w:tc>
        <w:tc>
          <w:tcPr>
            <w:tcW w:w="1208" w:type="dxa"/>
          </w:tcPr>
          <w:p w14:paraId="25D6A716" w14:textId="77777777" w:rsidR="00AC09BC" w:rsidRDefault="00AC09BC" w:rsidP="00546119">
            <w:r>
              <w:t>3.05</w:t>
            </w:r>
          </w:p>
        </w:tc>
      </w:tr>
      <w:tr w:rsidR="00AC09BC" w14:paraId="25D6A71E" w14:textId="77777777" w:rsidTr="00546119">
        <w:tc>
          <w:tcPr>
            <w:tcW w:w="1696" w:type="dxa"/>
            <w:vMerge w:val="restart"/>
          </w:tcPr>
          <w:p w14:paraId="25D6A718" w14:textId="77777777" w:rsidR="00AC09BC" w:rsidRDefault="00AC09BC" w:rsidP="00546119">
            <w:r>
              <w:t>300</w:t>
            </w:r>
          </w:p>
        </w:tc>
        <w:tc>
          <w:tcPr>
            <w:tcW w:w="1560" w:type="dxa"/>
          </w:tcPr>
          <w:p w14:paraId="25D6A719" w14:textId="77777777" w:rsidR="00AC09BC" w:rsidRDefault="00AC09BC" w:rsidP="00546119">
            <w:r>
              <w:t>50</w:t>
            </w:r>
          </w:p>
        </w:tc>
        <w:tc>
          <w:tcPr>
            <w:tcW w:w="1343" w:type="dxa"/>
          </w:tcPr>
          <w:p w14:paraId="25D6A71A" w14:textId="77777777" w:rsidR="00AC09BC" w:rsidRDefault="00AC09BC" w:rsidP="00546119">
            <w:r>
              <w:t>433</w:t>
            </w:r>
          </w:p>
        </w:tc>
        <w:tc>
          <w:tcPr>
            <w:tcW w:w="1208" w:type="dxa"/>
          </w:tcPr>
          <w:p w14:paraId="25D6A71B" w14:textId="77777777" w:rsidR="00AC09BC" w:rsidRDefault="00AC09BC" w:rsidP="00546119">
            <w:r>
              <w:t>8.66</w:t>
            </w:r>
          </w:p>
        </w:tc>
        <w:tc>
          <w:tcPr>
            <w:tcW w:w="1208" w:type="dxa"/>
          </w:tcPr>
          <w:p w14:paraId="25D6A71C" w14:textId="77777777" w:rsidR="00AC09BC" w:rsidRDefault="00AC09BC" w:rsidP="00546119">
            <w:r>
              <w:t>433</w:t>
            </w:r>
          </w:p>
        </w:tc>
        <w:tc>
          <w:tcPr>
            <w:tcW w:w="1208" w:type="dxa"/>
          </w:tcPr>
          <w:p w14:paraId="25D6A71D" w14:textId="77777777" w:rsidR="00AC09BC" w:rsidRDefault="00AC09BC" w:rsidP="00546119">
            <w:r>
              <w:t>4.33</w:t>
            </w:r>
          </w:p>
        </w:tc>
      </w:tr>
      <w:tr w:rsidR="00AC09BC" w14:paraId="25D6A725" w14:textId="77777777" w:rsidTr="00546119">
        <w:tc>
          <w:tcPr>
            <w:tcW w:w="1696" w:type="dxa"/>
            <w:vMerge/>
          </w:tcPr>
          <w:p w14:paraId="25D6A71F" w14:textId="77777777" w:rsidR="00AC09BC" w:rsidRDefault="00AC09BC" w:rsidP="00546119"/>
        </w:tc>
        <w:tc>
          <w:tcPr>
            <w:tcW w:w="1560" w:type="dxa"/>
          </w:tcPr>
          <w:p w14:paraId="25D6A720" w14:textId="77777777" w:rsidR="00AC09BC" w:rsidRDefault="00AC09BC" w:rsidP="00546119">
            <w:r>
              <w:t>1</w:t>
            </w:r>
          </w:p>
        </w:tc>
        <w:tc>
          <w:tcPr>
            <w:tcW w:w="1343" w:type="dxa"/>
          </w:tcPr>
          <w:p w14:paraId="25D6A721" w14:textId="77777777" w:rsidR="00AC09BC" w:rsidRDefault="00AC09BC" w:rsidP="00546119">
            <w:r>
              <w:t>740</w:t>
            </w:r>
          </w:p>
        </w:tc>
        <w:tc>
          <w:tcPr>
            <w:tcW w:w="1208" w:type="dxa"/>
          </w:tcPr>
          <w:p w14:paraId="25D6A722" w14:textId="77777777" w:rsidR="00AC09BC" w:rsidRDefault="00AC09BC" w:rsidP="00546119">
            <w:r>
              <w:t>14.8</w:t>
            </w:r>
          </w:p>
        </w:tc>
        <w:tc>
          <w:tcPr>
            <w:tcW w:w="1208" w:type="dxa"/>
          </w:tcPr>
          <w:p w14:paraId="25D6A723" w14:textId="77777777" w:rsidR="00AC09BC" w:rsidRDefault="00AC09BC" w:rsidP="00546119">
            <w:r>
              <w:t>466</w:t>
            </w:r>
          </w:p>
        </w:tc>
        <w:tc>
          <w:tcPr>
            <w:tcW w:w="1208" w:type="dxa"/>
          </w:tcPr>
          <w:p w14:paraId="25D6A724" w14:textId="77777777" w:rsidR="00AC09BC" w:rsidRDefault="00AC09BC" w:rsidP="00546119">
            <w:r>
              <w:t>4.66</w:t>
            </w:r>
          </w:p>
        </w:tc>
      </w:tr>
    </w:tbl>
    <w:p w14:paraId="25D6A726" w14:textId="77777777" w:rsidR="00AC09BC" w:rsidRDefault="00AC09BC" w:rsidP="00AC09BC"/>
    <w:p w14:paraId="25D6A727" w14:textId="77777777" w:rsidR="00AC09BC" w:rsidRDefault="00AC09BC" w:rsidP="00AC09BC">
      <w:pPr>
        <w:rPr>
          <w:b/>
          <w:bCs/>
          <w:u w:val="single"/>
        </w:rPr>
      </w:pPr>
      <w:r>
        <w:rPr>
          <w:b/>
          <w:bCs/>
          <w:u w:val="single"/>
        </w:rPr>
        <w:t xml:space="preserve">Table 2: </w:t>
      </w:r>
      <w:r w:rsidRPr="00FD6B2F">
        <w:rPr>
          <w:b/>
          <w:bCs/>
          <w:u w:val="single"/>
        </w:rPr>
        <w:t>Satellite uplink</w:t>
      </w:r>
    </w:p>
    <w:tbl>
      <w:tblPr>
        <w:tblStyle w:val="TableGrid"/>
        <w:tblW w:w="0" w:type="auto"/>
        <w:tblLook w:val="04A0" w:firstRow="1" w:lastRow="0" w:firstColumn="1" w:lastColumn="0" w:noHBand="0" w:noVBand="1"/>
      </w:tblPr>
      <w:tblGrid>
        <w:gridCol w:w="1696"/>
        <w:gridCol w:w="1560"/>
        <w:gridCol w:w="1343"/>
        <w:gridCol w:w="1208"/>
        <w:gridCol w:w="1208"/>
        <w:gridCol w:w="1208"/>
      </w:tblGrid>
      <w:tr w:rsidR="00AC09BC" w14:paraId="25D6A732" w14:textId="77777777" w:rsidTr="00546119">
        <w:tc>
          <w:tcPr>
            <w:tcW w:w="1696" w:type="dxa"/>
          </w:tcPr>
          <w:p w14:paraId="25D6A728" w14:textId="77777777" w:rsidR="00AC09BC" w:rsidRDefault="00AC09BC" w:rsidP="00546119"/>
          <w:p w14:paraId="25D6A729" w14:textId="77777777" w:rsidR="00AC09BC" w:rsidRDefault="00AC09BC" w:rsidP="00546119">
            <w:r>
              <w:t>Up tilt Degrees</w:t>
            </w:r>
          </w:p>
        </w:tc>
        <w:tc>
          <w:tcPr>
            <w:tcW w:w="1560" w:type="dxa"/>
          </w:tcPr>
          <w:p w14:paraId="25D6A72A" w14:textId="77777777" w:rsidR="00AC09BC" w:rsidRDefault="00AC09BC" w:rsidP="00546119"/>
          <w:p w14:paraId="25D6A72B" w14:textId="77777777" w:rsidR="00AC09BC" w:rsidRDefault="00AC09BC" w:rsidP="00546119">
            <w:r>
              <w:t>Location</w:t>
            </w:r>
          </w:p>
          <w:p w14:paraId="25D6A72C" w14:textId="77777777" w:rsidR="00AC09BC" w:rsidRDefault="00AC09BC" w:rsidP="00546119">
            <w:r>
              <w:t xml:space="preserve"> Probability %</w:t>
            </w:r>
          </w:p>
        </w:tc>
        <w:tc>
          <w:tcPr>
            <w:tcW w:w="1343" w:type="dxa"/>
          </w:tcPr>
          <w:p w14:paraId="25D6A72D" w14:textId="77777777" w:rsidR="00AC09BC" w:rsidRDefault="00AC09BC" w:rsidP="00546119">
            <w:r>
              <w:t>Narrowband</w:t>
            </w:r>
          </w:p>
          <w:p w14:paraId="25D6A72E" w14:textId="77777777" w:rsidR="00AC09BC" w:rsidRDefault="00AC09BC" w:rsidP="00546119">
            <w:r>
              <w:t>Interfered Area km</w:t>
            </w:r>
            <w:r w:rsidRPr="00E2182D">
              <w:rPr>
                <w:vertAlign w:val="superscript"/>
              </w:rPr>
              <w:t>2</w:t>
            </w:r>
          </w:p>
        </w:tc>
        <w:tc>
          <w:tcPr>
            <w:tcW w:w="1208" w:type="dxa"/>
          </w:tcPr>
          <w:p w14:paraId="25D6A72F" w14:textId="77777777" w:rsidR="00AC09BC" w:rsidRDefault="00AC09BC" w:rsidP="00546119">
            <w:r>
              <w:t>% Area</w:t>
            </w:r>
            <w:r>
              <w:rPr>
                <w:rStyle w:val="FootnoteReference"/>
              </w:rPr>
              <w:footnoteReference w:id="2"/>
            </w:r>
          </w:p>
        </w:tc>
        <w:tc>
          <w:tcPr>
            <w:tcW w:w="1208" w:type="dxa"/>
          </w:tcPr>
          <w:p w14:paraId="25D6A730" w14:textId="77777777" w:rsidR="00AC09BC" w:rsidRDefault="00AC09BC" w:rsidP="00546119">
            <w:r>
              <w:t>Wideband Interfered Area km</w:t>
            </w:r>
            <w:r w:rsidRPr="00E2182D">
              <w:rPr>
                <w:vertAlign w:val="superscript"/>
              </w:rPr>
              <w:t>2</w:t>
            </w:r>
          </w:p>
        </w:tc>
        <w:tc>
          <w:tcPr>
            <w:tcW w:w="1208" w:type="dxa"/>
          </w:tcPr>
          <w:p w14:paraId="25D6A731" w14:textId="77777777" w:rsidR="00AC09BC" w:rsidRDefault="00AC09BC" w:rsidP="00546119">
            <w:r>
              <w:t>% Area</w:t>
            </w:r>
          </w:p>
        </w:tc>
      </w:tr>
      <w:tr w:rsidR="00AC09BC" w14:paraId="25D6A739" w14:textId="77777777" w:rsidTr="00546119">
        <w:tc>
          <w:tcPr>
            <w:tcW w:w="1696" w:type="dxa"/>
            <w:vMerge w:val="restart"/>
          </w:tcPr>
          <w:p w14:paraId="25D6A733" w14:textId="77777777" w:rsidR="00AC09BC" w:rsidRDefault="00AC09BC" w:rsidP="00546119">
            <w:r>
              <w:t>5</w:t>
            </w:r>
          </w:p>
        </w:tc>
        <w:tc>
          <w:tcPr>
            <w:tcW w:w="1560" w:type="dxa"/>
          </w:tcPr>
          <w:p w14:paraId="25D6A734" w14:textId="77777777" w:rsidR="00AC09BC" w:rsidRDefault="00AC09BC" w:rsidP="00546119">
            <w:r>
              <w:t>50</w:t>
            </w:r>
          </w:p>
        </w:tc>
        <w:tc>
          <w:tcPr>
            <w:tcW w:w="1343" w:type="dxa"/>
          </w:tcPr>
          <w:p w14:paraId="25D6A735" w14:textId="77777777" w:rsidR="00AC09BC" w:rsidRDefault="00AC09BC" w:rsidP="00546119">
            <w:r>
              <w:t>53</w:t>
            </w:r>
          </w:p>
        </w:tc>
        <w:tc>
          <w:tcPr>
            <w:tcW w:w="1208" w:type="dxa"/>
          </w:tcPr>
          <w:p w14:paraId="25D6A736" w14:textId="77777777" w:rsidR="00AC09BC" w:rsidRDefault="00AC09BC" w:rsidP="00546119">
            <w:r>
              <w:t>0.07</w:t>
            </w:r>
          </w:p>
        </w:tc>
        <w:tc>
          <w:tcPr>
            <w:tcW w:w="1208" w:type="dxa"/>
          </w:tcPr>
          <w:p w14:paraId="25D6A737" w14:textId="77777777" w:rsidR="00AC09BC" w:rsidRDefault="00AC09BC" w:rsidP="00546119">
            <w:r>
              <w:t>29</w:t>
            </w:r>
          </w:p>
        </w:tc>
        <w:tc>
          <w:tcPr>
            <w:tcW w:w="1208" w:type="dxa"/>
          </w:tcPr>
          <w:p w14:paraId="25D6A738" w14:textId="77777777" w:rsidR="00AC09BC" w:rsidRDefault="00AC09BC" w:rsidP="00546119">
            <w:r>
              <w:t>N/A</w:t>
            </w:r>
          </w:p>
        </w:tc>
      </w:tr>
      <w:tr w:rsidR="00AC09BC" w14:paraId="25D6A740" w14:textId="77777777" w:rsidTr="00546119">
        <w:tc>
          <w:tcPr>
            <w:tcW w:w="1696" w:type="dxa"/>
            <w:vMerge/>
          </w:tcPr>
          <w:p w14:paraId="25D6A73A" w14:textId="77777777" w:rsidR="00AC09BC" w:rsidRDefault="00AC09BC" w:rsidP="00546119"/>
        </w:tc>
        <w:tc>
          <w:tcPr>
            <w:tcW w:w="1560" w:type="dxa"/>
          </w:tcPr>
          <w:p w14:paraId="25D6A73B" w14:textId="77777777" w:rsidR="00AC09BC" w:rsidRDefault="00AC09BC" w:rsidP="00546119">
            <w:r>
              <w:t>1</w:t>
            </w:r>
          </w:p>
        </w:tc>
        <w:tc>
          <w:tcPr>
            <w:tcW w:w="1343" w:type="dxa"/>
          </w:tcPr>
          <w:p w14:paraId="25D6A73C" w14:textId="77777777" w:rsidR="00AC09BC" w:rsidRDefault="00AC09BC" w:rsidP="00546119">
            <w:r>
              <w:t>56</w:t>
            </w:r>
          </w:p>
        </w:tc>
        <w:tc>
          <w:tcPr>
            <w:tcW w:w="1208" w:type="dxa"/>
          </w:tcPr>
          <w:p w14:paraId="25D6A73D" w14:textId="77777777" w:rsidR="00AC09BC" w:rsidRDefault="00AC09BC" w:rsidP="00546119">
            <w:r>
              <w:t>0.07</w:t>
            </w:r>
          </w:p>
        </w:tc>
        <w:tc>
          <w:tcPr>
            <w:tcW w:w="1208" w:type="dxa"/>
          </w:tcPr>
          <w:p w14:paraId="25D6A73E" w14:textId="77777777" w:rsidR="00AC09BC" w:rsidRDefault="00AC09BC" w:rsidP="00546119">
            <w:r>
              <w:t>38</w:t>
            </w:r>
          </w:p>
        </w:tc>
        <w:tc>
          <w:tcPr>
            <w:tcW w:w="1208" w:type="dxa"/>
          </w:tcPr>
          <w:p w14:paraId="25D6A73F" w14:textId="77777777" w:rsidR="00AC09BC" w:rsidRDefault="00AC09BC" w:rsidP="00546119">
            <w:r>
              <w:t>N/A</w:t>
            </w:r>
          </w:p>
        </w:tc>
      </w:tr>
      <w:tr w:rsidR="00AC09BC" w14:paraId="25D6A747" w14:textId="77777777" w:rsidTr="00546119">
        <w:tc>
          <w:tcPr>
            <w:tcW w:w="1696" w:type="dxa"/>
            <w:vMerge w:val="restart"/>
          </w:tcPr>
          <w:p w14:paraId="25D6A741" w14:textId="77777777" w:rsidR="00AC09BC" w:rsidRDefault="00AC09BC" w:rsidP="00546119">
            <w:r>
              <w:t>45</w:t>
            </w:r>
          </w:p>
        </w:tc>
        <w:tc>
          <w:tcPr>
            <w:tcW w:w="1560" w:type="dxa"/>
          </w:tcPr>
          <w:p w14:paraId="25D6A742" w14:textId="77777777" w:rsidR="00AC09BC" w:rsidRDefault="00AC09BC" w:rsidP="00546119">
            <w:r>
              <w:t>50</w:t>
            </w:r>
          </w:p>
        </w:tc>
        <w:tc>
          <w:tcPr>
            <w:tcW w:w="1343" w:type="dxa"/>
          </w:tcPr>
          <w:p w14:paraId="25D6A743" w14:textId="77777777" w:rsidR="00AC09BC" w:rsidRDefault="00AC09BC" w:rsidP="00546119">
            <w:r>
              <w:t>43</w:t>
            </w:r>
          </w:p>
        </w:tc>
        <w:tc>
          <w:tcPr>
            <w:tcW w:w="1208" w:type="dxa"/>
          </w:tcPr>
          <w:p w14:paraId="25D6A744" w14:textId="77777777" w:rsidR="00AC09BC" w:rsidRDefault="00AC09BC" w:rsidP="00546119">
            <w:r>
              <w:t>0.06</w:t>
            </w:r>
          </w:p>
        </w:tc>
        <w:tc>
          <w:tcPr>
            <w:tcW w:w="1208" w:type="dxa"/>
          </w:tcPr>
          <w:p w14:paraId="25D6A745" w14:textId="77777777" w:rsidR="00AC09BC" w:rsidRDefault="00AC09BC" w:rsidP="00546119">
            <w:r>
              <w:t>28</w:t>
            </w:r>
          </w:p>
        </w:tc>
        <w:tc>
          <w:tcPr>
            <w:tcW w:w="1208" w:type="dxa"/>
          </w:tcPr>
          <w:p w14:paraId="25D6A746" w14:textId="77777777" w:rsidR="00AC09BC" w:rsidRDefault="00AC09BC" w:rsidP="00546119">
            <w:r>
              <w:t>N/A</w:t>
            </w:r>
          </w:p>
        </w:tc>
      </w:tr>
      <w:tr w:rsidR="00AC09BC" w14:paraId="25D6A74E" w14:textId="77777777" w:rsidTr="00546119">
        <w:tc>
          <w:tcPr>
            <w:tcW w:w="1696" w:type="dxa"/>
            <w:vMerge/>
          </w:tcPr>
          <w:p w14:paraId="25D6A748" w14:textId="77777777" w:rsidR="00AC09BC" w:rsidRDefault="00AC09BC" w:rsidP="00546119"/>
        </w:tc>
        <w:tc>
          <w:tcPr>
            <w:tcW w:w="1560" w:type="dxa"/>
          </w:tcPr>
          <w:p w14:paraId="25D6A749" w14:textId="77777777" w:rsidR="00AC09BC" w:rsidRDefault="00AC09BC" w:rsidP="00546119">
            <w:r>
              <w:t>1</w:t>
            </w:r>
          </w:p>
        </w:tc>
        <w:tc>
          <w:tcPr>
            <w:tcW w:w="1343" w:type="dxa"/>
          </w:tcPr>
          <w:p w14:paraId="25D6A74A" w14:textId="77777777" w:rsidR="00AC09BC" w:rsidRDefault="00AC09BC" w:rsidP="00546119">
            <w:r>
              <w:t>50</w:t>
            </w:r>
          </w:p>
        </w:tc>
        <w:tc>
          <w:tcPr>
            <w:tcW w:w="1208" w:type="dxa"/>
          </w:tcPr>
          <w:p w14:paraId="25D6A74B" w14:textId="77777777" w:rsidR="00AC09BC" w:rsidRDefault="00AC09BC" w:rsidP="00546119">
            <w:r>
              <w:t>0.07</w:t>
            </w:r>
          </w:p>
        </w:tc>
        <w:tc>
          <w:tcPr>
            <w:tcW w:w="1208" w:type="dxa"/>
          </w:tcPr>
          <w:p w14:paraId="25D6A74C" w14:textId="77777777" w:rsidR="00AC09BC" w:rsidRDefault="00AC09BC" w:rsidP="00546119">
            <w:r>
              <w:t>38</w:t>
            </w:r>
          </w:p>
        </w:tc>
        <w:tc>
          <w:tcPr>
            <w:tcW w:w="1208" w:type="dxa"/>
          </w:tcPr>
          <w:p w14:paraId="25D6A74D" w14:textId="77777777" w:rsidR="00AC09BC" w:rsidRDefault="00AC09BC" w:rsidP="00546119">
            <w:r>
              <w:t>N/A</w:t>
            </w:r>
          </w:p>
        </w:tc>
      </w:tr>
      <w:tr w:rsidR="00AC09BC" w14:paraId="25D6A755" w14:textId="77777777" w:rsidTr="00546119">
        <w:tc>
          <w:tcPr>
            <w:tcW w:w="1696" w:type="dxa"/>
            <w:vMerge w:val="restart"/>
          </w:tcPr>
          <w:p w14:paraId="25D6A74F" w14:textId="77777777" w:rsidR="00AC09BC" w:rsidRDefault="00AC09BC" w:rsidP="00546119">
            <w:r>
              <w:t>90</w:t>
            </w:r>
          </w:p>
        </w:tc>
        <w:tc>
          <w:tcPr>
            <w:tcW w:w="1560" w:type="dxa"/>
          </w:tcPr>
          <w:p w14:paraId="25D6A750" w14:textId="77777777" w:rsidR="00AC09BC" w:rsidRDefault="00AC09BC" w:rsidP="00546119">
            <w:r>
              <w:t>50</w:t>
            </w:r>
          </w:p>
        </w:tc>
        <w:tc>
          <w:tcPr>
            <w:tcW w:w="1343" w:type="dxa"/>
          </w:tcPr>
          <w:p w14:paraId="25D6A751" w14:textId="77777777" w:rsidR="00AC09BC" w:rsidRDefault="00AC09BC" w:rsidP="00546119">
            <w:r>
              <w:t>38</w:t>
            </w:r>
          </w:p>
        </w:tc>
        <w:tc>
          <w:tcPr>
            <w:tcW w:w="1208" w:type="dxa"/>
          </w:tcPr>
          <w:p w14:paraId="25D6A752" w14:textId="77777777" w:rsidR="00AC09BC" w:rsidRDefault="00AC09BC" w:rsidP="00546119">
            <w:r>
              <w:t>0.05</w:t>
            </w:r>
          </w:p>
        </w:tc>
        <w:tc>
          <w:tcPr>
            <w:tcW w:w="1208" w:type="dxa"/>
          </w:tcPr>
          <w:p w14:paraId="25D6A753" w14:textId="77777777" w:rsidR="00AC09BC" w:rsidRDefault="00AC09BC" w:rsidP="00546119">
            <w:r>
              <w:t>20</w:t>
            </w:r>
          </w:p>
        </w:tc>
        <w:tc>
          <w:tcPr>
            <w:tcW w:w="1208" w:type="dxa"/>
          </w:tcPr>
          <w:p w14:paraId="25D6A754" w14:textId="77777777" w:rsidR="00AC09BC" w:rsidRDefault="00AC09BC" w:rsidP="00546119">
            <w:r>
              <w:t>N/A</w:t>
            </w:r>
          </w:p>
        </w:tc>
      </w:tr>
      <w:tr w:rsidR="00AC09BC" w14:paraId="25D6A75C" w14:textId="77777777" w:rsidTr="00546119">
        <w:tc>
          <w:tcPr>
            <w:tcW w:w="1696" w:type="dxa"/>
            <w:vMerge/>
          </w:tcPr>
          <w:p w14:paraId="25D6A756" w14:textId="77777777" w:rsidR="00AC09BC" w:rsidRDefault="00AC09BC" w:rsidP="00546119"/>
        </w:tc>
        <w:tc>
          <w:tcPr>
            <w:tcW w:w="1560" w:type="dxa"/>
          </w:tcPr>
          <w:p w14:paraId="25D6A757" w14:textId="77777777" w:rsidR="00AC09BC" w:rsidRDefault="00AC09BC" w:rsidP="00546119">
            <w:r>
              <w:t>1</w:t>
            </w:r>
          </w:p>
        </w:tc>
        <w:tc>
          <w:tcPr>
            <w:tcW w:w="1343" w:type="dxa"/>
          </w:tcPr>
          <w:p w14:paraId="25D6A758" w14:textId="77777777" w:rsidR="00AC09BC" w:rsidRDefault="00AC09BC" w:rsidP="00546119">
            <w:r>
              <w:t>38</w:t>
            </w:r>
          </w:p>
        </w:tc>
        <w:tc>
          <w:tcPr>
            <w:tcW w:w="1208" w:type="dxa"/>
          </w:tcPr>
          <w:p w14:paraId="25D6A759" w14:textId="77777777" w:rsidR="00AC09BC" w:rsidRDefault="00AC09BC" w:rsidP="00546119">
            <w:r>
              <w:t>0.05</w:t>
            </w:r>
          </w:p>
        </w:tc>
        <w:tc>
          <w:tcPr>
            <w:tcW w:w="1208" w:type="dxa"/>
          </w:tcPr>
          <w:p w14:paraId="25D6A75A" w14:textId="77777777" w:rsidR="00AC09BC" w:rsidRDefault="00AC09BC" w:rsidP="00546119">
            <w:r>
              <w:t>28</w:t>
            </w:r>
          </w:p>
        </w:tc>
        <w:tc>
          <w:tcPr>
            <w:tcW w:w="1208" w:type="dxa"/>
          </w:tcPr>
          <w:p w14:paraId="25D6A75B" w14:textId="77777777" w:rsidR="00AC09BC" w:rsidRDefault="00AC09BC" w:rsidP="00546119">
            <w:r>
              <w:t>N/A</w:t>
            </w:r>
          </w:p>
        </w:tc>
      </w:tr>
    </w:tbl>
    <w:p w14:paraId="25D6A75D" w14:textId="77777777" w:rsidR="00AC09BC" w:rsidRPr="00FD6B2F" w:rsidRDefault="00AC09BC" w:rsidP="00AC09BC">
      <w:pPr>
        <w:rPr>
          <w:b/>
          <w:bCs/>
          <w:u w:val="single"/>
        </w:rPr>
      </w:pPr>
    </w:p>
    <w:p w14:paraId="25D6A75E" w14:textId="77777777" w:rsidR="00AC09BC" w:rsidRDefault="00AC09BC" w:rsidP="00AC09BC">
      <w:pPr>
        <w:rPr>
          <w:b/>
          <w:bCs/>
          <w:u w:val="single"/>
        </w:rPr>
      </w:pPr>
      <w:r>
        <w:rPr>
          <w:b/>
          <w:bCs/>
          <w:u w:val="single"/>
        </w:rPr>
        <w:t>Table 3: Earth-Moon-Earth</w:t>
      </w:r>
    </w:p>
    <w:tbl>
      <w:tblPr>
        <w:tblStyle w:val="TableGrid"/>
        <w:tblW w:w="0" w:type="auto"/>
        <w:tblLook w:val="04A0" w:firstRow="1" w:lastRow="0" w:firstColumn="1" w:lastColumn="0" w:noHBand="0" w:noVBand="1"/>
      </w:tblPr>
      <w:tblGrid>
        <w:gridCol w:w="1696"/>
        <w:gridCol w:w="1560"/>
        <w:gridCol w:w="1343"/>
        <w:gridCol w:w="1208"/>
        <w:gridCol w:w="1208"/>
        <w:gridCol w:w="1208"/>
      </w:tblGrid>
      <w:tr w:rsidR="00AC09BC" w14:paraId="25D6A769" w14:textId="77777777" w:rsidTr="00546119">
        <w:tc>
          <w:tcPr>
            <w:tcW w:w="1696" w:type="dxa"/>
          </w:tcPr>
          <w:p w14:paraId="25D6A75F" w14:textId="77777777" w:rsidR="00AC09BC" w:rsidRDefault="00AC09BC" w:rsidP="00546119"/>
          <w:p w14:paraId="25D6A760" w14:textId="77777777" w:rsidR="00AC09BC" w:rsidRDefault="00AC09BC" w:rsidP="00546119">
            <w:r>
              <w:t>Uptilt Degrees</w:t>
            </w:r>
          </w:p>
        </w:tc>
        <w:tc>
          <w:tcPr>
            <w:tcW w:w="1560" w:type="dxa"/>
          </w:tcPr>
          <w:p w14:paraId="25D6A761" w14:textId="77777777" w:rsidR="00AC09BC" w:rsidRDefault="00AC09BC" w:rsidP="00546119"/>
          <w:p w14:paraId="25D6A762" w14:textId="77777777" w:rsidR="00AC09BC" w:rsidRDefault="00AC09BC" w:rsidP="00546119">
            <w:r>
              <w:t>Location</w:t>
            </w:r>
          </w:p>
          <w:p w14:paraId="25D6A763" w14:textId="77777777" w:rsidR="00AC09BC" w:rsidRDefault="00AC09BC" w:rsidP="00546119">
            <w:r>
              <w:t xml:space="preserve"> Probability %</w:t>
            </w:r>
          </w:p>
        </w:tc>
        <w:tc>
          <w:tcPr>
            <w:tcW w:w="1343" w:type="dxa"/>
          </w:tcPr>
          <w:p w14:paraId="25D6A764" w14:textId="77777777" w:rsidR="00AC09BC" w:rsidRDefault="00AC09BC" w:rsidP="00546119">
            <w:r>
              <w:t>Narrowband</w:t>
            </w:r>
          </w:p>
          <w:p w14:paraId="25D6A765" w14:textId="77777777" w:rsidR="00AC09BC" w:rsidRDefault="00AC09BC" w:rsidP="00546119">
            <w:r>
              <w:t>Interfered Area km</w:t>
            </w:r>
            <w:r w:rsidRPr="00E2182D">
              <w:rPr>
                <w:vertAlign w:val="superscript"/>
              </w:rPr>
              <w:t>2</w:t>
            </w:r>
          </w:p>
        </w:tc>
        <w:tc>
          <w:tcPr>
            <w:tcW w:w="1208" w:type="dxa"/>
          </w:tcPr>
          <w:p w14:paraId="25D6A766" w14:textId="77777777" w:rsidR="00AC09BC" w:rsidRDefault="00AC09BC" w:rsidP="00546119">
            <w:r>
              <w:t>% Area</w:t>
            </w:r>
          </w:p>
        </w:tc>
        <w:tc>
          <w:tcPr>
            <w:tcW w:w="1208" w:type="dxa"/>
          </w:tcPr>
          <w:p w14:paraId="25D6A767" w14:textId="77777777" w:rsidR="00AC09BC" w:rsidRDefault="00AC09BC" w:rsidP="00546119">
            <w:r>
              <w:t>Wideband Interfered Area km</w:t>
            </w:r>
            <w:r w:rsidRPr="00E2182D">
              <w:rPr>
                <w:vertAlign w:val="superscript"/>
              </w:rPr>
              <w:t>2</w:t>
            </w:r>
          </w:p>
        </w:tc>
        <w:tc>
          <w:tcPr>
            <w:tcW w:w="1208" w:type="dxa"/>
          </w:tcPr>
          <w:p w14:paraId="25D6A768" w14:textId="77777777" w:rsidR="00AC09BC" w:rsidRDefault="00AC09BC" w:rsidP="00546119">
            <w:r>
              <w:t>% Area</w:t>
            </w:r>
            <w:r>
              <w:rPr>
                <w:rStyle w:val="FootnoteReference"/>
              </w:rPr>
              <w:footnoteReference w:id="3"/>
            </w:r>
          </w:p>
        </w:tc>
      </w:tr>
      <w:tr w:rsidR="00AC09BC" w14:paraId="25D6A770" w14:textId="77777777" w:rsidTr="00546119">
        <w:tc>
          <w:tcPr>
            <w:tcW w:w="1696" w:type="dxa"/>
            <w:vMerge w:val="restart"/>
          </w:tcPr>
          <w:p w14:paraId="25D6A76A" w14:textId="77777777" w:rsidR="00AC09BC" w:rsidRDefault="00AC09BC" w:rsidP="00546119">
            <w:r>
              <w:t>5</w:t>
            </w:r>
          </w:p>
        </w:tc>
        <w:tc>
          <w:tcPr>
            <w:tcW w:w="1560" w:type="dxa"/>
          </w:tcPr>
          <w:p w14:paraId="25D6A76B" w14:textId="77777777" w:rsidR="00AC09BC" w:rsidRDefault="00AC09BC" w:rsidP="00546119">
            <w:r>
              <w:t>50</w:t>
            </w:r>
          </w:p>
        </w:tc>
        <w:tc>
          <w:tcPr>
            <w:tcW w:w="1343" w:type="dxa"/>
          </w:tcPr>
          <w:p w14:paraId="25D6A76C" w14:textId="77777777" w:rsidR="00AC09BC" w:rsidRDefault="00AC09BC" w:rsidP="00546119">
            <w:r>
              <w:t>167</w:t>
            </w:r>
          </w:p>
        </w:tc>
        <w:tc>
          <w:tcPr>
            <w:tcW w:w="1208" w:type="dxa"/>
          </w:tcPr>
          <w:p w14:paraId="25D6A76D" w14:textId="77777777" w:rsidR="00AC09BC" w:rsidRDefault="00AC09BC" w:rsidP="00546119">
            <w:r>
              <w:t>0.22</w:t>
            </w:r>
          </w:p>
        </w:tc>
        <w:tc>
          <w:tcPr>
            <w:tcW w:w="1208" w:type="dxa"/>
          </w:tcPr>
          <w:p w14:paraId="25D6A76E" w14:textId="77777777" w:rsidR="00AC09BC" w:rsidRDefault="00AC09BC" w:rsidP="00546119">
            <w:r>
              <w:t>126</w:t>
            </w:r>
          </w:p>
        </w:tc>
        <w:tc>
          <w:tcPr>
            <w:tcW w:w="1208" w:type="dxa"/>
          </w:tcPr>
          <w:p w14:paraId="25D6A76F" w14:textId="77777777" w:rsidR="00AC09BC" w:rsidRDefault="00AC09BC" w:rsidP="00546119">
            <w:r>
              <w:t>N/A</w:t>
            </w:r>
          </w:p>
        </w:tc>
      </w:tr>
      <w:tr w:rsidR="00AC09BC" w14:paraId="25D6A777" w14:textId="77777777" w:rsidTr="00546119">
        <w:tc>
          <w:tcPr>
            <w:tcW w:w="1696" w:type="dxa"/>
            <w:vMerge/>
          </w:tcPr>
          <w:p w14:paraId="25D6A771" w14:textId="77777777" w:rsidR="00AC09BC" w:rsidRDefault="00AC09BC" w:rsidP="00546119"/>
        </w:tc>
        <w:tc>
          <w:tcPr>
            <w:tcW w:w="1560" w:type="dxa"/>
          </w:tcPr>
          <w:p w14:paraId="25D6A772" w14:textId="77777777" w:rsidR="00AC09BC" w:rsidRDefault="00AC09BC" w:rsidP="00546119">
            <w:r>
              <w:t>1</w:t>
            </w:r>
          </w:p>
        </w:tc>
        <w:tc>
          <w:tcPr>
            <w:tcW w:w="1343" w:type="dxa"/>
          </w:tcPr>
          <w:p w14:paraId="25D6A773" w14:textId="77777777" w:rsidR="00AC09BC" w:rsidRDefault="00AC09BC" w:rsidP="00546119">
            <w:r>
              <w:t>173</w:t>
            </w:r>
          </w:p>
        </w:tc>
        <w:tc>
          <w:tcPr>
            <w:tcW w:w="1208" w:type="dxa"/>
          </w:tcPr>
          <w:p w14:paraId="25D6A774" w14:textId="77777777" w:rsidR="00AC09BC" w:rsidRDefault="00AC09BC" w:rsidP="00546119">
            <w:r>
              <w:t>0.23</w:t>
            </w:r>
          </w:p>
        </w:tc>
        <w:tc>
          <w:tcPr>
            <w:tcW w:w="1208" w:type="dxa"/>
          </w:tcPr>
          <w:p w14:paraId="25D6A775" w14:textId="77777777" w:rsidR="00AC09BC" w:rsidRDefault="00AC09BC" w:rsidP="00546119">
            <w:r>
              <w:t>168</w:t>
            </w:r>
          </w:p>
        </w:tc>
        <w:tc>
          <w:tcPr>
            <w:tcW w:w="1208" w:type="dxa"/>
          </w:tcPr>
          <w:p w14:paraId="25D6A776" w14:textId="77777777" w:rsidR="00AC09BC" w:rsidRDefault="00AC09BC" w:rsidP="00546119">
            <w:r>
              <w:t>N/A</w:t>
            </w:r>
          </w:p>
        </w:tc>
      </w:tr>
      <w:tr w:rsidR="00AC09BC" w14:paraId="25D6A77E" w14:textId="77777777" w:rsidTr="00546119">
        <w:tc>
          <w:tcPr>
            <w:tcW w:w="1696" w:type="dxa"/>
            <w:vMerge w:val="restart"/>
          </w:tcPr>
          <w:p w14:paraId="25D6A778" w14:textId="77777777" w:rsidR="00AC09BC" w:rsidRDefault="00AC09BC" w:rsidP="00546119">
            <w:r>
              <w:t>45</w:t>
            </w:r>
          </w:p>
        </w:tc>
        <w:tc>
          <w:tcPr>
            <w:tcW w:w="1560" w:type="dxa"/>
          </w:tcPr>
          <w:p w14:paraId="25D6A779" w14:textId="77777777" w:rsidR="00AC09BC" w:rsidRDefault="00AC09BC" w:rsidP="00546119">
            <w:r>
              <w:t>50</w:t>
            </w:r>
          </w:p>
        </w:tc>
        <w:tc>
          <w:tcPr>
            <w:tcW w:w="1343" w:type="dxa"/>
          </w:tcPr>
          <w:p w14:paraId="25D6A77A" w14:textId="77777777" w:rsidR="00AC09BC" w:rsidRDefault="00AC09BC" w:rsidP="00546119">
            <w:r>
              <w:t>153</w:t>
            </w:r>
          </w:p>
        </w:tc>
        <w:tc>
          <w:tcPr>
            <w:tcW w:w="1208" w:type="dxa"/>
          </w:tcPr>
          <w:p w14:paraId="25D6A77B" w14:textId="77777777" w:rsidR="00AC09BC" w:rsidRDefault="00AC09BC" w:rsidP="00546119">
            <w:r>
              <w:t>0.20</w:t>
            </w:r>
          </w:p>
        </w:tc>
        <w:tc>
          <w:tcPr>
            <w:tcW w:w="1208" w:type="dxa"/>
          </w:tcPr>
          <w:p w14:paraId="25D6A77C" w14:textId="77777777" w:rsidR="00AC09BC" w:rsidRDefault="00AC09BC" w:rsidP="00546119">
            <w:r>
              <w:t>79</w:t>
            </w:r>
          </w:p>
        </w:tc>
        <w:tc>
          <w:tcPr>
            <w:tcW w:w="1208" w:type="dxa"/>
          </w:tcPr>
          <w:p w14:paraId="25D6A77D" w14:textId="77777777" w:rsidR="00AC09BC" w:rsidRDefault="00AC09BC" w:rsidP="00546119">
            <w:r>
              <w:t>N/A</w:t>
            </w:r>
          </w:p>
        </w:tc>
      </w:tr>
      <w:tr w:rsidR="00AC09BC" w14:paraId="25D6A785" w14:textId="77777777" w:rsidTr="00546119">
        <w:tc>
          <w:tcPr>
            <w:tcW w:w="1696" w:type="dxa"/>
            <w:vMerge/>
          </w:tcPr>
          <w:p w14:paraId="25D6A77F" w14:textId="77777777" w:rsidR="00AC09BC" w:rsidRDefault="00AC09BC" w:rsidP="00546119"/>
        </w:tc>
        <w:tc>
          <w:tcPr>
            <w:tcW w:w="1560" w:type="dxa"/>
          </w:tcPr>
          <w:p w14:paraId="25D6A780" w14:textId="77777777" w:rsidR="00AC09BC" w:rsidRDefault="00AC09BC" w:rsidP="00546119">
            <w:r>
              <w:t>1</w:t>
            </w:r>
          </w:p>
        </w:tc>
        <w:tc>
          <w:tcPr>
            <w:tcW w:w="1343" w:type="dxa"/>
          </w:tcPr>
          <w:p w14:paraId="25D6A781" w14:textId="77777777" w:rsidR="00AC09BC" w:rsidRDefault="00AC09BC" w:rsidP="00546119">
            <w:r>
              <w:t>201</w:t>
            </w:r>
          </w:p>
        </w:tc>
        <w:tc>
          <w:tcPr>
            <w:tcW w:w="1208" w:type="dxa"/>
          </w:tcPr>
          <w:p w14:paraId="25D6A782" w14:textId="77777777" w:rsidR="00AC09BC" w:rsidRDefault="00AC09BC" w:rsidP="00546119">
            <w:r>
              <w:t>0.26</w:t>
            </w:r>
          </w:p>
        </w:tc>
        <w:tc>
          <w:tcPr>
            <w:tcW w:w="1208" w:type="dxa"/>
          </w:tcPr>
          <w:p w14:paraId="25D6A783" w14:textId="77777777" w:rsidR="00AC09BC" w:rsidRDefault="00AC09BC" w:rsidP="00546119">
            <w:r>
              <w:t>133</w:t>
            </w:r>
          </w:p>
        </w:tc>
        <w:tc>
          <w:tcPr>
            <w:tcW w:w="1208" w:type="dxa"/>
          </w:tcPr>
          <w:p w14:paraId="25D6A784" w14:textId="77777777" w:rsidR="00AC09BC" w:rsidRDefault="00AC09BC" w:rsidP="00546119">
            <w:r>
              <w:t>N/A</w:t>
            </w:r>
          </w:p>
        </w:tc>
      </w:tr>
      <w:tr w:rsidR="00AC09BC" w14:paraId="25D6A78C" w14:textId="77777777" w:rsidTr="00546119">
        <w:tc>
          <w:tcPr>
            <w:tcW w:w="1696" w:type="dxa"/>
            <w:vMerge w:val="restart"/>
          </w:tcPr>
          <w:p w14:paraId="25D6A786" w14:textId="77777777" w:rsidR="00AC09BC" w:rsidRDefault="00AC09BC" w:rsidP="00546119">
            <w:r>
              <w:t>90</w:t>
            </w:r>
          </w:p>
        </w:tc>
        <w:tc>
          <w:tcPr>
            <w:tcW w:w="1560" w:type="dxa"/>
          </w:tcPr>
          <w:p w14:paraId="25D6A787" w14:textId="77777777" w:rsidR="00AC09BC" w:rsidRDefault="00AC09BC" w:rsidP="00546119">
            <w:r>
              <w:t>50</w:t>
            </w:r>
          </w:p>
        </w:tc>
        <w:tc>
          <w:tcPr>
            <w:tcW w:w="1343" w:type="dxa"/>
          </w:tcPr>
          <w:p w14:paraId="25D6A788" w14:textId="77777777" w:rsidR="00AC09BC" w:rsidRDefault="00AC09BC" w:rsidP="00546119">
            <w:r>
              <w:t>154</w:t>
            </w:r>
          </w:p>
        </w:tc>
        <w:tc>
          <w:tcPr>
            <w:tcW w:w="1208" w:type="dxa"/>
          </w:tcPr>
          <w:p w14:paraId="25D6A789" w14:textId="77777777" w:rsidR="00AC09BC" w:rsidRDefault="00AC09BC" w:rsidP="00546119">
            <w:r>
              <w:t>0.20</w:t>
            </w:r>
          </w:p>
        </w:tc>
        <w:tc>
          <w:tcPr>
            <w:tcW w:w="1208" w:type="dxa"/>
          </w:tcPr>
          <w:p w14:paraId="25D6A78A" w14:textId="77777777" w:rsidR="00AC09BC" w:rsidRDefault="00AC09BC" w:rsidP="00546119">
            <w:r>
              <w:t>95</w:t>
            </w:r>
          </w:p>
        </w:tc>
        <w:tc>
          <w:tcPr>
            <w:tcW w:w="1208" w:type="dxa"/>
          </w:tcPr>
          <w:p w14:paraId="25D6A78B" w14:textId="77777777" w:rsidR="00AC09BC" w:rsidRDefault="00AC09BC" w:rsidP="00546119">
            <w:r>
              <w:t>N/A</w:t>
            </w:r>
          </w:p>
        </w:tc>
      </w:tr>
      <w:tr w:rsidR="00AC09BC" w14:paraId="25D6A793" w14:textId="77777777" w:rsidTr="00546119">
        <w:tc>
          <w:tcPr>
            <w:tcW w:w="1696" w:type="dxa"/>
            <w:vMerge/>
          </w:tcPr>
          <w:p w14:paraId="25D6A78D" w14:textId="77777777" w:rsidR="00AC09BC" w:rsidRDefault="00AC09BC" w:rsidP="00546119"/>
        </w:tc>
        <w:tc>
          <w:tcPr>
            <w:tcW w:w="1560" w:type="dxa"/>
          </w:tcPr>
          <w:p w14:paraId="25D6A78E" w14:textId="77777777" w:rsidR="00AC09BC" w:rsidRDefault="00AC09BC" w:rsidP="00546119">
            <w:r>
              <w:t>1</w:t>
            </w:r>
          </w:p>
        </w:tc>
        <w:tc>
          <w:tcPr>
            <w:tcW w:w="1343" w:type="dxa"/>
          </w:tcPr>
          <w:p w14:paraId="25D6A78F" w14:textId="77777777" w:rsidR="00AC09BC" w:rsidRDefault="00AC09BC" w:rsidP="00546119">
            <w:r>
              <w:t>201</w:t>
            </w:r>
          </w:p>
        </w:tc>
        <w:tc>
          <w:tcPr>
            <w:tcW w:w="1208" w:type="dxa"/>
          </w:tcPr>
          <w:p w14:paraId="25D6A790" w14:textId="77777777" w:rsidR="00AC09BC" w:rsidRDefault="00AC09BC" w:rsidP="00546119">
            <w:r>
              <w:t>0.26</w:t>
            </w:r>
          </w:p>
        </w:tc>
        <w:tc>
          <w:tcPr>
            <w:tcW w:w="1208" w:type="dxa"/>
          </w:tcPr>
          <w:p w14:paraId="25D6A791" w14:textId="77777777" w:rsidR="00AC09BC" w:rsidRDefault="00AC09BC" w:rsidP="00546119">
            <w:r>
              <w:t>154</w:t>
            </w:r>
          </w:p>
        </w:tc>
        <w:tc>
          <w:tcPr>
            <w:tcW w:w="1208" w:type="dxa"/>
          </w:tcPr>
          <w:p w14:paraId="25D6A792" w14:textId="77777777" w:rsidR="00AC09BC" w:rsidRDefault="00AC09BC" w:rsidP="00546119">
            <w:r>
              <w:t>N/A</w:t>
            </w:r>
          </w:p>
        </w:tc>
      </w:tr>
    </w:tbl>
    <w:p w14:paraId="25D6A794" w14:textId="77777777" w:rsidR="00AC09BC" w:rsidRDefault="00AC09BC" w:rsidP="00AC09BC"/>
    <w:p w14:paraId="25D6A795" w14:textId="77777777" w:rsidR="00AC09BC" w:rsidRPr="008C527A" w:rsidRDefault="00AC09BC" w:rsidP="00AC09BC">
      <w:pPr>
        <w:rPr>
          <w:b/>
          <w:bCs/>
          <w:u w:val="single"/>
        </w:rPr>
      </w:pPr>
      <w:r w:rsidRPr="008C527A">
        <w:rPr>
          <w:b/>
          <w:bCs/>
          <w:u w:val="single"/>
        </w:rPr>
        <w:lastRenderedPageBreak/>
        <w:t>Permanent Station</w:t>
      </w:r>
    </w:p>
    <w:tbl>
      <w:tblPr>
        <w:tblStyle w:val="TableGrid"/>
        <w:tblW w:w="0" w:type="auto"/>
        <w:tblLook w:val="04A0" w:firstRow="1" w:lastRow="0" w:firstColumn="1" w:lastColumn="0" w:noHBand="0" w:noVBand="1"/>
      </w:tblPr>
      <w:tblGrid>
        <w:gridCol w:w="1696"/>
        <w:gridCol w:w="1560"/>
        <w:gridCol w:w="1343"/>
        <w:gridCol w:w="1208"/>
        <w:gridCol w:w="1208"/>
        <w:gridCol w:w="1208"/>
      </w:tblGrid>
      <w:tr w:rsidR="00AC09BC" w14:paraId="25D6A7A0" w14:textId="77777777" w:rsidTr="00546119">
        <w:tc>
          <w:tcPr>
            <w:tcW w:w="1696" w:type="dxa"/>
          </w:tcPr>
          <w:p w14:paraId="25D6A796" w14:textId="77777777" w:rsidR="00AC09BC" w:rsidRDefault="00AC09BC" w:rsidP="00546119"/>
          <w:p w14:paraId="25D6A797" w14:textId="77777777" w:rsidR="00AC09BC" w:rsidRDefault="00AC09BC" w:rsidP="00546119">
            <w:r>
              <w:t>Power (Watts)</w:t>
            </w:r>
          </w:p>
        </w:tc>
        <w:tc>
          <w:tcPr>
            <w:tcW w:w="1560" w:type="dxa"/>
          </w:tcPr>
          <w:p w14:paraId="25D6A798" w14:textId="77777777" w:rsidR="00AC09BC" w:rsidRDefault="00AC09BC" w:rsidP="00546119"/>
          <w:p w14:paraId="25D6A799" w14:textId="77777777" w:rsidR="00AC09BC" w:rsidRDefault="00AC09BC" w:rsidP="00546119">
            <w:r>
              <w:t>Location</w:t>
            </w:r>
          </w:p>
          <w:p w14:paraId="25D6A79A" w14:textId="77777777" w:rsidR="00AC09BC" w:rsidRDefault="00AC09BC" w:rsidP="00546119">
            <w:r>
              <w:t xml:space="preserve"> Probability %</w:t>
            </w:r>
          </w:p>
        </w:tc>
        <w:tc>
          <w:tcPr>
            <w:tcW w:w="1343" w:type="dxa"/>
          </w:tcPr>
          <w:p w14:paraId="25D6A79B" w14:textId="77777777" w:rsidR="00AC09BC" w:rsidRDefault="00AC09BC" w:rsidP="00546119">
            <w:r>
              <w:t>Narrowband</w:t>
            </w:r>
          </w:p>
          <w:p w14:paraId="25D6A79C" w14:textId="77777777" w:rsidR="00AC09BC" w:rsidRDefault="00AC09BC" w:rsidP="00546119">
            <w:r>
              <w:t>Interfered Area km</w:t>
            </w:r>
            <w:r w:rsidRPr="00E2182D">
              <w:rPr>
                <w:vertAlign w:val="superscript"/>
              </w:rPr>
              <w:t>2</w:t>
            </w:r>
          </w:p>
        </w:tc>
        <w:tc>
          <w:tcPr>
            <w:tcW w:w="1208" w:type="dxa"/>
          </w:tcPr>
          <w:p w14:paraId="25D6A79D" w14:textId="77777777" w:rsidR="00AC09BC" w:rsidRDefault="00AC09BC" w:rsidP="00546119">
            <w:r>
              <w:t>% Area</w:t>
            </w:r>
          </w:p>
        </w:tc>
        <w:tc>
          <w:tcPr>
            <w:tcW w:w="1208" w:type="dxa"/>
          </w:tcPr>
          <w:p w14:paraId="25D6A79E" w14:textId="77777777" w:rsidR="00AC09BC" w:rsidRDefault="00AC09BC" w:rsidP="00546119">
            <w:r>
              <w:t>Wideband Interfered Area km</w:t>
            </w:r>
            <w:r w:rsidRPr="00E2182D">
              <w:rPr>
                <w:vertAlign w:val="superscript"/>
              </w:rPr>
              <w:t>2</w:t>
            </w:r>
          </w:p>
        </w:tc>
        <w:tc>
          <w:tcPr>
            <w:tcW w:w="1208" w:type="dxa"/>
          </w:tcPr>
          <w:p w14:paraId="25D6A79F" w14:textId="77777777" w:rsidR="00AC09BC" w:rsidRDefault="00AC09BC" w:rsidP="00546119">
            <w:r>
              <w:t>% Area</w:t>
            </w:r>
          </w:p>
        </w:tc>
      </w:tr>
      <w:tr w:rsidR="00AC09BC" w14:paraId="25D6A7A7" w14:textId="77777777" w:rsidTr="00546119">
        <w:tc>
          <w:tcPr>
            <w:tcW w:w="1696" w:type="dxa"/>
            <w:vMerge w:val="restart"/>
          </w:tcPr>
          <w:p w14:paraId="25D6A7A1" w14:textId="77777777" w:rsidR="00AC09BC" w:rsidRDefault="00AC09BC" w:rsidP="00546119">
            <w:r>
              <w:t>1</w:t>
            </w:r>
          </w:p>
        </w:tc>
        <w:tc>
          <w:tcPr>
            <w:tcW w:w="1560" w:type="dxa"/>
          </w:tcPr>
          <w:p w14:paraId="25D6A7A2" w14:textId="77777777" w:rsidR="00AC09BC" w:rsidRDefault="00AC09BC" w:rsidP="00546119">
            <w:r>
              <w:t>50</w:t>
            </w:r>
          </w:p>
        </w:tc>
        <w:tc>
          <w:tcPr>
            <w:tcW w:w="1343" w:type="dxa"/>
          </w:tcPr>
          <w:p w14:paraId="25D6A7A3" w14:textId="77777777" w:rsidR="00AC09BC" w:rsidRDefault="00AC09BC" w:rsidP="00546119">
            <w:r>
              <w:t>60</w:t>
            </w:r>
          </w:p>
        </w:tc>
        <w:tc>
          <w:tcPr>
            <w:tcW w:w="1208" w:type="dxa"/>
          </w:tcPr>
          <w:p w14:paraId="25D6A7A4" w14:textId="77777777" w:rsidR="00AC09BC" w:rsidRDefault="00AC09BC" w:rsidP="00546119">
            <w:r>
              <w:t>1.8</w:t>
            </w:r>
          </w:p>
        </w:tc>
        <w:tc>
          <w:tcPr>
            <w:tcW w:w="1208" w:type="dxa"/>
          </w:tcPr>
          <w:p w14:paraId="25D6A7A5" w14:textId="77777777" w:rsidR="00AC09BC" w:rsidRDefault="00AC09BC" w:rsidP="00546119">
            <w:r>
              <w:t>60</w:t>
            </w:r>
          </w:p>
        </w:tc>
        <w:tc>
          <w:tcPr>
            <w:tcW w:w="1208" w:type="dxa"/>
          </w:tcPr>
          <w:p w14:paraId="25D6A7A6" w14:textId="77777777" w:rsidR="00AC09BC" w:rsidRDefault="00AC09BC" w:rsidP="00546119">
            <w:r>
              <w:t>0.6</w:t>
            </w:r>
          </w:p>
        </w:tc>
      </w:tr>
      <w:tr w:rsidR="00AC09BC" w14:paraId="25D6A7AE" w14:textId="77777777" w:rsidTr="00546119">
        <w:tc>
          <w:tcPr>
            <w:tcW w:w="1696" w:type="dxa"/>
            <w:vMerge/>
          </w:tcPr>
          <w:p w14:paraId="25D6A7A8" w14:textId="77777777" w:rsidR="00AC09BC" w:rsidRDefault="00AC09BC" w:rsidP="00546119"/>
        </w:tc>
        <w:tc>
          <w:tcPr>
            <w:tcW w:w="1560" w:type="dxa"/>
          </w:tcPr>
          <w:p w14:paraId="25D6A7A9" w14:textId="77777777" w:rsidR="00AC09BC" w:rsidRDefault="00AC09BC" w:rsidP="00546119">
            <w:r>
              <w:t>1</w:t>
            </w:r>
          </w:p>
        </w:tc>
        <w:tc>
          <w:tcPr>
            <w:tcW w:w="1343" w:type="dxa"/>
          </w:tcPr>
          <w:p w14:paraId="25D6A7AA" w14:textId="77777777" w:rsidR="00AC09BC" w:rsidRDefault="00AC09BC" w:rsidP="00546119">
            <w:r>
              <w:t>136</w:t>
            </w:r>
          </w:p>
        </w:tc>
        <w:tc>
          <w:tcPr>
            <w:tcW w:w="1208" w:type="dxa"/>
          </w:tcPr>
          <w:p w14:paraId="25D6A7AB" w14:textId="77777777" w:rsidR="00AC09BC" w:rsidRDefault="00AC09BC" w:rsidP="00546119">
            <w:r>
              <w:t>4.1</w:t>
            </w:r>
          </w:p>
        </w:tc>
        <w:tc>
          <w:tcPr>
            <w:tcW w:w="1208" w:type="dxa"/>
          </w:tcPr>
          <w:p w14:paraId="25D6A7AC" w14:textId="77777777" w:rsidR="00AC09BC" w:rsidRDefault="00AC09BC" w:rsidP="00546119">
            <w:r>
              <w:t>76</w:t>
            </w:r>
          </w:p>
        </w:tc>
        <w:tc>
          <w:tcPr>
            <w:tcW w:w="1208" w:type="dxa"/>
          </w:tcPr>
          <w:p w14:paraId="25D6A7AD" w14:textId="77777777" w:rsidR="00AC09BC" w:rsidRDefault="00AC09BC" w:rsidP="00546119">
            <w:r>
              <w:t>0.76</w:t>
            </w:r>
          </w:p>
        </w:tc>
      </w:tr>
    </w:tbl>
    <w:p w14:paraId="25D6A7AF" w14:textId="77777777" w:rsidR="00AC09BC" w:rsidRDefault="00AC09BC" w:rsidP="00AC09BC"/>
    <w:p w14:paraId="25D6A7B0" w14:textId="77777777" w:rsidR="00AC09BC" w:rsidRDefault="00AC09BC" w:rsidP="00AC09BC">
      <w:r>
        <w:t>From these tables it can be seen that any activity requiring antenna up tilt suggests an interfered area of 0.26% at most between active stations.</w:t>
      </w:r>
    </w:p>
    <w:p w14:paraId="25D6A7B1" w14:textId="77777777" w:rsidR="00AC09BC" w:rsidRDefault="00AC09BC" w:rsidP="00AC09BC">
      <w:r>
        <w:t xml:space="preserve">The results for the Home Station 1 show a larger percentage area particularly for the most stringent propagation model settings. However these stations are not continuously transmitting and further account of the actual transmission time should be considered too. </w:t>
      </w:r>
    </w:p>
    <w:p w14:paraId="25D6A7B2" w14:textId="77777777" w:rsidR="00AC09BC" w:rsidRDefault="00AC09BC" w:rsidP="00AC09BC">
      <w:r>
        <w:t>The results for the Permanent Station show an interfered area less than 5% between active stations but in this case the transmissions may be evident for considerably longer and there may be a population of stations active at the same time.</w:t>
      </w:r>
    </w:p>
    <w:p w14:paraId="25D6A7B3" w14:textId="77777777" w:rsidR="00AC09BC" w:rsidRDefault="00AC09BC" w:rsidP="00AC09BC"/>
    <w:p w14:paraId="25D6A7B4" w14:textId="77777777" w:rsidR="00AC09BC" w:rsidRPr="009B1A6A" w:rsidRDefault="00AC09BC" w:rsidP="00AC09BC">
      <w:pPr>
        <w:rPr>
          <w:b/>
          <w:bCs/>
          <w:u w:val="single"/>
        </w:rPr>
      </w:pPr>
      <w:r>
        <w:rPr>
          <w:b/>
          <w:bCs/>
          <w:u w:val="single"/>
        </w:rPr>
        <w:t>Likelihood</w:t>
      </w:r>
      <w:r w:rsidRPr="009B1A6A">
        <w:rPr>
          <w:b/>
          <w:bCs/>
          <w:u w:val="single"/>
        </w:rPr>
        <w:t xml:space="preserve"> of Interference</w:t>
      </w:r>
      <w:r>
        <w:rPr>
          <w:b/>
          <w:bCs/>
          <w:u w:val="single"/>
        </w:rPr>
        <w:t xml:space="preserve"> using a Home Station 1 Example:</w:t>
      </w:r>
    </w:p>
    <w:p w14:paraId="25D6A7B5" w14:textId="77777777" w:rsidR="00AC09BC" w:rsidRDefault="00AC09BC" w:rsidP="00AC09BC">
      <w:r>
        <w:t xml:space="preserve">The data in </w:t>
      </w:r>
      <w:r w:rsidRPr="009B1A6A">
        <w:rPr>
          <w:highlight w:val="yellow"/>
        </w:rPr>
        <w:t>section xxx</w:t>
      </w:r>
      <w:r>
        <w:t xml:space="preserve"> on amateur station usage patterns enables the percentage of time that interference might occur to be estimated over the area estimated by the simulation study.</w:t>
      </w:r>
    </w:p>
    <w:p w14:paraId="25D6A7B6" w14:textId="77777777" w:rsidR="00AC09BC" w:rsidRDefault="00AC09BC" w:rsidP="00AC09BC">
      <w:r>
        <w:t>Taking the example of a Home Station 1 operating with a maximum transmitter power of 100W for n</w:t>
      </w:r>
      <w:r w:rsidRPr="00A6653C">
        <w:t>arrow-band</w:t>
      </w:r>
      <w:r w:rsidRPr="005E4629">
        <w:t xml:space="preserve"> activity period</w:t>
      </w:r>
      <w:r>
        <w:t>s</w:t>
      </w:r>
      <w:r w:rsidRPr="005E4629">
        <w:t xml:space="preserve"> and </w:t>
      </w:r>
      <w:proofErr w:type="spellStart"/>
      <w:r w:rsidRPr="005E4629">
        <w:t>radiosport</w:t>
      </w:r>
      <w:proofErr w:type="spellEnd"/>
      <w:r>
        <w:t xml:space="preserve"> over a one-year cycle: </w:t>
      </w:r>
    </w:p>
    <w:p w14:paraId="25D6A7B7" w14:textId="77777777" w:rsidR="00AC09BC" w:rsidRDefault="00AC09BC" w:rsidP="00AC09BC">
      <w:r>
        <w:t>Total hours of active operation:  108 hours = 1.23% of time p.a.</w:t>
      </w:r>
    </w:p>
    <w:p w14:paraId="25D6A7B8" w14:textId="77777777" w:rsidR="00AC09BC" w:rsidRDefault="00AC09BC" w:rsidP="00AC09BC">
      <w:r>
        <w:t>Active transmitting time = 0.62% of time p.a.</w:t>
      </w:r>
    </w:p>
    <w:p w14:paraId="25D6A7B9" w14:textId="77777777" w:rsidR="00AC09BC" w:rsidRDefault="00AC09BC" w:rsidP="00AC09BC">
      <w:r>
        <w:t>In this case the simulations estimate that interference exceeding the RNSS receiver protection threshold could be observed over 8.66% of the area in any territory for just 0.62% of time, given the most stringent protection level (1% location probability) from a single Home Station 1.</w:t>
      </w:r>
    </w:p>
    <w:p w14:paraId="25D6A7BA" w14:textId="77777777" w:rsidR="00AC09BC" w:rsidRDefault="00AC09BC" w:rsidP="00AC09BC">
      <w:pPr>
        <w:rPr>
          <w:b/>
          <w:bCs/>
          <w:u w:val="single"/>
        </w:rPr>
      </w:pPr>
      <w:r w:rsidRPr="003A7EA5">
        <w:rPr>
          <w:b/>
          <w:bCs/>
          <w:u w:val="single"/>
        </w:rPr>
        <w:t xml:space="preserve">Other </w:t>
      </w:r>
      <w:r>
        <w:rPr>
          <w:b/>
          <w:bCs/>
          <w:u w:val="single"/>
        </w:rPr>
        <w:t>considerations:</w:t>
      </w:r>
    </w:p>
    <w:p w14:paraId="25D6A7BB" w14:textId="77777777" w:rsidR="00AC09BC" w:rsidRDefault="00AC09BC" w:rsidP="00AC09BC">
      <w:r>
        <w:t>For Home Station 1 applications the amateur radio transmitter is not active for 100% of time and the antenna direction is not fixed. Therefore the following additional considerations will mitigate the potential for interference:</w:t>
      </w:r>
    </w:p>
    <w:p w14:paraId="25D6A7BC" w14:textId="77777777" w:rsidR="00AC09BC" w:rsidRDefault="00AC09BC" w:rsidP="00AC09BC">
      <w:pPr>
        <w:pStyle w:val="ListParagraph"/>
        <w:numPr>
          <w:ilvl w:val="0"/>
          <w:numId w:val="15"/>
        </w:numPr>
        <w:spacing w:before="0" w:after="160" w:line="259" w:lineRule="auto"/>
        <w:jc w:val="left"/>
      </w:pPr>
      <w:r>
        <w:t xml:space="preserve">Transmission time is not continuous. Usually, they will last just a few tens of seconds followed by an equal (but often longer) receiving period. </w:t>
      </w:r>
    </w:p>
    <w:p w14:paraId="25D6A7BD" w14:textId="77777777" w:rsidR="00AC09BC" w:rsidRDefault="00AC09BC" w:rsidP="00AC09BC">
      <w:pPr>
        <w:pStyle w:val="ListParagraph"/>
        <w:numPr>
          <w:ilvl w:val="0"/>
          <w:numId w:val="15"/>
        </w:numPr>
        <w:spacing w:before="0" w:after="160" w:line="259" w:lineRule="auto"/>
        <w:jc w:val="left"/>
        <w:rPr>
          <w:noProof/>
        </w:rPr>
      </w:pPr>
      <w:r>
        <w:t xml:space="preserve">The mean power of the most common amateur applications in use </w:t>
      </w:r>
      <w:r>
        <w:rPr>
          <w:noProof/>
        </w:rPr>
        <w:t xml:space="preserve">for </w:t>
      </w:r>
      <w:r>
        <w:t>n</w:t>
      </w:r>
      <w:r w:rsidRPr="00A6653C">
        <w:t>arrow-band</w:t>
      </w:r>
      <w:r w:rsidRPr="005E4629">
        <w:t xml:space="preserve"> activity period</w:t>
      </w:r>
      <w:r>
        <w:t>s</w:t>
      </w:r>
      <w:r w:rsidRPr="005E4629">
        <w:t xml:space="preserve"> </w:t>
      </w:r>
      <w:r>
        <w:t xml:space="preserve">for weak signal operating </w:t>
      </w:r>
      <w:r w:rsidRPr="005E4629">
        <w:t xml:space="preserve">and </w:t>
      </w:r>
      <w:proofErr w:type="spellStart"/>
      <w:r w:rsidRPr="005E4629">
        <w:t>radiosport</w:t>
      </w:r>
      <w:proofErr w:type="spellEnd"/>
      <w:r>
        <w:t xml:space="preserve"> (</w:t>
      </w:r>
      <w:r>
        <w:rPr>
          <w:noProof/>
        </w:rPr>
        <w:t xml:space="preserve">voice (analogue) SSB)  is around 30% of the maximum capability of the equipment. </w:t>
      </w:r>
    </w:p>
    <w:p w14:paraId="25D6A7BE" w14:textId="77777777" w:rsidR="00AC09BC" w:rsidRDefault="00AC09BC" w:rsidP="00AC09BC">
      <w:pPr>
        <w:pStyle w:val="ListParagraph"/>
        <w:numPr>
          <w:ilvl w:val="0"/>
          <w:numId w:val="15"/>
        </w:numPr>
        <w:spacing w:before="0" w:after="160" w:line="259" w:lineRule="auto"/>
        <w:jc w:val="left"/>
      </w:pPr>
      <w:r>
        <w:rPr>
          <w:noProof/>
        </w:rPr>
        <w:t>The interference area is directional with around a 1 in 5 chance of the maximum range being reached. For 80% of directions away from the amateur station the maximum range will be considerably less.</w:t>
      </w:r>
      <w:r w:rsidRPr="000503CB">
        <w:t xml:space="preserve"> </w:t>
      </w:r>
    </w:p>
    <w:p w14:paraId="25D6A7BF" w14:textId="77777777" w:rsidR="00AC09BC" w:rsidRDefault="00AC09BC" w:rsidP="00AC09BC">
      <w:pPr>
        <w:pStyle w:val="ListParagraph"/>
        <w:numPr>
          <w:ilvl w:val="0"/>
          <w:numId w:val="15"/>
        </w:numPr>
        <w:spacing w:before="0" w:after="160" w:line="259" w:lineRule="auto"/>
        <w:jc w:val="left"/>
      </w:pPr>
      <w:r w:rsidRPr="00970EEC">
        <w:t xml:space="preserve">Only </w:t>
      </w:r>
      <w:r>
        <w:t>7.5% of Home Stations have the capability to transmit at a maximum power of 100 Watts and even fewer have the capability to transmit at a maximum power of 300W.</w:t>
      </w:r>
    </w:p>
    <w:p w14:paraId="25D6A7C0" w14:textId="77777777" w:rsidR="00312FB3" w:rsidRDefault="00312FB3" w:rsidP="00AC09BC">
      <w:pPr>
        <w:pStyle w:val="ListParagraph"/>
        <w:numPr>
          <w:ilvl w:val="0"/>
          <w:numId w:val="15"/>
        </w:numPr>
        <w:spacing w:before="0" w:after="160" w:line="259" w:lineRule="auto"/>
        <w:jc w:val="left"/>
      </w:pPr>
      <w:r>
        <w:t>Almost all transmitting activity takes place outside normal business hours.</w:t>
      </w:r>
    </w:p>
    <w:p w14:paraId="25D6A7C1" w14:textId="77777777" w:rsidR="00AC09BC" w:rsidRDefault="00AC09BC" w:rsidP="00AC09BC">
      <w:pPr>
        <w:pStyle w:val="ListParagraph"/>
        <w:spacing w:before="0" w:after="160" w:line="259" w:lineRule="auto"/>
        <w:jc w:val="left"/>
        <w:rPr>
          <w:noProof/>
        </w:rPr>
      </w:pPr>
    </w:p>
    <w:p w14:paraId="25D6A7C2" w14:textId="77777777" w:rsidR="00AC09BC" w:rsidRDefault="00AC09BC" w:rsidP="00AC09BC">
      <w:pPr>
        <w:pStyle w:val="ListParagraph"/>
        <w:spacing w:before="0" w:after="160" w:line="259" w:lineRule="auto"/>
        <w:jc w:val="left"/>
        <w:rPr>
          <w:noProof/>
        </w:rPr>
      </w:pPr>
    </w:p>
    <w:p w14:paraId="25D6A7C3" w14:textId="77777777" w:rsidR="002B67CB" w:rsidRPr="000F2E23" w:rsidRDefault="00FF0920" w:rsidP="00FF0920">
      <w:pPr>
        <w:pStyle w:val="ListParagraph"/>
        <w:spacing w:before="0" w:after="160" w:line="259" w:lineRule="auto"/>
        <w:ind w:left="0"/>
        <w:jc w:val="left"/>
        <w:rPr>
          <w:rFonts w:ascii="Times New Roman" w:eastAsiaTheme="minorEastAsia" w:hAnsi="Times New Roman"/>
          <w:color w:val="000000" w:themeColor="text1"/>
          <w:sz w:val="24"/>
          <w:szCs w:val="24"/>
        </w:rPr>
      </w:pPr>
      <w:r>
        <w:t>[Contributors Note: Considerations for the other station types continue to be under development]</w:t>
      </w:r>
    </w:p>
    <w:sectPr w:rsidR="002B67CB" w:rsidRPr="000F2E23" w:rsidSect="00797DEE">
      <w:headerReference w:type="even" r:id="rId9"/>
      <w:headerReference w:type="defaul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6A7CB" w14:textId="77777777" w:rsidR="00731B6B" w:rsidRDefault="00731B6B" w:rsidP="00DB17F9">
      <w:r>
        <w:separator/>
      </w:r>
    </w:p>
    <w:p w14:paraId="25D6A7CC" w14:textId="77777777" w:rsidR="00731B6B" w:rsidRDefault="00731B6B"/>
  </w:endnote>
  <w:endnote w:type="continuationSeparator" w:id="0">
    <w:p w14:paraId="25D6A7CD" w14:textId="77777777" w:rsidR="00731B6B" w:rsidRDefault="00731B6B" w:rsidP="00DB17F9">
      <w:r>
        <w:continuationSeparator/>
      </w:r>
    </w:p>
    <w:p w14:paraId="25D6A7CE" w14:textId="77777777" w:rsidR="00731B6B" w:rsidRDefault="00731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A7C8" w14:textId="77777777" w:rsidR="00731B6B" w:rsidRPr="00F51BD6" w:rsidRDefault="00731B6B" w:rsidP="00CD07E7">
      <w:pPr>
        <w:spacing w:before="120" w:after="0"/>
      </w:pPr>
      <w:r>
        <w:separator/>
      </w:r>
    </w:p>
  </w:footnote>
  <w:footnote w:type="continuationSeparator" w:id="0">
    <w:p w14:paraId="25D6A7C9" w14:textId="77777777" w:rsidR="00731B6B" w:rsidRDefault="00731B6B" w:rsidP="00CD07E7">
      <w:pPr>
        <w:spacing w:before="120" w:after="0"/>
      </w:pPr>
      <w:r>
        <w:continuationSeparator/>
      </w:r>
    </w:p>
  </w:footnote>
  <w:footnote w:type="continuationNotice" w:id="1">
    <w:p w14:paraId="25D6A7CA" w14:textId="77777777" w:rsidR="00731B6B" w:rsidRPr="00CD07E7" w:rsidRDefault="00731B6B" w:rsidP="00CD07E7">
      <w:pPr>
        <w:spacing w:before="120" w:after="0"/>
      </w:pPr>
    </w:p>
  </w:footnote>
  <w:footnote w:id="2">
    <w:p w14:paraId="25D6A7D2" w14:textId="77777777" w:rsidR="00AC09BC" w:rsidRDefault="00AC09BC" w:rsidP="00AC09BC">
      <w:pPr>
        <w:pStyle w:val="FootnoteText"/>
      </w:pPr>
      <w:r>
        <w:rPr>
          <w:rStyle w:val="FootnoteReference"/>
        </w:rPr>
        <w:footnoteRef/>
      </w:r>
      <w:r>
        <w:t xml:space="preserve"> Assuming a similar Earth-Moon-Earth station density.</w:t>
      </w:r>
    </w:p>
  </w:footnote>
  <w:footnote w:id="3">
    <w:p w14:paraId="25D6A7D3" w14:textId="77777777" w:rsidR="00AC09BC" w:rsidRDefault="00AC09BC" w:rsidP="00AC09BC">
      <w:pPr>
        <w:pStyle w:val="FootnoteText"/>
      </w:pPr>
      <w:r>
        <w:rPr>
          <w:rStyle w:val="FootnoteReference"/>
        </w:rPr>
        <w:footnoteRef/>
      </w:r>
      <w:r>
        <w:t xml:space="preserve"> Wideband modes are not achievable via Earth-Moon-Earth paths due to the challenging link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6A7CF" w14:textId="77777777" w:rsidR="000A6F19" w:rsidRPr="00AD1BE1" w:rsidRDefault="000A6F19" w:rsidP="00AD1BE1">
    <w:pPr>
      <w:pStyle w:val="ECCpageHeader"/>
    </w:pPr>
    <w:r w:rsidRPr="00AD1BE1">
      <w:t xml:space="preserve">ECC REPORT &lt;No&gt; - Page </w:t>
    </w:r>
    <w:r w:rsidRPr="00AD1BE1">
      <w:fldChar w:fldCharType="begin"/>
    </w:r>
    <w:r w:rsidRPr="00AD1BE1">
      <w:instrText xml:space="preserve"> PAGE  \* Arabic  \* MERGEFORMAT </w:instrText>
    </w:r>
    <w:r w:rsidRPr="00AD1BE1">
      <w:fldChar w:fldCharType="separate"/>
    </w:r>
    <w:r>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6A7D0" w14:textId="77777777" w:rsidR="000A6F19" w:rsidRPr="00714F0F" w:rsidRDefault="000A6F19"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312FB3">
      <w:rPr>
        <w:noProof/>
      </w:rPr>
      <w:t>3</w:t>
    </w:r>
    <w:r w:rsidRPr="00714F0F">
      <w:fldChar w:fldCharType="end"/>
    </w:r>
  </w:p>
  <w:p w14:paraId="25D6A7D1" w14:textId="77777777" w:rsidR="000A6F19" w:rsidRDefault="000A6F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85pt;height:59.15pt" o:bullet="t">
        <v:imagedata r:id="rId1" o:title="Editor's Note"/>
      </v:shape>
    </w:pict>
  </w:numPicBullet>
  <w:abstractNum w:abstractNumId="0" w15:restartNumberingAfterBreak="0">
    <w:nsid w:val="0A823C5A"/>
    <w:multiLevelType w:val="hybridMultilevel"/>
    <w:tmpl w:val="1C62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0D3A61"/>
    <w:multiLevelType w:val="hybridMultilevel"/>
    <w:tmpl w:val="DBAE3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7B613B"/>
    <w:multiLevelType w:val="hybridMultilevel"/>
    <w:tmpl w:val="CB224E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769D2C2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10"/>
  </w:num>
  <w:num w:numId="4">
    <w:abstractNumId w:val="6"/>
  </w:num>
  <w:num w:numId="5">
    <w:abstractNumId w:val="8"/>
  </w:num>
  <w:num w:numId="6">
    <w:abstractNumId w:val="7"/>
  </w:num>
  <w:num w:numId="7">
    <w:abstractNumId w:val="9"/>
  </w:num>
  <w:num w:numId="8">
    <w:abstractNumId w:val="5"/>
  </w:num>
  <w:num w:numId="9">
    <w:abstractNumId w:val="5"/>
  </w:num>
  <w:num w:numId="10">
    <w:abstractNumId w:val="7"/>
  </w:num>
  <w:num w:numId="11">
    <w:abstractNumId w:val="7"/>
  </w:num>
  <w:num w:numId="12">
    <w:abstractNumId w:val="11"/>
  </w:num>
  <w:num w:numId="13">
    <w:abstractNumId w:val="2"/>
  </w:num>
  <w:num w:numId="14">
    <w:abstractNumId w:val="3"/>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zMDEyMTcxNjcysrRU0lEKTi0uzszPAykwrQUAKIwpYCwAAAA="/>
  </w:docVars>
  <w:rsids>
    <w:rsidRoot w:val="00265F50"/>
    <w:rsid w:val="0001112E"/>
    <w:rsid w:val="00012E3B"/>
    <w:rsid w:val="00041A18"/>
    <w:rsid w:val="0004622B"/>
    <w:rsid w:val="00067793"/>
    <w:rsid w:val="00080D4D"/>
    <w:rsid w:val="00082DD7"/>
    <w:rsid w:val="000850BC"/>
    <w:rsid w:val="00095620"/>
    <w:rsid w:val="000A3940"/>
    <w:rsid w:val="000A6F19"/>
    <w:rsid w:val="000B6D45"/>
    <w:rsid w:val="000C028F"/>
    <w:rsid w:val="000D1710"/>
    <w:rsid w:val="000D43BB"/>
    <w:rsid w:val="000E3E4D"/>
    <w:rsid w:val="000E42F5"/>
    <w:rsid w:val="000F0594"/>
    <w:rsid w:val="000F0CA8"/>
    <w:rsid w:val="000F24F5"/>
    <w:rsid w:val="000F2E23"/>
    <w:rsid w:val="000F2ED9"/>
    <w:rsid w:val="001006CA"/>
    <w:rsid w:val="00100F8B"/>
    <w:rsid w:val="00102172"/>
    <w:rsid w:val="00110652"/>
    <w:rsid w:val="001526A2"/>
    <w:rsid w:val="001537B1"/>
    <w:rsid w:val="00154F16"/>
    <w:rsid w:val="00156314"/>
    <w:rsid w:val="00172B28"/>
    <w:rsid w:val="00183FE0"/>
    <w:rsid w:val="0018553F"/>
    <w:rsid w:val="001A01CA"/>
    <w:rsid w:val="001A7334"/>
    <w:rsid w:val="001B0583"/>
    <w:rsid w:val="001C30A8"/>
    <w:rsid w:val="001E44B2"/>
    <w:rsid w:val="001E57C2"/>
    <w:rsid w:val="001F21E7"/>
    <w:rsid w:val="0020079A"/>
    <w:rsid w:val="00222F9E"/>
    <w:rsid w:val="0022543E"/>
    <w:rsid w:val="002302A9"/>
    <w:rsid w:val="00231A0F"/>
    <w:rsid w:val="00263FFB"/>
    <w:rsid w:val="00265F50"/>
    <w:rsid w:val="00265F59"/>
    <w:rsid w:val="00270BE4"/>
    <w:rsid w:val="00274F84"/>
    <w:rsid w:val="0027500F"/>
    <w:rsid w:val="0027787F"/>
    <w:rsid w:val="0028060B"/>
    <w:rsid w:val="0028120C"/>
    <w:rsid w:val="00283417"/>
    <w:rsid w:val="00295827"/>
    <w:rsid w:val="00295F16"/>
    <w:rsid w:val="00296C44"/>
    <w:rsid w:val="002970A9"/>
    <w:rsid w:val="002A033F"/>
    <w:rsid w:val="002A2621"/>
    <w:rsid w:val="002B67CB"/>
    <w:rsid w:val="002C6A76"/>
    <w:rsid w:val="002C6DC3"/>
    <w:rsid w:val="002D1FA9"/>
    <w:rsid w:val="002D50A3"/>
    <w:rsid w:val="002E5F3E"/>
    <w:rsid w:val="002F70E6"/>
    <w:rsid w:val="003007C0"/>
    <w:rsid w:val="00307A79"/>
    <w:rsid w:val="00312FB3"/>
    <w:rsid w:val="003204D5"/>
    <w:rsid w:val="00320ED0"/>
    <w:rsid w:val="00322E6A"/>
    <w:rsid w:val="003314A0"/>
    <w:rsid w:val="00373E37"/>
    <w:rsid w:val="00381169"/>
    <w:rsid w:val="0038287C"/>
    <w:rsid w:val="0038358E"/>
    <w:rsid w:val="00387DDE"/>
    <w:rsid w:val="00391A01"/>
    <w:rsid w:val="003A0EB5"/>
    <w:rsid w:val="003A5711"/>
    <w:rsid w:val="003C172A"/>
    <w:rsid w:val="003C1FDC"/>
    <w:rsid w:val="003C64D9"/>
    <w:rsid w:val="003D2967"/>
    <w:rsid w:val="003E2E42"/>
    <w:rsid w:val="003E70E0"/>
    <w:rsid w:val="00403CE6"/>
    <w:rsid w:val="004110CA"/>
    <w:rsid w:val="0041160E"/>
    <w:rsid w:val="0042761F"/>
    <w:rsid w:val="00431162"/>
    <w:rsid w:val="00441EE0"/>
    <w:rsid w:val="00443482"/>
    <w:rsid w:val="00450308"/>
    <w:rsid w:val="00457AD1"/>
    <w:rsid w:val="0046427F"/>
    <w:rsid w:val="00482977"/>
    <w:rsid w:val="00485665"/>
    <w:rsid w:val="00491977"/>
    <w:rsid w:val="004A1329"/>
    <w:rsid w:val="004A2318"/>
    <w:rsid w:val="004A2351"/>
    <w:rsid w:val="004C04B6"/>
    <w:rsid w:val="004C1A87"/>
    <w:rsid w:val="004C4A2E"/>
    <w:rsid w:val="004E057E"/>
    <w:rsid w:val="004E44C8"/>
    <w:rsid w:val="004E53BE"/>
    <w:rsid w:val="004E7F82"/>
    <w:rsid w:val="004F1353"/>
    <w:rsid w:val="004F3EA9"/>
    <w:rsid w:val="00501992"/>
    <w:rsid w:val="005026AC"/>
    <w:rsid w:val="00510AE7"/>
    <w:rsid w:val="00520EFD"/>
    <w:rsid w:val="0053062A"/>
    <w:rsid w:val="00535050"/>
    <w:rsid w:val="00536F3C"/>
    <w:rsid w:val="0054260E"/>
    <w:rsid w:val="00550D79"/>
    <w:rsid w:val="005559AC"/>
    <w:rsid w:val="00555FB3"/>
    <w:rsid w:val="00557B5A"/>
    <w:rsid w:val="005611D0"/>
    <w:rsid w:val="00566BD4"/>
    <w:rsid w:val="00576411"/>
    <w:rsid w:val="00577CAF"/>
    <w:rsid w:val="00580223"/>
    <w:rsid w:val="00592DE9"/>
    <w:rsid w:val="00594186"/>
    <w:rsid w:val="005A05D1"/>
    <w:rsid w:val="005A53B8"/>
    <w:rsid w:val="005B202B"/>
    <w:rsid w:val="005B346A"/>
    <w:rsid w:val="005C10EB"/>
    <w:rsid w:val="005C2301"/>
    <w:rsid w:val="005C5A96"/>
    <w:rsid w:val="005D371D"/>
    <w:rsid w:val="005E7495"/>
    <w:rsid w:val="00621C12"/>
    <w:rsid w:val="00623E18"/>
    <w:rsid w:val="0062414A"/>
    <w:rsid w:val="00625C5D"/>
    <w:rsid w:val="00635A22"/>
    <w:rsid w:val="00642083"/>
    <w:rsid w:val="0065550D"/>
    <w:rsid w:val="00664295"/>
    <w:rsid w:val="00665364"/>
    <w:rsid w:val="00667B35"/>
    <w:rsid w:val="006713EB"/>
    <w:rsid w:val="00673A9B"/>
    <w:rsid w:val="006876A8"/>
    <w:rsid w:val="006A3B77"/>
    <w:rsid w:val="006A49E3"/>
    <w:rsid w:val="006A529E"/>
    <w:rsid w:val="006B1EFD"/>
    <w:rsid w:val="006C14E4"/>
    <w:rsid w:val="006C6DA8"/>
    <w:rsid w:val="006C7F61"/>
    <w:rsid w:val="006D407F"/>
    <w:rsid w:val="006D50F2"/>
    <w:rsid w:val="006F0442"/>
    <w:rsid w:val="00714F0F"/>
    <w:rsid w:val="007160BE"/>
    <w:rsid w:val="00722F65"/>
    <w:rsid w:val="007257CD"/>
    <w:rsid w:val="00731B6B"/>
    <w:rsid w:val="00734A4F"/>
    <w:rsid w:val="007414C6"/>
    <w:rsid w:val="00751B69"/>
    <w:rsid w:val="00762BCC"/>
    <w:rsid w:val="00763BA3"/>
    <w:rsid w:val="00765B66"/>
    <w:rsid w:val="00767BB2"/>
    <w:rsid w:val="0077159C"/>
    <w:rsid w:val="00776D23"/>
    <w:rsid w:val="00780376"/>
    <w:rsid w:val="00780EE3"/>
    <w:rsid w:val="00791AAC"/>
    <w:rsid w:val="00797D4C"/>
    <w:rsid w:val="00797DEE"/>
    <w:rsid w:val="007C0E7E"/>
    <w:rsid w:val="007C1396"/>
    <w:rsid w:val="007C4098"/>
    <w:rsid w:val="007D17C5"/>
    <w:rsid w:val="007D5019"/>
    <w:rsid w:val="007D52EC"/>
    <w:rsid w:val="007E1A57"/>
    <w:rsid w:val="007F1CEE"/>
    <w:rsid w:val="00807C77"/>
    <w:rsid w:val="00837537"/>
    <w:rsid w:val="00842766"/>
    <w:rsid w:val="00854EBF"/>
    <w:rsid w:val="0086094D"/>
    <w:rsid w:val="0086731C"/>
    <w:rsid w:val="00872382"/>
    <w:rsid w:val="00886906"/>
    <w:rsid w:val="008912FE"/>
    <w:rsid w:val="008A245D"/>
    <w:rsid w:val="008A52FF"/>
    <w:rsid w:val="008A54FC"/>
    <w:rsid w:val="008B70CD"/>
    <w:rsid w:val="008D141C"/>
    <w:rsid w:val="008D2C13"/>
    <w:rsid w:val="008E6109"/>
    <w:rsid w:val="008F47AB"/>
    <w:rsid w:val="00907A34"/>
    <w:rsid w:val="009170EA"/>
    <w:rsid w:val="0092076F"/>
    <w:rsid w:val="00930439"/>
    <w:rsid w:val="00937060"/>
    <w:rsid w:val="00937AEB"/>
    <w:rsid w:val="009660B9"/>
    <w:rsid w:val="009662E3"/>
    <w:rsid w:val="00966DD9"/>
    <w:rsid w:val="00986677"/>
    <w:rsid w:val="0099421C"/>
    <w:rsid w:val="009A2F3A"/>
    <w:rsid w:val="009A7A45"/>
    <w:rsid w:val="009B63F9"/>
    <w:rsid w:val="009C3803"/>
    <w:rsid w:val="009D2C13"/>
    <w:rsid w:val="009D3BA5"/>
    <w:rsid w:val="009D4BA1"/>
    <w:rsid w:val="009D7D5A"/>
    <w:rsid w:val="009E47EB"/>
    <w:rsid w:val="009F3A37"/>
    <w:rsid w:val="009F6EA2"/>
    <w:rsid w:val="00A02090"/>
    <w:rsid w:val="00A03731"/>
    <w:rsid w:val="00A061CE"/>
    <w:rsid w:val="00A06D29"/>
    <w:rsid w:val="00A076B5"/>
    <w:rsid w:val="00A17F69"/>
    <w:rsid w:val="00A23870"/>
    <w:rsid w:val="00A274DB"/>
    <w:rsid w:val="00A41E1E"/>
    <w:rsid w:val="00A52C12"/>
    <w:rsid w:val="00A60E02"/>
    <w:rsid w:val="00A6411D"/>
    <w:rsid w:val="00A673EB"/>
    <w:rsid w:val="00A73298"/>
    <w:rsid w:val="00A751C0"/>
    <w:rsid w:val="00A947BB"/>
    <w:rsid w:val="00A95ACB"/>
    <w:rsid w:val="00A97942"/>
    <w:rsid w:val="00A97FFD"/>
    <w:rsid w:val="00AA079B"/>
    <w:rsid w:val="00AA086A"/>
    <w:rsid w:val="00AA42C4"/>
    <w:rsid w:val="00AC09BC"/>
    <w:rsid w:val="00AC0EA5"/>
    <w:rsid w:val="00AC16C1"/>
    <w:rsid w:val="00AC2686"/>
    <w:rsid w:val="00AD1BE1"/>
    <w:rsid w:val="00AD7257"/>
    <w:rsid w:val="00AE7F80"/>
    <w:rsid w:val="00AF0889"/>
    <w:rsid w:val="00AF2D0C"/>
    <w:rsid w:val="00AF4C0E"/>
    <w:rsid w:val="00B00DCE"/>
    <w:rsid w:val="00B01828"/>
    <w:rsid w:val="00B14E5E"/>
    <w:rsid w:val="00B25910"/>
    <w:rsid w:val="00B25D91"/>
    <w:rsid w:val="00B26973"/>
    <w:rsid w:val="00B30D3B"/>
    <w:rsid w:val="00B432D4"/>
    <w:rsid w:val="00B5315C"/>
    <w:rsid w:val="00B576D7"/>
    <w:rsid w:val="00B62395"/>
    <w:rsid w:val="00B756F2"/>
    <w:rsid w:val="00B80892"/>
    <w:rsid w:val="00B82735"/>
    <w:rsid w:val="00B92306"/>
    <w:rsid w:val="00B92861"/>
    <w:rsid w:val="00BA4C88"/>
    <w:rsid w:val="00BA7A69"/>
    <w:rsid w:val="00BB15E2"/>
    <w:rsid w:val="00BB2485"/>
    <w:rsid w:val="00BC23BF"/>
    <w:rsid w:val="00BD28DF"/>
    <w:rsid w:val="00BD6876"/>
    <w:rsid w:val="00BE226B"/>
    <w:rsid w:val="00BE2864"/>
    <w:rsid w:val="00C00565"/>
    <w:rsid w:val="00C076BF"/>
    <w:rsid w:val="00C212B5"/>
    <w:rsid w:val="00C25F81"/>
    <w:rsid w:val="00C27F02"/>
    <w:rsid w:val="00C32C20"/>
    <w:rsid w:val="00C44908"/>
    <w:rsid w:val="00C504F4"/>
    <w:rsid w:val="00C512DE"/>
    <w:rsid w:val="00C57E85"/>
    <w:rsid w:val="00C65BB4"/>
    <w:rsid w:val="00C8071C"/>
    <w:rsid w:val="00C816CB"/>
    <w:rsid w:val="00C82461"/>
    <w:rsid w:val="00C91E3B"/>
    <w:rsid w:val="00CA07CC"/>
    <w:rsid w:val="00CA25B5"/>
    <w:rsid w:val="00CA4FCE"/>
    <w:rsid w:val="00CA5F8F"/>
    <w:rsid w:val="00CC5A6F"/>
    <w:rsid w:val="00CD07E7"/>
    <w:rsid w:val="00CE271A"/>
    <w:rsid w:val="00CE6FF5"/>
    <w:rsid w:val="00CF5245"/>
    <w:rsid w:val="00D06683"/>
    <w:rsid w:val="00D07B1A"/>
    <w:rsid w:val="00D10744"/>
    <w:rsid w:val="00D1101B"/>
    <w:rsid w:val="00D1167E"/>
    <w:rsid w:val="00D15A5B"/>
    <w:rsid w:val="00D234E7"/>
    <w:rsid w:val="00D30E46"/>
    <w:rsid w:val="00D32DBB"/>
    <w:rsid w:val="00D3663D"/>
    <w:rsid w:val="00D4349F"/>
    <w:rsid w:val="00D47EF6"/>
    <w:rsid w:val="00D50AC8"/>
    <w:rsid w:val="00D57AB9"/>
    <w:rsid w:val="00D60A44"/>
    <w:rsid w:val="00D7390F"/>
    <w:rsid w:val="00D74F04"/>
    <w:rsid w:val="00D90913"/>
    <w:rsid w:val="00D924C3"/>
    <w:rsid w:val="00D92BEC"/>
    <w:rsid w:val="00DA18F2"/>
    <w:rsid w:val="00DB17F9"/>
    <w:rsid w:val="00DD5136"/>
    <w:rsid w:val="00DD6973"/>
    <w:rsid w:val="00DF2C67"/>
    <w:rsid w:val="00DF3AE2"/>
    <w:rsid w:val="00DF6843"/>
    <w:rsid w:val="00DF7D21"/>
    <w:rsid w:val="00E03771"/>
    <w:rsid w:val="00E059C5"/>
    <w:rsid w:val="00E11D7E"/>
    <w:rsid w:val="00E14334"/>
    <w:rsid w:val="00E15B02"/>
    <w:rsid w:val="00E2303A"/>
    <w:rsid w:val="00E343BD"/>
    <w:rsid w:val="00E348D9"/>
    <w:rsid w:val="00E36601"/>
    <w:rsid w:val="00E46600"/>
    <w:rsid w:val="00E60351"/>
    <w:rsid w:val="00E668CE"/>
    <w:rsid w:val="00E71AE7"/>
    <w:rsid w:val="00E752E6"/>
    <w:rsid w:val="00EA2ED5"/>
    <w:rsid w:val="00EA6088"/>
    <w:rsid w:val="00EB7B71"/>
    <w:rsid w:val="00EC1A2C"/>
    <w:rsid w:val="00EC546B"/>
    <w:rsid w:val="00ED2C10"/>
    <w:rsid w:val="00EE17DA"/>
    <w:rsid w:val="00EE5643"/>
    <w:rsid w:val="00EF435C"/>
    <w:rsid w:val="00F11542"/>
    <w:rsid w:val="00F212EB"/>
    <w:rsid w:val="00F23D13"/>
    <w:rsid w:val="00F271F1"/>
    <w:rsid w:val="00F32DEC"/>
    <w:rsid w:val="00F43E24"/>
    <w:rsid w:val="00F45561"/>
    <w:rsid w:val="00F465D3"/>
    <w:rsid w:val="00F51BD6"/>
    <w:rsid w:val="00F56F06"/>
    <w:rsid w:val="00F56F62"/>
    <w:rsid w:val="00F62D48"/>
    <w:rsid w:val="00F73815"/>
    <w:rsid w:val="00F7770D"/>
    <w:rsid w:val="00F86962"/>
    <w:rsid w:val="00F905E7"/>
    <w:rsid w:val="00F91FDD"/>
    <w:rsid w:val="00F93115"/>
    <w:rsid w:val="00FA4E32"/>
    <w:rsid w:val="00FA5792"/>
    <w:rsid w:val="00FB04BE"/>
    <w:rsid w:val="00FB200D"/>
    <w:rsid w:val="00FB3571"/>
    <w:rsid w:val="00FB4F1D"/>
    <w:rsid w:val="00FC3608"/>
    <w:rsid w:val="00FE7EEC"/>
    <w:rsid w:val="00FF0920"/>
    <w:rsid w:val="00FF0E5A"/>
    <w:rsid w:val="00FF2572"/>
    <w:rsid w:val="00FF48B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25D6A6C3"/>
  <w15:docId w15:val="{A6E34CBD-66DF-4EEF-9CEB-FF1CE7EB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uiPriority w:val="99"/>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uiPriority w:val="99"/>
    <w:rsid w:val="001526A2"/>
    <w:rPr>
      <w:rFonts w:eastAsia="Calibri"/>
      <w:sz w:val="16"/>
      <w:szCs w:val="16"/>
      <w14:cntxtAlts/>
    </w:rPr>
  </w:style>
  <w:style w:type="character" w:styleId="FootnoteReference">
    <w:name w:val="footnote reference"/>
    <w:aliases w:val="ECC Footnote number"/>
    <w:basedOn w:val="DefaultParagraphFont"/>
    <w:uiPriority w:val="99"/>
    <w:rsid w:val="00DB17F9"/>
    <w:rPr>
      <w:rFonts w:ascii="Arial" w:hAnsi="Arial"/>
      <w:sz w:val="20"/>
      <w:vertAlign w:val="superscript"/>
    </w:rPr>
  </w:style>
  <w:style w:type="paragraph" w:styleId="Caption">
    <w:name w:val="caption"/>
    <w:aliases w:val="ECC Caption"/>
    <w:next w:val="Normal"/>
    <w:uiPriority w:val="35"/>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uiPriority w:val="3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Tabletext">
    <w:name w:val="Table_text"/>
    <w:basedOn w:val="Normal"/>
    <w:rsid w:val="002B67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eastAsia="Times New Roman" w:hAnsi="Times New Roman"/>
      <w:sz w:val="22"/>
      <w:szCs w:val="20"/>
      <w:lang w:val="fr-FR"/>
    </w:rPr>
  </w:style>
  <w:style w:type="paragraph" w:customStyle="1" w:styleId="Tablehead">
    <w:name w:val="Table_head"/>
    <w:basedOn w:val="Normal"/>
    <w:next w:val="Normal"/>
    <w:rsid w:val="002B67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Times New Roman" w:hAnsi="Times New Roman"/>
      <w:b/>
      <w:sz w:val="22"/>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0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AD6C-6565-4B77-862F-DFCA6048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6</TotalTime>
  <Pages>3</Pages>
  <Words>738</Words>
  <Characters>4212</Characters>
  <Application>Microsoft Office Word</Application>
  <DocSecurity>0</DocSecurity>
  <Lines>35</Lines>
  <Paragraphs>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4941</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Jesus ArnauYanez</cp:lastModifiedBy>
  <cp:revision>7</cp:revision>
  <cp:lastPrinted>2016-10-04T08:55:00Z</cp:lastPrinted>
  <dcterms:created xsi:type="dcterms:W3CDTF">2021-11-30T17:34:00Z</dcterms:created>
  <dcterms:modified xsi:type="dcterms:W3CDTF">2021-12-01T08:34:00Z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2021-12-01T08:34:26Z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c5806cf4-82b6-4f3c-b2c2-6056a2a0a5ec</vt:lpwstr>
  </property>
  <property fmtid="{D5CDD505-2E9C-101B-9397-08002B2CF9AE}" pid="8" name="MSIP_Label_5a50d26f-5c2c-4137-8396-1b24eb24286c_ContentBits">
    <vt:lpwstr>0</vt:lpwstr>
  </property>
</Properties>
</file>