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2085C641" w14:textId="77777777" w:rsidTr="000E3E4D">
        <w:trPr>
          <w:cantSplit/>
          <w:trHeight w:val="1560"/>
        </w:trPr>
        <w:tc>
          <w:tcPr>
            <w:tcW w:w="4820" w:type="dxa"/>
            <w:gridSpan w:val="2"/>
            <w:tcBorders>
              <w:top w:val="nil"/>
              <w:left w:val="nil"/>
              <w:bottom w:val="nil"/>
              <w:right w:val="nil"/>
            </w:tcBorders>
            <w:vAlign w:val="center"/>
          </w:tcPr>
          <w:p w14:paraId="12E7937E" w14:textId="249E4078" w:rsidR="00265F50" w:rsidRPr="00265F50" w:rsidRDefault="00265F50" w:rsidP="00DD5136">
            <w:pPr>
              <w:pStyle w:val="ECCLetterHead"/>
            </w:pPr>
            <w:r w:rsidRPr="00265F50">
              <w:rPr>
                <w:noProof/>
                <w:lang w:val="da-DK" w:eastAsia="da-DK"/>
              </w:rPr>
              <w:drawing>
                <wp:inline distT="0" distB="0" distL="0" distR="0" wp14:anchorId="40AAA9EB" wp14:editId="6E4581F9">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961" w:type="dxa"/>
            <w:tcBorders>
              <w:top w:val="nil"/>
              <w:left w:val="nil"/>
              <w:bottom w:val="nil"/>
              <w:right w:val="nil"/>
            </w:tcBorders>
          </w:tcPr>
          <w:p w14:paraId="5911F235" w14:textId="367AE591" w:rsidR="00265F50" w:rsidRPr="00265F50" w:rsidRDefault="00265F50" w:rsidP="00DD5136">
            <w:pPr>
              <w:pStyle w:val="ECCLetterHead"/>
            </w:pPr>
            <w:r>
              <w:tab/>
              <w:t xml:space="preserve">Doc. </w:t>
            </w:r>
            <w:r w:rsidR="00DD5136">
              <w:t>Group</w:t>
            </w:r>
            <w:r w:rsidR="00F11542">
              <w:t>(</w:t>
            </w:r>
            <w:r w:rsidR="00BE0B23">
              <w:t>2</w:t>
            </w:r>
            <w:r w:rsidR="00F11542">
              <w:t>X</w:t>
            </w:r>
            <w:r w:rsidRPr="00265F50">
              <w:t>)</w:t>
            </w:r>
            <w:r>
              <w:t>XXX</w:t>
            </w:r>
          </w:p>
        </w:tc>
      </w:tr>
      <w:tr w:rsidR="00F11542" w:rsidRPr="00A3755D" w14:paraId="4F672DAE" w14:textId="77777777" w:rsidTr="006D6CB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7136DC6" w14:textId="65894AF0" w:rsidR="00F11542" w:rsidRPr="0011705C" w:rsidRDefault="00E069EB" w:rsidP="00DD5136">
            <w:pPr>
              <w:pStyle w:val="ECCLetterHead"/>
            </w:pPr>
            <w:r>
              <w:t xml:space="preserve">PT1 </w:t>
            </w:r>
            <w:r w:rsidRPr="00E069EB">
              <w:t>CG 3400-3800 MHz MFCN TDD X-border coordination #1</w:t>
            </w:r>
          </w:p>
        </w:tc>
      </w:tr>
      <w:tr w:rsidR="00F11542" w:rsidRPr="00A3755D" w14:paraId="563A76CA" w14:textId="77777777" w:rsidTr="003B120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4504381" w14:textId="77B91C56" w:rsidR="00F11542" w:rsidRPr="0011705C" w:rsidRDefault="00E16A73" w:rsidP="00265F50">
            <w:pPr>
              <w:pStyle w:val="ECCLetterHead"/>
            </w:pPr>
            <w:r>
              <w:t>Webmeeting, 1 April 2020</w:t>
            </w:r>
          </w:p>
        </w:tc>
      </w:tr>
      <w:tr w:rsidR="00F11542" w:rsidRPr="00A3755D" w14:paraId="4B0D1AF6" w14:textId="77777777" w:rsidTr="00FB4A71">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1BEC15CD" w14:textId="77777777" w:rsidR="00F11542" w:rsidRPr="00A3755D" w:rsidRDefault="00F11542" w:rsidP="00263FFB">
            <w:pPr>
              <w:pStyle w:val="ECCLetterHead"/>
            </w:pPr>
          </w:p>
        </w:tc>
      </w:tr>
      <w:tr w:rsidR="00263FFB" w:rsidRPr="00A3755D" w14:paraId="7893EA43"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50D01FC4"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5B5F7838" w14:textId="1ACFB69C" w:rsidR="00263FFB" w:rsidRPr="00263FFB" w:rsidRDefault="00C51952" w:rsidP="00263FFB">
            <w:pPr>
              <w:pStyle w:val="ECCLetterHead"/>
            </w:pPr>
            <w:r w:rsidRPr="007830D5">
              <w:t>2</w:t>
            </w:r>
            <w:r w:rsidR="007830D5" w:rsidRPr="007830D5">
              <w:t>5</w:t>
            </w:r>
            <w:r>
              <w:t xml:space="preserve"> March 2020</w:t>
            </w:r>
          </w:p>
        </w:tc>
      </w:tr>
      <w:tr w:rsidR="00263FFB" w:rsidRPr="00A3755D" w14:paraId="610BD899"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5D8EF816"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50D045A0" w14:textId="1033483A" w:rsidR="00263FFB" w:rsidRPr="00263FFB" w:rsidRDefault="00E16A73" w:rsidP="00263FFB">
            <w:pPr>
              <w:pStyle w:val="ECCLetterHead"/>
            </w:pPr>
            <w:r>
              <w:t>Ofcom, UK</w:t>
            </w:r>
          </w:p>
        </w:tc>
      </w:tr>
      <w:tr w:rsidR="00263FFB" w:rsidRPr="00A3755D" w14:paraId="31AEFAF8"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1E815EBE"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641C6DD9" w14:textId="74FEF1E9" w:rsidR="00263FFB" w:rsidRPr="00263FFB" w:rsidRDefault="00DD5EDC" w:rsidP="00263FFB">
            <w:pPr>
              <w:pStyle w:val="ECCLetterHead"/>
            </w:pPr>
            <w:r>
              <w:t>H</w:t>
            </w:r>
            <w:r w:rsidRPr="00470F5A">
              <w:t xml:space="preserve">armonised approach for TDD networks synchronisation in frequency band 3400-3800 MHz </w:t>
            </w:r>
            <w:r>
              <w:t>at border of CEPT countries</w:t>
            </w:r>
          </w:p>
        </w:tc>
      </w:tr>
      <w:tr w:rsidR="00263FFB" w:rsidRPr="00A3755D" w14:paraId="1E7D321D"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20DECD78" w14:textId="77777777" w:rsidR="00263FFB" w:rsidRPr="00263FFB" w:rsidRDefault="00263FFB" w:rsidP="00263FFB">
            <w:pPr>
              <w:pStyle w:val="ECCTabletext"/>
            </w:pPr>
            <w:r w:rsidRPr="00263FFB">
              <w:rPr>
                <w:noProof/>
                <w:lang w:val="da-DK" w:eastAsia="da-DK"/>
              </w:rPr>
              <mc:AlternateContent>
                <mc:Choice Requires="wps">
                  <w:drawing>
                    <wp:anchor distT="0" distB="0" distL="114300" distR="114300" simplePos="0" relativeHeight="251662336" behindDoc="0" locked="1" layoutInCell="0" allowOverlap="1" wp14:anchorId="7B9812FB" wp14:editId="141D2C2F">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2F0CC951" w14:textId="77777777" w:rsidR="00263FFB" w:rsidRPr="00F45561" w:rsidRDefault="00F45561"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812FB"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2F0CC951" w14:textId="77777777" w:rsidR="00263FFB" w:rsidRPr="00F45561" w:rsidRDefault="00F45561" w:rsidP="00F45561">
                            <w:pPr>
                              <w:pStyle w:val="ECCTabletext"/>
                              <w:jc w:val="center"/>
                              <w:rPr>
                                <w:lang w:val="de-DE"/>
                              </w:rPr>
                            </w:pPr>
                            <w:r>
                              <w:rPr>
                                <w:lang w:val="de-DE"/>
                              </w:rPr>
                              <w:t>N</w:t>
                            </w:r>
                          </w:p>
                        </w:txbxContent>
                      </v:textbox>
                      <w10:anchorlock/>
                    </v:shape>
                  </w:pict>
                </mc:Fallback>
              </mc:AlternateContent>
            </w:r>
            <w:r w:rsidRPr="00263FFB">
              <w:t>Group membership required to read? (Y/N)</w:t>
            </w:r>
          </w:p>
        </w:tc>
      </w:tr>
      <w:tr w:rsidR="00263FFB" w:rsidRPr="00A3755D" w14:paraId="4EB50F1F" w14:textId="77777777"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43F83AE2" w14:textId="77777777" w:rsidR="00263FFB" w:rsidRPr="00F32DEC" w:rsidRDefault="00263FFB" w:rsidP="00263FFB">
            <w:pPr>
              <w:rPr>
                <w:rStyle w:val="ECCParagraph"/>
              </w:rPr>
            </w:pPr>
          </w:p>
          <w:p w14:paraId="24F7BA5C" w14:textId="77777777" w:rsidR="00263FFB" w:rsidRPr="00A3755D" w:rsidRDefault="00263FFB" w:rsidP="00263FFB"/>
        </w:tc>
      </w:tr>
      <w:tr w:rsidR="00263FFB" w:rsidRPr="00A3755D" w14:paraId="346A4B22" w14:textId="77777777"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1311FED7" w14:textId="77777777" w:rsidR="00263FFB" w:rsidRPr="00263FFB" w:rsidRDefault="00263FFB" w:rsidP="0014162A">
            <w:pPr>
              <w:pStyle w:val="ECCLetterHead"/>
              <w:keepNext/>
              <w:keepLines/>
            </w:pPr>
            <w:r w:rsidRPr="00A3755D">
              <w:t xml:space="preserve">Summary: </w:t>
            </w:r>
          </w:p>
        </w:tc>
      </w:tr>
      <w:tr w:rsidR="00263FFB" w:rsidRPr="00A3755D" w14:paraId="6E5E5CE9"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976EEF8" w14:textId="42BA7EA7" w:rsidR="00EA7EEE" w:rsidRDefault="00EA7EEE" w:rsidP="00263FFB">
            <w:pPr>
              <w:pStyle w:val="ECCTabletext"/>
            </w:pPr>
          </w:p>
          <w:p w14:paraId="1FF2ACF5" w14:textId="7C5D694D" w:rsidR="00397794" w:rsidRDefault="00000ABF" w:rsidP="00733C80">
            <w:pPr>
              <w:pStyle w:val="ECCTabletext"/>
            </w:pPr>
            <w:r>
              <w:t xml:space="preserve">The UK has awarded 3410-3680 MHz licences </w:t>
            </w:r>
            <w:r w:rsidR="00905974">
              <w:t>with requirements for outdoor networks to synchronise or semi</w:t>
            </w:r>
            <w:r w:rsidR="0010617C">
              <w:noBreakHyphen/>
            </w:r>
            <w:bookmarkStart w:id="0" w:name="_GoBack"/>
            <w:bookmarkEnd w:id="0"/>
            <w:r w:rsidR="00905974">
              <w:t>synchronise</w:t>
            </w:r>
            <w:r w:rsidR="008F6AA3">
              <w:t xml:space="preserve"> and the UK intends to award 3680-3800 MHz </w:t>
            </w:r>
            <w:r w:rsidR="00734458">
              <w:t>later this year with the same requirements</w:t>
            </w:r>
            <w:r w:rsidR="00905974">
              <w:t xml:space="preserve">. </w:t>
            </w:r>
            <w:r w:rsidR="00A90646">
              <w:t xml:space="preserve">All UK operators have launched 5G </w:t>
            </w:r>
            <w:r w:rsidR="00CA4730">
              <w:t xml:space="preserve">using </w:t>
            </w:r>
            <w:r w:rsidR="00734458">
              <w:t>3410-3680 MHz spectrum</w:t>
            </w:r>
            <w:r w:rsidR="00CA4730">
              <w:t xml:space="preserve"> and under these synchronisation requirements</w:t>
            </w:r>
            <w:r w:rsidR="001037C8">
              <w:t xml:space="preserve"> </w:t>
            </w:r>
            <w:r w:rsidR="00AA145E">
              <w:t>which we describe</w:t>
            </w:r>
            <w:r w:rsidR="00CE113D">
              <w:t xml:space="preserve"> later in this submission.</w:t>
            </w:r>
          </w:p>
          <w:p w14:paraId="17FED7B3" w14:textId="26A5BB94" w:rsidR="00DE05E5" w:rsidRDefault="00DE05E5" w:rsidP="00733C80">
            <w:pPr>
              <w:pStyle w:val="ECCTabletext"/>
            </w:pPr>
          </w:p>
          <w:p w14:paraId="2EC68894" w14:textId="33A4F550" w:rsidR="002F70E6" w:rsidRDefault="00B76067" w:rsidP="000064F4">
            <w:pPr>
              <w:pStyle w:val="ECCTabletext"/>
            </w:pPr>
            <w:r>
              <w:t xml:space="preserve">Given all UK mobile operators have launched 5G services using the current synchronisation requirements </w:t>
            </w:r>
            <w:r w:rsidR="00CA4DBC">
              <w:t>we consider them suitable for 5G</w:t>
            </w:r>
            <w:r w:rsidR="00976E65">
              <w:t xml:space="preserve">. However, we </w:t>
            </w:r>
            <w:r w:rsidR="00A91722">
              <w:t>acknowledge that they may not be optimal</w:t>
            </w:r>
            <w:r w:rsidR="00E24036">
              <w:t xml:space="preserve"> for some 5G services</w:t>
            </w:r>
            <w:r w:rsidR="00976E65">
              <w:t xml:space="preserve"> and we</w:t>
            </w:r>
            <w:r w:rsidR="00CA4DBC">
              <w:t xml:space="preserve"> </w:t>
            </w:r>
            <w:r w:rsidR="00C30407">
              <w:t xml:space="preserve">also </w:t>
            </w:r>
            <w:r w:rsidR="00CA4DBC">
              <w:t xml:space="preserve">acknowledge that there may be future, as yet unknown, services which may not be supported by the </w:t>
            </w:r>
            <w:r w:rsidR="00F51FCF">
              <w:t xml:space="preserve">synchronisation requirements we have set. For example, the target for URLLC services is that the air-interface </w:t>
            </w:r>
            <w:r w:rsidR="00E653BF">
              <w:t xml:space="preserve">can support &lt;1ms latency which </w:t>
            </w:r>
            <w:r w:rsidR="00DB58D0">
              <w:t>unlikely to be supported</w:t>
            </w:r>
            <w:r w:rsidR="00E653BF">
              <w:t xml:space="preserve"> under the current synchronisation requirement</w:t>
            </w:r>
            <w:r w:rsidR="00347735">
              <w:t>s</w:t>
            </w:r>
            <w:r w:rsidR="00E444F6">
              <w:t xml:space="preserve"> </w:t>
            </w:r>
            <w:r w:rsidR="006C4972">
              <w:t xml:space="preserve">if </w:t>
            </w:r>
            <w:r w:rsidR="00964461">
              <w:t>3.4-3.8 GHz</w:t>
            </w:r>
            <w:r w:rsidR="006C4972">
              <w:t xml:space="preserve"> is not used in a dual connectivity arrangement with an FDD band.</w:t>
            </w:r>
            <w:r w:rsidR="003478B5">
              <w:t xml:space="preserve"> </w:t>
            </w:r>
            <w:r w:rsidR="00A106E1">
              <w:t xml:space="preserve">For these reasons, </w:t>
            </w:r>
            <w:r w:rsidR="00CB6C3A">
              <w:t xml:space="preserve">we </w:t>
            </w:r>
            <w:r w:rsidR="00F41891">
              <w:t>consider</w:t>
            </w:r>
            <w:r w:rsidR="00CB6C3A">
              <w:t xml:space="preserve"> that the current synchronisation requirements may need to change when we </w:t>
            </w:r>
            <w:r w:rsidR="002533ED">
              <w:t>know</w:t>
            </w:r>
            <w:r w:rsidR="00CB6C3A">
              <w:t xml:space="preserve"> more about future services.</w:t>
            </w:r>
          </w:p>
          <w:p w14:paraId="117270CF" w14:textId="77777777" w:rsidR="002F70E6" w:rsidRPr="00263FFB" w:rsidRDefault="002F70E6" w:rsidP="0044034A">
            <w:pPr>
              <w:pStyle w:val="ECCTabletext"/>
            </w:pPr>
          </w:p>
        </w:tc>
      </w:tr>
      <w:tr w:rsidR="00263FFB" w:rsidRPr="00A3755D" w14:paraId="0A2084F3"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51F3AD3" w14:textId="77777777" w:rsidR="00263FFB" w:rsidRPr="00263FFB" w:rsidRDefault="00263FFB" w:rsidP="00263FFB">
            <w:pPr>
              <w:pStyle w:val="ECCLetterHead"/>
            </w:pPr>
            <w:r w:rsidRPr="00A3755D">
              <w:t>Proposal:</w:t>
            </w:r>
          </w:p>
        </w:tc>
      </w:tr>
      <w:tr w:rsidR="00263FFB" w:rsidRPr="00A3755D" w14:paraId="55455C93"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1C991F05" w14:textId="7BD66A7B" w:rsidR="00263FFB" w:rsidRDefault="007C22E2" w:rsidP="00263FFB">
            <w:pPr>
              <w:pStyle w:val="ECCTabletext"/>
            </w:pPr>
            <w:r>
              <w:t xml:space="preserve">The UK </w:t>
            </w:r>
            <w:r w:rsidR="007E1A57">
              <w:t xml:space="preserve">invites </w:t>
            </w:r>
            <w:r>
              <w:t>PT1</w:t>
            </w:r>
            <w:r w:rsidR="00265F50">
              <w:t xml:space="preserve"> to</w:t>
            </w:r>
          </w:p>
          <w:p w14:paraId="3947B3E5" w14:textId="7D18A9CA" w:rsidR="00265F50" w:rsidRDefault="00896B30" w:rsidP="00265F50">
            <w:pPr>
              <w:pStyle w:val="ECCBulletsLv2"/>
            </w:pPr>
            <w:r>
              <w:t xml:space="preserve">Add the UK </w:t>
            </w:r>
            <w:r w:rsidR="0001496D">
              <w:t xml:space="preserve">synchronised and semi-synchronised frame structures to the </w:t>
            </w:r>
            <w:r w:rsidR="00341A46">
              <w:t>list of frame structures for cross-border coordination</w:t>
            </w:r>
            <w:r w:rsidR="0011738B">
              <w:t xml:space="preserve"> </w:t>
            </w:r>
            <w:r w:rsidR="00102F99">
              <w:t>in the new recommendation.</w:t>
            </w:r>
          </w:p>
          <w:p w14:paraId="70DFD042" w14:textId="77777777" w:rsidR="002F70E6" w:rsidRPr="00263FFB" w:rsidRDefault="002F70E6" w:rsidP="002F70E6">
            <w:pPr>
              <w:pStyle w:val="ECCBulletsLv2"/>
              <w:numPr>
                <w:ilvl w:val="0"/>
                <w:numId w:val="0"/>
              </w:numPr>
              <w:ind w:left="680" w:hanging="340"/>
            </w:pPr>
          </w:p>
        </w:tc>
      </w:tr>
      <w:tr w:rsidR="00263FFB" w:rsidRPr="00A3755D" w14:paraId="73D06F6E"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0FD631E" w14:textId="77777777" w:rsidR="00263FFB" w:rsidRPr="00263FFB" w:rsidRDefault="00263FFB" w:rsidP="00263FFB">
            <w:pPr>
              <w:pStyle w:val="ECCLetterHead"/>
            </w:pPr>
            <w:r w:rsidRPr="00A3755D">
              <w:t>Background:</w:t>
            </w:r>
          </w:p>
        </w:tc>
      </w:tr>
      <w:tr w:rsidR="00265F50" w:rsidRPr="00A3755D" w14:paraId="6DA4B9F9"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513FB450" w14:textId="77777777" w:rsidR="00052975" w:rsidRDefault="00052975" w:rsidP="00265F50">
            <w:pPr>
              <w:pStyle w:val="ECCTabletext"/>
            </w:pPr>
          </w:p>
          <w:p w14:paraId="7CF84518" w14:textId="1FC6507C" w:rsidR="00806C67" w:rsidRDefault="00AE6DBA" w:rsidP="00896B30">
            <w:pPr>
              <w:pStyle w:val="ECCTabletext"/>
            </w:pPr>
            <w:r>
              <w:t>ECC Recommendation 15(01) which includes recommendations on C-band cross-border coordination was</w:t>
            </w:r>
            <w:r w:rsidR="00485E95">
              <w:t xml:space="preserve"> updated in February 2020 with new field strength limits.</w:t>
            </w:r>
            <w:r w:rsidR="00896B30">
              <w:t xml:space="preserve"> </w:t>
            </w:r>
          </w:p>
          <w:p w14:paraId="6712677A" w14:textId="2316F0C3" w:rsidR="000A6AA1" w:rsidRDefault="00386DA3" w:rsidP="00896B30">
            <w:pPr>
              <w:pStyle w:val="ECCTabletext"/>
            </w:pPr>
            <w:r>
              <w:t xml:space="preserve">ECC Report 296, </w:t>
            </w:r>
            <w:r w:rsidR="000A6AA1">
              <w:t xml:space="preserve">8 March 2019, which </w:t>
            </w:r>
            <w:r w:rsidR="0060308C">
              <w:t>sets out the options for national synchronisation frameworks</w:t>
            </w:r>
            <w:r w:rsidR="000A6AA1">
              <w:t xml:space="preserve"> </w:t>
            </w:r>
          </w:p>
          <w:p w14:paraId="5F6CD7EE" w14:textId="6FE74604" w:rsidR="00A1033B" w:rsidRPr="00265F50" w:rsidRDefault="001A5282" w:rsidP="00896B30">
            <w:pPr>
              <w:pStyle w:val="ECCTabletext"/>
            </w:pPr>
            <w:r>
              <w:t xml:space="preserve">ECC Decision 11(06), </w:t>
            </w:r>
            <w:r w:rsidR="00536AC3">
              <w:t>Harmonised frequency arrangements and least restrictive technical conditions (LRTC) for mobile/fixed communications networks (MFCN) operating in the band 3400-3800 MHz, 26 October 2018</w:t>
            </w:r>
            <w:r w:rsidR="00A97744">
              <w:t xml:space="preserve"> </w:t>
            </w:r>
          </w:p>
        </w:tc>
      </w:tr>
    </w:tbl>
    <w:p w14:paraId="2B0FBA8F" w14:textId="77777777" w:rsidR="00231A0F" w:rsidRDefault="00231A0F">
      <w:pPr>
        <w:rPr>
          <w:rStyle w:val="ECCParagraph"/>
          <w:rFonts w:eastAsia="Times New Roman"/>
          <w:szCs w:val="16"/>
        </w:rPr>
      </w:pPr>
      <w:r>
        <w:rPr>
          <w:rStyle w:val="ECCParagraph"/>
        </w:rPr>
        <w:br w:type="page"/>
      </w:r>
    </w:p>
    <w:p w14:paraId="5EA9F482" w14:textId="55B1CBFE" w:rsidR="00B31A03" w:rsidRDefault="00B31A03" w:rsidP="00B31A03">
      <w:pPr>
        <w:pStyle w:val="Heading1"/>
        <w:rPr>
          <w:rStyle w:val="ECCParagraph"/>
        </w:rPr>
      </w:pPr>
      <w:r w:rsidRPr="00B31A03">
        <w:rPr>
          <w:rStyle w:val="ECCParagraph"/>
        </w:rPr>
        <w:lastRenderedPageBreak/>
        <w:t>UK C-BAND SYNCHRONISATION REQUREMENTS</w:t>
      </w:r>
    </w:p>
    <w:p w14:paraId="20EBC01E" w14:textId="7DC15F2D" w:rsidR="00892477" w:rsidRPr="00892477" w:rsidRDefault="00892477" w:rsidP="00892477">
      <w:pPr>
        <w:pStyle w:val="Heading2"/>
      </w:pPr>
      <w:r>
        <w:t>Summary</w:t>
      </w:r>
    </w:p>
    <w:p w14:paraId="3CB7D695" w14:textId="789D5B51" w:rsidR="0061131D" w:rsidRPr="00A33A9E" w:rsidRDefault="001E4744" w:rsidP="0061131D">
      <w:pPr>
        <w:rPr>
          <w:rStyle w:val="ECCParagraph"/>
        </w:rPr>
      </w:pPr>
      <w:r w:rsidRPr="00A33A9E">
        <w:rPr>
          <w:rStyle w:val="ECCParagraph"/>
        </w:rPr>
        <w:t>In the UK, licensees are required</w:t>
      </w:r>
      <w:r w:rsidR="001C0DF6" w:rsidRPr="00A33A9E">
        <w:rPr>
          <w:rStyle w:val="ECCParagraph"/>
        </w:rPr>
        <w:t xml:space="preserve"> to synchronise or semi-synchronise their </w:t>
      </w:r>
      <w:r w:rsidR="002A2141">
        <w:rPr>
          <w:rStyle w:val="ECCParagraph"/>
        </w:rPr>
        <w:t xml:space="preserve">outdoor </w:t>
      </w:r>
      <w:r w:rsidR="001C0DF6" w:rsidRPr="00A33A9E">
        <w:rPr>
          <w:rStyle w:val="ECCParagraph"/>
        </w:rPr>
        <w:t>base stations with each other</w:t>
      </w:r>
      <w:r w:rsidR="004716DF" w:rsidRPr="00A33A9E">
        <w:rPr>
          <w:rStyle w:val="ECCParagraph"/>
        </w:rPr>
        <w:t xml:space="preserve"> in the </w:t>
      </w:r>
      <w:r w:rsidR="00942BA5" w:rsidRPr="00A33A9E">
        <w:rPr>
          <w:rStyle w:val="ECCParagraph"/>
        </w:rPr>
        <w:t>3400-3800 MHz band</w:t>
      </w:r>
      <w:r w:rsidR="001C0DF6" w:rsidRPr="00A33A9E">
        <w:rPr>
          <w:rStyle w:val="ECCParagraph"/>
        </w:rPr>
        <w:t>, which means that base stations must time align frames and operate using one of two specified frame structures</w:t>
      </w:r>
      <w:r w:rsidR="004B7CE7" w:rsidRPr="00A33A9E">
        <w:rPr>
          <w:rStyle w:val="ECCParagraph"/>
        </w:rPr>
        <w:t xml:space="preserve"> and its associated out-of-band emissions </w:t>
      </w:r>
      <w:r w:rsidR="00200F30" w:rsidRPr="00A33A9E">
        <w:rPr>
          <w:rStyle w:val="ECCParagraph"/>
        </w:rPr>
        <w:t>requirements</w:t>
      </w:r>
      <w:r w:rsidR="001C0DF6" w:rsidRPr="00A33A9E">
        <w:rPr>
          <w:rStyle w:val="ECCParagraph"/>
        </w:rPr>
        <w:t>:</w:t>
      </w:r>
    </w:p>
    <w:p w14:paraId="4BF6DA1C" w14:textId="77777777" w:rsidR="000C0DB6" w:rsidRDefault="000C0DB6" w:rsidP="0061131D">
      <w:pPr>
        <w:rPr>
          <w:rStyle w:val="ECCParagra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6945"/>
      </w:tblGrid>
      <w:tr w:rsidR="001C0DF6" w:rsidRPr="003F4088" w14:paraId="49127E0B" w14:textId="77777777" w:rsidTr="000C0DB6">
        <w:trPr>
          <w:cantSplit/>
        </w:trPr>
        <w:tc>
          <w:tcPr>
            <w:tcW w:w="2268" w:type="dxa"/>
            <w:tcMar>
              <w:top w:w="0" w:type="dxa"/>
              <w:left w:w="0" w:type="dxa"/>
              <w:bottom w:w="0" w:type="dxa"/>
              <w:right w:w="108" w:type="dxa"/>
            </w:tcMar>
            <w:hideMark/>
          </w:tcPr>
          <w:p w14:paraId="56ED7374" w14:textId="77777777" w:rsidR="001C0DF6" w:rsidRPr="000C0DB6" w:rsidRDefault="001C0DF6" w:rsidP="000C0DB6">
            <w:pPr>
              <w:jc w:val="left"/>
              <w:rPr>
                <w:rFonts w:cs="Arial"/>
                <w:b/>
                <w:szCs w:val="20"/>
              </w:rPr>
            </w:pPr>
            <w:r w:rsidRPr="000C0DB6">
              <w:rPr>
                <w:rFonts w:cs="Arial"/>
                <w:b/>
                <w:szCs w:val="20"/>
              </w:rPr>
              <w:t>Full synchronisation</w:t>
            </w:r>
          </w:p>
          <w:p w14:paraId="6E730154" w14:textId="612CA58A" w:rsidR="001C0DF6" w:rsidRPr="000C0DB6" w:rsidRDefault="001C0DF6" w:rsidP="000C0DB6">
            <w:pPr>
              <w:jc w:val="left"/>
              <w:rPr>
                <w:rFonts w:cs="Arial"/>
                <w:i/>
                <w:szCs w:val="20"/>
              </w:rPr>
            </w:pPr>
            <w:r w:rsidRPr="000C0DB6">
              <w:rPr>
                <w:rFonts w:cs="Arial"/>
                <w:i/>
                <w:color w:val="7F7F7F" w:themeColor="text1" w:themeTint="80"/>
                <w:szCs w:val="20"/>
              </w:rPr>
              <w:t>Frame Structure A</w:t>
            </w:r>
            <w:r w:rsidR="000C0DB6">
              <w:rPr>
                <w:rFonts w:cs="Arial"/>
                <w:i/>
                <w:color w:val="7F7F7F" w:themeColor="text1" w:themeTint="80"/>
                <w:szCs w:val="20"/>
              </w:rPr>
              <w:t>; and</w:t>
            </w:r>
            <w:r w:rsidRPr="000C0DB6">
              <w:rPr>
                <w:rFonts w:cs="Arial"/>
                <w:i/>
                <w:color w:val="7F7F7F" w:themeColor="text1" w:themeTint="80"/>
                <w:szCs w:val="20"/>
              </w:rPr>
              <w:br/>
              <w:t>Permissive mask</w:t>
            </w:r>
          </w:p>
        </w:tc>
        <w:tc>
          <w:tcPr>
            <w:tcW w:w="426" w:type="dxa"/>
          </w:tcPr>
          <w:p w14:paraId="4D06EBB3" w14:textId="77777777" w:rsidR="001C0DF6" w:rsidRPr="000C0DB6" w:rsidRDefault="001C0DF6" w:rsidP="001C0DF6">
            <w:pPr>
              <w:pStyle w:val="aparagraphs"/>
              <w:numPr>
                <w:ilvl w:val="2"/>
                <w:numId w:val="20"/>
              </w:numPr>
              <w:ind w:left="340"/>
              <w:rPr>
                <w:rFonts w:ascii="Arial" w:hAnsi="Arial" w:cs="Arial"/>
              </w:rPr>
            </w:pPr>
          </w:p>
        </w:tc>
        <w:tc>
          <w:tcPr>
            <w:tcW w:w="6945" w:type="dxa"/>
            <w:tcMar>
              <w:top w:w="0" w:type="dxa"/>
              <w:left w:w="108" w:type="dxa"/>
              <w:bottom w:w="0" w:type="dxa"/>
              <w:right w:w="0" w:type="dxa"/>
            </w:tcMar>
            <w:hideMark/>
          </w:tcPr>
          <w:p w14:paraId="437CD17C" w14:textId="3F1B99A2" w:rsidR="001C0DF6" w:rsidRDefault="001C0DF6" w:rsidP="00176E37">
            <w:pPr>
              <w:rPr>
                <w:rFonts w:cs="Arial"/>
              </w:rPr>
            </w:pPr>
            <w:r w:rsidRPr="000C0DB6">
              <w:rPr>
                <w:rFonts w:cs="Arial"/>
              </w:rPr>
              <w:t>The fully synchronised frame structure is a 10 ms frame with a 1:3 uplink/downlink ratio</w:t>
            </w:r>
            <w:r w:rsidRPr="000C0DB6">
              <w:rPr>
                <w:rStyle w:val="FootnoteReference"/>
                <w:rFonts w:cs="Arial"/>
              </w:rPr>
              <w:footnoteReference w:id="2"/>
            </w:r>
            <w:r w:rsidRPr="000C0DB6">
              <w:rPr>
                <w:rFonts w:cs="Arial"/>
              </w:rPr>
              <w:t xml:space="preserve"> and we observe that TD-LTE frame configuration 2 using special sub-frame configuration 6 is compatible with this frame structure. A licensee operating radio equipment which uses this frame structure must comply with the permissive emissions mask.</w:t>
            </w:r>
            <w:r w:rsidR="00ED5EA5">
              <w:rPr>
                <w:rStyle w:val="FootnoteReference"/>
                <w:rFonts w:cs="Arial"/>
              </w:rPr>
              <w:footnoteReference w:id="3"/>
            </w:r>
          </w:p>
          <w:p w14:paraId="33EB582B" w14:textId="77777777" w:rsidR="00EC313E" w:rsidRDefault="00EC313E" w:rsidP="00176E37">
            <w:pPr>
              <w:rPr>
                <w:rFonts w:cs="Arial"/>
              </w:rPr>
            </w:pPr>
          </w:p>
          <w:p w14:paraId="1D8D195B" w14:textId="25F1ACBF" w:rsidR="000C0DB6" w:rsidRPr="000C0DB6" w:rsidRDefault="000C0DB6" w:rsidP="00176E37">
            <w:pPr>
              <w:rPr>
                <w:rFonts w:cs="Arial"/>
              </w:rPr>
            </w:pPr>
          </w:p>
        </w:tc>
      </w:tr>
      <w:tr w:rsidR="001C0DF6" w:rsidRPr="003F4088" w14:paraId="452AACBA" w14:textId="77777777" w:rsidTr="000C0DB6">
        <w:trPr>
          <w:cantSplit/>
        </w:trPr>
        <w:tc>
          <w:tcPr>
            <w:tcW w:w="2268" w:type="dxa"/>
            <w:tcMar>
              <w:top w:w="0" w:type="dxa"/>
              <w:left w:w="0" w:type="dxa"/>
              <w:bottom w:w="0" w:type="dxa"/>
              <w:right w:w="108" w:type="dxa"/>
            </w:tcMar>
            <w:hideMark/>
          </w:tcPr>
          <w:p w14:paraId="657A387F" w14:textId="77777777" w:rsidR="001C0DF6" w:rsidRPr="000C0DB6" w:rsidRDefault="001C0DF6" w:rsidP="000C0DB6">
            <w:pPr>
              <w:keepNext/>
              <w:keepLines/>
              <w:jc w:val="left"/>
              <w:rPr>
                <w:rFonts w:cs="Arial"/>
                <w:b/>
                <w:szCs w:val="20"/>
              </w:rPr>
            </w:pPr>
            <w:r w:rsidRPr="000C0DB6">
              <w:rPr>
                <w:rFonts w:cs="Arial"/>
                <w:b/>
                <w:szCs w:val="20"/>
              </w:rPr>
              <w:t>Semi-synchronisation</w:t>
            </w:r>
          </w:p>
          <w:p w14:paraId="1CD64B70" w14:textId="6361214F" w:rsidR="001C0DF6" w:rsidRPr="000C0DB6" w:rsidRDefault="001C0DF6" w:rsidP="000C0DB6">
            <w:pPr>
              <w:jc w:val="left"/>
              <w:rPr>
                <w:rFonts w:cs="Arial"/>
                <w:i/>
                <w:szCs w:val="20"/>
              </w:rPr>
            </w:pPr>
            <w:r w:rsidRPr="000C0DB6">
              <w:rPr>
                <w:rFonts w:cs="Arial"/>
                <w:i/>
                <w:color w:val="7F7F7F" w:themeColor="text1" w:themeTint="80"/>
                <w:szCs w:val="20"/>
              </w:rPr>
              <w:t>Frame Structure B</w:t>
            </w:r>
            <w:r w:rsidR="000C0DB6">
              <w:rPr>
                <w:rFonts w:cs="Arial"/>
                <w:i/>
                <w:color w:val="7F7F7F" w:themeColor="text1" w:themeTint="80"/>
                <w:szCs w:val="20"/>
              </w:rPr>
              <w:t>; and</w:t>
            </w:r>
            <w:r w:rsidRPr="000C0DB6">
              <w:rPr>
                <w:rFonts w:cs="Arial"/>
                <w:i/>
                <w:color w:val="7F7F7F" w:themeColor="text1" w:themeTint="80"/>
                <w:szCs w:val="20"/>
              </w:rPr>
              <w:br/>
              <w:t>Restrictive mask</w:t>
            </w:r>
          </w:p>
        </w:tc>
        <w:tc>
          <w:tcPr>
            <w:tcW w:w="426" w:type="dxa"/>
          </w:tcPr>
          <w:p w14:paraId="6418BF5B" w14:textId="77777777" w:rsidR="001C0DF6" w:rsidRPr="000C0DB6" w:rsidRDefault="001C0DF6" w:rsidP="001C0DF6">
            <w:pPr>
              <w:pStyle w:val="aparagraphs"/>
              <w:numPr>
                <w:ilvl w:val="2"/>
                <w:numId w:val="20"/>
              </w:numPr>
              <w:ind w:left="340"/>
              <w:rPr>
                <w:rFonts w:ascii="Arial" w:hAnsi="Arial" w:cs="Arial"/>
              </w:rPr>
            </w:pPr>
          </w:p>
        </w:tc>
        <w:tc>
          <w:tcPr>
            <w:tcW w:w="6945" w:type="dxa"/>
            <w:tcMar>
              <w:top w:w="0" w:type="dxa"/>
              <w:left w:w="108" w:type="dxa"/>
              <w:bottom w:w="0" w:type="dxa"/>
              <w:right w:w="0" w:type="dxa"/>
            </w:tcMar>
            <w:hideMark/>
          </w:tcPr>
          <w:p w14:paraId="247204B0" w14:textId="77777777" w:rsidR="001C0DF6" w:rsidRPr="000C0DB6" w:rsidRDefault="001C0DF6" w:rsidP="00176E37">
            <w:pPr>
              <w:rPr>
                <w:rFonts w:cs="Arial"/>
              </w:rPr>
            </w:pPr>
            <w:r w:rsidRPr="000C0DB6">
              <w:rPr>
                <w:rFonts w:cs="Arial"/>
              </w:rPr>
              <w:t>The semi-synchronised frame structure is a 10 ms frame which contains three synchronised sub-frames and seven flexible sub-frames which can be used for either downlink or uplink.</w:t>
            </w:r>
            <w:r w:rsidRPr="000C0DB6">
              <w:rPr>
                <w:rStyle w:val="FootnoteReference"/>
                <w:rFonts w:cs="Arial"/>
              </w:rPr>
              <w:footnoteReference w:id="4"/>
            </w:r>
            <w:r w:rsidRPr="000C0DB6">
              <w:rPr>
                <w:rFonts w:cs="Arial"/>
              </w:rPr>
              <w:t xml:space="preserve"> This is compatible with all TD-LTE frame configurations. A licensee operating radio equipment which uses this frame structure must comply with the restrictive mask which is required to reduce the risk of interference to adjacent mobile networks in the absence of full synchronisation.</w:t>
            </w:r>
          </w:p>
        </w:tc>
      </w:tr>
    </w:tbl>
    <w:p w14:paraId="7372F460" w14:textId="77777777" w:rsidR="001C0DF6" w:rsidRDefault="001C0DF6" w:rsidP="00520EFD">
      <w:pPr>
        <w:pStyle w:val="ECCTablenote"/>
        <w:rPr>
          <w:rStyle w:val="ECCParagraph"/>
        </w:rPr>
      </w:pPr>
    </w:p>
    <w:p w14:paraId="3A41D80B" w14:textId="169A555A" w:rsidR="00EA7328" w:rsidRPr="00A33A9E" w:rsidRDefault="00A84B30" w:rsidP="00A33A9E">
      <w:r w:rsidRPr="00A33A9E">
        <w:t>Indoor base stations with a transmit power level below 24 dBm are exempt from synchronisation</w:t>
      </w:r>
      <w:r w:rsidR="00A33A9E">
        <w:t xml:space="preserve"> </w:t>
      </w:r>
      <w:r w:rsidRPr="00A33A9E">
        <w:t xml:space="preserve">requirements unless they cause interference to the </w:t>
      </w:r>
      <w:r w:rsidR="000D4F77" w:rsidRPr="00A33A9E">
        <w:t>outdoor mobile</w:t>
      </w:r>
      <w:r w:rsidRPr="00A33A9E">
        <w:t xml:space="preserve"> network, in which case they are required</w:t>
      </w:r>
      <w:r w:rsidR="00A33A9E">
        <w:t xml:space="preserve"> </w:t>
      </w:r>
      <w:r w:rsidRPr="00A33A9E">
        <w:t>to synchronise.</w:t>
      </w:r>
    </w:p>
    <w:p w14:paraId="22199E85" w14:textId="3CF1DA4A" w:rsidR="00283999" w:rsidRDefault="0014025E" w:rsidP="00892477">
      <w:pPr>
        <w:pStyle w:val="Heading2"/>
        <w:rPr>
          <w:rStyle w:val="ECCParagraph"/>
        </w:rPr>
      </w:pPr>
      <w:r>
        <w:rPr>
          <w:rStyle w:val="ECCParagraph"/>
        </w:rPr>
        <w:lastRenderedPageBreak/>
        <w:t>Frame structures and their equivalent 5G nr respresentation</w:t>
      </w:r>
    </w:p>
    <w:p w14:paraId="25502486" w14:textId="748B67DE" w:rsidR="0014025E" w:rsidRDefault="001B253C" w:rsidP="001B253C">
      <w:pPr>
        <w:pStyle w:val="Heading3"/>
      </w:pPr>
      <w:r>
        <w:t>Frame Structure A, “full synchronisation”</w:t>
      </w:r>
      <w:r w:rsidR="004F2BD0">
        <w:t>, 10 ms frame</w:t>
      </w:r>
    </w:p>
    <w:p w14:paraId="4B7F6EB1" w14:textId="0B8A6995" w:rsidR="001744FF" w:rsidRPr="001744FF" w:rsidRDefault="00B1278D" w:rsidP="001744FF">
      <w:pPr>
        <w:rPr>
          <w:lang w:val="da-DK"/>
        </w:rPr>
      </w:pPr>
      <w:r>
        <w:rPr>
          <w:noProof/>
          <w:lang w:val="da-DK"/>
        </w:rPr>
        <w:drawing>
          <wp:inline distT="0" distB="0" distL="0" distR="0" wp14:anchorId="580142B5" wp14:editId="4F5FB26A">
            <wp:extent cx="6118216" cy="2542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eStructureA.emf"/>
                    <pic:cNvPicPr/>
                  </pic:nvPicPr>
                  <pic:blipFill>
                    <a:blip r:embed="rId12"/>
                    <a:stretch>
                      <a:fillRect/>
                    </a:stretch>
                  </pic:blipFill>
                  <pic:spPr>
                    <a:xfrm>
                      <a:off x="0" y="0"/>
                      <a:ext cx="6118216" cy="2542462"/>
                    </a:xfrm>
                    <a:prstGeom prst="rect">
                      <a:avLst/>
                    </a:prstGeom>
                  </pic:spPr>
                </pic:pic>
              </a:graphicData>
            </a:graphic>
          </wp:inline>
        </w:drawing>
      </w:r>
    </w:p>
    <w:p w14:paraId="3FB5F030" w14:textId="5E23421E" w:rsidR="001B253C" w:rsidRPr="001B253C" w:rsidRDefault="001B253C" w:rsidP="001B253C">
      <w:pPr>
        <w:pStyle w:val="Heading3"/>
      </w:pPr>
      <w:r w:rsidRPr="001B253C">
        <w:t xml:space="preserve">Frame </w:t>
      </w:r>
      <w:r>
        <w:t>S</w:t>
      </w:r>
      <w:r w:rsidRPr="001B253C">
        <w:t>tructure B, “</w:t>
      </w:r>
      <w:r>
        <w:t>s</w:t>
      </w:r>
      <w:r w:rsidRPr="001B253C">
        <w:t>emi-synchronisation”</w:t>
      </w:r>
      <w:r w:rsidR="004F2BD0">
        <w:t>, 10 ms frame</w:t>
      </w:r>
    </w:p>
    <w:p w14:paraId="4F62FD41" w14:textId="239A913D" w:rsidR="00B31A03" w:rsidRDefault="00B31A03" w:rsidP="00A84B30">
      <w:pPr>
        <w:pStyle w:val="ECCTablenote"/>
        <w:rPr>
          <w:rStyle w:val="ECCParagraph"/>
        </w:rPr>
      </w:pPr>
    </w:p>
    <w:p w14:paraId="7BC296D7" w14:textId="0BCDA136" w:rsidR="00B31A03" w:rsidRDefault="00DB530B" w:rsidP="00A84B30">
      <w:pPr>
        <w:pStyle w:val="ECCTablenote"/>
        <w:rPr>
          <w:rStyle w:val="ECCParagraph"/>
        </w:rPr>
      </w:pPr>
      <w:r>
        <w:rPr>
          <w:noProof/>
          <w:sz w:val="20"/>
        </w:rPr>
        <w:drawing>
          <wp:inline distT="0" distB="0" distL="0" distR="0" wp14:anchorId="6AAE4D09" wp14:editId="0E1C3039">
            <wp:extent cx="6116400" cy="26370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StructureB.emf"/>
                    <pic:cNvPicPr/>
                  </pic:nvPicPr>
                  <pic:blipFill>
                    <a:blip r:embed="rId13"/>
                    <a:stretch>
                      <a:fillRect/>
                    </a:stretch>
                  </pic:blipFill>
                  <pic:spPr>
                    <a:xfrm>
                      <a:off x="0" y="0"/>
                      <a:ext cx="6116400" cy="2637022"/>
                    </a:xfrm>
                    <a:prstGeom prst="rect">
                      <a:avLst/>
                    </a:prstGeom>
                  </pic:spPr>
                </pic:pic>
              </a:graphicData>
            </a:graphic>
          </wp:inline>
        </w:drawing>
      </w:r>
    </w:p>
    <w:p w14:paraId="537AF945" w14:textId="5444F9E2" w:rsidR="00BB619F" w:rsidRDefault="000D1009" w:rsidP="00BB619F">
      <w:pPr>
        <w:pStyle w:val="ECCAnnexheading1"/>
        <w:rPr>
          <w:rStyle w:val="ECCParagraph"/>
        </w:rPr>
      </w:pPr>
      <w:r>
        <w:rPr>
          <w:rStyle w:val="ECCParagraph"/>
        </w:rPr>
        <w:lastRenderedPageBreak/>
        <w:t>Detail of uk c-band synchronisation requirement</w:t>
      </w:r>
      <w:r w:rsidR="009A6DF6">
        <w:rPr>
          <w:rStyle w:val="ECCParagraph"/>
        </w:rPr>
        <w:t>s</w:t>
      </w:r>
    </w:p>
    <w:p w14:paraId="5F2E6A00" w14:textId="5786531A" w:rsidR="00A814AE" w:rsidRPr="00A814AE" w:rsidRDefault="00A814AE" w:rsidP="00A814AE">
      <w:r>
        <w:t xml:space="preserve">This is an extract </w:t>
      </w:r>
      <w:r w:rsidR="00C838F9">
        <w:t xml:space="preserve">of text relevant to synchronisation </w:t>
      </w:r>
      <w:r>
        <w:t xml:space="preserve">from </w:t>
      </w:r>
      <w:r w:rsidR="00B31989">
        <w:t xml:space="preserve">the example licences published alongside the UK statement for the award of </w:t>
      </w:r>
      <w:r w:rsidR="005204B1">
        <w:t>3680</w:t>
      </w:r>
      <w:r w:rsidR="005204B1">
        <w:noBreakHyphen/>
        <w:t>3800 MHz.</w:t>
      </w:r>
      <w:r w:rsidR="005204B1">
        <w:rPr>
          <w:rStyle w:val="FootnoteReference"/>
        </w:rPr>
        <w:footnoteReference w:id="5"/>
      </w:r>
    </w:p>
    <w:p w14:paraId="32CAB2A4" w14:textId="77777777" w:rsidR="008E6E1F" w:rsidRPr="008E6E1F" w:rsidRDefault="008E6E1F" w:rsidP="008E6E1F">
      <w:pPr>
        <w:rPr>
          <w:lang w:val="da-DK"/>
        </w:rPr>
      </w:pPr>
    </w:p>
    <w:p w14:paraId="0E1581EF" w14:textId="77777777" w:rsidR="00EA7328" w:rsidRPr="008E6E1F" w:rsidRDefault="00EA7328" w:rsidP="008D2493">
      <w:pPr>
        <w:pStyle w:val="ListParagraph"/>
        <w:numPr>
          <w:ilvl w:val="0"/>
          <w:numId w:val="19"/>
        </w:numPr>
        <w:spacing w:before="0" w:after="0" w:line="276" w:lineRule="auto"/>
        <w:ind w:left="709" w:hanging="709"/>
        <w:jc w:val="left"/>
        <w:rPr>
          <w:rFonts w:asciiTheme="majorHAnsi" w:hAnsiTheme="majorHAnsi" w:cstheme="majorHAnsi"/>
          <w:color w:val="404040"/>
          <w:sz w:val="22"/>
        </w:rPr>
      </w:pPr>
      <w:r w:rsidRPr="008E6E1F">
        <w:rPr>
          <w:rFonts w:asciiTheme="majorHAnsi" w:hAnsiTheme="majorHAnsi" w:cstheme="majorHAnsi"/>
          <w:color w:val="404040"/>
          <w:sz w:val="22"/>
        </w:rPr>
        <w:t>When transmitting, the Licensee must either transmit in accordance with the condition in paragraph (a) or in accordance with the condition in paragraph (b)</w:t>
      </w:r>
      <w:r w:rsidRPr="008E6E1F" w:rsidDel="00497CB2">
        <w:rPr>
          <w:rFonts w:asciiTheme="majorHAnsi" w:hAnsiTheme="majorHAnsi" w:cstheme="majorHAnsi"/>
          <w:color w:val="404040"/>
          <w:sz w:val="22"/>
        </w:rPr>
        <w:t>.</w:t>
      </w:r>
      <w:r w:rsidRPr="008E6E1F">
        <w:rPr>
          <w:rFonts w:asciiTheme="majorHAnsi" w:hAnsiTheme="majorHAnsi" w:cstheme="majorHAnsi"/>
          <w:color w:val="404040"/>
          <w:sz w:val="22"/>
        </w:rPr>
        <w:t xml:space="preserve"> – </w:t>
      </w:r>
    </w:p>
    <w:p w14:paraId="6A2674A1" w14:textId="77777777" w:rsidR="00EA7328" w:rsidRPr="00233604" w:rsidRDefault="00EA7328" w:rsidP="00EA7328">
      <w:pPr>
        <w:pStyle w:val="ListParagraph"/>
      </w:pPr>
    </w:p>
    <w:p w14:paraId="60553747" w14:textId="77777777" w:rsidR="00EA7328" w:rsidRPr="00233604" w:rsidRDefault="00EA7328" w:rsidP="00EA7328">
      <w:pPr>
        <w:pStyle w:val="aparagraphs"/>
        <w:numPr>
          <w:ilvl w:val="2"/>
          <w:numId w:val="14"/>
        </w:numPr>
        <w:ind w:hanging="471"/>
      </w:pPr>
      <w:r w:rsidRPr="00233604">
        <w:t xml:space="preserve">The condition referred to is that the Licensee must transmit within the limits of the Permissive Transmission Mask and, if doing so, the Licensee must also transmit within the limits of transmission Frame Structure A; </w:t>
      </w:r>
    </w:p>
    <w:p w14:paraId="4036831F" w14:textId="77777777" w:rsidR="00EA7328" w:rsidRPr="00233604" w:rsidRDefault="00EA7328" w:rsidP="00EA7328">
      <w:pPr>
        <w:pStyle w:val="aparagraphs"/>
        <w:ind w:hanging="471"/>
      </w:pPr>
      <w:r w:rsidRPr="00233604">
        <w:t xml:space="preserve">The condition referred to is that the Licensee must transmit within the limits of the Restrictive Transmission Mask, and, if doing so, the Licensee must also transmit within the limits of transmission Frame Structure B. </w:t>
      </w:r>
    </w:p>
    <w:p w14:paraId="06511E6C" w14:textId="77777777" w:rsidR="00EA7328" w:rsidRPr="00233604" w:rsidRDefault="00EA7328" w:rsidP="00EA7328">
      <w:pPr>
        <w:pStyle w:val="aparagraphs"/>
        <w:numPr>
          <w:ilvl w:val="0"/>
          <w:numId w:val="0"/>
        </w:numPr>
      </w:pPr>
    </w:p>
    <w:p w14:paraId="7108C6C2" w14:textId="77777777" w:rsidR="00EA7328" w:rsidRPr="008E6D92" w:rsidRDefault="00EA7328" w:rsidP="008D2493">
      <w:pPr>
        <w:pStyle w:val="ListParagraph"/>
        <w:keepNext/>
        <w:keepLines/>
        <w:numPr>
          <w:ilvl w:val="0"/>
          <w:numId w:val="19"/>
        </w:numPr>
        <w:spacing w:before="0" w:after="0" w:line="276" w:lineRule="auto"/>
        <w:ind w:hanging="720"/>
        <w:jc w:val="left"/>
        <w:rPr>
          <w:rFonts w:asciiTheme="majorHAnsi" w:hAnsiTheme="majorHAnsi" w:cstheme="majorHAnsi"/>
          <w:color w:val="404040"/>
          <w:sz w:val="22"/>
        </w:rPr>
      </w:pPr>
      <w:r w:rsidRPr="008E6D92">
        <w:rPr>
          <w:rFonts w:asciiTheme="majorHAnsi" w:hAnsiTheme="majorHAnsi" w:cstheme="majorHAnsi"/>
          <w:color w:val="404040"/>
          <w:sz w:val="22"/>
        </w:rPr>
        <w:t xml:space="preserve">The Permissive Transmission Mask means that – </w:t>
      </w:r>
    </w:p>
    <w:p w14:paraId="78BE0326" w14:textId="77777777" w:rsidR="00EA7328" w:rsidRPr="00233604" w:rsidRDefault="00EA7328" w:rsidP="00EA7328">
      <w:pPr>
        <w:pStyle w:val="Numberedparagraphs"/>
        <w:keepNext/>
        <w:keepLines/>
        <w:numPr>
          <w:ilvl w:val="0"/>
          <w:numId w:val="0"/>
        </w:numPr>
        <w:ind w:left="720"/>
      </w:pPr>
      <w:r w:rsidRPr="008E6D92">
        <w:br/>
        <w:t xml:space="preserve">for transmissions </w:t>
      </w:r>
      <w:r w:rsidRPr="00233604">
        <w:t>on the downlink frequencies, the maximum mean EIRP or TRP emanating from the Radio Equipment transmissions at any frequency outside the Permitted Frequency Blocks, but within 3410 – 3800 MHz, shall not exceed the transitional and baseline requirements in the following table:</w:t>
      </w:r>
    </w:p>
    <w:tbl>
      <w:tblPr>
        <w:tblStyle w:val="TableGrid"/>
        <w:tblW w:w="8878" w:type="dxa"/>
        <w:tblInd w:w="7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94"/>
        <w:gridCol w:w="2268"/>
        <w:gridCol w:w="2216"/>
      </w:tblGrid>
      <w:tr w:rsidR="00EA7328" w:rsidRPr="00233604" w14:paraId="2B7B0BD2" w14:textId="77777777" w:rsidTr="00176E37">
        <w:tc>
          <w:tcPr>
            <w:tcW w:w="4394" w:type="dxa"/>
            <w:tcBorders>
              <w:top w:val="nil"/>
              <w:left w:val="nil"/>
              <w:bottom w:val="nil"/>
              <w:right w:val="nil"/>
            </w:tcBorders>
            <w:tcMar>
              <w:left w:w="0" w:type="dxa"/>
            </w:tcMar>
          </w:tcPr>
          <w:p w14:paraId="2C8BC09E" w14:textId="77777777" w:rsidR="00EA7328" w:rsidRPr="009B0DB2" w:rsidRDefault="00EA7328" w:rsidP="00176E37">
            <w:pPr>
              <w:pStyle w:val="Numberedparagraphs"/>
              <w:keepNext/>
              <w:keepLines/>
              <w:numPr>
                <w:ilvl w:val="0"/>
                <w:numId w:val="0"/>
              </w:numPr>
              <w:spacing w:before="20" w:after="20"/>
              <w:rPr>
                <w:rFonts w:asciiTheme="minorHAnsi" w:hAnsiTheme="minorHAnsi" w:cstheme="minorHAnsi"/>
                <w:szCs w:val="22"/>
              </w:rPr>
            </w:pPr>
          </w:p>
        </w:tc>
        <w:tc>
          <w:tcPr>
            <w:tcW w:w="2268" w:type="dxa"/>
            <w:tcBorders>
              <w:top w:val="nil"/>
              <w:left w:val="nil"/>
              <w:bottom w:val="nil"/>
              <w:right w:val="nil"/>
            </w:tcBorders>
          </w:tcPr>
          <w:p w14:paraId="086931F6" w14:textId="77777777" w:rsidR="00EA7328" w:rsidRPr="00666AD8" w:rsidRDefault="00EA7328" w:rsidP="00176E37">
            <w:pPr>
              <w:pStyle w:val="Numberedparagraphs"/>
              <w:keepNext/>
              <w:keepLines/>
              <w:numPr>
                <w:ilvl w:val="0"/>
                <w:numId w:val="0"/>
              </w:numPr>
              <w:spacing w:before="20" w:after="20"/>
              <w:rPr>
                <w:rFonts w:asciiTheme="majorHAnsi" w:hAnsiTheme="majorHAnsi" w:cstheme="majorHAnsi"/>
                <w:szCs w:val="22"/>
              </w:rPr>
            </w:pPr>
            <w:r w:rsidRPr="00666AD8">
              <w:rPr>
                <w:rFonts w:asciiTheme="majorHAnsi" w:hAnsiTheme="majorHAnsi" w:cstheme="majorHAnsi"/>
                <w:szCs w:val="22"/>
              </w:rPr>
              <w:t>Non-AAS</w:t>
            </w:r>
          </w:p>
        </w:tc>
        <w:tc>
          <w:tcPr>
            <w:tcW w:w="2216" w:type="dxa"/>
            <w:tcBorders>
              <w:top w:val="nil"/>
              <w:left w:val="nil"/>
              <w:bottom w:val="nil"/>
              <w:right w:val="nil"/>
            </w:tcBorders>
            <w:tcMar>
              <w:right w:w="0" w:type="dxa"/>
            </w:tcMar>
          </w:tcPr>
          <w:p w14:paraId="46AE658F" w14:textId="77777777" w:rsidR="00EA7328" w:rsidRPr="00666AD8" w:rsidRDefault="00EA7328" w:rsidP="00176E37">
            <w:pPr>
              <w:pStyle w:val="Numberedparagraphs"/>
              <w:keepNext/>
              <w:keepLines/>
              <w:numPr>
                <w:ilvl w:val="0"/>
                <w:numId w:val="0"/>
              </w:numPr>
              <w:spacing w:before="20" w:after="20"/>
              <w:rPr>
                <w:rFonts w:asciiTheme="majorHAnsi" w:hAnsiTheme="majorHAnsi" w:cstheme="majorHAnsi"/>
                <w:szCs w:val="22"/>
              </w:rPr>
            </w:pPr>
            <w:r w:rsidRPr="00666AD8">
              <w:rPr>
                <w:rFonts w:asciiTheme="majorHAnsi" w:hAnsiTheme="majorHAnsi" w:cstheme="majorHAnsi"/>
                <w:szCs w:val="22"/>
              </w:rPr>
              <w:t>AAS</w:t>
            </w:r>
          </w:p>
        </w:tc>
      </w:tr>
      <w:tr w:rsidR="00EA7328" w:rsidRPr="00233604" w14:paraId="1BA86157" w14:textId="77777777" w:rsidTr="00176E37">
        <w:tc>
          <w:tcPr>
            <w:tcW w:w="4394" w:type="dxa"/>
            <w:tcBorders>
              <w:top w:val="nil"/>
              <w:left w:val="nil"/>
              <w:right w:val="nil"/>
            </w:tcBorders>
            <w:tcMar>
              <w:left w:w="0" w:type="dxa"/>
            </w:tcMar>
          </w:tcPr>
          <w:p w14:paraId="2A814E35" w14:textId="77777777" w:rsidR="00EA7328" w:rsidRPr="009B0DB2" w:rsidRDefault="00EA7328" w:rsidP="00176E37">
            <w:pPr>
              <w:pStyle w:val="Numberedparagraphs"/>
              <w:keepNext/>
              <w:keepLines/>
              <w:numPr>
                <w:ilvl w:val="0"/>
                <w:numId w:val="0"/>
              </w:numPr>
              <w:spacing w:before="20" w:after="20"/>
              <w:rPr>
                <w:rFonts w:asciiTheme="minorHAnsi" w:hAnsiTheme="minorHAnsi" w:cstheme="minorHAnsi"/>
                <w:szCs w:val="22"/>
              </w:rPr>
            </w:pPr>
          </w:p>
        </w:tc>
        <w:tc>
          <w:tcPr>
            <w:tcW w:w="2268" w:type="dxa"/>
            <w:tcBorders>
              <w:top w:val="nil"/>
              <w:left w:val="nil"/>
              <w:bottom w:val="single" w:sz="4" w:space="0" w:color="7F7F7F" w:themeColor="text1" w:themeTint="80"/>
              <w:right w:val="nil"/>
            </w:tcBorders>
          </w:tcPr>
          <w:p w14:paraId="3DA215B4" w14:textId="77777777" w:rsidR="00EA7328" w:rsidRPr="00666AD8" w:rsidRDefault="00EA7328" w:rsidP="00176E37">
            <w:pPr>
              <w:pStyle w:val="Numberedparagraphs"/>
              <w:keepNext/>
              <w:keepLines/>
              <w:numPr>
                <w:ilvl w:val="0"/>
                <w:numId w:val="0"/>
              </w:numPr>
              <w:spacing w:before="20" w:after="20"/>
              <w:rPr>
                <w:rFonts w:asciiTheme="majorHAnsi" w:hAnsiTheme="majorHAnsi" w:cstheme="majorHAnsi"/>
                <w:i/>
                <w:szCs w:val="22"/>
              </w:rPr>
            </w:pPr>
            <w:r w:rsidRPr="00666AD8">
              <w:rPr>
                <w:rFonts w:asciiTheme="majorHAnsi" w:hAnsiTheme="majorHAnsi" w:cstheme="majorHAnsi"/>
                <w:i/>
                <w:szCs w:val="22"/>
              </w:rPr>
              <w:t>dBm / 5 MHz EIRP per antenna</w:t>
            </w:r>
          </w:p>
        </w:tc>
        <w:tc>
          <w:tcPr>
            <w:tcW w:w="2216" w:type="dxa"/>
            <w:tcBorders>
              <w:top w:val="nil"/>
              <w:left w:val="nil"/>
              <w:bottom w:val="single" w:sz="4" w:space="0" w:color="7F7F7F" w:themeColor="text1" w:themeTint="80"/>
              <w:right w:val="nil"/>
            </w:tcBorders>
            <w:tcMar>
              <w:right w:w="0" w:type="dxa"/>
            </w:tcMar>
          </w:tcPr>
          <w:p w14:paraId="0E277B0D" w14:textId="77777777" w:rsidR="00EA7328" w:rsidRPr="00666AD8" w:rsidRDefault="00EA7328" w:rsidP="00176E37">
            <w:pPr>
              <w:pStyle w:val="Numberedparagraphs"/>
              <w:keepNext/>
              <w:keepLines/>
              <w:numPr>
                <w:ilvl w:val="0"/>
                <w:numId w:val="0"/>
              </w:numPr>
              <w:spacing w:before="20" w:after="20"/>
              <w:rPr>
                <w:rFonts w:asciiTheme="majorHAnsi" w:hAnsiTheme="majorHAnsi" w:cstheme="majorHAnsi"/>
                <w:i/>
                <w:szCs w:val="22"/>
              </w:rPr>
            </w:pPr>
            <w:r w:rsidRPr="00666AD8">
              <w:rPr>
                <w:rFonts w:asciiTheme="majorHAnsi" w:hAnsiTheme="majorHAnsi" w:cstheme="majorHAnsi"/>
                <w:i/>
                <w:szCs w:val="22"/>
              </w:rPr>
              <w:t xml:space="preserve">dBm / 5 MHz TRP </w:t>
            </w:r>
            <w:r w:rsidRPr="00666AD8">
              <w:rPr>
                <w:rFonts w:asciiTheme="majorHAnsi" w:hAnsiTheme="majorHAnsi" w:cstheme="majorHAnsi"/>
                <w:i/>
                <w:szCs w:val="22"/>
              </w:rPr>
              <w:br/>
              <w:t>per cell</w:t>
            </w:r>
          </w:p>
        </w:tc>
      </w:tr>
      <w:tr w:rsidR="00EA7328" w:rsidRPr="00233604" w14:paraId="4324A010" w14:textId="77777777" w:rsidTr="00176E37">
        <w:tc>
          <w:tcPr>
            <w:tcW w:w="4394" w:type="dxa"/>
            <w:tcBorders>
              <w:left w:val="nil"/>
            </w:tcBorders>
            <w:tcMar>
              <w:left w:w="0" w:type="dxa"/>
            </w:tcMar>
          </w:tcPr>
          <w:p w14:paraId="25AB0240"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 xml:space="preserve">-5 to 0 MHz offset from lower block edge </w:t>
            </w:r>
          </w:p>
          <w:p w14:paraId="2C821B35"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0 to 5 MHz offset from upper block edge</w:t>
            </w:r>
          </w:p>
        </w:tc>
        <w:tc>
          <w:tcPr>
            <w:tcW w:w="2268" w:type="dxa"/>
            <w:tcBorders>
              <w:top w:val="single" w:sz="4" w:space="0" w:color="7F7F7F" w:themeColor="text1" w:themeTint="80"/>
            </w:tcBorders>
          </w:tcPr>
          <w:p w14:paraId="165A7E72"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Min(PMax – 40, 21)</w:t>
            </w:r>
          </w:p>
        </w:tc>
        <w:tc>
          <w:tcPr>
            <w:tcW w:w="2216" w:type="dxa"/>
            <w:tcBorders>
              <w:top w:val="single" w:sz="4" w:space="0" w:color="7F7F7F" w:themeColor="text1" w:themeTint="80"/>
              <w:right w:val="nil"/>
            </w:tcBorders>
            <w:tcMar>
              <w:right w:w="0" w:type="dxa"/>
            </w:tcMar>
          </w:tcPr>
          <w:p w14:paraId="28B1AC1D"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Min(PMax’ – 40, 16)</w:t>
            </w:r>
          </w:p>
        </w:tc>
      </w:tr>
      <w:tr w:rsidR="00EA7328" w:rsidRPr="00233604" w14:paraId="33E0CC88" w14:textId="77777777" w:rsidTr="00176E37">
        <w:tc>
          <w:tcPr>
            <w:tcW w:w="4394" w:type="dxa"/>
            <w:tcBorders>
              <w:left w:val="nil"/>
            </w:tcBorders>
            <w:tcMar>
              <w:left w:w="0" w:type="dxa"/>
            </w:tcMar>
          </w:tcPr>
          <w:p w14:paraId="6F1D633F" w14:textId="77777777" w:rsidR="00EA7328" w:rsidRPr="008E6E1F" w:rsidRDefault="00EA7328" w:rsidP="00176E37">
            <w:pPr>
              <w:pStyle w:val="Numberedparagraphs"/>
              <w:keepNext/>
              <w:keepLines/>
              <w:numPr>
                <w:ilvl w:val="0"/>
                <w:numId w:val="0"/>
              </w:numPr>
              <w:spacing w:before="20" w:after="20"/>
              <w:ind w:left="851" w:hanging="851"/>
              <w:rPr>
                <w:rFonts w:asciiTheme="majorHAnsi" w:hAnsiTheme="majorHAnsi" w:cstheme="majorHAnsi"/>
                <w:szCs w:val="22"/>
              </w:rPr>
            </w:pPr>
            <w:r w:rsidRPr="008E6E1F">
              <w:rPr>
                <w:rFonts w:asciiTheme="majorHAnsi" w:hAnsiTheme="majorHAnsi" w:cstheme="majorHAnsi"/>
                <w:szCs w:val="22"/>
              </w:rPr>
              <w:t>-10 to -5 MHz offset from lower block edge</w:t>
            </w:r>
          </w:p>
          <w:p w14:paraId="55755522" w14:textId="77777777" w:rsidR="00EA7328" w:rsidRPr="008E6E1F" w:rsidRDefault="00EA7328" w:rsidP="00176E37">
            <w:pPr>
              <w:pStyle w:val="Numberedparagraphs"/>
              <w:keepNext/>
              <w:keepLines/>
              <w:numPr>
                <w:ilvl w:val="0"/>
                <w:numId w:val="0"/>
              </w:numPr>
              <w:spacing w:before="20" w:after="20"/>
              <w:ind w:left="851" w:hanging="851"/>
              <w:rPr>
                <w:rFonts w:asciiTheme="majorHAnsi" w:hAnsiTheme="majorHAnsi" w:cstheme="majorHAnsi"/>
                <w:szCs w:val="22"/>
              </w:rPr>
            </w:pPr>
            <w:r w:rsidRPr="008E6E1F">
              <w:rPr>
                <w:rFonts w:asciiTheme="majorHAnsi" w:hAnsiTheme="majorHAnsi" w:cstheme="majorHAnsi"/>
                <w:szCs w:val="22"/>
              </w:rPr>
              <w:t>5 to 10 MHz offset from upper block edge</w:t>
            </w:r>
          </w:p>
        </w:tc>
        <w:tc>
          <w:tcPr>
            <w:tcW w:w="2268" w:type="dxa"/>
          </w:tcPr>
          <w:p w14:paraId="114FCCE6" w14:textId="77777777" w:rsidR="00EA7328" w:rsidRPr="008E6E1F" w:rsidRDefault="00EA7328" w:rsidP="00176E37">
            <w:pPr>
              <w:pStyle w:val="Numberedparagraphs"/>
              <w:keepNext/>
              <w:keepLines/>
              <w:numPr>
                <w:ilvl w:val="0"/>
                <w:numId w:val="0"/>
              </w:numPr>
              <w:spacing w:before="20" w:after="20"/>
              <w:ind w:right="141"/>
              <w:rPr>
                <w:rFonts w:asciiTheme="majorHAnsi" w:hAnsiTheme="majorHAnsi" w:cstheme="majorHAnsi"/>
                <w:szCs w:val="22"/>
              </w:rPr>
            </w:pPr>
            <w:r w:rsidRPr="008E6E1F">
              <w:rPr>
                <w:rFonts w:asciiTheme="majorHAnsi" w:hAnsiTheme="majorHAnsi" w:cstheme="majorHAnsi"/>
                <w:szCs w:val="22"/>
              </w:rPr>
              <w:t>Min(PMax – 43, 15)</w:t>
            </w:r>
          </w:p>
        </w:tc>
        <w:tc>
          <w:tcPr>
            <w:tcW w:w="2216" w:type="dxa"/>
            <w:tcBorders>
              <w:right w:val="nil"/>
            </w:tcBorders>
            <w:tcMar>
              <w:right w:w="0" w:type="dxa"/>
            </w:tcMar>
          </w:tcPr>
          <w:p w14:paraId="3D745B56" w14:textId="77777777" w:rsidR="00EA7328" w:rsidRPr="008E6E1F" w:rsidRDefault="00EA7328" w:rsidP="00176E37">
            <w:pPr>
              <w:pStyle w:val="Numberedparagraphs"/>
              <w:keepNext/>
              <w:keepLines/>
              <w:numPr>
                <w:ilvl w:val="0"/>
                <w:numId w:val="0"/>
              </w:numPr>
              <w:spacing w:before="20" w:after="20"/>
              <w:ind w:right="141"/>
              <w:rPr>
                <w:rFonts w:asciiTheme="majorHAnsi" w:hAnsiTheme="majorHAnsi" w:cstheme="majorHAnsi"/>
                <w:szCs w:val="22"/>
              </w:rPr>
            </w:pPr>
            <w:r w:rsidRPr="008E6E1F">
              <w:rPr>
                <w:rFonts w:asciiTheme="majorHAnsi" w:hAnsiTheme="majorHAnsi" w:cstheme="majorHAnsi"/>
                <w:szCs w:val="22"/>
              </w:rPr>
              <w:t>Min(PMax’ – 43, 12)</w:t>
            </w:r>
          </w:p>
        </w:tc>
      </w:tr>
      <w:tr w:rsidR="00EA7328" w:rsidRPr="00233604" w14:paraId="07FD873A" w14:textId="77777777" w:rsidTr="00176E37">
        <w:tc>
          <w:tcPr>
            <w:tcW w:w="4394" w:type="dxa"/>
            <w:tcBorders>
              <w:left w:val="nil"/>
            </w:tcBorders>
            <w:tcMar>
              <w:left w:w="0" w:type="dxa"/>
            </w:tcMar>
          </w:tcPr>
          <w:p w14:paraId="52135286" w14:textId="77777777" w:rsidR="00EA7328" w:rsidRPr="008E6E1F" w:rsidRDefault="00EA7328" w:rsidP="00176E37">
            <w:pPr>
              <w:pStyle w:val="Numberedparagraphs"/>
              <w:numPr>
                <w:ilvl w:val="0"/>
                <w:numId w:val="0"/>
              </w:numPr>
              <w:spacing w:before="20" w:after="20"/>
              <w:ind w:left="851" w:hanging="851"/>
              <w:rPr>
                <w:rFonts w:asciiTheme="majorHAnsi" w:hAnsiTheme="majorHAnsi" w:cstheme="majorHAnsi"/>
                <w:szCs w:val="22"/>
              </w:rPr>
            </w:pPr>
            <w:r w:rsidRPr="008E6E1F">
              <w:rPr>
                <w:rFonts w:asciiTheme="majorHAnsi" w:hAnsiTheme="majorHAnsi" w:cstheme="majorHAnsi"/>
                <w:szCs w:val="22"/>
              </w:rPr>
              <w:t>Out of block baseline power limit (BS)</w:t>
            </w:r>
          </w:p>
          <w:p w14:paraId="4A51C5B5" w14:textId="77777777" w:rsidR="00EA7328" w:rsidRPr="008E6E1F" w:rsidRDefault="00EA7328" w:rsidP="00176E37">
            <w:pPr>
              <w:pStyle w:val="Numberedparagraphs"/>
              <w:numPr>
                <w:ilvl w:val="0"/>
                <w:numId w:val="0"/>
              </w:numPr>
              <w:spacing w:before="20" w:after="20"/>
              <w:ind w:left="851" w:hanging="851"/>
              <w:rPr>
                <w:rFonts w:asciiTheme="majorHAnsi" w:hAnsiTheme="majorHAnsi" w:cstheme="majorHAnsi"/>
                <w:szCs w:val="22"/>
              </w:rPr>
            </w:pPr>
            <w:r w:rsidRPr="008E6E1F">
              <w:rPr>
                <w:rFonts w:asciiTheme="majorHAnsi" w:hAnsiTheme="majorHAnsi" w:cstheme="majorHAnsi"/>
                <w:szCs w:val="22"/>
              </w:rPr>
              <w:t>&lt; -10 MHz offset from lower block edge</w:t>
            </w:r>
          </w:p>
          <w:p w14:paraId="3E1A813A" w14:textId="77777777" w:rsidR="00EA7328" w:rsidRPr="008E6E1F" w:rsidRDefault="00EA7328" w:rsidP="00176E37">
            <w:pPr>
              <w:pStyle w:val="Numberedparagraph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&gt; 10 MHz offset from upper block edge</w:t>
            </w:r>
          </w:p>
        </w:tc>
        <w:tc>
          <w:tcPr>
            <w:tcW w:w="2268" w:type="dxa"/>
          </w:tcPr>
          <w:p w14:paraId="19DC6B0F" w14:textId="77777777" w:rsidR="00EA7328" w:rsidRPr="008E6E1F" w:rsidRDefault="00EA7328" w:rsidP="00176E37">
            <w:pPr>
              <w:pStyle w:val="Numberedparagraph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Min(PMax – 43, 13)</w:t>
            </w:r>
          </w:p>
        </w:tc>
        <w:tc>
          <w:tcPr>
            <w:tcW w:w="2216" w:type="dxa"/>
            <w:tcBorders>
              <w:right w:val="nil"/>
            </w:tcBorders>
            <w:tcMar>
              <w:right w:w="0" w:type="dxa"/>
            </w:tcMar>
          </w:tcPr>
          <w:p w14:paraId="3803E1E3" w14:textId="77777777" w:rsidR="00EA7328" w:rsidRPr="008E6E1F" w:rsidRDefault="00EA7328" w:rsidP="00176E37">
            <w:pPr>
              <w:pStyle w:val="Numberedparagraph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Min(PMax’ – 43, 1)</w:t>
            </w:r>
          </w:p>
        </w:tc>
      </w:tr>
    </w:tbl>
    <w:p w14:paraId="243973AB" w14:textId="77777777" w:rsidR="00EA7328" w:rsidRPr="00233604" w:rsidRDefault="00EA7328" w:rsidP="00EA7328">
      <w:pPr>
        <w:pStyle w:val="NoSpacing"/>
        <w:rPr>
          <w:lang w:val="en-GB"/>
        </w:rPr>
      </w:pPr>
    </w:p>
    <w:p w14:paraId="4B17386B" w14:textId="77777777" w:rsidR="00EA7328" w:rsidRPr="008E6E1F" w:rsidRDefault="00EA7328" w:rsidP="008D2493">
      <w:pPr>
        <w:pStyle w:val="ListParagraph"/>
        <w:keepNext/>
        <w:keepLines/>
        <w:numPr>
          <w:ilvl w:val="0"/>
          <w:numId w:val="19"/>
        </w:numPr>
        <w:spacing w:before="0" w:after="0" w:line="276" w:lineRule="auto"/>
        <w:ind w:hanging="720"/>
        <w:jc w:val="left"/>
        <w:rPr>
          <w:rFonts w:asciiTheme="majorHAnsi" w:hAnsiTheme="majorHAnsi" w:cstheme="majorHAnsi"/>
          <w:color w:val="404040"/>
          <w:sz w:val="22"/>
        </w:rPr>
      </w:pPr>
      <w:r w:rsidRPr="008E6E1F">
        <w:rPr>
          <w:rFonts w:asciiTheme="majorHAnsi" w:hAnsiTheme="majorHAnsi" w:cstheme="majorHAnsi"/>
          <w:color w:val="404040"/>
          <w:sz w:val="22"/>
        </w:rPr>
        <w:lastRenderedPageBreak/>
        <w:t xml:space="preserve">The Restrictive Transmission Mask means that – </w:t>
      </w:r>
    </w:p>
    <w:p w14:paraId="54DC3DC8" w14:textId="77777777" w:rsidR="00EA7328" w:rsidRPr="008E6E1F" w:rsidRDefault="00EA7328" w:rsidP="00EA7328">
      <w:pPr>
        <w:pStyle w:val="Numberedparagraphs"/>
        <w:keepNext/>
        <w:keepLines/>
        <w:numPr>
          <w:ilvl w:val="0"/>
          <w:numId w:val="0"/>
        </w:numPr>
        <w:ind w:left="720"/>
        <w:rPr>
          <w:rFonts w:asciiTheme="majorHAnsi" w:hAnsiTheme="majorHAnsi" w:cstheme="majorHAnsi"/>
          <w:szCs w:val="22"/>
        </w:rPr>
      </w:pPr>
      <w:r w:rsidRPr="008E6E1F">
        <w:rPr>
          <w:rFonts w:asciiTheme="majorHAnsi" w:hAnsiTheme="majorHAnsi" w:cstheme="majorHAnsi"/>
          <w:szCs w:val="22"/>
        </w:rPr>
        <w:br/>
        <w:t>for transmissions on the downlink frequencies, the maximum mean EIRP emanating from the Radio Equipment transmissions at any frequency outside the Permitted Frequency Blocks, but within 3410 – 3800 MHz, shall not exceed baseline in the following table:</w:t>
      </w:r>
    </w:p>
    <w:tbl>
      <w:tblPr>
        <w:tblStyle w:val="TableGrid"/>
        <w:tblW w:w="8789" w:type="dxa"/>
        <w:tblInd w:w="7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94"/>
        <w:gridCol w:w="2268"/>
        <w:gridCol w:w="2127"/>
      </w:tblGrid>
      <w:tr w:rsidR="008E6E1F" w:rsidRPr="008E6E1F" w14:paraId="5541F569" w14:textId="77777777" w:rsidTr="00176E37">
        <w:tc>
          <w:tcPr>
            <w:tcW w:w="4394" w:type="dxa"/>
            <w:tcBorders>
              <w:top w:val="nil"/>
              <w:left w:val="nil"/>
              <w:bottom w:val="nil"/>
              <w:right w:val="nil"/>
            </w:tcBorders>
            <w:tcMar>
              <w:left w:w="0" w:type="dxa"/>
            </w:tcMar>
          </w:tcPr>
          <w:p w14:paraId="203B047D"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p>
        </w:tc>
        <w:tc>
          <w:tcPr>
            <w:tcW w:w="2268" w:type="dxa"/>
            <w:tcBorders>
              <w:top w:val="nil"/>
              <w:left w:val="nil"/>
              <w:bottom w:val="nil"/>
              <w:right w:val="nil"/>
            </w:tcBorders>
          </w:tcPr>
          <w:p w14:paraId="1327F94B"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Non-AAS</w:t>
            </w:r>
          </w:p>
        </w:tc>
        <w:tc>
          <w:tcPr>
            <w:tcW w:w="2127" w:type="dxa"/>
            <w:tcBorders>
              <w:top w:val="nil"/>
              <w:left w:val="nil"/>
              <w:bottom w:val="nil"/>
              <w:right w:val="nil"/>
            </w:tcBorders>
            <w:tcMar>
              <w:right w:w="0" w:type="dxa"/>
            </w:tcMar>
          </w:tcPr>
          <w:p w14:paraId="7F936977"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AAS</w:t>
            </w:r>
          </w:p>
        </w:tc>
      </w:tr>
      <w:tr w:rsidR="008E6E1F" w:rsidRPr="008E6E1F" w14:paraId="783C0E98" w14:textId="77777777" w:rsidTr="00176E37">
        <w:tc>
          <w:tcPr>
            <w:tcW w:w="4394" w:type="dxa"/>
            <w:tcBorders>
              <w:top w:val="nil"/>
              <w:left w:val="nil"/>
              <w:right w:val="nil"/>
            </w:tcBorders>
            <w:tcMar>
              <w:left w:w="0" w:type="dxa"/>
            </w:tcMar>
          </w:tcPr>
          <w:p w14:paraId="5E70AEA9"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p>
        </w:tc>
        <w:tc>
          <w:tcPr>
            <w:tcW w:w="2268" w:type="dxa"/>
            <w:tcBorders>
              <w:top w:val="nil"/>
              <w:left w:val="nil"/>
              <w:bottom w:val="single" w:sz="4" w:space="0" w:color="7F7F7F" w:themeColor="text1" w:themeTint="80"/>
              <w:right w:val="nil"/>
            </w:tcBorders>
          </w:tcPr>
          <w:p w14:paraId="23E96A5B"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i/>
                <w:szCs w:val="22"/>
              </w:rPr>
            </w:pPr>
            <w:r w:rsidRPr="008E6E1F">
              <w:rPr>
                <w:rFonts w:asciiTheme="majorHAnsi" w:hAnsiTheme="majorHAnsi" w:cstheme="majorHAnsi"/>
                <w:i/>
                <w:szCs w:val="22"/>
              </w:rPr>
              <w:t>dBm / 5 MHz EIRP per cell</w:t>
            </w:r>
          </w:p>
        </w:tc>
        <w:tc>
          <w:tcPr>
            <w:tcW w:w="2127" w:type="dxa"/>
            <w:tcBorders>
              <w:top w:val="nil"/>
              <w:left w:val="nil"/>
              <w:bottom w:val="single" w:sz="4" w:space="0" w:color="7F7F7F" w:themeColor="text1" w:themeTint="80"/>
              <w:right w:val="nil"/>
            </w:tcBorders>
            <w:tcMar>
              <w:right w:w="0" w:type="dxa"/>
            </w:tcMar>
          </w:tcPr>
          <w:p w14:paraId="4CA1DA2F"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i/>
                <w:szCs w:val="22"/>
              </w:rPr>
            </w:pPr>
            <w:r w:rsidRPr="008E6E1F">
              <w:rPr>
                <w:rFonts w:asciiTheme="majorHAnsi" w:hAnsiTheme="majorHAnsi" w:cstheme="majorHAnsi"/>
                <w:i/>
                <w:szCs w:val="22"/>
              </w:rPr>
              <w:t xml:space="preserve">dBm / 5 MHz TRP </w:t>
            </w:r>
            <w:r w:rsidRPr="008E6E1F">
              <w:rPr>
                <w:rFonts w:asciiTheme="majorHAnsi" w:hAnsiTheme="majorHAnsi" w:cstheme="majorHAnsi"/>
                <w:i/>
                <w:szCs w:val="22"/>
              </w:rPr>
              <w:br/>
              <w:t>per cell</w:t>
            </w:r>
          </w:p>
        </w:tc>
      </w:tr>
      <w:tr w:rsidR="008E6E1F" w:rsidRPr="008E6E1F" w14:paraId="476431D2" w14:textId="77777777" w:rsidTr="00176E37">
        <w:tc>
          <w:tcPr>
            <w:tcW w:w="4394" w:type="dxa"/>
            <w:tcBorders>
              <w:left w:val="nil"/>
            </w:tcBorders>
            <w:tcMar>
              <w:left w:w="0" w:type="dxa"/>
            </w:tcMar>
          </w:tcPr>
          <w:p w14:paraId="3308CF09"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Out of block baseline power limit (BS)</w:t>
            </w:r>
          </w:p>
        </w:tc>
        <w:tc>
          <w:tcPr>
            <w:tcW w:w="2268" w:type="dxa"/>
            <w:tcBorders>
              <w:top w:val="single" w:sz="4" w:space="0" w:color="7F7F7F" w:themeColor="text1" w:themeTint="80"/>
            </w:tcBorders>
          </w:tcPr>
          <w:p w14:paraId="73FB62CF"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-34</w:t>
            </w:r>
          </w:p>
        </w:tc>
        <w:tc>
          <w:tcPr>
            <w:tcW w:w="2127" w:type="dxa"/>
            <w:tcBorders>
              <w:top w:val="single" w:sz="4" w:space="0" w:color="7F7F7F" w:themeColor="text1" w:themeTint="80"/>
              <w:right w:val="nil"/>
            </w:tcBorders>
            <w:tcMar>
              <w:right w:w="0" w:type="dxa"/>
            </w:tcMar>
          </w:tcPr>
          <w:p w14:paraId="0E0A978A" w14:textId="77777777" w:rsidR="00EA7328" w:rsidRPr="008E6E1F" w:rsidRDefault="00EA7328" w:rsidP="00176E37">
            <w:pPr>
              <w:pStyle w:val="Numberedparagraphs"/>
              <w:keepNext/>
              <w:keepLines/>
              <w:numPr>
                <w:ilvl w:val="0"/>
                <w:numId w:val="0"/>
              </w:numPr>
              <w:spacing w:before="20" w:after="20"/>
              <w:rPr>
                <w:rFonts w:asciiTheme="majorHAnsi" w:hAnsiTheme="majorHAnsi" w:cstheme="majorHAnsi"/>
                <w:szCs w:val="22"/>
              </w:rPr>
            </w:pPr>
            <w:r w:rsidRPr="008E6E1F">
              <w:rPr>
                <w:rFonts w:asciiTheme="majorHAnsi" w:hAnsiTheme="majorHAnsi" w:cstheme="majorHAnsi"/>
                <w:szCs w:val="22"/>
              </w:rPr>
              <w:t>-43</w:t>
            </w:r>
          </w:p>
        </w:tc>
      </w:tr>
    </w:tbl>
    <w:p w14:paraId="69D810F7" w14:textId="77777777" w:rsidR="00EA7328" w:rsidRPr="00233604" w:rsidRDefault="00EA7328" w:rsidP="00EA7328">
      <w:pPr>
        <w:pStyle w:val="NoSpacing"/>
        <w:rPr>
          <w:vertAlign w:val="superscript"/>
          <w:lang w:val="en-GB"/>
        </w:rPr>
      </w:pPr>
    </w:p>
    <w:p w14:paraId="210FBF1B" w14:textId="77777777" w:rsidR="00EA7328" w:rsidRDefault="00EA7328" w:rsidP="00EA7328">
      <w:pPr>
        <w:pStyle w:val="ListParagraph"/>
        <w:spacing w:after="0"/>
      </w:pPr>
    </w:p>
    <w:p w14:paraId="74232D72" w14:textId="77777777" w:rsidR="00EA7328" w:rsidRPr="008A69DC" w:rsidRDefault="00EA7328" w:rsidP="008D2493">
      <w:pPr>
        <w:pStyle w:val="ListParagraph"/>
        <w:numPr>
          <w:ilvl w:val="0"/>
          <w:numId w:val="19"/>
        </w:numPr>
        <w:spacing w:before="0" w:after="0" w:line="276" w:lineRule="auto"/>
        <w:ind w:hanging="720"/>
        <w:jc w:val="left"/>
        <w:rPr>
          <w:rFonts w:asciiTheme="majorHAnsi" w:hAnsiTheme="majorHAnsi" w:cstheme="majorHAnsi"/>
          <w:color w:val="404040"/>
          <w:sz w:val="22"/>
        </w:rPr>
      </w:pPr>
      <w:r w:rsidRPr="008A69DC">
        <w:rPr>
          <w:rFonts w:asciiTheme="majorHAnsi" w:hAnsiTheme="majorHAnsi" w:cstheme="majorHAnsi"/>
          <w:color w:val="404040"/>
          <w:sz w:val="22"/>
        </w:rPr>
        <w:t xml:space="preserve">Frame Structure A (also commonly known as the “Preferred Frame Structure”) means that </w:t>
      </w:r>
      <w:r w:rsidRPr="008A69DC">
        <w:rPr>
          <w:rFonts w:asciiTheme="majorHAnsi" w:hAnsiTheme="majorHAnsi" w:cstheme="majorHAnsi"/>
          <w:color w:val="404040"/>
          <w:sz w:val="22"/>
        </w:rPr>
        <w:br/>
      </w:r>
    </w:p>
    <w:p w14:paraId="049368ED" w14:textId="77777777" w:rsidR="00EA7328" w:rsidRDefault="00EA7328" w:rsidP="00EA7328">
      <w:pPr>
        <w:pStyle w:val="Annexabullets"/>
      </w:pPr>
      <w:r w:rsidRPr="008E6E1F">
        <w:rPr>
          <w:rFonts w:asciiTheme="majorHAnsi" w:hAnsiTheme="majorHAnsi" w:cstheme="majorHAnsi"/>
        </w:rPr>
        <w:t>transmissions from the Licensee’s base stations have a frame structure</w:t>
      </w:r>
      <w:r w:rsidRPr="008E6E1F">
        <w:t xml:space="preserve"> </w:t>
      </w:r>
      <w:r w:rsidRPr="00233604">
        <w:t xml:space="preserve">as shown in Figure 1. Timeslots (or subframes) 0, 2 to 5 and 7 to 9 must be allocated to Downlink (D) or Uplink (U) transmissions as indicated or may be left with no transmissions; </w:t>
      </w:r>
    </w:p>
    <w:p w14:paraId="262CFEFA" w14:textId="77777777" w:rsidR="00EA7328" w:rsidRPr="00233604" w:rsidRDefault="00EA7328" w:rsidP="00EA7328">
      <w:pPr>
        <w:pStyle w:val="Annexabullets"/>
      </w:pPr>
      <w:r w:rsidRPr="00233604">
        <w:t xml:space="preserve">the Licensee must ensure that the special subframe (S) in timeslots 1 and 6 have a structure that is compatible with TD-LTE special subframe configuration 6, also known as 9:3:2 (DwPTS: GP: UpPTS). For the avoidance of doubt, a special subframe structure is compatible where there are no uplink transmissions within the downlink pilot timeslot (DwPTS) or guard period (GP) and no downlink transmissions within the uplink pilot timeslot (UpPTS) or guard period (GP); </w:t>
      </w:r>
    </w:p>
    <w:p w14:paraId="273E7D1C" w14:textId="77777777" w:rsidR="00EA7328" w:rsidRPr="00233604" w:rsidRDefault="00EA7328" w:rsidP="00EA7328">
      <w:pPr>
        <w:pStyle w:val="Annexabullets"/>
      </w:pPr>
      <w:r w:rsidRPr="00233604">
        <w:t xml:space="preserve">timeslots must have a duration of 1 millisecond; </w:t>
      </w:r>
    </w:p>
    <w:p w14:paraId="23526F2B" w14:textId="77777777" w:rsidR="00EA7328" w:rsidRPr="00233604" w:rsidRDefault="00EA7328" w:rsidP="00EA7328">
      <w:pPr>
        <w:pStyle w:val="Annexabullets"/>
      </w:pPr>
      <w:r w:rsidRPr="00233604">
        <w:t xml:space="preserve">the Licensee shall ensure that frames start at a common reference time so that all licensees’ frames are aligned and transmissions synchronised; </w:t>
      </w:r>
    </w:p>
    <w:p w14:paraId="2C7F8FDA" w14:textId="77777777" w:rsidR="00EA7328" w:rsidRPr="006B11F0" w:rsidRDefault="00EA7328" w:rsidP="00EA7328">
      <w:pPr>
        <w:pStyle w:val="Annexabullets"/>
      </w:pPr>
      <w:r w:rsidRPr="006B11F0">
        <w:t>Note TD-LTE frame configuration 2 (3:1) is compatible with this frame structure, as are some 5G NR frame configurations. Other technologies are permitted provided that the requirements of 12(a) to 12(d) are met.</w:t>
      </w:r>
    </w:p>
    <w:p w14:paraId="34BE5FC2" w14:textId="77777777" w:rsidR="00EA7328" w:rsidRPr="00233604" w:rsidRDefault="00EA7328" w:rsidP="00EA7328">
      <w:pPr>
        <w:pStyle w:val="aparagraphs"/>
        <w:numPr>
          <w:ilvl w:val="0"/>
          <w:numId w:val="0"/>
        </w:numPr>
      </w:pPr>
      <w:r w:rsidRPr="00233604">
        <w:t xml:space="preserve"> </w:t>
      </w:r>
    </w:p>
    <w:p w14:paraId="066C6CD9" w14:textId="77777777" w:rsidR="00EA7328" w:rsidRPr="008E6E1F" w:rsidRDefault="00EA7328" w:rsidP="008D2493">
      <w:pPr>
        <w:pStyle w:val="ListParagraph"/>
        <w:numPr>
          <w:ilvl w:val="0"/>
          <w:numId w:val="19"/>
        </w:numPr>
        <w:spacing w:before="0" w:after="0" w:line="276" w:lineRule="auto"/>
        <w:ind w:hanging="720"/>
        <w:jc w:val="left"/>
        <w:rPr>
          <w:rFonts w:asciiTheme="majorHAnsi" w:hAnsiTheme="majorHAnsi" w:cstheme="majorHAnsi"/>
          <w:color w:val="404040"/>
          <w:sz w:val="22"/>
        </w:rPr>
      </w:pPr>
      <w:r w:rsidRPr="008E6E1F">
        <w:rPr>
          <w:rFonts w:asciiTheme="majorHAnsi" w:hAnsiTheme="majorHAnsi" w:cstheme="majorHAnsi"/>
          <w:color w:val="404040"/>
          <w:sz w:val="22"/>
        </w:rPr>
        <w:t xml:space="preserve">Frame Structure B (also commonly known as the “Compatible Frame Structure”) means that: </w:t>
      </w:r>
    </w:p>
    <w:p w14:paraId="08986C5E" w14:textId="77777777" w:rsidR="00EA7328" w:rsidRPr="008E6E1F" w:rsidRDefault="00EA7328" w:rsidP="00EA7328">
      <w:pPr>
        <w:pStyle w:val="ListParagraph"/>
        <w:spacing w:after="0"/>
        <w:rPr>
          <w:rFonts w:asciiTheme="majorHAnsi" w:hAnsiTheme="majorHAnsi" w:cstheme="majorHAnsi"/>
          <w:color w:val="404040"/>
          <w:sz w:val="22"/>
        </w:rPr>
      </w:pPr>
    </w:p>
    <w:p w14:paraId="5A821A14" w14:textId="77777777" w:rsidR="00EA7328" w:rsidRPr="00233604" w:rsidRDefault="00EA7328" w:rsidP="00EA7328">
      <w:pPr>
        <w:pStyle w:val="Annexabullets"/>
        <w:numPr>
          <w:ilvl w:val="5"/>
          <w:numId w:val="17"/>
        </w:numPr>
      </w:pPr>
      <w:r w:rsidRPr="008E6E1F">
        <w:rPr>
          <w:rFonts w:asciiTheme="majorHAnsi" w:hAnsiTheme="majorHAnsi" w:cstheme="majorHAnsi"/>
        </w:rPr>
        <w:t>transmissions from the Licensee’s base stations must have a frame structure as shown in Figure 2. Timeslots (or</w:t>
      </w:r>
      <w:r w:rsidRPr="008E6E1F">
        <w:t xml:space="preserve"> </w:t>
      </w:r>
      <w:r w:rsidRPr="00233604">
        <w:t xml:space="preserve">subframes) 0 and 2 must be allocated to Downlink (D), or Uplink (U) transmissions as indicated; </w:t>
      </w:r>
    </w:p>
    <w:p w14:paraId="4C2F597E" w14:textId="77777777" w:rsidR="00EA7328" w:rsidRPr="00233604" w:rsidRDefault="00EA7328" w:rsidP="00EA7328">
      <w:pPr>
        <w:pStyle w:val="Annexabullets"/>
      </w:pPr>
      <w:r w:rsidRPr="00233604">
        <w:t xml:space="preserve">the Licensee must ensure that the special subframe (S) in timeslot 1 has a structure that is compatible with TD-LTE special subframe configuration 6, also known as 9:3:2 (DwPTS: GP: UpPTS). For the avoidance of doubt, a special subframe structure is compatible where there are no uplink transmissions within the downlink pilot timeslot (DwPTS) or guard period (GP) and no downlink transmissions within the uplink pilot timeslot (UpPTS) or guard period (GP); </w:t>
      </w:r>
    </w:p>
    <w:p w14:paraId="4F8903A6" w14:textId="77777777" w:rsidR="00EA7328" w:rsidRPr="00233604" w:rsidRDefault="00EA7328" w:rsidP="00EA7328">
      <w:pPr>
        <w:pStyle w:val="Annexabullets"/>
      </w:pPr>
      <w:r w:rsidRPr="00233604">
        <w:t xml:space="preserve">timeslots must have a duration of 1 millisecond; </w:t>
      </w:r>
    </w:p>
    <w:p w14:paraId="565DDF14" w14:textId="77777777" w:rsidR="00EA7328" w:rsidRPr="00233604" w:rsidRDefault="00EA7328" w:rsidP="00EA7328">
      <w:pPr>
        <w:pStyle w:val="Annexabullets"/>
      </w:pPr>
      <w:r w:rsidRPr="00233604">
        <w:lastRenderedPageBreak/>
        <w:t xml:space="preserve">the Licensee shall ensure that frames start at a common reference time so that all licensees’ frames are aligned and transmissions synchronised; </w:t>
      </w:r>
    </w:p>
    <w:p w14:paraId="6A43F20E" w14:textId="77777777" w:rsidR="00EA7328" w:rsidRPr="00233604" w:rsidRDefault="00EA7328" w:rsidP="00EA7328">
      <w:pPr>
        <w:pStyle w:val="Annexabullets"/>
      </w:pPr>
      <w:r w:rsidRPr="00233604">
        <w:t>timeslots with no transmission indicated may have no transmission or must be determined as a Downlink, Uplink or Special subframe as necessary in order to ensure compliance with paragraph 13(c) and 13(</w:t>
      </w:r>
      <w:r>
        <w:t>f</w:t>
      </w:r>
      <w:r w:rsidRPr="00233604">
        <w:t xml:space="preserve">); </w:t>
      </w:r>
    </w:p>
    <w:p w14:paraId="4BAA0396" w14:textId="77777777" w:rsidR="00EA7328" w:rsidRPr="00233604" w:rsidRDefault="00EA7328" w:rsidP="00EA7328">
      <w:pPr>
        <w:pStyle w:val="Annexabullets"/>
      </w:pPr>
      <w:r w:rsidRPr="00233604">
        <w:t xml:space="preserve">the Licensee must cooperate with other licensees to minimise harmful sub-frame overlaps if different technologies are used. On rare occasions this may require the frame alignment or guard period to be slightly offset; </w:t>
      </w:r>
    </w:p>
    <w:p w14:paraId="54587F09" w14:textId="77777777" w:rsidR="00EA7328" w:rsidRDefault="00EA7328" w:rsidP="00EA7328">
      <w:pPr>
        <w:pStyle w:val="Annexabullets"/>
      </w:pPr>
      <w:r w:rsidRPr="00233604">
        <w:t>for the avoidance of</w:t>
      </w:r>
      <w:r w:rsidRPr="001718A0">
        <w:t xml:space="preserve"> doubt downlink-only frame structures such as Supplementary Downlink (SDL) are not permitted.</w:t>
      </w:r>
    </w:p>
    <w:p w14:paraId="620E6B89" w14:textId="77777777" w:rsidR="00EA7328" w:rsidRPr="006B11F0" w:rsidRDefault="00EA7328" w:rsidP="00EA7328">
      <w:pPr>
        <w:pStyle w:val="Annexabullets"/>
      </w:pPr>
      <w:r w:rsidRPr="006B11F0">
        <w:t>Note all current TD-LTE frame configurations are compatible with this frame structure, as are some 5G NR frame configurations. Other technologies are permitted provided that the requirements of 13(a) to 13(d) are met</w:t>
      </w:r>
      <w:r>
        <w:t>.</w:t>
      </w:r>
      <w:r w:rsidRPr="006B11F0">
        <w:t xml:space="preserve"> </w:t>
      </w:r>
    </w:p>
    <w:p w14:paraId="5E405CDB" w14:textId="77777777" w:rsidR="00EA7328" w:rsidRPr="001718A0" w:rsidRDefault="00EA7328" w:rsidP="00EA7328">
      <w:pPr>
        <w:pStyle w:val="Caption"/>
      </w:pPr>
      <w:r w:rsidRPr="001718A0">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1718A0">
        <w:t>: Frame Structure A</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35"/>
        <w:gridCol w:w="352"/>
        <w:gridCol w:w="340"/>
        <w:gridCol w:w="358"/>
        <w:gridCol w:w="352"/>
        <w:gridCol w:w="352"/>
        <w:gridCol w:w="352"/>
        <w:gridCol w:w="340"/>
        <w:gridCol w:w="358"/>
        <w:gridCol w:w="352"/>
        <w:gridCol w:w="352"/>
      </w:tblGrid>
      <w:tr w:rsidR="00EA7328" w:rsidRPr="001718A0" w14:paraId="4BDE7B17" w14:textId="77777777" w:rsidTr="00176E37">
        <w:trPr>
          <w:jc w:val="center"/>
        </w:trPr>
        <w:tc>
          <w:tcPr>
            <w:tcW w:w="1335" w:type="dxa"/>
            <w:vMerge w:val="restart"/>
            <w:shd w:val="clear" w:color="auto" w:fill="D9D9D9" w:themeFill="background1" w:themeFillShade="D9"/>
            <w:vAlign w:val="center"/>
          </w:tcPr>
          <w:p w14:paraId="66372196" w14:textId="77777777" w:rsidR="00EA7328" w:rsidRPr="001718A0" w:rsidRDefault="00EA7328" w:rsidP="00176E37">
            <w:pPr>
              <w:pStyle w:val="aparagraphs"/>
              <w:keepNext/>
              <w:keepLines/>
              <w:numPr>
                <w:ilvl w:val="0"/>
                <w:numId w:val="0"/>
              </w:numPr>
              <w:spacing w:after="0"/>
              <w:jc w:val="center"/>
            </w:pPr>
            <w:r w:rsidRPr="001718A0">
              <w:t>DL/UL ratio</w:t>
            </w:r>
          </w:p>
        </w:tc>
        <w:tc>
          <w:tcPr>
            <w:tcW w:w="3508" w:type="dxa"/>
            <w:gridSpan w:val="10"/>
          </w:tcPr>
          <w:p w14:paraId="6C106423" w14:textId="77777777" w:rsidR="00EA7328" w:rsidRPr="001718A0" w:rsidRDefault="00EA7328" w:rsidP="00176E37">
            <w:pPr>
              <w:pStyle w:val="aparagraphs"/>
              <w:keepNext/>
              <w:keepLines/>
              <w:numPr>
                <w:ilvl w:val="0"/>
                <w:numId w:val="0"/>
              </w:numPr>
              <w:spacing w:after="0"/>
              <w:jc w:val="center"/>
            </w:pPr>
            <w:r w:rsidRPr="001718A0">
              <w:t>Subframe Number</w:t>
            </w:r>
          </w:p>
        </w:tc>
      </w:tr>
      <w:tr w:rsidR="00EA7328" w:rsidRPr="001718A0" w14:paraId="4A038FD1" w14:textId="77777777" w:rsidTr="00176E37">
        <w:trPr>
          <w:jc w:val="center"/>
        </w:trPr>
        <w:tc>
          <w:tcPr>
            <w:tcW w:w="1335" w:type="dxa"/>
            <w:vMerge/>
            <w:shd w:val="clear" w:color="auto" w:fill="D9D9D9" w:themeFill="background1" w:themeFillShade="D9"/>
            <w:vAlign w:val="center"/>
          </w:tcPr>
          <w:p w14:paraId="3124FC3F" w14:textId="77777777" w:rsidR="00EA7328" w:rsidRPr="001718A0" w:rsidRDefault="00EA7328" w:rsidP="00176E37">
            <w:pPr>
              <w:pStyle w:val="aparagraphs"/>
              <w:keepNext/>
              <w:keepLines/>
              <w:numPr>
                <w:ilvl w:val="0"/>
                <w:numId w:val="0"/>
              </w:numPr>
              <w:spacing w:after="0"/>
              <w:jc w:val="center"/>
            </w:pPr>
          </w:p>
        </w:tc>
        <w:tc>
          <w:tcPr>
            <w:tcW w:w="352" w:type="dxa"/>
          </w:tcPr>
          <w:p w14:paraId="72EDBD06" w14:textId="77777777" w:rsidR="00EA7328" w:rsidRPr="001718A0" w:rsidRDefault="00EA7328" w:rsidP="00176E37">
            <w:pPr>
              <w:pStyle w:val="aparagraphs"/>
              <w:keepNext/>
              <w:keepLines/>
              <w:numPr>
                <w:ilvl w:val="0"/>
                <w:numId w:val="0"/>
              </w:numPr>
              <w:spacing w:after="0"/>
              <w:jc w:val="center"/>
            </w:pPr>
            <w:r w:rsidRPr="001718A0">
              <w:t>0</w:t>
            </w:r>
          </w:p>
        </w:tc>
        <w:tc>
          <w:tcPr>
            <w:tcW w:w="340" w:type="dxa"/>
          </w:tcPr>
          <w:p w14:paraId="25797B9A" w14:textId="77777777" w:rsidR="00EA7328" w:rsidRPr="001718A0" w:rsidRDefault="00EA7328" w:rsidP="00176E37">
            <w:pPr>
              <w:pStyle w:val="aparagraphs"/>
              <w:keepNext/>
              <w:keepLines/>
              <w:numPr>
                <w:ilvl w:val="0"/>
                <w:numId w:val="0"/>
              </w:numPr>
              <w:spacing w:after="0"/>
              <w:jc w:val="center"/>
            </w:pPr>
            <w:r w:rsidRPr="001718A0">
              <w:t>1</w:t>
            </w:r>
          </w:p>
        </w:tc>
        <w:tc>
          <w:tcPr>
            <w:tcW w:w="358" w:type="dxa"/>
          </w:tcPr>
          <w:p w14:paraId="4087967E" w14:textId="77777777" w:rsidR="00EA7328" w:rsidRPr="001718A0" w:rsidRDefault="00EA7328" w:rsidP="00176E37">
            <w:pPr>
              <w:pStyle w:val="aparagraphs"/>
              <w:keepNext/>
              <w:keepLines/>
              <w:numPr>
                <w:ilvl w:val="0"/>
                <w:numId w:val="0"/>
              </w:numPr>
              <w:spacing w:after="0"/>
              <w:jc w:val="center"/>
            </w:pPr>
            <w:r w:rsidRPr="001718A0">
              <w:t>2</w:t>
            </w:r>
          </w:p>
        </w:tc>
        <w:tc>
          <w:tcPr>
            <w:tcW w:w="352" w:type="dxa"/>
          </w:tcPr>
          <w:p w14:paraId="2CA5278E" w14:textId="77777777" w:rsidR="00EA7328" w:rsidRPr="001718A0" w:rsidRDefault="00EA7328" w:rsidP="00176E37">
            <w:pPr>
              <w:pStyle w:val="aparagraphs"/>
              <w:keepNext/>
              <w:keepLines/>
              <w:numPr>
                <w:ilvl w:val="0"/>
                <w:numId w:val="0"/>
              </w:numPr>
              <w:spacing w:after="0"/>
              <w:jc w:val="center"/>
            </w:pPr>
            <w:r w:rsidRPr="001718A0">
              <w:t>3</w:t>
            </w:r>
          </w:p>
        </w:tc>
        <w:tc>
          <w:tcPr>
            <w:tcW w:w="352" w:type="dxa"/>
          </w:tcPr>
          <w:p w14:paraId="56EB4CE0" w14:textId="77777777" w:rsidR="00EA7328" w:rsidRPr="001718A0" w:rsidRDefault="00EA7328" w:rsidP="00176E37">
            <w:pPr>
              <w:pStyle w:val="aparagraphs"/>
              <w:keepNext/>
              <w:keepLines/>
              <w:numPr>
                <w:ilvl w:val="0"/>
                <w:numId w:val="0"/>
              </w:numPr>
              <w:spacing w:after="0"/>
              <w:jc w:val="center"/>
            </w:pPr>
            <w:r w:rsidRPr="001718A0">
              <w:t>4</w:t>
            </w:r>
          </w:p>
        </w:tc>
        <w:tc>
          <w:tcPr>
            <w:tcW w:w="352" w:type="dxa"/>
          </w:tcPr>
          <w:p w14:paraId="1BF1027F" w14:textId="77777777" w:rsidR="00EA7328" w:rsidRPr="001718A0" w:rsidRDefault="00EA7328" w:rsidP="00176E37">
            <w:pPr>
              <w:pStyle w:val="aparagraphs"/>
              <w:keepNext/>
              <w:keepLines/>
              <w:numPr>
                <w:ilvl w:val="0"/>
                <w:numId w:val="0"/>
              </w:numPr>
              <w:spacing w:after="0"/>
              <w:jc w:val="center"/>
            </w:pPr>
            <w:r w:rsidRPr="001718A0">
              <w:t>5</w:t>
            </w:r>
          </w:p>
        </w:tc>
        <w:tc>
          <w:tcPr>
            <w:tcW w:w="340" w:type="dxa"/>
          </w:tcPr>
          <w:p w14:paraId="07F982CE" w14:textId="77777777" w:rsidR="00EA7328" w:rsidRPr="001718A0" w:rsidRDefault="00EA7328" w:rsidP="00176E37">
            <w:pPr>
              <w:pStyle w:val="aparagraphs"/>
              <w:keepNext/>
              <w:keepLines/>
              <w:numPr>
                <w:ilvl w:val="0"/>
                <w:numId w:val="0"/>
              </w:numPr>
              <w:spacing w:after="0"/>
              <w:jc w:val="center"/>
            </w:pPr>
            <w:r w:rsidRPr="001718A0">
              <w:t>6</w:t>
            </w:r>
          </w:p>
        </w:tc>
        <w:tc>
          <w:tcPr>
            <w:tcW w:w="358" w:type="dxa"/>
          </w:tcPr>
          <w:p w14:paraId="0A1BC2F3" w14:textId="77777777" w:rsidR="00EA7328" w:rsidRPr="001718A0" w:rsidRDefault="00EA7328" w:rsidP="00176E37">
            <w:pPr>
              <w:pStyle w:val="aparagraphs"/>
              <w:keepNext/>
              <w:keepLines/>
              <w:numPr>
                <w:ilvl w:val="0"/>
                <w:numId w:val="0"/>
              </w:numPr>
              <w:spacing w:after="0"/>
              <w:jc w:val="center"/>
            </w:pPr>
            <w:r w:rsidRPr="001718A0">
              <w:t>7</w:t>
            </w:r>
          </w:p>
        </w:tc>
        <w:tc>
          <w:tcPr>
            <w:tcW w:w="352" w:type="dxa"/>
          </w:tcPr>
          <w:p w14:paraId="66129AE6" w14:textId="77777777" w:rsidR="00EA7328" w:rsidRPr="001718A0" w:rsidRDefault="00EA7328" w:rsidP="00176E37">
            <w:pPr>
              <w:pStyle w:val="aparagraphs"/>
              <w:keepNext/>
              <w:keepLines/>
              <w:numPr>
                <w:ilvl w:val="0"/>
                <w:numId w:val="0"/>
              </w:numPr>
              <w:spacing w:after="0"/>
              <w:jc w:val="center"/>
            </w:pPr>
            <w:r w:rsidRPr="001718A0">
              <w:t>8</w:t>
            </w:r>
          </w:p>
        </w:tc>
        <w:tc>
          <w:tcPr>
            <w:tcW w:w="352" w:type="dxa"/>
          </w:tcPr>
          <w:p w14:paraId="72CD535A" w14:textId="77777777" w:rsidR="00EA7328" w:rsidRPr="001718A0" w:rsidRDefault="00EA7328" w:rsidP="00176E37">
            <w:pPr>
              <w:pStyle w:val="aparagraphs"/>
              <w:keepNext/>
              <w:keepLines/>
              <w:numPr>
                <w:ilvl w:val="0"/>
                <w:numId w:val="0"/>
              </w:numPr>
              <w:spacing w:after="0"/>
              <w:jc w:val="center"/>
            </w:pPr>
            <w:r w:rsidRPr="001718A0">
              <w:t>9</w:t>
            </w:r>
          </w:p>
        </w:tc>
      </w:tr>
      <w:tr w:rsidR="00EA7328" w:rsidRPr="001718A0" w14:paraId="159CEE2B" w14:textId="77777777" w:rsidTr="00176E37">
        <w:trPr>
          <w:jc w:val="center"/>
        </w:trPr>
        <w:tc>
          <w:tcPr>
            <w:tcW w:w="1335" w:type="dxa"/>
            <w:shd w:val="clear" w:color="auto" w:fill="D9D9D9" w:themeFill="background1" w:themeFillShade="D9"/>
            <w:vAlign w:val="center"/>
          </w:tcPr>
          <w:p w14:paraId="05B122F7" w14:textId="77777777" w:rsidR="00EA7328" w:rsidRPr="001718A0" w:rsidRDefault="00EA7328" w:rsidP="00176E37">
            <w:pPr>
              <w:pStyle w:val="aparagraphs"/>
              <w:numPr>
                <w:ilvl w:val="0"/>
                <w:numId w:val="0"/>
              </w:numPr>
              <w:spacing w:after="0"/>
              <w:jc w:val="center"/>
            </w:pPr>
            <w:r w:rsidRPr="001718A0">
              <w:t>3:1</w:t>
            </w:r>
          </w:p>
        </w:tc>
        <w:tc>
          <w:tcPr>
            <w:tcW w:w="352" w:type="dxa"/>
            <w:shd w:val="clear" w:color="auto" w:fill="532A59"/>
          </w:tcPr>
          <w:p w14:paraId="77970FA1" w14:textId="77777777" w:rsidR="00EA7328" w:rsidRPr="001718A0" w:rsidRDefault="00EA7328" w:rsidP="00176E37">
            <w:pPr>
              <w:pStyle w:val="aparagraphs"/>
              <w:numPr>
                <w:ilvl w:val="0"/>
                <w:numId w:val="0"/>
              </w:numPr>
              <w:spacing w:after="0"/>
              <w:jc w:val="center"/>
            </w:pPr>
            <w:r w:rsidRPr="001718A0">
              <w:rPr>
                <w:color w:val="FFFFFF" w:themeColor="background1"/>
              </w:rPr>
              <w:t>D</w:t>
            </w:r>
          </w:p>
        </w:tc>
        <w:tc>
          <w:tcPr>
            <w:tcW w:w="340" w:type="dxa"/>
          </w:tcPr>
          <w:p w14:paraId="793F92A3" w14:textId="77777777" w:rsidR="00EA7328" w:rsidRPr="001718A0" w:rsidRDefault="00EA7328" w:rsidP="00176E37">
            <w:pPr>
              <w:pStyle w:val="aparagraphs"/>
              <w:numPr>
                <w:ilvl w:val="0"/>
                <w:numId w:val="0"/>
              </w:numPr>
              <w:spacing w:after="0"/>
              <w:jc w:val="center"/>
            </w:pPr>
            <w:r w:rsidRPr="001718A0">
              <w:t>S</w:t>
            </w:r>
          </w:p>
        </w:tc>
        <w:tc>
          <w:tcPr>
            <w:tcW w:w="358" w:type="dxa"/>
            <w:shd w:val="clear" w:color="auto" w:fill="B6CA4F"/>
          </w:tcPr>
          <w:p w14:paraId="16E980DC" w14:textId="77777777" w:rsidR="00EA7328" w:rsidRPr="001718A0" w:rsidRDefault="00EA7328" w:rsidP="00176E37">
            <w:pPr>
              <w:pStyle w:val="aparagraphs"/>
              <w:numPr>
                <w:ilvl w:val="0"/>
                <w:numId w:val="0"/>
              </w:numPr>
              <w:spacing w:after="0"/>
              <w:jc w:val="center"/>
            </w:pPr>
            <w:r w:rsidRPr="001718A0">
              <w:t>U</w:t>
            </w:r>
          </w:p>
        </w:tc>
        <w:tc>
          <w:tcPr>
            <w:tcW w:w="352" w:type="dxa"/>
            <w:shd w:val="clear" w:color="auto" w:fill="532A59"/>
          </w:tcPr>
          <w:p w14:paraId="17014553" w14:textId="77777777" w:rsidR="00EA7328" w:rsidRPr="001718A0" w:rsidRDefault="00EA7328" w:rsidP="00176E37">
            <w:pPr>
              <w:pStyle w:val="aparagraphs"/>
              <w:numPr>
                <w:ilvl w:val="0"/>
                <w:numId w:val="0"/>
              </w:numPr>
              <w:spacing w:after="0"/>
              <w:jc w:val="center"/>
              <w:rPr>
                <w:color w:val="FFFFFF" w:themeColor="background1"/>
              </w:rPr>
            </w:pPr>
            <w:r w:rsidRPr="001718A0">
              <w:rPr>
                <w:color w:val="FFFFFF" w:themeColor="background1"/>
              </w:rPr>
              <w:t>D</w:t>
            </w:r>
          </w:p>
        </w:tc>
        <w:tc>
          <w:tcPr>
            <w:tcW w:w="352" w:type="dxa"/>
            <w:shd w:val="clear" w:color="auto" w:fill="532A59"/>
          </w:tcPr>
          <w:p w14:paraId="26CD4CFB" w14:textId="77777777" w:rsidR="00EA7328" w:rsidRPr="001718A0" w:rsidRDefault="00EA7328" w:rsidP="00176E37">
            <w:pPr>
              <w:pStyle w:val="aparagraphs"/>
              <w:numPr>
                <w:ilvl w:val="0"/>
                <w:numId w:val="0"/>
              </w:numPr>
              <w:spacing w:after="0"/>
              <w:jc w:val="center"/>
              <w:rPr>
                <w:color w:val="FFFFFF" w:themeColor="background1"/>
              </w:rPr>
            </w:pPr>
            <w:r w:rsidRPr="001718A0">
              <w:rPr>
                <w:color w:val="FFFFFF" w:themeColor="background1"/>
              </w:rPr>
              <w:t>D</w:t>
            </w:r>
          </w:p>
        </w:tc>
        <w:tc>
          <w:tcPr>
            <w:tcW w:w="352" w:type="dxa"/>
            <w:shd w:val="clear" w:color="auto" w:fill="532A59"/>
          </w:tcPr>
          <w:p w14:paraId="2D0F0C21" w14:textId="77777777" w:rsidR="00EA7328" w:rsidRPr="001718A0" w:rsidRDefault="00EA7328" w:rsidP="00176E37">
            <w:pPr>
              <w:pStyle w:val="aparagraphs"/>
              <w:numPr>
                <w:ilvl w:val="0"/>
                <w:numId w:val="0"/>
              </w:numPr>
              <w:spacing w:after="0"/>
              <w:jc w:val="center"/>
              <w:rPr>
                <w:color w:val="FFFFFF" w:themeColor="background1"/>
              </w:rPr>
            </w:pPr>
            <w:r w:rsidRPr="001718A0">
              <w:rPr>
                <w:color w:val="FFFFFF" w:themeColor="background1"/>
              </w:rPr>
              <w:t>D</w:t>
            </w:r>
          </w:p>
        </w:tc>
        <w:tc>
          <w:tcPr>
            <w:tcW w:w="340" w:type="dxa"/>
          </w:tcPr>
          <w:p w14:paraId="35512AC0" w14:textId="77777777" w:rsidR="00EA7328" w:rsidRPr="001718A0" w:rsidRDefault="00EA7328" w:rsidP="00176E37">
            <w:pPr>
              <w:pStyle w:val="aparagraphs"/>
              <w:numPr>
                <w:ilvl w:val="0"/>
                <w:numId w:val="0"/>
              </w:numPr>
              <w:spacing w:after="0"/>
              <w:jc w:val="center"/>
            </w:pPr>
            <w:r w:rsidRPr="001718A0">
              <w:t>S</w:t>
            </w:r>
          </w:p>
        </w:tc>
        <w:tc>
          <w:tcPr>
            <w:tcW w:w="358" w:type="dxa"/>
            <w:shd w:val="clear" w:color="auto" w:fill="B6CA4F"/>
          </w:tcPr>
          <w:p w14:paraId="05E1DCA6" w14:textId="77777777" w:rsidR="00EA7328" w:rsidRPr="001718A0" w:rsidRDefault="00EA7328" w:rsidP="00176E37">
            <w:pPr>
              <w:pStyle w:val="aparagraphs"/>
              <w:numPr>
                <w:ilvl w:val="0"/>
                <w:numId w:val="0"/>
              </w:numPr>
              <w:spacing w:after="0"/>
              <w:jc w:val="center"/>
            </w:pPr>
            <w:r w:rsidRPr="001718A0">
              <w:t>U</w:t>
            </w:r>
          </w:p>
        </w:tc>
        <w:tc>
          <w:tcPr>
            <w:tcW w:w="352" w:type="dxa"/>
            <w:shd w:val="clear" w:color="auto" w:fill="532A59"/>
          </w:tcPr>
          <w:p w14:paraId="44DA7810" w14:textId="77777777" w:rsidR="00EA7328" w:rsidRPr="001718A0" w:rsidRDefault="00EA7328" w:rsidP="00176E37">
            <w:pPr>
              <w:pStyle w:val="aparagraphs"/>
              <w:numPr>
                <w:ilvl w:val="0"/>
                <w:numId w:val="0"/>
              </w:numPr>
              <w:spacing w:after="0"/>
              <w:jc w:val="center"/>
              <w:rPr>
                <w:color w:val="FFFFFF" w:themeColor="background1"/>
              </w:rPr>
            </w:pPr>
            <w:r w:rsidRPr="001718A0">
              <w:rPr>
                <w:color w:val="FFFFFF" w:themeColor="background1"/>
              </w:rPr>
              <w:t>D</w:t>
            </w:r>
          </w:p>
        </w:tc>
        <w:tc>
          <w:tcPr>
            <w:tcW w:w="352" w:type="dxa"/>
            <w:shd w:val="clear" w:color="auto" w:fill="532A59"/>
          </w:tcPr>
          <w:p w14:paraId="0C3CDAA7" w14:textId="77777777" w:rsidR="00EA7328" w:rsidRPr="001718A0" w:rsidRDefault="00EA7328" w:rsidP="00176E37">
            <w:pPr>
              <w:pStyle w:val="aparagraphs"/>
              <w:numPr>
                <w:ilvl w:val="0"/>
                <w:numId w:val="0"/>
              </w:numPr>
              <w:spacing w:after="0"/>
              <w:jc w:val="center"/>
              <w:rPr>
                <w:color w:val="FFFFFF" w:themeColor="background1"/>
              </w:rPr>
            </w:pPr>
            <w:r w:rsidRPr="001718A0">
              <w:rPr>
                <w:color w:val="FFFFFF" w:themeColor="background1"/>
              </w:rPr>
              <w:t>D</w:t>
            </w:r>
          </w:p>
        </w:tc>
      </w:tr>
    </w:tbl>
    <w:p w14:paraId="4069B59F" w14:textId="77777777" w:rsidR="00EA7328" w:rsidRPr="001718A0" w:rsidRDefault="00EA7328" w:rsidP="00EA7328">
      <w:pPr>
        <w:pStyle w:val="aparagraphs"/>
        <w:numPr>
          <w:ilvl w:val="0"/>
          <w:numId w:val="0"/>
        </w:numPr>
        <w:ind w:left="709"/>
      </w:pPr>
    </w:p>
    <w:p w14:paraId="326971F9" w14:textId="77777777" w:rsidR="00EA7328" w:rsidRPr="001718A0" w:rsidRDefault="00EA7328" w:rsidP="00EA7328">
      <w:pPr>
        <w:pStyle w:val="Caption"/>
      </w:pPr>
      <w:r w:rsidRPr="001718A0">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sidRPr="001718A0">
        <w:t>: Frame Structure B</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35"/>
        <w:gridCol w:w="352"/>
        <w:gridCol w:w="340"/>
        <w:gridCol w:w="358"/>
        <w:gridCol w:w="352"/>
        <w:gridCol w:w="352"/>
        <w:gridCol w:w="352"/>
        <w:gridCol w:w="340"/>
        <w:gridCol w:w="358"/>
        <w:gridCol w:w="352"/>
        <w:gridCol w:w="352"/>
      </w:tblGrid>
      <w:tr w:rsidR="00EA7328" w:rsidRPr="001718A0" w14:paraId="25FCCDBC" w14:textId="77777777" w:rsidTr="00176E37">
        <w:trPr>
          <w:jc w:val="center"/>
        </w:trPr>
        <w:tc>
          <w:tcPr>
            <w:tcW w:w="1335" w:type="dxa"/>
            <w:vMerge w:val="restart"/>
            <w:shd w:val="clear" w:color="auto" w:fill="D9D9D9" w:themeFill="background1" w:themeFillShade="D9"/>
            <w:vAlign w:val="center"/>
          </w:tcPr>
          <w:p w14:paraId="124635CD" w14:textId="77777777" w:rsidR="00EA7328" w:rsidRPr="001718A0" w:rsidRDefault="00EA7328" w:rsidP="00176E37">
            <w:pPr>
              <w:pStyle w:val="aparagraphs"/>
              <w:keepNext/>
              <w:keepLines/>
              <w:numPr>
                <w:ilvl w:val="0"/>
                <w:numId w:val="0"/>
              </w:numPr>
              <w:spacing w:after="0"/>
              <w:jc w:val="center"/>
            </w:pPr>
            <w:r w:rsidRPr="001718A0">
              <w:t>DL/UL ratio</w:t>
            </w:r>
          </w:p>
        </w:tc>
        <w:tc>
          <w:tcPr>
            <w:tcW w:w="3508" w:type="dxa"/>
            <w:gridSpan w:val="10"/>
          </w:tcPr>
          <w:p w14:paraId="2A8AB2DF" w14:textId="77777777" w:rsidR="00EA7328" w:rsidRPr="001718A0" w:rsidRDefault="00EA7328" w:rsidP="00176E37">
            <w:pPr>
              <w:pStyle w:val="aparagraphs"/>
              <w:keepNext/>
              <w:keepLines/>
              <w:numPr>
                <w:ilvl w:val="0"/>
                <w:numId w:val="0"/>
              </w:numPr>
              <w:spacing w:after="0"/>
              <w:jc w:val="center"/>
            </w:pPr>
            <w:r w:rsidRPr="001718A0">
              <w:t>Subframe Number</w:t>
            </w:r>
          </w:p>
        </w:tc>
      </w:tr>
      <w:tr w:rsidR="00EA7328" w:rsidRPr="001718A0" w14:paraId="51A68EC7" w14:textId="77777777" w:rsidTr="00176E37">
        <w:trPr>
          <w:jc w:val="center"/>
        </w:trPr>
        <w:tc>
          <w:tcPr>
            <w:tcW w:w="1335" w:type="dxa"/>
            <w:vMerge/>
            <w:shd w:val="clear" w:color="auto" w:fill="D9D9D9" w:themeFill="background1" w:themeFillShade="D9"/>
            <w:vAlign w:val="center"/>
          </w:tcPr>
          <w:p w14:paraId="6E6D6C07" w14:textId="77777777" w:rsidR="00EA7328" w:rsidRPr="001718A0" w:rsidRDefault="00EA7328" w:rsidP="00176E37">
            <w:pPr>
              <w:pStyle w:val="aparagraphs"/>
              <w:keepNext/>
              <w:keepLines/>
              <w:numPr>
                <w:ilvl w:val="0"/>
                <w:numId w:val="0"/>
              </w:numPr>
              <w:spacing w:after="0"/>
              <w:jc w:val="center"/>
            </w:pPr>
          </w:p>
        </w:tc>
        <w:tc>
          <w:tcPr>
            <w:tcW w:w="352" w:type="dxa"/>
          </w:tcPr>
          <w:p w14:paraId="76D6345D" w14:textId="77777777" w:rsidR="00EA7328" w:rsidRPr="001718A0" w:rsidRDefault="00EA7328" w:rsidP="00176E37">
            <w:pPr>
              <w:pStyle w:val="aparagraphs"/>
              <w:keepNext/>
              <w:keepLines/>
              <w:numPr>
                <w:ilvl w:val="0"/>
                <w:numId w:val="0"/>
              </w:numPr>
              <w:spacing w:after="0"/>
              <w:jc w:val="center"/>
            </w:pPr>
            <w:r w:rsidRPr="001718A0">
              <w:t>0</w:t>
            </w:r>
          </w:p>
        </w:tc>
        <w:tc>
          <w:tcPr>
            <w:tcW w:w="340" w:type="dxa"/>
          </w:tcPr>
          <w:p w14:paraId="12A3BC50" w14:textId="77777777" w:rsidR="00EA7328" w:rsidRPr="001718A0" w:rsidRDefault="00EA7328" w:rsidP="00176E37">
            <w:pPr>
              <w:pStyle w:val="aparagraphs"/>
              <w:keepNext/>
              <w:keepLines/>
              <w:numPr>
                <w:ilvl w:val="0"/>
                <w:numId w:val="0"/>
              </w:numPr>
              <w:spacing w:after="0"/>
              <w:jc w:val="center"/>
            </w:pPr>
            <w:r w:rsidRPr="001718A0">
              <w:t>1</w:t>
            </w:r>
          </w:p>
        </w:tc>
        <w:tc>
          <w:tcPr>
            <w:tcW w:w="358" w:type="dxa"/>
          </w:tcPr>
          <w:p w14:paraId="2E7C0B86" w14:textId="77777777" w:rsidR="00EA7328" w:rsidRPr="001718A0" w:rsidRDefault="00EA7328" w:rsidP="00176E37">
            <w:pPr>
              <w:pStyle w:val="aparagraphs"/>
              <w:keepNext/>
              <w:keepLines/>
              <w:numPr>
                <w:ilvl w:val="0"/>
                <w:numId w:val="0"/>
              </w:numPr>
              <w:spacing w:after="0"/>
              <w:jc w:val="center"/>
            </w:pPr>
            <w:r w:rsidRPr="001718A0">
              <w:t>2</w:t>
            </w:r>
          </w:p>
        </w:tc>
        <w:tc>
          <w:tcPr>
            <w:tcW w:w="352" w:type="dxa"/>
          </w:tcPr>
          <w:p w14:paraId="67D2F1F0" w14:textId="77777777" w:rsidR="00EA7328" w:rsidRPr="001718A0" w:rsidRDefault="00EA7328" w:rsidP="00176E37">
            <w:pPr>
              <w:pStyle w:val="aparagraphs"/>
              <w:keepNext/>
              <w:keepLines/>
              <w:numPr>
                <w:ilvl w:val="0"/>
                <w:numId w:val="0"/>
              </w:numPr>
              <w:spacing w:after="0"/>
              <w:jc w:val="center"/>
            </w:pPr>
            <w:r w:rsidRPr="001718A0">
              <w:t>3</w:t>
            </w:r>
          </w:p>
        </w:tc>
        <w:tc>
          <w:tcPr>
            <w:tcW w:w="352" w:type="dxa"/>
          </w:tcPr>
          <w:p w14:paraId="2298715C" w14:textId="77777777" w:rsidR="00EA7328" w:rsidRPr="001718A0" w:rsidRDefault="00EA7328" w:rsidP="00176E37">
            <w:pPr>
              <w:pStyle w:val="aparagraphs"/>
              <w:keepNext/>
              <w:keepLines/>
              <w:numPr>
                <w:ilvl w:val="0"/>
                <w:numId w:val="0"/>
              </w:numPr>
              <w:spacing w:after="0"/>
              <w:jc w:val="center"/>
            </w:pPr>
            <w:r w:rsidRPr="001718A0">
              <w:t>4</w:t>
            </w:r>
          </w:p>
        </w:tc>
        <w:tc>
          <w:tcPr>
            <w:tcW w:w="352" w:type="dxa"/>
          </w:tcPr>
          <w:p w14:paraId="4D41A2D9" w14:textId="77777777" w:rsidR="00EA7328" w:rsidRPr="001718A0" w:rsidRDefault="00EA7328" w:rsidP="00176E37">
            <w:pPr>
              <w:pStyle w:val="aparagraphs"/>
              <w:keepNext/>
              <w:keepLines/>
              <w:numPr>
                <w:ilvl w:val="0"/>
                <w:numId w:val="0"/>
              </w:numPr>
              <w:spacing w:after="0"/>
              <w:jc w:val="center"/>
            </w:pPr>
            <w:r w:rsidRPr="001718A0">
              <w:t>5</w:t>
            </w:r>
          </w:p>
        </w:tc>
        <w:tc>
          <w:tcPr>
            <w:tcW w:w="340" w:type="dxa"/>
          </w:tcPr>
          <w:p w14:paraId="6A114329" w14:textId="77777777" w:rsidR="00EA7328" w:rsidRPr="001718A0" w:rsidRDefault="00EA7328" w:rsidP="00176E37">
            <w:pPr>
              <w:pStyle w:val="aparagraphs"/>
              <w:keepNext/>
              <w:keepLines/>
              <w:numPr>
                <w:ilvl w:val="0"/>
                <w:numId w:val="0"/>
              </w:numPr>
              <w:spacing w:after="0"/>
              <w:jc w:val="center"/>
            </w:pPr>
            <w:r w:rsidRPr="001718A0">
              <w:t>6</w:t>
            </w:r>
          </w:p>
        </w:tc>
        <w:tc>
          <w:tcPr>
            <w:tcW w:w="358" w:type="dxa"/>
          </w:tcPr>
          <w:p w14:paraId="334A5E0D" w14:textId="77777777" w:rsidR="00EA7328" w:rsidRPr="001718A0" w:rsidRDefault="00EA7328" w:rsidP="00176E37">
            <w:pPr>
              <w:pStyle w:val="aparagraphs"/>
              <w:keepNext/>
              <w:keepLines/>
              <w:numPr>
                <w:ilvl w:val="0"/>
                <w:numId w:val="0"/>
              </w:numPr>
              <w:spacing w:after="0"/>
              <w:jc w:val="center"/>
            </w:pPr>
            <w:r w:rsidRPr="001718A0">
              <w:t>7</w:t>
            </w:r>
          </w:p>
        </w:tc>
        <w:tc>
          <w:tcPr>
            <w:tcW w:w="352" w:type="dxa"/>
          </w:tcPr>
          <w:p w14:paraId="4706F09D" w14:textId="77777777" w:rsidR="00EA7328" w:rsidRPr="001718A0" w:rsidRDefault="00EA7328" w:rsidP="00176E37">
            <w:pPr>
              <w:pStyle w:val="aparagraphs"/>
              <w:keepNext/>
              <w:keepLines/>
              <w:numPr>
                <w:ilvl w:val="0"/>
                <w:numId w:val="0"/>
              </w:numPr>
              <w:spacing w:after="0"/>
              <w:jc w:val="center"/>
            </w:pPr>
            <w:r w:rsidRPr="001718A0">
              <w:t>8</w:t>
            </w:r>
          </w:p>
        </w:tc>
        <w:tc>
          <w:tcPr>
            <w:tcW w:w="352" w:type="dxa"/>
          </w:tcPr>
          <w:p w14:paraId="70499358" w14:textId="77777777" w:rsidR="00EA7328" w:rsidRPr="001718A0" w:rsidRDefault="00EA7328" w:rsidP="00176E37">
            <w:pPr>
              <w:pStyle w:val="aparagraphs"/>
              <w:keepNext/>
              <w:keepLines/>
              <w:numPr>
                <w:ilvl w:val="0"/>
                <w:numId w:val="0"/>
              </w:numPr>
              <w:spacing w:after="0"/>
              <w:jc w:val="center"/>
            </w:pPr>
            <w:r w:rsidRPr="001718A0">
              <w:t>9</w:t>
            </w:r>
          </w:p>
        </w:tc>
      </w:tr>
      <w:tr w:rsidR="00EA7328" w:rsidRPr="001718A0" w14:paraId="600242E8" w14:textId="77777777" w:rsidTr="00176E37">
        <w:trPr>
          <w:jc w:val="center"/>
        </w:trPr>
        <w:tc>
          <w:tcPr>
            <w:tcW w:w="1335" w:type="dxa"/>
            <w:shd w:val="clear" w:color="auto" w:fill="D9D9D9" w:themeFill="background1" w:themeFillShade="D9"/>
            <w:vAlign w:val="center"/>
          </w:tcPr>
          <w:p w14:paraId="7DC05336" w14:textId="77777777" w:rsidR="00EA7328" w:rsidRPr="001718A0" w:rsidRDefault="00EA7328" w:rsidP="00176E37">
            <w:pPr>
              <w:pStyle w:val="aparagraphs"/>
              <w:numPr>
                <w:ilvl w:val="0"/>
                <w:numId w:val="0"/>
              </w:numPr>
              <w:spacing w:after="0"/>
            </w:pPr>
          </w:p>
        </w:tc>
        <w:tc>
          <w:tcPr>
            <w:tcW w:w="352" w:type="dxa"/>
            <w:shd w:val="clear" w:color="auto" w:fill="532A59"/>
          </w:tcPr>
          <w:p w14:paraId="56454689" w14:textId="77777777" w:rsidR="00EA7328" w:rsidRPr="001718A0" w:rsidRDefault="00EA7328" w:rsidP="00176E37">
            <w:pPr>
              <w:pStyle w:val="aparagraphs"/>
              <w:numPr>
                <w:ilvl w:val="0"/>
                <w:numId w:val="0"/>
              </w:numPr>
              <w:spacing w:after="0"/>
              <w:jc w:val="center"/>
            </w:pPr>
            <w:r w:rsidRPr="001718A0">
              <w:rPr>
                <w:color w:val="FFFFFF" w:themeColor="background1"/>
              </w:rPr>
              <w:t>D</w:t>
            </w:r>
          </w:p>
        </w:tc>
        <w:tc>
          <w:tcPr>
            <w:tcW w:w="340" w:type="dxa"/>
          </w:tcPr>
          <w:p w14:paraId="3AAFE2CA" w14:textId="77777777" w:rsidR="00EA7328" w:rsidRPr="001718A0" w:rsidRDefault="00EA7328" w:rsidP="00176E37">
            <w:pPr>
              <w:pStyle w:val="aparagraphs"/>
              <w:numPr>
                <w:ilvl w:val="0"/>
                <w:numId w:val="0"/>
              </w:numPr>
              <w:spacing w:after="0"/>
              <w:jc w:val="center"/>
            </w:pPr>
            <w:r w:rsidRPr="001718A0">
              <w:t>S</w:t>
            </w:r>
          </w:p>
        </w:tc>
        <w:tc>
          <w:tcPr>
            <w:tcW w:w="358" w:type="dxa"/>
            <w:shd w:val="clear" w:color="auto" w:fill="B6CA4F"/>
          </w:tcPr>
          <w:p w14:paraId="089C443D" w14:textId="77777777" w:rsidR="00EA7328" w:rsidRPr="001718A0" w:rsidRDefault="00EA7328" w:rsidP="00176E37">
            <w:pPr>
              <w:pStyle w:val="aparagraphs"/>
              <w:numPr>
                <w:ilvl w:val="0"/>
                <w:numId w:val="0"/>
              </w:numPr>
              <w:spacing w:after="0"/>
              <w:jc w:val="center"/>
            </w:pPr>
            <w:r w:rsidRPr="001718A0">
              <w:t>U</w:t>
            </w:r>
          </w:p>
        </w:tc>
        <w:tc>
          <w:tcPr>
            <w:tcW w:w="352" w:type="dxa"/>
            <w:shd w:val="clear" w:color="auto" w:fill="D9D9D9" w:themeFill="background1" w:themeFillShade="D9"/>
          </w:tcPr>
          <w:p w14:paraId="6DF29E5E" w14:textId="77777777" w:rsidR="00EA7328" w:rsidRPr="001718A0" w:rsidRDefault="00EA7328" w:rsidP="00176E37">
            <w:pPr>
              <w:pStyle w:val="aparagraphs"/>
              <w:numPr>
                <w:ilvl w:val="0"/>
                <w:numId w:val="0"/>
              </w:numPr>
              <w:spacing w:after="0"/>
              <w:jc w:val="center"/>
              <w:rPr>
                <w:color w:val="FFFFFF" w:themeColor="background1"/>
              </w:rPr>
            </w:pPr>
          </w:p>
        </w:tc>
        <w:tc>
          <w:tcPr>
            <w:tcW w:w="352" w:type="dxa"/>
            <w:shd w:val="clear" w:color="auto" w:fill="D9D9D9" w:themeFill="background1" w:themeFillShade="D9"/>
          </w:tcPr>
          <w:p w14:paraId="0FB25D8F" w14:textId="77777777" w:rsidR="00EA7328" w:rsidRPr="001718A0" w:rsidRDefault="00EA7328" w:rsidP="00176E37">
            <w:pPr>
              <w:pStyle w:val="aparagraphs"/>
              <w:numPr>
                <w:ilvl w:val="0"/>
                <w:numId w:val="0"/>
              </w:numPr>
              <w:spacing w:after="0"/>
              <w:jc w:val="center"/>
              <w:rPr>
                <w:color w:val="FFFFFF" w:themeColor="background1"/>
              </w:rPr>
            </w:pPr>
          </w:p>
        </w:tc>
        <w:tc>
          <w:tcPr>
            <w:tcW w:w="352" w:type="dxa"/>
            <w:shd w:val="clear" w:color="auto" w:fill="D9D9D9" w:themeFill="background1" w:themeFillShade="D9"/>
          </w:tcPr>
          <w:p w14:paraId="48BBEF85" w14:textId="77777777" w:rsidR="00EA7328" w:rsidRPr="001718A0" w:rsidRDefault="00EA7328" w:rsidP="00176E37">
            <w:pPr>
              <w:pStyle w:val="aparagraphs"/>
              <w:numPr>
                <w:ilvl w:val="0"/>
                <w:numId w:val="0"/>
              </w:numPr>
              <w:spacing w:after="0"/>
              <w:jc w:val="center"/>
              <w:rPr>
                <w:color w:val="FFFFFF" w:themeColor="background1"/>
              </w:rPr>
            </w:pPr>
          </w:p>
        </w:tc>
        <w:tc>
          <w:tcPr>
            <w:tcW w:w="340" w:type="dxa"/>
            <w:shd w:val="clear" w:color="auto" w:fill="D9D9D9" w:themeFill="background1" w:themeFillShade="D9"/>
          </w:tcPr>
          <w:p w14:paraId="6CE0A079" w14:textId="77777777" w:rsidR="00EA7328" w:rsidRPr="001718A0" w:rsidRDefault="00EA7328" w:rsidP="00176E37">
            <w:pPr>
              <w:pStyle w:val="aparagraphs"/>
              <w:numPr>
                <w:ilvl w:val="0"/>
                <w:numId w:val="0"/>
              </w:numPr>
              <w:spacing w:after="0"/>
              <w:jc w:val="center"/>
            </w:pPr>
          </w:p>
        </w:tc>
        <w:tc>
          <w:tcPr>
            <w:tcW w:w="358" w:type="dxa"/>
            <w:shd w:val="clear" w:color="auto" w:fill="D9D9D9" w:themeFill="background1" w:themeFillShade="D9"/>
          </w:tcPr>
          <w:p w14:paraId="00793606" w14:textId="77777777" w:rsidR="00EA7328" w:rsidRPr="001718A0" w:rsidRDefault="00EA7328" w:rsidP="00176E37">
            <w:pPr>
              <w:pStyle w:val="aparagraphs"/>
              <w:numPr>
                <w:ilvl w:val="0"/>
                <w:numId w:val="0"/>
              </w:numPr>
              <w:spacing w:after="0"/>
              <w:jc w:val="center"/>
            </w:pPr>
          </w:p>
        </w:tc>
        <w:tc>
          <w:tcPr>
            <w:tcW w:w="352" w:type="dxa"/>
            <w:shd w:val="clear" w:color="auto" w:fill="D9D9D9" w:themeFill="background1" w:themeFillShade="D9"/>
          </w:tcPr>
          <w:p w14:paraId="451A4598" w14:textId="77777777" w:rsidR="00EA7328" w:rsidRPr="001718A0" w:rsidRDefault="00EA7328" w:rsidP="00176E37">
            <w:pPr>
              <w:pStyle w:val="aparagraphs"/>
              <w:numPr>
                <w:ilvl w:val="0"/>
                <w:numId w:val="0"/>
              </w:numPr>
              <w:spacing w:after="0"/>
              <w:jc w:val="center"/>
              <w:rPr>
                <w:color w:val="FFFFFF" w:themeColor="background1"/>
              </w:rPr>
            </w:pPr>
          </w:p>
        </w:tc>
        <w:tc>
          <w:tcPr>
            <w:tcW w:w="352" w:type="dxa"/>
            <w:shd w:val="clear" w:color="auto" w:fill="D9D9D9" w:themeFill="background1" w:themeFillShade="D9"/>
          </w:tcPr>
          <w:p w14:paraId="1BECA1A7" w14:textId="77777777" w:rsidR="00EA7328" w:rsidRPr="001718A0" w:rsidRDefault="00EA7328" w:rsidP="00176E37">
            <w:pPr>
              <w:pStyle w:val="aparagraphs"/>
              <w:numPr>
                <w:ilvl w:val="0"/>
                <w:numId w:val="0"/>
              </w:numPr>
              <w:spacing w:after="0"/>
              <w:jc w:val="center"/>
              <w:rPr>
                <w:color w:val="FFFFFF" w:themeColor="background1"/>
              </w:rPr>
            </w:pPr>
          </w:p>
        </w:tc>
      </w:tr>
    </w:tbl>
    <w:p w14:paraId="4FCC6B26" w14:textId="77777777" w:rsidR="00F67F68" w:rsidRDefault="00F67F68" w:rsidP="00F67F68">
      <w:pPr>
        <w:pStyle w:val="ListParagraph"/>
        <w:spacing w:before="0" w:after="0" w:line="276" w:lineRule="auto"/>
        <w:jc w:val="left"/>
      </w:pPr>
    </w:p>
    <w:p w14:paraId="51CDA3CF" w14:textId="64A2ACCF" w:rsidR="00EA7328" w:rsidRPr="00EE7B9C" w:rsidRDefault="00EA7328" w:rsidP="008D2493">
      <w:pPr>
        <w:pStyle w:val="ListParagraph"/>
        <w:numPr>
          <w:ilvl w:val="0"/>
          <w:numId w:val="19"/>
        </w:numPr>
        <w:spacing w:before="0" w:after="0" w:line="276" w:lineRule="auto"/>
        <w:ind w:hanging="720"/>
        <w:jc w:val="left"/>
        <w:rPr>
          <w:rFonts w:asciiTheme="majorHAnsi" w:hAnsiTheme="majorHAnsi" w:cstheme="majorHAnsi"/>
          <w:color w:val="404040"/>
          <w:sz w:val="22"/>
        </w:rPr>
      </w:pPr>
      <w:r w:rsidRPr="00EE7B9C">
        <w:rPr>
          <w:rFonts w:asciiTheme="majorHAnsi" w:hAnsiTheme="majorHAnsi" w:cstheme="majorHAnsi"/>
          <w:color w:val="404040"/>
          <w:sz w:val="22"/>
        </w:rPr>
        <w:t xml:space="preserve">Irrespective of whether the Restrictive Transmission Mask or the Permissive Transmission Mask is being used, the EIRP or TRP emanating from the Radio Equipment transmissions at any frequency outside the Permitted Frequency Blocks shall not exceed the following additional band edge requirements: </w:t>
      </w:r>
    </w:p>
    <w:p w14:paraId="59121AC2" w14:textId="77777777" w:rsidR="00EA7328" w:rsidRPr="00233604" w:rsidRDefault="00EA7328" w:rsidP="00EA7328">
      <w:pPr>
        <w:pStyle w:val="ListParagraph"/>
        <w:spacing w:after="0"/>
      </w:pPr>
    </w:p>
    <w:tbl>
      <w:tblPr>
        <w:tblStyle w:val="TableGrid"/>
        <w:tblW w:w="8311" w:type="dxa"/>
        <w:tblInd w:w="7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2126"/>
        <w:gridCol w:w="2216"/>
      </w:tblGrid>
      <w:tr w:rsidR="00EA7328" w:rsidRPr="00233604" w14:paraId="76CB531B" w14:textId="77777777" w:rsidTr="00176E37">
        <w:tc>
          <w:tcPr>
            <w:tcW w:w="3969" w:type="dxa"/>
            <w:tcBorders>
              <w:top w:val="nil"/>
              <w:left w:val="nil"/>
              <w:bottom w:val="nil"/>
              <w:right w:val="nil"/>
            </w:tcBorders>
            <w:tcMar>
              <w:left w:w="0" w:type="dxa"/>
            </w:tcMar>
          </w:tcPr>
          <w:p w14:paraId="26996729"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p>
        </w:tc>
        <w:tc>
          <w:tcPr>
            <w:tcW w:w="2126" w:type="dxa"/>
            <w:tcBorders>
              <w:top w:val="nil"/>
              <w:left w:val="nil"/>
              <w:bottom w:val="nil"/>
              <w:right w:val="nil"/>
            </w:tcBorders>
          </w:tcPr>
          <w:p w14:paraId="66174BD6"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Non-AAS</w:t>
            </w:r>
          </w:p>
        </w:tc>
        <w:tc>
          <w:tcPr>
            <w:tcW w:w="2216" w:type="dxa"/>
            <w:tcBorders>
              <w:top w:val="nil"/>
              <w:left w:val="nil"/>
              <w:bottom w:val="nil"/>
              <w:right w:val="nil"/>
            </w:tcBorders>
            <w:tcMar>
              <w:right w:w="0" w:type="dxa"/>
            </w:tcMar>
          </w:tcPr>
          <w:p w14:paraId="26C53692"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AAS</w:t>
            </w:r>
          </w:p>
        </w:tc>
      </w:tr>
      <w:tr w:rsidR="00EA7328" w:rsidRPr="00233604" w14:paraId="01A2E7BE" w14:textId="77777777" w:rsidTr="00176E37">
        <w:tc>
          <w:tcPr>
            <w:tcW w:w="3969" w:type="dxa"/>
            <w:tcBorders>
              <w:top w:val="nil"/>
              <w:left w:val="nil"/>
              <w:right w:val="nil"/>
            </w:tcBorders>
            <w:tcMar>
              <w:left w:w="0" w:type="dxa"/>
            </w:tcMar>
          </w:tcPr>
          <w:p w14:paraId="71402B5E"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p>
        </w:tc>
        <w:tc>
          <w:tcPr>
            <w:tcW w:w="2126" w:type="dxa"/>
            <w:tcBorders>
              <w:top w:val="nil"/>
              <w:left w:val="nil"/>
              <w:bottom w:val="single" w:sz="4" w:space="0" w:color="7F7F7F" w:themeColor="text1" w:themeTint="80"/>
              <w:right w:val="nil"/>
            </w:tcBorders>
          </w:tcPr>
          <w:p w14:paraId="45CC9907"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i/>
                <w:szCs w:val="22"/>
              </w:rPr>
            </w:pPr>
            <w:r w:rsidRPr="0020606D">
              <w:rPr>
                <w:rFonts w:asciiTheme="majorHAnsi" w:hAnsiTheme="majorHAnsi" w:cstheme="majorHAnsi"/>
                <w:i/>
                <w:szCs w:val="22"/>
              </w:rPr>
              <w:t>dBm / MHz</w:t>
            </w:r>
            <w:r w:rsidRPr="0020606D">
              <w:rPr>
                <w:rFonts w:asciiTheme="majorHAnsi" w:hAnsiTheme="majorHAnsi" w:cstheme="majorHAnsi"/>
                <w:sz w:val="19"/>
                <w:szCs w:val="19"/>
                <w:vertAlign w:val="superscript"/>
              </w:rPr>
              <w:t>[a]</w:t>
            </w:r>
            <w:r w:rsidRPr="0020606D">
              <w:rPr>
                <w:rFonts w:asciiTheme="majorHAnsi" w:hAnsiTheme="majorHAnsi" w:cstheme="majorHAnsi"/>
                <w:i/>
                <w:szCs w:val="22"/>
              </w:rPr>
              <w:t xml:space="preserve"> EIRP per antenna</w:t>
            </w:r>
          </w:p>
        </w:tc>
        <w:tc>
          <w:tcPr>
            <w:tcW w:w="2216" w:type="dxa"/>
            <w:tcBorders>
              <w:top w:val="nil"/>
              <w:left w:val="nil"/>
              <w:bottom w:val="single" w:sz="4" w:space="0" w:color="7F7F7F" w:themeColor="text1" w:themeTint="80"/>
              <w:right w:val="nil"/>
            </w:tcBorders>
            <w:tcMar>
              <w:right w:w="0" w:type="dxa"/>
            </w:tcMar>
          </w:tcPr>
          <w:p w14:paraId="55178054"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i/>
                <w:szCs w:val="22"/>
              </w:rPr>
            </w:pPr>
            <w:r w:rsidRPr="0020606D">
              <w:rPr>
                <w:rFonts w:asciiTheme="majorHAnsi" w:hAnsiTheme="majorHAnsi" w:cstheme="majorHAnsi"/>
                <w:i/>
                <w:szCs w:val="22"/>
              </w:rPr>
              <w:t>dBm / MHz</w:t>
            </w:r>
            <w:r w:rsidRPr="0020606D">
              <w:rPr>
                <w:rFonts w:asciiTheme="majorHAnsi" w:hAnsiTheme="majorHAnsi" w:cstheme="majorHAnsi"/>
                <w:sz w:val="19"/>
                <w:szCs w:val="19"/>
                <w:vertAlign w:val="superscript"/>
              </w:rPr>
              <w:t>[a]</w:t>
            </w:r>
            <w:r w:rsidRPr="0020606D">
              <w:rPr>
                <w:rFonts w:asciiTheme="majorHAnsi" w:hAnsiTheme="majorHAnsi" w:cstheme="majorHAnsi"/>
                <w:i/>
                <w:szCs w:val="22"/>
              </w:rPr>
              <w:t xml:space="preserve"> TRP </w:t>
            </w:r>
            <w:r w:rsidRPr="0020606D">
              <w:rPr>
                <w:rFonts w:asciiTheme="majorHAnsi" w:hAnsiTheme="majorHAnsi" w:cstheme="majorHAnsi"/>
                <w:i/>
                <w:szCs w:val="22"/>
              </w:rPr>
              <w:br/>
              <w:t>per cell</w:t>
            </w:r>
          </w:p>
        </w:tc>
      </w:tr>
      <w:tr w:rsidR="00EA7328" w:rsidRPr="00233604" w14:paraId="4D6632EB" w14:textId="77777777" w:rsidTr="00176E37">
        <w:tc>
          <w:tcPr>
            <w:tcW w:w="3969" w:type="dxa"/>
            <w:tcBorders>
              <w:left w:val="nil"/>
            </w:tcBorders>
            <w:tcMar>
              <w:left w:w="0" w:type="dxa"/>
            </w:tcMar>
          </w:tcPr>
          <w:p w14:paraId="61A1139A"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Below 3390 MHz</w:t>
            </w:r>
          </w:p>
        </w:tc>
        <w:tc>
          <w:tcPr>
            <w:tcW w:w="2126" w:type="dxa"/>
            <w:tcBorders>
              <w:top w:val="single" w:sz="4" w:space="0" w:color="7F7F7F" w:themeColor="text1" w:themeTint="80"/>
              <w:bottom w:val="single" w:sz="4" w:space="0" w:color="7F7F7F" w:themeColor="text1" w:themeTint="80"/>
            </w:tcBorders>
          </w:tcPr>
          <w:p w14:paraId="7B79E1E5"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-50</w:t>
            </w:r>
          </w:p>
        </w:tc>
        <w:tc>
          <w:tcPr>
            <w:tcW w:w="2216" w:type="dxa"/>
            <w:tcBorders>
              <w:top w:val="single" w:sz="4" w:space="0" w:color="7F7F7F" w:themeColor="text1" w:themeTint="80"/>
              <w:bottom w:val="single" w:sz="4" w:space="0" w:color="7F7F7F" w:themeColor="text1" w:themeTint="80"/>
              <w:right w:val="nil"/>
            </w:tcBorders>
            <w:tcMar>
              <w:right w:w="0" w:type="dxa"/>
            </w:tcMar>
          </w:tcPr>
          <w:p w14:paraId="0DDC0987"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-52</w:t>
            </w:r>
          </w:p>
        </w:tc>
      </w:tr>
    </w:tbl>
    <w:p w14:paraId="64BC4805" w14:textId="77777777" w:rsidR="00EA7328" w:rsidRPr="00233604" w:rsidRDefault="00EA7328" w:rsidP="00EA7328">
      <w:pPr>
        <w:pStyle w:val="ListParagraph"/>
        <w:spacing w:after="0"/>
      </w:pPr>
    </w:p>
    <w:p w14:paraId="2623E22D" w14:textId="77777777" w:rsidR="00EA7328" w:rsidRPr="00233604" w:rsidRDefault="00EA7328" w:rsidP="00EA7328">
      <w:pPr>
        <w:pStyle w:val="Numberedparagraphs"/>
        <w:numPr>
          <w:ilvl w:val="0"/>
          <w:numId w:val="0"/>
        </w:numPr>
        <w:ind w:left="1191" w:hanging="471"/>
        <w:rPr>
          <w:sz w:val="19"/>
          <w:szCs w:val="19"/>
        </w:rPr>
      </w:pPr>
      <w:r w:rsidRPr="00233604">
        <w:rPr>
          <w:sz w:val="19"/>
          <w:szCs w:val="19"/>
          <w:vertAlign w:val="superscript"/>
        </w:rPr>
        <w:t>[a]</w:t>
      </w:r>
      <w:r w:rsidRPr="00233604">
        <w:rPr>
          <w:sz w:val="19"/>
          <w:szCs w:val="19"/>
        </w:rPr>
        <w:t xml:space="preserve"> </w:t>
      </w:r>
      <w:r w:rsidRPr="00233604">
        <w:rPr>
          <w:sz w:val="19"/>
          <w:szCs w:val="19"/>
        </w:rPr>
        <w:tab/>
        <w:t xml:space="preserve">We note this level is defined in the </w:t>
      </w:r>
      <w:r w:rsidRPr="00071FE2">
        <w:rPr>
          <w:sz w:val="18"/>
          <w:szCs w:val="18"/>
        </w:rPr>
        <w:t>Commission Decision 2019/235/EU</w:t>
      </w:r>
      <w:r>
        <w:rPr>
          <w:sz w:val="18"/>
          <w:szCs w:val="18"/>
        </w:rPr>
        <w:t xml:space="preserve"> </w:t>
      </w:r>
      <w:r w:rsidRPr="00233604">
        <w:rPr>
          <w:sz w:val="19"/>
          <w:szCs w:val="19"/>
        </w:rPr>
        <w:t xml:space="preserve">as per MHz rather than per 5 MHz </w:t>
      </w:r>
    </w:p>
    <w:tbl>
      <w:tblPr>
        <w:tblStyle w:val="TableGrid"/>
        <w:tblW w:w="8311" w:type="dxa"/>
        <w:tblInd w:w="7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2126"/>
        <w:gridCol w:w="2216"/>
      </w:tblGrid>
      <w:tr w:rsidR="00EA7328" w:rsidRPr="00233604" w14:paraId="2C1D1F00" w14:textId="77777777" w:rsidTr="00176E37">
        <w:tc>
          <w:tcPr>
            <w:tcW w:w="3969" w:type="dxa"/>
            <w:tcBorders>
              <w:top w:val="nil"/>
              <w:left w:val="nil"/>
              <w:bottom w:val="nil"/>
              <w:right w:val="nil"/>
            </w:tcBorders>
            <w:tcMar>
              <w:left w:w="0" w:type="dxa"/>
            </w:tcMar>
          </w:tcPr>
          <w:p w14:paraId="49A8A393"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p>
        </w:tc>
        <w:tc>
          <w:tcPr>
            <w:tcW w:w="2126" w:type="dxa"/>
            <w:tcBorders>
              <w:top w:val="nil"/>
              <w:left w:val="nil"/>
              <w:bottom w:val="nil"/>
              <w:right w:val="nil"/>
            </w:tcBorders>
          </w:tcPr>
          <w:p w14:paraId="65982653"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Non-AAS</w:t>
            </w:r>
          </w:p>
        </w:tc>
        <w:tc>
          <w:tcPr>
            <w:tcW w:w="2216" w:type="dxa"/>
            <w:tcBorders>
              <w:top w:val="nil"/>
              <w:left w:val="nil"/>
              <w:bottom w:val="nil"/>
              <w:right w:val="nil"/>
            </w:tcBorders>
            <w:tcMar>
              <w:right w:w="0" w:type="dxa"/>
            </w:tcMar>
          </w:tcPr>
          <w:p w14:paraId="19033BE2"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AAS</w:t>
            </w:r>
          </w:p>
        </w:tc>
      </w:tr>
      <w:tr w:rsidR="00EA7328" w:rsidRPr="00233604" w14:paraId="0ED5C336" w14:textId="77777777" w:rsidTr="00176E37">
        <w:tc>
          <w:tcPr>
            <w:tcW w:w="3969" w:type="dxa"/>
            <w:tcBorders>
              <w:top w:val="nil"/>
              <w:left w:val="nil"/>
              <w:right w:val="nil"/>
            </w:tcBorders>
            <w:tcMar>
              <w:left w:w="0" w:type="dxa"/>
            </w:tcMar>
          </w:tcPr>
          <w:p w14:paraId="743B0AEE"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p>
        </w:tc>
        <w:tc>
          <w:tcPr>
            <w:tcW w:w="2126" w:type="dxa"/>
            <w:tcBorders>
              <w:top w:val="nil"/>
              <w:left w:val="nil"/>
              <w:bottom w:val="single" w:sz="4" w:space="0" w:color="7F7F7F" w:themeColor="text1" w:themeTint="80"/>
              <w:right w:val="nil"/>
            </w:tcBorders>
          </w:tcPr>
          <w:p w14:paraId="181F34B0"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i/>
                <w:szCs w:val="22"/>
              </w:rPr>
            </w:pPr>
            <w:r w:rsidRPr="0020606D">
              <w:rPr>
                <w:rFonts w:asciiTheme="majorHAnsi" w:hAnsiTheme="majorHAnsi" w:cstheme="majorHAnsi"/>
                <w:i/>
                <w:szCs w:val="22"/>
              </w:rPr>
              <w:t>dBm / 5 MHz EIRP per antenna</w:t>
            </w:r>
          </w:p>
        </w:tc>
        <w:tc>
          <w:tcPr>
            <w:tcW w:w="2216" w:type="dxa"/>
            <w:tcBorders>
              <w:top w:val="nil"/>
              <w:left w:val="nil"/>
              <w:bottom w:val="single" w:sz="4" w:space="0" w:color="7F7F7F" w:themeColor="text1" w:themeTint="80"/>
              <w:right w:val="nil"/>
            </w:tcBorders>
            <w:tcMar>
              <w:right w:w="0" w:type="dxa"/>
            </w:tcMar>
          </w:tcPr>
          <w:p w14:paraId="003510E5"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i/>
                <w:szCs w:val="22"/>
              </w:rPr>
            </w:pPr>
            <w:r w:rsidRPr="0020606D">
              <w:rPr>
                <w:rFonts w:asciiTheme="majorHAnsi" w:hAnsiTheme="majorHAnsi" w:cstheme="majorHAnsi"/>
                <w:i/>
                <w:szCs w:val="22"/>
              </w:rPr>
              <w:t xml:space="preserve">dBm / 5 MHz TRP </w:t>
            </w:r>
            <w:r w:rsidRPr="0020606D">
              <w:rPr>
                <w:rFonts w:asciiTheme="majorHAnsi" w:hAnsiTheme="majorHAnsi" w:cstheme="majorHAnsi"/>
                <w:i/>
                <w:szCs w:val="22"/>
              </w:rPr>
              <w:br/>
              <w:t>per cell</w:t>
            </w:r>
          </w:p>
        </w:tc>
      </w:tr>
      <w:tr w:rsidR="00EA7328" w:rsidRPr="00233604" w14:paraId="49323ED4" w14:textId="77777777" w:rsidTr="00176E37">
        <w:tc>
          <w:tcPr>
            <w:tcW w:w="3969" w:type="dxa"/>
            <w:tcBorders>
              <w:left w:val="nil"/>
            </w:tcBorders>
            <w:tcMar>
              <w:left w:w="0" w:type="dxa"/>
            </w:tcMar>
          </w:tcPr>
          <w:p w14:paraId="39AEB3EE"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3390 – 3400 MHz</w:t>
            </w:r>
          </w:p>
        </w:tc>
        <w:tc>
          <w:tcPr>
            <w:tcW w:w="2126" w:type="dxa"/>
            <w:tcBorders>
              <w:top w:val="single" w:sz="4" w:space="0" w:color="7F7F7F" w:themeColor="text1" w:themeTint="80"/>
              <w:bottom w:val="single" w:sz="4" w:space="0" w:color="7F7F7F" w:themeColor="text1" w:themeTint="80"/>
            </w:tcBorders>
          </w:tcPr>
          <w:p w14:paraId="7E3973FA"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43, 13)</w:t>
            </w:r>
          </w:p>
        </w:tc>
        <w:tc>
          <w:tcPr>
            <w:tcW w:w="2216" w:type="dxa"/>
            <w:tcBorders>
              <w:top w:val="single" w:sz="4" w:space="0" w:color="7F7F7F" w:themeColor="text1" w:themeTint="80"/>
              <w:bottom w:val="single" w:sz="4" w:space="0" w:color="7F7F7F" w:themeColor="text1" w:themeTint="80"/>
              <w:right w:val="nil"/>
            </w:tcBorders>
            <w:tcMar>
              <w:right w:w="0" w:type="dxa"/>
            </w:tcMar>
          </w:tcPr>
          <w:p w14:paraId="7D232AEA"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43, 1)</w:t>
            </w:r>
          </w:p>
        </w:tc>
      </w:tr>
      <w:tr w:rsidR="00EA7328" w:rsidRPr="00233604" w14:paraId="2C0C73B2" w14:textId="77777777" w:rsidTr="00176E37">
        <w:tc>
          <w:tcPr>
            <w:tcW w:w="3969" w:type="dxa"/>
            <w:tcBorders>
              <w:left w:val="nil"/>
            </w:tcBorders>
            <w:tcMar>
              <w:left w:w="0" w:type="dxa"/>
            </w:tcMar>
          </w:tcPr>
          <w:p w14:paraId="27A1338B"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3400 – 3405 MHz</w:t>
            </w:r>
          </w:p>
        </w:tc>
        <w:tc>
          <w:tcPr>
            <w:tcW w:w="2126" w:type="dxa"/>
            <w:tcBorders>
              <w:top w:val="single" w:sz="4" w:space="0" w:color="7F7F7F" w:themeColor="text1" w:themeTint="80"/>
              <w:bottom w:val="single" w:sz="4" w:space="0" w:color="7F7F7F" w:themeColor="text1" w:themeTint="80"/>
            </w:tcBorders>
          </w:tcPr>
          <w:p w14:paraId="6E431DE1"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43, 15)</w:t>
            </w:r>
          </w:p>
        </w:tc>
        <w:tc>
          <w:tcPr>
            <w:tcW w:w="2216" w:type="dxa"/>
            <w:tcBorders>
              <w:top w:val="single" w:sz="4" w:space="0" w:color="7F7F7F" w:themeColor="text1" w:themeTint="80"/>
              <w:bottom w:val="single" w:sz="4" w:space="0" w:color="7F7F7F" w:themeColor="text1" w:themeTint="80"/>
              <w:right w:val="nil"/>
            </w:tcBorders>
            <w:tcMar>
              <w:right w:w="0" w:type="dxa"/>
            </w:tcMar>
          </w:tcPr>
          <w:p w14:paraId="1FDE3E65"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43, 12)</w:t>
            </w:r>
          </w:p>
        </w:tc>
      </w:tr>
      <w:tr w:rsidR="00EA7328" w:rsidRPr="00233604" w14:paraId="53ABE48A" w14:textId="77777777" w:rsidTr="00176E37">
        <w:tc>
          <w:tcPr>
            <w:tcW w:w="3969" w:type="dxa"/>
            <w:tcBorders>
              <w:left w:val="nil"/>
            </w:tcBorders>
            <w:tcMar>
              <w:left w:w="0" w:type="dxa"/>
            </w:tcMar>
          </w:tcPr>
          <w:p w14:paraId="74BF46AF"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3405 – 3410 MHz</w:t>
            </w:r>
          </w:p>
        </w:tc>
        <w:tc>
          <w:tcPr>
            <w:tcW w:w="2126" w:type="dxa"/>
            <w:tcBorders>
              <w:top w:val="single" w:sz="4" w:space="0" w:color="7F7F7F" w:themeColor="text1" w:themeTint="80"/>
              <w:bottom w:val="single" w:sz="4" w:space="0" w:color="7F7F7F" w:themeColor="text1" w:themeTint="80"/>
            </w:tcBorders>
          </w:tcPr>
          <w:p w14:paraId="69078B4D"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40, 21)</w:t>
            </w:r>
          </w:p>
        </w:tc>
        <w:tc>
          <w:tcPr>
            <w:tcW w:w="2216" w:type="dxa"/>
            <w:tcBorders>
              <w:top w:val="single" w:sz="4" w:space="0" w:color="7F7F7F" w:themeColor="text1" w:themeTint="80"/>
              <w:bottom w:val="single" w:sz="4" w:space="0" w:color="7F7F7F" w:themeColor="text1" w:themeTint="80"/>
              <w:right w:val="nil"/>
            </w:tcBorders>
            <w:tcMar>
              <w:right w:w="0" w:type="dxa"/>
            </w:tcMar>
          </w:tcPr>
          <w:p w14:paraId="6178002F"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40, 16)</w:t>
            </w:r>
          </w:p>
        </w:tc>
      </w:tr>
      <w:tr w:rsidR="00EA7328" w:rsidRPr="00233604" w14:paraId="79E022E4" w14:textId="77777777" w:rsidTr="00176E37">
        <w:tc>
          <w:tcPr>
            <w:tcW w:w="3969" w:type="dxa"/>
            <w:tcBorders>
              <w:left w:val="nil"/>
            </w:tcBorders>
            <w:tcMar>
              <w:left w:w="0" w:type="dxa"/>
            </w:tcMar>
          </w:tcPr>
          <w:p w14:paraId="046B5755"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3800 – 3805 MHz</w:t>
            </w:r>
          </w:p>
        </w:tc>
        <w:tc>
          <w:tcPr>
            <w:tcW w:w="2126" w:type="dxa"/>
            <w:tcBorders>
              <w:top w:val="single" w:sz="4" w:space="0" w:color="7F7F7F" w:themeColor="text1" w:themeTint="80"/>
              <w:bottom w:val="single" w:sz="4" w:space="0" w:color="7F7F7F" w:themeColor="text1" w:themeTint="80"/>
            </w:tcBorders>
          </w:tcPr>
          <w:p w14:paraId="2501F926"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40, 21)</w:t>
            </w:r>
          </w:p>
        </w:tc>
        <w:tc>
          <w:tcPr>
            <w:tcW w:w="2216" w:type="dxa"/>
            <w:tcBorders>
              <w:top w:val="single" w:sz="4" w:space="0" w:color="7F7F7F" w:themeColor="text1" w:themeTint="80"/>
              <w:bottom w:val="single" w:sz="4" w:space="0" w:color="7F7F7F" w:themeColor="text1" w:themeTint="80"/>
              <w:right w:val="nil"/>
            </w:tcBorders>
            <w:tcMar>
              <w:right w:w="0" w:type="dxa"/>
            </w:tcMar>
          </w:tcPr>
          <w:p w14:paraId="57BFF328"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40, 16)</w:t>
            </w:r>
          </w:p>
        </w:tc>
      </w:tr>
      <w:tr w:rsidR="00EA7328" w:rsidRPr="00233604" w14:paraId="761B187D" w14:textId="77777777" w:rsidTr="00176E37">
        <w:tc>
          <w:tcPr>
            <w:tcW w:w="3969" w:type="dxa"/>
            <w:tcBorders>
              <w:left w:val="nil"/>
            </w:tcBorders>
            <w:tcMar>
              <w:left w:w="0" w:type="dxa"/>
            </w:tcMar>
          </w:tcPr>
          <w:p w14:paraId="26A76B1B"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3805 – 3810 MHz</w:t>
            </w:r>
          </w:p>
        </w:tc>
        <w:tc>
          <w:tcPr>
            <w:tcW w:w="2126" w:type="dxa"/>
            <w:tcBorders>
              <w:top w:val="single" w:sz="4" w:space="0" w:color="7F7F7F" w:themeColor="text1" w:themeTint="80"/>
              <w:bottom w:val="single" w:sz="4" w:space="0" w:color="7F7F7F" w:themeColor="text1" w:themeTint="80"/>
            </w:tcBorders>
          </w:tcPr>
          <w:p w14:paraId="7FC4C265"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43, 15)</w:t>
            </w:r>
          </w:p>
        </w:tc>
        <w:tc>
          <w:tcPr>
            <w:tcW w:w="2216" w:type="dxa"/>
            <w:tcBorders>
              <w:top w:val="single" w:sz="4" w:space="0" w:color="7F7F7F" w:themeColor="text1" w:themeTint="80"/>
              <w:bottom w:val="single" w:sz="4" w:space="0" w:color="7F7F7F" w:themeColor="text1" w:themeTint="80"/>
              <w:right w:val="nil"/>
            </w:tcBorders>
            <w:tcMar>
              <w:right w:w="0" w:type="dxa"/>
            </w:tcMar>
          </w:tcPr>
          <w:p w14:paraId="3A62A9DB"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43, 12)</w:t>
            </w:r>
          </w:p>
        </w:tc>
      </w:tr>
      <w:tr w:rsidR="00EA7328" w:rsidRPr="00233604" w14:paraId="682D6B9A" w14:textId="77777777" w:rsidTr="00176E37">
        <w:tc>
          <w:tcPr>
            <w:tcW w:w="3969" w:type="dxa"/>
            <w:tcBorders>
              <w:left w:val="nil"/>
            </w:tcBorders>
            <w:tcMar>
              <w:left w:w="0" w:type="dxa"/>
            </w:tcMar>
          </w:tcPr>
          <w:p w14:paraId="08875CC3"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3810 – 3840 MHz</w:t>
            </w:r>
          </w:p>
        </w:tc>
        <w:tc>
          <w:tcPr>
            <w:tcW w:w="2126" w:type="dxa"/>
            <w:tcBorders>
              <w:top w:val="single" w:sz="4" w:space="0" w:color="7F7F7F" w:themeColor="text1" w:themeTint="80"/>
              <w:bottom w:val="single" w:sz="4" w:space="0" w:color="7F7F7F" w:themeColor="text1" w:themeTint="80"/>
            </w:tcBorders>
          </w:tcPr>
          <w:p w14:paraId="4BFE674D"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43, 13)</w:t>
            </w:r>
          </w:p>
        </w:tc>
        <w:tc>
          <w:tcPr>
            <w:tcW w:w="2216" w:type="dxa"/>
            <w:tcBorders>
              <w:top w:val="single" w:sz="4" w:space="0" w:color="7F7F7F" w:themeColor="text1" w:themeTint="80"/>
              <w:bottom w:val="single" w:sz="4" w:space="0" w:color="7F7F7F" w:themeColor="text1" w:themeTint="80"/>
              <w:right w:val="nil"/>
            </w:tcBorders>
            <w:tcMar>
              <w:right w:w="0" w:type="dxa"/>
            </w:tcMar>
          </w:tcPr>
          <w:p w14:paraId="79CDD33B"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Min(PMax’ – 43, 1)</w:t>
            </w:r>
          </w:p>
        </w:tc>
      </w:tr>
      <w:tr w:rsidR="00EA7328" w:rsidRPr="00233604" w14:paraId="5902E753" w14:textId="77777777" w:rsidTr="00176E37">
        <w:tc>
          <w:tcPr>
            <w:tcW w:w="3969" w:type="dxa"/>
            <w:tcBorders>
              <w:left w:val="nil"/>
            </w:tcBorders>
            <w:tcMar>
              <w:left w:w="0" w:type="dxa"/>
            </w:tcMar>
          </w:tcPr>
          <w:p w14:paraId="3185E5D0"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Above 3840 MHz</w:t>
            </w:r>
          </w:p>
        </w:tc>
        <w:tc>
          <w:tcPr>
            <w:tcW w:w="2126" w:type="dxa"/>
            <w:tcBorders>
              <w:top w:val="single" w:sz="4" w:space="0" w:color="7F7F7F" w:themeColor="text1" w:themeTint="80"/>
              <w:bottom w:val="single" w:sz="4" w:space="0" w:color="7F7F7F" w:themeColor="text1" w:themeTint="80"/>
            </w:tcBorders>
          </w:tcPr>
          <w:p w14:paraId="78CE217E"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-2</w:t>
            </w:r>
          </w:p>
        </w:tc>
        <w:tc>
          <w:tcPr>
            <w:tcW w:w="2216" w:type="dxa"/>
            <w:tcBorders>
              <w:top w:val="single" w:sz="4" w:space="0" w:color="7F7F7F" w:themeColor="text1" w:themeTint="80"/>
              <w:bottom w:val="single" w:sz="4" w:space="0" w:color="7F7F7F" w:themeColor="text1" w:themeTint="80"/>
              <w:right w:val="nil"/>
            </w:tcBorders>
            <w:tcMar>
              <w:right w:w="0" w:type="dxa"/>
            </w:tcMar>
          </w:tcPr>
          <w:p w14:paraId="16E7E32D" w14:textId="77777777" w:rsidR="00EA7328" w:rsidRPr="0020606D" w:rsidRDefault="00EA7328" w:rsidP="00176E37">
            <w:pPr>
              <w:pStyle w:val="Numberedparagraphs"/>
              <w:keepNext/>
              <w:keepLines/>
              <w:numPr>
                <w:ilvl w:val="0"/>
                <w:numId w:val="0"/>
              </w:numPr>
              <w:spacing w:before="20" w:after="20"/>
              <w:rPr>
                <w:rFonts w:asciiTheme="majorHAnsi" w:hAnsiTheme="majorHAnsi" w:cstheme="majorHAnsi"/>
                <w:szCs w:val="22"/>
              </w:rPr>
            </w:pPr>
            <w:r w:rsidRPr="0020606D">
              <w:rPr>
                <w:rFonts w:asciiTheme="majorHAnsi" w:hAnsiTheme="majorHAnsi" w:cstheme="majorHAnsi"/>
                <w:szCs w:val="22"/>
              </w:rPr>
              <w:t>-14</w:t>
            </w:r>
          </w:p>
        </w:tc>
      </w:tr>
    </w:tbl>
    <w:p w14:paraId="5F713AE9" w14:textId="77777777" w:rsidR="00EA7328" w:rsidRPr="00233604" w:rsidRDefault="00EA7328" w:rsidP="00EA7328">
      <w:pPr>
        <w:pStyle w:val="NoSp"/>
      </w:pPr>
    </w:p>
    <w:p w14:paraId="15EDDBBB" w14:textId="77777777" w:rsidR="00EA7328" w:rsidRPr="00233604" w:rsidRDefault="00EA7328" w:rsidP="00EA7328">
      <w:pPr>
        <w:pStyle w:val="ANNEXHeading3"/>
      </w:pPr>
      <w:r w:rsidRPr="00233604">
        <w:t>Small Cells</w:t>
      </w:r>
    </w:p>
    <w:p w14:paraId="61135BAA" w14:textId="77777777" w:rsidR="00EA7328" w:rsidRPr="00EE7B9C" w:rsidRDefault="00EA7328" w:rsidP="008D2493">
      <w:pPr>
        <w:pStyle w:val="ListParagraph"/>
        <w:numPr>
          <w:ilvl w:val="0"/>
          <w:numId w:val="19"/>
        </w:numPr>
        <w:spacing w:before="0" w:after="0" w:line="276" w:lineRule="auto"/>
        <w:ind w:hanging="720"/>
        <w:jc w:val="left"/>
        <w:rPr>
          <w:rFonts w:asciiTheme="majorHAnsi" w:hAnsiTheme="majorHAnsi" w:cstheme="majorHAnsi"/>
          <w:color w:val="404040"/>
          <w:sz w:val="22"/>
        </w:rPr>
      </w:pPr>
      <w:r w:rsidRPr="00EE7B9C">
        <w:rPr>
          <w:rFonts w:asciiTheme="majorHAnsi" w:hAnsiTheme="majorHAnsi" w:cstheme="majorHAnsi"/>
          <w:color w:val="404040"/>
          <w:sz w:val="22"/>
        </w:rPr>
        <w:t xml:space="preserve">The Licensee is required to comply with the Permissive Transmission Mask as set out in paragraph 10 of this schedule but is not required to comply with the frame structure requirements set out in paragraphs 12 or 13 above, for: </w:t>
      </w:r>
    </w:p>
    <w:p w14:paraId="3EB07494" w14:textId="77777777" w:rsidR="00EA7328" w:rsidRPr="00EE7B9C" w:rsidRDefault="00EA7328" w:rsidP="00EA7328">
      <w:pPr>
        <w:pStyle w:val="Numberedparagraphs"/>
        <w:numPr>
          <w:ilvl w:val="0"/>
          <w:numId w:val="0"/>
        </w:numPr>
        <w:spacing w:before="120"/>
        <w:ind w:left="1191" w:hanging="471"/>
        <w:rPr>
          <w:rFonts w:asciiTheme="majorHAnsi" w:hAnsiTheme="majorHAnsi" w:cstheme="majorHAnsi"/>
          <w:szCs w:val="22"/>
        </w:rPr>
      </w:pPr>
      <w:r w:rsidRPr="00EE7B9C">
        <w:rPr>
          <w:rFonts w:asciiTheme="majorHAnsi" w:hAnsiTheme="majorHAnsi" w:cstheme="majorHAnsi"/>
          <w:szCs w:val="22"/>
        </w:rPr>
        <w:t xml:space="preserve">(a) </w:t>
      </w:r>
      <w:r w:rsidRPr="00EE7B9C">
        <w:rPr>
          <w:rFonts w:asciiTheme="majorHAnsi" w:hAnsiTheme="majorHAnsi" w:cstheme="majorHAnsi"/>
          <w:szCs w:val="22"/>
        </w:rPr>
        <w:tab/>
        <w:t xml:space="preserve">Indoor Domestic Small Cells; or </w:t>
      </w:r>
    </w:p>
    <w:p w14:paraId="12753A38" w14:textId="77777777" w:rsidR="00EA7328" w:rsidRPr="001718A0" w:rsidRDefault="00EA7328" w:rsidP="00EA7328">
      <w:pPr>
        <w:pStyle w:val="Numberedparagraphs"/>
        <w:numPr>
          <w:ilvl w:val="0"/>
          <w:numId w:val="0"/>
        </w:numPr>
        <w:ind w:left="1191" w:hanging="471"/>
      </w:pPr>
      <w:r w:rsidRPr="00EE7B9C">
        <w:rPr>
          <w:rFonts w:asciiTheme="majorHAnsi" w:hAnsiTheme="majorHAnsi" w:cstheme="majorHAnsi"/>
          <w:szCs w:val="22"/>
        </w:rPr>
        <w:t xml:space="preserve">(b) </w:t>
      </w:r>
      <w:r w:rsidRPr="00EE7B9C">
        <w:rPr>
          <w:rFonts w:asciiTheme="majorHAnsi" w:hAnsiTheme="majorHAnsi" w:cstheme="majorHAnsi"/>
          <w:szCs w:val="22"/>
        </w:rPr>
        <w:tab/>
      </w:r>
      <w:r w:rsidRPr="00EE7B9C">
        <w:rPr>
          <w:rFonts w:asciiTheme="majorHAnsi" w:eastAsia="Calibri" w:hAnsiTheme="majorHAnsi" w:cstheme="majorHAnsi"/>
          <w:szCs w:val="22"/>
        </w:rPr>
        <w:t>Indoor Non-domestic Small</w:t>
      </w:r>
      <w:r w:rsidRPr="00EE7B9C">
        <w:rPr>
          <w:rFonts w:eastAsia="Calibri" w:cs="Arial"/>
          <w:szCs w:val="22"/>
        </w:rPr>
        <w:t xml:space="preserve"> </w:t>
      </w:r>
      <w:r w:rsidRPr="006C594B">
        <w:rPr>
          <w:rFonts w:eastAsia="Calibri" w:cs="Arial"/>
          <w:szCs w:val="22"/>
        </w:rPr>
        <w:t>Cells, except where another licensee demonstrates that they are suffering harmful interference as a result</w:t>
      </w:r>
      <w:r w:rsidRPr="001718A0">
        <w:t xml:space="preserve">. </w:t>
      </w:r>
    </w:p>
    <w:p w14:paraId="49C51DFB" w14:textId="7ED18DFB" w:rsidR="00DD5136" w:rsidRDefault="00EA7328" w:rsidP="00EF05E5">
      <w:pPr>
        <w:pStyle w:val="Numberedparagraphs"/>
        <w:numPr>
          <w:ilvl w:val="1"/>
          <w:numId w:val="0"/>
        </w:numPr>
        <w:ind w:left="720"/>
        <w:rPr>
          <w:rStyle w:val="ECCParagraph"/>
          <w:rFonts w:eastAsia="Times New Roman"/>
          <w:szCs w:val="16"/>
        </w:rPr>
      </w:pPr>
      <w:r>
        <w:rPr>
          <w:rFonts w:cs="Arial"/>
        </w:rPr>
        <w:t>I</w:t>
      </w:r>
      <w:r w:rsidRPr="00B87EAD">
        <w:rPr>
          <w:rFonts w:cs="Arial"/>
        </w:rPr>
        <w:t xml:space="preserve">f another licensee demonstrates that they are suffering harmful interference as a result of an Indoor Non-domestic Small Cell, the Indoor Non-domestic Small Cell must comply with the requirements set out in paragraphs </w:t>
      </w:r>
      <w:r>
        <w:rPr>
          <w:rFonts w:cs="Arial"/>
        </w:rPr>
        <w:t xml:space="preserve">9 and 12 above, where Frame Structure A is used or </w:t>
      </w:r>
      <w:r w:rsidRPr="00961788">
        <w:rPr>
          <w:rFonts w:cs="Arial"/>
        </w:rPr>
        <w:t xml:space="preserve">those requirements set out in both paragraphs </w:t>
      </w:r>
      <w:r>
        <w:rPr>
          <w:rFonts w:cs="Arial"/>
        </w:rPr>
        <w:t xml:space="preserve">9 and 13 </w:t>
      </w:r>
      <w:r w:rsidRPr="00B87EAD">
        <w:rPr>
          <w:rFonts w:cs="Arial"/>
        </w:rPr>
        <w:t>above</w:t>
      </w:r>
      <w:r>
        <w:rPr>
          <w:rFonts w:cs="Arial"/>
        </w:rPr>
        <w:t xml:space="preserve"> where Frame Structure B is used</w:t>
      </w:r>
      <w:r w:rsidRPr="001718A0">
        <w:t>.</w:t>
      </w:r>
    </w:p>
    <w:sectPr w:rsidR="00DD5136" w:rsidSect="00797DEE">
      <w:headerReference w:type="even" r:id="rId14"/>
      <w:headerReference w:type="defaul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8249" w14:textId="77777777" w:rsidR="008B08D6" w:rsidRDefault="008B08D6" w:rsidP="00DB17F9">
      <w:r>
        <w:separator/>
      </w:r>
    </w:p>
    <w:p w14:paraId="612AE9C2" w14:textId="77777777" w:rsidR="008B08D6" w:rsidRDefault="008B08D6"/>
  </w:endnote>
  <w:endnote w:type="continuationSeparator" w:id="0">
    <w:p w14:paraId="03D20DED" w14:textId="77777777" w:rsidR="008B08D6" w:rsidRDefault="008B08D6" w:rsidP="00DB17F9">
      <w:r>
        <w:continuationSeparator/>
      </w:r>
    </w:p>
    <w:p w14:paraId="2C6CF96B" w14:textId="77777777" w:rsidR="008B08D6" w:rsidRDefault="008B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C3DDC" w14:textId="77777777" w:rsidR="008B08D6" w:rsidRPr="00F51BD6" w:rsidRDefault="008B08D6" w:rsidP="00CD07E7">
      <w:pPr>
        <w:spacing w:before="120" w:after="0"/>
      </w:pPr>
      <w:r>
        <w:separator/>
      </w:r>
    </w:p>
  </w:footnote>
  <w:footnote w:type="continuationSeparator" w:id="0">
    <w:p w14:paraId="31AC3BC1" w14:textId="77777777" w:rsidR="008B08D6" w:rsidRDefault="008B08D6" w:rsidP="00CD07E7">
      <w:pPr>
        <w:spacing w:before="120" w:after="0"/>
      </w:pPr>
      <w:r>
        <w:continuationSeparator/>
      </w:r>
    </w:p>
  </w:footnote>
  <w:footnote w:type="continuationNotice" w:id="1">
    <w:p w14:paraId="569F4641" w14:textId="77777777" w:rsidR="008B08D6" w:rsidRPr="00CD07E7" w:rsidRDefault="008B08D6" w:rsidP="00CD07E7">
      <w:pPr>
        <w:spacing w:before="120" w:after="0"/>
      </w:pPr>
    </w:p>
  </w:footnote>
  <w:footnote w:id="2">
    <w:p w14:paraId="29421EA7" w14:textId="77777777" w:rsidR="001C0DF6" w:rsidRDefault="001C0DF6" w:rsidP="001C0DF6">
      <w:pPr>
        <w:pStyle w:val="FootnoteText"/>
      </w:pPr>
      <w:r>
        <w:rPr>
          <w:rStyle w:val="FootnoteReference"/>
        </w:rPr>
        <w:footnoteRef/>
      </w:r>
      <w:r>
        <w:t xml:space="preserve"> Frame Structure A has a DSUDDDSUDD structure where each character represents a 1 ms sub-frame and “D” means downlink; “U” means uplink; and “S” is a special sub-frame which contains a guard period.</w:t>
      </w:r>
    </w:p>
  </w:footnote>
  <w:footnote w:id="3">
    <w:p w14:paraId="48620E1B" w14:textId="23A0EA5F" w:rsidR="0080029E" w:rsidRPr="0080029E" w:rsidRDefault="00ED5EA5" w:rsidP="008A12DA">
      <w:pPr>
        <w:pStyle w:val="FootnoteText"/>
      </w:pPr>
      <w:r>
        <w:rPr>
          <w:rStyle w:val="FootnoteReference"/>
        </w:rPr>
        <w:footnoteRef/>
      </w:r>
      <w:r>
        <w:t xml:space="preserve"> </w:t>
      </w:r>
      <w:r>
        <w:rPr>
          <w:lang w:val="en-GB"/>
        </w:rPr>
        <w:t xml:space="preserve">The </w:t>
      </w:r>
      <w:r w:rsidR="008B659D">
        <w:rPr>
          <w:lang w:val="en-GB"/>
        </w:rPr>
        <w:t>“</w:t>
      </w:r>
      <w:r>
        <w:rPr>
          <w:lang w:val="en-GB"/>
        </w:rPr>
        <w:t>Permissive</w:t>
      </w:r>
      <w:r w:rsidR="008B659D">
        <w:rPr>
          <w:lang w:val="en-GB"/>
        </w:rPr>
        <w:t>” and “Restrictive”</w:t>
      </w:r>
      <w:r>
        <w:rPr>
          <w:lang w:val="en-GB"/>
        </w:rPr>
        <w:t xml:space="preserve"> mask</w:t>
      </w:r>
      <w:r w:rsidR="008B659D">
        <w:rPr>
          <w:lang w:val="en-GB"/>
        </w:rPr>
        <w:t>s correspond to the “</w:t>
      </w:r>
      <w:r w:rsidR="009726E1">
        <w:rPr>
          <w:lang w:val="en-GB"/>
        </w:rPr>
        <w:t>B</w:t>
      </w:r>
      <w:r w:rsidR="00617ECD">
        <w:rPr>
          <w:lang w:val="en-GB"/>
        </w:rPr>
        <w:t>aseline</w:t>
      </w:r>
      <w:r w:rsidR="008B659D">
        <w:rPr>
          <w:lang w:val="en-GB"/>
        </w:rPr>
        <w:t>”</w:t>
      </w:r>
      <w:r w:rsidR="00617ECD">
        <w:rPr>
          <w:lang w:val="en-GB"/>
        </w:rPr>
        <w:t xml:space="preserve"> and “</w:t>
      </w:r>
      <w:r w:rsidR="009726E1">
        <w:rPr>
          <w:lang w:val="en-GB"/>
        </w:rPr>
        <w:t>R</w:t>
      </w:r>
      <w:r w:rsidR="00617ECD">
        <w:rPr>
          <w:lang w:val="en-GB"/>
        </w:rPr>
        <w:t xml:space="preserve">estricted” power limits </w:t>
      </w:r>
      <w:r w:rsidR="009726E1">
        <w:rPr>
          <w:lang w:val="en-GB"/>
        </w:rPr>
        <w:t>respectively as described in</w:t>
      </w:r>
      <w:r w:rsidR="0080029E">
        <w:rPr>
          <w:lang w:val="en-GB"/>
        </w:rPr>
        <w:t xml:space="preserve"> </w:t>
      </w:r>
      <w:r w:rsidR="008A12DA" w:rsidRPr="008A12DA">
        <w:rPr>
          <w:lang w:val="en-GB"/>
        </w:rPr>
        <w:t>ECC Decision 11(06), Harmonised frequency arrangements and least restrictive technical conditions (LRTC) for mobile/fixed communications networks (MFCN) operating in the band 3400-3800 MHz, 26 October 2018,</w:t>
      </w:r>
      <w:r w:rsidR="00B01187">
        <w:rPr>
          <w:lang w:val="en-GB"/>
        </w:rPr>
        <w:t xml:space="preserve"> </w:t>
      </w:r>
      <w:hyperlink r:id="rId1" w:history="1">
        <w:r w:rsidR="008A12DA" w:rsidRPr="00225B1B">
          <w:rPr>
            <w:rStyle w:val="Hyperlink"/>
            <w:lang w:val="en-GB"/>
          </w:rPr>
          <w:t>https://www.ecodocdb.dk/download/34f57e2a-1c04/ECCDEC1106.PDF</w:t>
        </w:r>
      </w:hyperlink>
      <w:r w:rsidR="008A12DA">
        <w:rPr>
          <w:lang w:val="en-GB"/>
        </w:rPr>
        <w:t xml:space="preserve"> </w:t>
      </w:r>
    </w:p>
  </w:footnote>
  <w:footnote w:id="4">
    <w:p w14:paraId="689EB5A5" w14:textId="77777777" w:rsidR="001C0DF6" w:rsidRDefault="001C0DF6" w:rsidP="001C0DF6">
      <w:pPr>
        <w:pStyle w:val="FootnoteText"/>
      </w:pPr>
      <w:r>
        <w:rPr>
          <w:rStyle w:val="FootnoteReference"/>
        </w:rPr>
        <w:footnoteRef/>
      </w:r>
      <w:r>
        <w:t xml:space="preserve"> Frame Structure B has a DSUXXXXXXX structure where “X” is a flexible sub-frame which can be either uplink or downlink.</w:t>
      </w:r>
    </w:p>
  </w:footnote>
  <w:footnote w:id="5">
    <w:p w14:paraId="2FD98669" w14:textId="57B90407" w:rsidR="005204B1" w:rsidRPr="005204B1" w:rsidRDefault="005204B1">
      <w:pPr>
        <w:pStyle w:val="FootnoteText"/>
        <w:rPr>
          <w:lang w:val="en-GB"/>
        </w:rPr>
      </w:pPr>
      <w:r>
        <w:rPr>
          <w:rStyle w:val="FootnoteReference"/>
        </w:rPr>
        <w:footnoteRef/>
      </w:r>
      <w:r>
        <w:t xml:space="preserve"> </w:t>
      </w:r>
      <w:r w:rsidR="00347AA1">
        <w:rPr>
          <w:lang w:val="en-GB"/>
        </w:rPr>
        <w:t>“</w:t>
      </w:r>
      <w:r w:rsidR="00F4103A">
        <w:rPr>
          <w:lang w:val="en-GB"/>
        </w:rPr>
        <w:t>Information Memorandum</w:t>
      </w:r>
      <w:r w:rsidR="00347AA1" w:rsidRPr="00347AA1">
        <w:rPr>
          <w:lang w:val="en-GB"/>
        </w:rPr>
        <w:t>: Award of the 700 MHz and 3.6-3.8 GHz spectrum bands</w:t>
      </w:r>
      <w:r w:rsidR="00347AA1">
        <w:rPr>
          <w:lang w:val="en-GB"/>
        </w:rPr>
        <w:t xml:space="preserve">”, Ofcom, UK, 13 March 2020, </w:t>
      </w:r>
      <w:hyperlink r:id="rId2" w:history="1">
        <w:r w:rsidR="00F4103A">
          <w:rPr>
            <w:rStyle w:val="Hyperlink"/>
          </w:rPr>
          <w:t>https://www.ofcom.org.uk/__data/assets/pdf_file/0019/192412/information-memorandum-award-700mhz-3.6-3.8ghz-spectrum.pdf</w:t>
        </w:r>
      </w:hyperlink>
      <w:r w:rsidR="00F4103A">
        <w:t xml:space="preserve"> </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5BD" w14:textId="77777777"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F9A8" w14:textId="77777777"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231A0F">
      <w:rPr>
        <w:noProof/>
      </w:rPr>
      <w:t>2</w:t>
    </w:r>
    <w:r w:rsidRPr="00714F0F">
      <w:fldChar w:fldCharType="end"/>
    </w:r>
  </w:p>
  <w:p w14:paraId="74496E01" w14:textId="77777777" w:rsidR="00E11D7E" w:rsidRDefault="00E11D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7pt;height:59.55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2F2981"/>
    <w:multiLevelType w:val="hybridMultilevel"/>
    <w:tmpl w:val="EAD818C2"/>
    <w:lvl w:ilvl="0" w:tplc="52E8E44E">
      <w:start w:val="9"/>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22D56F0"/>
    <w:multiLevelType w:val="multilevel"/>
    <w:tmpl w:val="791A5E98"/>
    <w:numStyleLink w:val="Sectionnumbering"/>
  </w:abstractNum>
  <w:abstractNum w:abstractNumId="4"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B96E34"/>
    <w:multiLevelType w:val="multilevel"/>
    <w:tmpl w:val="8BD84836"/>
    <w:styleLink w:val="Annexnumbering"/>
    <w:lvl w:ilvl="0">
      <w:start w:val="1"/>
      <w:numFmt w:val="decimal"/>
      <w:pStyle w:val="ANNEXTitle"/>
      <w:suff w:val="space"/>
      <w:lvlText w:val="A%1."/>
      <w:lvlJc w:val="left"/>
      <w:pPr>
        <w:ind w:left="0" w:firstLine="0"/>
      </w:pPr>
    </w:lvl>
    <w:lvl w:ilvl="1">
      <w:start w:val="1"/>
      <w:numFmt w:val="decimal"/>
      <w:pStyle w:val="ANNEXNumberedparagraphs"/>
      <w:lvlText w:val="A%1.%2"/>
      <w:lvlJc w:val="left"/>
      <w:pPr>
        <w:ind w:left="851" w:hanging="851"/>
      </w:pPr>
    </w:lvl>
    <w:lvl w:ilvl="2">
      <w:start w:val="1"/>
      <w:numFmt w:val="lowerLetter"/>
      <w:pStyle w:val="ANNEXaparagraphs"/>
      <w:lvlText w:val="%3)"/>
      <w:lvlJc w:val="left"/>
      <w:pPr>
        <w:ind w:left="1191" w:hanging="340"/>
      </w:pPr>
    </w:lvl>
    <w:lvl w:ilvl="3">
      <w:start w:val="1"/>
      <w:numFmt w:val="lowerRoman"/>
      <w:pStyle w:val="ANNEXiparagraphs"/>
      <w:lvlText w:val="%4)"/>
      <w:lvlJc w:val="left"/>
      <w:pPr>
        <w:tabs>
          <w:tab w:val="num" w:pos="1191"/>
        </w:tabs>
        <w:ind w:left="1531" w:hanging="340"/>
      </w:pPr>
    </w:lvl>
    <w:lvl w:ilvl="4">
      <w:start w:val="1"/>
      <w:numFmt w:val="none"/>
      <w:lvlText w:val=""/>
      <w:lvlJc w:val="left"/>
      <w:pPr>
        <w:ind w:left="1531" w:hanging="340"/>
      </w:pPr>
    </w:lvl>
    <w:lvl w:ilvl="5">
      <w:start w:val="1"/>
      <w:numFmt w:val="none"/>
      <w:lvlText w:val=""/>
      <w:lvlJc w:val="left"/>
      <w:pPr>
        <w:ind w:left="1531" w:hanging="340"/>
      </w:pPr>
    </w:lvl>
    <w:lvl w:ilvl="6">
      <w:start w:val="1"/>
      <w:numFmt w:val="none"/>
      <w:lvlText w:val=""/>
      <w:lvlJc w:val="left"/>
      <w:pPr>
        <w:ind w:left="1531" w:hanging="340"/>
      </w:pPr>
    </w:lvl>
    <w:lvl w:ilvl="7">
      <w:start w:val="1"/>
      <w:numFmt w:val="none"/>
      <w:lvlText w:val=""/>
      <w:lvlJc w:val="left"/>
      <w:pPr>
        <w:ind w:left="1531" w:hanging="340"/>
      </w:pPr>
    </w:lvl>
    <w:lvl w:ilvl="8">
      <w:start w:val="1"/>
      <w:numFmt w:val="none"/>
      <w:lvlText w:val=""/>
      <w:lvlJc w:val="left"/>
      <w:pPr>
        <w:ind w:left="1531" w:hanging="340"/>
      </w:pPr>
    </w:lvl>
  </w:abstractNum>
  <w:abstractNum w:abstractNumId="6"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47B1EB2"/>
    <w:multiLevelType w:val="multilevel"/>
    <w:tmpl w:val="791A5E98"/>
    <w:styleLink w:val="Sectionnumbering"/>
    <w:lvl w:ilvl="0">
      <w:start w:val="1"/>
      <w:numFmt w:val="decimal"/>
      <w:pStyle w:val="SectionTitle"/>
      <w:suff w:val="space"/>
      <w:lvlText w:val="%1."/>
      <w:lvlJc w:val="left"/>
      <w:pPr>
        <w:ind w:left="0" w:firstLine="0"/>
      </w:pPr>
      <w:rPr>
        <w:rFonts w:hint="default"/>
      </w:rPr>
    </w:lvl>
    <w:lvl w:ilvl="1">
      <w:start w:val="1"/>
      <w:numFmt w:val="decimal"/>
      <w:pStyle w:val="Numberedparagraphs"/>
      <w:lvlText w:val="%1.%2"/>
      <w:lvlJc w:val="left"/>
      <w:pPr>
        <w:ind w:left="851" w:hanging="851"/>
      </w:pPr>
      <w:rPr>
        <w:rFonts w:hint="default"/>
      </w:rPr>
    </w:lvl>
    <w:lvl w:ilvl="2">
      <w:start w:val="1"/>
      <w:numFmt w:val="lowerLetter"/>
      <w:pStyle w:val="aparagraphs"/>
      <w:lvlText w:val="%3)"/>
      <w:lvlJc w:val="left"/>
      <w:pPr>
        <w:ind w:left="1191" w:hanging="340"/>
      </w:pPr>
      <w:rPr>
        <w:rFonts w:hint="default"/>
      </w:rPr>
    </w:lvl>
    <w:lvl w:ilvl="3">
      <w:start w:val="1"/>
      <w:numFmt w:val="lowerRoman"/>
      <w:pStyle w:val="iparagraphs"/>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8" w15:restartNumberingAfterBreak="0">
    <w:nsid w:val="39081B28"/>
    <w:multiLevelType w:val="multilevel"/>
    <w:tmpl w:val="8BD84836"/>
    <w:numStyleLink w:val="Annexnumbering"/>
  </w:abstractNum>
  <w:abstractNum w:abstractNumId="9"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6382516E"/>
    <w:multiLevelType w:val="multilevel"/>
    <w:tmpl w:val="42B690AC"/>
    <w:lvl w:ilvl="0">
      <w:start w:val="7"/>
      <w:numFmt w:val="none"/>
      <w:pStyle w:val="AnnexNumber"/>
      <w:lvlText w:val="%1"/>
      <w:lvlJc w:val="left"/>
      <w:pPr>
        <w:tabs>
          <w:tab w:val="num" w:pos="0"/>
        </w:tabs>
        <w:ind w:left="0" w:firstLine="0"/>
      </w:pPr>
      <w:rPr>
        <w:rFonts w:hint="default"/>
      </w:rPr>
    </w:lvl>
    <w:lvl w:ilvl="1">
      <w:start w:val="6"/>
      <w:numFmt w:val="decimal"/>
      <w:lvlRestart w:val="0"/>
      <w:pStyle w:val="AnnexLevel1"/>
      <w:lvlText w:val="%1%2"/>
      <w:lvlJc w:val="left"/>
      <w:pPr>
        <w:tabs>
          <w:tab w:val="num" w:pos="720"/>
        </w:tabs>
        <w:ind w:left="720" w:hanging="720"/>
      </w:pPr>
      <w:rPr>
        <w:rFonts w:hint="default"/>
        <w:color w:val="FFFFFF"/>
      </w:rPr>
    </w:lvl>
    <w:lvl w:ilvl="2">
      <w:start w:val="1"/>
      <w:numFmt w:val="none"/>
      <w:lvlRestart w:val="0"/>
      <w:pStyle w:val="AnnexLevel2"/>
      <w:lvlText w:val="%1"/>
      <w:lvlJc w:val="left"/>
      <w:pPr>
        <w:tabs>
          <w:tab w:val="num" w:pos="0"/>
        </w:tabs>
        <w:ind w:left="0" w:firstLine="0"/>
      </w:pPr>
      <w:rPr>
        <w:rFonts w:hint="default"/>
      </w:rPr>
    </w:lvl>
    <w:lvl w:ilvl="3">
      <w:start w:val="1"/>
      <w:numFmt w:val="decimal"/>
      <w:lvlRestart w:val="2"/>
      <w:pStyle w:val="AnnexLevel3"/>
      <w:lvlText w:val="%1A%2.%3%4"/>
      <w:lvlJc w:val="left"/>
      <w:pPr>
        <w:tabs>
          <w:tab w:val="num" w:pos="0"/>
        </w:tabs>
        <w:ind w:left="851" w:hanging="851"/>
      </w:pPr>
      <w:rPr>
        <w:rFonts w:hint="default"/>
      </w:rPr>
    </w:lvl>
    <w:lvl w:ilvl="4">
      <w:start w:val="1"/>
      <w:numFmt w:val="decimal"/>
      <w:pStyle w:val="AnnexLevel4"/>
      <w:lvlText w:val="%1%2.%3%4.%5"/>
      <w:lvlJc w:val="left"/>
      <w:pPr>
        <w:tabs>
          <w:tab w:val="num" w:pos="1656"/>
        </w:tabs>
        <w:ind w:left="1656" w:hanging="805"/>
      </w:pPr>
      <w:rPr>
        <w:rFonts w:hint="default"/>
      </w:rPr>
    </w:lvl>
    <w:lvl w:ilvl="5">
      <w:start w:val="1"/>
      <w:numFmt w:val="lowerLetter"/>
      <w:lvlRestart w:val="4"/>
      <w:pStyle w:val="Annexabullets"/>
      <w:lvlText w:val="%1%6)"/>
      <w:lvlJc w:val="left"/>
      <w:pPr>
        <w:tabs>
          <w:tab w:val="num" w:pos="1080"/>
        </w:tabs>
        <w:ind w:left="1080" w:hanging="360"/>
      </w:pPr>
      <w:rPr>
        <w:rFonts w:hint="default"/>
      </w:rPr>
    </w:lvl>
    <w:lvl w:ilvl="6">
      <w:start w:val="1"/>
      <w:numFmt w:val="lowerRoman"/>
      <w:lvlRestart w:val="4"/>
      <w:pStyle w:val="Annexibullets"/>
      <w:lvlText w:val="%1%7)"/>
      <w:lvlJc w:val="left"/>
      <w:pPr>
        <w:tabs>
          <w:tab w:val="num" w:pos="1080"/>
        </w:tabs>
        <w:ind w:left="1080" w:hanging="360"/>
      </w:pPr>
      <w:rPr>
        <w:rFonts w:hint="default"/>
      </w:rPr>
    </w:lvl>
    <w:lvl w:ilvl="7">
      <w:start w:val="1"/>
      <w:numFmt w:val="none"/>
      <w:lvlRestart w:val="0"/>
      <w:pStyle w:val="AnnexBodyText"/>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14" w15:restartNumberingAfterBreak="0">
    <w:nsid w:val="7A026CCA"/>
    <w:multiLevelType w:val="hybridMultilevel"/>
    <w:tmpl w:val="FF1211FC"/>
    <w:lvl w:ilvl="0" w:tplc="32A8BE02">
      <w:start w:val="3"/>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6"/>
  </w:num>
  <w:num w:numId="5">
    <w:abstractNumId w:val="10"/>
  </w:num>
  <w:num w:numId="6">
    <w:abstractNumId w:val="9"/>
  </w:num>
  <w:num w:numId="7">
    <w:abstractNumId w:val="11"/>
  </w:num>
  <w:num w:numId="8">
    <w:abstractNumId w:val="4"/>
  </w:num>
  <w:num w:numId="9">
    <w:abstractNumId w:val="4"/>
  </w:num>
  <w:num w:numId="10">
    <w:abstractNumId w:val="8"/>
    <w:lvlOverride w:ilvl="0">
      <w:lvl w:ilvl="0">
        <w:start w:val="2"/>
        <w:numFmt w:val="decimal"/>
        <w:suff w:val="space"/>
        <w:lvlText w:val="A%1."/>
        <w:lvlJc w:val="left"/>
        <w:pPr>
          <w:ind w:left="0" w:firstLine="0"/>
        </w:pPr>
        <w:rPr>
          <w:rFonts w:hint="default"/>
        </w:rPr>
      </w:lvl>
    </w:lvlOverride>
    <w:lvlOverride w:ilvl="1">
      <w:lvl w:ilvl="1">
        <w:start w:val="1"/>
        <w:numFmt w:val="decimal"/>
        <w:lvlText w:val="A%1.%2"/>
        <w:lvlJc w:val="left"/>
        <w:pPr>
          <w:ind w:left="851" w:hanging="851"/>
        </w:pPr>
        <w:rPr>
          <w:rFonts w:hint="default"/>
        </w:rPr>
      </w:lvl>
    </w:lvlOverride>
    <w:lvlOverride w:ilvl="2">
      <w:lvl w:ilvl="2">
        <w:start w:val="1"/>
        <w:numFmt w:val="lowerLetter"/>
        <w:lvlText w:val="%3)"/>
        <w:lvlJc w:val="left"/>
        <w:pPr>
          <w:ind w:left="1191" w:hanging="340"/>
        </w:pPr>
        <w:rPr>
          <w:rFonts w:hint="default"/>
        </w:rPr>
      </w:lvl>
    </w:lvlOverride>
    <w:lvlOverride w:ilvl="3">
      <w:lvl w:ilvl="3">
        <w:start w:val="1"/>
        <w:numFmt w:val="lowerRoman"/>
        <w:lvlText w:val="%4)"/>
        <w:lvlJc w:val="left"/>
        <w:pPr>
          <w:tabs>
            <w:tab w:val="num" w:pos="1191"/>
          </w:tabs>
          <w:ind w:left="1531" w:hanging="340"/>
        </w:pPr>
        <w:rPr>
          <w:rFonts w:hint="default"/>
        </w:rPr>
      </w:lvl>
    </w:lvlOverride>
    <w:lvlOverride w:ilvl="4">
      <w:lvl w:ilvl="4">
        <w:start w:val="1"/>
        <w:numFmt w:val="none"/>
        <w:lvlText w:val=""/>
        <w:lvlJc w:val="left"/>
        <w:pPr>
          <w:ind w:left="1531" w:hanging="340"/>
        </w:pPr>
        <w:rPr>
          <w:rFonts w:hint="default"/>
        </w:rPr>
      </w:lvl>
    </w:lvlOverride>
    <w:lvlOverride w:ilvl="5">
      <w:lvl w:ilvl="5">
        <w:start w:val="1"/>
        <w:numFmt w:val="none"/>
        <w:lvlText w:val=""/>
        <w:lvlJc w:val="left"/>
        <w:pPr>
          <w:ind w:left="1531" w:hanging="340"/>
        </w:pPr>
        <w:rPr>
          <w:rFonts w:hint="default"/>
        </w:rPr>
      </w:lvl>
    </w:lvlOverride>
    <w:lvlOverride w:ilvl="6">
      <w:lvl w:ilvl="6">
        <w:start w:val="1"/>
        <w:numFmt w:val="none"/>
        <w:lvlText w:val=""/>
        <w:lvlJc w:val="left"/>
        <w:pPr>
          <w:ind w:left="1531" w:hanging="340"/>
        </w:pPr>
        <w:rPr>
          <w:rFonts w:hint="default"/>
        </w:rPr>
      </w:lvl>
    </w:lvlOverride>
    <w:lvlOverride w:ilvl="7">
      <w:lvl w:ilvl="7">
        <w:start w:val="1"/>
        <w:numFmt w:val="none"/>
        <w:lvlText w:val=""/>
        <w:lvlJc w:val="left"/>
        <w:pPr>
          <w:ind w:left="1531" w:hanging="340"/>
        </w:pPr>
        <w:rPr>
          <w:rFonts w:hint="default"/>
        </w:rPr>
      </w:lvl>
    </w:lvlOverride>
    <w:lvlOverride w:ilvl="8">
      <w:lvl w:ilvl="8">
        <w:start w:val="1"/>
        <w:numFmt w:val="none"/>
        <w:lvlText w:val=""/>
        <w:lvlJc w:val="left"/>
        <w:pPr>
          <w:ind w:left="1531" w:hanging="340"/>
        </w:pPr>
        <w:rPr>
          <w:rFonts w:hint="default"/>
        </w:rPr>
      </w:lvl>
    </w:lvlOverride>
  </w:num>
  <w:num w:numId="11">
    <w:abstractNumId w:val="5"/>
  </w:num>
  <w:num w:numId="12">
    <w:abstractNumId w:val="7"/>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lvlOverride w:ilvl="0">
      <w:startOverride w:val="1"/>
    </w:lvlOverride>
  </w:num>
  <w:num w:numId="17">
    <w:abstractNumId w:val="13"/>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3"/>
    <w:lvlOverride w:ilvl="0">
      <w:lvl w:ilvl="0">
        <w:start w:val="1"/>
        <w:numFmt w:val="decimal"/>
        <w:pStyle w:val="SectionTitle"/>
        <w:suff w:val="space"/>
        <w:lvlText w:val="%1."/>
        <w:lvlJc w:val="left"/>
        <w:pPr>
          <w:ind w:left="0" w:firstLine="0"/>
        </w:pPr>
      </w:lvl>
    </w:lvlOverride>
    <w:lvlOverride w:ilvl="1">
      <w:lvl w:ilvl="1">
        <w:start w:val="1"/>
        <w:numFmt w:val="decimal"/>
        <w:pStyle w:val="Numberedparagraphs"/>
        <w:lvlText w:val="%1.%2"/>
        <w:lvlJc w:val="left"/>
        <w:pPr>
          <w:ind w:left="851" w:hanging="851"/>
        </w:pPr>
      </w:lvl>
    </w:lvlOverride>
    <w:lvlOverride w:ilvl="2">
      <w:lvl w:ilvl="2">
        <w:start w:val="1"/>
        <w:numFmt w:val="decimal"/>
        <w:pStyle w:val="aparagraphs"/>
        <w:lvlText w:val="%3)"/>
        <w:lvlJc w:val="left"/>
        <w:pPr>
          <w:ind w:left="1191" w:hanging="340"/>
        </w:pPr>
      </w:lvl>
    </w:lvlOverride>
    <w:lvlOverride w:ilvl="3">
      <w:lvl w:ilvl="3">
        <w:start w:val="1"/>
        <w:numFmt w:val="decimal"/>
        <w:pStyle w:val="iparagraphs"/>
        <w:lvlText w:val="%4)"/>
        <w:lvlJc w:val="left"/>
        <w:pPr>
          <w:tabs>
            <w:tab w:val="num" w:pos="1191"/>
          </w:tabs>
          <w:ind w:left="1531" w:hanging="340"/>
        </w:pPr>
      </w:lvl>
    </w:lvlOverride>
    <w:lvlOverride w:ilvl="4">
      <w:lvl w:ilvl="4">
        <w:start w:val="1"/>
        <w:numFmt w:val="decimal"/>
        <w:lvlText w:val=""/>
        <w:lvlJc w:val="left"/>
        <w:pPr>
          <w:ind w:left="1531" w:hanging="340"/>
        </w:pPr>
      </w:lvl>
    </w:lvlOverride>
    <w:lvlOverride w:ilvl="5">
      <w:lvl w:ilvl="5">
        <w:start w:val="1"/>
        <w:numFmt w:val="decimal"/>
        <w:lvlText w:val=""/>
        <w:lvlJc w:val="left"/>
        <w:pPr>
          <w:ind w:left="1531" w:hanging="340"/>
        </w:pPr>
      </w:lvl>
    </w:lvlOverride>
    <w:lvlOverride w:ilvl="6">
      <w:lvl w:ilvl="6">
        <w:start w:val="1"/>
        <w:numFmt w:val="decimal"/>
        <w:lvlText w:val=""/>
        <w:lvlJc w:val="left"/>
        <w:pPr>
          <w:ind w:left="1531" w:hanging="340"/>
        </w:pPr>
      </w:lvl>
    </w:lvlOverride>
    <w:lvlOverride w:ilvl="7">
      <w:lvl w:ilvl="7">
        <w:start w:val="1"/>
        <w:numFmt w:val="decimal"/>
        <w:lvlText w:val=""/>
        <w:lvlJc w:val="left"/>
        <w:pPr>
          <w:ind w:left="1531" w:hanging="340"/>
        </w:pPr>
      </w:lvl>
    </w:lvlOverride>
    <w:lvlOverride w:ilvl="8">
      <w:lvl w:ilvl="8">
        <w:start w:val="1"/>
        <w:numFmt w:val="decimal"/>
        <w:lvlText w:val=""/>
        <w:lvlJc w:val="left"/>
        <w:pPr>
          <w:ind w:left="1531" w:hanging="340"/>
        </w:pPr>
      </w:lvl>
    </w:lvlOverride>
  </w:num>
  <w:num w:numId="21">
    <w:abstractNumId w:val="3"/>
    <w:lvlOverride w:ilvl="0">
      <w:lvl w:ilvl="0">
        <w:start w:val="1"/>
        <w:numFmt w:val="decimal"/>
        <w:pStyle w:val="SectionTitle"/>
        <w:suff w:val="space"/>
        <w:lvlText w:val="%1."/>
        <w:lvlJc w:val="left"/>
        <w:pPr>
          <w:ind w:left="0" w:firstLine="0"/>
        </w:pPr>
      </w:lvl>
    </w:lvlOverride>
    <w:lvlOverride w:ilvl="1">
      <w:lvl w:ilvl="1">
        <w:start w:val="1"/>
        <w:numFmt w:val="decimal"/>
        <w:pStyle w:val="Numberedparagraphs"/>
        <w:lvlText w:val="%1.%2"/>
        <w:lvlJc w:val="left"/>
        <w:pPr>
          <w:ind w:left="851" w:hanging="851"/>
        </w:pPr>
        <w:rPr>
          <w:sz w:val="22"/>
          <w:szCs w:val="22"/>
        </w:rPr>
      </w:lvl>
    </w:lvlOverride>
    <w:lvlOverride w:ilvl="2">
      <w:lvl w:ilvl="2">
        <w:start w:val="1"/>
        <w:numFmt w:val="decimal"/>
        <w:pStyle w:val="aparagraphs"/>
        <w:lvlText w:val="%3)"/>
        <w:lvlJc w:val="left"/>
        <w:pPr>
          <w:ind w:left="1191" w:hanging="340"/>
        </w:pPr>
      </w:lvl>
    </w:lvlOverride>
    <w:lvlOverride w:ilvl="3">
      <w:lvl w:ilvl="3">
        <w:start w:val="1"/>
        <w:numFmt w:val="decimal"/>
        <w:pStyle w:val="iparagraphs"/>
        <w:lvlText w:val="%4)"/>
        <w:lvlJc w:val="left"/>
        <w:pPr>
          <w:tabs>
            <w:tab w:val="num" w:pos="1191"/>
          </w:tabs>
          <w:ind w:left="1531" w:hanging="340"/>
        </w:pPr>
      </w:lvl>
    </w:lvlOverride>
    <w:lvlOverride w:ilvl="4">
      <w:lvl w:ilvl="4">
        <w:start w:val="1"/>
        <w:numFmt w:val="decimal"/>
        <w:lvlText w:val=""/>
        <w:lvlJc w:val="left"/>
        <w:pPr>
          <w:ind w:left="1531" w:hanging="340"/>
        </w:pPr>
      </w:lvl>
    </w:lvlOverride>
    <w:lvlOverride w:ilvl="5">
      <w:lvl w:ilvl="5">
        <w:start w:val="1"/>
        <w:numFmt w:val="decimal"/>
        <w:lvlText w:val=""/>
        <w:lvlJc w:val="left"/>
        <w:pPr>
          <w:ind w:left="1531" w:hanging="340"/>
        </w:pPr>
      </w:lvl>
    </w:lvlOverride>
    <w:lvlOverride w:ilvl="6">
      <w:lvl w:ilvl="6">
        <w:start w:val="1"/>
        <w:numFmt w:val="decimal"/>
        <w:lvlText w:val=""/>
        <w:lvlJc w:val="left"/>
        <w:pPr>
          <w:ind w:left="1531" w:hanging="340"/>
        </w:pPr>
      </w:lvl>
    </w:lvlOverride>
    <w:lvlOverride w:ilvl="7">
      <w:lvl w:ilvl="7">
        <w:start w:val="1"/>
        <w:numFmt w:val="decimal"/>
        <w:lvlText w:val=""/>
        <w:lvlJc w:val="left"/>
        <w:pPr>
          <w:ind w:left="1531" w:hanging="340"/>
        </w:pPr>
      </w:lvl>
    </w:lvlOverride>
    <w:lvlOverride w:ilvl="8">
      <w:lvl w:ilvl="8">
        <w:start w:val="1"/>
        <w:numFmt w:val="decimal"/>
        <w:lvlText w:val=""/>
        <w:lvlJc w:val="left"/>
        <w:pPr>
          <w:ind w:left="1531" w:hanging="340"/>
        </w:pPr>
      </w:lvl>
    </w:lvlOverride>
  </w:num>
  <w:num w:numId="22">
    <w:abstractNumId w:val="3"/>
    <w:lvlOverride w:ilvl="1">
      <w:lvl w:ilvl="1">
        <w:start w:val="1"/>
        <w:numFmt w:val="decimal"/>
        <w:pStyle w:val="Numberedparagraphs"/>
        <w:lvlText w:val="%1.%2"/>
        <w:lvlJc w:val="left"/>
        <w:pPr>
          <w:ind w:left="851" w:hanging="851"/>
        </w:pPr>
        <w:rPr>
          <w:rFonts w:hint="default"/>
          <w:b w:val="0"/>
          <w:i w:val="0"/>
        </w:rPr>
      </w:lvl>
    </w:lvlOverride>
    <w:lvlOverride w:ilvl="2">
      <w:lvl w:ilvl="2">
        <w:start w:val="1"/>
        <w:numFmt w:val="lowerLetter"/>
        <w:pStyle w:val="aparagraphs"/>
        <w:lvlText w:val="%3)"/>
        <w:lvlJc w:val="left"/>
        <w:pPr>
          <w:ind w:left="1191" w:hanging="340"/>
        </w:pPr>
        <w:rPr>
          <w:rFonts w:hint="default"/>
          <w:i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0"/>
    <w:rsid w:val="00000ABF"/>
    <w:rsid w:val="00001A0A"/>
    <w:rsid w:val="000064F4"/>
    <w:rsid w:val="0001112E"/>
    <w:rsid w:val="00012E3B"/>
    <w:rsid w:val="0001496D"/>
    <w:rsid w:val="000174A1"/>
    <w:rsid w:val="000331D9"/>
    <w:rsid w:val="00041A18"/>
    <w:rsid w:val="0004622B"/>
    <w:rsid w:val="00052975"/>
    <w:rsid w:val="00067793"/>
    <w:rsid w:val="00075E49"/>
    <w:rsid w:val="00080D4D"/>
    <w:rsid w:val="000811B7"/>
    <w:rsid w:val="00082DD7"/>
    <w:rsid w:val="00095620"/>
    <w:rsid w:val="00097452"/>
    <w:rsid w:val="000A3940"/>
    <w:rsid w:val="000A6AA1"/>
    <w:rsid w:val="000B6D45"/>
    <w:rsid w:val="000C028F"/>
    <w:rsid w:val="000C0DB6"/>
    <w:rsid w:val="000C5C63"/>
    <w:rsid w:val="000D1009"/>
    <w:rsid w:val="000D1710"/>
    <w:rsid w:val="000D43BB"/>
    <w:rsid w:val="000D4F77"/>
    <w:rsid w:val="000E3E4D"/>
    <w:rsid w:val="000E42F5"/>
    <w:rsid w:val="000E4A29"/>
    <w:rsid w:val="000F0594"/>
    <w:rsid w:val="000F0CA8"/>
    <w:rsid w:val="000F24F5"/>
    <w:rsid w:val="000F2ED9"/>
    <w:rsid w:val="001006CA"/>
    <w:rsid w:val="00100F8B"/>
    <w:rsid w:val="00102172"/>
    <w:rsid w:val="00102F99"/>
    <w:rsid w:val="001037C8"/>
    <w:rsid w:val="0010617C"/>
    <w:rsid w:val="00110652"/>
    <w:rsid w:val="0011384E"/>
    <w:rsid w:val="0011738B"/>
    <w:rsid w:val="0014025E"/>
    <w:rsid w:val="0014162A"/>
    <w:rsid w:val="001526A2"/>
    <w:rsid w:val="00154F16"/>
    <w:rsid w:val="00156314"/>
    <w:rsid w:val="001638D0"/>
    <w:rsid w:val="001675F5"/>
    <w:rsid w:val="00172B28"/>
    <w:rsid w:val="001744FF"/>
    <w:rsid w:val="00183FE0"/>
    <w:rsid w:val="0018553F"/>
    <w:rsid w:val="001A01CA"/>
    <w:rsid w:val="001A5282"/>
    <w:rsid w:val="001A6C10"/>
    <w:rsid w:val="001B0583"/>
    <w:rsid w:val="001B253C"/>
    <w:rsid w:val="001C0DF6"/>
    <w:rsid w:val="001C30A8"/>
    <w:rsid w:val="001E4744"/>
    <w:rsid w:val="0020079A"/>
    <w:rsid w:val="00200F30"/>
    <w:rsid w:val="0020606D"/>
    <w:rsid w:val="00222F9E"/>
    <w:rsid w:val="002302A9"/>
    <w:rsid w:val="00231A0F"/>
    <w:rsid w:val="00247B0B"/>
    <w:rsid w:val="002533ED"/>
    <w:rsid w:val="00263FFB"/>
    <w:rsid w:val="00265F50"/>
    <w:rsid w:val="00274F84"/>
    <w:rsid w:val="0027787F"/>
    <w:rsid w:val="0028060B"/>
    <w:rsid w:val="0028120C"/>
    <w:rsid w:val="00283417"/>
    <w:rsid w:val="00283999"/>
    <w:rsid w:val="00295827"/>
    <w:rsid w:val="00295F16"/>
    <w:rsid w:val="00296C44"/>
    <w:rsid w:val="002A033F"/>
    <w:rsid w:val="002A2141"/>
    <w:rsid w:val="002C38DF"/>
    <w:rsid w:val="002C6DC3"/>
    <w:rsid w:val="002D1FA9"/>
    <w:rsid w:val="002D378F"/>
    <w:rsid w:val="002D50A3"/>
    <w:rsid w:val="002F70E6"/>
    <w:rsid w:val="003007C0"/>
    <w:rsid w:val="00307A79"/>
    <w:rsid w:val="003204D5"/>
    <w:rsid w:val="00320ED0"/>
    <w:rsid w:val="00322A45"/>
    <w:rsid w:val="00322E6A"/>
    <w:rsid w:val="00325C78"/>
    <w:rsid w:val="003314A0"/>
    <w:rsid w:val="00341A46"/>
    <w:rsid w:val="00347735"/>
    <w:rsid w:val="003478B5"/>
    <w:rsid w:val="00347AA1"/>
    <w:rsid w:val="00367681"/>
    <w:rsid w:val="00381169"/>
    <w:rsid w:val="0038287C"/>
    <w:rsid w:val="0038358E"/>
    <w:rsid w:val="00386DA3"/>
    <w:rsid w:val="00387DDE"/>
    <w:rsid w:val="00391A01"/>
    <w:rsid w:val="00397794"/>
    <w:rsid w:val="003A0EB5"/>
    <w:rsid w:val="003A5711"/>
    <w:rsid w:val="003C64D9"/>
    <w:rsid w:val="003E2E42"/>
    <w:rsid w:val="003E69C2"/>
    <w:rsid w:val="003E70E0"/>
    <w:rsid w:val="00403CE6"/>
    <w:rsid w:val="004110CA"/>
    <w:rsid w:val="0041160E"/>
    <w:rsid w:val="0042761F"/>
    <w:rsid w:val="00431162"/>
    <w:rsid w:val="0044034A"/>
    <w:rsid w:val="00441EE0"/>
    <w:rsid w:val="00443482"/>
    <w:rsid w:val="00450308"/>
    <w:rsid w:val="00457AD1"/>
    <w:rsid w:val="0046427F"/>
    <w:rsid w:val="004716DF"/>
    <w:rsid w:val="0047266A"/>
    <w:rsid w:val="0048156E"/>
    <w:rsid w:val="00485665"/>
    <w:rsid w:val="00485E95"/>
    <w:rsid w:val="004912DD"/>
    <w:rsid w:val="00491977"/>
    <w:rsid w:val="004A1329"/>
    <w:rsid w:val="004B7CE7"/>
    <w:rsid w:val="004C1A87"/>
    <w:rsid w:val="004C2CF4"/>
    <w:rsid w:val="004C4A2E"/>
    <w:rsid w:val="004E057E"/>
    <w:rsid w:val="004E1A61"/>
    <w:rsid w:val="004E44C8"/>
    <w:rsid w:val="004E53BE"/>
    <w:rsid w:val="004E7F82"/>
    <w:rsid w:val="004F2BD0"/>
    <w:rsid w:val="004F3EA9"/>
    <w:rsid w:val="00501992"/>
    <w:rsid w:val="005026AC"/>
    <w:rsid w:val="00510AE7"/>
    <w:rsid w:val="00515069"/>
    <w:rsid w:val="005204B1"/>
    <w:rsid w:val="00520EFD"/>
    <w:rsid w:val="0053062A"/>
    <w:rsid w:val="00535050"/>
    <w:rsid w:val="00536AC3"/>
    <w:rsid w:val="00536F3C"/>
    <w:rsid w:val="0054260E"/>
    <w:rsid w:val="00543A13"/>
    <w:rsid w:val="00543D6E"/>
    <w:rsid w:val="00550D79"/>
    <w:rsid w:val="005559AC"/>
    <w:rsid w:val="00555FB3"/>
    <w:rsid w:val="00557B5A"/>
    <w:rsid w:val="005611D0"/>
    <w:rsid w:val="00566BD4"/>
    <w:rsid w:val="00576411"/>
    <w:rsid w:val="00577CAF"/>
    <w:rsid w:val="00580223"/>
    <w:rsid w:val="00583F8E"/>
    <w:rsid w:val="00583FFF"/>
    <w:rsid w:val="00594186"/>
    <w:rsid w:val="005A05D1"/>
    <w:rsid w:val="005A53B8"/>
    <w:rsid w:val="005B202B"/>
    <w:rsid w:val="005C10EB"/>
    <w:rsid w:val="005C2301"/>
    <w:rsid w:val="005C5A96"/>
    <w:rsid w:val="005D371D"/>
    <w:rsid w:val="005E7495"/>
    <w:rsid w:val="0060308C"/>
    <w:rsid w:val="00605755"/>
    <w:rsid w:val="0061131D"/>
    <w:rsid w:val="00617ECD"/>
    <w:rsid w:val="00621C12"/>
    <w:rsid w:val="00623E18"/>
    <w:rsid w:val="00625C5D"/>
    <w:rsid w:val="006324CF"/>
    <w:rsid w:val="00635A22"/>
    <w:rsid w:val="00642083"/>
    <w:rsid w:val="00645E84"/>
    <w:rsid w:val="0065550D"/>
    <w:rsid w:val="00664295"/>
    <w:rsid w:val="00665364"/>
    <w:rsid w:val="00666AD8"/>
    <w:rsid w:val="00667B35"/>
    <w:rsid w:val="006713EB"/>
    <w:rsid w:val="00673A9B"/>
    <w:rsid w:val="006876A8"/>
    <w:rsid w:val="006A3B77"/>
    <w:rsid w:val="006A49E3"/>
    <w:rsid w:val="006B1EFD"/>
    <w:rsid w:val="006C14E4"/>
    <w:rsid w:val="006C4972"/>
    <w:rsid w:val="006C6DA8"/>
    <w:rsid w:val="006C7F61"/>
    <w:rsid w:val="006D407F"/>
    <w:rsid w:val="006E5E5C"/>
    <w:rsid w:val="006F0442"/>
    <w:rsid w:val="00705AA9"/>
    <w:rsid w:val="00714F0F"/>
    <w:rsid w:val="007160BE"/>
    <w:rsid w:val="00722F65"/>
    <w:rsid w:val="00724DBD"/>
    <w:rsid w:val="007257CD"/>
    <w:rsid w:val="00733632"/>
    <w:rsid w:val="00733C80"/>
    <w:rsid w:val="00734458"/>
    <w:rsid w:val="00734A4F"/>
    <w:rsid w:val="007414C6"/>
    <w:rsid w:val="00762BCC"/>
    <w:rsid w:val="00763BA3"/>
    <w:rsid w:val="00765B66"/>
    <w:rsid w:val="00767BB2"/>
    <w:rsid w:val="0077159C"/>
    <w:rsid w:val="00776D23"/>
    <w:rsid w:val="00780376"/>
    <w:rsid w:val="00780EE3"/>
    <w:rsid w:val="007830D5"/>
    <w:rsid w:val="00791AAC"/>
    <w:rsid w:val="00797D4C"/>
    <w:rsid w:val="00797DEE"/>
    <w:rsid w:val="007B1392"/>
    <w:rsid w:val="007C0E7E"/>
    <w:rsid w:val="007C22E2"/>
    <w:rsid w:val="007C4098"/>
    <w:rsid w:val="007D17C5"/>
    <w:rsid w:val="007D52EC"/>
    <w:rsid w:val="007E1A57"/>
    <w:rsid w:val="007F1CEE"/>
    <w:rsid w:val="0080029E"/>
    <w:rsid w:val="00806C67"/>
    <w:rsid w:val="00807C77"/>
    <w:rsid w:val="00837537"/>
    <w:rsid w:val="00842766"/>
    <w:rsid w:val="00854EBF"/>
    <w:rsid w:val="0086094D"/>
    <w:rsid w:val="0086731C"/>
    <w:rsid w:val="00872382"/>
    <w:rsid w:val="00886906"/>
    <w:rsid w:val="008912FE"/>
    <w:rsid w:val="00892477"/>
    <w:rsid w:val="00896B30"/>
    <w:rsid w:val="008A12DA"/>
    <w:rsid w:val="008A245D"/>
    <w:rsid w:val="008A54FC"/>
    <w:rsid w:val="008A69DC"/>
    <w:rsid w:val="008B08D6"/>
    <w:rsid w:val="008B2B15"/>
    <w:rsid w:val="008B659D"/>
    <w:rsid w:val="008B70CD"/>
    <w:rsid w:val="008D141C"/>
    <w:rsid w:val="008D2493"/>
    <w:rsid w:val="008D2C13"/>
    <w:rsid w:val="008E6109"/>
    <w:rsid w:val="008E6D92"/>
    <w:rsid w:val="008E6E1F"/>
    <w:rsid w:val="008F47AB"/>
    <w:rsid w:val="008F6AA3"/>
    <w:rsid w:val="00905974"/>
    <w:rsid w:val="00905EDF"/>
    <w:rsid w:val="00907A34"/>
    <w:rsid w:val="009170EA"/>
    <w:rsid w:val="0092076F"/>
    <w:rsid w:val="00923695"/>
    <w:rsid w:val="00930439"/>
    <w:rsid w:val="00937AEB"/>
    <w:rsid w:val="00942BA5"/>
    <w:rsid w:val="009447FA"/>
    <w:rsid w:val="009464E7"/>
    <w:rsid w:val="00964461"/>
    <w:rsid w:val="009662E3"/>
    <w:rsid w:val="00966DD9"/>
    <w:rsid w:val="009726E1"/>
    <w:rsid w:val="00976E65"/>
    <w:rsid w:val="00986677"/>
    <w:rsid w:val="0099421C"/>
    <w:rsid w:val="009A2F3A"/>
    <w:rsid w:val="009A6DF6"/>
    <w:rsid w:val="009A7A45"/>
    <w:rsid w:val="009C3803"/>
    <w:rsid w:val="009D2C13"/>
    <w:rsid w:val="009D3BA5"/>
    <w:rsid w:val="009D4BA1"/>
    <w:rsid w:val="009D7D5A"/>
    <w:rsid w:val="009D7F70"/>
    <w:rsid w:val="009E47EB"/>
    <w:rsid w:val="009F3A37"/>
    <w:rsid w:val="009F6EA2"/>
    <w:rsid w:val="00A02090"/>
    <w:rsid w:val="00A03731"/>
    <w:rsid w:val="00A061CE"/>
    <w:rsid w:val="00A076B5"/>
    <w:rsid w:val="00A1033B"/>
    <w:rsid w:val="00A106E1"/>
    <w:rsid w:val="00A17F69"/>
    <w:rsid w:val="00A23870"/>
    <w:rsid w:val="00A24E10"/>
    <w:rsid w:val="00A274DB"/>
    <w:rsid w:val="00A33A9E"/>
    <w:rsid w:val="00A41E1E"/>
    <w:rsid w:val="00A61AFB"/>
    <w:rsid w:val="00A6411D"/>
    <w:rsid w:val="00A64AA9"/>
    <w:rsid w:val="00A673EB"/>
    <w:rsid w:val="00A73298"/>
    <w:rsid w:val="00A751C0"/>
    <w:rsid w:val="00A814AE"/>
    <w:rsid w:val="00A84B30"/>
    <w:rsid w:val="00A90646"/>
    <w:rsid w:val="00A91722"/>
    <w:rsid w:val="00A95ACB"/>
    <w:rsid w:val="00A97744"/>
    <w:rsid w:val="00A97942"/>
    <w:rsid w:val="00AA079B"/>
    <w:rsid w:val="00AA086A"/>
    <w:rsid w:val="00AA145E"/>
    <w:rsid w:val="00AB7740"/>
    <w:rsid w:val="00AC0EA5"/>
    <w:rsid w:val="00AC2686"/>
    <w:rsid w:val="00AD1BE1"/>
    <w:rsid w:val="00AD45FB"/>
    <w:rsid w:val="00AD4C44"/>
    <w:rsid w:val="00AD7257"/>
    <w:rsid w:val="00AE6DBA"/>
    <w:rsid w:val="00AF0889"/>
    <w:rsid w:val="00AF2D0C"/>
    <w:rsid w:val="00AF4C0E"/>
    <w:rsid w:val="00B01187"/>
    <w:rsid w:val="00B05E3D"/>
    <w:rsid w:val="00B1278D"/>
    <w:rsid w:val="00B14E5E"/>
    <w:rsid w:val="00B17E0E"/>
    <w:rsid w:val="00B25910"/>
    <w:rsid w:val="00B26973"/>
    <w:rsid w:val="00B30D3B"/>
    <w:rsid w:val="00B31989"/>
    <w:rsid w:val="00B31A03"/>
    <w:rsid w:val="00B36BD4"/>
    <w:rsid w:val="00B432D4"/>
    <w:rsid w:val="00B5315C"/>
    <w:rsid w:val="00B559FF"/>
    <w:rsid w:val="00B576D7"/>
    <w:rsid w:val="00B76067"/>
    <w:rsid w:val="00B80892"/>
    <w:rsid w:val="00B82735"/>
    <w:rsid w:val="00B92306"/>
    <w:rsid w:val="00B92861"/>
    <w:rsid w:val="00BA7A69"/>
    <w:rsid w:val="00BB15E2"/>
    <w:rsid w:val="00BB619F"/>
    <w:rsid w:val="00BC2119"/>
    <w:rsid w:val="00BD28DF"/>
    <w:rsid w:val="00BD59EE"/>
    <w:rsid w:val="00BD6876"/>
    <w:rsid w:val="00BE0B23"/>
    <w:rsid w:val="00BE2864"/>
    <w:rsid w:val="00BF2DF2"/>
    <w:rsid w:val="00C00565"/>
    <w:rsid w:val="00C076BF"/>
    <w:rsid w:val="00C212B5"/>
    <w:rsid w:val="00C2531C"/>
    <w:rsid w:val="00C25F81"/>
    <w:rsid w:val="00C27F02"/>
    <w:rsid w:val="00C30407"/>
    <w:rsid w:val="00C32C20"/>
    <w:rsid w:val="00C43AAB"/>
    <w:rsid w:val="00C44908"/>
    <w:rsid w:val="00C504F4"/>
    <w:rsid w:val="00C512DE"/>
    <w:rsid w:val="00C51952"/>
    <w:rsid w:val="00C53708"/>
    <w:rsid w:val="00C57E85"/>
    <w:rsid w:val="00C65BB4"/>
    <w:rsid w:val="00C8071C"/>
    <w:rsid w:val="00C816CB"/>
    <w:rsid w:val="00C82461"/>
    <w:rsid w:val="00C838F9"/>
    <w:rsid w:val="00C91E3B"/>
    <w:rsid w:val="00CA07CC"/>
    <w:rsid w:val="00CA25B5"/>
    <w:rsid w:val="00CA4730"/>
    <w:rsid w:val="00CA4DBC"/>
    <w:rsid w:val="00CA4FCE"/>
    <w:rsid w:val="00CA5F8F"/>
    <w:rsid w:val="00CB6C3A"/>
    <w:rsid w:val="00CC19EE"/>
    <w:rsid w:val="00CC5A6F"/>
    <w:rsid w:val="00CC620F"/>
    <w:rsid w:val="00CD07E7"/>
    <w:rsid w:val="00CE113D"/>
    <w:rsid w:val="00CE271A"/>
    <w:rsid w:val="00CE6FF5"/>
    <w:rsid w:val="00CF5245"/>
    <w:rsid w:val="00D06683"/>
    <w:rsid w:val="00D07B1A"/>
    <w:rsid w:val="00D1101B"/>
    <w:rsid w:val="00D1167E"/>
    <w:rsid w:val="00D140E3"/>
    <w:rsid w:val="00D234E7"/>
    <w:rsid w:val="00D27B84"/>
    <w:rsid w:val="00D30E46"/>
    <w:rsid w:val="00D3663D"/>
    <w:rsid w:val="00D41B0A"/>
    <w:rsid w:val="00D4349F"/>
    <w:rsid w:val="00D47EF6"/>
    <w:rsid w:val="00D50AC8"/>
    <w:rsid w:val="00D53F18"/>
    <w:rsid w:val="00D60A44"/>
    <w:rsid w:val="00D6787C"/>
    <w:rsid w:val="00D72A74"/>
    <w:rsid w:val="00D7390F"/>
    <w:rsid w:val="00D74F04"/>
    <w:rsid w:val="00D75D68"/>
    <w:rsid w:val="00D90913"/>
    <w:rsid w:val="00D92BEC"/>
    <w:rsid w:val="00DA18F2"/>
    <w:rsid w:val="00DB17F9"/>
    <w:rsid w:val="00DB530B"/>
    <w:rsid w:val="00DB58D0"/>
    <w:rsid w:val="00DD2578"/>
    <w:rsid w:val="00DD5136"/>
    <w:rsid w:val="00DD5EDC"/>
    <w:rsid w:val="00DD6973"/>
    <w:rsid w:val="00DE05E5"/>
    <w:rsid w:val="00DF2C67"/>
    <w:rsid w:val="00DF3AE2"/>
    <w:rsid w:val="00DF7D21"/>
    <w:rsid w:val="00E02130"/>
    <w:rsid w:val="00E03771"/>
    <w:rsid w:val="00E059C5"/>
    <w:rsid w:val="00E069EB"/>
    <w:rsid w:val="00E11D7E"/>
    <w:rsid w:val="00E14334"/>
    <w:rsid w:val="00E16A73"/>
    <w:rsid w:val="00E2303A"/>
    <w:rsid w:val="00E24036"/>
    <w:rsid w:val="00E343BD"/>
    <w:rsid w:val="00E348D9"/>
    <w:rsid w:val="00E36601"/>
    <w:rsid w:val="00E444F6"/>
    <w:rsid w:val="00E46600"/>
    <w:rsid w:val="00E60351"/>
    <w:rsid w:val="00E653BF"/>
    <w:rsid w:val="00E668CE"/>
    <w:rsid w:val="00E71AE7"/>
    <w:rsid w:val="00E752E6"/>
    <w:rsid w:val="00EA2ED5"/>
    <w:rsid w:val="00EA6088"/>
    <w:rsid w:val="00EA7328"/>
    <w:rsid w:val="00EA7EEE"/>
    <w:rsid w:val="00EC1A2C"/>
    <w:rsid w:val="00EC313E"/>
    <w:rsid w:val="00ED2C10"/>
    <w:rsid w:val="00ED5EA5"/>
    <w:rsid w:val="00EE7B9C"/>
    <w:rsid w:val="00EF05E5"/>
    <w:rsid w:val="00F11542"/>
    <w:rsid w:val="00F212EB"/>
    <w:rsid w:val="00F23D13"/>
    <w:rsid w:val="00F244FD"/>
    <w:rsid w:val="00F32DEC"/>
    <w:rsid w:val="00F4103A"/>
    <w:rsid w:val="00F41891"/>
    <w:rsid w:val="00F43E24"/>
    <w:rsid w:val="00F45561"/>
    <w:rsid w:val="00F465D3"/>
    <w:rsid w:val="00F51BD6"/>
    <w:rsid w:val="00F51FCF"/>
    <w:rsid w:val="00F5220E"/>
    <w:rsid w:val="00F56F06"/>
    <w:rsid w:val="00F56F62"/>
    <w:rsid w:val="00F62D48"/>
    <w:rsid w:val="00F67F68"/>
    <w:rsid w:val="00F73815"/>
    <w:rsid w:val="00F7770D"/>
    <w:rsid w:val="00F905E7"/>
    <w:rsid w:val="00F91FDD"/>
    <w:rsid w:val="00F93115"/>
    <w:rsid w:val="00F956DD"/>
    <w:rsid w:val="00FA4E32"/>
    <w:rsid w:val="00FA5792"/>
    <w:rsid w:val="00FB04BE"/>
    <w:rsid w:val="00FB200D"/>
    <w:rsid w:val="00FB3571"/>
    <w:rsid w:val="00FB4F1D"/>
    <w:rsid w:val="00FD669B"/>
    <w:rsid w:val="00FE20F4"/>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41C373E8"/>
  <w15:docId w15:val="{9D7B6B4A-B33B-448E-B501-9DF3F3D5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7">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semiHidden="1" w:uiPriority="31" w:qFormat="1"/>
    <w:lsdException w:name="Intense Reference" w:semiHidden="1"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aliases w:val="ECC Base"/>
    <w:semiHidden/>
    <w:qFormat/>
    <w:rsid w:val="00BB619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 Char3 Char,Footnote Text Char2 Char Char,Footnote Text Char Char Char1 Char Char,Footnote Text Char1 Char1 Char Char,Footnote Text Char Char Char2 Char,ALTS FOOTNOTE Char,Footnote Text Char3,ALTS FOOTNOTE,fn,f"/>
    <w:basedOn w:val="Normal"/>
    <w:link w:val="FootnoteTextChar"/>
    <w:uiPriority w:val="99"/>
    <w:qFormat/>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Footnote Text Char3 Char Char,Footnote Text Char2 Char Char Char,Footnote Text Char Char Char1 Char Char Char,Footnote Text Char1 Char1 Char Char Char,Footnote Text Char Char Char2 Char Char,ALTS FOOTNOTE Char Char"/>
    <w:basedOn w:val="DefaultParagraphFont"/>
    <w:link w:val="FootnoteText"/>
    <w:uiPriority w:val="99"/>
    <w:rsid w:val="001526A2"/>
    <w:rPr>
      <w:rFonts w:eastAsia="Calibri"/>
      <w:sz w:val="16"/>
      <w:szCs w:val="16"/>
      <w14:cntxtAlts/>
    </w:rPr>
  </w:style>
  <w:style w:type="character" w:styleId="FootnoteReference">
    <w:name w:val="footnote reference"/>
    <w:aliases w:val="ECC Footnote number,Footnote symbol,Footnote,Appel note de bas de p,Appel note de bas de p + (Asian) Batang,Black,(NECG) Footnote Reference,Nota,BVI fnr,SUPERS,(Footnote Reference),Voetnootverwijzing,Times 10 Point,Exposant 3 Point,o"/>
    <w:basedOn w:val="DefaultParagraphFont"/>
    <w:uiPriority w:val="99"/>
    <w:qFormat/>
    <w:rsid w:val="00DB17F9"/>
    <w:rPr>
      <w:rFonts w:ascii="Arial" w:hAnsi="Arial"/>
      <w:sz w:val="20"/>
      <w:vertAlign w:val="superscript"/>
    </w:rPr>
  </w:style>
  <w:style w:type="paragraph" w:styleId="Caption">
    <w:name w:val="caption"/>
    <w:aliases w:val="ECC Caption,Caption Char Char Char,Caption Char3,Caption Char4 Char,Caption Char3 Char Char,Caption Char5 Char Char Char,Caption Char3 Char Char Char Char1,Caption Char4 Char Char Char1 Char Char,Caption Char3 Char Char Char Char1 Char Char"/>
    <w:next w:val="Normal"/>
    <w:link w:val="CaptionChar"/>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link w:val="ListParagraphChar"/>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aliases w:val="tt,Deloitte,Table Definitions Grid,basic"/>
    <w:basedOn w:val="TableNormal"/>
    <w:uiPriority w:val="59"/>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character" w:styleId="UnresolvedMention">
    <w:name w:val="Unresolved Mention"/>
    <w:basedOn w:val="DefaultParagraphFont"/>
    <w:uiPriority w:val="99"/>
    <w:semiHidden/>
    <w:unhideWhenUsed/>
    <w:rsid w:val="000A6AA1"/>
    <w:rPr>
      <w:color w:val="605E5C"/>
      <w:shd w:val="clear" w:color="auto" w:fill="E1DFDD"/>
    </w:rPr>
  </w:style>
  <w:style w:type="paragraph" w:customStyle="1" w:styleId="ANNEXNumberedparagraphs">
    <w:name w:val="ANNEX Numbered paragraphs"/>
    <w:basedOn w:val="Normal"/>
    <w:uiPriority w:val="10"/>
    <w:qFormat/>
    <w:rsid w:val="00EA7328"/>
    <w:pPr>
      <w:numPr>
        <w:ilvl w:val="1"/>
        <w:numId w:val="11"/>
      </w:numPr>
      <w:spacing w:before="0" w:after="120" w:line="276" w:lineRule="auto"/>
      <w:jc w:val="left"/>
    </w:pPr>
    <w:rPr>
      <w:rFonts w:ascii="Calibri" w:eastAsiaTheme="minorEastAsia" w:hAnsi="Calibri" w:cstheme="minorBidi"/>
      <w:color w:val="404040"/>
      <w:sz w:val="22"/>
      <w:szCs w:val="24"/>
      <w:lang w:val="en-US"/>
    </w:rPr>
  </w:style>
  <w:style w:type="paragraph" w:customStyle="1" w:styleId="ANNEXaparagraphs">
    <w:name w:val="ANNEX a) paragraphs"/>
    <w:basedOn w:val="Normal"/>
    <w:uiPriority w:val="11"/>
    <w:qFormat/>
    <w:rsid w:val="00EA7328"/>
    <w:pPr>
      <w:keepLines/>
      <w:numPr>
        <w:ilvl w:val="2"/>
        <w:numId w:val="11"/>
      </w:numPr>
      <w:spacing w:before="0" w:after="120" w:line="276" w:lineRule="auto"/>
      <w:jc w:val="left"/>
    </w:pPr>
    <w:rPr>
      <w:rFonts w:ascii="Calibri" w:eastAsiaTheme="minorEastAsia" w:hAnsi="Calibri" w:cstheme="minorBidi"/>
      <w:color w:val="404040"/>
      <w:sz w:val="22"/>
      <w:szCs w:val="24"/>
      <w:lang w:val="en-US"/>
    </w:rPr>
  </w:style>
  <w:style w:type="paragraph" w:customStyle="1" w:styleId="ANNEXiparagraphs">
    <w:name w:val="ANNEX i) paragraphs"/>
    <w:basedOn w:val="Normal"/>
    <w:uiPriority w:val="12"/>
    <w:qFormat/>
    <w:rsid w:val="00EA7328"/>
    <w:pPr>
      <w:keepLines/>
      <w:numPr>
        <w:ilvl w:val="3"/>
        <w:numId w:val="11"/>
      </w:numPr>
      <w:spacing w:before="0" w:after="120" w:line="276" w:lineRule="auto"/>
      <w:jc w:val="left"/>
    </w:pPr>
    <w:rPr>
      <w:rFonts w:ascii="Calibri" w:eastAsiaTheme="minorEastAsia" w:hAnsi="Calibri" w:cstheme="minorBidi"/>
      <w:color w:val="404040"/>
      <w:sz w:val="22"/>
      <w:szCs w:val="24"/>
      <w:lang w:val="en-US"/>
    </w:rPr>
  </w:style>
  <w:style w:type="paragraph" w:customStyle="1" w:styleId="ANNEXTitle">
    <w:name w:val="ANNEX Title"/>
    <w:basedOn w:val="Normal"/>
    <w:next w:val="Normal"/>
    <w:uiPriority w:val="13"/>
    <w:qFormat/>
    <w:rsid w:val="00EA7328"/>
    <w:pPr>
      <w:keepNext/>
      <w:keepLines/>
      <w:pageBreakBefore/>
      <w:numPr>
        <w:numId w:val="11"/>
      </w:numPr>
      <w:spacing w:after="240"/>
      <w:jc w:val="left"/>
      <w:outlineLvl w:val="1"/>
    </w:pPr>
    <w:rPr>
      <w:rFonts w:ascii="Calibri" w:eastAsiaTheme="minorEastAsia" w:hAnsi="Calibri" w:cstheme="minorBidi"/>
      <w:color w:val="CC0044"/>
      <w:sz w:val="48"/>
      <w:szCs w:val="24"/>
      <w:lang w:val="en-US"/>
    </w:rPr>
  </w:style>
  <w:style w:type="numbering" w:customStyle="1" w:styleId="Annexnumbering">
    <w:name w:val="Annex numbering"/>
    <w:uiPriority w:val="99"/>
    <w:rsid w:val="00EA7328"/>
    <w:pPr>
      <w:numPr>
        <w:numId w:val="11"/>
      </w:numPr>
    </w:pPr>
  </w:style>
  <w:style w:type="paragraph" w:customStyle="1" w:styleId="Numberedparagraphs">
    <w:name w:val="Numbered paragraphs"/>
    <w:basedOn w:val="Normal"/>
    <w:link w:val="NumberedparagraphsChar"/>
    <w:qFormat/>
    <w:rsid w:val="00EA7328"/>
    <w:pPr>
      <w:numPr>
        <w:ilvl w:val="1"/>
        <w:numId w:val="13"/>
      </w:numPr>
      <w:spacing w:before="0" w:after="120" w:line="276" w:lineRule="auto"/>
      <w:jc w:val="left"/>
    </w:pPr>
    <w:rPr>
      <w:rFonts w:ascii="Calibri" w:eastAsiaTheme="minorEastAsia" w:hAnsi="Calibri" w:cstheme="minorBidi"/>
      <w:color w:val="404040"/>
      <w:sz w:val="22"/>
      <w:szCs w:val="24"/>
    </w:rPr>
  </w:style>
  <w:style w:type="paragraph" w:customStyle="1" w:styleId="ANNEXHeading3">
    <w:name w:val="ANNEX Heading 3"/>
    <w:basedOn w:val="Normal"/>
    <w:next w:val="ANNEXNumberedparagraphs"/>
    <w:qFormat/>
    <w:rsid w:val="00EA7328"/>
    <w:pPr>
      <w:keepNext/>
      <w:spacing w:before="200" w:after="240"/>
      <w:jc w:val="left"/>
      <w:outlineLvl w:val="3"/>
    </w:pPr>
    <w:rPr>
      <w:rFonts w:ascii="Calibri" w:eastAsiaTheme="minorEastAsia" w:hAnsi="Calibri" w:cstheme="minorBidi"/>
      <w:b/>
      <w:color w:val="404040"/>
      <w:sz w:val="28"/>
      <w:szCs w:val="24"/>
    </w:rPr>
  </w:style>
  <w:style w:type="numbering" w:customStyle="1" w:styleId="Sectionnumbering">
    <w:name w:val="Section numbering"/>
    <w:uiPriority w:val="99"/>
    <w:rsid w:val="00EA7328"/>
    <w:pPr>
      <w:numPr>
        <w:numId w:val="12"/>
      </w:numPr>
    </w:pPr>
  </w:style>
  <w:style w:type="paragraph" w:customStyle="1" w:styleId="aparagraphs">
    <w:name w:val="a) paragraphs"/>
    <w:basedOn w:val="Normal"/>
    <w:uiPriority w:val="1"/>
    <w:qFormat/>
    <w:rsid w:val="00EA7328"/>
    <w:pPr>
      <w:numPr>
        <w:ilvl w:val="2"/>
        <w:numId w:val="13"/>
      </w:numPr>
      <w:spacing w:before="0" w:after="120" w:line="276" w:lineRule="auto"/>
      <w:jc w:val="left"/>
    </w:pPr>
    <w:rPr>
      <w:rFonts w:ascii="Calibri" w:eastAsiaTheme="minorEastAsia" w:hAnsi="Calibri" w:cstheme="minorBidi"/>
      <w:color w:val="404040"/>
      <w:sz w:val="22"/>
      <w:szCs w:val="24"/>
    </w:rPr>
  </w:style>
  <w:style w:type="paragraph" w:customStyle="1" w:styleId="iparagraphs">
    <w:name w:val="i) paragraphs"/>
    <w:basedOn w:val="Normal"/>
    <w:uiPriority w:val="2"/>
    <w:qFormat/>
    <w:rsid w:val="00EA7328"/>
    <w:pPr>
      <w:numPr>
        <w:ilvl w:val="3"/>
        <w:numId w:val="13"/>
      </w:numPr>
      <w:spacing w:before="0" w:after="120" w:line="276" w:lineRule="auto"/>
      <w:jc w:val="left"/>
    </w:pPr>
    <w:rPr>
      <w:rFonts w:ascii="Calibri" w:eastAsiaTheme="minorEastAsia" w:hAnsi="Calibri" w:cstheme="minorBidi"/>
      <w:color w:val="404040"/>
      <w:sz w:val="22"/>
      <w:szCs w:val="24"/>
    </w:rPr>
  </w:style>
  <w:style w:type="paragraph" w:customStyle="1" w:styleId="SectionTitle">
    <w:name w:val="Section Title"/>
    <w:basedOn w:val="Normal"/>
    <w:next w:val="Heading2"/>
    <w:uiPriority w:val="5"/>
    <w:qFormat/>
    <w:rsid w:val="00EA7328"/>
    <w:pPr>
      <w:keepNext/>
      <w:pageBreakBefore/>
      <w:numPr>
        <w:numId w:val="13"/>
      </w:numPr>
      <w:spacing w:after="240"/>
      <w:jc w:val="left"/>
      <w:outlineLvl w:val="1"/>
    </w:pPr>
    <w:rPr>
      <w:rFonts w:ascii="Calibri" w:eastAsiaTheme="minorEastAsia" w:hAnsi="Calibri" w:cstheme="minorBidi"/>
      <w:color w:val="CC0044"/>
      <w:sz w:val="48"/>
      <w:szCs w:val="24"/>
    </w:rPr>
  </w:style>
  <w:style w:type="paragraph" w:customStyle="1" w:styleId="AnnexNumber">
    <w:name w:val="Annex Number"/>
    <w:next w:val="AnnexLevel1"/>
    <w:rsid w:val="00EA7328"/>
    <w:pPr>
      <w:pageBreakBefore/>
      <w:numPr>
        <w:numId w:val="15"/>
      </w:numPr>
      <w:spacing w:before="0" w:after="240"/>
      <w:jc w:val="left"/>
    </w:pPr>
    <w:rPr>
      <w:b/>
      <w:color w:val="CC0033"/>
      <w:sz w:val="24"/>
      <w:szCs w:val="24"/>
      <w:lang w:val="en-GB"/>
    </w:rPr>
  </w:style>
  <w:style w:type="paragraph" w:customStyle="1" w:styleId="AnnexLevel1">
    <w:name w:val="Annex Level 1"/>
    <w:next w:val="AnnexLevel2"/>
    <w:rsid w:val="00EA7328"/>
    <w:pPr>
      <w:keepNext/>
      <w:numPr>
        <w:ilvl w:val="1"/>
        <w:numId w:val="15"/>
      </w:numPr>
      <w:spacing w:after="240"/>
      <w:jc w:val="left"/>
    </w:pPr>
    <w:rPr>
      <w:color w:val="CC0033"/>
      <w:sz w:val="48"/>
      <w:szCs w:val="48"/>
      <w:lang w:val="en-GB" w:eastAsia="en-GB"/>
    </w:rPr>
  </w:style>
  <w:style w:type="paragraph" w:customStyle="1" w:styleId="AnnexLevel2">
    <w:name w:val="Annex Level 2"/>
    <w:next w:val="AnnexLevel3"/>
    <w:qFormat/>
    <w:rsid w:val="00EA7328"/>
    <w:pPr>
      <w:keepNext/>
      <w:keepLines/>
      <w:numPr>
        <w:ilvl w:val="2"/>
        <w:numId w:val="15"/>
      </w:numPr>
      <w:spacing w:before="0" w:after="240"/>
      <w:jc w:val="left"/>
    </w:pPr>
    <w:rPr>
      <w:b/>
      <w:color w:val="CC0033"/>
      <w:sz w:val="28"/>
      <w:szCs w:val="24"/>
      <w:lang w:val="en-GB"/>
    </w:rPr>
  </w:style>
  <w:style w:type="paragraph" w:customStyle="1" w:styleId="AnnexLevel3">
    <w:name w:val="Annex Level 3"/>
    <w:qFormat/>
    <w:rsid w:val="00EA7328"/>
    <w:pPr>
      <w:numPr>
        <w:ilvl w:val="3"/>
        <w:numId w:val="15"/>
      </w:numPr>
      <w:tabs>
        <w:tab w:val="left" w:pos="851"/>
      </w:tabs>
      <w:spacing w:before="0" w:after="240"/>
      <w:jc w:val="left"/>
    </w:pPr>
    <w:rPr>
      <w:color w:val="000000"/>
      <w:sz w:val="22"/>
      <w:szCs w:val="22"/>
      <w:lang w:val="en-GB"/>
    </w:rPr>
  </w:style>
  <w:style w:type="paragraph" w:customStyle="1" w:styleId="AnnexLevel4">
    <w:name w:val="Annex Level 4"/>
    <w:rsid w:val="00EA7328"/>
    <w:pPr>
      <w:numPr>
        <w:ilvl w:val="4"/>
        <w:numId w:val="15"/>
      </w:numPr>
      <w:spacing w:before="0" w:after="240"/>
      <w:jc w:val="left"/>
    </w:pPr>
    <w:rPr>
      <w:color w:val="000000"/>
      <w:sz w:val="22"/>
      <w:szCs w:val="22"/>
      <w:lang w:val="en-GB"/>
    </w:rPr>
  </w:style>
  <w:style w:type="paragraph" w:customStyle="1" w:styleId="Annexabullets">
    <w:name w:val="Annex a bullets"/>
    <w:qFormat/>
    <w:rsid w:val="00EA7328"/>
    <w:pPr>
      <w:numPr>
        <w:ilvl w:val="5"/>
        <w:numId w:val="15"/>
      </w:numPr>
      <w:spacing w:before="0" w:after="240"/>
      <w:jc w:val="left"/>
    </w:pPr>
    <w:rPr>
      <w:rFonts w:ascii="Calibri" w:hAnsi="Calibri"/>
      <w:color w:val="404040"/>
      <w:sz w:val="22"/>
      <w:szCs w:val="22"/>
      <w:lang w:val="en-GB"/>
    </w:rPr>
  </w:style>
  <w:style w:type="paragraph" w:customStyle="1" w:styleId="Annexibullets">
    <w:name w:val="Annex i bullets"/>
    <w:qFormat/>
    <w:rsid w:val="00EA7328"/>
    <w:pPr>
      <w:numPr>
        <w:ilvl w:val="6"/>
        <w:numId w:val="15"/>
      </w:numPr>
      <w:spacing w:before="0" w:after="240"/>
      <w:jc w:val="left"/>
    </w:pPr>
    <w:rPr>
      <w:color w:val="000000"/>
      <w:sz w:val="22"/>
      <w:szCs w:val="22"/>
      <w:lang w:val="en-GB"/>
    </w:rPr>
  </w:style>
  <w:style w:type="paragraph" w:customStyle="1" w:styleId="AnnexBodyText">
    <w:name w:val="Annex Body Text"/>
    <w:qFormat/>
    <w:rsid w:val="00EA7328"/>
    <w:pPr>
      <w:numPr>
        <w:ilvl w:val="7"/>
        <w:numId w:val="15"/>
      </w:numPr>
      <w:spacing w:before="0" w:after="240"/>
      <w:jc w:val="left"/>
    </w:pPr>
    <w:rPr>
      <w:color w:val="000000"/>
      <w:sz w:val="22"/>
      <w:szCs w:val="22"/>
      <w:lang w:val="en-GB"/>
    </w:rPr>
  </w:style>
  <w:style w:type="character" w:customStyle="1" w:styleId="ListParagraphChar">
    <w:name w:val="List Paragraph Char"/>
    <w:link w:val="ListParagraph"/>
    <w:uiPriority w:val="34"/>
    <w:locked/>
    <w:rsid w:val="00EA7328"/>
    <w:rPr>
      <w:rFonts w:eastAsia="Calibri"/>
      <w:szCs w:val="22"/>
      <w:lang w:val="en-GB"/>
    </w:rPr>
  </w:style>
  <w:style w:type="paragraph" w:styleId="NoSpacing">
    <w:name w:val="No Spacing"/>
    <w:uiPriority w:val="1"/>
    <w:qFormat/>
    <w:locked/>
    <w:rsid w:val="00EA7328"/>
    <w:pPr>
      <w:spacing w:before="0" w:after="0"/>
      <w:jc w:val="left"/>
    </w:pPr>
    <w:rPr>
      <w:rFonts w:asciiTheme="minorHAnsi" w:eastAsiaTheme="minorHAnsi" w:hAnsiTheme="minorHAnsi" w:cstheme="minorBidi"/>
      <w:color w:val="404040"/>
      <w:sz w:val="22"/>
      <w:szCs w:val="22"/>
      <w:lang w:val="en-US"/>
    </w:rPr>
  </w:style>
  <w:style w:type="paragraph" w:customStyle="1" w:styleId="NoSp">
    <w:name w:val="No Sp#"/>
    <w:basedOn w:val="Numberedparagraphs"/>
    <w:qFormat/>
    <w:rsid w:val="00EA7328"/>
    <w:pPr>
      <w:numPr>
        <w:ilvl w:val="0"/>
        <w:numId w:val="0"/>
      </w:numPr>
      <w:ind w:left="1134" w:hanging="425"/>
    </w:pPr>
    <w:rPr>
      <w:szCs w:val="22"/>
    </w:rPr>
  </w:style>
  <w:style w:type="character" w:customStyle="1" w:styleId="CaptionChar">
    <w:name w:val="Caption Char"/>
    <w:aliases w:val="ECC Caption Char,Caption Char Char Char Char,Caption Char3 Char,Caption Char4 Char Char,Caption Char3 Char Char Char,Caption Char5 Char Char Char Char,Caption Char3 Char Char Char Char1 Char,Caption Char4 Char Char Char1 Char Char Char"/>
    <w:basedOn w:val="DefaultParagraphFont"/>
    <w:link w:val="Caption"/>
    <w:rsid w:val="00EA7328"/>
    <w:rPr>
      <w:b/>
      <w:bCs/>
      <w:color w:val="D2232A"/>
    </w:rPr>
  </w:style>
  <w:style w:type="character" w:customStyle="1" w:styleId="NumberedparagraphsChar">
    <w:name w:val="Numbered paragraphs Char"/>
    <w:basedOn w:val="DefaultParagraphFont"/>
    <w:link w:val="Numberedparagraphs"/>
    <w:locked/>
    <w:rsid w:val="001C0DF6"/>
    <w:rPr>
      <w:rFonts w:ascii="Calibri" w:eastAsiaTheme="minorEastAsia" w:hAnsi="Calibri" w:cstheme="minorBidi"/>
      <w:color w:val="404040"/>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4768">
      <w:bodyDiv w:val="1"/>
      <w:marLeft w:val="0"/>
      <w:marRight w:val="0"/>
      <w:marTop w:val="0"/>
      <w:marBottom w:val="0"/>
      <w:divBdr>
        <w:top w:val="none" w:sz="0" w:space="0" w:color="auto"/>
        <w:left w:val="none" w:sz="0" w:space="0" w:color="auto"/>
        <w:bottom w:val="none" w:sz="0" w:space="0" w:color="auto"/>
        <w:right w:val="none" w:sz="0" w:space="0" w:color="auto"/>
      </w:divBdr>
    </w:div>
    <w:div w:id="15101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fcom.org.uk/__data/assets/pdf_file/0019/192412/information-memorandum-award-700mhz-3.6-3.8ghz-spectrum.pdf" TargetMode="External"/><Relationship Id="rId1" Type="http://schemas.openxmlformats.org/officeDocument/2006/relationships/hyperlink" Target="https://www.ecodocdb.dk/download/34f57e2a-1c04/ECCDEC110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f2cb4730c21cdd5b9a061f9315d3fc66">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71fc3098f3e82fc16e2d3aec54ec89f9"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2654-9282-43AD-89B5-ECB7EB048C63}">
  <ds:schemaRefs>
    <ds:schemaRef ds:uri="http://schemas.microsoft.com/sharepoint/v3/contenttype/forms"/>
  </ds:schemaRefs>
</ds:datastoreItem>
</file>

<file path=customXml/itemProps2.xml><?xml version="1.0" encoding="utf-8"?>
<ds:datastoreItem xmlns:ds="http://schemas.openxmlformats.org/officeDocument/2006/customXml" ds:itemID="{1A8D2891-2550-436E-B524-FE2148244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E0C29-EA17-404E-9B07-34DE87535C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145EB-410E-4A5D-87A9-04742AF7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352</TotalTime>
  <Pages>7</Pages>
  <Words>1599</Words>
  <Characters>9119</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XXX(YY)XX - Source - Content</vt:lpstr>
      <vt:lpstr>XXX(YY)XX - Source - Content</vt:lpstr>
    </vt:vector>
  </TitlesOfParts>
  <Manager>ECC</Manager>
  <Company>ECO</Company>
  <LinksUpToDate>false</LinksUpToDate>
  <CharactersWithSpaces>10697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United Kingdom</cp:lastModifiedBy>
  <cp:revision>184</cp:revision>
  <cp:lastPrinted>2016-10-04T08:55:00Z</cp:lastPrinted>
  <dcterms:created xsi:type="dcterms:W3CDTF">2020-03-23T14:56:00Z</dcterms:created>
  <dcterms:modified xsi:type="dcterms:W3CDTF">2020-03-25T16:20:00Z</dcterms:modified>
  <cp:category>protected templates</cp:category>
  <cp:contentStatus>Template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ies>
</file>