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7CD" w:rsidRPr="001F0CB3" w:rsidRDefault="00924937" w:rsidP="006857CD">
      <w:pPr>
        <w:spacing w:after="120"/>
        <w:jc w:val="both"/>
        <w:rPr>
          <w:b/>
          <w:u w:val="single"/>
        </w:rPr>
      </w:pPr>
      <w:r w:rsidRPr="001F0CB3">
        <w:rPr>
          <w:b/>
          <w:u w:val="single"/>
        </w:rPr>
        <w:t>Introduction</w:t>
      </w:r>
    </w:p>
    <w:p w:rsidR="00921B11" w:rsidRDefault="00924937" w:rsidP="00921B11">
      <w:pPr>
        <w:spacing w:after="120"/>
        <w:jc w:val="both"/>
      </w:pPr>
      <w:r w:rsidRPr="00924937">
        <w:rPr>
          <w:lang w:val="en-GB"/>
        </w:rPr>
        <w:t>The 33</w:t>
      </w:r>
      <w:r w:rsidRPr="00924937">
        <w:rPr>
          <w:vertAlign w:val="superscript"/>
          <w:lang w:val="en-GB"/>
        </w:rPr>
        <w:t>rd</w:t>
      </w:r>
      <w:r w:rsidRPr="00924937">
        <w:rPr>
          <w:lang w:val="en-GB"/>
        </w:rPr>
        <w:t xml:space="preserve"> </w:t>
      </w:r>
      <w:r>
        <w:rPr>
          <w:lang w:val="en-GB"/>
        </w:rPr>
        <w:t xml:space="preserve">ECC </w:t>
      </w:r>
      <w:r w:rsidRPr="00924937">
        <w:rPr>
          <w:lang w:val="en-GB"/>
        </w:rPr>
        <w:t xml:space="preserve">meeting held in Bratislava, Slovakia </w:t>
      </w:r>
      <w:r>
        <w:rPr>
          <w:lang w:val="en-GB"/>
        </w:rPr>
        <w:t xml:space="preserve">has decided to setup </w:t>
      </w:r>
      <w:r>
        <w:t>a</w:t>
      </w:r>
      <w:r w:rsidR="00921B11">
        <w:t xml:space="preserve"> correspondence group </w:t>
      </w:r>
      <w:r>
        <w:t>as a starting point to deal with</w:t>
      </w:r>
      <w:r w:rsidRPr="00924937">
        <w:rPr>
          <w:lang w:val="en-GB"/>
        </w:rPr>
        <w:t xml:space="preserve"> the long term vision for the UHF broadcasting band</w:t>
      </w:r>
      <w:r>
        <w:rPr>
          <w:lang w:val="en-GB"/>
        </w:rPr>
        <w:t xml:space="preserve">. This </w:t>
      </w:r>
      <w:r w:rsidR="00921B11">
        <w:t>correspondence group should:</w:t>
      </w:r>
    </w:p>
    <w:p w:rsidR="00921B11" w:rsidRDefault="00921B11" w:rsidP="00924937">
      <w:pPr>
        <w:numPr>
          <w:ilvl w:val="0"/>
          <w:numId w:val="4"/>
        </w:numPr>
        <w:spacing w:after="120"/>
        <w:jc w:val="both"/>
      </w:pPr>
      <w:proofErr w:type="gramStart"/>
      <w:r>
        <w:t>frame</w:t>
      </w:r>
      <w:proofErr w:type="gramEnd"/>
      <w:r>
        <w:t xml:space="preserve"> the studies to support the development of a long-term vision for the UHF-band</w:t>
      </w:r>
      <w:r w:rsidRPr="00D568EB">
        <w:t xml:space="preserve"> </w:t>
      </w:r>
      <w:r>
        <w:t xml:space="preserve">in Europe focusing primarily on technical issues, but addressing also economical, social and regulatory aspects. </w:t>
      </w:r>
    </w:p>
    <w:p w:rsidR="00921B11" w:rsidRDefault="00921B11" w:rsidP="00924937">
      <w:pPr>
        <w:numPr>
          <w:ilvl w:val="0"/>
          <w:numId w:val="4"/>
        </w:numPr>
        <w:spacing w:after="120"/>
        <w:jc w:val="both"/>
      </w:pPr>
      <w:proofErr w:type="gramStart"/>
      <w:r>
        <w:t>formulate</w:t>
      </w:r>
      <w:proofErr w:type="gramEnd"/>
      <w:r>
        <w:t xml:space="preserve"> key questions which have to be answered by the group which will be responsible for these studies, taking into account the need to collect data on existing situation in each CEPT country.</w:t>
      </w:r>
    </w:p>
    <w:p w:rsidR="00BE4349" w:rsidRDefault="00BE4349" w:rsidP="006857CD">
      <w:pPr>
        <w:spacing w:after="120"/>
        <w:jc w:val="both"/>
        <w:rPr>
          <w:b/>
        </w:rPr>
      </w:pPr>
    </w:p>
    <w:p w:rsidR="00924937" w:rsidRPr="001F0CB3" w:rsidRDefault="00924937" w:rsidP="00924937">
      <w:pPr>
        <w:spacing w:after="120"/>
        <w:jc w:val="both"/>
        <w:rPr>
          <w:b/>
          <w:u w:val="single"/>
        </w:rPr>
      </w:pPr>
      <w:r w:rsidRPr="001F0CB3">
        <w:rPr>
          <w:b/>
          <w:u w:val="single"/>
        </w:rPr>
        <w:t>Background</w:t>
      </w:r>
    </w:p>
    <w:p w:rsidR="00DE1FA7" w:rsidRDefault="00F360E3" w:rsidP="00E14801">
      <w:pPr>
        <w:spacing w:after="120"/>
        <w:jc w:val="both"/>
      </w:pPr>
      <w:r w:rsidRPr="004D1B58">
        <w:t xml:space="preserve">Traditionally, </w:t>
      </w:r>
      <w:r>
        <w:t xml:space="preserve">broadcasting and broadband communication </w:t>
      </w:r>
      <w:r w:rsidRPr="004D1B58">
        <w:t>service</w:t>
      </w:r>
      <w:r>
        <w:t>s have</w:t>
      </w:r>
      <w:r w:rsidRPr="006D4F88">
        <w:t xml:space="preserve"> </w:t>
      </w:r>
      <w:r w:rsidR="008C1350">
        <w:t xml:space="preserve">had </w:t>
      </w:r>
      <w:r>
        <w:t>their own regulations, own market structure and own</w:t>
      </w:r>
      <w:r w:rsidRPr="006D4F88">
        <w:t xml:space="preserve"> dedicated network infrastructure</w:t>
      </w:r>
      <w:r w:rsidR="008C1350">
        <w:t xml:space="preserve">. Currently, a number of developments are taking place worldwide demanding a </w:t>
      </w:r>
      <w:r w:rsidR="00047D37">
        <w:t>long term strategy</w:t>
      </w:r>
      <w:r w:rsidR="008C1350">
        <w:t xml:space="preserve"> at the CEPT level</w:t>
      </w:r>
      <w:r w:rsidR="00047D37">
        <w:t>,</w:t>
      </w:r>
      <w:r w:rsidR="008C1350">
        <w:t xml:space="preserve"> </w:t>
      </w:r>
      <w:r w:rsidR="00E14801">
        <w:t xml:space="preserve">focusing </w:t>
      </w:r>
      <w:r w:rsidR="008C1350">
        <w:t xml:space="preserve">in particular </w:t>
      </w:r>
      <w:r w:rsidR="00E14801">
        <w:t xml:space="preserve">in </w:t>
      </w:r>
      <w:r w:rsidR="008C1350">
        <w:t xml:space="preserve">a </w:t>
      </w:r>
      <w:r w:rsidR="00047D37">
        <w:t xml:space="preserve">framework </w:t>
      </w:r>
      <w:r w:rsidR="008C1350">
        <w:t xml:space="preserve">vision for the </w:t>
      </w:r>
      <w:r w:rsidR="00047D37">
        <w:t xml:space="preserve">UHF broadcasting band. </w:t>
      </w:r>
    </w:p>
    <w:p w:rsidR="00EF4367" w:rsidRDefault="00E14801" w:rsidP="00EF4367">
      <w:pPr>
        <w:spacing w:after="120"/>
        <w:jc w:val="both"/>
        <w:rPr>
          <w:lang w:val="en-US"/>
        </w:rPr>
      </w:pPr>
      <w:r>
        <w:rPr>
          <w:lang w:val="en-US"/>
        </w:rPr>
        <w:t>This activity intends t</w:t>
      </w:r>
      <w:r w:rsidRPr="00E14801">
        <w:rPr>
          <w:lang w:val="en-US"/>
        </w:rPr>
        <w:t xml:space="preserve">o address the </w:t>
      </w:r>
      <w:r>
        <w:rPr>
          <w:lang w:val="en-US"/>
        </w:rPr>
        <w:t xml:space="preserve">future </w:t>
      </w:r>
      <w:r w:rsidRPr="00E14801">
        <w:rPr>
          <w:lang w:val="en-US"/>
        </w:rPr>
        <w:t>challenges</w:t>
      </w:r>
      <w:r>
        <w:rPr>
          <w:lang w:val="en-US"/>
        </w:rPr>
        <w:t xml:space="preserve"> balancing </w:t>
      </w:r>
      <w:r w:rsidRPr="00E14801">
        <w:rPr>
          <w:lang w:val="en-US"/>
        </w:rPr>
        <w:t xml:space="preserve">the future spectrum </w:t>
      </w:r>
      <w:r>
        <w:rPr>
          <w:lang w:val="en-US"/>
        </w:rPr>
        <w:t>needs of the various involved stakeholders</w:t>
      </w:r>
      <w:r w:rsidR="006C55F8">
        <w:rPr>
          <w:lang w:val="en-US"/>
        </w:rPr>
        <w:t xml:space="preserve"> associated with</w:t>
      </w:r>
      <w:r>
        <w:rPr>
          <w:lang w:val="en-US"/>
        </w:rPr>
        <w:t xml:space="preserve"> Terrestrial Television</w:t>
      </w:r>
      <w:r w:rsidR="006C55F8">
        <w:rPr>
          <w:lang w:val="en-US"/>
        </w:rPr>
        <w:t>, Mobile Broadband and</w:t>
      </w:r>
      <w:r w:rsidRPr="00E14801">
        <w:rPr>
          <w:lang w:val="en-US"/>
        </w:rPr>
        <w:t xml:space="preserve"> </w:t>
      </w:r>
      <w:r w:rsidR="006C55F8">
        <w:rPr>
          <w:lang w:val="en-US"/>
        </w:rPr>
        <w:t>o</w:t>
      </w:r>
      <w:r w:rsidRPr="00E14801">
        <w:rPr>
          <w:lang w:val="en-US"/>
        </w:rPr>
        <w:t>the</w:t>
      </w:r>
      <w:r w:rsidR="006C55F8">
        <w:rPr>
          <w:lang w:val="en-US"/>
        </w:rPr>
        <w:t>r</w:t>
      </w:r>
      <w:r w:rsidRPr="00E14801">
        <w:rPr>
          <w:lang w:val="en-US"/>
        </w:rPr>
        <w:t xml:space="preserve"> </w:t>
      </w:r>
      <w:r w:rsidR="006C55F8">
        <w:rPr>
          <w:lang w:val="en-US"/>
        </w:rPr>
        <w:t xml:space="preserve">applications which are currently </w:t>
      </w:r>
      <w:r w:rsidRPr="00E14801">
        <w:rPr>
          <w:lang w:val="en-US"/>
        </w:rPr>
        <w:t>sharing spectrum</w:t>
      </w:r>
      <w:r w:rsidR="006C55F8">
        <w:rPr>
          <w:lang w:val="en-US"/>
        </w:rPr>
        <w:t xml:space="preserve"> in the UHF broadcasting bands (e.g. PMSE)</w:t>
      </w:r>
      <w:r w:rsidR="00DE1FA7">
        <w:rPr>
          <w:lang w:val="en-US"/>
        </w:rPr>
        <w:t>.</w:t>
      </w:r>
    </w:p>
    <w:p w:rsidR="00BE4349" w:rsidRPr="002D0D30" w:rsidRDefault="00DE1FA7" w:rsidP="001562BC">
      <w:pPr>
        <w:spacing w:after="120"/>
        <w:jc w:val="both"/>
      </w:pPr>
      <w:r>
        <w:t xml:space="preserve">The debate is stimulated by the fact that </w:t>
      </w:r>
      <w:r w:rsidR="00EF4367">
        <w:t xml:space="preserve">several </w:t>
      </w:r>
      <w:r>
        <w:t xml:space="preserve">outstanding </w:t>
      </w:r>
      <w:r w:rsidR="00EF4367">
        <w:t>matters</w:t>
      </w:r>
      <w:r>
        <w:t xml:space="preserve"> are currently being discussed at </w:t>
      </w:r>
      <w:r w:rsidR="00EF4367">
        <w:t xml:space="preserve">diverse </w:t>
      </w:r>
      <w:proofErr w:type="spellStart"/>
      <w:r w:rsidR="00EF4367" w:rsidRPr="00EF4367">
        <w:rPr>
          <w:i/>
        </w:rPr>
        <w:t>fora</w:t>
      </w:r>
      <w:proofErr w:type="spellEnd"/>
      <w:r w:rsidR="00EF4367">
        <w:t xml:space="preserve">, e.g. in the preparation of WRC-15, agenda item 1.1, dealing with </w:t>
      </w:r>
      <w:r w:rsidR="00EF4367" w:rsidRPr="00F33901">
        <w:t>stud</w:t>
      </w:r>
      <w:r w:rsidR="00EF4367">
        <w:t xml:space="preserve">ies on </w:t>
      </w:r>
      <w:r w:rsidR="00EF4367" w:rsidRPr="00F33901">
        <w:t>additional spectrum requirements</w:t>
      </w:r>
      <w:r w:rsidR="00EF4367">
        <w:t xml:space="preserve"> for International Mobile Communications (IMT) and potential candidate frequency bands) and notably in relation to the </w:t>
      </w:r>
      <w:r w:rsidR="00EF4367" w:rsidRPr="00EF4367">
        <w:rPr>
          <w:lang w:val="en-US"/>
        </w:rPr>
        <w:t xml:space="preserve">European Radio Spectrum Policy </w:t>
      </w:r>
      <w:proofErr w:type="spellStart"/>
      <w:r w:rsidR="00EF4367" w:rsidRPr="00EF4367">
        <w:rPr>
          <w:lang w:val="en-US"/>
        </w:rPr>
        <w:t>Programme</w:t>
      </w:r>
      <w:proofErr w:type="spellEnd"/>
      <w:r w:rsidR="00EF4367" w:rsidRPr="00EF4367">
        <w:rPr>
          <w:lang w:val="en-US"/>
        </w:rPr>
        <w:t xml:space="preserve"> (RSPP</w:t>
      </w:r>
      <w:proofErr w:type="gramStart"/>
      <w:r w:rsidR="00EF4367" w:rsidRPr="00EF4367">
        <w:rPr>
          <w:lang w:val="en-US"/>
        </w:rPr>
        <w:t>)</w:t>
      </w:r>
      <w:proofErr w:type="gramEnd"/>
      <w:r w:rsidR="00EF4367">
        <w:rPr>
          <w:rStyle w:val="FootnoteReference"/>
          <w:lang w:val="en-US"/>
        </w:rPr>
        <w:footnoteReference w:id="1"/>
      </w:r>
      <w:r w:rsidR="00EF4367">
        <w:rPr>
          <w:lang w:val="en-US"/>
        </w:rPr>
        <w:t xml:space="preserve">which identifies the need </w:t>
      </w:r>
      <w:r w:rsidR="00EF4367" w:rsidRPr="00EF4367">
        <w:rPr>
          <w:lang w:val="en-US"/>
        </w:rPr>
        <w:t>to make 1200 MHz of spectrum available for wireless broadband services</w:t>
      </w:r>
      <w:r w:rsidR="00EF4367">
        <w:rPr>
          <w:lang w:val="en-US"/>
        </w:rPr>
        <w:t>.</w:t>
      </w:r>
      <w:r w:rsidR="00EF4367" w:rsidRPr="00EF4367">
        <w:rPr>
          <w:lang w:val="en-US"/>
        </w:rPr>
        <w:t xml:space="preserve"> </w:t>
      </w:r>
      <w:r w:rsidR="00EF4367">
        <w:rPr>
          <w:lang w:val="en-US"/>
        </w:rPr>
        <w:t>In this context, it has to be noted that CEPT is currently in the process of</w:t>
      </w:r>
      <w:r w:rsidR="001562BC">
        <w:rPr>
          <w:lang w:val="en-US"/>
        </w:rPr>
        <w:t xml:space="preserve"> responding to the EC Mandate on the 700 MHz</w:t>
      </w:r>
      <w:r w:rsidR="001562BC">
        <w:rPr>
          <w:rStyle w:val="FootnoteReference"/>
          <w:lang w:val="en-US"/>
        </w:rPr>
        <w:footnoteReference w:id="2"/>
      </w:r>
      <w:r w:rsidR="001562BC">
        <w:rPr>
          <w:lang w:val="en-US"/>
        </w:rPr>
        <w:t xml:space="preserve"> which, </w:t>
      </w:r>
      <w:r w:rsidR="001562BC" w:rsidRPr="001562BC">
        <w:rPr>
          <w:i/>
          <w:lang w:val="en-US"/>
        </w:rPr>
        <w:t>inter alia</w:t>
      </w:r>
      <w:r w:rsidR="001562BC">
        <w:rPr>
          <w:lang w:val="en-US"/>
        </w:rPr>
        <w:t>, establishes that a</w:t>
      </w:r>
      <w:r w:rsidR="00BE4349" w:rsidRPr="002D0D30">
        <w:t xml:space="preserve"> </w:t>
      </w:r>
      <w:r w:rsidR="001562BC">
        <w:t>“</w:t>
      </w:r>
      <w:r w:rsidR="00BE4349" w:rsidRPr="001F3672">
        <w:rPr>
          <w:i/>
        </w:rPr>
        <w:t>EU spectrum policy should establish a long-term view of the future use of the whole UHF band currently allocated to terrestrial TV broadcasting in the EU (470-790 MHz</w:t>
      </w:r>
      <w:r w:rsidR="00BE4349" w:rsidRPr="001F3672">
        <w:rPr>
          <w:rStyle w:val="FootnoteReference"/>
          <w:i/>
        </w:rPr>
        <w:footnoteReference w:id="3"/>
      </w:r>
      <w:r w:rsidR="00BE4349" w:rsidRPr="001F3672">
        <w:rPr>
          <w:i/>
        </w:rPr>
        <w:t>) taking into account the long-term developments of digital terrestrial television and their societal value, as well as the possibility of long-term convergence in broadcasting and wireless broadband to deliver voice, data and audio-visual services via a converged platform</w:t>
      </w:r>
      <w:r w:rsidR="001562BC">
        <w:t>”</w:t>
      </w:r>
      <w:r w:rsidR="001F3672">
        <w:t>.</w:t>
      </w:r>
      <w:r w:rsidR="00BE4349" w:rsidRPr="006A401A">
        <w:t xml:space="preserve"> </w:t>
      </w:r>
    </w:p>
    <w:p w:rsidR="00BE4349" w:rsidRDefault="00BE4349" w:rsidP="006857CD">
      <w:pPr>
        <w:spacing w:after="120"/>
        <w:jc w:val="both"/>
        <w:rPr>
          <w:b/>
        </w:rPr>
      </w:pPr>
    </w:p>
    <w:p w:rsidR="001936AA" w:rsidRDefault="001936AA" w:rsidP="006857CD">
      <w:pPr>
        <w:spacing w:after="120"/>
        <w:jc w:val="both"/>
        <w:rPr>
          <w:b/>
        </w:rPr>
      </w:pPr>
    </w:p>
    <w:p w:rsidR="001936AA" w:rsidRDefault="001936AA" w:rsidP="006857CD">
      <w:pPr>
        <w:spacing w:after="120"/>
        <w:jc w:val="both"/>
        <w:rPr>
          <w:b/>
        </w:rPr>
      </w:pPr>
    </w:p>
    <w:p w:rsidR="001936AA" w:rsidRDefault="001936AA" w:rsidP="006857CD">
      <w:pPr>
        <w:spacing w:after="120"/>
        <w:jc w:val="both"/>
        <w:rPr>
          <w:b/>
        </w:rPr>
      </w:pPr>
    </w:p>
    <w:p w:rsidR="00AD29EF" w:rsidRPr="001F0CB3" w:rsidRDefault="00532BF4" w:rsidP="00AD29EF">
      <w:pPr>
        <w:ind w:left="540" w:hanging="540"/>
        <w:rPr>
          <w:b/>
          <w:u w:val="single"/>
        </w:rPr>
      </w:pPr>
      <w:r w:rsidRPr="001F0CB3">
        <w:rPr>
          <w:b/>
          <w:u w:val="single"/>
        </w:rPr>
        <w:lastRenderedPageBreak/>
        <w:t xml:space="preserve">Studies required </w:t>
      </w:r>
      <w:proofErr w:type="gramStart"/>
      <w:r w:rsidRPr="001F0CB3">
        <w:rPr>
          <w:b/>
          <w:u w:val="single"/>
        </w:rPr>
        <w:t>to support</w:t>
      </w:r>
      <w:proofErr w:type="gramEnd"/>
      <w:r w:rsidRPr="001F0CB3">
        <w:rPr>
          <w:b/>
          <w:u w:val="single"/>
        </w:rPr>
        <w:t xml:space="preserve"> the development of a long-term vision for the UHF-band</w:t>
      </w:r>
    </w:p>
    <w:p w:rsidR="00AD29EF" w:rsidRDefault="00AD29EF" w:rsidP="00532BF4"/>
    <w:p w:rsidR="00AD29EF" w:rsidRDefault="00AD29EF" w:rsidP="00AF167A">
      <w:pPr>
        <w:spacing w:after="120"/>
        <w:jc w:val="both"/>
      </w:pPr>
      <w:r>
        <w:t>I</w:t>
      </w:r>
      <w:r w:rsidR="003505D9">
        <w:t>n developing a policy framework encompassing the UHF broadcasting band</w:t>
      </w:r>
      <w:r w:rsidR="00DE4599">
        <w:t xml:space="preserve"> (in particular the 470-694 MHz)</w:t>
      </w:r>
      <w:r w:rsidR="00645CF1">
        <w:t xml:space="preserve">, </w:t>
      </w:r>
      <w:r w:rsidR="003505D9">
        <w:t xml:space="preserve">the </w:t>
      </w:r>
      <w:r w:rsidR="00AF167A">
        <w:t xml:space="preserve">studies </w:t>
      </w:r>
      <w:r w:rsidR="00B07408">
        <w:t>need</w:t>
      </w:r>
      <w:r w:rsidR="003505D9">
        <w:t xml:space="preserve"> </w:t>
      </w:r>
      <w:r w:rsidR="00AF167A">
        <w:t xml:space="preserve">to consider the </w:t>
      </w:r>
      <w:r w:rsidR="00B9045F">
        <w:t xml:space="preserve">strategic objectives in each of the </w:t>
      </w:r>
      <w:r w:rsidR="00AF167A">
        <w:t>sectors involved, namely the broadcasting (i.e. DTT), mobile broadband and othe</w:t>
      </w:r>
      <w:r w:rsidR="00EB6728">
        <w:t xml:space="preserve">r relevant </w:t>
      </w:r>
      <w:r w:rsidR="00645CF1">
        <w:t>applications</w:t>
      </w:r>
      <w:r w:rsidR="00EB6728">
        <w:t xml:space="preserve"> such as </w:t>
      </w:r>
      <w:r w:rsidR="00774080">
        <w:t xml:space="preserve">those making use </w:t>
      </w:r>
      <w:r w:rsidR="007B751F">
        <w:t>of</w:t>
      </w:r>
      <w:r w:rsidR="00EB6728">
        <w:t xml:space="preserve"> the UHF broadcasting bands</w:t>
      </w:r>
      <w:r w:rsidR="00AF167A">
        <w:t xml:space="preserve"> </w:t>
      </w:r>
      <w:r w:rsidR="00EB6728">
        <w:t>(mainly PMSE applications)</w:t>
      </w:r>
      <w:r w:rsidR="00DE4599">
        <w:t>.</w:t>
      </w:r>
      <w:r w:rsidR="00AF167A">
        <w:t xml:space="preserve"> </w:t>
      </w:r>
    </w:p>
    <w:p w:rsidR="00AF167A" w:rsidRDefault="00AF167A" w:rsidP="00AD29EF"/>
    <w:p w:rsidR="00D56A59" w:rsidRDefault="002B4F6E" w:rsidP="00D56A59">
      <w:pPr>
        <w:rPr>
          <w:lang w:val="en-US"/>
        </w:rPr>
      </w:pPr>
      <w:r>
        <w:t xml:space="preserve">These studies should take into </w:t>
      </w:r>
      <w:r w:rsidR="00D56A59">
        <w:t>account the d</w:t>
      </w:r>
      <w:proofErr w:type="spellStart"/>
      <w:r w:rsidR="00D56A59">
        <w:rPr>
          <w:lang w:val="en-US"/>
        </w:rPr>
        <w:t>e</w:t>
      </w:r>
      <w:r w:rsidR="00D56A59" w:rsidRPr="00D56A59">
        <w:rPr>
          <w:lang w:val="en-US"/>
        </w:rPr>
        <w:t>mand</w:t>
      </w:r>
      <w:proofErr w:type="spellEnd"/>
      <w:r w:rsidR="00D56A59" w:rsidRPr="00D56A59">
        <w:rPr>
          <w:lang w:val="en-US"/>
        </w:rPr>
        <w:t xml:space="preserve"> and supply of services </w:t>
      </w:r>
      <w:r w:rsidR="00D56A59">
        <w:rPr>
          <w:lang w:val="en-US"/>
        </w:rPr>
        <w:t>envisaged for</w:t>
      </w:r>
      <w:r w:rsidR="00D56A59" w:rsidRPr="00D56A59">
        <w:rPr>
          <w:lang w:val="en-US"/>
        </w:rPr>
        <w:t xml:space="preserve"> </w:t>
      </w:r>
      <w:r w:rsidR="00D56A59">
        <w:rPr>
          <w:lang w:val="en-US"/>
        </w:rPr>
        <w:t xml:space="preserve">the </w:t>
      </w:r>
      <w:r w:rsidR="00D56A59" w:rsidRPr="00D56A59">
        <w:rPr>
          <w:lang w:val="en-US"/>
        </w:rPr>
        <w:t>UHF spectrum</w:t>
      </w:r>
      <w:r w:rsidR="00D56A59">
        <w:rPr>
          <w:lang w:val="en-US"/>
        </w:rPr>
        <w:t xml:space="preserve"> based on the t</w:t>
      </w:r>
      <w:r w:rsidR="00D56A59" w:rsidRPr="00D56A59">
        <w:rPr>
          <w:lang w:val="en-US"/>
        </w:rPr>
        <w:t xml:space="preserve">echnological </w:t>
      </w:r>
      <w:r w:rsidR="00D56A59">
        <w:rPr>
          <w:lang w:val="en-US"/>
        </w:rPr>
        <w:t>evolutions of the various platforms (e.g. mobile and digital terrestrial television)</w:t>
      </w:r>
      <w:r w:rsidR="00740B97">
        <w:rPr>
          <w:lang w:val="en-US"/>
        </w:rPr>
        <w:t xml:space="preserve">. Additionally, </w:t>
      </w:r>
      <w:r w:rsidR="001F0CB3">
        <w:rPr>
          <w:lang w:val="en-US"/>
        </w:rPr>
        <w:t>the impact of any potential spectrum redeployment and the timescales involved is to be duly considered given the existing i</w:t>
      </w:r>
      <w:r w:rsidR="00D56A59" w:rsidRPr="00D56A59">
        <w:rPr>
          <w:lang w:val="en-US"/>
        </w:rPr>
        <w:t xml:space="preserve">nternational </w:t>
      </w:r>
      <w:r w:rsidR="001F0CB3">
        <w:rPr>
          <w:lang w:val="en-US"/>
        </w:rPr>
        <w:t>harmonization process</w:t>
      </w:r>
      <w:r w:rsidR="00B15FFA">
        <w:rPr>
          <w:lang w:val="en-US"/>
        </w:rPr>
        <w:t xml:space="preserve"> such as the GE-06</w:t>
      </w:r>
      <w:r w:rsidR="001F0CB3">
        <w:rPr>
          <w:lang w:val="en-US"/>
        </w:rPr>
        <w:t xml:space="preserve">. </w:t>
      </w:r>
    </w:p>
    <w:p w:rsidR="001F0CB3" w:rsidRDefault="001F0CB3" w:rsidP="00D56A59">
      <w:pPr>
        <w:rPr>
          <w:lang w:val="en-US"/>
        </w:rPr>
      </w:pPr>
    </w:p>
    <w:p w:rsidR="001F0CB3" w:rsidRDefault="001F0CB3" w:rsidP="00D56A59">
      <w:pPr>
        <w:rPr>
          <w:lang w:val="en-US"/>
        </w:rPr>
      </w:pPr>
      <w:r>
        <w:rPr>
          <w:lang w:val="en-US"/>
        </w:rPr>
        <w:t xml:space="preserve">The studies should comprise the following: </w:t>
      </w:r>
    </w:p>
    <w:p w:rsidR="00532BF4" w:rsidRPr="001F0CB3" w:rsidRDefault="00532BF4" w:rsidP="006857CD">
      <w:pPr>
        <w:spacing w:after="120"/>
        <w:jc w:val="both"/>
        <w:rPr>
          <w:b/>
          <w:lang w:val="en-US"/>
        </w:rPr>
      </w:pPr>
    </w:p>
    <w:p w:rsidR="00F947BB" w:rsidRDefault="00F947BB" w:rsidP="007D04E3">
      <w:pPr>
        <w:spacing w:after="120"/>
        <w:jc w:val="both"/>
      </w:pPr>
      <w:r>
        <w:t>BACKGROUND</w:t>
      </w:r>
    </w:p>
    <w:p w:rsidR="00F947BB" w:rsidRDefault="00F947BB" w:rsidP="00F947BB">
      <w:pPr>
        <w:numPr>
          <w:ilvl w:val="0"/>
          <w:numId w:val="3"/>
        </w:numPr>
        <w:spacing w:after="120"/>
        <w:jc w:val="both"/>
      </w:pPr>
      <w:r>
        <w:t xml:space="preserve">mobile </w:t>
      </w:r>
      <w:r w:rsidR="009D25F0">
        <w:t xml:space="preserve">platforms </w:t>
      </w:r>
      <w:r>
        <w:t>world</w:t>
      </w:r>
      <w:r w:rsidR="009D25F0">
        <w:t xml:space="preserve"> (broadband)</w:t>
      </w:r>
    </w:p>
    <w:p w:rsidR="00F947BB" w:rsidRDefault="00F947BB" w:rsidP="00F947BB">
      <w:pPr>
        <w:numPr>
          <w:ilvl w:val="0"/>
          <w:numId w:val="3"/>
        </w:numPr>
        <w:spacing w:after="120"/>
        <w:jc w:val="both"/>
      </w:pPr>
      <w:r>
        <w:t>broadcasting</w:t>
      </w:r>
      <w:r w:rsidR="009D25F0">
        <w:t xml:space="preserve"> services (HD, coding, </w:t>
      </w:r>
      <w:r w:rsidR="0089182D">
        <w:t>m</w:t>
      </w:r>
      <w:r w:rsidR="009D25F0">
        <w:t>odulation/systems</w:t>
      </w:r>
      <w:r w:rsidR="0089182D">
        <w:t>, receiving modes</w:t>
      </w:r>
      <w:r w:rsidR="009D25F0">
        <w:t>)</w:t>
      </w:r>
    </w:p>
    <w:p w:rsidR="009D25F0" w:rsidRDefault="009D25F0" w:rsidP="00F947BB">
      <w:pPr>
        <w:numPr>
          <w:ilvl w:val="0"/>
          <w:numId w:val="3"/>
        </w:numPr>
        <w:spacing w:after="120"/>
        <w:jc w:val="both"/>
      </w:pPr>
      <w:r>
        <w:t xml:space="preserve">Other Services (PMSE, </w:t>
      </w:r>
      <w:r w:rsidR="00222CE4">
        <w:t>RAS</w:t>
      </w:r>
      <w:r w:rsidR="002B4E4F">
        <w:t>)</w:t>
      </w:r>
    </w:p>
    <w:p w:rsidR="0099578B" w:rsidRDefault="0099578B" w:rsidP="0099578B">
      <w:pPr>
        <w:spacing w:after="120"/>
        <w:ind w:left="720"/>
        <w:jc w:val="both"/>
      </w:pPr>
    </w:p>
    <w:p w:rsidR="00B15FFA" w:rsidRDefault="00B15FFA" w:rsidP="00B15FFA">
      <w:pPr>
        <w:spacing w:after="120"/>
        <w:jc w:val="both"/>
      </w:pPr>
      <w:r>
        <w:t xml:space="preserve">THE SPECTRUM CONTEXT </w:t>
      </w:r>
    </w:p>
    <w:p w:rsidR="00B15FFA" w:rsidRDefault="00B15FFA" w:rsidP="00B15FFA">
      <w:pPr>
        <w:numPr>
          <w:ilvl w:val="0"/>
          <w:numId w:val="3"/>
        </w:numPr>
        <w:spacing w:after="120"/>
        <w:jc w:val="both"/>
      </w:pPr>
      <w:r>
        <w:t>GE-06</w:t>
      </w:r>
    </w:p>
    <w:p w:rsidR="00B15FFA" w:rsidRDefault="00B15FFA" w:rsidP="00B15FFA">
      <w:pPr>
        <w:numPr>
          <w:ilvl w:val="0"/>
          <w:numId w:val="3"/>
        </w:numPr>
        <w:spacing w:after="120"/>
        <w:jc w:val="both"/>
      </w:pPr>
      <w:r>
        <w:t>RSPP</w:t>
      </w:r>
    </w:p>
    <w:p w:rsidR="00B15FFA" w:rsidRDefault="00B15FFA" w:rsidP="00B15FFA">
      <w:pPr>
        <w:numPr>
          <w:ilvl w:val="0"/>
          <w:numId w:val="3"/>
        </w:numPr>
        <w:spacing w:after="120"/>
        <w:jc w:val="both"/>
      </w:pPr>
      <w:r>
        <w:t>WRC-15(1.1)</w:t>
      </w:r>
    </w:p>
    <w:p w:rsidR="00B15FFA" w:rsidRDefault="00B15FFA" w:rsidP="00B15FFA">
      <w:pPr>
        <w:numPr>
          <w:ilvl w:val="0"/>
          <w:numId w:val="3"/>
        </w:numPr>
        <w:spacing w:after="120"/>
        <w:jc w:val="both"/>
      </w:pPr>
      <w:r>
        <w:t>EC Mandate 700 MHz</w:t>
      </w:r>
    </w:p>
    <w:p w:rsidR="00B15FFA" w:rsidRDefault="00B15FFA" w:rsidP="00B15FFA">
      <w:pPr>
        <w:numPr>
          <w:ilvl w:val="0"/>
          <w:numId w:val="3"/>
        </w:numPr>
        <w:spacing w:after="120"/>
        <w:jc w:val="both"/>
      </w:pPr>
      <w:r>
        <w:t>PMSE</w:t>
      </w:r>
    </w:p>
    <w:p w:rsidR="00B15FFA" w:rsidRDefault="00B15FFA" w:rsidP="00B15FFA">
      <w:pPr>
        <w:spacing w:after="120"/>
        <w:ind w:left="720"/>
        <w:jc w:val="both"/>
      </w:pPr>
    </w:p>
    <w:p w:rsidR="0099578B" w:rsidRDefault="0099578B" w:rsidP="0099578B">
      <w:pPr>
        <w:spacing w:after="120"/>
        <w:jc w:val="both"/>
      </w:pPr>
      <w:r>
        <w:t>TECHNOLOGY</w:t>
      </w:r>
      <w:r w:rsidR="0089182D">
        <w:t>, SERVICE AND NETWORK</w:t>
      </w:r>
      <w:r>
        <w:t xml:space="preserve"> EVOLUTION</w:t>
      </w:r>
      <w:r w:rsidR="0089182D">
        <w:t>S</w:t>
      </w:r>
    </w:p>
    <w:p w:rsidR="0099578B" w:rsidRPr="00AF0DBA" w:rsidRDefault="0099578B" w:rsidP="0099578B">
      <w:pPr>
        <w:numPr>
          <w:ilvl w:val="0"/>
          <w:numId w:val="3"/>
        </w:numPr>
        <w:spacing w:after="120"/>
        <w:jc w:val="both"/>
      </w:pPr>
      <w:r w:rsidRPr="00AF0DBA">
        <w:t>Broadcasting</w:t>
      </w:r>
      <w:r w:rsidR="0089182D">
        <w:t xml:space="preserve"> (content : linear/non linear, TV and other contents, new receiving </w:t>
      </w:r>
      <w:r w:rsidR="00F51512">
        <w:t>platforms</w:t>
      </w:r>
      <w:r w:rsidR="0089182D">
        <w:t>, evolution of technology)</w:t>
      </w:r>
    </w:p>
    <w:p w:rsidR="0099578B" w:rsidRDefault="0099578B" w:rsidP="0099578B">
      <w:pPr>
        <w:numPr>
          <w:ilvl w:val="0"/>
          <w:numId w:val="3"/>
        </w:numPr>
        <w:spacing w:after="120"/>
        <w:jc w:val="both"/>
      </w:pPr>
      <w:r>
        <w:t>Mobile</w:t>
      </w:r>
      <w:r w:rsidR="0089182D">
        <w:t xml:space="preserve"> (categories of data traffic, technology</w:t>
      </w:r>
      <w:r w:rsidR="00F51512">
        <w:t xml:space="preserve"> such as </w:t>
      </w:r>
      <w:proofErr w:type="spellStart"/>
      <w:r w:rsidR="00F51512">
        <w:t>eMBMS</w:t>
      </w:r>
      <w:proofErr w:type="spellEnd"/>
      <w:r w:rsidR="0089182D">
        <w:t>)</w:t>
      </w:r>
    </w:p>
    <w:p w:rsidR="0099578B" w:rsidRDefault="0099578B" w:rsidP="0099578B">
      <w:pPr>
        <w:numPr>
          <w:ilvl w:val="0"/>
          <w:numId w:val="3"/>
        </w:numPr>
        <w:spacing w:after="120"/>
        <w:jc w:val="both"/>
      </w:pPr>
      <w:r>
        <w:t>Convergence (services/terminals)</w:t>
      </w:r>
    </w:p>
    <w:p w:rsidR="0099578B" w:rsidRDefault="0099578B" w:rsidP="0099578B">
      <w:pPr>
        <w:numPr>
          <w:ilvl w:val="0"/>
          <w:numId w:val="3"/>
        </w:numPr>
        <w:spacing w:after="120"/>
        <w:jc w:val="both"/>
      </w:pPr>
      <w:r>
        <w:t>Other sectors (WSD, CR</w:t>
      </w:r>
      <w:r w:rsidR="0089182D">
        <w:t>, PMSE</w:t>
      </w:r>
      <w:r>
        <w:t>)</w:t>
      </w:r>
    </w:p>
    <w:p w:rsidR="00F947BB" w:rsidRDefault="00F947BB" w:rsidP="00F947BB">
      <w:pPr>
        <w:spacing w:after="120"/>
        <w:jc w:val="both"/>
      </w:pPr>
    </w:p>
    <w:p w:rsidR="0099578B" w:rsidRDefault="0099578B" w:rsidP="0099578B">
      <w:pPr>
        <w:spacing w:after="120"/>
        <w:ind w:left="720"/>
        <w:jc w:val="both"/>
      </w:pPr>
      <w:bookmarkStart w:id="0" w:name="_GoBack"/>
      <w:bookmarkEnd w:id="0"/>
    </w:p>
    <w:p w:rsidR="009D25F0" w:rsidRDefault="009D25F0" w:rsidP="00F947BB">
      <w:pPr>
        <w:spacing w:after="120"/>
        <w:jc w:val="both"/>
      </w:pPr>
      <w:r>
        <w:t>NATIONAL POLICIES</w:t>
      </w:r>
      <w:r w:rsidR="00222CE4">
        <w:t xml:space="preserve"> FRAMEWORK</w:t>
      </w:r>
    </w:p>
    <w:p w:rsidR="00F947BB" w:rsidRDefault="009D25F0" w:rsidP="00F947BB">
      <w:pPr>
        <w:numPr>
          <w:ilvl w:val="0"/>
          <w:numId w:val="3"/>
        </w:numPr>
        <w:spacing w:after="120"/>
        <w:jc w:val="both"/>
      </w:pPr>
      <w:r>
        <w:t>Broadcasting regulation</w:t>
      </w:r>
    </w:p>
    <w:p w:rsidR="001F0CB3" w:rsidRDefault="001F0CB3" w:rsidP="00F947BB">
      <w:pPr>
        <w:numPr>
          <w:ilvl w:val="0"/>
          <w:numId w:val="3"/>
        </w:numPr>
        <w:spacing w:after="120"/>
        <w:jc w:val="both"/>
      </w:pPr>
      <w:r>
        <w:t>Wir</w:t>
      </w:r>
      <w:r w:rsidR="0099578B">
        <w:t>eless Broadband (Digital Agenda</w:t>
      </w:r>
      <w:r>
        <w:t>)</w:t>
      </w:r>
    </w:p>
    <w:p w:rsidR="009D25F0" w:rsidRDefault="009D25F0" w:rsidP="007D04E3">
      <w:pPr>
        <w:spacing w:after="120"/>
        <w:jc w:val="both"/>
      </w:pPr>
    </w:p>
    <w:p w:rsidR="009D25F0" w:rsidRDefault="009D25F0" w:rsidP="007D04E3">
      <w:pPr>
        <w:spacing w:after="120"/>
        <w:jc w:val="both"/>
      </w:pPr>
    </w:p>
    <w:p w:rsidR="001F0CB3" w:rsidRDefault="001F0CB3" w:rsidP="001F0CB3">
      <w:pPr>
        <w:spacing w:after="120"/>
        <w:jc w:val="both"/>
      </w:pPr>
      <w:r>
        <w:t xml:space="preserve">THE LONG-TERM VISION </w:t>
      </w:r>
    </w:p>
    <w:p w:rsidR="009D25F0" w:rsidRDefault="001F0CB3" w:rsidP="009D25F0">
      <w:pPr>
        <w:numPr>
          <w:ilvl w:val="0"/>
          <w:numId w:val="3"/>
        </w:numPr>
        <w:spacing w:after="120"/>
        <w:jc w:val="both"/>
      </w:pPr>
      <w:r>
        <w:t>Strategic objectives</w:t>
      </w:r>
    </w:p>
    <w:p w:rsidR="0089182D" w:rsidRDefault="0089182D" w:rsidP="009D25F0">
      <w:pPr>
        <w:numPr>
          <w:ilvl w:val="0"/>
          <w:numId w:val="3"/>
        </w:numPr>
        <w:spacing w:after="120"/>
        <w:jc w:val="both"/>
      </w:pPr>
      <w:r>
        <w:t xml:space="preserve">Options for facilitating the evolution of mobile and broadcasting </w:t>
      </w:r>
      <w:r w:rsidR="00F51512">
        <w:t xml:space="preserve">delivery of </w:t>
      </w:r>
      <w:r>
        <w:t>services</w:t>
      </w:r>
    </w:p>
    <w:p w:rsidR="0099578B" w:rsidRDefault="0099578B" w:rsidP="009D25F0">
      <w:pPr>
        <w:numPr>
          <w:ilvl w:val="0"/>
          <w:numId w:val="3"/>
        </w:numPr>
        <w:spacing w:after="120"/>
        <w:jc w:val="both"/>
      </w:pPr>
      <w:r>
        <w:t xml:space="preserve">Options for spectrum harmonisation </w:t>
      </w:r>
      <w:r w:rsidR="00797A68">
        <w:t>(Pros and Cons)</w:t>
      </w:r>
    </w:p>
    <w:p w:rsidR="00797A68" w:rsidRDefault="00797A68" w:rsidP="009D25F0">
      <w:pPr>
        <w:numPr>
          <w:ilvl w:val="0"/>
          <w:numId w:val="3"/>
        </w:numPr>
        <w:spacing w:after="120"/>
        <w:jc w:val="both"/>
      </w:pPr>
      <w:r>
        <w:t>Timelines</w:t>
      </w:r>
    </w:p>
    <w:p w:rsidR="001F0CB3" w:rsidRDefault="0099578B" w:rsidP="009D25F0">
      <w:pPr>
        <w:numPr>
          <w:ilvl w:val="0"/>
          <w:numId w:val="3"/>
        </w:numPr>
        <w:spacing w:after="120"/>
        <w:jc w:val="both"/>
      </w:pPr>
      <w:r>
        <w:t xml:space="preserve">Cost impact  </w:t>
      </w:r>
      <w:r w:rsidR="001F0CB3">
        <w:t xml:space="preserve"> </w:t>
      </w:r>
    </w:p>
    <w:p w:rsidR="00532BF4" w:rsidRDefault="00532BF4" w:rsidP="007D04E3">
      <w:pPr>
        <w:spacing w:after="120"/>
        <w:jc w:val="both"/>
        <w:rPr>
          <w:b/>
        </w:rPr>
      </w:pPr>
    </w:p>
    <w:p w:rsidR="00AF167A" w:rsidRDefault="00AF167A" w:rsidP="007D04E3">
      <w:pPr>
        <w:spacing w:after="120"/>
        <w:jc w:val="both"/>
        <w:rPr>
          <w:b/>
        </w:rPr>
      </w:pPr>
    </w:p>
    <w:p w:rsidR="00AF167A" w:rsidRDefault="00AF167A" w:rsidP="007D04E3">
      <w:pPr>
        <w:spacing w:after="120"/>
        <w:jc w:val="both"/>
        <w:rPr>
          <w:b/>
        </w:rPr>
      </w:pPr>
    </w:p>
    <w:p w:rsidR="009D25F0" w:rsidRPr="001F0CB3" w:rsidRDefault="00532BF4" w:rsidP="007D04E3">
      <w:pPr>
        <w:spacing w:after="120"/>
        <w:jc w:val="both"/>
        <w:rPr>
          <w:b/>
          <w:u w:val="single"/>
        </w:rPr>
      </w:pPr>
      <w:r w:rsidRPr="001F0CB3">
        <w:rPr>
          <w:b/>
          <w:u w:val="single"/>
        </w:rPr>
        <w:t>Key questions</w:t>
      </w:r>
    </w:p>
    <w:p w:rsidR="001F0CB3" w:rsidRDefault="001F0CB3" w:rsidP="007D04E3">
      <w:pPr>
        <w:spacing w:after="120"/>
        <w:jc w:val="both"/>
      </w:pPr>
    </w:p>
    <w:p w:rsidR="00576497" w:rsidRDefault="00576497" w:rsidP="007D04E3">
      <w:pPr>
        <w:spacing w:after="120"/>
        <w:jc w:val="both"/>
      </w:pPr>
      <w:r>
        <w:t>Th</w:t>
      </w:r>
      <w:r w:rsidR="001F0CB3">
        <w:t>e w</w:t>
      </w:r>
      <w:r w:rsidR="00BB3FAC">
        <w:t xml:space="preserve">ay forward </w:t>
      </w:r>
      <w:r>
        <w:t>of the UHF band</w:t>
      </w:r>
      <w:r w:rsidR="001F0CB3">
        <w:t xml:space="preserve"> should address the </w:t>
      </w:r>
      <w:r w:rsidR="00BB3FAC">
        <w:t>following aspects</w:t>
      </w:r>
      <w:r>
        <w:t>:</w:t>
      </w:r>
    </w:p>
    <w:p w:rsidR="00576497" w:rsidRDefault="00576497" w:rsidP="007D04E3">
      <w:pPr>
        <w:pStyle w:val="ListParagraph"/>
        <w:numPr>
          <w:ilvl w:val="0"/>
          <w:numId w:val="1"/>
        </w:numPr>
        <w:spacing w:after="120"/>
        <w:jc w:val="both"/>
      </w:pPr>
      <w:r>
        <w:t>The technologies</w:t>
      </w:r>
      <w:r w:rsidR="00BF737C">
        <w:t xml:space="preserve"> available</w:t>
      </w:r>
      <w:r>
        <w:t xml:space="preserve"> (e.g., OFDM based systems such as LTE, DVB-T, etc.)</w:t>
      </w:r>
      <w:r w:rsidR="00BF737C">
        <w:t>, their evolution and their possible convergence</w:t>
      </w:r>
      <w:r>
        <w:t>;</w:t>
      </w:r>
    </w:p>
    <w:p w:rsidR="00576497" w:rsidRDefault="00576497" w:rsidP="007D04E3">
      <w:pPr>
        <w:pStyle w:val="ListParagraph"/>
        <w:numPr>
          <w:ilvl w:val="0"/>
          <w:numId w:val="1"/>
        </w:numPr>
        <w:spacing w:after="120"/>
        <w:jc w:val="both"/>
      </w:pPr>
      <w:r>
        <w:t>The possibility of “hybrid” networks (to be defined) and the related issue of transition, economical models, and the possibility of convergent/cooperative services (to be defined)</w:t>
      </w:r>
    </w:p>
    <w:p w:rsidR="00576497" w:rsidRDefault="00576497" w:rsidP="00563337">
      <w:pPr>
        <w:pStyle w:val="ListParagraph"/>
        <w:numPr>
          <w:ilvl w:val="0"/>
          <w:numId w:val="1"/>
        </w:numPr>
        <w:spacing w:after="120"/>
        <w:jc w:val="both"/>
      </w:pPr>
      <w:r>
        <w:t>The flexibility required to address the various situations in CEPT countries relating to content regulations or dependency on terrestrial TV in relation to other platforms;</w:t>
      </w:r>
    </w:p>
    <w:p w:rsidR="00576497" w:rsidRDefault="00576497" w:rsidP="003E7387">
      <w:pPr>
        <w:pStyle w:val="ListParagraph"/>
        <w:numPr>
          <w:ilvl w:val="0"/>
          <w:numId w:val="1"/>
        </w:numPr>
        <w:spacing w:after="120"/>
        <w:jc w:val="both"/>
      </w:pPr>
      <w:r>
        <w:t xml:space="preserve">The need to provide a good level of certainty to each sector; </w:t>
      </w:r>
    </w:p>
    <w:p w:rsidR="00576497" w:rsidRDefault="00576497" w:rsidP="007D04E3">
      <w:pPr>
        <w:pStyle w:val="ListParagraph"/>
        <w:numPr>
          <w:ilvl w:val="0"/>
          <w:numId w:val="1"/>
        </w:numPr>
        <w:spacing w:after="120"/>
        <w:jc w:val="both"/>
      </w:pPr>
      <w:r>
        <w:t>Cross-border coordination issues between different network topologies and impact on equitable access taking into account GE-06 Agreement;</w:t>
      </w:r>
    </w:p>
    <w:p w:rsidR="00576497" w:rsidRDefault="00576497" w:rsidP="007D04E3">
      <w:pPr>
        <w:pStyle w:val="ListParagraph"/>
        <w:numPr>
          <w:ilvl w:val="0"/>
          <w:numId w:val="1"/>
        </w:numPr>
        <w:spacing w:after="120"/>
        <w:jc w:val="both"/>
      </w:pPr>
      <w:r>
        <w:t xml:space="preserve">Various reception environments (e.g. indoor/outdoor, fixed, portable, etc.) and coverage requirements </w:t>
      </w:r>
      <w:r w:rsidRPr="00ED486E">
        <w:t>(e.g. country-wide, regional and local)</w:t>
      </w:r>
      <w:r>
        <w:t>;</w:t>
      </w:r>
    </w:p>
    <w:p w:rsidR="00BF737C" w:rsidRDefault="00576497" w:rsidP="007D04E3">
      <w:pPr>
        <w:pStyle w:val="ListParagraph"/>
        <w:numPr>
          <w:ilvl w:val="0"/>
          <w:numId w:val="1"/>
        </w:numPr>
        <w:spacing w:after="120"/>
        <w:jc w:val="both"/>
      </w:pPr>
      <w:r>
        <w:t>Coexistence with PMSE-applications</w:t>
      </w:r>
      <w:r w:rsidR="00BF737C">
        <w:t>;</w:t>
      </w:r>
    </w:p>
    <w:p w:rsidR="00576497" w:rsidRDefault="00BF737C" w:rsidP="007D04E3">
      <w:pPr>
        <w:pStyle w:val="ListParagraph"/>
        <w:numPr>
          <w:ilvl w:val="0"/>
          <w:numId w:val="1"/>
        </w:numPr>
        <w:spacing w:after="120"/>
        <w:jc w:val="both"/>
      </w:pPr>
      <w:r>
        <w:t>Possible emergence of cognitive techniques (e.g. use of white space by applications other than PMSE)</w:t>
      </w:r>
      <w:r w:rsidR="00576497">
        <w:t>.</w:t>
      </w:r>
    </w:p>
    <w:p w:rsidR="00BB3FAC" w:rsidRDefault="00BB3FAC" w:rsidP="007D04E3">
      <w:pPr>
        <w:pStyle w:val="ListParagraph"/>
        <w:numPr>
          <w:ilvl w:val="0"/>
          <w:numId w:val="1"/>
        </w:numPr>
        <w:spacing w:after="120"/>
        <w:jc w:val="both"/>
      </w:pPr>
      <w:r>
        <w:t>Other (TBD)</w:t>
      </w:r>
    </w:p>
    <w:p w:rsidR="00BE4349" w:rsidRDefault="00BE4349" w:rsidP="007D04E3">
      <w:pPr>
        <w:spacing w:after="120"/>
        <w:jc w:val="both"/>
      </w:pPr>
    </w:p>
    <w:p w:rsidR="00576497" w:rsidRPr="007D04E3" w:rsidRDefault="00576497"/>
    <w:sectPr w:rsidR="00576497" w:rsidRPr="007D04E3" w:rsidSect="009B208F">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6438" w:rsidRDefault="00896438" w:rsidP="00DB2B59">
      <w:r>
        <w:separator/>
      </w:r>
    </w:p>
  </w:endnote>
  <w:endnote w:type="continuationSeparator" w:id="0">
    <w:p w:rsidR="00896438" w:rsidRDefault="00896438" w:rsidP="00DB2B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6438" w:rsidRDefault="00896438" w:rsidP="00DB2B59">
      <w:r>
        <w:separator/>
      </w:r>
    </w:p>
  </w:footnote>
  <w:footnote w:type="continuationSeparator" w:id="0">
    <w:p w:rsidR="00896438" w:rsidRDefault="00896438" w:rsidP="00DB2B59">
      <w:r>
        <w:continuationSeparator/>
      </w:r>
    </w:p>
  </w:footnote>
  <w:footnote w:id="1">
    <w:p w:rsidR="00EF4367" w:rsidRPr="00EF4367" w:rsidRDefault="00EF4367" w:rsidP="00EF4367">
      <w:pPr>
        <w:pStyle w:val="FootnoteText"/>
      </w:pPr>
      <w:r>
        <w:rPr>
          <w:rStyle w:val="FootnoteReference"/>
        </w:rPr>
        <w:footnoteRef/>
      </w:r>
      <w:r>
        <w:t xml:space="preserve"> </w:t>
      </w:r>
      <w:r w:rsidRPr="00EF4367">
        <w:rPr>
          <w:bCs/>
          <w:lang w:val="en-US"/>
        </w:rPr>
        <w:t>D</w:t>
      </w:r>
      <w:r>
        <w:rPr>
          <w:bCs/>
          <w:lang w:val="en-US"/>
        </w:rPr>
        <w:t xml:space="preserve">ecision Nº </w:t>
      </w:r>
      <w:r w:rsidRPr="00EF4367">
        <w:rPr>
          <w:bCs/>
          <w:lang w:val="en-US"/>
        </w:rPr>
        <w:t xml:space="preserve">243/2012/EU </w:t>
      </w:r>
      <w:r>
        <w:rPr>
          <w:bCs/>
          <w:lang w:val="en-US"/>
        </w:rPr>
        <w:t xml:space="preserve">of the EU Parliament and of the Council </w:t>
      </w:r>
      <w:r w:rsidRPr="00EF4367">
        <w:rPr>
          <w:bCs/>
          <w:lang w:val="en-US"/>
        </w:rPr>
        <w:t>14 March 2012</w:t>
      </w:r>
    </w:p>
  </w:footnote>
  <w:footnote w:id="2">
    <w:p w:rsidR="001562BC" w:rsidRPr="001562BC" w:rsidRDefault="001562BC" w:rsidP="001562BC">
      <w:pPr>
        <w:pStyle w:val="FootnoteText"/>
        <w:ind w:left="142" w:hanging="142"/>
      </w:pPr>
      <w:r>
        <w:rPr>
          <w:rStyle w:val="FootnoteReference"/>
        </w:rPr>
        <w:footnoteRef/>
      </w:r>
      <w:r>
        <w:t xml:space="preserve"> </w:t>
      </w:r>
      <w:r w:rsidRPr="001562BC">
        <w:rPr>
          <w:bCs/>
          <w:lang w:val="en-US"/>
        </w:rPr>
        <w:t>M</w:t>
      </w:r>
      <w:r>
        <w:rPr>
          <w:bCs/>
          <w:lang w:val="en-US"/>
        </w:rPr>
        <w:t>ANDATE to</w:t>
      </w:r>
      <w:r w:rsidRPr="001562BC">
        <w:rPr>
          <w:bCs/>
          <w:lang w:val="en-US"/>
        </w:rPr>
        <w:t xml:space="preserve"> CEPT</w:t>
      </w:r>
      <w:r>
        <w:rPr>
          <w:bCs/>
          <w:lang w:val="en-US"/>
        </w:rPr>
        <w:t xml:space="preserve"> to develop </w:t>
      </w:r>
      <w:proofErr w:type="spellStart"/>
      <w:r>
        <w:rPr>
          <w:bCs/>
          <w:lang w:val="en-US"/>
        </w:rPr>
        <w:t>Harmonised</w:t>
      </w:r>
      <w:proofErr w:type="spellEnd"/>
      <w:r>
        <w:rPr>
          <w:bCs/>
          <w:lang w:val="en-US"/>
        </w:rPr>
        <w:t xml:space="preserve"> Technical conditions for the 694-790 MHz (“700 MHz”)  frequency band in the EU for the provision of wireless broadband Electronic Communications Services and other uses in support of EU spectrum policy priorities</w:t>
      </w:r>
    </w:p>
  </w:footnote>
  <w:footnote w:id="3">
    <w:p w:rsidR="00BE4349" w:rsidRDefault="00BE4349" w:rsidP="00BE4349">
      <w:pPr>
        <w:pStyle w:val="FootnoteText"/>
        <w:spacing w:after="120"/>
      </w:pPr>
      <w:r>
        <w:rPr>
          <w:rStyle w:val="FootnoteReference"/>
        </w:rPr>
        <w:footnoteRef/>
      </w:r>
      <w:r>
        <w:t xml:space="preserve"> Subject to the release of the 800 MHz band from broadcasting services in all EU Member States in the future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EA6" w:rsidRDefault="00BE4349" w:rsidP="00961EA6">
    <w:pPr>
      <w:pStyle w:val="En-tte1"/>
      <w:jc w:val="right"/>
    </w:pPr>
    <w:r>
      <w:t xml:space="preserve">Correspondence group </w:t>
    </w:r>
    <w:r w:rsidR="00924937">
      <w:t xml:space="preserve">on </w:t>
    </w:r>
    <w:r>
      <w:t>UHF</w:t>
    </w:r>
    <w:r w:rsidR="00924937">
      <w:t xml:space="preserve"> broadcasting band</w:t>
    </w:r>
  </w:p>
  <w:p w:rsidR="00BE4349" w:rsidRDefault="00BE4349" w:rsidP="00961EA6">
    <w:pPr>
      <w:pStyle w:val="En-tte1"/>
      <w:jc w:val="right"/>
    </w:pPr>
  </w:p>
  <w:p w:rsidR="00576497" w:rsidRDefault="00576497" w:rsidP="00ED486E">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306A1E"/>
    <w:multiLevelType w:val="hybridMultilevel"/>
    <w:tmpl w:val="CE0E6498"/>
    <w:lvl w:ilvl="0" w:tplc="7A4C1A1A">
      <w:numFmt w:val="bullet"/>
      <w:lvlText w:val="-"/>
      <w:lvlJc w:val="left"/>
      <w:pPr>
        <w:ind w:left="720" w:hanging="360"/>
      </w:pPr>
      <w:rPr>
        <w:rFonts w:ascii="Times New Roman" w:eastAsia="Times New Roman" w:hAnsi="Times New Roman" w:cs="Times New Roman"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nsid w:val="2B422F71"/>
    <w:multiLevelType w:val="hybridMultilevel"/>
    <w:tmpl w:val="60FC303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nsid w:val="3E7F60F4"/>
    <w:multiLevelType w:val="hybridMultilevel"/>
    <w:tmpl w:val="BA3885F8"/>
    <w:lvl w:ilvl="0" w:tplc="0AC20FA6">
      <w:start w:val="2"/>
      <w:numFmt w:val="bullet"/>
      <w:lvlText w:val="-"/>
      <w:lvlJc w:val="left"/>
      <w:pPr>
        <w:ind w:left="720" w:hanging="360"/>
      </w:pPr>
      <w:rPr>
        <w:rFonts w:ascii="Times New Roman" w:eastAsia="Times New Roman" w:hAnsi="Times New Roman" w:hint="default"/>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nsid w:val="5C46358F"/>
    <w:multiLevelType w:val="hybridMultilevel"/>
    <w:tmpl w:val="002CD988"/>
    <w:lvl w:ilvl="0" w:tplc="040C0001">
      <w:start w:val="1"/>
      <w:numFmt w:val="bullet"/>
      <w:lvlText w:val=""/>
      <w:lvlJc w:val="left"/>
      <w:pPr>
        <w:ind w:left="785" w:hanging="360"/>
      </w:pPr>
      <w:rPr>
        <w:rFonts w:ascii="Symbol" w:hAnsi="Symbol" w:hint="default"/>
      </w:rPr>
    </w:lvl>
    <w:lvl w:ilvl="1" w:tplc="040C0003" w:tentative="1">
      <w:start w:val="1"/>
      <w:numFmt w:val="bullet"/>
      <w:lvlText w:val="o"/>
      <w:lvlJc w:val="left"/>
      <w:pPr>
        <w:ind w:left="1505" w:hanging="360"/>
      </w:pPr>
      <w:rPr>
        <w:rFonts w:ascii="Courier New" w:hAnsi="Courier New" w:cs="Courier New" w:hint="default"/>
      </w:rPr>
    </w:lvl>
    <w:lvl w:ilvl="2" w:tplc="040C0005" w:tentative="1">
      <w:start w:val="1"/>
      <w:numFmt w:val="bullet"/>
      <w:lvlText w:val=""/>
      <w:lvlJc w:val="left"/>
      <w:pPr>
        <w:ind w:left="2225" w:hanging="360"/>
      </w:pPr>
      <w:rPr>
        <w:rFonts w:ascii="Wingdings" w:hAnsi="Wingdings" w:hint="default"/>
      </w:rPr>
    </w:lvl>
    <w:lvl w:ilvl="3" w:tplc="040C0001" w:tentative="1">
      <w:start w:val="1"/>
      <w:numFmt w:val="bullet"/>
      <w:lvlText w:val=""/>
      <w:lvlJc w:val="left"/>
      <w:pPr>
        <w:ind w:left="2945" w:hanging="360"/>
      </w:pPr>
      <w:rPr>
        <w:rFonts w:ascii="Symbol" w:hAnsi="Symbol" w:hint="default"/>
      </w:rPr>
    </w:lvl>
    <w:lvl w:ilvl="4" w:tplc="040C0003" w:tentative="1">
      <w:start w:val="1"/>
      <w:numFmt w:val="bullet"/>
      <w:lvlText w:val="o"/>
      <w:lvlJc w:val="left"/>
      <w:pPr>
        <w:ind w:left="3665" w:hanging="360"/>
      </w:pPr>
      <w:rPr>
        <w:rFonts w:ascii="Courier New" w:hAnsi="Courier New" w:cs="Courier New" w:hint="default"/>
      </w:rPr>
    </w:lvl>
    <w:lvl w:ilvl="5" w:tplc="040C0005" w:tentative="1">
      <w:start w:val="1"/>
      <w:numFmt w:val="bullet"/>
      <w:lvlText w:val=""/>
      <w:lvlJc w:val="left"/>
      <w:pPr>
        <w:ind w:left="4385" w:hanging="360"/>
      </w:pPr>
      <w:rPr>
        <w:rFonts w:ascii="Wingdings" w:hAnsi="Wingdings" w:hint="default"/>
      </w:rPr>
    </w:lvl>
    <w:lvl w:ilvl="6" w:tplc="040C0001" w:tentative="1">
      <w:start w:val="1"/>
      <w:numFmt w:val="bullet"/>
      <w:lvlText w:val=""/>
      <w:lvlJc w:val="left"/>
      <w:pPr>
        <w:ind w:left="5105" w:hanging="360"/>
      </w:pPr>
      <w:rPr>
        <w:rFonts w:ascii="Symbol" w:hAnsi="Symbol" w:hint="default"/>
      </w:rPr>
    </w:lvl>
    <w:lvl w:ilvl="7" w:tplc="040C0003" w:tentative="1">
      <w:start w:val="1"/>
      <w:numFmt w:val="bullet"/>
      <w:lvlText w:val="o"/>
      <w:lvlJc w:val="left"/>
      <w:pPr>
        <w:ind w:left="5825" w:hanging="360"/>
      </w:pPr>
      <w:rPr>
        <w:rFonts w:ascii="Courier New" w:hAnsi="Courier New" w:cs="Courier New" w:hint="default"/>
      </w:rPr>
    </w:lvl>
    <w:lvl w:ilvl="8" w:tplc="040C0005" w:tentative="1">
      <w:start w:val="1"/>
      <w:numFmt w:val="bullet"/>
      <w:lvlText w:val=""/>
      <w:lvlJc w:val="left"/>
      <w:pPr>
        <w:ind w:left="6545"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oNotTrackMoves/>
  <w:defaultTabStop w:val="708"/>
  <w:hyphenationZone w:val="425"/>
  <w:characterSpacingControl w:val="doNotCompress"/>
  <w:hdrShapeDefaults>
    <o:shapedefaults v:ext="edit" spidmax="5122"/>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D04E3"/>
    <w:rsid w:val="00007EAB"/>
    <w:rsid w:val="00047D37"/>
    <w:rsid w:val="00093A9E"/>
    <w:rsid w:val="000C310D"/>
    <w:rsid w:val="000E00D2"/>
    <w:rsid w:val="00113A5D"/>
    <w:rsid w:val="0012754F"/>
    <w:rsid w:val="0015013F"/>
    <w:rsid w:val="001562BC"/>
    <w:rsid w:val="001936AA"/>
    <w:rsid w:val="001F0CB3"/>
    <w:rsid w:val="001F3672"/>
    <w:rsid w:val="00212C69"/>
    <w:rsid w:val="002139E4"/>
    <w:rsid w:val="00222CE4"/>
    <w:rsid w:val="00244A1E"/>
    <w:rsid w:val="002B4E4F"/>
    <w:rsid w:val="002B4F6E"/>
    <w:rsid w:val="00307380"/>
    <w:rsid w:val="00326876"/>
    <w:rsid w:val="003505D9"/>
    <w:rsid w:val="003E7387"/>
    <w:rsid w:val="00487C72"/>
    <w:rsid w:val="004D1B58"/>
    <w:rsid w:val="005262D3"/>
    <w:rsid w:val="00532BF4"/>
    <w:rsid w:val="00563337"/>
    <w:rsid w:val="00576497"/>
    <w:rsid w:val="005B43C8"/>
    <w:rsid w:val="005B5D1D"/>
    <w:rsid w:val="00627CCC"/>
    <w:rsid w:val="00645CF1"/>
    <w:rsid w:val="00654041"/>
    <w:rsid w:val="006857CD"/>
    <w:rsid w:val="006A212D"/>
    <w:rsid w:val="006A72DE"/>
    <w:rsid w:val="006C55F8"/>
    <w:rsid w:val="006D4F88"/>
    <w:rsid w:val="006F509C"/>
    <w:rsid w:val="00740B97"/>
    <w:rsid w:val="00741258"/>
    <w:rsid w:val="00741322"/>
    <w:rsid w:val="0076481E"/>
    <w:rsid w:val="00766677"/>
    <w:rsid w:val="00774080"/>
    <w:rsid w:val="00797A68"/>
    <w:rsid w:val="007B751F"/>
    <w:rsid w:val="007D04E3"/>
    <w:rsid w:val="008241BE"/>
    <w:rsid w:val="00830BBD"/>
    <w:rsid w:val="0089182D"/>
    <w:rsid w:val="00896438"/>
    <w:rsid w:val="008C1350"/>
    <w:rsid w:val="008E0E38"/>
    <w:rsid w:val="008F7B28"/>
    <w:rsid w:val="00921B11"/>
    <w:rsid w:val="00924937"/>
    <w:rsid w:val="00961EA6"/>
    <w:rsid w:val="00992946"/>
    <w:rsid w:val="0099578B"/>
    <w:rsid w:val="009A0E3F"/>
    <w:rsid w:val="009B208F"/>
    <w:rsid w:val="009C1397"/>
    <w:rsid w:val="009D25F0"/>
    <w:rsid w:val="009E6C78"/>
    <w:rsid w:val="00A15437"/>
    <w:rsid w:val="00A512BD"/>
    <w:rsid w:val="00A52BB7"/>
    <w:rsid w:val="00A67750"/>
    <w:rsid w:val="00AD29EF"/>
    <w:rsid w:val="00AD3DD3"/>
    <w:rsid w:val="00AF0DBA"/>
    <w:rsid w:val="00AF167A"/>
    <w:rsid w:val="00AF5A94"/>
    <w:rsid w:val="00B07408"/>
    <w:rsid w:val="00B15FFA"/>
    <w:rsid w:val="00B270E8"/>
    <w:rsid w:val="00B30FA5"/>
    <w:rsid w:val="00B9045F"/>
    <w:rsid w:val="00BB3FAC"/>
    <w:rsid w:val="00BC608A"/>
    <w:rsid w:val="00BE2AA9"/>
    <w:rsid w:val="00BE349E"/>
    <w:rsid w:val="00BE4349"/>
    <w:rsid w:val="00BF737C"/>
    <w:rsid w:val="00C35360"/>
    <w:rsid w:val="00C55350"/>
    <w:rsid w:val="00C90596"/>
    <w:rsid w:val="00CF3234"/>
    <w:rsid w:val="00D34145"/>
    <w:rsid w:val="00D568EB"/>
    <w:rsid w:val="00D56A59"/>
    <w:rsid w:val="00D9566D"/>
    <w:rsid w:val="00DB168A"/>
    <w:rsid w:val="00DB2B59"/>
    <w:rsid w:val="00DC7A41"/>
    <w:rsid w:val="00DE12F1"/>
    <w:rsid w:val="00DE1FA7"/>
    <w:rsid w:val="00DE4599"/>
    <w:rsid w:val="00E14801"/>
    <w:rsid w:val="00E242A8"/>
    <w:rsid w:val="00E45EC5"/>
    <w:rsid w:val="00E772E4"/>
    <w:rsid w:val="00E849CF"/>
    <w:rsid w:val="00E86F0B"/>
    <w:rsid w:val="00EB6728"/>
    <w:rsid w:val="00ED486E"/>
    <w:rsid w:val="00EF4367"/>
    <w:rsid w:val="00F360E3"/>
    <w:rsid w:val="00F51512"/>
    <w:rsid w:val="00F947BB"/>
    <w:rsid w:val="00FB66A7"/>
    <w:rsid w:val="00FF5FF5"/>
  </w:rsids>
  <m:mathPr>
    <m:mathFont m:val="Cambria Math"/>
    <m:brkBin m:val="before"/>
    <m:brkBinSub m:val="--"/>
    <m:smallFrac m:val="off"/>
    <m:dispDef/>
    <m:lMargin m:val="0"/>
    <m:rMargin m:val="0"/>
    <m:defJc m:val="centerGroup"/>
    <m:wrapIndent m:val="1440"/>
    <m:intLim m:val="subSup"/>
    <m:naryLim m:val="undOvr"/>
  </m:mathPr>
  <w:uiCompat97To2003/>
  <w:themeFontLang w:val="pt-P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PT" w:eastAsia="pt-P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4E3"/>
    <w:rPr>
      <w:rFonts w:ascii="Times New Roman" w:eastAsia="Times New Roman" w:hAnsi="Times New Roman"/>
      <w:sz w:val="24"/>
      <w:szCs w:val="24"/>
      <w:lang w:val="en-IE"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D04E3"/>
    <w:pPr>
      <w:ind w:left="720"/>
      <w:contextualSpacing/>
    </w:pPr>
  </w:style>
  <w:style w:type="paragraph" w:styleId="Header">
    <w:name w:val="header"/>
    <w:basedOn w:val="Normal"/>
    <w:link w:val="HeaderChar"/>
    <w:uiPriority w:val="99"/>
    <w:rsid w:val="00DB2B59"/>
    <w:pPr>
      <w:tabs>
        <w:tab w:val="center" w:pos="4536"/>
        <w:tab w:val="right" w:pos="9072"/>
      </w:tabs>
    </w:pPr>
    <w:rPr>
      <w:rFonts w:eastAsia="Calibri"/>
    </w:rPr>
  </w:style>
  <w:style w:type="character" w:customStyle="1" w:styleId="HeaderChar">
    <w:name w:val="Header Char"/>
    <w:link w:val="Header"/>
    <w:uiPriority w:val="99"/>
    <w:locked/>
    <w:rsid w:val="00DB2B59"/>
    <w:rPr>
      <w:rFonts w:ascii="Times New Roman" w:hAnsi="Times New Roman" w:cs="Times New Roman"/>
      <w:sz w:val="24"/>
      <w:szCs w:val="24"/>
      <w:lang w:val="en-IE" w:eastAsia="en-IE"/>
    </w:rPr>
  </w:style>
  <w:style w:type="paragraph" w:styleId="Footer">
    <w:name w:val="footer"/>
    <w:basedOn w:val="Normal"/>
    <w:link w:val="FooterChar"/>
    <w:uiPriority w:val="99"/>
    <w:rsid w:val="00DB2B59"/>
    <w:pPr>
      <w:tabs>
        <w:tab w:val="center" w:pos="4536"/>
        <w:tab w:val="right" w:pos="9072"/>
      </w:tabs>
    </w:pPr>
    <w:rPr>
      <w:rFonts w:eastAsia="Calibri"/>
    </w:rPr>
  </w:style>
  <w:style w:type="character" w:customStyle="1" w:styleId="FooterChar">
    <w:name w:val="Footer Char"/>
    <w:link w:val="Footer"/>
    <w:uiPriority w:val="99"/>
    <w:locked/>
    <w:rsid w:val="00DB2B59"/>
    <w:rPr>
      <w:rFonts w:ascii="Times New Roman" w:hAnsi="Times New Roman" w:cs="Times New Roman"/>
      <w:sz w:val="24"/>
      <w:szCs w:val="24"/>
      <w:lang w:val="en-IE" w:eastAsia="en-IE"/>
    </w:rPr>
  </w:style>
  <w:style w:type="paragraph" w:styleId="BalloonText">
    <w:name w:val="Balloon Text"/>
    <w:basedOn w:val="Normal"/>
    <w:link w:val="BalloonTextChar"/>
    <w:uiPriority w:val="99"/>
    <w:semiHidden/>
    <w:rsid w:val="0015013F"/>
    <w:rPr>
      <w:rFonts w:ascii="Tahoma" w:eastAsia="Calibri" w:hAnsi="Tahoma"/>
      <w:sz w:val="16"/>
      <w:szCs w:val="16"/>
    </w:rPr>
  </w:style>
  <w:style w:type="character" w:customStyle="1" w:styleId="BalloonTextChar">
    <w:name w:val="Balloon Text Char"/>
    <w:link w:val="BalloonText"/>
    <w:uiPriority w:val="99"/>
    <w:semiHidden/>
    <w:locked/>
    <w:rsid w:val="0015013F"/>
    <w:rPr>
      <w:rFonts w:ascii="Tahoma" w:hAnsi="Tahoma" w:cs="Tahoma"/>
      <w:sz w:val="16"/>
      <w:szCs w:val="16"/>
      <w:lang w:val="en-IE" w:eastAsia="en-IE"/>
    </w:rPr>
  </w:style>
  <w:style w:type="character" w:styleId="CommentReference">
    <w:name w:val="annotation reference"/>
    <w:uiPriority w:val="99"/>
    <w:semiHidden/>
    <w:rsid w:val="0015013F"/>
    <w:rPr>
      <w:rFonts w:cs="Times New Roman"/>
      <w:sz w:val="16"/>
      <w:szCs w:val="16"/>
    </w:rPr>
  </w:style>
  <w:style w:type="paragraph" w:styleId="CommentText">
    <w:name w:val="annotation text"/>
    <w:basedOn w:val="Normal"/>
    <w:link w:val="CommentTextChar"/>
    <w:uiPriority w:val="99"/>
    <w:semiHidden/>
    <w:rsid w:val="0015013F"/>
    <w:rPr>
      <w:rFonts w:eastAsia="Calibri"/>
      <w:sz w:val="20"/>
      <w:szCs w:val="20"/>
    </w:rPr>
  </w:style>
  <w:style w:type="character" w:customStyle="1" w:styleId="CommentTextChar">
    <w:name w:val="Comment Text Char"/>
    <w:link w:val="CommentText"/>
    <w:uiPriority w:val="99"/>
    <w:semiHidden/>
    <w:locked/>
    <w:rsid w:val="0015013F"/>
    <w:rPr>
      <w:rFonts w:ascii="Times New Roman" w:hAnsi="Times New Roman" w:cs="Times New Roman"/>
      <w:sz w:val="20"/>
      <w:szCs w:val="20"/>
      <w:lang w:val="en-IE" w:eastAsia="en-IE"/>
    </w:rPr>
  </w:style>
  <w:style w:type="paragraph" w:styleId="CommentSubject">
    <w:name w:val="annotation subject"/>
    <w:basedOn w:val="CommentText"/>
    <w:next w:val="CommentText"/>
    <w:link w:val="CommentSubjectChar"/>
    <w:uiPriority w:val="99"/>
    <w:semiHidden/>
    <w:rsid w:val="0015013F"/>
    <w:rPr>
      <w:b/>
      <w:bCs/>
    </w:rPr>
  </w:style>
  <w:style w:type="character" w:customStyle="1" w:styleId="CommentSubjectChar">
    <w:name w:val="Comment Subject Char"/>
    <w:link w:val="CommentSubject"/>
    <w:uiPriority w:val="99"/>
    <w:semiHidden/>
    <w:locked/>
    <w:rsid w:val="0015013F"/>
    <w:rPr>
      <w:rFonts w:ascii="Times New Roman" w:hAnsi="Times New Roman" w:cs="Times New Roman"/>
      <w:b/>
      <w:bCs/>
      <w:sz w:val="20"/>
      <w:szCs w:val="20"/>
      <w:lang w:val="en-IE" w:eastAsia="en-IE"/>
    </w:rPr>
  </w:style>
  <w:style w:type="character" w:customStyle="1" w:styleId="HeaderZchn">
    <w:name w:val="Header Zchn"/>
    <w:link w:val="En-tte1"/>
    <w:locked/>
    <w:rsid w:val="00961EA6"/>
    <w:rPr>
      <w:rFonts w:ascii="Arial" w:hAnsi="Arial" w:cs="Arial"/>
      <w:b/>
      <w:sz w:val="22"/>
      <w:lang w:val="nb-NO" w:eastAsia="de-DE"/>
    </w:rPr>
  </w:style>
  <w:style w:type="paragraph" w:customStyle="1" w:styleId="En-tte1">
    <w:name w:val="En-tête1"/>
    <w:basedOn w:val="Header"/>
    <w:link w:val="HeaderZchn"/>
    <w:rsid w:val="00961EA6"/>
    <w:pPr>
      <w:spacing w:before="60" w:line="264" w:lineRule="auto"/>
      <w:ind w:left="57"/>
    </w:pPr>
    <w:rPr>
      <w:rFonts w:ascii="Arial" w:hAnsi="Arial"/>
      <w:b/>
      <w:sz w:val="22"/>
      <w:szCs w:val="20"/>
      <w:lang w:val="nb-NO" w:eastAsia="de-DE"/>
    </w:rPr>
  </w:style>
  <w:style w:type="paragraph" w:styleId="FootnoteText">
    <w:name w:val="footnote text"/>
    <w:aliases w:val="footnote text,ALTS FOOTNOTE"/>
    <w:basedOn w:val="Normal"/>
    <w:link w:val="FootnoteTextChar"/>
    <w:semiHidden/>
    <w:rsid w:val="00BE4349"/>
    <w:pPr>
      <w:spacing w:after="240"/>
      <w:ind w:left="357" w:hanging="357"/>
      <w:jc w:val="both"/>
    </w:pPr>
    <w:rPr>
      <w:sz w:val="20"/>
      <w:szCs w:val="20"/>
      <w:lang w:val="en-GB" w:eastAsia="fr-BE"/>
    </w:rPr>
  </w:style>
  <w:style w:type="character" w:customStyle="1" w:styleId="FootnoteTextChar">
    <w:name w:val="Footnote Text Char"/>
    <w:aliases w:val="footnote text Char,ALTS FOOTNOTE Char"/>
    <w:link w:val="FootnoteText"/>
    <w:semiHidden/>
    <w:rsid w:val="00BE4349"/>
    <w:rPr>
      <w:rFonts w:ascii="Times New Roman" w:eastAsia="Times New Roman" w:hAnsi="Times New Roman"/>
      <w:lang w:val="en-GB" w:eastAsia="fr-BE"/>
    </w:rPr>
  </w:style>
  <w:style w:type="character" w:styleId="FootnoteReference">
    <w:name w:val="footnote reference"/>
    <w:aliases w:val="Appel note de bas de p"/>
    <w:semiHidden/>
    <w:rsid w:val="00BE434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4487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ACED0E-8FCD-412B-9D9A-8BAC98A88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802</Words>
  <Characters>4332</Characters>
  <Application>Microsoft Office Word</Application>
  <DocSecurity>0</DocSecurity>
  <Lines>36</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Correspondence activities to frame the studies relating to the UHF frequency band 470-694 MHz</vt:lpstr>
      <vt:lpstr>Correspondence activities to frame the studies relating to the UHF frequency band 470-694 MHz</vt:lpstr>
    </vt:vector>
  </TitlesOfParts>
  <Company>ANFR</Company>
  <LinksUpToDate>false</LinksUpToDate>
  <CharactersWithSpaces>5124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Correspondence activities to frame the studies relating to the UHF frequency band 470-694 MHz</dc:title>
  <dc:creator>FOURNIER Eric</dc:creator>
  <cp:lastModifiedBy>ICP0384</cp:lastModifiedBy>
  <cp:revision>5</cp:revision>
  <dcterms:created xsi:type="dcterms:W3CDTF">2013-04-11T12:00:00Z</dcterms:created>
  <dcterms:modified xsi:type="dcterms:W3CDTF">2013-04-11T14:27:00Z</dcterms:modified>
</cp:coreProperties>
</file>