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6FE58" w14:textId="77777777" w:rsidR="00AE1ECC" w:rsidRDefault="00AE1ECC" w:rsidP="00AE1ECC">
      <w:pPr>
        <w:pStyle w:val="ECCpageHeader"/>
      </w:pPr>
      <w:r w:rsidRPr="00FC2F21">
        <w:rPr>
          <w:noProof/>
        </w:rPr>
        <w:drawing>
          <wp:inline distT="0" distB="0" distL="0" distR="0" wp14:anchorId="0CCF60B2" wp14:editId="0ABD5606">
            <wp:extent cx="889000" cy="889000"/>
            <wp:effectExtent l="0" t="0" r="6350" b="6350"/>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inline>
        </w:drawing>
      </w:r>
      <w:r>
        <w:tab/>
      </w:r>
      <w:r>
        <w:tab/>
      </w:r>
      <w:r w:rsidRPr="00FC2F21">
        <w:rPr>
          <w:noProof/>
        </w:rPr>
        <w:drawing>
          <wp:inline distT="0" distB="0" distL="0" distR="0" wp14:anchorId="1C99D0FD" wp14:editId="53F34536">
            <wp:extent cx="1461770" cy="546100"/>
            <wp:effectExtent l="0" t="0" r="5080" b="6350"/>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inline>
        </w:drawing>
      </w:r>
    </w:p>
    <w:tbl>
      <w:tblPr>
        <w:tblW w:w="9781" w:type="dxa"/>
        <w:tblInd w:w="-72" w:type="dxa"/>
        <w:tblLayout w:type="fixed"/>
        <w:tblCellMar>
          <w:left w:w="70" w:type="dxa"/>
          <w:right w:w="70" w:type="dxa"/>
        </w:tblCellMar>
        <w:tblLook w:val="0000" w:firstRow="0" w:lastRow="0" w:firstColumn="0" w:lastColumn="0" w:noHBand="0" w:noVBand="0"/>
      </w:tblPr>
      <w:tblGrid>
        <w:gridCol w:w="1688"/>
        <w:gridCol w:w="3078"/>
        <w:gridCol w:w="4939"/>
        <w:gridCol w:w="38"/>
        <w:gridCol w:w="38"/>
      </w:tblGrid>
      <w:tr w:rsidR="00AE1ECC" w:rsidRPr="00235592" w14:paraId="743F0AFE" w14:textId="77777777" w:rsidTr="1D5A878A">
        <w:trPr>
          <w:cantSplit/>
          <w:trHeight w:val="1240"/>
        </w:trPr>
        <w:tc>
          <w:tcPr>
            <w:tcW w:w="4766" w:type="dxa"/>
            <w:gridSpan w:val="2"/>
            <w:tcBorders>
              <w:top w:val="nil"/>
              <w:left w:val="nil"/>
              <w:bottom w:val="nil"/>
              <w:right w:val="nil"/>
            </w:tcBorders>
          </w:tcPr>
          <w:tbl>
            <w:tblPr>
              <w:tblW w:w="9780" w:type="dxa"/>
              <w:tblLayout w:type="fixed"/>
              <w:tblLook w:val="04A0" w:firstRow="1" w:lastRow="0" w:firstColumn="1" w:lastColumn="0" w:noHBand="0" w:noVBand="1"/>
            </w:tblPr>
            <w:tblGrid>
              <w:gridCol w:w="9780"/>
            </w:tblGrid>
            <w:tr w:rsidR="00AE1ECC" w14:paraId="65D6F80B" w14:textId="77777777" w:rsidTr="02A15A51">
              <w:trPr>
                <w:cantSplit/>
                <w:trHeight w:val="405"/>
              </w:trPr>
              <w:tc>
                <w:tcPr>
                  <w:tcW w:w="9780" w:type="dxa"/>
                  <w:vAlign w:val="center"/>
                </w:tcPr>
                <w:p w14:paraId="42F83A27" w14:textId="77777777" w:rsidR="00AE1ECC" w:rsidRPr="00FC2F21" w:rsidRDefault="00AE1ECC" w:rsidP="00CA59A4">
                  <w:pPr>
                    <w:pStyle w:val="ECCLetterHead"/>
                  </w:pPr>
                  <w:r>
                    <w:t>ECC PT1 #62</w:t>
                  </w:r>
                </w:p>
              </w:tc>
            </w:tr>
            <w:tr w:rsidR="00AE1ECC" w14:paraId="4ABD7A9D" w14:textId="77777777" w:rsidTr="02A15A51">
              <w:trPr>
                <w:cantSplit/>
                <w:trHeight w:val="405"/>
              </w:trPr>
              <w:tc>
                <w:tcPr>
                  <w:tcW w:w="9780" w:type="dxa"/>
                  <w:vAlign w:val="center"/>
                </w:tcPr>
                <w:p w14:paraId="02F69E0F" w14:textId="77777777" w:rsidR="00AE1ECC" w:rsidRPr="00FC2F21" w:rsidRDefault="00AE1ECC" w:rsidP="00CA59A4">
                  <w:pPr>
                    <w:pStyle w:val="ECCLetterHead"/>
                  </w:pPr>
                  <w:r w:rsidRPr="001F5FAF">
                    <w:t>Billund, Denmark, 10-14 June 2019</w:t>
                  </w:r>
                </w:p>
              </w:tc>
            </w:tr>
          </w:tbl>
          <w:p w14:paraId="6215AA7B" w14:textId="77777777" w:rsidR="00AE1ECC" w:rsidRPr="00235592" w:rsidRDefault="00AE1ECC" w:rsidP="00CA59A4">
            <w:pPr>
              <w:pStyle w:val="ECCLetterHead"/>
            </w:pPr>
          </w:p>
        </w:tc>
        <w:tc>
          <w:tcPr>
            <w:tcW w:w="5015" w:type="dxa"/>
            <w:gridSpan w:val="3"/>
            <w:tcBorders>
              <w:top w:val="nil"/>
              <w:left w:val="nil"/>
              <w:bottom w:val="nil"/>
              <w:right w:val="nil"/>
            </w:tcBorders>
          </w:tcPr>
          <w:p w14:paraId="743A1B87" w14:textId="77777777" w:rsidR="00AE1ECC" w:rsidRPr="00FC2F21" w:rsidRDefault="00AE1ECC" w:rsidP="00CA59A4">
            <w:pPr>
              <w:pStyle w:val="ECCLetterHead"/>
            </w:pPr>
            <w:r w:rsidRPr="00235592">
              <w:tab/>
            </w:r>
            <w:r w:rsidRPr="00FC2F21">
              <w:t>ECC PT1(18)</w:t>
            </w:r>
          </w:p>
        </w:tc>
      </w:tr>
      <w:tr w:rsidR="00AE1ECC" w:rsidRPr="00235592" w14:paraId="509B129E" w14:textId="77777777" w:rsidTr="1D5A878A">
        <w:tblPrEx>
          <w:tblCellMar>
            <w:left w:w="108" w:type="dxa"/>
            <w:right w:w="108" w:type="dxa"/>
          </w:tblCellMar>
        </w:tblPrEx>
        <w:trPr>
          <w:cantSplit/>
          <w:trHeight w:hRule="exact" w:val="79"/>
        </w:trPr>
        <w:tc>
          <w:tcPr>
            <w:tcW w:w="4766" w:type="dxa"/>
            <w:gridSpan w:val="2"/>
            <w:tcBorders>
              <w:top w:val="nil"/>
              <w:left w:val="nil"/>
              <w:bottom w:val="nil"/>
              <w:right w:val="nil"/>
            </w:tcBorders>
            <w:vAlign w:val="center"/>
          </w:tcPr>
          <w:p w14:paraId="3195A357" w14:textId="77777777" w:rsidR="00AE1ECC" w:rsidRPr="00235592" w:rsidRDefault="00AE1ECC" w:rsidP="00CA59A4">
            <w:pPr>
              <w:pStyle w:val="ECCLetterHead"/>
            </w:pPr>
          </w:p>
        </w:tc>
        <w:tc>
          <w:tcPr>
            <w:tcW w:w="5015" w:type="dxa"/>
            <w:gridSpan w:val="3"/>
            <w:tcBorders>
              <w:top w:val="nil"/>
              <w:left w:val="nil"/>
              <w:bottom w:val="nil"/>
              <w:right w:val="nil"/>
            </w:tcBorders>
            <w:vAlign w:val="center"/>
          </w:tcPr>
          <w:p w14:paraId="54A81E31" w14:textId="77777777" w:rsidR="00AE1ECC" w:rsidRPr="00235592" w:rsidRDefault="00AE1ECC" w:rsidP="00CA59A4">
            <w:pPr>
              <w:pStyle w:val="ECCLetterHead"/>
            </w:pPr>
          </w:p>
        </w:tc>
      </w:tr>
      <w:tr w:rsidR="00AE1ECC" w:rsidRPr="00235592" w14:paraId="62DFD437" w14:textId="77777777" w:rsidTr="1D5A878A">
        <w:tblPrEx>
          <w:tblCellMar>
            <w:left w:w="108" w:type="dxa"/>
            <w:right w:w="108" w:type="dxa"/>
          </w:tblCellMar>
        </w:tblPrEx>
        <w:trPr>
          <w:cantSplit/>
          <w:trHeight w:val="405"/>
        </w:trPr>
        <w:tc>
          <w:tcPr>
            <w:tcW w:w="1688" w:type="dxa"/>
            <w:tcBorders>
              <w:top w:val="nil"/>
              <w:left w:val="nil"/>
              <w:bottom w:val="nil"/>
              <w:right w:val="nil"/>
            </w:tcBorders>
            <w:vAlign w:val="center"/>
          </w:tcPr>
          <w:p w14:paraId="682628EA" w14:textId="77777777" w:rsidR="00AE1ECC" w:rsidRPr="00FC2F21" w:rsidRDefault="00AE1ECC" w:rsidP="00CA59A4">
            <w:pPr>
              <w:pStyle w:val="ECCLetterHead"/>
            </w:pPr>
            <w:r w:rsidRPr="00235592">
              <w:t xml:space="preserve">Date issued: </w:t>
            </w:r>
          </w:p>
        </w:tc>
        <w:tc>
          <w:tcPr>
            <w:tcW w:w="8093" w:type="dxa"/>
            <w:gridSpan w:val="4"/>
            <w:tcBorders>
              <w:top w:val="nil"/>
              <w:left w:val="nil"/>
              <w:bottom w:val="nil"/>
              <w:right w:val="nil"/>
            </w:tcBorders>
            <w:vAlign w:val="center"/>
          </w:tcPr>
          <w:p w14:paraId="1AFC79F8" w14:textId="77777777" w:rsidR="00AE1ECC" w:rsidRPr="00FC2F21" w:rsidRDefault="00AE1ECC" w:rsidP="00CA59A4">
            <w:pPr>
              <w:pStyle w:val="ECCLetterHead"/>
            </w:pPr>
            <w:bookmarkStart w:id="0" w:name="_GoBack"/>
            <w:bookmarkEnd w:id="0"/>
          </w:p>
        </w:tc>
      </w:tr>
      <w:tr w:rsidR="00AE1ECC" w:rsidRPr="00235592" w14:paraId="4FF34CE9" w14:textId="77777777" w:rsidTr="1D5A878A">
        <w:tblPrEx>
          <w:tblCellMar>
            <w:left w:w="108" w:type="dxa"/>
            <w:right w:w="108" w:type="dxa"/>
          </w:tblCellMar>
        </w:tblPrEx>
        <w:trPr>
          <w:cantSplit/>
          <w:trHeight w:val="405"/>
        </w:trPr>
        <w:tc>
          <w:tcPr>
            <w:tcW w:w="1688" w:type="dxa"/>
            <w:tcBorders>
              <w:top w:val="nil"/>
              <w:left w:val="nil"/>
              <w:bottom w:val="nil"/>
              <w:right w:val="nil"/>
            </w:tcBorders>
            <w:vAlign w:val="center"/>
          </w:tcPr>
          <w:p w14:paraId="3FDD39DE" w14:textId="77777777" w:rsidR="00AE1ECC" w:rsidRPr="00FC2F21" w:rsidRDefault="00AE1ECC" w:rsidP="00CA59A4">
            <w:pPr>
              <w:pStyle w:val="ECCLetterHead"/>
            </w:pPr>
            <w:r w:rsidRPr="00235592">
              <w:t xml:space="preserve">Source: </w:t>
            </w:r>
          </w:p>
        </w:tc>
        <w:tc>
          <w:tcPr>
            <w:tcW w:w="8093" w:type="dxa"/>
            <w:gridSpan w:val="4"/>
            <w:tcBorders>
              <w:top w:val="nil"/>
              <w:left w:val="nil"/>
              <w:bottom w:val="nil"/>
              <w:right w:val="nil"/>
            </w:tcBorders>
            <w:vAlign w:val="center"/>
          </w:tcPr>
          <w:p w14:paraId="2501C51A" w14:textId="6DD3C175" w:rsidR="00AE1ECC" w:rsidRPr="00FC2F21" w:rsidRDefault="00AE1ECC" w:rsidP="00CA59A4">
            <w:pPr>
              <w:pStyle w:val="ECCLetterHead"/>
            </w:pPr>
            <w:r w:rsidRPr="00394959">
              <w:t xml:space="preserve">United </w:t>
            </w:r>
            <w:r w:rsidRPr="00356F20">
              <w:t>Kingdom</w:t>
            </w:r>
            <w:r w:rsidR="00916EBC" w:rsidRPr="00356F20">
              <w:t>, Slovenia</w:t>
            </w:r>
          </w:p>
        </w:tc>
      </w:tr>
      <w:tr w:rsidR="00AE1ECC" w:rsidRPr="00235592" w14:paraId="0067BBE8" w14:textId="77777777" w:rsidTr="1D5A878A">
        <w:tblPrEx>
          <w:tblCellMar>
            <w:left w:w="108" w:type="dxa"/>
            <w:right w:w="108" w:type="dxa"/>
          </w:tblCellMar>
        </w:tblPrEx>
        <w:trPr>
          <w:cantSplit/>
          <w:trHeight w:val="405"/>
        </w:trPr>
        <w:tc>
          <w:tcPr>
            <w:tcW w:w="1688" w:type="dxa"/>
            <w:tcBorders>
              <w:top w:val="nil"/>
              <w:left w:val="nil"/>
              <w:bottom w:val="nil"/>
              <w:right w:val="nil"/>
            </w:tcBorders>
            <w:vAlign w:val="center"/>
          </w:tcPr>
          <w:p w14:paraId="43DA7803" w14:textId="77777777" w:rsidR="00AE1ECC" w:rsidRPr="00FC2F21" w:rsidRDefault="00AE1ECC" w:rsidP="00CA59A4">
            <w:pPr>
              <w:pStyle w:val="ECCLetterHead"/>
            </w:pPr>
            <w:r w:rsidRPr="00235592">
              <w:t xml:space="preserve">Subject: </w:t>
            </w:r>
          </w:p>
        </w:tc>
        <w:tc>
          <w:tcPr>
            <w:tcW w:w="8093" w:type="dxa"/>
            <w:gridSpan w:val="4"/>
            <w:tcBorders>
              <w:top w:val="nil"/>
              <w:left w:val="nil"/>
              <w:bottom w:val="nil"/>
              <w:right w:val="nil"/>
            </w:tcBorders>
            <w:vAlign w:val="center"/>
          </w:tcPr>
          <w:p w14:paraId="2F3ADE1D" w14:textId="4F160A72" w:rsidR="00AE1ECC" w:rsidRPr="00FC2F21" w:rsidRDefault="00D639B6" w:rsidP="00CA59A4">
            <w:pPr>
              <w:pStyle w:val="ECCLetterHead"/>
            </w:pPr>
            <w:r>
              <w:t xml:space="preserve">Optional </w:t>
            </w:r>
            <w:r w:rsidR="00E74C15">
              <w:t xml:space="preserve">Block </w:t>
            </w:r>
            <w:r>
              <w:t>E</w:t>
            </w:r>
            <w:r w:rsidR="00E74C15">
              <w:t xml:space="preserve">dge </w:t>
            </w:r>
            <w:r>
              <w:t>M</w:t>
            </w:r>
            <w:r w:rsidR="00E74C15">
              <w:t>ask (BEM) for the 2690 – 2700 MHz frequency band</w:t>
            </w:r>
          </w:p>
        </w:tc>
      </w:tr>
      <w:tr w:rsidR="00AE1ECC" w:rsidRPr="00235592" w14:paraId="6B1876CF" w14:textId="77777777" w:rsidTr="1D5A878A">
        <w:tblPrEx>
          <w:tblCellMar>
            <w:left w:w="108" w:type="dxa"/>
            <w:right w:w="108" w:type="dxa"/>
          </w:tblCellMar>
        </w:tblPrEx>
        <w:trPr>
          <w:gridAfter w:val="2"/>
          <w:wAfter w:w="76" w:type="dxa"/>
          <w:cantSplit/>
          <w:trHeight w:hRule="exact" w:val="74"/>
        </w:trPr>
        <w:tc>
          <w:tcPr>
            <w:tcW w:w="9705" w:type="dxa"/>
            <w:gridSpan w:val="3"/>
            <w:tcBorders>
              <w:top w:val="nil"/>
              <w:left w:val="nil"/>
              <w:bottom w:val="single" w:sz="6" w:space="0" w:color="C00000"/>
              <w:right w:val="nil"/>
            </w:tcBorders>
            <w:vAlign w:val="center"/>
          </w:tcPr>
          <w:p w14:paraId="26A05DB1" w14:textId="77777777" w:rsidR="00AE1ECC" w:rsidRPr="00235592" w:rsidRDefault="00AE1ECC" w:rsidP="00CA59A4">
            <w:pPr>
              <w:rPr>
                <w:rStyle w:val="ECCParagraph"/>
              </w:rPr>
            </w:pPr>
          </w:p>
          <w:p w14:paraId="713721CC" w14:textId="77777777" w:rsidR="00AE1ECC" w:rsidRPr="00235592" w:rsidRDefault="00AE1ECC" w:rsidP="00CA59A4">
            <w:pPr>
              <w:pStyle w:val="ECCLetterHead"/>
            </w:pPr>
          </w:p>
        </w:tc>
      </w:tr>
      <w:tr w:rsidR="008C3861" w:rsidRPr="00235592" w14:paraId="2EA9E084" w14:textId="77777777" w:rsidTr="1D5A87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8" w:type="dxa"/>
          <w:cantSplit/>
          <w:trHeight w:val="1913"/>
        </w:trPr>
        <w:tc>
          <w:tcPr>
            <w:tcW w:w="9743" w:type="dxa"/>
            <w:gridSpan w:val="4"/>
            <w:tcBorders>
              <w:top w:val="single" w:sz="6" w:space="0" w:color="C00000"/>
              <w:left w:val="single" w:sz="6" w:space="0" w:color="C00000"/>
              <w:bottom w:val="single" w:sz="8" w:space="0" w:color="C00000"/>
              <w:right w:val="single" w:sz="8" w:space="0" w:color="C00000"/>
            </w:tcBorders>
            <w:vAlign w:val="center"/>
          </w:tcPr>
          <w:p w14:paraId="4025EDAE" w14:textId="77777777" w:rsidR="008C3861" w:rsidRPr="00FC2F21" w:rsidRDefault="008C3861" w:rsidP="00CA59A4">
            <w:pPr>
              <w:pStyle w:val="ECCLetterHead"/>
            </w:pPr>
            <w:r w:rsidRPr="00235592">
              <w:t xml:space="preserve">Summary: </w:t>
            </w:r>
          </w:p>
          <w:p w14:paraId="2492CC07" w14:textId="0E4F6EF5" w:rsidR="008C3861" w:rsidRPr="00FC2F21" w:rsidRDefault="1D5A878A" w:rsidP="00E74C15">
            <w:r>
              <w:t>This document provides</w:t>
            </w:r>
            <w:r w:rsidR="000F7433">
              <w:t xml:space="preserve"> </w:t>
            </w:r>
            <w:r>
              <w:t>information in relation to the Block Edge Mask (BEM) for the 2690-2700 MHz frequency range found in the draft revision of the ECC Decision (05)05 and in the ECC Report “Analysis of the suitability and update of the regulatory technical conditions for 5G MFCN and AAS operation in the 2500-2690 MHz band”.</w:t>
            </w:r>
          </w:p>
        </w:tc>
      </w:tr>
      <w:tr w:rsidR="00AE1ECC" w:rsidRPr="00235592" w14:paraId="67053770" w14:textId="77777777" w:rsidTr="1D5A87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8" w:type="dxa"/>
          <w:cantSplit/>
          <w:trHeight w:val="1415"/>
        </w:trPr>
        <w:tc>
          <w:tcPr>
            <w:tcW w:w="9743" w:type="dxa"/>
            <w:gridSpan w:val="4"/>
            <w:tcBorders>
              <w:top w:val="single" w:sz="8" w:space="0" w:color="C00000"/>
              <w:left w:val="single" w:sz="6" w:space="0" w:color="C00000"/>
              <w:bottom w:val="single" w:sz="6" w:space="0" w:color="C00000"/>
              <w:right w:val="single" w:sz="6" w:space="0" w:color="C00000"/>
            </w:tcBorders>
            <w:vAlign w:val="center"/>
          </w:tcPr>
          <w:p w14:paraId="60A39E00" w14:textId="77777777" w:rsidR="00AE1ECC" w:rsidRPr="00FC2F21" w:rsidRDefault="00AE1ECC" w:rsidP="00CA59A4">
            <w:pPr>
              <w:pStyle w:val="ECCLetterHead"/>
            </w:pPr>
            <w:r w:rsidRPr="00235592">
              <w:t>Proposal:</w:t>
            </w:r>
            <w:r w:rsidRPr="00FC2F21">
              <w:t xml:space="preserve">  </w:t>
            </w:r>
          </w:p>
          <w:p w14:paraId="7FF14C33" w14:textId="776377AE" w:rsidR="000C4357" w:rsidRPr="00FC2F21" w:rsidRDefault="1D5A878A" w:rsidP="00CA59A4">
            <w:r>
              <w:t xml:space="preserve">ECC PT1 is invited to consider the first limit (first row) in the optional BEM for the 2690-2700 MHz frequency band to be a TRP power limit per cell of 6 dBm/10 MHz instead of 0 dBm/10 </w:t>
            </w:r>
            <w:proofErr w:type="spellStart"/>
            <w:r>
              <w:t>MHz.</w:t>
            </w:r>
            <w:proofErr w:type="spellEnd"/>
          </w:p>
        </w:tc>
      </w:tr>
      <w:tr w:rsidR="008C3861" w:rsidRPr="00235592" w14:paraId="22ED62D1" w14:textId="77777777" w:rsidTr="1D5A87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8" w:type="dxa"/>
          <w:cantSplit/>
          <w:trHeight w:val="1678"/>
        </w:trPr>
        <w:tc>
          <w:tcPr>
            <w:tcW w:w="9743" w:type="dxa"/>
            <w:gridSpan w:val="4"/>
            <w:tcBorders>
              <w:top w:val="single" w:sz="6" w:space="0" w:color="C00000"/>
              <w:left w:val="single" w:sz="6" w:space="0" w:color="C00000"/>
              <w:bottom w:val="single" w:sz="8" w:space="0" w:color="FF0000"/>
              <w:right w:val="single" w:sz="8" w:space="0" w:color="FF0000"/>
            </w:tcBorders>
            <w:vAlign w:val="center"/>
          </w:tcPr>
          <w:p w14:paraId="7D3A1D92" w14:textId="77777777" w:rsidR="008C3861" w:rsidRPr="00FC2F21" w:rsidRDefault="008C3861" w:rsidP="0081439B">
            <w:pPr>
              <w:pStyle w:val="ECCLetterHead"/>
            </w:pPr>
            <w:r>
              <w:t>Background:</w:t>
            </w:r>
          </w:p>
          <w:p w14:paraId="3EAF58FC" w14:textId="77777777" w:rsidR="000707CC" w:rsidRDefault="000707CC" w:rsidP="000707CC">
            <w:r>
              <w:t xml:space="preserve">The draft revision of the ECC Decision (05)05 has included a new optional BEM limit to ease the coordination with the radio astronomy service (RAS) in the frequency band 2690 – 2700 </w:t>
            </w:r>
            <w:proofErr w:type="spellStart"/>
            <w:r>
              <w:t>MHz.</w:t>
            </w:r>
            <w:proofErr w:type="spellEnd"/>
            <w:r>
              <w:t xml:space="preserve">   PT1 will need to resolve the comments received during the public consultation on this ECC Decision at this meeting, including the comments from the UK on this BEM limit.</w:t>
            </w:r>
          </w:p>
          <w:p w14:paraId="674A27FF" w14:textId="67F5A26C" w:rsidR="000C4357" w:rsidRPr="00FC2F21" w:rsidRDefault="000707CC" w:rsidP="000707CC">
            <w:pPr>
              <w:rPr>
                <w:rFonts w:eastAsia="Arial" w:cs="Arial"/>
                <w:szCs w:val="20"/>
              </w:rPr>
            </w:pPr>
            <w:r>
              <w:t xml:space="preserve">The ECC Report “Analysis of the suitability and update of the regulatory technical conditions for 5G MFCN and AAS operation in the 2500-2690 MHz band” also contains the new optional BEM.  This will need to be </w:t>
            </w:r>
            <w:proofErr w:type="gramStart"/>
            <w:r>
              <w:t>need</w:t>
            </w:r>
            <w:proofErr w:type="gramEnd"/>
            <w:r>
              <w:t xml:space="preserve"> to be consistent with the final version of the revision of ECC Decision (05)05.</w:t>
            </w:r>
          </w:p>
        </w:tc>
      </w:tr>
    </w:tbl>
    <w:p w14:paraId="4F274EDF" w14:textId="6F23DCAE" w:rsidR="00990667" w:rsidRDefault="00AE1ECC">
      <w:pPr>
        <w:spacing w:before="0" w:after="160" w:line="259" w:lineRule="auto"/>
        <w:jc w:val="left"/>
        <w:rPr>
          <w:b/>
        </w:rPr>
      </w:pPr>
      <w:r>
        <w:br w:type="page"/>
      </w:r>
    </w:p>
    <w:p w14:paraId="4290C286" w14:textId="10C27AD5" w:rsidR="00990667" w:rsidRDefault="00D8534B">
      <w:pPr>
        <w:spacing w:before="0" w:after="160" w:line="259" w:lineRule="auto"/>
        <w:jc w:val="left"/>
        <w:rPr>
          <w:b/>
        </w:rPr>
      </w:pPr>
      <w:r>
        <w:rPr>
          <w:b/>
        </w:rPr>
        <w:lastRenderedPageBreak/>
        <w:t>1.0</w:t>
      </w:r>
      <w:r>
        <w:rPr>
          <w:b/>
        </w:rPr>
        <w:tab/>
      </w:r>
      <w:r w:rsidR="00492135">
        <w:rPr>
          <w:b/>
        </w:rPr>
        <w:t>Introduction</w:t>
      </w:r>
    </w:p>
    <w:p w14:paraId="6DBC5DEF" w14:textId="77777777" w:rsidR="00F46F5B" w:rsidRDefault="00F46F5B" w:rsidP="00F46F5B">
      <w:r>
        <w:t xml:space="preserve">The ECC Decision (05)05 is being revised to enable a timely introduction of 5G and Active Antenna System (AAS), while maintaining adequate protection of other services and applications. The draft revision has included a new optional Block Edge Mask (BEM) limit to ease the coordination with the radio astronomy service (RAS) in the frequency band 2690 – 2700 </w:t>
      </w:r>
      <w:proofErr w:type="spellStart"/>
      <w:r>
        <w:t>MHz.</w:t>
      </w:r>
      <w:proofErr w:type="spellEnd"/>
      <w:r>
        <w:t xml:space="preserve"> PT1 will need to resolve the comments received during the public consultation on this ECC Decision at this meeting, including the comments from the UK on this BEM limit.</w:t>
      </w:r>
    </w:p>
    <w:p w14:paraId="6E6C8724" w14:textId="77777777" w:rsidR="00F46F5B" w:rsidRDefault="00F46F5B" w:rsidP="00F46F5B">
      <w:r>
        <w:t xml:space="preserve">The </w:t>
      </w:r>
      <w:r w:rsidRPr="1D5A878A">
        <w:rPr>
          <w:rFonts w:eastAsia="Arial" w:cs="Arial"/>
          <w:szCs w:val="20"/>
        </w:rPr>
        <w:t xml:space="preserve">ECC Report “Analysis of the suitability and update of the regulatory technical conditions for 5G MFCN and AAS operation in the 2500-2690 MHz band” </w:t>
      </w:r>
      <w:r>
        <w:rPr>
          <w:rFonts w:eastAsia="Arial" w:cs="Arial"/>
          <w:szCs w:val="20"/>
        </w:rPr>
        <w:t xml:space="preserve">also </w:t>
      </w:r>
      <w:r w:rsidRPr="1D5A878A">
        <w:rPr>
          <w:rFonts w:eastAsia="Arial" w:cs="Arial"/>
          <w:szCs w:val="20"/>
        </w:rPr>
        <w:t>contains the new optional BEM</w:t>
      </w:r>
      <w:r>
        <w:rPr>
          <w:rFonts w:eastAsia="Arial" w:cs="Arial"/>
          <w:szCs w:val="20"/>
        </w:rPr>
        <w:t xml:space="preserve">.  This will need to be </w:t>
      </w:r>
      <w:proofErr w:type="gramStart"/>
      <w:r>
        <w:rPr>
          <w:rFonts w:eastAsia="Arial" w:cs="Arial"/>
          <w:szCs w:val="20"/>
        </w:rPr>
        <w:t>need</w:t>
      </w:r>
      <w:proofErr w:type="gramEnd"/>
      <w:r>
        <w:rPr>
          <w:rFonts w:eastAsia="Arial" w:cs="Arial"/>
          <w:szCs w:val="20"/>
        </w:rPr>
        <w:t xml:space="preserve"> to be consistent with the final version of the revision of ECC Decision (05)05.</w:t>
      </w:r>
    </w:p>
    <w:p w14:paraId="09CC37BC" w14:textId="77777777" w:rsidR="00037489" w:rsidRDefault="00037489" w:rsidP="00492135">
      <w:pPr>
        <w:rPr>
          <w:b/>
        </w:rPr>
      </w:pPr>
    </w:p>
    <w:p w14:paraId="6F46D7C6" w14:textId="486280D6" w:rsidR="0068198D" w:rsidRPr="0068198D" w:rsidRDefault="00D8534B" w:rsidP="00492135">
      <w:pPr>
        <w:rPr>
          <w:b/>
        </w:rPr>
      </w:pPr>
      <w:r>
        <w:rPr>
          <w:b/>
        </w:rPr>
        <w:t>2.0</w:t>
      </w:r>
      <w:r>
        <w:rPr>
          <w:b/>
        </w:rPr>
        <w:tab/>
      </w:r>
      <w:r w:rsidR="008053AA">
        <w:rPr>
          <w:b/>
        </w:rPr>
        <w:t>AAS TRP power limit per cell</w:t>
      </w:r>
    </w:p>
    <w:p w14:paraId="3B8E31CA" w14:textId="1A201908" w:rsidR="00EF042A" w:rsidRDefault="00EF042A" w:rsidP="00D456BB">
      <w:r>
        <w:t xml:space="preserve">The optional BEM </w:t>
      </w:r>
      <w:r w:rsidR="008053AA">
        <w:t xml:space="preserve">TRP power </w:t>
      </w:r>
      <w:r>
        <w:t xml:space="preserve">limit </w:t>
      </w:r>
      <w:r w:rsidR="00AD563C">
        <w:t xml:space="preserve">in the </w:t>
      </w:r>
      <w:r w:rsidR="00CD4392">
        <w:t>version of ECC Decision (05)</w:t>
      </w:r>
      <w:r w:rsidR="00F16AB2">
        <w:t>05</w:t>
      </w:r>
      <w:r w:rsidR="00CD4392">
        <w:t xml:space="preserve"> sent out for public consultation, </w:t>
      </w:r>
      <w:r>
        <w:t>is shown in Table 1</w:t>
      </w:r>
      <w:r w:rsidR="008053AA">
        <w:t xml:space="preserve"> and is defined as “per cell” rather than “per connector”.</w:t>
      </w:r>
    </w:p>
    <w:p w14:paraId="1408D0BD" w14:textId="77777777" w:rsidR="008053AA" w:rsidRDefault="008053AA" w:rsidP="008053AA">
      <w:pPr>
        <w:jc w:val="center"/>
      </w:pPr>
      <w:r>
        <w:t>Table 1</w:t>
      </w:r>
    </w:p>
    <w:tbl>
      <w:tblPr>
        <w:tblW w:w="5000" w:type="pct"/>
        <w:jc w:val="center"/>
        <w:tblCellMar>
          <w:left w:w="0" w:type="dxa"/>
          <w:right w:w="0" w:type="dxa"/>
        </w:tblCellMar>
        <w:tblLook w:val="04A0" w:firstRow="1" w:lastRow="0" w:firstColumn="1" w:lastColumn="0" w:noHBand="0" w:noVBand="1"/>
      </w:tblPr>
      <w:tblGrid>
        <w:gridCol w:w="2171"/>
        <w:gridCol w:w="4056"/>
        <w:gridCol w:w="2779"/>
      </w:tblGrid>
      <w:tr w:rsidR="008053AA" w:rsidRPr="00812984" w14:paraId="4E94D76E" w14:textId="77777777" w:rsidTr="00F06B63">
        <w:trPr>
          <w:tblHeader/>
          <w:jc w:val="center"/>
        </w:trPr>
        <w:tc>
          <w:tcPr>
            <w:tcW w:w="1205" w:type="pct"/>
            <w:tcBorders>
              <w:top w:val="single" w:sz="8" w:space="0" w:color="D22A23"/>
              <w:left w:val="single" w:sz="8" w:space="0" w:color="D22A23"/>
              <w:bottom w:val="single" w:sz="4" w:space="0" w:color="D22A23"/>
              <w:right w:val="single" w:sz="8" w:space="0" w:color="FFFFFF"/>
            </w:tcBorders>
            <w:shd w:val="clear" w:color="auto" w:fill="D22A23"/>
            <w:tcMar>
              <w:top w:w="57" w:type="dxa"/>
              <w:left w:w="108" w:type="dxa"/>
              <w:bottom w:w="0" w:type="dxa"/>
              <w:right w:w="108" w:type="dxa"/>
            </w:tcMar>
            <w:vAlign w:val="center"/>
            <w:hideMark/>
          </w:tcPr>
          <w:p w14:paraId="6389B1EC" w14:textId="77777777" w:rsidR="008053AA" w:rsidRPr="00812984" w:rsidRDefault="008053AA" w:rsidP="00F06B63">
            <w:pPr>
              <w:keepNext/>
              <w:spacing w:before="60"/>
              <w:rPr>
                <w:rFonts w:eastAsiaTheme="minorHAnsi"/>
                <w:b/>
                <w:bCs/>
                <w:color w:val="FFFFFF"/>
                <w:sz w:val="22"/>
                <w:lang w:eastAsia="de-DE"/>
              </w:rPr>
            </w:pPr>
            <w:r w:rsidRPr="00812984">
              <w:rPr>
                <w:b/>
                <w:bCs/>
                <w:color w:val="FFFFFF"/>
                <w:szCs w:val="20"/>
              </w:rPr>
              <w:t>BEM element</w:t>
            </w:r>
          </w:p>
        </w:tc>
        <w:tc>
          <w:tcPr>
            <w:tcW w:w="2252" w:type="pct"/>
            <w:tcBorders>
              <w:top w:val="single" w:sz="8" w:space="0" w:color="D22A23"/>
              <w:left w:val="nil"/>
              <w:bottom w:val="single" w:sz="4" w:space="0" w:color="D22A23"/>
              <w:right w:val="single" w:sz="8" w:space="0" w:color="FFFFFF"/>
            </w:tcBorders>
            <w:shd w:val="clear" w:color="auto" w:fill="D22A23"/>
            <w:tcMar>
              <w:top w:w="57" w:type="dxa"/>
              <w:left w:w="108" w:type="dxa"/>
              <w:bottom w:w="0" w:type="dxa"/>
              <w:right w:w="108" w:type="dxa"/>
            </w:tcMar>
            <w:vAlign w:val="center"/>
            <w:hideMark/>
          </w:tcPr>
          <w:p w14:paraId="347B9D27" w14:textId="77777777" w:rsidR="008053AA" w:rsidRPr="00812984" w:rsidRDefault="008053AA" w:rsidP="00F06B63">
            <w:pPr>
              <w:pStyle w:val="ECCTableHeaderwhitefont"/>
              <w:keepNext/>
              <w:spacing w:before="60"/>
              <w:rPr>
                <w:b/>
              </w:rPr>
            </w:pPr>
            <w:r w:rsidRPr="00812984">
              <w:rPr>
                <w:b/>
                <w:bCs w:val="0"/>
              </w:rPr>
              <w:t>Frequency range</w:t>
            </w:r>
          </w:p>
        </w:tc>
        <w:tc>
          <w:tcPr>
            <w:tcW w:w="1543" w:type="pct"/>
            <w:tcBorders>
              <w:top w:val="single" w:sz="8" w:space="0" w:color="D22A23"/>
              <w:left w:val="nil"/>
              <w:bottom w:val="single" w:sz="4" w:space="0" w:color="D22A23"/>
              <w:right w:val="single" w:sz="8" w:space="0" w:color="D22A23"/>
            </w:tcBorders>
            <w:shd w:val="clear" w:color="auto" w:fill="D22A23"/>
            <w:tcMar>
              <w:top w:w="57" w:type="dxa"/>
              <w:left w:w="108" w:type="dxa"/>
              <w:bottom w:w="0" w:type="dxa"/>
              <w:right w:w="108" w:type="dxa"/>
            </w:tcMar>
            <w:vAlign w:val="center"/>
            <w:hideMark/>
          </w:tcPr>
          <w:p w14:paraId="0548A2A9" w14:textId="77777777" w:rsidR="008053AA" w:rsidRPr="00812984" w:rsidRDefault="008053AA" w:rsidP="00F06B63">
            <w:pPr>
              <w:pStyle w:val="ECCTableHeaderwhitefont"/>
              <w:keepNext/>
              <w:spacing w:before="60"/>
              <w:rPr>
                <w:b/>
              </w:rPr>
            </w:pPr>
            <w:r w:rsidRPr="00812984">
              <w:rPr>
                <w:b/>
                <w:bCs w:val="0"/>
              </w:rPr>
              <w:t>AAS TRP power limit</w:t>
            </w:r>
            <w:r>
              <w:rPr>
                <w:b/>
                <w:bCs w:val="0"/>
              </w:rPr>
              <w:br/>
            </w:r>
            <w:r w:rsidRPr="00812984">
              <w:rPr>
                <w:b/>
                <w:bCs w:val="0"/>
              </w:rPr>
              <w:t>per cell</w:t>
            </w:r>
          </w:p>
        </w:tc>
      </w:tr>
      <w:tr w:rsidR="008053AA" w:rsidRPr="00812984" w14:paraId="5E8F9D43" w14:textId="77777777" w:rsidTr="00F06B63">
        <w:trPr>
          <w:jc w:val="center"/>
        </w:trPr>
        <w:tc>
          <w:tcPr>
            <w:tcW w:w="1205" w:type="pct"/>
            <w:tcBorders>
              <w:top w:val="single" w:sz="4" w:space="0" w:color="D22A23"/>
              <w:left w:val="single" w:sz="4" w:space="0" w:color="D22A23"/>
              <w:bottom w:val="single" w:sz="4" w:space="0" w:color="D22A23"/>
              <w:right w:val="single" w:sz="4" w:space="0" w:color="D22A23"/>
            </w:tcBorders>
            <w:tcMar>
              <w:top w:w="57" w:type="dxa"/>
              <w:left w:w="108" w:type="dxa"/>
              <w:bottom w:w="0" w:type="dxa"/>
              <w:right w:w="108" w:type="dxa"/>
            </w:tcMar>
            <w:vAlign w:val="center"/>
            <w:hideMark/>
          </w:tcPr>
          <w:p w14:paraId="3F196CFB" w14:textId="77777777" w:rsidR="008053AA" w:rsidRPr="00812984" w:rsidRDefault="008053AA" w:rsidP="00F06B63">
            <w:pPr>
              <w:keepNext/>
              <w:spacing w:before="60"/>
              <w:rPr>
                <w:rFonts w:eastAsiaTheme="minorHAnsi"/>
                <w:sz w:val="22"/>
                <w:lang w:eastAsia="de-DE"/>
              </w:rPr>
            </w:pPr>
            <w:r w:rsidRPr="00812984">
              <w:rPr>
                <w:szCs w:val="20"/>
              </w:rPr>
              <w:t>Additional Baseline</w:t>
            </w:r>
          </w:p>
        </w:tc>
        <w:tc>
          <w:tcPr>
            <w:tcW w:w="2252" w:type="pct"/>
            <w:tcBorders>
              <w:top w:val="single" w:sz="4" w:space="0" w:color="D22A23"/>
              <w:left w:val="single" w:sz="4" w:space="0" w:color="D22A23"/>
              <w:bottom w:val="single" w:sz="4" w:space="0" w:color="D22A23"/>
              <w:right w:val="single" w:sz="4" w:space="0" w:color="D22A23"/>
            </w:tcBorders>
            <w:tcMar>
              <w:top w:w="57" w:type="dxa"/>
              <w:left w:w="108" w:type="dxa"/>
              <w:bottom w:w="0" w:type="dxa"/>
              <w:right w:w="108" w:type="dxa"/>
            </w:tcMar>
            <w:vAlign w:val="center"/>
            <w:hideMark/>
          </w:tcPr>
          <w:p w14:paraId="4D76A0BD" w14:textId="77777777" w:rsidR="008053AA" w:rsidRPr="00812984" w:rsidRDefault="008053AA" w:rsidP="00F06B63">
            <w:pPr>
              <w:keepNext/>
              <w:spacing w:before="60"/>
              <w:rPr>
                <w:rFonts w:eastAsiaTheme="minorHAnsi"/>
                <w:sz w:val="22"/>
                <w:lang w:eastAsia="de-DE"/>
              </w:rPr>
            </w:pPr>
            <w:r w:rsidRPr="00812984">
              <w:rPr>
                <w:szCs w:val="20"/>
              </w:rPr>
              <w:t>2690-2700 MHz</w:t>
            </w:r>
          </w:p>
        </w:tc>
        <w:tc>
          <w:tcPr>
            <w:tcW w:w="1543" w:type="pct"/>
            <w:tcBorders>
              <w:top w:val="single" w:sz="4" w:space="0" w:color="D22A23"/>
              <w:left w:val="single" w:sz="4" w:space="0" w:color="D22A23"/>
              <w:bottom w:val="single" w:sz="4" w:space="0" w:color="D22A23"/>
              <w:right w:val="single" w:sz="4" w:space="0" w:color="D22A23"/>
            </w:tcBorders>
            <w:tcMar>
              <w:top w:w="57" w:type="dxa"/>
              <w:left w:w="108" w:type="dxa"/>
              <w:bottom w:w="0" w:type="dxa"/>
              <w:right w:w="108" w:type="dxa"/>
            </w:tcMar>
            <w:vAlign w:val="center"/>
            <w:hideMark/>
          </w:tcPr>
          <w:p w14:paraId="5B015E68" w14:textId="77777777" w:rsidR="008053AA" w:rsidRPr="00812984" w:rsidRDefault="008053AA" w:rsidP="00F06B63">
            <w:pPr>
              <w:keepNext/>
              <w:spacing w:before="60"/>
              <w:rPr>
                <w:rFonts w:eastAsiaTheme="minorHAnsi"/>
                <w:sz w:val="22"/>
                <w:lang w:eastAsia="de-DE"/>
              </w:rPr>
            </w:pPr>
            <w:r w:rsidRPr="00812984">
              <w:rPr>
                <w:szCs w:val="20"/>
              </w:rPr>
              <w:t>0 dBm/10</w:t>
            </w:r>
            <w:proofErr w:type="gramStart"/>
            <w:r w:rsidRPr="00812984">
              <w:rPr>
                <w:szCs w:val="20"/>
              </w:rPr>
              <w:t>MHz</w:t>
            </w:r>
            <w:r w:rsidRPr="007C53B8">
              <w:rPr>
                <w:szCs w:val="20"/>
                <w:vertAlign w:val="superscript"/>
              </w:rPr>
              <w:t>(</w:t>
            </w:r>
            <w:proofErr w:type="gramEnd"/>
            <w:r w:rsidRPr="007C53B8">
              <w:rPr>
                <w:szCs w:val="20"/>
                <w:vertAlign w:val="superscript"/>
              </w:rPr>
              <w:t>1)</w:t>
            </w:r>
          </w:p>
        </w:tc>
      </w:tr>
      <w:tr w:rsidR="008053AA" w:rsidRPr="00812984" w14:paraId="28363E25" w14:textId="77777777" w:rsidTr="00F06B63">
        <w:trPr>
          <w:jc w:val="center"/>
        </w:trPr>
        <w:tc>
          <w:tcPr>
            <w:tcW w:w="1205" w:type="pct"/>
            <w:tcBorders>
              <w:top w:val="single" w:sz="4" w:space="0" w:color="D22A23"/>
              <w:left w:val="single" w:sz="4" w:space="0" w:color="D22A23"/>
              <w:bottom w:val="single" w:sz="4" w:space="0" w:color="D22A23"/>
              <w:right w:val="single" w:sz="4" w:space="0" w:color="D22A23"/>
            </w:tcBorders>
            <w:tcMar>
              <w:top w:w="57" w:type="dxa"/>
              <w:left w:w="108" w:type="dxa"/>
              <w:bottom w:w="0" w:type="dxa"/>
              <w:right w:w="108" w:type="dxa"/>
            </w:tcMar>
            <w:vAlign w:val="center"/>
          </w:tcPr>
          <w:p w14:paraId="4690F93E" w14:textId="77777777" w:rsidR="008053AA" w:rsidRPr="00812984" w:rsidRDefault="008053AA" w:rsidP="00F06B63">
            <w:pPr>
              <w:keepNext/>
              <w:spacing w:before="60"/>
              <w:rPr>
                <w:szCs w:val="20"/>
              </w:rPr>
            </w:pPr>
            <w:r w:rsidRPr="00812984">
              <w:rPr>
                <w:szCs w:val="20"/>
              </w:rPr>
              <w:t>Additional Baseline</w:t>
            </w:r>
          </w:p>
        </w:tc>
        <w:tc>
          <w:tcPr>
            <w:tcW w:w="2252" w:type="pct"/>
            <w:tcBorders>
              <w:top w:val="single" w:sz="4" w:space="0" w:color="D22A23"/>
              <w:left w:val="single" w:sz="4" w:space="0" w:color="D22A23"/>
              <w:bottom w:val="single" w:sz="4" w:space="0" w:color="D22A23"/>
              <w:right w:val="single" w:sz="4" w:space="0" w:color="D22A23"/>
            </w:tcBorders>
            <w:tcMar>
              <w:top w:w="57" w:type="dxa"/>
              <w:left w:w="108" w:type="dxa"/>
              <w:bottom w:w="0" w:type="dxa"/>
              <w:right w:w="108" w:type="dxa"/>
            </w:tcMar>
            <w:vAlign w:val="center"/>
          </w:tcPr>
          <w:p w14:paraId="42B69A90" w14:textId="77777777" w:rsidR="008053AA" w:rsidRPr="00812984" w:rsidRDefault="008053AA" w:rsidP="00F06B63">
            <w:pPr>
              <w:keepNext/>
              <w:spacing w:before="60"/>
              <w:rPr>
                <w:szCs w:val="20"/>
              </w:rPr>
            </w:pPr>
            <w:r w:rsidRPr="00812984">
              <w:rPr>
                <w:szCs w:val="20"/>
              </w:rPr>
              <w:t>2690-2700 MHz</w:t>
            </w:r>
          </w:p>
        </w:tc>
        <w:tc>
          <w:tcPr>
            <w:tcW w:w="1543" w:type="pct"/>
            <w:tcBorders>
              <w:top w:val="single" w:sz="4" w:space="0" w:color="D22A23"/>
              <w:left w:val="single" w:sz="4" w:space="0" w:color="D22A23"/>
              <w:bottom w:val="single" w:sz="4" w:space="0" w:color="D22A23"/>
              <w:right w:val="single" w:sz="4" w:space="0" w:color="D22A23"/>
            </w:tcBorders>
            <w:tcMar>
              <w:top w:w="57" w:type="dxa"/>
              <w:left w:w="108" w:type="dxa"/>
              <w:bottom w:w="0" w:type="dxa"/>
              <w:right w:w="108" w:type="dxa"/>
            </w:tcMar>
            <w:vAlign w:val="center"/>
          </w:tcPr>
          <w:p w14:paraId="72545463" w14:textId="77777777" w:rsidR="008053AA" w:rsidRPr="00812984" w:rsidRDefault="008053AA" w:rsidP="00F06B63">
            <w:pPr>
              <w:keepNext/>
              <w:spacing w:before="60"/>
              <w:rPr>
                <w:szCs w:val="20"/>
              </w:rPr>
            </w:pPr>
            <w:r w:rsidRPr="00812984">
              <w:rPr>
                <w:szCs w:val="20"/>
              </w:rPr>
              <w:t xml:space="preserve">Not </w:t>
            </w:r>
            <w:proofErr w:type="gramStart"/>
            <w:r w:rsidRPr="00812984">
              <w:rPr>
                <w:szCs w:val="20"/>
              </w:rPr>
              <w:t>applicable</w:t>
            </w:r>
            <w:r w:rsidRPr="007C53B8">
              <w:rPr>
                <w:szCs w:val="20"/>
                <w:vertAlign w:val="superscript"/>
              </w:rPr>
              <w:t>(</w:t>
            </w:r>
            <w:proofErr w:type="gramEnd"/>
            <w:r w:rsidRPr="007C53B8">
              <w:rPr>
                <w:szCs w:val="20"/>
                <w:vertAlign w:val="superscript"/>
              </w:rPr>
              <w:t>2)</w:t>
            </w:r>
          </w:p>
        </w:tc>
      </w:tr>
      <w:tr w:rsidR="008053AA" w:rsidRPr="00812984" w14:paraId="0A2CE501" w14:textId="77777777" w:rsidTr="00F06B63">
        <w:trPr>
          <w:jc w:val="center"/>
        </w:trPr>
        <w:tc>
          <w:tcPr>
            <w:tcW w:w="5000" w:type="pct"/>
            <w:gridSpan w:val="3"/>
            <w:tcBorders>
              <w:top w:val="single" w:sz="4" w:space="0" w:color="D22A23"/>
              <w:left w:val="single" w:sz="4" w:space="0" w:color="D22A23"/>
              <w:bottom w:val="single" w:sz="4" w:space="0" w:color="D22A23"/>
              <w:right w:val="single" w:sz="4" w:space="0" w:color="D22A23"/>
            </w:tcBorders>
            <w:tcMar>
              <w:top w:w="57" w:type="dxa"/>
              <w:left w:w="108" w:type="dxa"/>
              <w:bottom w:w="0" w:type="dxa"/>
              <w:right w:w="108" w:type="dxa"/>
            </w:tcMar>
            <w:vAlign w:val="center"/>
          </w:tcPr>
          <w:p w14:paraId="43FAE5BC" w14:textId="77777777" w:rsidR="008053AA" w:rsidRPr="00812984" w:rsidRDefault="008053AA" w:rsidP="00F06B63">
            <w:pPr>
              <w:pStyle w:val="ECCTablenote"/>
              <w:spacing w:before="60" w:after="60"/>
            </w:pPr>
            <w:r w:rsidRPr="007C53B8">
              <w:rPr>
                <w:vertAlign w:val="superscript"/>
              </w:rPr>
              <w:t>(1)</w:t>
            </w:r>
            <w:r w:rsidRPr="00812984">
              <w:t xml:space="preserve"> This additional baseline reduces the size of the coordination zone </w:t>
            </w:r>
            <w:r w:rsidRPr="007C53B8">
              <w:rPr>
                <w:vertAlign w:val="superscript"/>
              </w:rPr>
              <w:t>(3)</w:t>
            </w:r>
            <w:r w:rsidRPr="00812984">
              <w:t xml:space="preserve">. However, additional measures may be needed on a national basis </w:t>
            </w:r>
            <w:proofErr w:type="gramStart"/>
            <w:r w:rsidRPr="00812984">
              <w:t>in order to</w:t>
            </w:r>
            <w:proofErr w:type="gramEnd"/>
            <w:r w:rsidRPr="00812984">
              <w:t xml:space="preserve"> protect the RAS. Depending on the size of the necessary coordination zone to protect RAS cross border co-ordination may be necessary.</w:t>
            </w:r>
          </w:p>
          <w:p w14:paraId="0B4C4467" w14:textId="77777777" w:rsidR="008053AA" w:rsidRPr="00812984" w:rsidRDefault="008053AA" w:rsidP="00F06B63">
            <w:pPr>
              <w:pStyle w:val="ECCTablenote"/>
              <w:spacing w:before="60" w:after="60"/>
            </w:pPr>
            <w:r w:rsidRPr="007C53B8">
              <w:rPr>
                <w:vertAlign w:val="superscript"/>
              </w:rPr>
              <w:t>(2)</w:t>
            </w:r>
            <w:r w:rsidRPr="00812984">
              <w:t xml:space="preserve"> In areas outside coordination zones </w:t>
            </w:r>
            <w:r w:rsidRPr="007C53B8">
              <w:rPr>
                <w:vertAlign w:val="superscript"/>
              </w:rPr>
              <w:t>(3)</w:t>
            </w:r>
            <w:r w:rsidRPr="00812984">
              <w:t xml:space="preserve"> with RAS or situations where additional baseline is not seen necessary by the concerned administration.</w:t>
            </w:r>
          </w:p>
          <w:p w14:paraId="07E8D480" w14:textId="77777777" w:rsidR="008053AA" w:rsidRPr="00812984" w:rsidRDefault="008053AA" w:rsidP="00F06B63">
            <w:pPr>
              <w:spacing w:before="60"/>
              <w:rPr>
                <w:szCs w:val="20"/>
              </w:rPr>
            </w:pPr>
            <w:r w:rsidRPr="007C53B8">
              <w:rPr>
                <w:vertAlign w:val="superscript"/>
              </w:rPr>
              <w:t>(3)</w:t>
            </w:r>
            <w:r w:rsidRPr="00812984">
              <w:t xml:space="preserve"> National measures may include coordination distances or compliance with the maximum </w:t>
            </w:r>
            <w:proofErr w:type="spellStart"/>
            <w:r w:rsidRPr="00812984">
              <w:t>pfd</w:t>
            </w:r>
            <w:proofErr w:type="spellEnd"/>
            <w:r w:rsidRPr="00812984">
              <w:t xml:space="preserve"> level at the radio astronomy sites.</w:t>
            </w:r>
          </w:p>
        </w:tc>
      </w:tr>
    </w:tbl>
    <w:p w14:paraId="73ADE905" w14:textId="179B0713" w:rsidR="00BB17EF" w:rsidRDefault="00BD46E8" w:rsidP="00D456BB">
      <w:r>
        <w:t xml:space="preserve">In Table 24 of Annex 2 of the draft revision of ECC Report </w:t>
      </w:r>
      <w:r w:rsidRPr="00E74C15">
        <w:t>“Analysis of the suitability and update of the regulatory technical conditions for 5G MFCN and AAS operation in the 2500-2690 MHz band”</w:t>
      </w:r>
      <w:r>
        <w:t xml:space="preserve">, </w:t>
      </w:r>
      <w:r w:rsidR="00487E5D">
        <w:t>the non</w:t>
      </w:r>
      <w:r w:rsidR="00487E5D">
        <w:noBreakHyphen/>
        <w:t xml:space="preserve">AAS </w:t>
      </w:r>
      <w:r>
        <w:t xml:space="preserve">OOB emission </w:t>
      </w:r>
      <w:r w:rsidR="00487E5D">
        <w:t>TRP power is -69.7 dBm/Hz which scales with the number of antennas</w:t>
      </w:r>
      <w:r w:rsidR="00BB17EF">
        <w:t>, while t</w:t>
      </w:r>
      <w:r w:rsidR="00487E5D">
        <w:t>he AAS OOB emission is given as -52.54 dBm/Hz</w:t>
      </w:r>
      <w:r w:rsidR="00BB17EF">
        <w:t>. This equates to:</w:t>
      </w:r>
    </w:p>
    <w:p w14:paraId="7F5D7E8D" w14:textId="77777777" w:rsidR="007E7FC5" w:rsidRPr="00BB17EF" w:rsidRDefault="005F5677" w:rsidP="00BB17EF">
      <w:pPr>
        <w:numPr>
          <w:ilvl w:val="1"/>
          <w:numId w:val="3"/>
        </w:numPr>
      </w:pPr>
      <w:r w:rsidRPr="00BB17EF">
        <w:t>+0.3 dBm/10 MHz (non-AAS) – per connector</w:t>
      </w:r>
    </w:p>
    <w:p w14:paraId="40CCD538" w14:textId="77777777" w:rsidR="007E7FC5" w:rsidRPr="00BB17EF" w:rsidRDefault="005F5677" w:rsidP="00BB17EF">
      <w:pPr>
        <w:numPr>
          <w:ilvl w:val="1"/>
          <w:numId w:val="3"/>
        </w:numPr>
        <w:spacing w:before="0"/>
        <w:ind w:left="1434" w:hanging="357"/>
      </w:pPr>
      <w:r w:rsidRPr="00BB17EF">
        <w:t>+17.5 dBm/10 MHz (AAS) – per sector/cell</w:t>
      </w:r>
    </w:p>
    <w:p w14:paraId="316B1415" w14:textId="58D1616C" w:rsidR="00BB17EF" w:rsidRDefault="00BB17EF" w:rsidP="00D456BB">
      <w:r>
        <w:t>It is understood from earlier discussions</w:t>
      </w:r>
      <w:r w:rsidR="00821564">
        <w:t xml:space="preserve"> that</w:t>
      </w:r>
      <w:r>
        <w:t xml:space="preserve"> the 0 dBm/10 MHz in Table 1 is based on the existing MFCN (non-AAS) OOB emission level (shown above as +0.3 dBm/10 MHz) and the intention is to </w:t>
      </w:r>
      <w:r w:rsidR="00701D7E">
        <w:t>have a like</w:t>
      </w:r>
      <w:r w:rsidR="00701D7E">
        <w:noBreakHyphen/>
        <w:t>for</w:t>
      </w:r>
      <w:r w:rsidR="00701D7E">
        <w:noBreakHyphen/>
        <w:t>like</w:t>
      </w:r>
      <w:r>
        <w:t xml:space="preserve"> power limit. </w:t>
      </w:r>
      <w:r w:rsidR="00701D7E">
        <w:t>As Table 1 is now listing the TRP power limit as “per cell”, some adjustment is needed to translate from the “per antenna” to “per cell” level.</w:t>
      </w:r>
    </w:p>
    <w:p w14:paraId="30E88AA6" w14:textId="77777777" w:rsidR="00037489" w:rsidRDefault="00037489" w:rsidP="00492135">
      <w:pPr>
        <w:rPr>
          <w:b/>
        </w:rPr>
      </w:pPr>
    </w:p>
    <w:p w14:paraId="0DA764B6" w14:textId="0DF7334B" w:rsidR="00492135" w:rsidRPr="00D8534B" w:rsidRDefault="000A56E5" w:rsidP="00492135">
      <w:pPr>
        <w:rPr>
          <w:b/>
        </w:rPr>
      </w:pPr>
      <w:r>
        <w:rPr>
          <w:b/>
        </w:rPr>
        <w:t>3</w:t>
      </w:r>
      <w:r w:rsidR="00D8534B">
        <w:rPr>
          <w:b/>
        </w:rPr>
        <w:t>.0</w:t>
      </w:r>
      <w:r w:rsidR="00D8534B">
        <w:rPr>
          <w:b/>
        </w:rPr>
        <w:tab/>
      </w:r>
      <w:r w:rsidR="007C719E">
        <w:rPr>
          <w:b/>
        </w:rPr>
        <w:t>Proposal</w:t>
      </w:r>
    </w:p>
    <w:p w14:paraId="0A933E6F" w14:textId="147D646F" w:rsidR="00F77BFE" w:rsidRDefault="00F77BFE" w:rsidP="00492135">
      <w:r>
        <w:t>It is understood that the 3GPP has defined that AAS base station will have at least 8 antennas (</w:t>
      </w:r>
      <w:proofErr w:type="spellStart"/>
      <w:r>
        <w:t>TRx</w:t>
      </w:r>
      <w:proofErr w:type="spellEnd"/>
      <w:proofErr w:type="gramStart"/>
      <w:r>
        <w:t>), and</w:t>
      </w:r>
      <w:proofErr w:type="gramEnd"/>
      <w:r>
        <w:t xml:space="preserve"> applying this minimum number of antennas will result in the AAS TRP power limit per cell to 9 dBm/10 </w:t>
      </w:r>
      <w:proofErr w:type="spellStart"/>
      <w:r>
        <w:t>MHz.</w:t>
      </w:r>
      <w:proofErr w:type="spellEnd"/>
      <w:r w:rsidR="00821564">
        <w:t xml:space="preserve"> </w:t>
      </w:r>
      <w:proofErr w:type="gramStart"/>
      <w:r w:rsidR="00821564">
        <w:t>However</w:t>
      </w:r>
      <w:proofErr w:type="gramEnd"/>
      <w:r w:rsidR="00821564">
        <w:t xml:space="preserve"> it is unlikely that the current MFCN base stations have 8 antennas per sector/cell.</w:t>
      </w:r>
    </w:p>
    <w:p w14:paraId="29B963A1" w14:textId="7F834B67" w:rsidR="00603080" w:rsidRDefault="007C719E" w:rsidP="00492135">
      <w:r>
        <w:lastRenderedPageBreak/>
        <w:t xml:space="preserve">UK considers that the first limit in Table 1 should be 6 dBm/10 MHz instead of 0 dBm/10 </w:t>
      </w:r>
      <w:proofErr w:type="spellStart"/>
      <w:r>
        <w:t>MHz.</w:t>
      </w:r>
      <w:proofErr w:type="spellEnd"/>
      <w:r>
        <w:t xml:space="preserve"> This offers a like-for-like comparison with existing MFCN base stations having 4 antennas per sector/cell which equates to 6 </w:t>
      </w:r>
      <w:proofErr w:type="spellStart"/>
      <w:r>
        <w:t>dB.</w:t>
      </w:r>
      <w:proofErr w:type="spellEnd"/>
      <w:r w:rsidR="00F77BFE">
        <w:t xml:space="preserve"> </w:t>
      </w:r>
      <w:r w:rsidR="00222815">
        <w:t>It is not inconceivable to think that the base stations we have today have 4 transmitter</w:t>
      </w:r>
      <w:r w:rsidR="00603080">
        <w:t>s in each sector</w:t>
      </w:r>
      <w:r w:rsidR="00821564">
        <w:t xml:space="preserve"> </w:t>
      </w:r>
      <w:r w:rsidR="00666219">
        <w:t xml:space="preserve">and </w:t>
      </w:r>
      <w:r w:rsidR="004A08E5">
        <w:t xml:space="preserve">hence this </w:t>
      </w:r>
      <w:r w:rsidR="00821564">
        <w:t>should be consider</w:t>
      </w:r>
      <w:r w:rsidR="00514AA7">
        <w:t>ed when applying the translation</w:t>
      </w:r>
      <w:r w:rsidR="00603080">
        <w:t>.</w:t>
      </w:r>
      <w:r w:rsidR="00222815">
        <w:t xml:space="preserve"> </w:t>
      </w:r>
      <w:r w:rsidR="00F77BFE">
        <w:t>UK also considers that the second limit “Not applicable” should be retained in the Table</w:t>
      </w:r>
      <w:r w:rsidR="00514AA7">
        <w:t xml:space="preserve"> as explained in the notes accompanying the Table</w:t>
      </w:r>
      <w:r w:rsidR="00F77BFE">
        <w:t>.</w:t>
      </w:r>
    </w:p>
    <w:p w14:paraId="69CF5B01" w14:textId="6D95CB07" w:rsidR="00492135" w:rsidRDefault="00F77BFE" w:rsidP="00492135">
      <w:r>
        <w:t>Therefore</w:t>
      </w:r>
      <w:r w:rsidR="004A08E5">
        <w:t xml:space="preserve">, </w:t>
      </w:r>
      <w:r>
        <w:t xml:space="preserve">it is proposed to revise the </w:t>
      </w:r>
      <w:r w:rsidR="00514AA7">
        <w:t xml:space="preserve">AAS TRP power limit to </w:t>
      </w:r>
      <w:r w:rsidR="004A08E5">
        <w:t>the following:</w:t>
      </w:r>
    </w:p>
    <w:p w14:paraId="152FFB9B" w14:textId="1644F527" w:rsidR="00F77BFE" w:rsidRDefault="00F77BFE" w:rsidP="00F77BFE">
      <w:pPr>
        <w:jc w:val="center"/>
      </w:pPr>
      <w:r>
        <w:t>Table 2</w:t>
      </w:r>
    </w:p>
    <w:tbl>
      <w:tblPr>
        <w:tblW w:w="5000" w:type="pct"/>
        <w:jc w:val="center"/>
        <w:tblCellMar>
          <w:left w:w="0" w:type="dxa"/>
          <w:right w:w="0" w:type="dxa"/>
        </w:tblCellMar>
        <w:tblLook w:val="04A0" w:firstRow="1" w:lastRow="0" w:firstColumn="1" w:lastColumn="0" w:noHBand="0" w:noVBand="1"/>
      </w:tblPr>
      <w:tblGrid>
        <w:gridCol w:w="2171"/>
        <w:gridCol w:w="4056"/>
        <w:gridCol w:w="2779"/>
      </w:tblGrid>
      <w:tr w:rsidR="00F77BFE" w:rsidRPr="00812984" w14:paraId="082235AA" w14:textId="77777777" w:rsidTr="00F06B63">
        <w:trPr>
          <w:tblHeader/>
          <w:jc w:val="center"/>
        </w:trPr>
        <w:tc>
          <w:tcPr>
            <w:tcW w:w="1205" w:type="pct"/>
            <w:tcBorders>
              <w:top w:val="single" w:sz="8" w:space="0" w:color="D22A23"/>
              <w:left w:val="single" w:sz="8" w:space="0" w:color="D22A23"/>
              <w:bottom w:val="single" w:sz="4" w:space="0" w:color="D22A23"/>
              <w:right w:val="single" w:sz="8" w:space="0" w:color="FFFFFF"/>
            </w:tcBorders>
            <w:shd w:val="clear" w:color="auto" w:fill="D22A23"/>
            <w:tcMar>
              <w:top w:w="57" w:type="dxa"/>
              <w:left w:w="108" w:type="dxa"/>
              <w:bottom w:w="0" w:type="dxa"/>
              <w:right w:w="108" w:type="dxa"/>
            </w:tcMar>
            <w:vAlign w:val="center"/>
            <w:hideMark/>
          </w:tcPr>
          <w:p w14:paraId="5DD5AAF5" w14:textId="77777777" w:rsidR="00F77BFE" w:rsidRPr="00812984" w:rsidRDefault="00F77BFE" w:rsidP="00F06B63">
            <w:pPr>
              <w:keepNext/>
              <w:spacing w:before="60"/>
              <w:rPr>
                <w:rFonts w:eastAsiaTheme="minorHAnsi"/>
                <w:b/>
                <w:bCs/>
                <w:color w:val="FFFFFF"/>
                <w:sz w:val="22"/>
                <w:lang w:eastAsia="de-DE"/>
              </w:rPr>
            </w:pPr>
            <w:r w:rsidRPr="00812984">
              <w:rPr>
                <w:b/>
                <w:bCs/>
                <w:color w:val="FFFFFF"/>
                <w:szCs w:val="20"/>
              </w:rPr>
              <w:t>BEM element</w:t>
            </w:r>
          </w:p>
        </w:tc>
        <w:tc>
          <w:tcPr>
            <w:tcW w:w="2252" w:type="pct"/>
            <w:tcBorders>
              <w:top w:val="single" w:sz="8" w:space="0" w:color="D22A23"/>
              <w:left w:val="nil"/>
              <w:bottom w:val="single" w:sz="4" w:space="0" w:color="D22A23"/>
              <w:right w:val="single" w:sz="8" w:space="0" w:color="FFFFFF"/>
            </w:tcBorders>
            <w:shd w:val="clear" w:color="auto" w:fill="D22A23"/>
            <w:tcMar>
              <w:top w:w="57" w:type="dxa"/>
              <w:left w:w="108" w:type="dxa"/>
              <w:bottom w:w="0" w:type="dxa"/>
              <w:right w:w="108" w:type="dxa"/>
            </w:tcMar>
            <w:vAlign w:val="center"/>
            <w:hideMark/>
          </w:tcPr>
          <w:p w14:paraId="690C5FBA" w14:textId="77777777" w:rsidR="00F77BFE" w:rsidRPr="00812984" w:rsidRDefault="00F77BFE" w:rsidP="00F06B63">
            <w:pPr>
              <w:pStyle w:val="ECCTableHeaderwhitefont"/>
              <w:keepNext/>
              <w:spacing w:before="60"/>
              <w:rPr>
                <w:b/>
              </w:rPr>
            </w:pPr>
            <w:r w:rsidRPr="00812984">
              <w:rPr>
                <w:b/>
                <w:bCs w:val="0"/>
              </w:rPr>
              <w:t>Frequency range</w:t>
            </w:r>
          </w:p>
        </w:tc>
        <w:tc>
          <w:tcPr>
            <w:tcW w:w="1543" w:type="pct"/>
            <w:tcBorders>
              <w:top w:val="single" w:sz="8" w:space="0" w:color="D22A23"/>
              <w:left w:val="nil"/>
              <w:bottom w:val="single" w:sz="4" w:space="0" w:color="D22A23"/>
              <w:right w:val="single" w:sz="8" w:space="0" w:color="D22A23"/>
            </w:tcBorders>
            <w:shd w:val="clear" w:color="auto" w:fill="D22A23"/>
            <w:tcMar>
              <w:top w:w="57" w:type="dxa"/>
              <w:left w:w="108" w:type="dxa"/>
              <w:bottom w:w="0" w:type="dxa"/>
              <w:right w:w="108" w:type="dxa"/>
            </w:tcMar>
            <w:vAlign w:val="center"/>
            <w:hideMark/>
          </w:tcPr>
          <w:p w14:paraId="1AC163E6" w14:textId="77777777" w:rsidR="00F77BFE" w:rsidRPr="00812984" w:rsidRDefault="00F77BFE" w:rsidP="00F06B63">
            <w:pPr>
              <w:pStyle w:val="ECCTableHeaderwhitefont"/>
              <w:keepNext/>
              <w:spacing w:before="60"/>
              <w:rPr>
                <w:b/>
              </w:rPr>
            </w:pPr>
            <w:r w:rsidRPr="00812984">
              <w:rPr>
                <w:b/>
                <w:bCs w:val="0"/>
              </w:rPr>
              <w:t>AAS TRP power limit</w:t>
            </w:r>
            <w:r>
              <w:rPr>
                <w:b/>
                <w:bCs w:val="0"/>
              </w:rPr>
              <w:br/>
            </w:r>
            <w:r w:rsidRPr="00812984">
              <w:rPr>
                <w:b/>
                <w:bCs w:val="0"/>
              </w:rPr>
              <w:t>per cell</w:t>
            </w:r>
          </w:p>
        </w:tc>
      </w:tr>
      <w:tr w:rsidR="00F77BFE" w:rsidRPr="00812984" w14:paraId="4D7FB9E8" w14:textId="77777777" w:rsidTr="00F06B63">
        <w:trPr>
          <w:jc w:val="center"/>
        </w:trPr>
        <w:tc>
          <w:tcPr>
            <w:tcW w:w="1205" w:type="pct"/>
            <w:tcBorders>
              <w:top w:val="single" w:sz="4" w:space="0" w:color="D22A23"/>
              <w:left w:val="single" w:sz="4" w:space="0" w:color="D22A23"/>
              <w:bottom w:val="single" w:sz="4" w:space="0" w:color="D22A23"/>
              <w:right w:val="single" w:sz="4" w:space="0" w:color="D22A23"/>
            </w:tcBorders>
            <w:tcMar>
              <w:top w:w="57" w:type="dxa"/>
              <w:left w:w="108" w:type="dxa"/>
              <w:bottom w:w="0" w:type="dxa"/>
              <w:right w:w="108" w:type="dxa"/>
            </w:tcMar>
            <w:vAlign w:val="center"/>
            <w:hideMark/>
          </w:tcPr>
          <w:p w14:paraId="23717CB2" w14:textId="77777777" w:rsidR="00F77BFE" w:rsidRPr="00812984" w:rsidRDefault="00F77BFE" w:rsidP="00F06B63">
            <w:pPr>
              <w:keepNext/>
              <w:spacing w:before="60"/>
              <w:rPr>
                <w:rFonts w:eastAsiaTheme="minorHAnsi"/>
                <w:sz w:val="22"/>
                <w:lang w:eastAsia="de-DE"/>
              </w:rPr>
            </w:pPr>
            <w:r w:rsidRPr="00812984">
              <w:rPr>
                <w:szCs w:val="20"/>
              </w:rPr>
              <w:t>Additional Baseline</w:t>
            </w:r>
          </w:p>
        </w:tc>
        <w:tc>
          <w:tcPr>
            <w:tcW w:w="2252" w:type="pct"/>
            <w:tcBorders>
              <w:top w:val="single" w:sz="4" w:space="0" w:color="D22A23"/>
              <w:left w:val="single" w:sz="4" w:space="0" w:color="D22A23"/>
              <w:bottom w:val="single" w:sz="4" w:space="0" w:color="D22A23"/>
              <w:right w:val="single" w:sz="4" w:space="0" w:color="D22A23"/>
            </w:tcBorders>
            <w:tcMar>
              <w:top w:w="57" w:type="dxa"/>
              <w:left w:w="108" w:type="dxa"/>
              <w:bottom w:w="0" w:type="dxa"/>
              <w:right w:w="108" w:type="dxa"/>
            </w:tcMar>
            <w:vAlign w:val="center"/>
            <w:hideMark/>
          </w:tcPr>
          <w:p w14:paraId="53C98C82" w14:textId="77777777" w:rsidR="00F77BFE" w:rsidRPr="00812984" w:rsidRDefault="00F77BFE" w:rsidP="00F06B63">
            <w:pPr>
              <w:keepNext/>
              <w:spacing w:before="60"/>
              <w:rPr>
                <w:rFonts w:eastAsiaTheme="minorHAnsi"/>
                <w:sz w:val="22"/>
                <w:lang w:eastAsia="de-DE"/>
              </w:rPr>
            </w:pPr>
            <w:r w:rsidRPr="00812984">
              <w:rPr>
                <w:szCs w:val="20"/>
              </w:rPr>
              <w:t>2690-2700 MHz</w:t>
            </w:r>
          </w:p>
        </w:tc>
        <w:tc>
          <w:tcPr>
            <w:tcW w:w="1543" w:type="pct"/>
            <w:tcBorders>
              <w:top w:val="single" w:sz="4" w:space="0" w:color="D22A23"/>
              <w:left w:val="single" w:sz="4" w:space="0" w:color="D22A23"/>
              <w:bottom w:val="single" w:sz="4" w:space="0" w:color="D22A23"/>
              <w:right w:val="single" w:sz="4" w:space="0" w:color="D22A23"/>
            </w:tcBorders>
            <w:tcMar>
              <w:top w:w="57" w:type="dxa"/>
              <w:left w:w="108" w:type="dxa"/>
              <w:bottom w:w="0" w:type="dxa"/>
              <w:right w:w="108" w:type="dxa"/>
            </w:tcMar>
            <w:vAlign w:val="center"/>
            <w:hideMark/>
          </w:tcPr>
          <w:p w14:paraId="76203AE1" w14:textId="6E0D909B" w:rsidR="00F77BFE" w:rsidRPr="00812984" w:rsidRDefault="00F77BFE" w:rsidP="00F06B63">
            <w:pPr>
              <w:keepNext/>
              <w:spacing w:before="60"/>
              <w:rPr>
                <w:rFonts w:eastAsiaTheme="minorHAnsi"/>
                <w:sz w:val="22"/>
                <w:lang w:eastAsia="de-DE"/>
              </w:rPr>
            </w:pPr>
            <w:r>
              <w:rPr>
                <w:szCs w:val="20"/>
              </w:rPr>
              <w:t>6</w:t>
            </w:r>
            <w:r w:rsidRPr="00812984">
              <w:rPr>
                <w:szCs w:val="20"/>
              </w:rPr>
              <w:t xml:space="preserve"> dBm/10</w:t>
            </w:r>
            <w:proofErr w:type="gramStart"/>
            <w:r w:rsidRPr="00812984">
              <w:rPr>
                <w:szCs w:val="20"/>
              </w:rPr>
              <w:t>MHz</w:t>
            </w:r>
            <w:r w:rsidRPr="007C53B8">
              <w:rPr>
                <w:szCs w:val="20"/>
                <w:vertAlign w:val="superscript"/>
              </w:rPr>
              <w:t>(</w:t>
            </w:r>
            <w:proofErr w:type="gramEnd"/>
            <w:r w:rsidRPr="007C53B8">
              <w:rPr>
                <w:szCs w:val="20"/>
                <w:vertAlign w:val="superscript"/>
              </w:rPr>
              <w:t>1)</w:t>
            </w:r>
          </w:p>
        </w:tc>
      </w:tr>
      <w:tr w:rsidR="00F77BFE" w:rsidRPr="00812984" w14:paraId="17606AB1" w14:textId="77777777" w:rsidTr="00F06B63">
        <w:trPr>
          <w:jc w:val="center"/>
        </w:trPr>
        <w:tc>
          <w:tcPr>
            <w:tcW w:w="1205" w:type="pct"/>
            <w:tcBorders>
              <w:top w:val="single" w:sz="4" w:space="0" w:color="D22A23"/>
              <w:left w:val="single" w:sz="4" w:space="0" w:color="D22A23"/>
              <w:bottom w:val="single" w:sz="4" w:space="0" w:color="D22A23"/>
              <w:right w:val="single" w:sz="4" w:space="0" w:color="D22A23"/>
            </w:tcBorders>
            <w:tcMar>
              <w:top w:w="57" w:type="dxa"/>
              <w:left w:w="108" w:type="dxa"/>
              <w:bottom w:w="0" w:type="dxa"/>
              <w:right w:w="108" w:type="dxa"/>
            </w:tcMar>
            <w:vAlign w:val="center"/>
          </w:tcPr>
          <w:p w14:paraId="380BCFF9" w14:textId="77777777" w:rsidR="00F77BFE" w:rsidRPr="00812984" w:rsidRDefault="00F77BFE" w:rsidP="00F06B63">
            <w:pPr>
              <w:keepNext/>
              <w:spacing w:before="60"/>
              <w:rPr>
                <w:szCs w:val="20"/>
              </w:rPr>
            </w:pPr>
            <w:r w:rsidRPr="00812984">
              <w:rPr>
                <w:szCs w:val="20"/>
              </w:rPr>
              <w:t>Additional Baseline</w:t>
            </w:r>
          </w:p>
        </w:tc>
        <w:tc>
          <w:tcPr>
            <w:tcW w:w="2252" w:type="pct"/>
            <w:tcBorders>
              <w:top w:val="single" w:sz="4" w:space="0" w:color="D22A23"/>
              <w:left w:val="single" w:sz="4" w:space="0" w:color="D22A23"/>
              <w:bottom w:val="single" w:sz="4" w:space="0" w:color="D22A23"/>
              <w:right w:val="single" w:sz="4" w:space="0" w:color="D22A23"/>
            </w:tcBorders>
            <w:tcMar>
              <w:top w:w="57" w:type="dxa"/>
              <w:left w:w="108" w:type="dxa"/>
              <w:bottom w:w="0" w:type="dxa"/>
              <w:right w:w="108" w:type="dxa"/>
            </w:tcMar>
            <w:vAlign w:val="center"/>
          </w:tcPr>
          <w:p w14:paraId="3836635E" w14:textId="77777777" w:rsidR="00F77BFE" w:rsidRPr="00812984" w:rsidRDefault="00F77BFE" w:rsidP="00F06B63">
            <w:pPr>
              <w:keepNext/>
              <w:spacing w:before="60"/>
              <w:rPr>
                <w:szCs w:val="20"/>
              </w:rPr>
            </w:pPr>
            <w:r w:rsidRPr="00812984">
              <w:rPr>
                <w:szCs w:val="20"/>
              </w:rPr>
              <w:t>2690-2700 MHz</w:t>
            </w:r>
          </w:p>
        </w:tc>
        <w:tc>
          <w:tcPr>
            <w:tcW w:w="1543" w:type="pct"/>
            <w:tcBorders>
              <w:top w:val="single" w:sz="4" w:space="0" w:color="D22A23"/>
              <w:left w:val="single" w:sz="4" w:space="0" w:color="D22A23"/>
              <w:bottom w:val="single" w:sz="4" w:space="0" w:color="D22A23"/>
              <w:right w:val="single" w:sz="4" w:space="0" w:color="D22A23"/>
            </w:tcBorders>
            <w:tcMar>
              <w:top w:w="57" w:type="dxa"/>
              <w:left w:w="108" w:type="dxa"/>
              <w:bottom w:w="0" w:type="dxa"/>
              <w:right w:w="108" w:type="dxa"/>
            </w:tcMar>
            <w:vAlign w:val="center"/>
          </w:tcPr>
          <w:p w14:paraId="198ED3CF" w14:textId="77777777" w:rsidR="00F77BFE" w:rsidRPr="00812984" w:rsidRDefault="00F77BFE" w:rsidP="00F06B63">
            <w:pPr>
              <w:keepNext/>
              <w:spacing w:before="60"/>
              <w:rPr>
                <w:szCs w:val="20"/>
              </w:rPr>
            </w:pPr>
            <w:r w:rsidRPr="00812984">
              <w:rPr>
                <w:szCs w:val="20"/>
              </w:rPr>
              <w:t xml:space="preserve">Not </w:t>
            </w:r>
            <w:proofErr w:type="gramStart"/>
            <w:r w:rsidRPr="00812984">
              <w:rPr>
                <w:szCs w:val="20"/>
              </w:rPr>
              <w:t>applicable</w:t>
            </w:r>
            <w:r w:rsidRPr="007C53B8">
              <w:rPr>
                <w:szCs w:val="20"/>
                <w:vertAlign w:val="superscript"/>
              </w:rPr>
              <w:t>(</w:t>
            </w:r>
            <w:proofErr w:type="gramEnd"/>
            <w:r w:rsidRPr="007C53B8">
              <w:rPr>
                <w:szCs w:val="20"/>
                <w:vertAlign w:val="superscript"/>
              </w:rPr>
              <w:t>2)</w:t>
            </w:r>
          </w:p>
        </w:tc>
      </w:tr>
      <w:tr w:rsidR="00F77BFE" w:rsidRPr="00812984" w14:paraId="4EFCB141" w14:textId="77777777" w:rsidTr="00F06B63">
        <w:trPr>
          <w:jc w:val="center"/>
        </w:trPr>
        <w:tc>
          <w:tcPr>
            <w:tcW w:w="5000" w:type="pct"/>
            <w:gridSpan w:val="3"/>
            <w:tcBorders>
              <w:top w:val="single" w:sz="4" w:space="0" w:color="D22A23"/>
              <w:left w:val="single" w:sz="4" w:space="0" w:color="D22A23"/>
              <w:bottom w:val="single" w:sz="4" w:space="0" w:color="D22A23"/>
              <w:right w:val="single" w:sz="4" w:space="0" w:color="D22A23"/>
            </w:tcBorders>
            <w:tcMar>
              <w:top w:w="57" w:type="dxa"/>
              <w:left w:w="108" w:type="dxa"/>
              <w:bottom w:w="0" w:type="dxa"/>
              <w:right w:w="108" w:type="dxa"/>
            </w:tcMar>
            <w:vAlign w:val="center"/>
          </w:tcPr>
          <w:p w14:paraId="68E9CE82" w14:textId="77777777" w:rsidR="00F77BFE" w:rsidRPr="00812984" w:rsidRDefault="00F77BFE" w:rsidP="00F06B63">
            <w:pPr>
              <w:pStyle w:val="ECCTablenote"/>
              <w:spacing w:before="60" w:after="60"/>
            </w:pPr>
            <w:r w:rsidRPr="007C53B8">
              <w:rPr>
                <w:vertAlign w:val="superscript"/>
              </w:rPr>
              <w:t>(1)</w:t>
            </w:r>
            <w:r w:rsidRPr="00812984">
              <w:t xml:space="preserve"> This additional baseline reduces the size of the coordination zone </w:t>
            </w:r>
            <w:r w:rsidRPr="007C53B8">
              <w:rPr>
                <w:vertAlign w:val="superscript"/>
              </w:rPr>
              <w:t>(3)</w:t>
            </w:r>
            <w:r w:rsidRPr="00812984">
              <w:t xml:space="preserve">. However, additional measures may be needed on a national basis </w:t>
            </w:r>
            <w:proofErr w:type="gramStart"/>
            <w:r w:rsidRPr="00812984">
              <w:t>in order to</w:t>
            </w:r>
            <w:proofErr w:type="gramEnd"/>
            <w:r w:rsidRPr="00812984">
              <w:t xml:space="preserve"> protect the RAS. Depending on the size of the necessary coordination zone to protect RAS cross border co-ordination may be necessary.</w:t>
            </w:r>
          </w:p>
          <w:p w14:paraId="6CA432A2" w14:textId="77777777" w:rsidR="00F77BFE" w:rsidRPr="00812984" w:rsidRDefault="00F77BFE" w:rsidP="00F06B63">
            <w:pPr>
              <w:pStyle w:val="ECCTablenote"/>
              <w:spacing w:before="60" w:after="60"/>
            </w:pPr>
            <w:r w:rsidRPr="007C53B8">
              <w:rPr>
                <w:vertAlign w:val="superscript"/>
              </w:rPr>
              <w:t>(2)</w:t>
            </w:r>
            <w:r w:rsidRPr="00812984">
              <w:t xml:space="preserve"> In areas outside coordination zones </w:t>
            </w:r>
            <w:r w:rsidRPr="007C53B8">
              <w:rPr>
                <w:vertAlign w:val="superscript"/>
              </w:rPr>
              <w:t>(3)</w:t>
            </w:r>
            <w:r w:rsidRPr="00812984">
              <w:t xml:space="preserve"> with RAS or situations where additional baseline is not seen necessary by the concerned administration.</w:t>
            </w:r>
          </w:p>
          <w:p w14:paraId="72374FC8" w14:textId="77777777" w:rsidR="00F77BFE" w:rsidRPr="00812984" w:rsidRDefault="00F77BFE" w:rsidP="00F06B63">
            <w:pPr>
              <w:spacing w:before="60"/>
              <w:rPr>
                <w:szCs w:val="20"/>
              </w:rPr>
            </w:pPr>
            <w:r w:rsidRPr="007C53B8">
              <w:rPr>
                <w:vertAlign w:val="superscript"/>
              </w:rPr>
              <w:t>(3)</w:t>
            </w:r>
            <w:r w:rsidRPr="00812984">
              <w:t xml:space="preserve"> National measures may include coordination distances or compliance with the maximum </w:t>
            </w:r>
            <w:proofErr w:type="spellStart"/>
            <w:r w:rsidRPr="00812984">
              <w:t>pfd</w:t>
            </w:r>
            <w:proofErr w:type="spellEnd"/>
            <w:r w:rsidRPr="00812984">
              <w:t xml:space="preserve"> level at the radio astronomy sites.</w:t>
            </w:r>
          </w:p>
        </w:tc>
      </w:tr>
    </w:tbl>
    <w:p w14:paraId="798F0F8B" w14:textId="7D4A3452" w:rsidR="00F77BFE" w:rsidRDefault="00D31519" w:rsidP="00492135">
      <w:r>
        <w:t xml:space="preserve">This revised limit should be reflected in the draft revision of </w:t>
      </w:r>
      <w:r w:rsidR="00514AA7">
        <w:t xml:space="preserve">the </w:t>
      </w:r>
      <w:r>
        <w:t>ECC</w:t>
      </w:r>
      <w:r w:rsidR="00514AA7">
        <w:t xml:space="preserve"> Decision (05)05 and the draft revision of the ECC</w:t>
      </w:r>
      <w:r>
        <w:t xml:space="preserve"> Report </w:t>
      </w:r>
      <w:r w:rsidRPr="00E74C15">
        <w:t>“Analysis of the suitability and update of the regulatory technical conditions for 5G MFCN and AAS operation in the 2500-2690 MHz band”</w:t>
      </w:r>
      <w:r>
        <w:t>.</w:t>
      </w:r>
    </w:p>
    <w:p w14:paraId="16CECAD6" w14:textId="77777777" w:rsidR="009258E8" w:rsidRDefault="009258E8" w:rsidP="009258E8"/>
    <w:sectPr w:rsidR="009258E8" w:rsidSect="000374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F9A0A" w14:textId="77777777" w:rsidR="005F5677" w:rsidRDefault="005F5677" w:rsidP="00AE1ECC">
      <w:pPr>
        <w:spacing w:before="0" w:after="0"/>
      </w:pPr>
      <w:r>
        <w:separator/>
      </w:r>
    </w:p>
  </w:endnote>
  <w:endnote w:type="continuationSeparator" w:id="0">
    <w:p w14:paraId="024CC0A8" w14:textId="77777777" w:rsidR="005F5677" w:rsidRDefault="005F5677" w:rsidP="00AE1ECC">
      <w:pPr>
        <w:spacing w:before="0" w:after="0"/>
      </w:pPr>
      <w:r>
        <w:continuationSeparator/>
      </w:r>
    </w:p>
  </w:endnote>
  <w:endnote w:type="continuationNotice" w:id="1">
    <w:p w14:paraId="4F78C926" w14:textId="77777777" w:rsidR="005F5677" w:rsidRDefault="005F56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A9AFF" w14:textId="77777777" w:rsidR="005F5677" w:rsidRDefault="005F5677" w:rsidP="00AE1ECC">
      <w:pPr>
        <w:spacing w:before="0" w:after="0"/>
      </w:pPr>
      <w:r>
        <w:separator/>
      </w:r>
    </w:p>
  </w:footnote>
  <w:footnote w:type="continuationSeparator" w:id="0">
    <w:p w14:paraId="0C990C09" w14:textId="77777777" w:rsidR="005F5677" w:rsidRDefault="005F5677" w:rsidP="00AE1ECC">
      <w:pPr>
        <w:spacing w:before="0" w:after="0"/>
      </w:pPr>
      <w:r>
        <w:continuationSeparator/>
      </w:r>
    </w:p>
  </w:footnote>
  <w:footnote w:type="continuationNotice" w:id="1">
    <w:p w14:paraId="59E466A3" w14:textId="77777777" w:rsidR="005F5677" w:rsidRDefault="005F567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8444C"/>
    <w:multiLevelType w:val="hybridMultilevel"/>
    <w:tmpl w:val="9ECC9ABC"/>
    <w:lvl w:ilvl="0" w:tplc="AC8AB304">
      <w:start w:val="1"/>
      <w:numFmt w:val="lowerRoman"/>
      <w:lvlText w:val="%1."/>
      <w:lvlJc w:val="right"/>
      <w:pPr>
        <w:tabs>
          <w:tab w:val="num" w:pos="720"/>
        </w:tabs>
        <w:ind w:left="720" w:hanging="360"/>
      </w:pPr>
    </w:lvl>
    <w:lvl w:ilvl="1" w:tplc="1F2ADDE8">
      <w:start w:val="1"/>
      <w:numFmt w:val="lowerRoman"/>
      <w:lvlText w:val="%2."/>
      <w:lvlJc w:val="right"/>
      <w:pPr>
        <w:tabs>
          <w:tab w:val="num" w:pos="1440"/>
        </w:tabs>
        <w:ind w:left="1440" w:hanging="360"/>
      </w:pPr>
    </w:lvl>
    <w:lvl w:ilvl="2" w:tplc="A43E6F16" w:tentative="1">
      <w:start w:val="1"/>
      <w:numFmt w:val="lowerRoman"/>
      <w:lvlText w:val="%3."/>
      <w:lvlJc w:val="right"/>
      <w:pPr>
        <w:tabs>
          <w:tab w:val="num" w:pos="2160"/>
        </w:tabs>
        <w:ind w:left="2160" w:hanging="360"/>
      </w:pPr>
    </w:lvl>
    <w:lvl w:ilvl="3" w:tplc="26A2960A" w:tentative="1">
      <w:start w:val="1"/>
      <w:numFmt w:val="lowerRoman"/>
      <w:lvlText w:val="%4."/>
      <w:lvlJc w:val="right"/>
      <w:pPr>
        <w:tabs>
          <w:tab w:val="num" w:pos="2880"/>
        </w:tabs>
        <w:ind w:left="2880" w:hanging="360"/>
      </w:pPr>
    </w:lvl>
    <w:lvl w:ilvl="4" w:tplc="73D65256" w:tentative="1">
      <w:start w:val="1"/>
      <w:numFmt w:val="lowerRoman"/>
      <w:lvlText w:val="%5."/>
      <w:lvlJc w:val="right"/>
      <w:pPr>
        <w:tabs>
          <w:tab w:val="num" w:pos="3600"/>
        </w:tabs>
        <w:ind w:left="3600" w:hanging="360"/>
      </w:pPr>
    </w:lvl>
    <w:lvl w:ilvl="5" w:tplc="3DB6DB68" w:tentative="1">
      <w:start w:val="1"/>
      <w:numFmt w:val="lowerRoman"/>
      <w:lvlText w:val="%6."/>
      <w:lvlJc w:val="right"/>
      <w:pPr>
        <w:tabs>
          <w:tab w:val="num" w:pos="4320"/>
        </w:tabs>
        <w:ind w:left="4320" w:hanging="360"/>
      </w:pPr>
    </w:lvl>
    <w:lvl w:ilvl="6" w:tplc="C8A875C2" w:tentative="1">
      <w:start w:val="1"/>
      <w:numFmt w:val="lowerRoman"/>
      <w:lvlText w:val="%7."/>
      <w:lvlJc w:val="right"/>
      <w:pPr>
        <w:tabs>
          <w:tab w:val="num" w:pos="5040"/>
        </w:tabs>
        <w:ind w:left="5040" w:hanging="360"/>
      </w:pPr>
    </w:lvl>
    <w:lvl w:ilvl="7" w:tplc="F9D4EE2E" w:tentative="1">
      <w:start w:val="1"/>
      <w:numFmt w:val="lowerRoman"/>
      <w:lvlText w:val="%8."/>
      <w:lvlJc w:val="right"/>
      <w:pPr>
        <w:tabs>
          <w:tab w:val="num" w:pos="5760"/>
        </w:tabs>
        <w:ind w:left="5760" w:hanging="360"/>
      </w:pPr>
    </w:lvl>
    <w:lvl w:ilvl="8" w:tplc="E968CDAE" w:tentative="1">
      <w:start w:val="1"/>
      <w:numFmt w:val="lowerRoman"/>
      <w:lvlText w:val="%9."/>
      <w:lvlJc w:val="right"/>
      <w:pPr>
        <w:tabs>
          <w:tab w:val="num" w:pos="6480"/>
        </w:tabs>
        <w:ind w:left="6480" w:hanging="360"/>
      </w:pPr>
    </w:lvl>
  </w:abstractNum>
  <w:abstractNum w:abstractNumId="1" w15:restartNumberingAfterBreak="0">
    <w:nsid w:val="60A5646C"/>
    <w:multiLevelType w:val="hybridMultilevel"/>
    <w:tmpl w:val="195A05B2"/>
    <w:lvl w:ilvl="0" w:tplc="D1DED87E">
      <w:start w:val="50"/>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600A2D"/>
    <w:multiLevelType w:val="hybridMultilevel"/>
    <w:tmpl w:val="2A0C7D98"/>
    <w:lvl w:ilvl="0" w:tplc="AC8AB304">
      <w:start w:val="1"/>
      <w:numFmt w:val="lowerRoman"/>
      <w:lvlText w:val="%1."/>
      <w:lvlJc w:val="righ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A43E6F16" w:tentative="1">
      <w:start w:val="1"/>
      <w:numFmt w:val="lowerRoman"/>
      <w:lvlText w:val="%3."/>
      <w:lvlJc w:val="right"/>
      <w:pPr>
        <w:tabs>
          <w:tab w:val="num" w:pos="2160"/>
        </w:tabs>
        <w:ind w:left="2160" w:hanging="360"/>
      </w:pPr>
    </w:lvl>
    <w:lvl w:ilvl="3" w:tplc="26A2960A" w:tentative="1">
      <w:start w:val="1"/>
      <w:numFmt w:val="lowerRoman"/>
      <w:lvlText w:val="%4."/>
      <w:lvlJc w:val="right"/>
      <w:pPr>
        <w:tabs>
          <w:tab w:val="num" w:pos="2880"/>
        </w:tabs>
        <w:ind w:left="2880" w:hanging="360"/>
      </w:pPr>
    </w:lvl>
    <w:lvl w:ilvl="4" w:tplc="73D65256" w:tentative="1">
      <w:start w:val="1"/>
      <w:numFmt w:val="lowerRoman"/>
      <w:lvlText w:val="%5."/>
      <w:lvlJc w:val="right"/>
      <w:pPr>
        <w:tabs>
          <w:tab w:val="num" w:pos="3600"/>
        </w:tabs>
        <w:ind w:left="3600" w:hanging="360"/>
      </w:pPr>
    </w:lvl>
    <w:lvl w:ilvl="5" w:tplc="3DB6DB68" w:tentative="1">
      <w:start w:val="1"/>
      <w:numFmt w:val="lowerRoman"/>
      <w:lvlText w:val="%6."/>
      <w:lvlJc w:val="right"/>
      <w:pPr>
        <w:tabs>
          <w:tab w:val="num" w:pos="4320"/>
        </w:tabs>
        <w:ind w:left="4320" w:hanging="360"/>
      </w:pPr>
    </w:lvl>
    <w:lvl w:ilvl="6" w:tplc="C8A875C2" w:tentative="1">
      <w:start w:val="1"/>
      <w:numFmt w:val="lowerRoman"/>
      <w:lvlText w:val="%7."/>
      <w:lvlJc w:val="right"/>
      <w:pPr>
        <w:tabs>
          <w:tab w:val="num" w:pos="5040"/>
        </w:tabs>
        <w:ind w:left="5040" w:hanging="360"/>
      </w:pPr>
    </w:lvl>
    <w:lvl w:ilvl="7" w:tplc="F9D4EE2E" w:tentative="1">
      <w:start w:val="1"/>
      <w:numFmt w:val="lowerRoman"/>
      <w:lvlText w:val="%8."/>
      <w:lvlJc w:val="right"/>
      <w:pPr>
        <w:tabs>
          <w:tab w:val="num" w:pos="5760"/>
        </w:tabs>
        <w:ind w:left="5760" w:hanging="360"/>
      </w:pPr>
    </w:lvl>
    <w:lvl w:ilvl="8" w:tplc="E968CDAE" w:tentative="1">
      <w:start w:val="1"/>
      <w:numFmt w:val="lowerRoman"/>
      <w:lvlText w:val="%9."/>
      <w:lvlJc w:val="righ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ECC"/>
    <w:rsid w:val="0000325D"/>
    <w:rsid w:val="00022276"/>
    <w:rsid w:val="00024636"/>
    <w:rsid w:val="00025E23"/>
    <w:rsid w:val="00031A6C"/>
    <w:rsid w:val="00037489"/>
    <w:rsid w:val="000405FF"/>
    <w:rsid w:val="00054F51"/>
    <w:rsid w:val="00060165"/>
    <w:rsid w:val="00060AEE"/>
    <w:rsid w:val="00062D79"/>
    <w:rsid w:val="00066C57"/>
    <w:rsid w:val="000707CC"/>
    <w:rsid w:val="00081572"/>
    <w:rsid w:val="00096CAD"/>
    <w:rsid w:val="0009789E"/>
    <w:rsid w:val="000A56E5"/>
    <w:rsid w:val="000C4357"/>
    <w:rsid w:val="000C78ED"/>
    <w:rsid w:val="000D2822"/>
    <w:rsid w:val="000D37F7"/>
    <w:rsid w:val="000D7643"/>
    <w:rsid w:val="000E058A"/>
    <w:rsid w:val="000E77DA"/>
    <w:rsid w:val="000F0EDD"/>
    <w:rsid w:val="000F7433"/>
    <w:rsid w:val="00111594"/>
    <w:rsid w:val="00120819"/>
    <w:rsid w:val="00121E79"/>
    <w:rsid w:val="00130704"/>
    <w:rsid w:val="001336BA"/>
    <w:rsid w:val="001350C4"/>
    <w:rsid w:val="00154AE2"/>
    <w:rsid w:val="00155212"/>
    <w:rsid w:val="0016690D"/>
    <w:rsid w:val="00172D68"/>
    <w:rsid w:val="001806F1"/>
    <w:rsid w:val="00180DDA"/>
    <w:rsid w:val="001A5B23"/>
    <w:rsid w:val="001C3171"/>
    <w:rsid w:val="001C5921"/>
    <w:rsid w:val="001C6131"/>
    <w:rsid w:val="001C7DAC"/>
    <w:rsid w:val="001D2346"/>
    <w:rsid w:val="001E3F38"/>
    <w:rsid w:val="001E5475"/>
    <w:rsid w:val="001E699F"/>
    <w:rsid w:val="001F0B2A"/>
    <w:rsid w:val="001F4523"/>
    <w:rsid w:val="00207CEE"/>
    <w:rsid w:val="00222815"/>
    <w:rsid w:val="00230159"/>
    <w:rsid w:val="00231FE5"/>
    <w:rsid w:val="00246606"/>
    <w:rsid w:val="00253D81"/>
    <w:rsid w:val="00267361"/>
    <w:rsid w:val="00271EBE"/>
    <w:rsid w:val="00295996"/>
    <w:rsid w:val="002A340E"/>
    <w:rsid w:val="002B1874"/>
    <w:rsid w:val="002E1536"/>
    <w:rsid w:val="00301FE9"/>
    <w:rsid w:val="0031238F"/>
    <w:rsid w:val="00326B47"/>
    <w:rsid w:val="00332BD7"/>
    <w:rsid w:val="00337FC1"/>
    <w:rsid w:val="003416B4"/>
    <w:rsid w:val="00356F20"/>
    <w:rsid w:val="00360474"/>
    <w:rsid w:val="00366046"/>
    <w:rsid w:val="00371F0A"/>
    <w:rsid w:val="00376366"/>
    <w:rsid w:val="00381BAE"/>
    <w:rsid w:val="00395B37"/>
    <w:rsid w:val="003A42F5"/>
    <w:rsid w:val="003B7223"/>
    <w:rsid w:val="003C26E8"/>
    <w:rsid w:val="003D2C53"/>
    <w:rsid w:val="003E0E73"/>
    <w:rsid w:val="00403B6A"/>
    <w:rsid w:val="00404152"/>
    <w:rsid w:val="00407CDF"/>
    <w:rsid w:val="00407CE0"/>
    <w:rsid w:val="00414039"/>
    <w:rsid w:val="004216B7"/>
    <w:rsid w:val="00423E59"/>
    <w:rsid w:val="00447657"/>
    <w:rsid w:val="0048012D"/>
    <w:rsid w:val="004864C0"/>
    <w:rsid w:val="00487E5D"/>
    <w:rsid w:val="00492135"/>
    <w:rsid w:val="00493068"/>
    <w:rsid w:val="0049407E"/>
    <w:rsid w:val="004A08E5"/>
    <w:rsid w:val="004A5888"/>
    <w:rsid w:val="004A6999"/>
    <w:rsid w:val="004B3841"/>
    <w:rsid w:val="004B6831"/>
    <w:rsid w:val="004C308A"/>
    <w:rsid w:val="004E05CB"/>
    <w:rsid w:val="004E2EFD"/>
    <w:rsid w:val="004E39FE"/>
    <w:rsid w:val="004E4F6E"/>
    <w:rsid w:val="0050111E"/>
    <w:rsid w:val="0051083A"/>
    <w:rsid w:val="00514AA7"/>
    <w:rsid w:val="00515DF0"/>
    <w:rsid w:val="0051717A"/>
    <w:rsid w:val="00522566"/>
    <w:rsid w:val="00523511"/>
    <w:rsid w:val="0052417C"/>
    <w:rsid w:val="00542BD4"/>
    <w:rsid w:val="0055404E"/>
    <w:rsid w:val="00560D20"/>
    <w:rsid w:val="005621BD"/>
    <w:rsid w:val="00571457"/>
    <w:rsid w:val="005840FD"/>
    <w:rsid w:val="00585CE5"/>
    <w:rsid w:val="005A1570"/>
    <w:rsid w:val="005B7F7E"/>
    <w:rsid w:val="005D389C"/>
    <w:rsid w:val="005D553A"/>
    <w:rsid w:val="005E0879"/>
    <w:rsid w:val="005F23E8"/>
    <w:rsid w:val="005F3060"/>
    <w:rsid w:val="005F5677"/>
    <w:rsid w:val="00603080"/>
    <w:rsid w:val="00605F2D"/>
    <w:rsid w:val="00612C62"/>
    <w:rsid w:val="0061396D"/>
    <w:rsid w:val="00627113"/>
    <w:rsid w:val="00630C7C"/>
    <w:rsid w:val="006503B8"/>
    <w:rsid w:val="00664824"/>
    <w:rsid w:val="00666219"/>
    <w:rsid w:val="0067244A"/>
    <w:rsid w:val="0068198D"/>
    <w:rsid w:val="006B4E0F"/>
    <w:rsid w:val="006D3AB9"/>
    <w:rsid w:val="006D471F"/>
    <w:rsid w:val="00701D7E"/>
    <w:rsid w:val="00706C1B"/>
    <w:rsid w:val="00706E55"/>
    <w:rsid w:val="007245F0"/>
    <w:rsid w:val="00747E7C"/>
    <w:rsid w:val="00756AB9"/>
    <w:rsid w:val="007646D4"/>
    <w:rsid w:val="00764F00"/>
    <w:rsid w:val="00785998"/>
    <w:rsid w:val="00786228"/>
    <w:rsid w:val="00792813"/>
    <w:rsid w:val="00792AA1"/>
    <w:rsid w:val="007A15C7"/>
    <w:rsid w:val="007A47BB"/>
    <w:rsid w:val="007C1949"/>
    <w:rsid w:val="007C33A0"/>
    <w:rsid w:val="007C719E"/>
    <w:rsid w:val="007D2E7A"/>
    <w:rsid w:val="007E3CC1"/>
    <w:rsid w:val="007E4A66"/>
    <w:rsid w:val="007E7FC5"/>
    <w:rsid w:val="007F3272"/>
    <w:rsid w:val="007F5BDB"/>
    <w:rsid w:val="008053AA"/>
    <w:rsid w:val="00813E08"/>
    <w:rsid w:val="0081439B"/>
    <w:rsid w:val="00815C8C"/>
    <w:rsid w:val="00821564"/>
    <w:rsid w:val="008323F8"/>
    <w:rsid w:val="0086422C"/>
    <w:rsid w:val="00876DA4"/>
    <w:rsid w:val="00882733"/>
    <w:rsid w:val="00883364"/>
    <w:rsid w:val="008A0FE0"/>
    <w:rsid w:val="008B284E"/>
    <w:rsid w:val="008B6EF7"/>
    <w:rsid w:val="008C3861"/>
    <w:rsid w:val="008C7317"/>
    <w:rsid w:val="008D08F7"/>
    <w:rsid w:val="008D274C"/>
    <w:rsid w:val="008E4670"/>
    <w:rsid w:val="00903868"/>
    <w:rsid w:val="009147E9"/>
    <w:rsid w:val="00916EBC"/>
    <w:rsid w:val="0092172F"/>
    <w:rsid w:val="009258E8"/>
    <w:rsid w:val="00930667"/>
    <w:rsid w:val="009340D0"/>
    <w:rsid w:val="00945645"/>
    <w:rsid w:val="00951C2A"/>
    <w:rsid w:val="009546D3"/>
    <w:rsid w:val="00956203"/>
    <w:rsid w:val="009630EF"/>
    <w:rsid w:val="009764AB"/>
    <w:rsid w:val="00984462"/>
    <w:rsid w:val="00990667"/>
    <w:rsid w:val="009C0C40"/>
    <w:rsid w:val="009C3C74"/>
    <w:rsid w:val="00A041D3"/>
    <w:rsid w:val="00A10B87"/>
    <w:rsid w:val="00A115D1"/>
    <w:rsid w:val="00A11A95"/>
    <w:rsid w:val="00A244B4"/>
    <w:rsid w:val="00A3047C"/>
    <w:rsid w:val="00A41770"/>
    <w:rsid w:val="00A4525D"/>
    <w:rsid w:val="00A5558B"/>
    <w:rsid w:val="00A65074"/>
    <w:rsid w:val="00A731D9"/>
    <w:rsid w:val="00A757E7"/>
    <w:rsid w:val="00A84DA4"/>
    <w:rsid w:val="00A87AA9"/>
    <w:rsid w:val="00A91FAF"/>
    <w:rsid w:val="00AA2745"/>
    <w:rsid w:val="00AA62F9"/>
    <w:rsid w:val="00AB2814"/>
    <w:rsid w:val="00AB3EF6"/>
    <w:rsid w:val="00AB5664"/>
    <w:rsid w:val="00AC5640"/>
    <w:rsid w:val="00AD563C"/>
    <w:rsid w:val="00AD6A7E"/>
    <w:rsid w:val="00AE1ECC"/>
    <w:rsid w:val="00AF29FD"/>
    <w:rsid w:val="00B06968"/>
    <w:rsid w:val="00B1170F"/>
    <w:rsid w:val="00B132F0"/>
    <w:rsid w:val="00B2549B"/>
    <w:rsid w:val="00B31251"/>
    <w:rsid w:val="00B5649F"/>
    <w:rsid w:val="00B5789C"/>
    <w:rsid w:val="00B62E17"/>
    <w:rsid w:val="00B70E1E"/>
    <w:rsid w:val="00B84830"/>
    <w:rsid w:val="00B9265A"/>
    <w:rsid w:val="00B928F6"/>
    <w:rsid w:val="00BA2E81"/>
    <w:rsid w:val="00BB17EF"/>
    <w:rsid w:val="00BC70B1"/>
    <w:rsid w:val="00BD1C22"/>
    <w:rsid w:val="00BD46E8"/>
    <w:rsid w:val="00BE3A1F"/>
    <w:rsid w:val="00BF2FDB"/>
    <w:rsid w:val="00C12AE3"/>
    <w:rsid w:val="00C252BC"/>
    <w:rsid w:val="00C25BFB"/>
    <w:rsid w:val="00C277A4"/>
    <w:rsid w:val="00C33484"/>
    <w:rsid w:val="00C3436C"/>
    <w:rsid w:val="00C44326"/>
    <w:rsid w:val="00C4580C"/>
    <w:rsid w:val="00C50A1E"/>
    <w:rsid w:val="00C52379"/>
    <w:rsid w:val="00C63F38"/>
    <w:rsid w:val="00C80327"/>
    <w:rsid w:val="00C847A4"/>
    <w:rsid w:val="00CA3206"/>
    <w:rsid w:val="00CA4D92"/>
    <w:rsid w:val="00CA6FCD"/>
    <w:rsid w:val="00CC1950"/>
    <w:rsid w:val="00CD1BFD"/>
    <w:rsid w:val="00CD39D2"/>
    <w:rsid w:val="00CD4392"/>
    <w:rsid w:val="00CD6F57"/>
    <w:rsid w:val="00CE3697"/>
    <w:rsid w:val="00CF6CFA"/>
    <w:rsid w:val="00D074A4"/>
    <w:rsid w:val="00D141A2"/>
    <w:rsid w:val="00D30ED1"/>
    <w:rsid w:val="00D31519"/>
    <w:rsid w:val="00D35006"/>
    <w:rsid w:val="00D37006"/>
    <w:rsid w:val="00D41583"/>
    <w:rsid w:val="00D454EB"/>
    <w:rsid w:val="00D456BB"/>
    <w:rsid w:val="00D45731"/>
    <w:rsid w:val="00D55211"/>
    <w:rsid w:val="00D639B6"/>
    <w:rsid w:val="00D66AA9"/>
    <w:rsid w:val="00D724C0"/>
    <w:rsid w:val="00D7349A"/>
    <w:rsid w:val="00D7574B"/>
    <w:rsid w:val="00D8534B"/>
    <w:rsid w:val="00D90463"/>
    <w:rsid w:val="00D96C62"/>
    <w:rsid w:val="00DE3E03"/>
    <w:rsid w:val="00DF1739"/>
    <w:rsid w:val="00E003BC"/>
    <w:rsid w:val="00E0317A"/>
    <w:rsid w:val="00E065E6"/>
    <w:rsid w:val="00E0678C"/>
    <w:rsid w:val="00E06A00"/>
    <w:rsid w:val="00E075B4"/>
    <w:rsid w:val="00E0789F"/>
    <w:rsid w:val="00E13CC6"/>
    <w:rsid w:val="00E208E2"/>
    <w:rsid w:val="00E23CDE"/>
    <w:rsid w:val="00E50D31"/>
    <w:rsid w:val="00E6123F"/>
    <w:rsid w:val="00E66F12"/>
    <w:rsid w:val="00E74C15"/>
    <w:rsid w:val="00E8308A"/>
    <w:rsid w:val="00E83CCF"/>
    <w:rsid w:val="00E84F7E"/>
    <w:rsid w:val="00E90B2E"/>
    <w:rsid w:val="00E96BDA"/>
    <w:rsid w:val="00EA2347"/>
    <w:rsid w:val="00EA28B8"/>
    <w:rsid w:val="00EA2F06"/>
    <w:rsid w:val="00ED1F2E"/>
    <w:rsid w:val="00EE5119"/>
    <w:rsid w:val="00EF042A"/>
    <w:rsid w:val="00F07DE5"/>
    <w:rsid w:val="00F16AB2"/>
    <w:rsid w:val="00F369EF"/>
    <w:rsid w:val="00F40B4B"/>
    <w:rsid w:val="00F46F5B"/>
    <w:rsid w:val="00F50220"/>
    <w:rsid w:val="00F62091"/>
    <w:rsid w:val="00F62814"/>
    <w:rsid w:val="00F672BE"/>
    <w:rsid w:val="00F76466"/>
    <w:rsid w:val="00F77BFE"/>
    <w:rsid w:val="00F919AC"/>
    <w:rsid w:val="00F9401C"/>
    <w:rsid w:val="00FA791C"/>
    <w:rsid w:val="00FB186A"/>
    <w:rsid w:val="00FC6EC0"/>
    <w:rsid w:val="00FD1396"/>
    <w:rsid w:val="00FD2FD9"/>
    <w:rsid w:val="02A15A51"/>
    <w:rsid w:val="0C9A7357"/>
    <w:rsid w:val="1D5A878A"/>
    <w:rsid w:val="2DECEC02"/>
    <w:rsid w:val="3B52E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390E8D"/>
  <w15:chartTrackingRefBased/>
  <w15:docId w15:val="{7EA56E83-9F69-4ACD-B522-F471C3253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ECC Base"/>
    <w:qFormat/>
    <w:rsid w:val="00AE1ECC"/>
    <w:pPr>
      <w:spacing w:before="240" w:after="60" w:line="240" w:lineRule="auto"/>
      <w:jc w:val="both"/>
    </w:pPr>
    <w:rPr>
      <w:rFonts w:ascii="Arial" w:eastAsia="Calibri" w:hAnsi="Arial" w:cs="Times New Roman"/>
      <w:sz w:val="20"/>
    </w:rPr>
  </w:style>
  <w:style w:type="paragraph" w:styleId="Heading1">
    <w:name w:val="heading 1"/>
    <w:basedOn w:val="Normal"/>
    <w:next w:val="Normal"/>
    <w:link w:val="Heading1Char"/>
    <w:uiPriority w:val="9"/>
    <w:qFormat/>
    <w:rsid w:val="00AE1ECC"/>
    <w:pPr>
      <w:keepNext/>
      <w:keepLines/>
      <w:spacing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Headingnonumbering">
    <w:name w:val="ECC Heading no numbering"/>
    <w:basedOn w:val="Heading1"/>
    <w:rsid w:val="00AE1ECC"/>
    <w:pPr>
      <w:keepLines w:val="0"/>
      <w:tabs>
        <w:tab w:val="left" w:pos="0"/>
        <w:tab w:val="center" w:pos="4820"/>
        <w:tab w:val="right" w:pos="9639"/>
      </w:tabs>
      <w:spacing w:before="600" w:after="60"/>
      <w:jc w:val="left"/>
    </w:pPr>
    <w:rPr>
      <w:rFonts w:ascii="Arial" w:eastAsia="Calibri" w:hAnsi="Arial" w:cs="Arial"/>
      <w:b/>
      <w:bCs/>
      <w:caps/>
      <w:color w:val="D2232A"/>
      <w:kern w:val="32"/>
      <w:sz w:val="20"/>
      <w:lang w:val="da-DK"/>
    </w:rPr>
  </w:style>
  <w:style w:type="paragraph" w:customStyle="1" w:styleId="ECCLetterHead">
    <w:name w:val="ECC Letter Head"/>
    <w:basedOn w:val="Normal"/>
    <w:link w:val="ECCLetterHeadZchn"/>
    <w:qFormat/>
    <w:rsid w:val="00AE1ECC"/>
    <w:pPr>
      <w:tabs>
        <w:tab w:val="right" w:pos="4750"/>
      </w:tabs>
      <w:spacing w:before="60"/>
    </w:pPr>
    <w:rPr>
      <w:b/>
      <w:sz w:val="22"/>
      <w:szCs w:val="20"/>
    </w:rPr>
  </w:style>
  <w:style w:type="character" w:customStyle="1" w:styleId="ECCHLyellow">
    <w:name w:val="ECC HL yellow"/>
    <w:basedOn w:val="DefaultParagraphFont"/>
    <w:uiPriority w:val="1"/>
    <w:qFormat/>
    <w:rsid w:val="00AE1ECC"/>
    <w:rPr>
      <w:rFonts w:eastAsia="Calibri"/>
      <w:i w:val="0"/>
      <w:szCs w:val="22"/>
      <w:bdr w:val="none" w:sz="0" w:space="0" w:color="auto"/>
      <w:shd w:val="solid" w:color="FFFF00" w:fill="auto"/>
      <w:lang w:val="en-GB"/>
    </w:rPr>
  </w:style>
  <w:style w:type="paragraph" w:customStyle="1" w:styleId="ECCTabletext">
    <w:name w:val="ECC Table text"/>
    <w:basedOn w:val="Normal"/>
    <w:qFormat/>
    <w:rsid w:val="00AE1ECC"/>
    <w:pPr>
      <w:spacing w:before="0"/>
    </w:pPr>
  </w:style>
  <w:style w:type="character" w:customStyle="1" w:styleId="ECCParagraph">
    <w:name w:val="ECC Paragraph"/>
    <w:basedOn w:val="DefaultParagraphFont"/>
    <w:uiPriority w:val="1"/>
    <w:qFormat/>
    <w:rsid w:val="00AE1ECC"/>
    <w:rPr>
      <w:rFonts w:ascii="Arial" w:hAnsi="Arial"/>
      <w:noProof w:val="0"/>
      <w:sz w:val="20"/>
      <w:bdr w:val="none" w:sz="0" w:space="0" w:color="auto"/>
      <w:lang w:val="en-GB"/>
    </w:rPr>
  </w:style>
  <w:style w:type="character" w:customStyle="1" w:styleId="ECCLetterHeadZchn">
    <w:name w:val="ECC Letter Head Zchn"/>
    <w:basedOn w:val="DefaultParagraphFont"/>
    <w:link w:val="ECCLetterHead"/>
    <w:rsid w:val="00AE1ECC"/>
    <w:rPr>
      <w:rFonts w:ascii="Arial" w:eastAsia="Calibri" w:hAnsi="Arial" w:cs="Times New Roman"/>
      <w:b/>
      <w:szCs w:val="20"/>
    </w:rPr>
  </w:style>
  <w:style w:type="paragraph" w:customStyle="1" w:styleId="ECCpageHeader">
    <w:name w:val="ECC page Header"/>
    <w:rsid w:val="00AE1ECC"/>
    <w:pPr>
      <w:tabs>
        <w:tab w:val="left" w:pos="0"/>
        <w:tab w:val="center" w:pos="4820"/>
        <w:tab w:val="right" w:pos="9639"/>
      </w:tabs>
      <w:spacing w:after="0" w:line="240" w:lineRule="auto"/>
    </w:pPr>
    <w:rPr>
      <w:rFonts w:ascii="Arial" w:eastAsia="Times New Roman" w:hAnsi="Arial" w:cs="Times New Roman"/>
      <w:b/>
      <w:sz w:val="16"/>
      <w:szCs w:val="20"/>
      <w:lang w:val="da-DK"/>
    </w:rPr>
  </w:style>
  <w:style w:type="character" w:customStyle="1" w:styleId="Heading1Char">
    <w:name w:val="Heading 1 Char"/>
    <w:basedOn w:val="DefaultParagraphFont"/>
    <w:link w:val="Heading1"/>
    <w:uiPriority w:val="9"/>
    <w:rsid w:val="00AE1EC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E5475"/>
    <w:rPr>
      <w:color w:val="0563C1"/>
      <w:u w:val="single"/>
    </w:rPr>
  </w:style>
  <w:style w:type="paragraph" w:styleId="ListParagraph">
    <w:name w:val="List Paragraph"/>
    <w:basedOn w:val="Normal"/>
    <w:uiPriority w:val="34"/>
    <w:qFormat/>
    <w:rsid w:val="000E058A"/>
    <w:pPr>
      <w:ind w:left="720"/>
      <w:contextualSpacing/>
    </w:pPr>
  </w:style>
  <w:style w:type="paragraph" w:styleId="Header">
    <w:name w:val="header"/>
    <w:basedOn w:val="Normal"/>
    <w:link w:val="HeaderChar"/>
    <w:uiPriority w:val="99"/>
    <w:unhideWhenUsed/>
    <w:rsid w:val="00E50D31"/>
    <w:pPr>
      <w:tabs>
        <w:tab w:val="center" w:pos="4513"/>
        <w:tab w:val="right" w:pos="9026"/>
      </w:tabs>
      <w:spacing w:before="0" w:after="0"/>
    </w:pPr>
  </w:style>
  <w:style w:type="character" w:customStyle="1" w:styleId="HeaderChar">
    <w:name w:val="Header Char"/>
    <w:basedOn w:val="DefaultParagraphFont"/>
    <w:link w:val="Header"/>
    <w:uiPriority w:val="99"/>
    <w:rsid w:val="00E50D31"/>
    <w:rPr>
      <w:rFonts w:ascii="Arial" w:eastAsia="Calibri" w:hAnsi="Arial" w:cs="Times New Roman"/>
      <w:sz w:val="20"/>
    </w:rPr>
  </w:style>
  <w:style w:type="paragraph" w:styleId="Footer">
    <w:name w:val="footer"/>
    <w:basedOn w:val="Normal"/>
    <w:link w:val="FooterChar"/>
    <w:uiPriority w:val="99"/>
    <w:unhideWhenUsed/>
    <w:rsid w:val="00E50D31"/>
    <w:pPr>
      <w:tabs>
        <w:tab w:val="center" w:pos="4513"/>
        <w:tab w:val="right" w:pos="9026"/>
      </w:tabs>
      <w:spacing w:before="0" w:after="0"/>
    </w:pPr>
  </w:style>
  <w:style w:type="character" w:customStyle="1" w:styleId="FooterChar">
    <w:name w:val="Footer Char"/>
    <w:basedOn w:val="DefaultParagraphFont"/>
    <w:link w:val="Footer"/>
    <w:uiPriority w:val="99"/>
    <w:rsid w:val="00E50D31"/>
    <w:rPr>
      <w:rFonts w:ascii="Arial" w:eastAsia="Calibri" w:hAnsi="Arial" w:cs="Times New Roman"/>
      <w:sz w:val="20"/>
    </w:rPr>
  </w:style>
  <w:style w:type="table" w:styleId="TableGrid">
    <w:name w:val="Table Grid"/>
    <w:basedOn w:val="TableNormal"/>
    <w:uiPriority w:val="39"/>
    <w:rsid w:val="00A75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1FE9"/>
    <w:rPr>
      <w:sz w:val="16"/>
      <w:szCs w:val="16"/>
    </w:rPr>
  </w:style>
  <w:style w:type="paragraph" w:customStyle="1" w:styleId="CommentText1">
    <w:name w:val="Comment Text1"/>
    <w:basedOn w:val="Normal"/>
    <w:next w:val="CommentText"/>
    <w:link w:val="CommentTextChar"/>
    <w:uiPriority w:val="99"/>
    <w:semiHidden/>
    <w:unhideWhenUsed/>
    <w:rsid w:val="00301FE9"/>
    <w:pPr>
      <w:spacing w:before="0" w:after="200"/>
      <w:jc w:val="left"/>
    </w:pPr>
    <w:rPr>
      <w:rFonts w:asciiTheme="minorHAnsi" w:eastAsiaTheme="minorHAnsi" w:hAnsiTheme="minorHAnsi" w:cstheme="minorBidi"/>
      <w:szCs w:val="20"/>
    </w:rPr>
  </w:style>
  <w:style w:type="character" w:customStyle="1" w:styleId="CommentTextChar">
    <w:name w:val="Comment Text Char"/>
    <w:basedOn w:val="DefaultParagraphFont"/>
    <w:link w:val="CommentText1"/>
    <w:uiPriority w:val="99"/>
    <w:semiHidden/>
    <w:rsid w:val="00301FE9"/>
    <w:rPr>
      <w:sz w:val="20"/>
      <w:szCs w:val="20"/>
    </w:rPr>
  </w:style>
  <w:style w:type="paragraph" w:styleId="CommentText">
    <w:name w:val="annotation text"/>
    <w:basedOn w:val="Normal"/>
    <w:link w:val="CommentTextChar1"/>
    <w:uiPriority w:val="99"/>
    <w:semiHidden/>
    <w:unhideWhenUsed/>
    <w:rsid w:val="00301FE9"/>
    <w:rPr>
      <w:szCs w:val="20"/>
    </w:rPr>
  </w:style>
  <w:style w:type="character" w:customStyle="1" w:styleId="CommentTextChar1">
    <w:name w:val="Comment Text Char1"/>
    <w:basedOn w:val="DefaultParagraphFont"/>
    <w:link w:val="CommentText"/>
    <w:uiPriority w:val="99"/>
    <w:semiHidden/>
    <w:rsid w:val="00301FE9"/>
    <w:rPr>
      <w:rFonts w:ascii="Arial" w:eastAsia="Calibri" w:hAnsi="Arial" w:cs="Times New Roman"/>
      <w:sz w:val="20"/>
      <w:szCs w:val="20"/>
    </w:rPr>
  </w:style>
  <w:style w:type="paragraph" w:styleId="BalloonText">
    <w:name w:val="Balloon Text"/>
    <w:basedOn w:val="Normal"/>
    <w:link w:val="BalloonTextChar"/>
    <w:uiPriority w:val="99"/>
    <w:semiHidden/>
    <w:unhideWhenUsed/>
    <w:rsid w:val="0009789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89E"/>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C3436C"/>
    <w:rPr>
      <w:b/>
      <w:bCs/>
    </w:rPr>
  </w:style>
  <w:style w:type="character" w:customStyle="1" w:styleId="CommentSubjectChar">
    <w:name w:val="Comment Subject Char"/>
    <w:basedOn w:val="CommentTextChar1"/>
    <w:link w:val="CommentSubject"/>
    <w:uiPriority w:val="99"/>
    <w:semiHidden/>
    <w:rsid w:val="00C3436C"/>
    <w:rPr>
      <w:rFonts w:ascii="Arial" w:eastAsia="Calibri" w:hAnsi="Arial" w:cs="Times New Roman"/>
      <w:b/>
      <w:bCs/>
      <w:sz w:val="20"/>
      <w:szCs w:val="20"/>
    </w:rPr>
  </w:style>
  <w:style w:type="character" w:styleId="UnresolvedMention">
    <w:name w:val="Unresolved Mention"/>
    <w:basedOn w:val="DefaultParagraphFont"/>
    <w:uiPriority w:val="99"/>
    <w:semiHidden/>
    <w:unhideWhenUsed/>
    <w:rsid w:val="00CC1950"/>
    <w:rPr>
      <w:color w:val="605E5C"/>
      <w:shd w:val="clear" w:color="auto" w:fill="E1DFDD"/>
    </w:rPr>
  </w:style>
  <w:style w:type="paragraph" w:styleId="Revision">
    <w:name w:val="Revision"/>
    <w:hidden/>
    <w:uiPriority w:val="99"/>
    <w:semiHidden/>
    <w:rsid w:val="00A10B87"/>
    <w:pPr>
      <w:spacing w:after="0" w:line="240" w:lineRule="auto"/>
    </w:pPr>
    <w:rPr>
      <w:rFonts w:ascii="Arial" w:eastAsia="Calibri" w:hAnsi="Arial" w:cs="Times New Roman"/>
      <w:sz w:val="20"/>
    </w:rPr>
  </w:style>
  <w:style w:type="paragraph" w:customStyle="1" w:styleId="ECCTablenote">
    <w:name w:val="ECC Table note"/>
    <w:autoRedefine/>
    <w:qFormat/>
    <w:rsid w:val="008053AA"/>
    <w:pPr>
      <w:spacing w:after="0"/>
    </w:pPr>
    <w:rPr>
      <w:rFonts w:eastAsia="Times New Roman"/>
      <w:szCs w:val="16"/>
    </w:rPr>
  </w:style>
  <w:style w:type="paragraph" w:customStyle="1" w:styleId="ECCTableHeaderwhitefont">
    <w:name w:val="ECC Table Header white font"/>
    <w:qFormat/>
    <w:rsid w:val="008053AA"/>
    <w:pPr>
      <w:spacing w:before="240" w:after="60" w:line="240" w:lineRule="auto"/>
      <w:jc w:val="center"/>
    </w:pPr>
    <w:rPr>
      <w:rFonts w:ascii="Arial" w:eastAsia="Calibri" w:hAnsi="Arial" w:cs="Times New Roman"/>
      <w:bCs/>
      <w:color w:val="FFFFFF" w:themeColor="background1"/>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330740">
      <w:bodyDiv w:val="1"/>
      <w:marLeft w:val="0"/>
      <w:marRight w:val="0"/>
      <w:marTop w:val="0"/>
      <w:marBottom w:val="0"/>
      <w:divBdr>
        <w:top w:val="none" w:sz="0" w:space="0" w:color="auto"/>
        <w:left w:val="none" w:sz="0" w:space="0" w:color="auto"/>
        <w:bottom w:val="none" w:sz="0" w:space="0" w:color="auto"/>
        <w:right w:val="none" w:sz="0" w:space="0" w:color="auto"/>
      </w:divBdr>
      <w:divsChild>
        <w:div w:id="1418867503">
          <w:marLeft w:val="1800"/>
          <w:marRight w:val="0"/>
          <w:marTop w:val="0"/>
          <w:marBottom w:val="60"/>
          <w:divBdr>
            <w:top w:val="none" w:sz="0" w:space="0" w:color="auto"/>
            <w:left w:val="none" w:sz="0" w:space="0" w:color="auto"/>
            <w:bottom w:val="none" w:sz="0" w:space="0" w:color="auto"/>
            <w:right w:val="none" w:sz="0" w:space="0" w:color="auto"/>
          </w:divBdr>
        </w:div>
        <w:div w:id="19941694">
          <w:marLeft w:val="1800"/>
          <w:marRight w:val="0"/>
          <w:marTop w:val="0"/>
          <w:marBottom w:val="60"/>
          <w:divBdr>
            <w:top w:val="none" w:sz="0" w:space="0" w:color="auto"/>
            <w:left w:val="none" w:sz="0" w:space="0" w:color="auto"/>
            <w:bottom w:val="none" w:sz="0" w:space="0" w:color="auto"/>
            <w:right w:val="none" w:sz="0" w:space="0" w:color="auto"/>
          </w:divBdr>
        </w:div>
      </w:divsChild>
    </w:div>
    <w:div w:id="185187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83821-99C3-4FC3-BA99-2130972F4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Kingdom</dc:creator>
  <cp:keywords/>
  <dc:description/>
  <cp:lastModifiedBy>United Kingdom</cp:lastModifiedBy>
  <cp:revision>2</cp:revision>
  <dcterms:created xsi:type="dcterms:W3CDTF">2019-05-31T07:56:00Z</dcterms:created>
  <dcterms:modified xsi:type="dcterms:W3CDTF">2019-05-31T07:56:00Z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iteId">
    <vt:lpwstr>0af648de-310c-4068-8ae4-f9418bae24cc</vt:lpwstr>
  </property>
  <property fmtid="{D5CDD505-2E9C-101B-9397-08002B2CF9AE}" pid="4" name="MSIP_Label_5a50d26f-5c2c-4137-8396-1b24eb24286c_Owner">
    <vt:lpwstr>Robert.Cooper@ofcom.org.uk</vt:lpwstr>
  </property>
  <property fmtid="{D5CDD505-2E9C-101B-9397-08002B2CF9AE}" pid="5" name="MSIP_Label_5a50d26f-5c2c-4137-8396-1b24eb24286c_SetDate">
    <vt:lpwstr>2019-04-17T09:53:18.0975903Z</vt:lpwstr>
  </property>
  <property fmtid="{D5CDD505-2E9C-101B-9397-08002B2CF9AE}" pid="6" name="MSIP_Label_5a50d26f-5c2c-4137-8396-1b24eb24286c_Name">
    <vt:lpwstr>Protected</vt:lpwstr>
  </property>
  <property fmtid="{D5CDD505-2E9C-101B-9397-08002B2CF9AE}" pid="7" name="MSIP_Label_5a50d26f-5c2c-4137-8396-1b24eb24286c_Application">
    <vt:lpwstr>Microsoft Azure Information Protection</vt:lpwstr>
  </property>
  <property fmtid="{D5CDD505-2E9C-101B-9397-08002B2CF9AE}" pid="8" name="MSIP_Label_5a50d26f-5c2c-4137-8396-1b24eb24286c_Extended_MSFT_Method">
    <vt:lpwstr>Manual</vt:lpwstr>
  </property>
  <property fmtid="{D5CDD505-2E9C-101B-9397-08002B2CF9AE}" pid="9" name="Sensitivity">
    <vt:lpwstr>Protected</vt:lpwstr>
  </property>
</Properties>
</file>