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C62DB9" w14:paraId="4A0FEF47" w14:textId="77777777" w:rsidTr="00C62DB9">
        <w:trPr>
          <w:cantSplit/>
          <w:trHeight w:val="1560"/>
        </w:trPr>
        <w:tc>
          <w:tcPr>
            <w:tcW w:w="4820" w:type="dxa"/>
            <w:gridSpan w:val="2"/>
            <w:vAlign w:val="center"/>
          </w:tcPr>
          <w:p w14:paraId="152FA372" w14:textId="77777777" w:rsidR="00C62DB9" w:rsidRDefault="00C62DB9" w:rsidP="003C0195">
            <w:pPr>
              <w:pStyle w:val="ECCLetterHead"/>
            </w:pPr>
            <w:r>
              <w:rPr>
                <w:rFonts w:asciiTheme="minorHAnsi" w:hAnsiTheme="minorHAnsi" w:cstheme="minorHAnsi"/>
                <w:noProof/>
                <w:sz w:val="24"/>
                <w:szCs w:val="24"/>
              </w:rPr>
              <w:drawing>
                <wp:inline distT="0" distB="0" distL="0" distR="0" wp14:anchorId="28B6EC31" wp14:editId="0C8FDF68">
                  <wp:extent cx="1577340" cy="485906"/>
                  <wp:effectExtent l="0" t="0" r="3810" b="952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008" cy="492889"/>
                          </a:xfrm>
                          <a:prstGeom prst="rect">
                            <a:avLst/>
                          </a:prstGeom>
                        </pic:spPr>
                      </pic:pic>
                    </a:graphicData>
                  </a:graphic>
                </wp:inline>
              </w:drawing>
            </w:r>
          </w:p>
        </w:tc>
        <w:tc>
          <w:tcPr>
            <w:tcW w:w="4961" w:type="dxa"/>
          </w:tcPr>
          <w:p w14:paraId="5F9DF6BF" w14:textId="37F5D163" w:rsidR="00C62DB9" w:rsidRDefault="00C62DB9" w:rsidP="003C0195">
            <w:pPr>
              <w:pStyle w:val="ECCLetterHead"/>
            </w:pPr>
            <w:r>
              <w:tab/>
              <w:t>Doc. (2</w:t>
            </w:r>
            <w:r w:rsidR="00725FFF">
              <w:t>5</w:t>
            </w:r>
            <w:r>
              <w:t xml:space="preserve">) </w:t>
            </w:r>
            <w:r w:rsidR="00874B01">
              <w:t>04</w:t>
            </w:r>
          </w:p>
        </w:tc>
      </w:tr>
      <w:tr w:rsidR="00C62DB9" w14:paraId="2ABB2251" w14:textId="77777777" w:rsidTr="00C62DB9">
        <w:tblPrEx>
          <w:tblCellMar>
            <w:left w:w="108" w:type="dxa"/>
            <w:right w:w="108" w:type="dxa"/>
          </w:tblCellMar>
        </w:tblPrEx>
        <w:trPr>
          <w:cantSplit/>
          <w:trHeight w:val="405"/>
        </w:trPr>
        <w:tc>
          <w:tcPr>
            <w:tcW w:w="9781" w:type="dxa"/>
            <w:gridSpan w:val="3"/>
            <w:vAlign w:val="center"/>
          </w:tcPr>
          <w:p w14:paraId="605B543A" w14:textId="77777777" w:rsidR="00C62DB9" w:rsidRDefault="00C62DB9" w:rsidP="003C0195">
            <w:pPr>
              <w:pStyle w:val="ECCLetterHead"/>
            </w:pPr>
            <w:r>
              <w:t>Com-ITU Plenary</w:t>
            </w:r>
          </w:p>
        </w:tc>
      </w:tr>
      <w:tr w:rsidR="00C62DB9" w14:paraId="3AC9687F" w14:textId="77777777" w:rsidTr="00C62DB9">
        <w:tblPrEx>
          <w:tblCellMar>
            <w:left w:w="108" w:type="dxa"/>
            <w:right w:w="108" w:type="dxa"/>
          </w:tblCellMar>
        </w:tblPrEx>
        <w:trPr>
          <w:cantSplit/>
          <w:trHeight w:val="405"/>
        </w:trPr>
        <w:tc>
          <w:tcPr>
            <w:tcW w:w="9781" w:type="dxa"/>
            <w:gridSpan w:val="3"/>
            <w:vAlign w:val="center"/>
          </w:tcPr>
          <w:p w14:paraId="682050D2" w14:textId="3CA6583D" w:rsidR="00C62DB9" w:rsidRDefault="00725FFF" w:rsidP="003C0195">
            <w:pPr>
              <w:pStyle w:val="ECCLetterHead"/>
            </w:pPr>
            <w:r>
              <w:t>Budapest, Hungary</w:t>
            </w:r>
            <w:r w:rsidR="00C62DB9">
              <w:t xml:space="preserve">, Hybrid meeting, </w:t>
            </w:r>
            <w:r>
              <w:t>27-28</w:t>
            </w:r>
            <w:r w:rsidR="00C62DB9">
              <w:t xml:space="preserve"> </w:t>
            </w:r>
            <w:r>
              <w:t>February</w:t>
            </w:r>
            <w:r w:rsidR="00C62DB9">
              <w:t xml:space="preserve"> 202</w:t>
            </w:r>
            <w:r>
              <w:t>5</w:t>
            </w:r>
          </w:p>
        </w:tc>
      </w:tr>
      <w:tr w:rsidR="00C62DB9" w14:paraId="24651E7E" w14:textId="77777777" w:rsidTr="00C62DB9">
        <w:tblPrEx>
          <w:tblCellMar>
            <w:left w:w="108" w:type="dxa"/>
            <w:right w:w="108" w:type="dxa"/>
          </w:tblCellMar>
        </w:tblPrEx>
        <w:trPr>
          <w:cantSplit/>
          <w:trHeight w:hRule="exact" w:val="79"/>
        </w:trPr>
        <w:tc>
          <w:tcPr>
            <w:tcW w:w="9781" w:type="dxa"/>
            <w:gridSpan w:val="3"/>
            <w:vAlign w:val="center"/>
          </w:tcPr>
          <w:p w14:paraId="5BBAB2AB" w14:textId="77777777" w:rsidR="00C62DB9" w:rsidRDefault="00C62DB9" w:rsidP="003C0195">
            <w:pPr>
              <w:pStyle w:val="ECCLetterHead"/>
            </w:pPr>
          </w:p>
        </w:tc>
      </w:tr>
      <w:tr w:rsidR="00C62DB9" w14:paraId="4B3E409A" w14:textId="77777777" w:rsidTr="00C62DB9">
        <w:tblPrEx>
          <w:tblCellMar>
            <w:left w:w="108" w:type="dxa"/>
            <w:right w:w="108" w:type="dxa"/>
          </w:tblCellMar>
        </w:tblPrEx>
        <w:trPr>
          <w:cantSplit/>
          <w:trHeight w:val="405"/>
        </w:trPr>
        <w:tc>
          <w:tcPr>
            <w:tcW w:w="1819" w:type="dxa"/>
            <w:vAlign w:val="center"/>
          </w:tcPr>
          <w:p w14:paraId="564F8F7B" w14:textId="77777777" w:rsidR="00C62DB9" w:rsidRDefault="00C62DB9" w:rsidP="003C0195">
            <w:pPr>
              <w:pStyle w:val="ECCLetterHead"/>
            </w:pPr>
            <w:r>
              <w:t xml:space="preserve">Date issued: </w:t>
            </w:r>
          </w:p>
        </w:tc>
        <w:tc>
          <w:tcPr>
            <w:tcW w:w="7962" w:type="dxa"/>
            <w:gridSpan w:val="2"/>
            <w:vAlign w:val="center"/>
          </w:tcPr>
          <w:p w14:paraId="45403501" w14:textId="17DA1272" w:rsidR="00C62DB9" w:rsidRDefault="00874B01" w:rsidP="003C0195">
            <w:pPr>
              <w:pStyle w:val="ECCLetterHead"/>
            </w:pPr>
            <w:r>
              <w:t>11</w:t>
            </w:r>
            <w:r w:rsidR="0056034D">
              <w:t xml:space="preserve"> </w:t>
            </w:r>
            <w:r w:rsidR="009015F2">
              <w:t>February</w:t>
            </w:r>
            <w:r w:rsidR="00BB432F">
              <w:t xml:space="preserve"> </w:t>
            </w:r>
            <w:r w:rsidR="00C62DB9">
              <w:t>202</w:t>
            </w:r>
            <w:r w:rsidR="00725FFF">
              <w:t>5</w:t>
            </w:r>
          </w:p>
        </w:tc>
      </w:tr>
      <w:tr w:rsidR="00C62DB9" w14:paraId="04CE9FFF" w14:textId="77777777" w:rsidTr="00C62DB9">
        <w:tblPrEx>
          <w:tblCellMar>
            <w:left w:w="108" w:type="dxa"/>
            <w:right w:w="108" w:type="dxa"/>
          </w:tblCellMar>
        </w:tblPrEx>
        <w:trPr>
          <w:cantSplit/>
          <w:trHeight w:val="405"/>
        </w:trPr>
        <w:tc>
          <w:tcPr>
            <w:tcW w:w="1819" w:type="dxa"/>
            <w:vAlign w:val="center"/>
          </w:tcPr>
          <w:p w14:paraId="2E413A99" w14:textId="77777777" w:rsidR="00C62DB9" w:rsidRDefault="00C62DB9" w:rsidP="003C0195">
            <w:pPr>
              <w:pStyle w:val="ECCLetterHead"/>
            </w:pPr>
            <w:r>
              <w:t xml:space="preserve">Source: </w:t>
            </w:r>
          </w:p>
        </w:tc>
        <w:tc>
          <w:tcPr>
            <w:tcW w:w="7962" w:type="dxa"/>
            <w:gridSpan w:val="2"/>
            <w:vAlign w:val="center"/>
          </w:tcPr>
          <w:p w14:paraId="1771D394" w14:textId="024ADF1D" w:rsidR="00C62DB9" w:rsidRDefault="00CF5E52" w:rsidP="003C0195">
            <w:pPr>
              <w:pStyle w:val="ECCLetterHead"/>
            </w:pPr>
            <w:r>
              <w:t>Germany</w:t>
            </w:r>
          </w:p>
        </w:tc>
      </w:tr>
      <w:tr w:rsidR="00C62DB9" w14:paraId="113FA517" w14:textId="77777777" w:rsidTr="00C62DB9">
        <w:tblPrEx>
          <w:tblCellMar>
            <w:left w:w="108" w:type="dxa"/>
            <w:right w:w="108" w:type="dxa"/>
          </w:tblCellMar>
        </w:tblPrEx>
        <w:trPr>
          <w:cantSplit/>
          <w:trHeight w:val="405"/>
        </w:trPr>
        <w:tc>
          <w:tcPr>
            <w:tcW w:w="1819" w:type="dxa"/>
            <w:vAlign w:val="center"/>
          </w:tcPr>
          <w:p w14:paraId="05DCBB34" w14:textId="77777777" w:rsidR="00C62DB9" w:rsidRDefault="00C62DB9" w:rsidP="003C0195">
            <w:pPr>
              <w:pStyle w:val="ECCLetterHead"/>
            </w:pPr>
            <w:r>
              <w:t xml:space="preserve">Subject: </w:t>
            </w:r>
          </w:p>
        </w:tc>
        <w:tc>
          <w:tcPr>
            <w:tcW w:w="7962" w:type="dxa"/>
            <w:gridSpan w:val="2"/>
            <w:vAlign w:val="center"/>
          </w:tcPr>
          <w:p w14:paraId="00066AE6" w14:textId="74DE5FA1" w:rsidR="00C62DB9" w:rsidRDefault="00915BC5" w:rsidP="003C0195">
            <w:pPr>
              <w:pStyle w:val="ECCLetterHead"/>
            </w:pPr>
            <w:r>
              <w:t>Proposal to establish a Correspondence Group for WTPF</w:t>
            </w:r>
            <w:r w:rsidR="008163E8">
              <w:t>-26</w:t>
            </w:r>
          </w:p>
        </w:tc>
      </w:tr>
      <w:tr w:rsidR="00C62DB9" w14:paraId="7B628566" w14:textId="77777777" w:rsidTr="00C62DB9">
        <w:tblPrEx>
          <w:tblCellMar>
            <w:left w:w="108" w:type="dxa"/>
            <w:right w:w="108" w:type="dxa"/>
          </w:tblCellMar>
        </w:tblPrEx>
        <w:trPr>
          <w:cantSplit/>
          <w:trHeight w:val="1040"/>
        </w:trPr>
        <w:tc>
          <w:tcPr>
            <w:tcW w:w="9781" w:type="dxa"/>
            <w:gridSpan w:val="3"/>
            <w:vAlign w:val="center"/>
          </w:tcPr>
          <w:p w14:paraId="51AD2B4A" w14:textId="77777777" w:rsidR="00C62DB9" w:rsidRDefault="00C62DB9" w:rsidP="003C0195">
            <w:pPr>
              <w:pStyle w:val="ECCTabletext"/>
            </w:pPr>
            <w:bookmarkStart w:id="0" w:name="_Hlk127356693"/>
            <w:r>
              <w:rPr>
                <w:noProof/>
                <w:lang w:val="da-DK" w:eastAsia="da-DK"/>
              </w:rPr>
              <mc:AlternateContent>
                <mc:Choice Requires="wps">
                  <w:drawing>
                    <wp:anchor distT="0" distB="0" distL="114300" distR="114300" simplePos="0" relativeHeight="251658240" behindDoc="0" locked="1" layoutInCell="0" allowOverlap="1" wp14:anchorId="067A56D3" wp14:editId="1E619F6A">
                      <wp:simplePos x="0" y="0"/>
                      <wp:positionH relativeFrom="column">
                        <wp:posOffset>2718435</wp:posOffset>
                      </wp:positionH>
                      <wp:positionV relativeFrom="paragraph">
                        <wp:posOffset>-29210</wp:posOffset>
                      </wp:positionV>
                      <wp:extent cx="457200" cy="269875"/>
                      <wp:effectExtent l="0" t="0" r="19050" b="158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116A92C7" w14:textId="53002BFD" w:rsidR="00C62DB9" w:rsidRDefault="005E62DD" w:rsidP="00C62DB9">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A56D3" id="_x0000_t202" coordsize="21600,21600" o:spt="202" path="m,l,21600r21600,l21600,xe">
                      <v:stroke joinstyle="miter"/>
                      <v:path gradientshapeok="t" o:connecttype="rect"/>
                    </v:shapetype>
                    <v:shape id="Text Box 24" o:spid="_x0000_s1026" type="#_x0000_t202" style="position:absolute;left:0;text-align:left;margin-left:214.05pt;margin-top:-2.3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vT3Ov4QAAAAkBAAAPAAAAZHJzL2Rvd25yZXYueG1sTI9NT8JAEIbvJv6H&#10;zZh4IbDbiqXUbomSmHghCnLgOHTXtmE/mu4C9d87nvQ4M0/eed5yNVrDLnoInXcSkpkApl3tVeca&#10;CfvP12kOLER0Co13WsK3DrCqbm9KLJS/uq2+7GLDKMSFAiW0MfYF56FutcUw8712dPvyg8VI49Bw&#10;NeCVwq3hqRAZt9g5+tBir9etrk+7s5WAm8khTd7f6lO2/jDLfNLuX8xWyvu78fkJWNRj/IPhV5/U&#10;oSKnoz87FZiRME/zhFAJ03kGjIBHIWhxlPCwWAKvSv6/QfUDAAD//wMAUEsBAi0AFAAGAAgAAAAh&#10;ALaDOJL+AAAA4QEAABMAAAAAAAAAAAAAAAAAAAAAAFtDb250ZW50X1R5cGVzXS54bWxQSwECLQAU&#10;AAYACAAAACEAOP0h/9YAAACUAQAACwAAAAAAAAAAAAAAAAAvAQAAX3JlbHMvLnJlbHNQSwECLQAU&#10;AAYACAAAACEAXv//BRoCAAAsBAAADgAAAAAAAAAAAAAAAAAuAgAAZHJzL2Uyb0RvYy54bWxQSwEC&#10;LQAUAAYACAAAACEA709zr+EAAAAJAQAADwAAAAAAAAAAAAAAAAB0BAAAZHJzL2Rvd25yZXYueG1s&#10;UEsFBgAAAAAEAAQA8wAAAIIFAAAAAA==&#10;" o:allowincell="f">
                      <v:textbox inset="1.2mm,.8mm,1mm,2mm">
                        <w:txbxContent>
                          <w:p w14:paraId="116A92C7" w14:textId="53002BFD" w:rsidR="00C62DB9" w:rsidRDefault="005E62DD" w:rsidP="00C62DB9">
                            <w:pPr>
                              <w:pStyle w:val="ECCTabletext"/>
                              <w:jc w:val="center"/>
                              <w:rPr>
                                <w:lang w:val="de-DE"/>
                              </w:rPr>
                            </w:pPr>
                            <w:r>
                              <w:rPr>
                                <w:lang w:val="de-DE"/>
                              </w:rPr>
                              <w:t>N</w:t>
                            </w:r>
                          </w:p>
                        </w:txbxContent>
                      </v:textbox>
                      <w10:anchorlock/>
                    </v:shape>
                  </w:pict>
                </mc:Fallback>
              </mc:AlternateContent>
            </w:r>
            <w:r>
              <w:t>Group membership required to read? (Y/N)</w:t>
            </w:r>
          </w:p>
        </w:tc>
      </w:tr>
      <w:bookmarkEnd w:id="0"/>
      <w:tr w:rsidR="00C62DB9" w14:paraId="1EFEAFAF" w14:textId="77777777" w:rsidTr="00C62DB9">
        <w:tblPrEx>
          <w:tblCellMar>
            <w:left w:w="108" w:type="dxa"/>
            <w:right w:w="108" w:type="dxa"/>
          </w:tblCellMar>
        </w:tblPrEx>
        <w:trPr>
          <w:cantSplit/>
          <w:trHeight w:hRule="exact" w:val="74"/>
        </w:trPr>
        <w:tc>
          <w:tcPr>
            <w:tcW w:w="9781" w:type="dxa"/>
            <w:gridSpan w:val="3"/>
            <w:tcBorders>
              <w:bottom w:val="single" w:sz="4" w:space="0" w:color="auto"/>
            </w:tcBorders>
            <w:vAlign w:val="center"/>
          </w:tcPr>
          <w:p w14:paraId="0DA487AE" w14:textId="77777777" w:rsidR="00C62DB9" w:rsidRDefault="00C62DB9" w:rsidP="003C0195">
            <w:pPr>
              <w:rPr>
                <w:rStyle w:val="ECCParagraph"/>
              </w:rPr>
            </w:pPr>
          </w:p>
          <w:p w14:paraId="7BF5C7CB" w14:textId="77777777" w:rsidR="00C62DB9" w:rsidRDefault="00C62DB9" w:rsidP="003C0195"/>
        </w:tc>
      </w:tr>
      <w:tr w:rsidR="00C62DB9" w14:paraId="2E883904" w14:textId="77777777" w:rsidTr="00C62DB9">
        <w:trPr>
          <w:cantSplit/>
          <w:trHeight w:val="446"/>
        </w:trPr>
        <w:tc>
          <w:tcPr>
            <w:tcW w:w="9781" w:type="dxa"/>
            <w:gridSpan w:val="3"/>
            <w:tcBorders>
              <w:top w:val="single" w:sz="4" w:space="0" w:color="auto"/>
              <w:left w:val="single" w:sz="4" w:space="0" w:color="auto"/>
              <w:right w:val="single" w:sz="4" w:space="0" w:color="auto"/>
            </w:tcBorders>
            <w:vAlign w:val="center"/>
          </w:tcPr>
          <w:p w14:paraId="2BA686A5" w14:textId="77777777" w:rsidR="00C62DB9" w:rsidRDefault="00C62DB9" w:rsidP="003C0195">
            <w:pPr>
              <w:pStyle w:val="ECCLetterHead"/>
            </w:pPr>
            <w:r>
              <w:t xml:space="preserve">Summary: </w:t>
            </w:r>
          </w:p>
        </w:tc>
      </w:tr>
      <w:tr w:rsidR="00C62DB9" w14:paraId="4DBE4323" w14:textId="77777777" w:rsidTr="00E05B1F">
        <w:trPr>
          <w:cantSplit/>
          <w:trHeight w:val="435"/>
        </w:trPr>
        <w:tc>
          <w:tcPr>
            <w:tcW w:w="9781" w:type="dxa"/>
            <w:gridSpan w:val="3"/>
            <w:tcBorders>
              <w:left w:val="single" w:sz="4" w:space="0" w:color="auto"/>
              <w:bottom w:val="single" w:sz="4" w:space="0" w:color="auto"/>
              <w:right w:val="single" w:sz="4" w:space="0" w:color="auto"/>
            </w:tcBorders>
          </w:tcPr>
          <w:p w14:paraId="653F7026" w14:textId="6C3BDF61" w:rsidR="0015488F" w:rsidRDefault="00091C59" w:rsidP="00E05B1F">
            <w:pPr>
              <w:pStyle w:val="ECCTabletext"/>
              <w:rPr>
                <w:sz w:val="22"/>
              </w:rPr>
            </w:pPr>
            <w:r>
              <w:rPr>
                <w:sz w:val="22"/>
              </w:rPr>
              <w:t>Decision to establish the Correspondence Group for WTPF-26</w:t>
            </w:r>
          </w:p>
        </w:tc>
      </w:tr>
      <w:tr w:rsidR="00C62DB9" w14:paraId="1ED68F7E" w14:textId="77777777" w:rsidTr="00C62DB9">
        <w:trPr>
          <w:cantSplit/>
          <w:trHeight w:val="443"/>
        </w:trPr>
        <w:tc>
          <w:tcPr>
            <w:tcW w:w="9781" w:type="dxa"/>
            <w:gridSpan w:val="3"/>
            <w:tcBorders>
              <w:top w:val="single" w:sz="4" w:space="0" w:color="auto"/>
              <w:left w:val="single" w:sz="4" w:space="0" w:color="auto"/>
              <w:right w:val="single" w:sz="4" w:space="0" w:color="auto"/>
            </w:tcBorders>
            <w:vAlign w:val="center"/>
          </w:tcPr>
          <w:p w14:paraId="17226DAF" w14:textId="77777777" w:rsidR="00C62DB9" w:rsidRDefault="00C62DB9" w:rsidP="003C0195">
            <w:pPr>
              <w:pStyle w:val="ECCLetterHead"/>
            </w:pPr>
            <w:r>
              <w:t>Proposal:</w:t>
            </w:r>
          </w:p>
        </w:tc>
      </w:tr>
      <w:tr w:rsidR="00C62DB9" w14:paraId="7896844D" w14:textId="77777777" w:rsidTr="00384882">
        <w:trPr>
          <w:cantSplit/>
          <w:trHeight w:val="409"/>
        </w:trPr>
        <w:tc>
          <w:tcPr>
            <w:tcW w:w="9781" w:type="dxa"/>
            <w:gridSpan w:val="3"/>
            <w:tcBorders>
              <w:left w:val="single" w:sz="4" w:space="0" w:color="auto"/>
              <w:bottom w:val="single" w:sz="4" w:space="0" w:color="auto"/>
              <w:right w:val="single" w:sz="4" w:space="0" w:color="auto"/>
            </w:tcBorders>
          </w:tcPr>
          <w:p w14:paraId="284BA21A" w14:textId="10BD835D" w:rsidR="00C62DB9" w:rsidRDefault="008163E8" w:rsidP="003C0195">
            <w:pPr>
              <w:pStyle w:val="ECCBulletsLv2"/>
              <w:numPr>
                <w:ilvl w:val="0"/>
                <w:numId w:val="0"/>
              </w:numPr>
              <w:rPr>
                <w:sz w:val="22"/>
                <w:szCs w:val="24"/>
              </w:rPr>
            </w:pPr>
            <w:r>
              <w:rPr>
                <w:sz w:val="22"/>
                <w:szCs w:val="24"/>
              </w:rPr>
              <w:t xml:space="preserve">To establish a correspondence group to prepare and discuss CEPT </w:t>
            </w:r>
            <w:r w:rsidR="005E421A">
              <w:rPr>
                <w:sz w:val="22"/>
                <w:szCs w:val="24"/>
              </w:rPr>
              <w:t xml:space="preserve">positions for WTPF-26 and to develop </w:t>
            </w:r>
            <w:r>
              <w:rPr>
                <w:sz w:val="22"/>
                <w:szCs w:val="24"/>
              </w:rPr>
              <w:t>contributions</w:t>
            </w:r>
            <w:r w:rsidR="005E421A">
              <w:rPr>
                <w:sz w:val="22"/>
                <w:szCs w:val="24"/>
              </w:rPr>
              <w:t xml:space="preserve"> </w:t>
            </w:r>
            <w:r w:rsidR="00736616">
              <w:rPr>
                <w:sz w:val="22"/>
                <w:szCs w:val="24"/>
              </w:rPr>
              <w:t>in line</w:t>
            </w:r>
            <w:r w:rsidR="005E421A">
              <w:rPr>
                <w:sz w:val="22"/>
                <w:szCs w:val="24"/>
              </w:rPr>
              <w:t xml:space="preserve"> with </w:t>
            </w:r>
            <w:r w:rsidR="00736616">
              <w:rPr>
                <w:sz w:val="22"/>
                <w:szCs w:val="24"/>
              </w:rPr>
              <w:t>these positions</w:t>
            </w:r>
            <w:r>
              <w:rPr>
                <w:sz w:val="22"/>
                <w:szCs w:val="24"/>
              </w:rPr>
              <w:t xml:space="preserve"> to be </w:t>
            </w:r>
            <w:r w:rsidR="005E421A">
              <w:rPr>
                <w:sz w:val="22"/>
                <w:szCs w:val="24"/>
              </w:rPr>
              <w:t>submitted to ITU IEG WTPF-26.</w:t>
            </w:r>
          </w:p>
        </w:tc>
      </w:tr>
      <w:tr w:rsidR="00C62DB9" w14:paraId="60B0FAF4" w14:textId="77777777" w:rsidTr="00C62DB9">
        <w:trPr>
          <w:cantSplit/>
          <w:trHeight w:val="443"/>
        </w:trPr>
        <w:tc>
          <w:tcPr>
            <w:tcW w:w="9781" w:type="dxa"/>
            <w:gridSpan w:val="3"/>
            <w:tcBorders>
              <w:top w:val="single" w:sz="4" w:space="0" w:color="auto"/>
              <w:left w:val="single" w:sz="4" w:space="0" w:color="auto"/>
              <w:right w:val="single" w:sz="4" w:space="0" w:color="auto"/>
            </w:tcBorders>
            <w:vAlign w:val="center"/>
          </w:tcPr>
          <w:p w14:paraId="415E7B67" w14:textId="77777777" w:rsidR="00C62DB9" w:rsidRDefault="00C62DB9" w:rsidP="003C0195">
            <w:pPr>
              <w:pStyle w:val="ECCLetterHead"/>
            </w:pPr>
            <w:r>
              <w:t>Background:</w:t>
            </w:r>
          </w:p>
        </w:tc>
      </w:tr>
      <w:tr w:rsidR="00C62DB9" w14:paraId="6D3516C1" w14:textId="77777777" w:rsidTr="00384882">
        <w:trPr>
          <w:cantSplit/>
          <w:trHeight w:val="393"/>
        </w:trPr>
        <w:tc>
          <w:tcPr>
            <w:tcW w:w="9781" w:type="dxa"/>
            <w:gridSpan w:val="3"/>
            <w:tcBorders>
              <w:left w:val="single" w:sz="4" w:space="0" w:color="auto"/>
              <w:bottom w:val="single" w:sz="4" w:space="0" w:color="auto"/>
              <w:right w:val="single" w:sz="4" w:space="0" w:color="auto"/>
            </w:tcBorders>
          </w:tcPr>
          <w:p w14:paraId="5EDE1214" w14:textId="77777777" w:rsidR="00DE10F8" w:rsidRPr="00DE10F8" w:rsidRDefault="00DE10F8" w:rsidP="00DE10F8">
            <w:pPr>
              <w:pStyle w:val="ECCTabletext"/>
              <w:rPr>
                <w:sz w:val="22"/>
              </w:rPr>
            </w:pPr>
            <w:r w:rsidRPr="00DE10F8">
              <w:rPr>
                <w:sz w:val="22"/>
              </w:rPr>
              <w:lastRenderedPageBreak/>
              <w:t>The World Telecommunication Policy Forum (WTPF) 2026 is an international event organized by the International Telecommunication Union (ITU) to discuss and formulate policies on key telecommunication and ICT issues. The theme for WTPF-26 is "Accelerating an Inclusive, Sustainable, Resilient, and Innovative Digital Future".</w:t>
            </w:r>
          </w:p>
          <w:p w14:paraId="08687624" w14:textId="77777777" w:rsidR="00DE10F8" w:rsidRPr="00DE10F8" w:rsidRDefault="00DE10F8" w:rsidP="00DE10F8">
            <w:pPr>
              <w:pStyle w:val="ECCTabletext"/>
              <w:rPr>
                <w:sz w:val="22"/>
              </w:rPr>
            </w:pPr>
          </w:p>
          <w:p w14:paraId="2A88F3A2" w14:textId="77777777" w:rsidR="00DE10F8" w:rsidRPr="00DE10F8" w:rsidRDefault="00DE10F8" w:rsidP="00DE10F8">
            <w:pPr>
              <w:pStyle w:val="ECCTabletext"/>
              <w:rPr>
                <w:sz w:val="22"/>
                <w:u w:val="single"/>
              </w:rPr>
            </w:pPr>
            <w:r w:rsidRPr="00DE10F8">
              <w:rPr>
                <w:sz w:val="22"/>
                <w:u w:val="single"/>
              </w:rPr>
              <w:t>Key Topics to be Discussed</w:t>
            </w:r>
          </w:p>
          <w:p w14:paraId="62F75C4D" w14:textId="77777777" w:rsidR="00DE10F8" w:rsidRPr="00DE10F8" w:rsidRDefault="00DE10F8" w:rsidP="00DE10F8">
            <w:pPr>
              <w:pStyle w:val="ECCTabletext"/>
              <w:numPr>
                <w:ilvl w:val="0"/>
                <w:numId w:val="25"/>
              </w:numPr>
              <w:rPr>
                <w:sz w:val="22"/>
              </w:rPr>
            </w:pPr>
            <w:r w:rsidRPr="00DE10F8">
              <w:rPr>
                <w:sz w:val="22"/>
              </w:rPr>
              <w:t>Bridging Digital Divides: Addressing disparities in access to digital technologies, focusing on gender, age, skills, and connectivity.</w:t>
            </w:r>
          </w:p>
          <w:p w14:paraId="469CD6A1" w14:textId="77777777" w:rsidR="00DE10F8" w:rsidRPr="00DE10F8" w:rsidRDefault="00DE10F8" w:rsidP="00DE10F8">
            <w:pPr>
              <w:pStyle w:val="ECCTabletext"/>
              <w:numPr>
                <w:ilvl w:val="0"/>
                <w:numId w:val="25"/>
              </w:numPr>
              <w:rPr>
                <w:sz w:val="22"/>
              </w:rPr>
            </w:pPr>
            <w:r w:rsidRPr="00DE10F8">
              <w:rPr>
                <w:sz w:val="22"/>
              </w:rPr>
              <w:t>Green Digital Transformation: Exploring the role of ICTs in combating climate change and promoting environmental sustainability.</w:t>
            </w:r>
          </w:p>
          <w:p w14:paraId="09E2C478" w14:textId="77777777" w:rsidR="00DE10F8" w:rsidRPr="00DE10F8" w:rsidRDefault="00DE10F8" w:rsidP="00DE10F8">
            <w:pPr>
              <w:pStyle w:val="ECCTabletext"/>
              <w:numPr>
                <w:ilvl w:val="0"/>
                <w:numId w:val="25"/>
              </w:numPr>
              <w:rPr>
                <w:sz w:val="22"/>
              </w:rPr>
            </w:pPr>
            <w:r w:rsidRPr="00DE10F8">
              <w:rPr>
                <w:sz w:val="22"/>
              </w:rPr>
              <w:t>Resilience of Telecommunication/ICTs: Enhancing the robustness and reliability of telecommunication infrastructures.</w:t>
            </w:r>
          </w:p>
          <w:p w14:paraId="5B97EB3C" w14:textId="77777777" w:rsidR="00DE10F8" w:rsidRPr="00DE10F8" w:rsidRDefault="00DE10F8" w:rsidP="00DE10F8">
            <w:pPr>
              <w:pStyle w:val="ECCTabletext"/>
              <w:numPr>
                <w:ilvl w:val="0"/>
                <w:numId w:val="25"/>
              </w:numPr>
              <w:rPr>
                <w:sz w:val="22"/>
              </w:rPr>
            </w:pPr>
            <w:r w:rsidRPr="00DE10F8">
              <w:rPr>
                <w:sz w:val="22"/>
              </w:rPr>
              <w:t>Space Connectivity: Discussing the expansion and regulation of satellite-based communication systems.</w:t>
            </w:r>
          </w:p>
          <w:p w14:paraId="6E284D1D" w14:textId="77777777" w:rsidR="00DE10F8" w:rsidRPr="00DE10F8" w:rsidRDefault="00DE10F8" w:rsidP="00DE10F8">
            <w:pPr>
              <w:pStyle w:val="ECCTabletext"/>
              <w:numPr>
                <w:ilvl w:val="0"/>
                <w:numId w:val="25"/>
              </w:numPr>
              <w:rPr>
                <w:sz w:val="22"/>
              </w:rPr>
            </w:pPr>
            <w:r w:rsidRPr="00DE10F8">
              <w:rPr>
                <w:sz w:val="22"/>
              </w:rPr>
              <w:t>Strengthening ICT-Centric Innovation Ecosystems and Entrepreneurship: Fostering innovation and supporting entrepreneurial ventures in the ICT sector.</w:t>
            </w:r>
          </w:p>
          <w:p w14:paraId="1B233617" w14:textId="77777777" w:rsidR="00DE10F8" w:rsidRPr="00DE10F8" w:rsidRDefault="00DE10F8" w:rsidP="00DE10F8">
            <w:pPr>
              <w:pStyle w:val="ECCTabletext"/>
              <w:rPr>
                <w:sz w:val="22"/>
              </w:rPr>
            </w:pPr>
          </w:p>
          <w:p w14:paraId="30DEE134" w14:textId="77777777" w:rsidR="00DE10F8" w:rsidRPr="00DE10F8" w:rsidRDefault="00DE10F8" w:rsidP="00DE10F8">
            <w:pPr>
              <w:pStyle w:val="ECCTabletext"/>
              <w:rPr>
                <w:sz w:val="22"/>
                <w:u w:val="single"/>
              </w:rPr>
            </w:pPr>
            <w:r w:rsidRPr="00DE10F8">
              <w:rPr>
                <w:sz w:val="22"/>
                <w:u w:val="single"/>
              </w:rPr>
              <w:t>Preparation by the Informal Expert Group (IEG-WTPF-26)</w:t>
            </w:r>
          </w:p>
          <w:p w14:paraId="7172615A" w14:textId="77777777" w:rsidR="00DE10F8" w:rsidRPr="00DE10F8" w:rsidRDefault="00DE10F8" w:rsidP="00DE10F8">
            <w:pPr>
              <w:pStyle w:val="ECCTabletext"/>
              <w:rPr>
                <w:sz w:val="22"/>
              </w:rPr>
            </w:pPr>
            <w:r w:rsidRPr="00DE10F8">
              <w:rPr>
                <w:sz w:val="22"/>
              </w:rPr>
              <w:t xml:space="preserve">The Informal Expert Group (IEG-WTPF-26) has been established to assist in the preparation of the Secretary-General's report for the forum. This group comprises experts nominated by ITU Member States, Sector Members, Associates, and Academia. Their role is to ensure a comprehensive and balanced report that reflects diverse perspectives and expertise. </w:t>
            </w:r>
          </w:p>
          <w:p w14:paraId="4C0DB540" w14:textId="77777777" w:rsidR="00DE10F8" w:rsidRPr="00DE10F8" w:rsidRDefault="00DE10F8" w:rsidP="00DE10F8">
            <w:pPr>
              <w:pStyle w:val="ECCTabletext"/>
              <w:rPr>
                <w:sz w:val="22"/>
              </w:rPr>
            </w:pPr>
            <w:r w:rsidRPr="00DE10F8">
              <w:rPr>
                <w:sz w:val="22"/>
              </w:rPr>
              <w:t>CEPT is represented as IEG WTPF-26 Vice Chair for the sub theme “Strengthening ICT-Centric Innovation Ecosystems and Entrepreneurship: Fostering innovation and supporting entrepreneurial ventures in the ICT sector”.</w:t>
            </w:r>
          </w:p>
          <w:p w14:paraId="44EF4652" w14:textId="77777777" w:rsidR="00DE10F8" w:rsidRPr="00DE10F8" w:rsidRDefault="00DE10F8" w:rsidP="00DE10F8">
            <w:pPr>
              <w:pStyle w:val="ECCTabletext"/>
              <w:rPr>
                <w:sz w:val="22"/>
              </w:rPr>
            </w:pPr>
            <w:r w:rsidRPr="00DE10F8">
              <w:rPr>
                <w:sz w:val="22"/>
              </w:rPr>
              <w:t>The timetable for the development of the report of the Secretary-General to WTPF including the text of the possible draft Opinions as an Annex is listed in Annex 1.</w:t>
            </w:r>
          </w:p>
          <w:p w14:paraId="2A698B1C" w14:textId="77777777" w:rsidR="00DE10F8" w:rsidRPr="00DE10F8" w:rsidRDefault="00DE10F8" w:rsidP="00DE10F8">
            <w:pPr>
              <w:pStyle w:val="ECCTabletext"/>
              <w:rPr>
                <w:sz w:val="22"/>
              </w:rPr>
            </w:pPr>
          </w:p>
          <w:p w14:paraId="2E0A8A6A" w14:textId="77777777" w:rsidR="00DE10F8" w:rsidRPr="00DE10F8" w:rsidRDefault="00DE10F8" w:rsidP="00DE10F8">
            <w:pPr>
              <w:pStyle w:val="ECCTabletext"/>
              <w:rPr>
                <w:sz w:val="22"/>
                <w:u w:val="single"/>
              </w:rPr>
            </w:pPr>
            <w:r w:rsidRPr="00DE10F8">
              <w:rPr>
                <w:sz w:val="22"/>
                <w:u w:val="single"/>
              </w:rPr>
              <w:t>Importance for CEPT Member States</w:t>
            </w:r>
          </w:p>
          <w:p w14:paraId="656CC4CB" w14:textId="77777777" w:rsidR="00DE10F8" w:rsidRPr="00DE10F8" w:rsidRDefault="00DE10F8" w:rsidP="00DE10F8">
            <w:pPr>
              <w:pStyle w:val="ECCTabletext"/>
              <w:rPr>
                <w:sz w:val="22"/>
              </w:rPr>
            </w:pPr>
            <w:r w:rsidRPr="00DE10F8">
              <w:rPr>
                <w:sz w:val="22"/>
              </w:rPr>
              <w:t>The CEPT should develop own positions for several reasons:</w:t>
            </w:r>
          </w:p>
          <w:p w14:paraId="18C69A1B" w14:textId="77777777" w:rsidR="00DE10F8" w:rsidRPr="00DE10F8" w:rsidRDefault="00DE10F8" w:rsidP="00DE10F8">
            <w:pPr>
              <w:pStyle w:val="ECCTabletext"/>
              <w:numPr>
                <w:ilvl w:val="0"/>
                <w:numId w:val="26"/>
              </w:numPr>
              <w:rPr>
                <w:sz w:val="22"/>
              </w:rPr>
            </w:pPr>
            <w:r w:rsidRPr="00DE10F8">
              <w:rPr>
                <w:b/>
                <w:sz w:val="22"/>
              </w:rPr>
              <w:t>WTPF-26 and PP-26:</w:t>
            </w:r>
            <w:r w:rsidRPr="00DE10F8">
              <w:rPr>
                <w:sz w:val="22"/>
              </w:rPr>
              <w:t xml:space="preserve"> The WTPF represents a crucial opportunity to discuss ICT policy issues at a global level, and its proximity to the Plenipotentiary Conference 2026 (PP-26) positions it as a key forum for shaping the agenda and influencing discussions on important and sensitive topics that will be addressed at PP-26. The WTPF's role as a precursor to PP-26 is significant because:</w:t>
            </w:r>
          </w:p>
          <w:p w14:paraId="1612C90A" w14:textId="77777777" w:rsidR="00DE10F8" w:rsidRPr="00DE10F8" w:rsidRDefault="00DE10F8" w:rsidP="00DE10F8">
            <w:pPr>
              <w:pStyle w:val="ECCTabletext"/>
              <w:numPr>
                <w:ilvl w:val="1"/>
                <w:numId w:val="26"/>
              </w:numPr>
              <w:rPr>
                <w:sz w:val="22"/>
              </w:rPr>
            </w:pPr>
            <w:r w:rsidRPr="00DE10F8">
              <w:rPr>
                <w:sz w:val="22"/>
              </w:rPr>
              <w:t>It will cover a broad range of policy areas, including bridging digital divides, green digital transformation, ICT resilience, space connectivity, and strengthening ICT-centric innovation ecosystems.</w:t>
            </w:r>
          </w:p>
          <w:p w14:paraId="69B74631" w14:textId="77777777" w:rsidR="00DE10F8" w:rsidRPr="00DE10F8" w:rsidRDefault="00DE10F8" w:rsidP="00DE10F8">
            <w:pPr>
              <w:pStyle w:val="ECCTabletext"/>
              <w:numPr>
                <w:ilvl w:val="1"/>
                <w:numId w:val="26"/>
              </w:numPr>
              <w:rPr>
                <w:sz w:val="22"/>
              </w:rPr>
            </w:pPr>
            <w:r w:rsidRPr="00DE10F8">
              <w:rPr>
                <w:sz w:val="22"/>
              </w:rPr>
              <w:t>The opinions produced at WTPF-26 can serve as informal reference documents for ITU member states, indicating potential compromises for PP-26 on contentious issues.</w:t>
            </w:r>
          </w:p>
          <w:p w14:paraId="370CC388" w14:textId="77777777" w:rsidR="00DE10F8" w:rsidRPr="00DE10F8" w:rsidRDefault="00DE10F8" w:rsidP="00DE10F8">
            <w:pPr>
              <w:pStyle w:val="ECCTabletext"/>
              <w:numPr>
                <w:ilvl w:val="0"/>
                <w:numId w:val="26"/>
              </w:numPr>
              <w:rPr>
                <w:sz w:val="22"/>
              </w:rPr>
            </w:pPr>
            <w:r w:rsidRPr="00DE10F8">
              <w:rPr>
                <w:b/>
                <w:sz w:val="22"/>
              </w:rPr>
              <w:t>Influence and Representation:</w:t>
            </w:r>
            <w:r w:rsidRPr="00DE10F8">
              <w:rPr>
                <w:sz w:val="22"/>
              </w:rPr>
              <w:t xml:space="preserve"> By forming a unified stance, CEPT Member States can exert greater influence on the global stage, ensuring that European interests and priorities are well-represented in the final outcomes of WTPF-26. The establishment of a CEPT CG allows for efficient burden-sharing amongst administrations in the preparation of coordinated European positions for the WTPF. This enables administrations to actively participate in the preparatory process, contributing to a strong and unified European voice by multi-country contributions.</w:t>
            </w:r>
          </w:p>
          <w:p w14:paraId="7FB60A4D" w14:textId="77777777" w:rsidR="00DE10F8" w:rsidRPr="00DE10F8" w:rsidRDefault="00DE10F8" w:rsidP="00DE10F8">
            <w:pPr>
              <w:pStyle w:val="ECCTabletext"/>
              <w:numPr>
                <w:ilvl w:val="0"/>
                <w:numId w:val="26"/>
              </w:numPr>
              <w:rPr>
                <w:sz w:val="22"/>
              </w:rPr>
            </w:pPr>
            <w:r w:rsidRPr="00DE10F8">
              <w:rPr>
                <w:b/>
                <w:sz w:val="22"/>
              </w:rPr>
              <w:t>Policy Alignment:</w:t>
            </w:r>
            <w:r w:rsidRPr="00DE10F8">
              <w:rPr>
                <w:sz w:val="22"/>
              </w:rPr>
              <w:t xml:space="preserve"> Developing common positions helps align international and multilateral policy discussions at the WTPF with existing national and European frameworks.</w:t>
            </w:r>
          </w:p>
          <w:p w14:paraId="009848FF" w14:textId="05B61A45" w:rsidR="004417A9" w:rsidRPr="00412E5C" w:rsidRDefault="00DE10F8" w:rsidP="00DE10F8">
            <w:pPr>
              <w:pStyle w:val="ECCTabletext"/>
              <w:numPr>
                <w:ilvl w:val="0"/>
                <w:numId w:val="24"/>
              </w:numPr>
              <w:rPr>
                <w:sz w:val="22"/>
              </w:rPr>
            </w:pPr>
            <w:r w:rsidRPr="00DE10F8">
              <w:rPr>
                <w:b/>
                <w:sz w:val="22"/>
              </w:rPr>
              <w:lastRenderedPageBreak/>
              <w:t>Economic and Technological Benefits:</w:t>
            </w:r>
            <w:r w:rsidRPr="00DE10F8">
              <w:rPr>
                <w:sz w:val="22"/>
              </w:rPr>
              <w:t xml:space="preserve"> A coordinated approach can contribute to creating a conducive international policy ecosystem that supports European industrial objectives.</w:t>
            </w:r>
          </w:p>
        </w:tc>
      </w:tr>
    </w:tbl>
    <w:p w14:paraId="2DE15052" w14:textId="24C4F49B" w:rsidR="00384882" w:rsidRDefault="00384882" w:rsidP="00384882">
      <w:pPr>
        <w:pStyle w:val="LightGrid-Accent31"/>
        <w:spacing w:before="0" w:beforeAutospacing="0" w:after="0" w:afterAutospacing="0"/>
        <w:rPr>
          <w:rFonts w:ascii="Verdana" w:eastAsia="Verdana" w:hAnsi="Verdana" w:cs="Verdana"/>
          <w:sz w:val="22"/>
          <w:szCs w:val="22"/>
        </w:rPr>
      </w:pPr>
    </w:p>
    <w:p w14:paraId="3D738B66" w14:textId="77777777" w:rsidR="00CC4B34" w:rsidRPr="005757A7" w:rsidRDefault="00CC4B34" w:rsidP="006C27CB">
      <w:pPr>
        <w:pStyle w:val="ECCAnnexheading1"/>
        <w:rPr>
          <w:lang w:val="en-US"/>
        </w:rPr>
      </w:pPr>
      <w:r w:rsidRPr="005757A7">
        <w:rPr>
          <w:lang w:val="en-US"/>
        </w:rPr>
        <w:lastRenderedPageBreak/>
        <w:t>Timetable for the elaboration of the ITU Secretary-General’s Report</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CC4B34" w:rsidRPr="00A82618" w14:paraId="05295321" w14:textId="77777777" w:rsidTr="004B7058">
        <w:trPr>
          <w:cantSplit/>
          <w:jc w:val="center"/>
        </w:trPr>
        <w:tc>
          <w:tcPr>
            <w:tcW w:w="2151" w:type="dxa"/>
          </w:tcPr>
          <w:p w14:paraId="14B79D7A"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5 August 2024</w:t>
            </w:r>
          </w:p>
        </w:tc>
        <w:tc>
          <w:tcPr>
            <w:tcW w:w="7091" w:type="dxa"/>
          </w:tcPr>
          <w:p w14:paraId="6321077E" w14:textId="77777777" w:rsidR="00CC4B34" w:rsidRPr="00015A3A" w:rsidRDefault="00CC4B34" w:rsidP="004B7058">
            <w:pPr>
              <w:pStyle w:val="Tabletext"/>
              <w:rPr>
                <w:color w:val="AEAAAA" w:themeColor="background2" w:themeShade="BF"/>
              </w:rPr>
            </w:pPr>
            <w:r w:rsidRPr="00015A3A">
              <w:rPr>
                <w:color w:val="AEAAAA" w:themeColor="background2" w:themeShade="BF"/>
              </w:rPr>
              <w:t>A First Draft outline of the Report by the Secretary-General shall be posted online for comments</w:t>
            </w:r>
          </w:p>
        </w:tc>
      </w:tr>
      <w:tr w:rsidR="00CC4B34" w:rsidRPr="00A82618" w14:paraId="1F7C9E80" w14:textId="77777777" w:rsidTr="004B7058">
        <w:trPr>
          <w:cantSplit/>
          <w:jc w:val="center"/>
        </w:trPr>
        <w:tc>
          <w:tcPr>
            <w:tcW w:w="2151" w:type="dxa"/>
          </w:tcPr>
          <w:p w14:paraId="1D66D11D"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26 August 2024</w:t>
            </w:r>
          </w:p>
        </w:tc>
        <w:tc>
          <w:tcPr>
            <w:tcW w:w="7091" w:type="dxa"/>
          </w:tcPr>
          <w:p w14:paraId="0C70FAE3" w14:textId="77777777" w:rsidR="00CC4B34" w:rsidRPr="00015A3A" w:rsidRDefault="00CC4B34" w:rsidP="004B7058">
            <w:pPr>
              <w:pStyle w:val="Tabletext"/>
              <w:rPr>
                <w:color w:val="AEAAAA" w:themeColor="background2" w:themeShade="BF"/>
              </w:rPr>
            </w:pPr>
            <w:r w:rsidRPr="00015A3A">
              <w:rPr>
                <w:color w:val="AEAAAA" w:themeColor="background2" w:themeShade="BF"/>
              </w:rPr>
              <w:t>Deadline for receipt of comments on the First Draft, and for contribution on outlines for possible draft opinions</w:t>
            </w:r>
          </w:p>
          <w:p w14:paraId="65559687" w14:textId="77777777" w:rsidR="00CC4B34" w:rsidRPr="00015A3A" w:rsidRDefault="00CC4B34" w:rsidP="004B7058">
            <w:pPr>
              <w:pStyle w:val="Tabletext"/>
              <w:rPr>
                <w:color w:val="AEAAAA" w:themeColor="background2" w:themeShade="BF"/>
              </w:rPr>
            </w:pPr>
            <w:r w:rsidRPr="00015A3A">
              <w:rPr>
                <w:color w:val="AEAAAA" w:themeColor="background2" w:themeShade="BF"/>
              </w:rPr>
              <w:t>Deadline for nominations for a balanced group of experts to advise the Secretary-General on further elaboration of the report and of draft opinions associated with it</w:t>
            </w:r>
          </w:p>
        </w:tc>
      </w:tr>
      <w:tr w:rsidR="00CC4B34" w:rsidRPr="00A82618" w14:paraId="6DD73971" w14:textId="77777777" w:rsidTr="004B7058">
        <w:trPr>
          <w:cantSplit/>
          <w:jc w:val="center"/>
        </w:trPr>
        <w:tc>
          <w:tcPr>
            <w:tcW w:w="2151" w:type="dxa"/>
          </w:tcPr>
          <w:p w14:paraId="0AD945BB"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1st IEG Meeting (7-8 October 2024 during the CWG cluster)</w:t>
            </w:r>
          </w:p>
        </w:tc>
        <w:tc>
          <w:tcPr>
            <w:tcW w:w="7091" w:type="dxa"/>
          </w:tcPr>
          <w:p w14:paraId="4C54D75F" w14:textId="77777777" w:rsidR="00CC4B34" w:rsidRPr="00015A3A" w:rsidRDefault="00CC4B34" w:rsidP="004B7058">
            <w:pPr>
              <w:pStyle w:val="Tabletext"/>
              <w:rPr>
                <w:color w:val="AEAAAA" w:themeColor="background2" w:themeShade="BF"/>
              </w:rPr>
            </w:pPr>
            <w:r w:rsidRPr="00015A3A">
              <w:rPr>
                <w:color w:val="AEAAAA" w:themeColor="background2" w:themeShade="BF"/>
              </w:rPr>
              <w:t>First meeting of the group of experts to discuss the First Draft of the report by the Secretary-General and the comments received</w:t>
            </w:r>
          </w:p>
        </w:tc>
      </w:tr>
      <w:tr w:rsidR="00CC4B34" w:rsidRPr="00A82618" w14:paraId="52895EAD" w14:textId="77777777" w:rsidTr="004B7058">
        <w:trPr>
          <w:cantSplit/>
          <w:jc w:val="center"/>
        </w:trPr>
        <w:tc>
          <w:tcPr>
            <w:tcW w:w="2151" w:type="dxa"/>
          </w:tcPr>
          <w:p w14:paraId="74C38D66"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18 November 2024</w:t>
            </w:r>
          </w:p>
        </w:tc>
        <w:tc>
          <w:tcPr>
            <w:tcW w:w="7091" w:type="dxa"/>
          </w:tcPr>
          <w:p w14:paraId="0D146AE2" w14:textId="77777777" w:rsidR="00CC4B34" w:rsidRPr="00015A3A" w:rsidRDefault="00CC4B34" w:rsidP="004B7058">
            <w:pPr>
              <w:pStyle w:val="Tabletext"/>
              <w:rPr>
                <w:color w:val="AEAAAA" w:themeColor="background2" w:themeShade="BF"/>
              </w:rPr>
            </w:pPr>
            <w:r w:rsidRPr="00015A3A">
              <w:rPr>
                <w:color w:val="AEAAAA" w:themeColor="background2" w:themeShade="BF"/>
              </w:rPr>
              <w:t>The Second Draft of the report by the Secretary-General will be posted online, incorporating discussions from the 1st IEG meeting and including outlines of draft Opinions</w:t>
            </w:r>
          </w:p>
          <w:p w14:paraId="63551812" w14:textId="77777777" w:rsidR="00CC4B34" w:rsidRPr="00015A3A" w:rsidRDefault="00CC4B34" w:rsidP="004B7058">
            <w:pPr>
              <w:pStyle w:val="Tabletext"/>
              <w:rPr>
                <w:color w:val="AEAAAA" w:themeColor="background2" w:themeShade="BF"/>
              </w:rPr>
            </w:pPr>
            <w:r w:rsidRPr="00015A3A">
              <w:rPr>
                <w:color w:val="AEAAAA" w:themeColor="background2" w:themeShade="BF"/>
              </w:rPr>
              <w:t>This draft will also be made available online for open public consultations</w:t>
            </w:r>
          </w:p>
        </w:tc>
      </w:tr>
      <w:tr w:rsidR="00CC4B34" w:rsidRPr="00A82618" w14:paraId="280F7369" w14:textId="77777777" w:rsidTr="004B7058">
        <w:trPr>
          <w:cantSplit/>
          <w:jc w:val="center"/>
        </w:trPr>
        <w:tc>
          <w:tcPr>
            <w:tcW w:w="2151" w:type="dxa"/>
          </w:tcPr>
          <w:p w14:paraId="7B020183"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13 January 2024</w:t>
            </w:r>
          </w:p>
        </w:tc>
        <w:tc>
          <w:tcPr>
            <w:tcW w:w="7091" w:type="dxa"/>
          </w:tcPr>
          <w:p w14:paraId="170109A9" w14:textId="77777777" w:rsidR="00CC4B34" w:rsidRPr="00015A3A" w:rsidRDefault="00CC4B34" w:rsidP="004B7058">
            <w:pPr>
              <w:pStyle w:val="Tabletext"/>
              <w:rPr>
                <w:color w:val="AEAAAA" w:themeColor="background2" w:themeShade="BF"/>
              </w:rPr>
            </w:pPr>
            <w:r w:rsidRPr="00015A3A">
              <w:rPr>
                <w:color w:val="AEAAAA" w:themeColor="background2" w:themeShade="BF"/>
              </w:rPr>
              <w:t>Deadline for receipt of comments on the Second Draft and for contribution on possible draft Opinions</w:t>
            </w:r>
          </w:p>
          <w:p w14:paraId="1DDC50AB" w14:textId="77777777" w:rsidR="00CC4B34" w:rsidRPr="00015A3A" w:rsidRDefault="00CC4B34" w:rsidP="004B7058">
            <w:pPr>
              <w:pStyle w:val="Tabletext"/>
              <w:rPr>
                <w:color w:val="AEAAAA" w:themeColor="background2" w:themeShade="BF"/>
              </w:rPr>
            </w:pPr>
            <w:r w:rsidRPr="00015A3A">
              <w:rPr>
                <w:color w:val="AEAAAA" w:themeColor="background2" w:themeShade="BF"/>
              </w:rPr>
              <w:t>Deadline for inputs from the open public consultations</w:t>
            </w:r>
          </w:p>
        </w:tc>
      </w:tr>
      <w:tr w:rsidR="00CC4B34" w:rsidRPr="00A82618" w14:paraId="1F4AD060" w14:textId="77777777" w:rsidTr="004B7058">
        <w:trPr>
          <w:cantSplit/>
          <w:jc w:val="center"/>
        </w:trPr>
        <w:tc>
          <w:tcPr>
            <w:tcW w:w="2151" w:type="dxa"/>
          </w:tcPr>
          <w:p w14:paraId="73CB3AF7" w14:textId="77777777" w:rsidR="00CC4B34" w:rsidRPr="00015A3A" w:rsidRDefault="00CC4B34" w:rsidP="004B7058">
            <w:pPr>
              <w:pStyle w:val="Tabletext"/>
              <w:rPr>
                <w:b/>
                <w:bCs/>
                <w:color w:val="AEAAAA" w:themeColor="background2" w:themeShade="BF"/>
              </w:rPr>
            </w:pPr>
            <w:r w:rsidRPr="00015A3A">
              <w:rPr>
                <w:b/>
                <w:bCs/>
                <w:color w:val="AEAAAA" w:themeColor="background2" w:themeShade="BF"/>
              </w:rPr>
              <w:t>2nd IEG Meeting (February 2025 during the CWG cluster)</w:t>
            </w:r>
          </w:p>
        </w:tc>
        <w:tc>
          <w:tcPr>
            <w:tcW w:w="7091" w:type="dxa"/>
          </w:tcPr>
          <w:p w14:paraId="56A1FBEE" w14:textId="77777777" w:rsidR="00CC4B34" w:rsidRPr="00015A3A" w:rsidRDefault="00CC4B34" w:rsidP="004B7058">
            <w:pPr>
              <w:pStyle w:val="Tabletext"/>
              <w:rPr>
                <w:color w:val="AEAAAA" w:themeColor="background2" w:themeShade="BF"/>
              </w:rPr>
            </w:pPr>
            <w:r w:rsidRPr="00015A3A">
              <w:rPr>
                <w:color w:val="AEAAAA" w:themeColor="background2" w:themeShade="BF"/>
              </w:rPr>
              <w:t>Second meeting of the group of experts to discuss the Second Draft of the report by the Secretary-General as well as the possible draft Opinions and the comments received, including from the open public consultation</w:t>
            </w:r>
          </w:p>
        </w:tc>
      </w:tr>
      <w:tr w:rsidR="00CC4B34" w:rsidRPr="00A82618" w14:paraId="0E5B16BC" w14:textId="77777777" w:rsidTr="004B7058">
        <w:trPr>
          <w:cantSplit/>
          <w:jc w:val="center"/>
        </w:trPr>
        <w:tc>
          <w:tcPr>
            <w:tcW w:w="2151" w:type="dxa"/>
          </w:tcPr>
          <w:p w14:paraId="1428B078" w14:textId="77777777" w:rsidR="00CC4B34" w:rsidRPr="00A82618" w:rsidRDefault="00CC4B34" w:rsidP="004B7058">
            <w:pPr>
              <w:pStyle w:val="Tabletext"/>
              <w:rPr>
                <w:b/>
                <w:bCs/>
              </w:rPr>
            </w:pPr>
            <w:r w:rsidRPr="00A82618">
              <w:rPr>
                <w:b/>
                <w:bCs/>
              </w:rPr>
              <w:t>31 March 2025</w:t>
            </w:r>
          </w:p>
        </w:tc>
        <w:tc>
          <w:tcPr>
            <w:tcW w:w="7091" w:type="dxa"/>
          </w:tcPr>
          <w:p w14:paraId="7806AAE8" w14:textId="77777777" w:rsidR="00CC4B34" w:rsidRPr="00A82618" w:rsidRDefault="00CC4B34" w:rsidP="004B7058">
            <w:pPr>
              <w:pStyle w:val="Tabletext"/>
            </w:pPr>
            <w:r w:rsidRPr="00A82618">
              <w:t>The Third Draft of the report by the Secretary-General will be posted online, incorporating discussions from the 2nd IEG meeting, and including the text of the possible draft Opinions as an Annex</w:t>
            </w:r>
          </w:p>
          <w:p w14:paraId="32D772C7" w14:textId="77777777" w:rsidR="00CC4B34" w:rsidRPr="00A82618" w:rsidRDefault="00CC4B34" w:rsidP="004B7058">
            <w:pPr>
              <w:pStyle w:val="Tabletext"/>
            </w:pPr>
            <w:r w:rsidRPr="00A82618">
              <w:t>This draft will also be made available online for open public consultations.</w:t>
            </w:r>
          </w:p>
        </w:tc>
      </w:tr>
      <w:tr w:rsidR="00CC4B34" w:rsidRPr="00A82618" w14:paraId="38DFC969" w14:textId="77777777" w:rsidTr="004B7058">
        <w:trPr>
          <w:cantSplit/>
          <w:jc w:val="center"/>
        </w:trPr>
        <w:tc>
          <w:tcPr>
            <w:tcW w:w="2151" w:type="dxa"/>
          </w:tcPr>
          <w:p w14:paraId="5783E6FD" w14:textId="77777777" w:rsidR="00CC4B34" w:rsidRPr="00A82618" w:rsidRDefault="00CC4B34" w:rsidP="004B7058">
            <w:pPr>
              <w:pStyle w:val="Tabletext"/>
              <w:rPr>
                <w:b/>
                <w:bCs/>
              </w:rPr>
            </w:pPr>
            <w:r w:rsidRPr="00A82618">
              <w:rPr>
                <w:b/>
                <w:bCs/>
              </w:rPr>
              <w:t>16 June 2025</w:t>
            </w:r>
          </w:p>
        </w:tc>
        <w:tc>
          <w:tcPr>
            <w:tcW w:w="7091" w:type="dxa"/>
          </w:tcPr>
          <w:p w14:paraId="7A4156B1" w14:textId="77777777" w:rsidR="00CC4B34" w:rsidRPr="00A82618" w:rsidRDefault="00CC4B34" w:rsidP="004B7058">
            <w:pPr>
              <w:pStyle w:val="Tabletext"/>
            </w:pPr>
            <w:r w:rsidRPr="00A82618">
              <w:t>Deadline for receipt of comments on the Third Draft, including the possible draft Opinions</w:t>
            </w:r>
          </w:p>
          <w:p w14:paraId="37A7BBE3" w14:textId="77777777" w:rsidR="00CC4B34" w:rsidRPr="00A82618" w:rsidRDefault="00CC4B34" w:rsidP="004B7058">
            <w:pPr>
              <w:pStyle w:val="Tabletext"/>
            </w:pPr>
            <w:r w:rsidRPr="00A82618">
              <w:t>Deadline for receipt of comments from the open public consultation</w:t>
            </w:r>
          </w:p>
        </w:tc>
      </w:tr>
      <w:tr w:rsidR="00CC4B34" w:rsidRPr="00A82618" w14:paraId="7EBAE3A7" w14:textId="77777777" w:rsidTr="004B7058">
        <w:trPr>
          <w:cantSplit/>
          <w:jc w:val="center"/>
        </w:trPr>
        <w:tc>
          <w:tcPr>
            <w:tcW w:w="2151" w:type="dxa"/>
          </w:tcPr>
          <w:p w14:paraId="7C3E81BB" w14:textId="77777777" w:rsidR="00CC4B34" w:rsidRPr="00A82618" w:rsidRDefault="00CC4B34" w:rsidP="004B7058">
            <w:pPr>
              <w:pStyle w:val="Tabletext"/>
              <w:rPr>
                <w:b/>
                <w:bCs/>
              </w:rPr>
            </w:pPr>
            <w:r w:rsidRPr="00A82618">
              <w:rPr>
                <w:b/>
                <w:bCs/>
              </w:rPr>
              <w:t>3rd IEG Meeting (September 2025 during the CWG cluster)</w:t>
            </w:r>
          </w:p>
        </w:tc>
        <w:tc>
          <w:tcPr>
            <w:tcW w:w="7091" w:type="dxa"/>
          </w:tcPr>
          <w:p w14:paraId="0503D2CE" w14:textId="77777777" w:rsidR="00CC4B34" w:rsidRPr="00A82618" w:rsidRDefault="00CC4B34" w:rsidP="004B7058">
            <w:pPr>
              <w:pStyle w:val="Tabletext"/>
            </w:pPr>
            <w:r w:rsidRPr="00A82618">
              <w:t>Third meeting of the group of experts to discuss the Third Draft of the report by the Secretary-General as well as the draft Opinions and the comments received, including from the open public consultation</w:t>
            </w:r>
          </w:p>
        </w:tc>
      </w:tr>
      <w:tr w:rsidR="00CC4B34" w:rsidRPr="00A82618" w14:paraId="6518BD08" w14:textId="77777777" w:rsidTr="004B7058">
        <w:trPr>
          <w:cantSplit/>
          <w:jc w:val="center"/>
        </w:trPr>
        <w:tc>
          <w:tcPr>
            <w:tcW w:w="2151" w:type="dxa"/>
          </w:tcPr>
          <w:p w14:paraId="62BC6E0F" w14:textId="77777777" w:rsidR="00CC4B34" w:rsidRPr="00A82618" w:rsidRDefault="00CC4B34" w:rsidP="004B7058">
            <w:pPr>
              <w:pStyle w:val="Tabletext"/>
              <w:rPr>
                <w:b/>
                <w:bCs/>
              </w:rPr>
            </w:pPr>
            <w:r w:rsidRPr="00A82618">
              <w:rPr>
                <w:b/>
                <w:bCs/>
              </w:rPr>
              <w:t>3 November 2025</w:t>
            </w:r>
          </w:p>
        </w:tc>
        <w:tc>
          <w:tcPr>
            <w:tcW w:w="7091" w:type="dxa"/>
          </w:tcPr>
          <w:p w14:paraId="71D720F8" w14:textId="77777777" w:rsidR="00CC4B34" w:rsidRPr="00A82618" w:rsidRDefault="00CC4B34" w:rsidP="004B7058">
            <w:pPr>
              <w:pStyle w:val="Tabletext"/>
            </w:pPr>
            <w:r w:rsidRPr="00A82618">
              <w:t>The Fourth Draft of the report by the Secretary-General will be posted online, incorporating discussions from the 3rd IEG meeting and including the draft Opinions as an Annex</w:t>
            </w:r>
          </w:p>
        </w:tc>
      </w:tr>
      <w:tr w:rsidR="00CC4B34" w:rsidRPr="00A82618" w14:paraId="0F21EEFB" w14:textId="77777777" w:rsidTr="004B7058">
        <w:trPr>
          <w:cantSplit/>
          <w:jc w:val="center"/>
        </w:trPr>
        <w:tc>
          <w:tcPr>
            <w:tcW w:w="2151" w:type="dxa"/>
          </w:tcPr>
          <w:p w14:paraId="0118CE53" w14:textId="77777777" w:rsidR="00CC4B34" w:rsidRPr="00A82618" w:rsidRDefault="00CC4B34" w:rsidP="004B7058">
            <w:pPr>
              <w:pStyle w:val="Tabletext"/>
              <w:rPr>
                <w:b/>
                <w:bCs/>
              </w:rPr>
            </w:pPr>
            <w:r w:rsidRPr="00A82618">
              <w:rPr>
                <w:b/>
                <w:bCs/>
              </w:rPr>
              <w:t>19 December 2025</w:t>
            </w:r>
          </w:p>
        </w:tc>
        <w:tc>
          <w:tcPr>
            <w:tcW w:w="7091" w:type="dxa"/>
          </w:tcPr>
          <w:p w14:paraId="2FB007A4" w14:textId="77777777" w:rsidR="00CC4B34" w:rsidRPr="00A82618" w:rsidRDefault="00CC4B34" w:rsidP="004B7058">
            <w:pPr>
              <w:pStyle w:val="Tabletext"/>
            </w:pPr>
            <w:r w:rsidRPr="00A82618">
              <w:t>Deadline for receipt of comments on the Fourth Draft, including the text of the draft Opinions</w:t>
            </w:r>
          </w:p>
        </w:tc>
      </w:tr>
      <w:tr w:rsidR="00CC4B34" w:rsidRPr="00A82618" w14:paraId="6FC4B25B" w14:textId="77777777" w:rsidTr="004B7058">
        <w:trPr>
          <w:cantSplit/>
          <w:jc w:val="center"/>
        </w:trPr>
        <w:tc>
          <w:tcPr>
            <w:tcW w:w="2151" w:type="dxa"/>
          </w:tcPr>
          <w:p w14:paraId="23D9CE57" w14:textId="77777777" w:rsidR="00CC4B34" w:rsidRPr="00A82618" w:rsidRDefault="00CC4B34" w:rsidP="004B7058">
            <w:pPr>
              <w:pStyle w:val="Tabletext"/>
              <w:rPr>
                <w:b/>
                <w:bCs/>
              </w:rPr>
            </w:pPr>
            <w:r w:rsidRPr="00A82618">
              <w:rPr>
                <w:b/>
                <w:bCs/>
              </w:rPr>
              <w:t>4th IEG Virtual Meeting (February 2026 during the CWG cluster)</w:t>
            </w:r>
          </w:p>
        </w:tc>
        <w:tc>
          <w:tcPr>
            <w:tcW w:w="7091" w:type="dxa"/>
          </w:tcPr>
          <w:p w14:paraId="75CDB5CF" w14:textId="77777777" w:rsidR="00CC4B34" w:rsidRPr="00A82618" w:rsidRDefault="00CC4B34" w:rsidP="004B7058">
            <w:pPr>
              <w:pStyle w:val="Tabletext"/>
            </w:pPr>
            <w:r w:rsidRPr="00A82618">
              <w:t>Fourth meeting of the group of experts to finalize the Draft Report by the Secretary-General, including the final text of the draft Opinions to be submitted to the seventh WTPF</w:t>
            </w:r>
          </w:p>
        </w:tc>
      </w:tr>
      <w:tr w:rsidR="00CC4B34" w:rsidRPr="00A82618" w14:paraId="1FD2DA31" w14:textId="77777777" w:rsidTr="004B7058">
        <w:trPr>
          <w:cantSplit/>
          <w:jc w:val="center"/>
        </w:trPr>
        <w:tc>
          <w:tcPr>
            <w:tcW w:w="2151" w:type="dxa"/>
          </w:tcPr>
          <w:p w14:paraId="67FB41B8" w14:textId="77777777" w:rsidR="00CC4B34" w:rsidRPr="00A82618" w:rsidRDefault="00CC4B34" w:rsidP="004B7058">
            <w:pPr>
              <w:pStyle w:val="Tabletext"/>
              <w:rPr>
                <w:b/>
                <w:bCs/>
              </w:rPr>
            </w:pPr>
            <w:r w:rsidRPr="00A82618">
              <w:rPr>
                <w:b/>
                <w:bCs/>
              </w:rPr>
              <w:lastRenderedPageBreak/>
              <w:t>13 April 2026</w:t>
            </w:r>
          </w:p>
        </w:tc>
        <w:tc>
          <w:tcPr>
            <w:tcW w:w="7091" w:type="dxa"/>
          </w:tcPr>
          <w:p w14:paraId="2D152901" w14:textId="77777777" w:rsidR="00CC4B34" w:rsidRPr="00A82618" w:rsidRDefault="00CC4B34" w:rsidP="004B7058">
            <w:pPr>
              <w:pStyle w:val="Tabletext"/>
            </w:pPr>
            <w:r w:rsidRPr="00A82618">
              <w:t>The final report of the Secretary-General to WTPF will be posted online, including the draft Opinions</w:t>
            </w:r>
          </w:p>
        </w:tc>
      </w:tr>
      <w:tr w:rsidR="00CC4B34" w:rsidRPr="00A82618" w14:paraId="2D6647F6" w14:textId="77777777" w:rsidTr="004B7058">
        <w:trPr>
          <w:cantSplit/>
          <w:jc w:val="center"/>
        </w:trPr>
        <w:tc>
          <w:tcPr>
            <w:tcW w:w="2151" w:type="dxa"/>
          </w:tcPr>
          <w:p w14:paraId="77094092" w14:textId="77777777" w:rsidR="00CC4B34" w:rsidRPr="00A82618" w:rsidRDefault="00CC4B34" w:rsidP="004B7058">
            <w:pPr>
              <w:pStyle w:val="Tabletext"/>
              <w:rPr>
                <w:b/>
                <w:bCs/>
              </w:rPr>
            </w:pPr>
            <w:r w:rsidRPr="00A82618">
              <w:rPr>
                <w:b/>
                <w:bCs/>
              </w:rPr>
              <w:t>First half of 2026</w:t>
            </w:r>
          </w:p>
        </w:tc>
        <w:tc>
          <w:tcPr>
            <w:tcW w:w="7091" w:type="dxa"/>
          </w:tcPr>
          <w:p w14:paraId="38FF18C6" w14:textId="77777777" w:rsidR="00CC4B34" w:rsidRPr="00A82618" w:rsidRDefault="00CC4B34" w:rsidP="004B7058">
            <w:pPr>
              <w:pStyle w:val="Tabletext"/>
            </w:pPr>
            <w:r w:rsidRPr="00A82618">
              <w:t>Seventh World Telecommunication/Information and Communication Technology Policy Forum</w:t>
            </w:r>
          </w:p>
        </w:tc>
      </w:tr>
    </w:tbl>
    <w:p w14:paraId="5D6280AC" w14:textId="0D1BA8D3" w:rsidR="00CC4B34" w:rsidRPr="00CC4B34" w:rsidRDefault="006C27CB" w:rsidP="00384882">
      <w:pPr>
        <w:pStyle w:val="LightGrid-Accent31"/>
        <w:spacing w:before="0" w:beforeAutospacing="0" w:after="0" w:afterAutospacing="0"/>
        <w:rPr>
          <w:rFonts w:ascii="Verdana" w:eastAsia="Verdana" w:hAnsi="Verdana" w:cs="Verdana"/>
          <w:sz w:val="22"/>
          <w:szCs w:val="22"/>
          <w:lang w:val="en-GB"/>
        </w:rPr>
      </w:pPr>
      <w:r w:rsidRPr="00682953">
        <w:rPr>
          <w:rFonts w:ascii="Verdana" w:eastAsia="Verdana" w:hAnsi="Verdana" w:cs="Verdana"/>
          <w:sz w:val="22"/>
          <w:szCs w:val="22"/>
          <w:u w:val="single"/>
          <w:lang w:val="en-GB"/>
        </w:rPr>
        <w:t>Source:</w:t>
      </w:r>
      <w:r>
        <w:rPr>
          <w:rFonts w:ascii="Verdana" w:eastAsia="Verdana" w:hAnsi="Verdana" w:cs="Verdana"/>
          <w:sz w:val="22"/>
          <w:szCs w:val="22"/>
          <w:lang w:val="en-GB"/>
        </w:rPr>
        <w:t xml:space="preserve"> ITU</w:t>
      </w:r>
      <w:r w:rsidR="00447E7D">
        <w:rPr>
          <w:rFonts w:ascii="Verdana" w:eastAsia="Verdana" w:hAnsi="Verdana" w:cs="Verdana"/>
          <w:sz w:val="22"/>
          <w:szCs w:val="22"/>
          <w:lang w:val="en-GB"/>
        </w:rPr>
        <w:t xml:space="preserve"> Council </w:t>
      </w:r>
      <w:r w:rsidR="00447E7D" w:rsidRPr="00447E7D">
        <w:rPr>
          <w:rFonts w:ascii="Verdana" w:eastAsia="Verdana" w:hAnsi="Verdana" w:cs="Verdana"/>
          <w:sz w:val="22"/>
          <w:szCs w:val="22"/>
          <w:lang w:val="en-GB"/>
        </w:rPr>
        <w:t>D</w:t>
      </w:r>
      <w:r w:rsidR="00447E7D">
        <w:rPr>
          <w:rFonts w:ascii="Verdana" w:eastAsia="Verdana" w:hAnsi="Verdana" w:cs="Verdana"/>
          <w:sz w:val="22"/>
          <w:szCs w:val="22"/>
          <w:lang w:val="en-GB"/>
        </w:rPr>
        <w:t>ecision</w:t>
      </w:r>
      <w:r w:rsidR="00447E7D" w:rsidRPr="00447E7D">
        <w:rPr>
          <w:rFonts w:ascii="Verdana" w:eastAsia="Verdana" w:hAnsi="Verdana" w:cs="Verdana"/>
          <w:sz w:val="22"/>
          <w:szCs w:val="22"/>
          <w:lang w:val="en-GB"/>
        </w:rPr>
        <w:t xml:space="preserve"> 641</w:t>
      </w:r>
      <w:r w:rsidR="00447E7D">
        <w:rPr>
          <w:rFonts w:ascii="Verdana" w:eastAsia="Verdana" w:hAnsi="Verdana" w:cs="Verdana"/>
          <w:sz w:val="22"/>
          <w:szCs w:val="22"/>
          <w:lang w:val="en-GB"/>
        </w:rPr>
        <w:t xml:space="preserve">, </w:t>
      </w:r>
      <w:r w:rsidR="00FE54A9">
        <w:rPr>
          <w:rFonts w:ascii="Verdana" w:eastAsia="Verdana" w:hAnsi="Verdana" w:cs="Verdana"/>
          <w:sz w:val="22"/>
          <w:szCs w:val="22"/>
          <w:lang w:val="en-GB"/>
        </w:rPr>
        <w:t>time</w:t>
      </w:r>
      <w:r w:rsidR="00447E7D">
        <w:rPr>
          <w:rFonts w:ascii="Verdana" w:eastAsia="Verdana" w:hAnsi="Verdana" w:cs="Verdana"/>
          <w:sz w:val="22"/>
          <w:szCs w:val="22"/>
          <w:lang w:val="en-GB"/>
        </w:rPr>
        <w:t xml:space="preserve">table updated </w:t>
      </w:r>
      <w:r w:rsidR="00FE54A9">
        <w:rPr>
          <w:rFonts w:ascii="Verdana" w:eastAsia="Verdana" w:hAnsi="Verdana" w:cs="Verdana"/>
          <w:sz w:val="22"/>
          <w:szCs w:val="22"/>
          <w:lang w:val="en-GB"/>
        </w:rPr>
        <w:t>and agreed at IEG WTPF-26 meeting 7-8 October 2024 in Geneva.</w:t>
      </w:r>
    </w:p>
    <w:sectPr w:rsidR="00CC4B34" w:rsidRPr="00CC4B34" w:rsidSect="00557C64">
      <w:pgSz w:w="12240" w:h="15840"/>
      <w:pgMar w:top="709" w:right="1467"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EEB8" w14:textId="77777777" w:rsidR="00550B21" w:rsidRDefault="00550B21" w:rsidP="008A0AC8">
      <w:r>
        <w:separator/>
      </w:r>
    </w:p>
  </w:endnote>
  <w:endnote w:type="continuationSeparator" w:id="0">
    <w:p w14:paraId="06AD082B" w14:textId="77777777" w:rsidR="00550B21" w:rsidRDefault="00550B21" w:rsidP="008A0AC8">
      <w:r>
        <w:continuationSeparator/>
      </w:r>
    </w:p>
  </w:endnote>
  <w:endnote w:type="continuationNotice" w:id="1">
    <w:p w14:paraId="3D3ACA46" w14:textId="77777777" w:rsidR="00550B21" w:rsidRDefault="0055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80E7" w14:textId="77777777" w:rsidR="00550B21" w:rsidRDefault="00550B21" w:rsidP="008A0AC8">
      <w:r>
        <w:separator/>
      </w:r>
    </w:p>
  </w:footnote>
  <w:footnote w:type="continuationSeparator" w:id="0">
    <w:p w14:paraId="236628FB" w14:textId="77777777" w:rsidR="00550B21" w:rsidRDefault="00550B21" w:rsidP="008A0AC8">
      <w:r>
        <w:continuationSeparator/>
      </w:r>
    </w:p>
  </w:footnote>
  <w:footnote w:type="continuationNotice" w:id="1">
    <w:p w14:paraId="03EAD2FC" w14:textId="77777777" w:rsidR="00550B21" w:rsidRDefault="00550B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319"/>
    <w:multiLevelType w:val="multilevel"/>
    <w:tmpl w:val="BD8E7A0E"/>
    <w:lvl w:ilvl="0">
      <w:start w:val="1"/>
      <w:numFmt w:val="decimal"/>
      <w:lvlText w:val="%1."/>
      <w:lvlJc w:val="left"/>
      <w:pPr>
        <w:ind w:left="360" w:hanging="360"/>
      </w:pPr>
      <w:rPr>
        <w:rFonts w:hint="default"/>
        <w:i w:val="0"/>
        <w:iCs w:val="0"/>
      </w:rPr>
    </w:lvl>
    <w:lvl w:ilvl="1">
      <w:start w:val="22"/>
      <w:numFmt w:val="bullet"/>
      <w:lvlText w:val="-"/>
      <w:lvlJc w:val="left"/>
      <w:pPr>
        <w:ind w:left="720" w:hanging="360"/>
      </w:pPr>
      <w:rPr>
        <w:rFonts w:ascii="Calibri" w:eastAsia="SimSun" w:hAnsi="Calibri" w:cs="Calibri"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C2865"/>
    <w:multiLevelType w:val="multilevel"/>
    <w:tmpl w:val="8A36D60E"/>
    <w:lvl w:ilvl="0">
      <w:start w:val="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E00A1"/>
    <w:multiLevelType w:val="multilevel"/>
    <w:tmpl w:val="482AF570"/>
    <w:lvl w:ilvl="0">
      <w:start w:val="1"/>
      <w:numFmt w:val="decimal"/>
      <w:lvlText w:val="%1."/>
      <w:lvlJc w:val="left"/>
      <w:pPr>
        <w:ind w:left="360" w:hanging="360"/>
      </w:pPr>
      <w:rPr>
        <w:rFonts w:hint="default"/>
        <w:i w:val="0"/>
        <w:iCs w:val="0"/>
      </w:rPr>
    </w:lvl>
    <w:lvl w:ilvl="1">
      <w:start w:val="22"/>
      <w:numFmt w:val="bullet"/>
      <w:lvlText w:val="-"/>
      <w:lvlJc w:val="left"/>
      <w:pPr>
        <w:ind w:left="720" w:hanging="360"/>
      </w:pPr>
      <w:rPr>
        <w:rFonts w:ascii="Calibri" w:eastAsia="SimSun"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87D46"/>
    <w:multiLevelType w:val="hybridMultilevel"/>
    <w:tmpl w:val="8AF41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594E6A"/>
    <w:multiLevelType w:val="hybridMultilevel"/>
    <w:tmpl w:val="EE1EA920"/>
    <w:lvl w:ilvl="0" w:tplc="4790C9CA">
      <w:start w:val="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6323"/>
    <w:multiLevelType w:val="hybridMultilevel"/>
    <w:tmpl w:val="EC646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F4188"/>
    <w:multiLevelType w:val="multilevel"/>
    <w:tmpl w:val="A436549C"/>
    <w:lvl w:ilvl="0">
      <w:start w:val="1"/>
      <w:numFmt w:val="decimal"/>
      <w:pStyle w:val="ECCAnnexheading1"/>
      <w:suff w:val="space"/>
      <w:lvlText w:val="ANNEX %1:"/>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1004"/>
        </w:tabs>
        <w:ind w:left="1004"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8" w15:restartNumberingAfterBreak="0">
    <w:nsid w:val="23535B7D"/>
    <w:multiLevelType w:val="hybridMultilevel"/>
    <w:tmpl w:val="4364B2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F5A46"/>
    <w:multiLevelType w:val="hybridMultilevel"/>
    <w:tmpl w:val="9AFE8BCE"/>
    <w:lvl w:ilvl="0" w:tplc="E40AEF0E">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C4E7C"/>
    <w:multiLevelType w:val="multilevel"/>
    <w:tmpl w:val="BD8E7A0E"/>
    <w:lvl w:ilvl="0">
      <w:start w:val="1"/>
      <w:numFmt w:val="decimal"/>
      <w:lvlText w:val="%1."/>
      <w:lvlJc w:val="left"/>
      <w:pPr>
        <w:ind w:left="360" w:hanging="360"/>
      </w:pPr>
      <w:rPr>
        <w:rFonts w:hint="default"/>
        <w:i w:val="0"/>
        <w:iCs w:val="0"/>
      </w:rPr>
    </w:lvl>
    <w:lvl w:ilvl="1">
      <w:start w:val="22"/>
      <w:numFmt w:val="bullet"/>
      <w:lvlText w:val="-"/>
      <w:lvlJc w:val="left"/>
      <w:pPr>
        <w:ind w:left="720" w:hanging="360"/>
      </w:pPr>
      <w:rPr>
        <w:rFonts w:ascii="Calibri" w:eastAsia="SimSun" w:hAnsi="Calibri" w:cs="Calibri"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E02C11"/>
    <w:multiLevelType w:val="multilevel"/>
    <w:tmpl w:val="8E4A2DF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A330B6"/>
    <w:multiLevelType w:val="hybridMultilevel"/>
    <w:tmpl w:val="5CACA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657"/>
    <w:multiLevelType w:val="hybridMultilevel"/>
    <w:tmpl w:val="FD8690EE"/>
    <w:lvl w:ilvl="0" w:tplc="DD884BE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72F6B"/>
    <w:multiLevelType w:val="hybridMultilevel"/>
    <w:tmpl w:val="B6AECCCA"/>
    <w:lvl w:ilvl="0" w:tplc="A1E2D9A8">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211DD"/>
    <w:multiLevelType w:val="hybridMultilevel"/>
    <w:tmpl w:val="0A722890"/>
    <w:lvl w:ilvl="0" w:tplc="FE2464D8">
      <w:numFmt w:val="bullet"/>
      <w:lvlText w:val="-"/>
      <w:lvlJc w:val="left"/>
      <w:pPr>
        <w:ind w:left="360" w:hanging="360"/>
      </w:pPr>
      <w:rPr>
        <w:rFonts w:ascii="Arial" w:eastAsia="Calibr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577B522A"/>
    <w:multiLevelType w:val="hybridMultilevel"/>
    <w:tmpl w:val="45B222E4"/>
    <w:lvl w:ilvl="0" w:tplc="FE2464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D555BE"/>
    <w:multiLevelType w:val="hybridMultilevel"/>
    <w:tmpl w:val="9BCEA7F0"/>
    <w:lvl w:ilvl="0" w:tplc="1618D664">
      <w:start w:val="2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9074B"/>
    <w:multiLevelType w:val="multilevel"/>
    <w:tmpl w:val="8E4A2DF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DE0118"/>
    <w:multiLevelType w:val="hybridMultilevel"/>
    <w:tmpl w:val="69FC7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3C55B3"/>
    <w:multiLevelType w:val="hybridMultilevel"/>
    <w:tmpl w:val="E6EEE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D116C0"/>
    <w:multiLevelType w:val="hybridMultilevel"/>
    <w:tmpl w:val="E5161394"/>
    <w:lvl w:ilvl="0" w:tplc="FE2464D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05D647D"/>
    <w:multiLevelType w:val="multilevel"/>
    <w:tmpl w:val="FA1C9396"/>
    <w:lvl w:ilvl="0">
      <w:start w:val="11"/>
      <w:numFmt w:val="decimal"/>
      <w:lvlText w:val="%1."/>
      <w:lvlJc w:val="left"/>
      <w:pPr>
        <w:ind w:left="360" w:hanging="360"/>
      </w:pPr>
      <w:rPr>
        <w:rFonts w:hint="default"/>
        <w:i w:val="0"/>
        <w:iCs w:val="0"/>
      </w:rPr>
    </w:lvl>
    <w:lvl w:ilvl="1">
      <w:start w:val="22"/>
      <w:numFmt w:val="bullet"/>
      <w:lvlText w:val="-"/>
      <w:lvlJc w:val="left"/>
      <w:pPr>
        <w:ind w:left="720" w:hanging="360"/>
      </w:pPr>
      <w:rPr>
        <w:rFonts w:ascii="Calibri" w:eastAsia="SimSun" w:hAnsi="Calibri" w:cs="Calibri"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9E1A04"/>
    <w:multiLevelType w:val="multilevel"/>
    <w:tmpl w:val="BD8E7A0E"/>
    <w:lvl w:ilvl="0">
      <w:start w:val="1"/>
      <w:numFmt w:val="decimal"/>
      <w:lvlText w:val="%1."/>
      <w:lvlJc w:val="left"/>
      <w:pPr>
        <w:ind w:left="360" w:hanging="360"/>
      </w:pPr>
      <w:rPr>
        <w:rFonts w:hint="default"/>
        <w:i w:val="0"/>
        <w:iCs w:val="0"/>
      </w:rPr>
    </w:lvl>
    <w:lvl w:ilvl="1">
      <w:start w:val="22"/>
      <w:numFmt w:val="bullet"/>
      <w:lvlText w:val="-"/>
      <w:lvlJc w:val="left"/>
      <w:pPr>
        <w:ind w:left="720" w:hanging="360"/>
      </w:pPr>
      <w:rPr>
        <w:rFonts w:ascii="Calibri" w:eastAsia="SimSun" w:hAnsi="Calibri" w:cs="Calibri"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3729475">
    <w:abstractNumId w:val="7"/>
  </w:num>
  <w:num w:numId="2" w16cid:durableId="1311060088">
    <w:abstractNumId w:val="10"/>
  </w:num>
  <w:num w:numId="3" w16cid:durableId="1427339185">
    <w:abstractNumId w:val="11"/>
  </w:num>
  <w:num w:numId="4" w16cid:durableId="1538393331">
    <w:abstractNumId w:val="18"/>
  </w:num>
  <w:num w:numId="5" w16cid:durableId="282080074">
    <w:abstractNumId w:val="1"/>
  </w:num>
  <w:num w:numId="6" w16cid:durableId="413942294">
    <w:abstractNumId w:val="9"/>
  </w:num>
  <w:num w:numId="7" w16cid:durableId="1997566409">
    <w:abstractNumId w:val="14"/>
  </w:num>
  <w:num w:numId="8" w16cid:durableId="1473601441">
    <w:abstractNumId w:val="5"/>
  </w:num>
  <w:num w:numId="9" w16cid:durableId="1279675587">
    <w:abstractNumId w:val="13"/>
  </w:num>
  <w:num w:numId="10" w16cid:durableId="295111432">
    <w:abstractNumId w:val="17"/>
  </w:num>
  <w:num w:numId="11" w16cid:durableId="470175745">
    <w:abstractNumId w:val="19"/>
  </w:num>
  <w:num w:numId="12" w16cid:durableId="1408111072">
    <w:abstractNumId w:val="20"/>
  </w:num>
  <w:num w:numId="13" w16cid:durableId="1759447737">
    <w:abstractNumId w:val="6"/>
  </w:num>
  <w:num w:numId="14" w16cid:durableId="1209102750">
    <w:abstractNumId w:val="12"/>
  </w:num>
  <w:num w:numId="15" w16cid:durableId="1797487823">
    <w:abstractNumId w:val="3"/>
  </w:num>
  <w:num w:numId="16" w16cid:durableId="288705354">
    <w:abstractNumId w:val="2"/>
  </w:num>
  <w:num w:numId="17" w16cid:durableId="20712249">
    <w:abstractNumId w:val="16"/>
  </w:num>
  <w:num w:numId="18" w16cid:durableId="1656690701">
    <w:abstractNumId w:val="23"/>
  </w:num>
  <w:num w:numId="19" w16cid:durableId="1032146496">
    <w:abstractNumId w:val="21"/>
  </w:num>
  <w:num w:numId="20" w16cid:durableId="508565845">
    <w:abstractNumId w:val="15"/>
  </w:num>
  <w:num w:numId="21" w16cid:durableId="548952687">
    <w:abstractNumId w:val="22"/>
  </w:num>
  <w:num w:numId="22" w16cid:durableId="2088066072">
    <w:abstractNumId w:val="0"/>
  </w:num>
  <w:num w:numId="23" w16cid:durableId="1732000370">
    <w:abstractNumId w:val="4"/>
  </w:num>
  <w:num w:numId="24" w16cid:durableId="325134284">
    <w:abstractNumId w:val="8"/>
  </w:num>
  <w:num w:numId="25" w16cid:durableId="1698315519">
    <w:abstractNumId w:val="4"/>
    <w:lvlOverride w:ilvl="0"/>
    <w:lvlOverride w:ilvl="1"/>
    <w:lvlOverride w:ilvl="2"/>
    <w:lvlOverride w:ilvl="3"/>
    <w:lvlOverride w:ilvl="4"/>
    <w:lvlOverride w:ilvl="5"/>
    <w:lvlOverride w:ilvl="6"/>
    <w:lvlOverride w:ilvl="7"/>
    <w:lvlOverride w:ilvl="8"/>
  </w:num>
  <w:num w:numId="26" w16cid:durableId="161863720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03"/>
    <w:rsid w:val="000028E3"/>
    <w:rsid w:val="00003F50"/>
    <w:rsid w:val="000057D3"/>
    <w:rsid w:val="0001048C"/>
    <w:rsid w:val="00010B3A"/>
    <w:rsid w:val="000155D0"/>
    <w:rsid w:val="00015A3A"/>
    <w:rsid w:val="00015B86"/>
    <w:rsid w:val="000165EC"/>
    <w:rsid w:val="00017BAA"/>
    <w:rsid w:val="00020D75"/>
    <w:rsid w:val="000244B3"/>
    <w:rsid w:val="00025479"/>
    <w:rsid w:val="0002762D"/>
    <w:rsid w:val="0003450F"/>
    <w:rsid w:val="000354C8"/>
    <w:rsid w:val="00040D9C"/>
    <w:rsid w:val="00050FB0"/>
    <w:rsid w:val="000538F3"/>
    <w:rsid w:val="00065ED4"/>
    <w:rsid w:val="000678F3"/>
    <w:rsid w:val="00070785"/>
    <w:rsid w:val="000827B4"/>
    <w:rsid w:val="00085EE5"/>
    <w:rsid w:val="000908F1"/>
    <w:rsid w:val="00091C59"/>
    <w:rsid w:val="00092132"/>
    <w:rsid w:val="000943EF"/>
    <w:rsid w:val="00094AD8"/>
    <w:rsid w:val="00096C6F"/>
    <w:rsid w:val="000A0814"/>
    <w:rsid w:val="000A1755"/>
    <w:rsid w:val="000A3A30"/>
    <w:rsid w:val="000A4DE3"/>
    <w:rsid w:val="000A54D4"/>
    <w:rsid w:val="000A5545"/>
    <w:rsid w:val="000A649E"/>
    <w:rsid w:val="000A69F5"/>
    <w:rsid w:val="000A7DB1"/>
    <w:rsid w:val="000B2F40"/>
    <w:rsid w:val="000B3F3F"/>
    <w:rsid w:val="000B5B30"/>
    <w:rsid w:val="000B7C17"/>
    <w:rsid w:val="000C3F1A"/>
    <w:rsid w:val="000C7BE9"/>
    <w:rsid w:val="000D0CD5"/>
    <w:rsid w:val="000D57E5"/>
    <w:rsid w:val="000E165C"/>
    <w:rsid w:val="000E2E29"/>
    <w:rsid w:val="000E6564"/>
    <w:rsid w:val="000F0849"/>
    <w:rsid w:val="000F096C"/>
    <w:rsid w:val="000F3A35"/>
    <w:rsid w:val="000F402D"/>
    <w:rsid w:val="000F6CE3"/>
    <w:rsid w:val="000F72AF"/>
    <w:rsid w:val="001000E9"/>
    <w:rsid w:val="00100452"/>
    <w:rsid w:val="00100824"/>
    <w:rsid w:val="001021EB"/>
    <w:rsid w:val="00107A47"/>
    <w:rsid w:val="00107FAA"/>
    <w:rsid w:val="00111360"/>
    <w:rsid w:val="00111DB6"/>
    <w:rsid w:val="00113CF9"/>
    <w:rsid w:val="001201FF"/>
    <w:rsid w:val="00120629"/>
    <w:rsid w:val="00121116"/>
    <w:rsid w:val="00124442"/>
    <w:rsid w:val="00132063"/>
    <w:rsid w:val="001354D4"/>
    <w:rsid w:val="001372AC"/>
    <w:rsid w:val="00153754"/>
    <w:rsid w:val="0015488F"/>
    <w:rsid w:val="001571A4"/>
    <w:rsid w:val="00162D1A"/>
    <w:rsid w:val="00164629"/>
    <w:rsid w:val="00164921"/>
    <w:rsid w:val="001667BA"/>
    <w:rsid w:val="00167334"/>
    <w:rsid w:val="00167554"/>
    <w:rsid w:val="00170688"/>
    <w:rsid w:val="00171DD5"/>
    <w:rsid w:val="00174952"/>
    <w:rsid w:val="001834E1"/>
    <w:rsid w:val="00184D87"/>
    <w:rsid w:val="001922E8"/>
    <w:rsid w:val="001977A9"/>
    <w:rsid w:val="001A27BA"/>
    <w:rsid w:val="001B16C3"/>
    <w:rsid w:val="001B3D47"/>
    <w:rsid w:val="001B401B"/>
    <w:rsid w:val="001B52FF"/>
    <w:rsid w:val="001B548D"/>
    <w:rsid w:val="001B75D2"/>
    <w:rsid w:val="001C176A"/>
    <w:rsid w:val="001C2B01"/>
    <w:rsid w:val="001C4D4C"/>
    <w:rsid w:val="001C5259"/>
    <w:rsid w:val="001C5893"/>
    <w:rsid w:val="001D06F8"/>
    <w:rsid w:val="001D075C"/>
    <w:rsid w:val="001D46A9"/>
    <w:rsid w:val="001E4D37"/>
    <w:rsid w:val="001F0FB9"/>
    <w:rsid w:val="001F2988"/>
    <w:rsid w:val="001F33A3"/>
    <w:rsid w:val="001F5696"/>
    <w:rsid w:val="002034F2"/>
    <w:rsid w:val="002047C6"/>
    <w:rsid w:val="00206851"/>
    <w:rsid w:val="00207295"/>
    <w:rsid w:val="00207FCF"/>
    <w:rsid w:val="002101F5"/>
    <w:rsid w:val="00210A43"/>
    <w:rsid w:val="0021243B"/>
    <w:rsid w:val="00213543"/>
    <w:rsid w:val="00214592"/>
    <w:rsid w:val="00214FB7"/>
    <w:rsid w:val="00215716"/>
    <w:rsid w:val="002162C8"/>
    <w:rsid w:val="00216C20"/>
    <w:rsid w:val="00217185"/>
    <w:rsid w:val="0022235C"/>
    <w:rsid w:val="00222EB9"/>
    <w:rsid w:val="00223BA5"/>
    <w:rsid w:val="002261E5"/>
    <w:rsid w:val="00230CBD"/>
    <w:rsid w:val="00231535"/>
    <w:rsid w:val="00231E7E"/>
    <w:rsid w:val="00233203"/>
    <w:rsid w:val="00234F3C"/>
    <w:rsid w:val="00235ADD"/>
    <w:rsid w:val="00242CC9"/>
    <w:rsid w:val="002478B0"/>
    <w:rsid w:val="0025137F"/>
    <w:rsid w:val="00253246"/>
    <w:rsid w:val="00253AF0"/>
    <w:rsid w:val="00256B3F"/>
    <w:rsid w:val="00257002"/>
    <w:rsid w:val="002605AA"/>
    <w:rsid w:val="00260C6D"/>
    <w:rsid w:val="00267435"/>
    <w:rsid w:val="002702BB"/>
    <w:rsid w:val="0027077B"/>
    <w:rsid w:val="00271C09"/>
    <w:rsid w:val="00283BA5"/>
    <w:rsid w:val="00283BF1"/>
    <w:rsid w:val="00284D69"/>
    <w:rsid w:val="0028570E"/>
    <w:rsid w:val="00286B36"/>
    <w:rsid w:val="002873B0"/>
    <w:rsid w:val="002876CB"/>
    <w:rsid w:val="00291534"/>
    <w:rsid w:val="00292E7A"/>
    <w:rsid w:val="00296A86"/>
    <w:rsid w:val="002B0665"/>
    <w:rsid w:val="002B1A7A"/>
    <w:rsid w:val="002B21AB"/>
    <w:rsid w:val="002B2253"/>
    <w:rsid w:val="002B2A6F"/>
    <w:rsid w:val="002B371B"/>
    <w:rsid w:val="002B5452"/>
    <w:rsid w:val="002C5677"/>
    <w:rsid w:val="002C6C76"/>
    <w:rsid w:val="002C745C"/>
    <w:rsid w:val="002D1243"/>
    <w:rsid w:val="002D1448"/>
    <w:rsid w:val="002D162F"/>
    <w:rsid w:val="002D2360"/>
    <w:rsid w:val="002D2D70"/>
    <w:rsid w:val="002D31ED"/>
    <w:rsid w:val="002D458B"/>
    <w:rsid w:val="002D471E"/>
    <w:rsid w:val="002D6423"/>
    <w:rsid w:val="002E0422"/>
    <w:rsid w:val="002E171F"/>
    <w:rsid w:val="002E17E3"/>
    <w:rsid w:val="002E5FE3"/>
    <w:rsid w:val="002E7851"/>
    <w:rsid w:val="002F1FAB"/>
    <w:rsid w:val="002F2688"/>
    <w:rsid w:val="002F5499"/>
    <w:rsid w:val="002F76D1"/>
    <w:rsid w:val="00301142"/>
    <w:rsid w:val="00301262"/>
    <w:rsid w:val="00301759"/>
    <w:rsid w:val="00305B82"/>
    <w:rsid w:val="00306DD3"/>
    <w:rsid w:val="0031093B"/>
    <w:rsid w:val="003121FF"/>
    <w:rsid w:val="00315BAD"/>
    <w:rsid w:val="0031668A"/>
    <w:rsid w:val="00320E81"/>
    <w:rsid w:val="00321027"/>
    <w:rsid w:val="00323263"/>
    <w:rsid w:val="00323D8C"/>
    <w:rsid w:val="00323E36"/>
    <w:rsid w:val="003245F4"/>
    <w:rsid w:val="003303C8"/>
    <w:rsid w:val="0033233C"/>
    <w:rsid w:val="00336065"/>
    <w:rsid w:val="0033628F"/>
    <w:rsid w:val="0034097D"/>
    <w:rsid w:val="003439C8"/>
    <w:rsid w:val="00343BD0"/>
    <w:rsid w:val="00344DB3"/>
    <w:rsid w:val="00345C03"/>
    <w:rsid w:val="00355DE5"/>
    <w:rsid w:val="003603C7"/>
    <w:rsid w:val="003663BA"/>
    <w:rsid w:val="00367380"/>
    <w:rsid w:val="003675D7"/>
    <w:rsid w:val="00367FEA"/>
    <w:rsid w:val="00370866"/>
    <w:rsid w:val="00372388"/>
    <w:rsid w:val="00372BA6"/>
    <w:rsid w:val="00380100"/>
    <w:rsid w:val="00380309"/>
    <w:rsid w:val="003808AD"/>
    <w:rsid w:val="00381EFC"/>
    <w:rsid w:val="00382C5A"/>
    <w:rsid w:val="00384882"/>
    <w:rsid w:val="00391CCA"/>
    <w:rsid w:val="00392991"/>
    <w:rsid w:val="00392E1C"/>
    <w:rsid w:val="00392F16"/>
    <w:rsid w:val="003959DA"/>
    <w:rsid w:val="003967CD"/>
    <w:rsid w:val="00396812"/>
    <w:rsid w:val="003974DE"/>
    <w:rsid w:val="003A0302"/>
    <w:rsid w:val="003A0EB6"/>
    <w:rsid w:val="003B081D"/>
    <w:rsid w:val="003B165C"/>
    <w:rsid w:val="003B74E0"/>
    <w:rsid w:val="003C1116"/>
    <w:rsid w:val="003C28C7"/>
    <w:rsid w:val="003C2CA2"/>
    <w:rsid w:val="003C4F08"/>
    <w:rsid w:val="003C57DC"/>
    <w:rsid w:val="003C610F"/>
    <w:rsid w:val="003C7841"/>
    <w:rsid w:val="003D0FF6"/>
    <w:rsid w:val="003D5F01"/>
    <w:rsid w:val="003E0E70"/>
    <w:rsid w:val="003E1367"/>
    <w:rsid w:val="003E24DF"/>
    <w:rsid w:val="003F30EB"/>
    <w:rsid w:val="003F3248"/>
    <w:rsid w:val="003F378B"/>
    <w:rsid w:val="003F5798"/>
    <w:rsid w:val="003F6252"/>
    <w:rsid w:val="00400E94"/>
    <w:rsid w:val="00405711"/>
    <w:rsid w:val="00405D16"/>
    <w:rsid w:val="00406620"/>
    <w:rsid w:val="004126BF"/>
    <w:rsid w:val="00412C23"/>
    <w:rsid w:val="00412E5C"/>
    <w:rsid w:val="00415A8B"/>
    <w:rsid w:val="004165C5"/>
    <w:rsid w:val="00416741"/>
    <w:rsid w:val="004215CC"/>
    <w:rsid w:val="00425805"/>
    <w:rsid w:val="00425B0F"/>
    <w:rsid w:val="00430262"/>
    <w:rsid w:val="00430C1C"/>
    <w:rsid w:val="004359B6"/>
    <w:rsid w:val="004417A9"/>
    <w:rsid w:val="00442FD6"/>
    <w:rsid w:val="004433D1"/>
    <w:rsid w:val="0044359B"/>
    <w:rsid w:val="00444251"/>
    <w:rsid w:val="00447657"/>
    <w:rsid w:val="00447B59"/>
    <w:rsid w:val="00447E7D"/>
    <w:rsid w:val="004611AE"/>
    <w:rsid w:val="0046163A"/>
    <w:rsid w:val="00462CFB"/>
    <w:rsid w:val="00463EDD"/>
    <w:rsid w:val="0046432C"/>
    <w:rsid w:val="00464C9C"/>
    <w:rsid w:val="0046623A"/>
    <w:rsid w:val="004663E9"/>
    <w:rsid w:val="00466BE6"/>
    <w:rsid w:val="00466E75"/>
    <w:rsid w:val="004721E5"/>
    <w:rsid w:val="00472BBB"/>
    <w:rsid w:val="0047361C"/>
    <w:rsid w:val="00480829"/>
    <w:rsid w:val="00485D1C"/>
    <w:rsid w:val="004931A3"/>
    <w:rsid w:val="00493DF6"/>
    <w:rsid w:val="004A2F93"/>
    <w:rsid w:val="004A5683"/>
    <w:rsid w:val="004A6A39"/>
    <w:rsid w:val="004A6F48"/>
    <w:rsid w:val="004A7E0B"/>
    <w:rsid w:val="004B1FAC"/>
    <w:rsid w:val="004B4190"/>
    <w:rsid w:val="004B4837"/>
    <w:rsid w:val="004B4FB1"/>
    <w:rsid w:val="004B5C08"/>
    <w:rsid w:val="004C10D3"/>
    <w:rsid w:val="004C360C"/>
    <w:rsid w:val="004C4266"/>
    <w:rsid w:val="004C5316"/>
    <w:rsid w:val="004D1B58"/>
    <w:rsid w:val="004D1C72"/>
    <w:rsid w:val="004D3C0A"/>
    <w:rsid w:val="004D56CB"/>
    <w:rsid w:val="004E1389"/>
    <w:rsid w:val="004E4458"/>
    <w:rsid w:val="004E7BA7"/>
    <w:rsid w:val="004F0A48"/>
    <w:rsid w:val="004F0B8A"/>
    <w:rsid w:val="004F170F"/>
    <w:rsid w:val="004F6A96"/>
    <w:rsid w:val="00502121"/>
    <w:rsid w:val="005033AD"/>
    <w:rsid w:val="00503A09"/>
    <w:rsid w:val="00503ADB"/>
    <w:rsid w:val="005046C2"/>
    <w:rsid w:val="00506A9C"/>
    <w:rsid w:val="00506C0E"/>
    <w:rsid w:val="00506FBD"/>
    <w:rsid w:val="005078A0"/>
    <w:rsid w:val="005112CF"/>
    <w:rsid w:val="00511522"/>
    <w:rsid w:val="00512298"/>
    <w:rsid w:val="005124C4"/>
    <w:rsid w:val="00513FBF"/>
    <w:rsid w:val="00514DCB"/>
    <w:rsid w:val="00530CED"/>
    <w:rsid w:val="005321D9"/>
    <w:rsid w:val="0054286F"/>
    <w:rsid w:val="00542B26"/>
    <w:rsid w:val="00543AEF"/>
    <w:rsid w:val="005442C0"/>
    <w:rsid w:val="005447CC"/>
    <w:rsid w:val="00547E0F"/>
    <w:rsid w:val="00550B21"/>
    <w:rsid w:val="0055151B"/>
    <w:rsid w:val="00551793"/>
    <w:rsid w:val="00552180"/>
    <w:rsid w:val="0055428C"/>
    <w:rsid w:val="00554809"/>
    <w:rsid w:val="00554867"/>
    <w:rsid w:val="0055586F"/>
    <w:rsid w:val="005572F3"/>
    <w:rsid w:val="00557C64"/>
    <w:rsid w:val="0056034D"/>
    <w:rsid w:val="005621B7"/>
    <w:rsid w:val="00562250"/>
    <w:rsid w:val="00564A71"/>
    <w:rsid w:val="00564AC6"/>
    <w:rsid w:val="00571048"/>
    <w:rsid w:val="00572C66"/>
    <w:rsid w:val="00573036"/>
    <w:rsid w:val="005737F6"/>
    <w:rsid w:val="005747CB"/>
    <w:rsid w:val="005757A7"/>
    <w:rsid w:val="0057598B"/>
    <w:rsid w:val="00575B54"/>
    <w:rsid w:val="00577F2B"/>
    <w:rsid w:val="00582633"/>
    <w:rsid w:val="00582CDC"/>
    <w:rsid w:val="00591143"/>
    <w:rsid w:val="005941F0"/>
    <w:rsid w:val="00596293"/>
    <w:rsid w:val="005A1410"/>
    <w:rsid w:val="005A35BE"/>
    <w:rsid w:val="005A5BE6"/>
    <w:rsid w:val="005A7F20"/>
    <w:rsid w:val="005A7FC8"/>
    <w:rsid w:val="005B20ED"/>
    <w:rsid w:val="005B371B"/>
    <w:rsid w:val="005B4ABC"/>
    <w:rsid w:val="005C1654"/>
    <w:rsid w:val="005C2A8A"/>
    <w:rsid w:val="005C7F4A"/>
    <w:rsid w:val="005D09F3"/>
    <w:rsid w:val="005D1C19"/>
    <w:rsid w:val="005D3401"/>
    <w:rsid w:val="005D5006"/>
    <w:rsid w:val="005E1DC8"/>
    <w:rsid w:val="005E2283"/>
    <w:rsid w:val="005E3CE8"/>
    <w:rsid w:val="005E421A"/>
    <w:rsid w:val="005E62DD"/>
    <w:rsid w:val="005E7EDA"/>
    <w:rsid w:val="005F00CD"/>
    <w:rsid w:val="005F0220"/>
    <w:rsid w:val="005F2631"/>
    <w:rsid w:val="005F283F"/>
    <w:rsid w:val="005F4F62"/>
    <w:rsid w:val="006126A8"/>
    <w:rsid w:val="0061404C"/>
    <w:rsid w:val="00614077"/>
    <w:rsid w:val="00620275"/>
    <w:rsid w:val="00620DF2"/>
    <w:rsid w:val="0062277C"/>
    <w:rsid w:val="00622ABF"/>
    <w:rsid w:val="00622D45"/>
    <w:rsid w:val="00624AC4"/>
    <w:rsid w:val="00626AD2"/>
    <w:rsid w:val="006272BA"/>
    <w:rsid w:val="006307C9"/>
    <w:rsid w:val="00636718"/>
    <w:rsid w:val="00636FD3"/>
    <w:rsid w:val="00640027"/>
    <w:rsid w:val="0064090D"/>
    <w:rsid w:val="00641905"/>
    <w:rsid w:val="00642900"/>
    <w:rsid w:val="00644FE9"/>
    <w:rsid w:val="00645410"/>
    <w:rsid w:val="00650594"/>
    <w:rsid w:val="00652C93"/>
    <w:rsid w:val="00664652"/>
    <w:rsid w:val="006728D5"/>
    <w:rsid w:val="00674068"/>
    <w:rsid w:val="00676E27"/>
    <w:rsid w:val="00680BB3"/>
    <w:rsid w:val="00682914"/>
    <w:rsid w:val="00682953"/>
    <w:rsid w:val="0068452E"/>
    <w:rsid w:val="006846EA"/>
    <w:rsid w:val="00685DB1"/>
    <w:rsid w:val="006861F2"/>
    <w:rsid w:val="00691D53"/>
    <w:rsid w:val="00692EC4"/>
    <w:rsid w:val="0069381C"/>
    <w:rsid w:val="006948E6"/>
    <w:rsid w:val="00695C80"/>
    <w:rsid w:val="006A003F"/>
    <w:rsid w:val="006A1676"/>
    <w:rsid w:val="006B04D4"/>
    <w:rsid w:val="006B14D5"/>
    <w:rsid w:val="006B1E5A"/>
    <w:rsid w:val="006B3E6C"/>
    <w:rsid w:val="006B5026"/>
    <w:rsid w:val="006B7344"/>
    <w:rsid w:val="006B73D4"/>
    <w:rsid w:val="006B7F6A"/>
    <w:rsid w:val="006C0A47"/>
    <w:rsid w:val="006C27CB"/>
    <w:rsid w:val="006C3002"/>
    <w:rsid w:val="006C4B4A"/>
    <w:rsid w:val="006C742B"/>
    <w:rsid w:val="006C79EA"/>
    <w:rsid w:val="006D58BB"/>
    <w:rsid w:val="006D609A"/>
    <w:rsid w:val="006D736B"/>
    <w:rsid w:val="006D7859"/>
    <w:rsid w:val="006E0ED5"/>
    <w:rsid w:val="006E170D"/>
    <w:rsid w:val="006E181E"/>
    <w:rsid w:val="006E182D"/>
    <w:rsid w:val="006E2ED3"/>
    <w:rsid w:val="006E7C92"/>
    <w:rsid w:val="006F0167"/>
    <w:rsid w:val="006F150E"/>
    <w:rsid w:val="006F281E"/>
    <w:rsid w:val="006F2836"/>
    <w:rsid w:val="006F491F"/>
    <w:rsid w:val="006F5901"/>
    <w:rsid w:val="007000FB"/>
    <w:rsid w:val="00700486"/>
    <w:rsid w:val="00700770"/>
    <w:rsid w:val="0070339C"/>
    <w:rsid w:val="0070756B"/>
    <w:rsid w:val="00713661"/>
    <w:rsid w:val="00720520"/>
    <w:rsid w:val="007256F2"/>
    <w:rsid w:val="00725FFF"/>
    <w:rsid w:val="00727A05"/>
    <w:rsid w:val="0073057F"/>
    <w:rsid w:val="00731A8A"/>
    <w:rsid w:val="00732BF5"/>
    <w:rsid w:val="00736616"/>
    <w:rsid w:val="00742AAD"/>
    <w:rsid w:val="00743E54"/>
    <w:rsid w:val="00743E55"/>
    <w:rsid w:val="00746501"/>
    <w:rsid w:val="0074678D"/>
    <w:rsid w:val="00750C94"/>
    <w:rsid w:val="0075461B"/>
    <w:rsid w:val="00754AC8"/>
    <w:rsid w:val="00761369"/>
    <w:rsid w:val="0076289D"/>
    <w:rsid w:val="00766A82"/>
    <w:rsid w:val="00767794"/>
    <w:rsid w:val="0077054A"/>
    <w:rsid w:val="00774E0F"/>
    <w:rsid w:val="00776742"/>
    <w:rsid w:val="00777D58"/>
    <w:rsid w:val="00781829"/>
    <w:rsid w:val="007837C5"/>
    <w:rsid w:val="007855BD"/>
    <w:rsid w:val="00785D53"/>
    <w:rsid w:val="007869E8"/>
    <w:rsid w:val="00787919"/>
    <w:rsid w:val="00787F5B"/>
    <w:rsid w:val="007910DB"/>
    <w:rsid w:val="00791D3B"/>
    <w:rsid w:val="007942DD"/>
    <w:rsid w:val="00797E27"/>
    <w:rsid w:val="007A0E48"/>
    <w:rsid w:val="007A4127"/>
    <w:rsid w:val="007A5184"/>
    <w:rsid w:val="007A61A8"/>
    <w:rsid w:val="007A7F35"/>
    <w:rsid w:val="007B1744"/>
    <w:rsid w:val="007B22B3"/>
    <w:rsid w:val="007B3F9E"/>
    <w:rsid w:val="007C02A5"/>
    <w:rsid w:val="007C0882"/>
    <w:rsid w:val="007C0E9B"/>
    <w:rsid w:val="007C1AB2"/>
    <w:rsid w:val="007C41F9"/>
    <w:rsid w:val="007C576E"/>
    <w:rsid w:val="007C73A9"/>
    <w:rsid w:val="007D55D4"/>
    <w:rsid w:val="007D55EE"/>
    <w:rsid w:val="007D58E2"/>
    <w:rsid w:val="007D7230"/>
    <w:rsid w:val="007D742D"/>
    <w:rsid w:val="007E07A4"/>
    <w:rsid w:val="007E32F3"/>
    <w:rsid w:val="007E4A83"/>
    <w:rsid w:val="007E50D4"/>
    <w:rsid w:val="007E5430"/>
    <w:rsid w:val="007E62A7"/>
    <w:rsid w:val="007F0287"/>
    <w:rsid w:val="007F0CD6"/>
    <w:rsid w:val="007F5C44"/>
    <w:rsid w:val="007F6943"/>
    <w:rsid w:val="007F76D4"/>
    <w:rsid w:val="00800E7D"/>
    <w:rsid w:val="0080135B"/>
    <w:rsid w:val="00803D39"/>
    <w:rsid w:val="008050CB"/>
    <w:rsid w:val="008060FC"/>
    <w:rsid w:val="00807E04"/>
    <w:rsid w:val="0081027E"/>
    <w:rsid w:val="00811CA5"/>
    <w:rsid w:val="00813515"/>
    <w:rsid w:val="00813F89"/>
    <w:rsid w:val="008148C2"/>
    <w:rsid w:val="008163E8"/>
    <w:rsid w:val="00826FCA"/>
    <w:rsid w:val="00830CEC"/>
    <w:rsid w:val="00836B93"/>
    <w:rsid w:val="00836F1D"/>
    <w:rsid w:val="008417C0"/>
    <w:rsid w:val="008443CD"/>
    <w:rsid w:val="00845501"/>
    <w:rsid w:val="00846244"/>
    <w:rsid w:val="008517E2"/>
    <w:rsid w:val="00853083"/>
    <w:rsid w:val="008548EB"/>
    <w:rsid w:val="00854C7B"/>
    <w:rsid w:val="00857ADD"/>
    <w:rsid w:val="00860776"/>
    <w:rsid w:val="0086153D"/>
    <w:rsid w:val="00861AC9"/>
    <w:rsid w:val="00861DAB"/>
    <w:rsid w:val="008628D9"/>
    <w:rsid w:val="00863079"/>
    <w:rsid w:val="00864424"/>
    <w:rsid w:val="00865017"/>
    <w:rsid w:val="008650E3"/>
    <w:rsid w:val="008671D0"/>
    <w:rsid w:val="00867FCC"/>
    <w:rsid w:val="00867FE9"/>
    <w:rsid w:val="00870716"/>
    <w:rsid w:val="0087271B"/>
    <w:rsid w:val="00872ECF"/>
    <w:rsid w:val="00874B01"/>
    <w:rsid w:val="008767BE"/>
    <w:rsid w:val="008771F8"/>
    <w:rsid w:val="00877E64"/>
    <w:rsid w:val="00880CF5"/>
    <w:rsid w:val="0088110A"/>
    <w:rsid w:val="00885D60"/>
    <w:rsid w:val="00886EE1"/>
    <w:rsid w:val="00887FED"/>
    <w:rsid w:val="00890C41"/>
    <w:rsid w:val="00891BB8"/>
    <w:rsid w:val="00892C34"/>
    <w:rsid w:val="00892DFB"/>
    <w:rsid w:val="00893415"/>
    <w:rsid w:val="00894722"/>
    <w:rsid w:val="0089763D"/>
    <w:rsid w:val="008A0AC8"/>
    <w:rsid w:val="008A37D7"/>
    <w:rsid w:val="008A585C"/>
    <w:rsid w:val="008A6063"/>
    <w:rsid w:val="008B01BF"/>
    <w:rsid w:val="008B08EA"/>
    <w:rsid w:val="008B14B1"/>
    <w:rsid w:val="008B1725"/>
    <w:rsid w:val="008B23F1"/>
    <w:rsid w:val="008B5CAC"/>
    <w:rsid w:val="008B693F"/>
    <w:rsid w:val="008C3515"/>
    <w:rsid w:val="008D121D"/>
    <w:rsid w:val="008D2971"/>
    <w:rsid w:val="008D4A73"/>
    <w:rsid w:val="008D4D9C"/>
    <w:rsid w:val="008D5046"/>
    <w:rsid w:val="008E007E"/>
    <w:rsid w:val="008E087D"/>
    <w:rsid w:val="008E37FE"/>
    <w:rsid w:val="008E3D34"/>
    <w:rsid w:val="008E50A3"/>
    <w:rsid w:val="008F024D"/>
    <w:rsid w:val="008F0EA0"/>
    <w:rsid w:val="008F1FD1"/>
    <w:rsid w:val="008F2367"/>
    <w:rsid w:val="008F77E2"/>
    <w:rsid w:val="009015F2"/>
    <w:rsid w:val="009019E1"/>
    <w:rsid w:val="009029EA"/>
    <w:rsid w:val="00906DEC"/>
    <w:rsid w:val="00914CB2"/>
    <w:rsid w:val="00915BC5"/>
    <w:rsid w:val="00917F57"/>
    <w:rsid w:val="009221F6"/>
    <w:rsid w:val="009229F9"/>
    <w:rsid w:val="0092418D"/>
    <w:rsid w:val="009270A7"/>
    <w:rsid w:val="0093045E"/>
    <w:rsid w:val="00930E7D"/>
    <w:rsid w:val="009318DA"/>
    <w:rsid w:val="00932F90"/>
    <w:rsid w:val="009334CE"/>
    <w:rsid w:val="00933534"/>
    <w:rsid w:val="009358DA"/>
    <w:rsid w:val="009372E2"/>
    <w:rsid w:val="00941556"/>
    <w:rsid w:val="0094536A"/>
    <w:rsid w:val="009463B0"/>
    <w:rsid w:val="009463B2"/>
    <w:rsid w:val="00947E86"/>
    <w:rsid w:val="0095214B"/>
    <w:rsid w:val="009539B4"/>
    <w:rsid w:val="00953F1E"/>
    <w:rsid w:val="00956040"/>
    <w:rsid w:val="0095699B"/>
    <w:rsid w:val="00963A5C"/>
    <w:rsid w:val="00963B93"/>
    <w:rsid w:val="00970985"/>
    <w:rsid w:val="00971836"/>
    <w:rsid w:val="009735E5"/>
    <w:rsid w:val="00975247"/>
    <w:rsid w:val="00975699"/>
    <w:rsid w:val="00975876"/>
    <w:rsid w:val="00975913"/>
    <w:rsid w:val="009768F0"/>
    <w:rsid w:val="00976A3E"/>
    <w:rsid w:val="0098280A"/>
    <w:rsid w:val="00983E8E"/>
    <w:rsid w:val="009869D2"/>
    <w:rsid w:val="00986D27"/>
    <w:rsid w:val="00987348"/>
    <w:rsid w:val="009876E8"/>
    <w:rsid w:val="00990091"/>
    <w:rsid w:val="0099037E"/>
    <w:rsid w:val="00992ACD"/>
    <w:rsid w:val="00995B54"/>
    <w:rsid w:val="009A012F"/>
    <w:rsid w:val="009A1786"/>
    <w:rsid w:val="009A3B54"/>
    <w:rsid w:val="009A6E10"/>
    <w:rsid w:val="009B0202"/>
    <w:rsid w:val="009B0608"/>
    <w:rsid w:val="009B2442"/>
    <w:rsid w:val="009B3108"/>
    <w:rsid w:val="009B3123"/>
    <w:rsid w:val="009B4080"/>
    <w:rsid w:val="009B55FE"/>
    <w:rsid w:val="009B67A4"/>
    <w:rsid w:val="009C07C5"/>
    <w:rsid w:val="009C23EF"/>
    <w:rsid w:val="009D1640"/>
    <w:rsid w:val="009D313B"/>
    <w:rsid w:val="009D4AB0"/>
    <w:rsid w:val="009E01C3"/>
    <w:rsid w:val="009E0659"/>
    <w:rsid w:val="009E089F"/>
    <w:rsid w:val="009E1041"/>
    <w:rsid w:val="009E15EF"/>
    <w:rsid w:val="009E252E"/>
    <w:rsid w:val="009E72A1"/>
    <w:rsid w:val="009E7DF5"/>
    <w:rsid w:val="009F0C56"/>
    <w:rsid w:val="009F14FD"/>
    <w:rsid w:val="009F271F"/>
    <w:rsid w:val="009F7610"/>
    <w:rsid w:val="00A01858"/>
    <w:rsid w:val="00A04690"/>
    <w:rsid w:val="00A07263"/>
    <w:rsid w:val="00A07DCE"/>
    <w:rsid w:val="00A10E8E"/>
    <w:rsid w:val="00A111A8"/>
    <w:rsid w:val="00A11CA3"/>
    <w:rsid w:val="00A12D44"/>
    <w:rsid w:val="00A16495"/>
    <w:rsid w:val="00A173A5"/>
    <w:rsid w:val="00A20EFE"/>
    <w:rsid w:val="00A212FE"/>
    <w:rsid w:val="00A239FA"/>
    <w:rsid w:val="00A271CE"/>
    <w:rsid w:val="00A32309"/>
    <w:rsid w:val="00A323EF"/>
    <w:rsid w:val="00A32603"/>
    <w:rsid w:val="00A3545A"/>
    <w:rsid w:val="00A369CC"/>
    <w:rsid w:val="00A41052"/>
    <w:rsid w:val="00A42596"/>
    <w:rsid w:val="00A44005"/>
    <w:rsid w:val="00A4744B"/>
    <w:rsid w:val="00A505F1"/>
    <w:rsid w:val="00A50A4A"/>
    <w:rsid w:val="00A5211C"/>
    <w:rsid w:val="00A53FE0"/>
    <w:rsid w:val="00A54D3D"/>
    <w:rsid w:val="00A560E8"/>
    <w:rsid w:val="00A56B10"/>
    <w:rsid w:val="00A606AD"/>
    <w:rsid w:val="00A63248"/>
    <w:rsid w:val="00A63C98"/>
    <w:rsid w:val="00A65928"/>
    <w:rsid w:val="00A72B2D"/>
    <w:rsid w:val="00A72BB3"/>
    <w:rsid w:val="00A763A3"/>
    <w:rsid w:val="00A8232C"/>
    <w:rsid w:val="00A826D6"/>
    <w:rsid w:val="00A82B6B"/>
    <w:rsid w:val="00A83F26"/>
    <w:rsid w:val="00A85FFA"/>
    <w:rsid w:val="00A868B0"/>
    <w:rsid w:val="00A87D2C"/>
    <w:rsid w:val="00A918FE"/>
    <w:rsid w:val="00A9534A"/>
    <w:rsid w:val="00A958E5"/>
    <w:rsid w:val="00AA1247"/>
    <w:rsid w:val="00AA1691"/>
    <w:rsid w:val="00AA24D9"/>
    <w:rsid w:val="00AA4F08"/>
    <w:rsid w:val="00AA6BB9"/>
    <w:rsid w:val="00AB34C5"/>
    <w:rsid w:val="00AB6BE8"/>
    <w:rsid w:val="00AC32FD"/>
    <w:rsid w:val="00AC34E4"/>
    <w:rsid w:val="00AC3582"/>
    <w:rsid w:val="00AD0C0E"/>
    <w:rsid w:val="00AD144D"/>
    <w:rsid w:val="00AD3201"/>
    <w:rsid w:val="00AD3438"/>
    <w:rsid w:val="00AD5A2B"/>
    <w:rsid w:val="00AD5E4E"/>
    <w:rsid w:val="00AD6DBC"/>
    <w:rsid w:val="00AD7E1A"/>
    <w:rsid w:val="00AE2E04"/>
    <w:rsid w:val="00AE356D"/>
    <w:rsid w:val="00AE3A1C"/>
    <w:rsid w:val="00AE4979"/>
    <w:rsid w:val="00AE66B1"/>
    <w:rsid w:val="00AF38EE"/>
    <w:rsid w:val="00B00582"/>
    <w:rsid w:val="00B037EB"/>
    <w:rsid w:val="00B038ED"/>
    <w:rsid w:val="00B0446A"/>
    <w:rsid w:val="00B066B4"/>
    <w:rsid w:val="00B07A1C"/>
    <w:rsid w:val="00B07DA1"/>
    <w:rsid w:val="00B2526E"/>
    <w:rsid w:val="00B33A2F"/>
    <w:rsid w:val="00B33D23"/>
    <w:rsid w:val="00B45B8C"/>
    <w:rsid w:val="00B50DCB"/>
    <w:rsid w:val="00B50DD5"/>
    <w:rsid w:val="00B51964"/>
    <w:rsid w:val="00B5491F"/>
    <w:rsid w:val="00B54DFA"/>
    <w:rsid w:val="00B625FF"/>
    <w:rsid w:val="00B65503"/>
    <w:rsid w:val="00B65C6F"/>
    <w:rsid w:val="00B66937"/>
    <w:rsid w:val="00B67615"/>
    <w:rsid w:val="00B708BE"/>
    <w:rsid w:val="00B758BC"/>
    <w:rsid w:val="00B77C05"/>
    <w:rsid w:val="00B80745"/>
    <w:rsid w:val="00B812FE"/>
    <w:rsid w:val="00B82381"/>
    <w:rsid w:val="00B84009"/>
    <w:rsid w:val="00B84011"/>
    <w:rsid w:val="00B86F01"/>
    <w:rsid w:val="00B874D9"/>
    <w:rsid w:val="00B9005D"/>
    <w:rsid w:val="00B9273B"/>
    <w:rsid w:val="00B951BE"/>
    <w:rsid w:val="00BA2590"/>
    <w:rsid w:val="00BA2902"/>
    <w:rsid w:val="00BB0069"/>
    <w:rsid w:val="00BB3BDF"/>
    <w:rsid w:val="00BB432F"/>
    <w:rsid w:val="00BB4523"/>
    <w:rsid w:val="00BB6B95"/>
    <w:rsid w:val="00BB78A1"/>
    <w:rsid w:val="00BB7E58"/>
    <w:rsid w:val="00BC06EF"/>
    <w:rsid w:val="00BC240F"/>
    <w:rsid w:val="00BC413B"/>
    <w:rsid w:val="00BC7BB4"/>
    <w:rsid w:val="00BD0582"/>
    <w:rsid w:val="00BD0C94"/>
    <w:rsid w:val="00BD3ABC"/>
    <w:rsid w:val="00BD45E7"/>
    <w:rsid w:val="00BD5E7B"/>
    <w:rsid w:val="00BE211F"/>
    <w:rsid w:val="00BE3E7D"/>
    <w:rsid w:val="00BE571C"/>
    <w:rsid w:val="00BE6DD9"/>
    <w:rsid w:val="00BE6F3E"/>
    <w:rsid w:val="00BE7FDC"/>
    <w:rsid w:val="00BF0910"/>
    <w:rsid w:val="00BF3877"/>
    <w:rsid w:val="00BF50CB"/>
    <w:rsid w:val="00BF5B5B"/>
    <w:rsid w:val="00BF5DE6"/>
    <w:rsid w:val="00BF7D8B"/>
    <w:rsid w:val="00C016D0"/>
    <w:rsid w:val="00C023D6"/>
    <w:rsid w:val="00C02B29"/>
    <w:rsid w:val="00C037BE"/>
    <w:rsid w:val="00C0448D"/>
    <w:rsid w:val="00C10A07"/>
    <w:rsid w:val="00C132EE"/>
    <w:rsid w:val="00C148F2"/>
    <w:rsid w:val="00C16AFE"/>
    <w:rsid w:val="00C213E5"/>
    <w:rsid w:val="00C22FFD"/>
    <w:rsid w:val="00C23B05"/>
    <w:rsid w:val="00C23D85"/>
    <w:rsid w:val="00C276DA"/>
    <w:rsid w:val="00C27E34"/>
    <w:rsid w:val="00C30E34"/>
    <w:rsid w:val="00C31B4B"/>
    <w:rsid w:val="00C32F3E"/>
    <w:rsid w:val="00C35338"/>
    <w:rsid w:val="00C368C8"/>
    <w:rsid w:val="00C36F2E"/>
    <w:rsid w:val="00C44978"/>
    <w:rsid w:val="00C46337"/>
    <w:rsid w:val="00C478B8"/>
    <w:rsid w:val="00C51539"/>
    <w:rsid w:val="00C529EE"/>
    <w:rsid w:val="00C52EED"/>
    <w:rsid w:val="00C551E9"/>
    <w:rsid w:val="00C6090B"/>
    <w:rsid w:val="00C62DB9"/>
    <w:rsid w:val="00C658E5"/>
    <w:rsid w:val="00C66EA2"/>
    <w:rsid w:val="00C71742"/>
    <w:rsid w:val="00C75043"/>
    <w:rsid w:val="00C7641F"/>
    <w:rsid w:val="00C76BC0"/>
    <w:rsid w:val="00C76DFC"/>
    <w:rsid w:val="00C800AA"/>
    <w:rsid w:val="00C82625"/>
    <w:rsid w:val="00C871CF"/>
    <w:rsid w:val="00C875EF"/>
    <w:rsid w:val="00C90893"/>
    <w:rsid w:val="00C925B3"/>
    <w:rsid w:val="00C93BA1"/>
    <w:rsid w:val="00C966C0"/>
    <w:rsid w:val="00C979A1"/>
    <w:rsid w:val="00CA0C30"/>
    <w:rsid w:val="00CA3E2A"/>
    <w:rsid w:val="00CB09EF"/>
    <w:rsid w:val="00CB0C2B"/>
    <w:rsid w:val="00CB3E5E"/>
    <w:rsid w:val="00CB4234"/>
    <w:rsid w:val="00CB428A"/>
    <w:rsid w:val="00CC4B34"/>
    <w:rsid w:val="00CD2A33"/>
    <w:rsid w:val="00CD46E0"/>
    <w:rsid w:val="00CD569A"/>
    <w:rsid w:val="00CD5808"/>
    <w:rsid w:val="00CE5A50"/>
    <w:rsid w:val="00CE7175"/>
    <w:rsid w:val="00CE7AB7"/>
    <w:rsid w:val="00CF06B5"/>
    <w:rsid w:val="00CF25ED"/>
    <w:rsid w:val="00CF58C4"/>
    <w:rsid w:val="00CF5E52"/>
    <w:rsid w:val="00CF730C"/>
    <w:rsid w:val="00D03D97"/>
    <w:rsid w:val="00D05191"/>
    <w:rsid w:val="00D05303"/>
    <w:rsid w:val="00D07D69"/>
    <w:rsid w:val="00D119B6"/>
    <w:rsid w:val="00D120FF"/>
    <w:rsid w:val="00D122BB"/>
    <w:rsid w:val="00D13D7B"/>
    <w:rsid w:val="00D14571"/>
    <w:rsid w:val="00D14C59"/>
    <w:rsid w:val="00D159E0"/>
    <w:rsid w:val="00D15F31"/>
    <w:rsid w:val="00D15F54"/>
    <w:rsid w:val="00D162D6"/>
    <w:rsid w:val="00D1671A"/>
    <w:rsid w:val="00D1794C"/>
    <w:rsid w:val="00D20096"/>
    <w:rsid w:val="00D223FE"/>
    <w:rsid w:val="00D22C0C"/>
    <w:rsid w:val="00D24778"/>
    <w:rsid w:val="00D31D0F"/>
    <w:rsid w:val="00D3301E"/>
    <w:rsid w:val="00D434F4"/>
    <w:rsid w:val="00D4403E"/>
    <w:rsid w:val="00D46F9B"/>
    <w:rsid w:val="00D47DD5"/>
    <w:rsid w:val="00D52D27"/>
    <w:rsid w:val="00D5495B"/>
    <w:rsid w:val="00D60450"/>
    <w:rsid w:val="00D636D4"/>
    <w:rsid w:val="00D740CE"/>
    <w:rsid w:val="00D74AE7"/>
    <w:rsid w:val="00D76582"/>
    <w:rsid w:val="00D8014A"/>
    <w:rsid w:val="00D802E7"/>
    <w:rsid w:val="00D837D8"/>
    <w:rsid w:val="00D8545D"/>
    <w:rsid w:val="00D8793B"/>
    <w:rsid w:val="00D93705"/>
    <w:rsid w:val="00D961AF"/>
    <w:rsid w:val="00D97DDF"/>
    <w:rsid w:val="00DA1B54"/>
    <w:rsid w:val="00DA2D01"/>
    <w:rsid w:val="00DA3EBF"/>
    <w:rsid w:val="00DB436E"/>
    <w:rsid w:val="00DB5072"/>
    <w:rsid w:val="00DC12E8"/>
    <w:rsid w:val="00DC12F7"/>
    <w:rsid w:val="00DC1DE8"/>
    <w:rsid w:val="00DD31C9"/>
    <w:rsid w:val="00DD573B"/>
    <w:rsid w:val="00DE05C5"/>
    <w:rsid w:val="00DE10F8"/>
    <w:rsid w:val="00DE209E"/>
    <w:rsid w:val="00DE3AA6"/>
    <w:rsid w:val="00DE3CEF"/>
    <w:rsid w:val="00DE6E3C"/>
    <w:rsid w:val="00DF0D18"/>
    <w:rsid w:val="00DF1BAF"/>
    <w:rsid w:val="00DF36B7"/>
    <w:rsid w:val="00DF4007"/>
    <w:rsid w:val="00DF57DD"/>
    <w:rsid w:val="00E05B1F"/>
    <w:rsid w:val="00E05F44"/>
    <w:rsid w:val="00E0716D"/>
    <w:rsid w:val="00E10AB5"/>
    <w:rsid w:val="00E13742"/>
    <w:rsid w:val="00E155EE"/>
    <w:rsid w:val="00E15FA5"/>
    <w:rsid w:val="00E16B1D"/>
    <w:rsid w:val="00E16F1A"/>
    <w:rsid w:val="00E211BB"/>
    <w:rsid w:val="00E23528"/>
    <w:rsid w:val="00E24872"/>
    <w:rsid w:val="00E30A7E"/>
    <w:rsid w:val="00E30B8C"/>
    <w:rsid w:val="00E30B9B"/>
    <w:rsid w:val="00E32509"/>
    <w:rsid w:val="00E32809"/>
    <w:rsid w:val="00E33B65"/>
    <w:rsid w:val="00E40C46"/>
    <w:rsid w:val="00E40F19"/>
    <w:rsid w:val="00E44AA7"/>
    <w:rsid w:val="00E509EE"/>
    <w:rsid w:val="00E5181E"/>
    <w:rsid w:val="00E542C5"/>
    <w:rsid w:val="00E545C3"/>
    <w:rsid w:val="00E609DC"/>
    <w:rsid w:val="00E660B8"/>
    <w:rsid w:val="00E66B77"/>
    <w:rsid w:val="00E6704B"/>
    <w:rsid w:val="00E678B6"/>
    <w:rsid w:val="00E72EA4"/>
    <w:rsid w:val="00E746E0"/>
    <w:rsid w:val="00E74DB0"/>
    <w:rsid w:val="00E775DD"/>
    <w:rsid w:val="00E835A5"/>
    <w:rsid w:val="00E8640F"/>
    <w:rsid w:val="00E941A4"/>
    <w:rsid w:val="00E94393"/>
    <w:rsid w:val="00E968FE"/>
    <w:rsid w:val="00E97B40"/>
    <w:rsid w:val="00EA1F48"/>
    <w:rsid w:val="00EB3452"/>
    <w:rsid w:val="00EB54D7"/>
    <w:rsid w:val="00EB59E7"/>
    <w:rsid w:val="00EB6F6A"/>
    <w:rsid w:val="00EC11E2"/>
    <w:rsid w:val="00EC16B3"/>
    <w:rsid w:val="00EC3F35"/>
    <w:rsid w:val="00EC6A1A"/>
    <w:rsid w:val="00ED171A"/>
    <w:rsid w:val="00ED3B28"/>
    <w:rsid w:val="00ED5826"/>
    <w:rsid w:val="00ED619E"/>
    <w:rsid w:val="00ED72D1"/>
    <w:rsid w:val="00EE0DE1"/>
    <w:rsid w:val="00EE2280"/>
    <w:rsid w:val="00EE3225"/>
    <w:rsid w:val="00EF014F"/>
    <w:rsid w:val="00EF4CDC"/>
    <w:rsid w:val="00EF5F4E"/>
    <w:rsid w:val="00F00645"/>
    <w:rsid w:val="00F00C20"/>
    <w:rsid w:val="00F01EBB"/>
    <w:rsid w:val="00F03C6C"/>
    <w:rsid w:val="00F10E12"/>
    <w:rsid w:val="00F11503"/>
    <w:rsid w:val="00F12268"/>
    <w:rsid w:val="00F13531"/>
    <w:rsid w:val="00F13A45"/>
    <w:rsid w:val="00F207D7"/>
    <w:rsid w:val="00F21A8E"/>
    <w:rsid w:val="00F22A15"/>
    <w:rsid w:val="00F24164"/>
    <w:rsid w:val="00F251B1"/>
    <w:rsid w:val="00F2546D"/>
    <w:rsid w:val="00F3023C"/>
    <w:rsid w:val="00F36712"/>
    <w:rsid w:val="00F37722"/>
    <w:rsid w:val="00F37CCA"/>
    <w:rsid w:val="00F41015"/>
    <w:rsid w:val="00F4684A"/>
    <w:rsid w:val="00F51E11"/>
    <w:rsid w:val="00F52BB1"/>
    <w:rsid w:val="00F542A6"/>
    <w:rsid w:val="00F60EF5"/>
    <w:rsid w:val="00F61349"/>
    <w:rsid w:val="00F6376A"/>
    <w:rsid w:val="00F65A96"/>
    <w:rsid w:val="00F66F00"/>
    <w:rsid w:val="00F67181"/>
    <w:rsid w:val="00F7121A"/>
    <w:rsid w:val="00F71B98"/>
    <w:rsid w:val="00F73B07"/>
    <w:rsid w:val="00F75D21"/>
    <w:rsid w:val="00F76B4E"/>
    <w:rsid w:val="00F77672"/>
    <w:rsid w:val="00F8635F"/>
    <w:rsid w:val="00F92072"/>
    <w:rsid w:val="00F9598A"/>
    <w:rsid w:val="00F95B86"/>
    <w:rsid w:val="00F95D82"/>
    <w:rsid w:val="00FA6BF7"/>
    <w:rsid w:val="00FA7C7C"/>
    <w:rsid w:val="00FB01C6"/>
    <w:rsid w:val="00FB2656"/>
    <w:rsid w:val="00FB2C7E"/>
    <w:rsid w:val="00FB2F70"/>
    <w:rsid w:val="00FB4280"/>
    <w:rsid w:val="00FB6B15"/>
    <w:rsid w:val="00FC1EEF"/>
    <w:rsid w:val="00FC28AF"/>
    <w:rsid w:val="00FC4693"/>
    <w:rsid w:val="00FC74C2"/>
    <w:rsid w:val="00FD04DF"/>
    <w:rsid w:val="00FD2E2E"/>
    <w:rsid w:val="00FD52B4"/>
    <w:rsid w:val="00FD667D"/>
    <w:rsid w:val="00FE54A9"/>
    <w:rsid w:val="00FE6486"/>
    <w:rsid w:val="00FE6E16"/>
    <w:rsid w:val="00FF0217"/>
    <w:rsid w:val="00FF2DCF"/>
    <w:rsid w:val="00FF3E1E"/>
    <w:rsid w:val="00FF5FB6"/>
    <w:rsid w:val="00FF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Pr>
      <w:rFonts w:ascii="Verdana" w:eastAsia="Verdana" w:hAnsi="Verdana" w:cs="Verdana"/>
      <w:sz w:val="18"/>
      <w:szCs w:val="18"/>
    </w:rPr>
  </w:style>
  <w:style w:type="paragraph" w:customStyle="1" w:styleId="Questionnaire-instance-info">
    <w:name w:val="Questionnaire-instance-info"/>
    <w:basedOn w:val="Normal"/>
    <w:pPr>
      <w:spacing w:after="600"/>
    </w:pPr>
  </w:style>
  <w:style w:type="paragraph" w:customStyle="1" w:styleId="Questionarie-instance-questionsQuestion-item">
    <w:name w:val="Questionarie-instance-questions_Question-item"/>
    <w:basedOn w:val="Normal"/>
    <w:pPr>
      <w:spacing w:before="150" w:after="150"/>
    </w:pPr>
  </w:style>
  <w:style w:type="paragraph" w:customStyle="1" w:styleId="Questionarie-instance-questionsQuestion-itemTitle-holder">
    <w:name w:val="Questionarie-instance-questions_Question-item_Title-holder"/>
    <w:basedOn w:val="Normal"/>
    <w:pPr>
      <w:spacing w:before="75" w:after="75"/>
    </w:pPr>
  </w:style>
  <w:style w:type="paragraph" w:customStyle="1" w:styleId="Questionarie-instance-questionsConditional-question">
    <w:name w:val="Questionarie-instance-questions_Conditional-question"/>
    <w:basedOn w:val="Normal"/>
    <w:pPr>
      <w:pBdr>
        <w:top w:val="nil"/>
        <w:left w:val="nil"/>
        <w:bottom w:val="nil"/>
        <w:right w:val="nil"/>
      </w:pBdr>
    </w:pPr>
  </w:style>
  <w:style w:type="paragraph" w:customStyle="1" w:styleId="Clear">
    <w:name w:val="Clear"/>
    <w:basedOn w:val="Normal"/>
  </w:style>
  <w:style w:type="paragraph" w:customStyle="1" w:styleId="Header1">
    <w:name w:val="Header1"/>
    <w:basedOn w:val="Header"/>
    <w:rsid w:val="00C037BE"/>
    <w:pPr>
      <w:tabs>
        <w:tab w:val="clear" w:pos="4513"/>
        <w:tab w:val="clear" w:pos="9026"/>
        <w:tab w:val="center" w:pos="4536"/>
        <w:tab w:val="right" w:pos="9072"/>
      </w:tabs>
    </w:pPr>
    <w:rPr>
      <w:rFonts w:ascii="Arial" w:hAnsi="Arial"/>
      <w:b/>
      <w:sz w:val="20"/>
      <w:szCs w:val="20"/>
      <w:bdr w:val="none" w:sz="0" w:space="0" w:color="auto"/>
      <w:lang w:val="nb-NO" w:eastAsia="de-DE"/>
    </w:rPr>
  </w:style>
  <w:style w:type="paragraph" w:styleId="Title">
    <w:name w:val="Title"/>
    <w:basedOn w:val="Normal"/>
    <w:link w:val="TitleChar"/>
    <w:qFormat/>
    <w:rsid w:val="00C037BE"/>
    <w:pPr>
      <w:spacing w:after="120"/>
      <w:jc w:val="center"/>
    </w:pPr>
    <w:rPr>
      <w:rFonts w:ascii="Arial" w:hAnsi="Arial"/>
      <w:b/>
      <w:sz w:val="28"/>
      <w:szCs w:val="20"/>
      <w:bdr w:val="none" w:sz="0" w:space="0" w:color="auto"/>
      <w:lang w:val="de-DE" w:eastAsia="de-DE"/>
    </w:rPr>
  </w:style>
  <w:style w:type="character" w:customStyle="1" w:styleId="TitleChar">
    <w:name w:val="Title Char"/>
    <w:basedOn w:val="DefaultParagraphFont"/>
    <w:link w:val="Title"/>
    <w:rsid w:val="00C037BE"/>
    <w:rPr>
      <w:rFonts w:ascii="Arial" w:hAnsi="Arial"/>
      <w:b/>
      <w:sz w:val="28"/>
      <w:lang w:val="de-DE" w:eastAsia="de-DE"/>
    </w:rPr>
  </w:style>
  <w:style w:type="paragraph" w:styleId="Header">
    <w:name w:val="header"/>
    <w:basedOn w:val="Normal"/>
    <w:link w:val="HeaderChar"/>
    <w:uiPriority w:val="99"/>
    <w:unhideWhenUsed/>
    <w:rsid w:val="00C037BE"/>
    <w:pPr>
      <w:tabs>
        <w:tab w:val="center" w:pos="4513"/>
        <w:tab w:val="right" w:pos="9026"/>
      </w:tabs>
    </w:pPr>
  </w:style>
  <w:style w:type="character" w:customStyle="1" w:styleId="HeaderChar">
    <w:name w:val="Header Char"/>
    <w:basedOn w:val="DefaultParagraphFont"/>
    <w:link w:val="Header"/>
    <w:uiPriority w:val="99"/>
    <w:rsid w:val="00C037BE"/>
    <w:rPr>
      <w:sz w:val="24"/>
      <w:szCs w:val="24"/>
      <w:bdr w:val="nil"/>
    </w:rPr>
  </w:style>
  <w:style w:type="paragraph" w:customStyle="1" w:styleId="ECCAnnexheading1">
    <w:name w:val="ECC Annex heading1"/>
    <w:next w:val="Normal"/>
    <w:autoRedefine/>
    <w:qFormat/>
    <w:rsid w:val="009E252E"/>
    <w:pPr>
      <w:keepNext/>
      <w:pageBreakBefore/>
      <w:numPr>
        <w:numId w:val="1"/>
      </w:numPr>
      <w:spacing w:before="240" w:after="60"/>
      <w:jc w:val="both"/>
      <w:outlineLvl w:val="0"/>
    </w:pPr>
    <w:rPr>
      <w:rFonts w:ascii="Arial" w:hAnsi="Arial"/>
      <w:b/>
      <w:caps/>
      <w:color w:val="D2232A"/>
      <w:lang w:val="da-DK" w:eastAsia="en-US"/>
    </w:rPr>
  </w:style>
  <w:style w:type="paragraph" w:customStyle="1" w:styleId="ECCAnnexheading2">
    <w:name w:val="ECC Annex heading2"/>
    <w:next w:val="Normal"/>
    <w:rsid w:val="009E252E"/>
    <w:pPr>
      <w:keepNext/>
      <w:numPr>
        <w:ilvl w:val="1"/>
        <w:numId w:val="1"/>
      </w:numPr>
      <w:overflowPunct w:val="0"/>
      <w:autoSpaceDE w:val="0"/>
      <w:autoSpaceDN w:val="0"/>
      <w:adjustRightInd w:val="0"/>
      <w:spacing w:before="480" w:after="240"/>
      <w:ind w:left="0" w:firstLine="0"/>
      <w:textAlignment w:val="baseline"/>
      <w:outlineLvl w:val="1"/>
    </w:pPr>
    <w:rPr>
      <w:rFonts w:ascii="Arial" w:hAnsi="Arial"/>
      <w:b/>
      <w:caps/>
      <w:lang w:val="da-DK" w:eastAsia="en-US"/>
    </w:rPr>
  </w:style>
  <w:style w:type="paragraph" w:customStyle="1" w:styleId="ECCAnnexheading3">
    <w:name w:val="ECC Annex heading3"/>
    <w:next w:val="Normal"/>
    <w:rsid w:val="009E252E"/>
    <w:pPr>
      <w:keepNext/>
      <w:numPr>
        <w:ilvl w:val="2"/>
        <w:numId w:val="1"/>
      </w:numPr>
      <w:overflowPunct w:val="0"/>
      <w:autoSpaceDE w:val="0"/>
      <w:autoSpaceDN w:val="0"/>
      <w:adjustRightInd w:val="0"/>
      <w:spacing w:before="360" w:after="60"/>
      <w:ind w:left="720"/>
      <w:jc w:val="both"/>
      <w:textAlignment w:val="baseline"/>
      <w:outlineLvl w:val="2"/>
    </w:pPr>
    <w:rPr>
      <w:rFonts w:ascii="Arial" w:hAnsi="Arial"/>
      <w:b/>
      <w:lang w:val="da-DK" w:eastAsia="en-US"/>
    </w:rPr>
  </w:style>
  <w:style w:type="paragraph" w:customStyle="1" w:styleId="ECCAnnexheading4">
    <w:name w:val="ECC Annex heading4"/>
    <w:next w:val="Normal"/>
    <w:rsid w:val="009E252E"/>
    <w:pPr>
      <w:keepNext/>
      <w:numPr>
        <w:ilvl w:val="3"/>
        <w:numId w:val="1"/>
      </w:numPr>
      <w:overflowPunct w:val="0"/>
      <w:autoSpaceDE w:val="0"/>
      <w:autoSpaceDN w:val="0"/>
      <w:adjustRightInd w:val="0"/>
      <w:spacing w:before="360" w:after="60"/>
      <w:jc w:val="both"/>
      <w:textAlignment w:val="baseline"/>
      <w:outlineLvl w:val="3"/>
    </w:pPr>
    <w:rPr>
      <w:rFonts w:ascii="Arial" w:hAnsi="Arial"/>
      <w:i/>
      <w:color w:val="D2232A"/>
      <w:lang w:val="da-DK" w:eastAsia="en-US"/>
    </w:rPr>
  </w:style>
  <w:style w:type="table" w:customStyle="1" w:styleId="ECCTable-redheader">
    <w:name w:val="ECC Table - red header"/>
    <w:basedOn w:val="TableNormal"/>
    <w:uiPriority w:val="99"/>
    <w:qFormat/>
    <w:rsid w:val="009E252E"/>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LightGrid-Accent31">
    <w:name w:val="Light Grid - Accent 31"/>
    <w:basedOn w:val="Normal"/>
    <w:uiPriority w:val="34"/>
    <w:qFormat/>
    <w:rsid w:val="009735E5"/>
    <w:pPr>
      <w:spacing w:before="100" w:beforeAutospacing="1" w:after="100" w:afterAutospacing="1"/>
    </w:pPr>
    <w:rPr>
      <w:rFonts w:eastAsia="SimSun"/>
      <w:bdr w:val="none" w:sz="0" w:space="0" w:color="auto"/>
      <w:lang w:val="pt-PT" w:eastAsia="zh-CN"/>
    </w:rPr>
  </w:style>
  <w:style w:type="character" w:styleId="Hyperlink">
    <w:name w:val="Hyperlink"/>
    <w:uiPriority w:val="99"/>
    <w:unhideWhenUsed/>
    <w:rsid w:val="009735E5"/>
    <w:rPr>
      <w:color w:val="0000FF"/>
      <w:u w:val="single"/>
    </w:rPr>
  </w:style>
  <w:style w:type="character" w:styleId="FollowedHyperlink">
    <w:name w:val="FollowedHyperlink"/>
    <w:basedOn w:val="DefaultParagraphFont"/>
    <w:uiPriority w:val="99"/>
    <w:semiHidden/>
    <w:unhideWhenUsed/>
    <w:rsid w:val="008B14B1"/>
    <w:rPr>
      <w:color w:val="954F72" w:themeColor="followedHyperlink"/>
      <w:u w:val="single"/>
    </w:rPr>
  </w:style>
  <w:style w:type="character" w:styleId="UnresolvedMention">
    <w:name w:val="Unresolved Mention"/>
    <w:basedOn w:val="DefaultParagraphFont"/>
    <w:uiPriority w:val="99"/>
    <w:semiHidden/>
    <w:unhideWhenUsed/>
    <w:rsid w:val="008B14B1"/>
    <w:rPr>
      <w:color w:val="605E5C"/>
      <w:shd w:val="clear" w:color="auto" w:fill="E1DFDD"/>
    </w:rPr>
  </w:style>
  <w:style w:type="paragraph" w:styleId="Revision">
    <w:name w:val="Revision"/>
    <w:hidden/>
    <w:uiPriority w:val="99"/>
    <w:semiHidden/>
    <w:rsid w:val="0070339C"/>
    <w:rPr>
      <w:sz w:val="24"/>
      <w:szCs w:val="24"/>
      <w:bdr w:val="nil"/>
    </w:rPr>
  </w:style>
  <w:style w:type="paragraph" w:styleId="Footer">
    <w:name w:val="footer"/>
    <w:basedOn w:val="Normal"/>
    <w:link w:val="FooterChar"/>
    <w:uiPriority w:val="99"/>
    <w:unhideWhenUsed/>
    <w:rsid w:val="008A0AC8"/>
    <w:pPr>
      <w:tabs>
        <w:tab w:val="center" w:pos="4513"/>
        <w:tab w:val="right" w:pos="9026"/>
      </w:tabs>
    </w:pPr>
  </w:style>
  <w:style w:type="character" w:customStyle="1" w:styleId="FooterChar">
    <w:name w:val="Footer Char"/>
    <w:basedOn w:val="DefaultParagraphFont"/>
    <w:link w:val="Footer"/>
    <w:uiPriority w:val="99"/>
    <w:rsid w:val="008A0AC8"/>
    <w:rPr>
      <w:sz w:val="24"/>
      <w:szCs w:val="24"/>
      <w:bdr w:val="nil"/>
    </w:rPr>
  </w:style>
  <w:style w:type="paragraph" w:customStyle="1" w:styleId="ECCBulletsLv1">
    <w:name w:val="ECC Bullets Lv1"/>
    <w:basedOn w:val="Normal"/>
    <w:rsid w:val="00C62DB9"/>
    <w:pPr>
      <w:numPr>
        <w:numId w:val="16"/>
      </w:numPr>
      <w:tabs>
        <w:tab w:val="left" w:pos="340"/>
      </w:tabs>
      <w:spacing w:before="60" w:line="288" w:lineRule="auto"/>
      <w:ind w:left="340" w:hanging="340"/>
      <w:contextualSpacing/>
      <w:jc w:val="both"/>
    </w:pPr>
    <w:rPr>
      <w:rFonts w:ascii="Arial" w:eastAsia="Calibri" w:hAnsi="Arial"/>
      <w:sz w:val="20"/>
      <w:szCs w:val="22"/>
      <w:bdr w:val="none" w:sz="0" w:space="0" w:color="auto"/>
      <w:lang w:eastAsia="en-US"/>
    </w:rPr>
  </w:style>
  <w:style w:type="paragraph" w:customStyle="1" w:styleId="ECCBulletsLv2">
    <w:name w:val="ECC Bullets Lv2"/>
    <w:basedOn w:val="ECCBulletsLv1"/>
    <w:rsid w:val="00C62DB9"/>
    <w:pPr>
      <w:tabs>
        <w:tab w:val="clear" w:pos="340"/>
        <w:tab w:val="left" w:pos="680"/>
      </w:tabs>
      <w:ind w:left="680"/>
    </w:pPr>
  </w:style>
  <w:style w:type="paragraph" w:customStyle="1" w:styleId="ECCLetterHead">
    <w:name w:val="ECC Letter Head"/>
    <w:basedOn w:val="Normal"/>
    <w:link w:val="ECCLetterHeadZchn"/>
    <w:qFormat/>
    <w:rsid w:val="00C62DB9"/>
    <w:pPr>
      <w:tabs>
        <w:tab w:val="right" w:pos="4750"/>
      </w:tabs>
      <w:spacing w:before="120" w:after="60"/>
      <w:jc w:val="both"/>
    </w:pPr>
    <w:rPr>
      <w:rFonts w:ascii="Arial" w:eastAsia="Calibri" w:hAnsi="Arial"/>
      <w:b/>
      <w:sz w:val="22"/>
      <w:szCs w:val="20"/>
      <w:bdr w:val="none" w:sz="0" w:space="0" w:color="auto"/>
      <w:lang w:eastAsia="en-US"/>
    </w:rPr>
  </w:style>
  <w:style w:type="paragraph" w:customStyle="1" w:styleId="ECCTabletext">
    <w:name w:val="ECC Table text"/>
    <w:basedOn w:val="Normal"/>
    <w:qFormat/>
    <w:rsid w:val="00C62DB9"/>
    <w:pPr>
      <w:spacing w:before="60" w:after="60"/>
      <w:jc w:val="both"/>
    </w:pPr>
    <w:rPr>
      <w:rFonts w:ascii="Arial" w:eastAsia="Calibri" w:hAnsi="Arial"/>
      <w:sz w:val="20"/>
      <w:szCs w:val="22"/>
      <w:bdr w:val="none" w:sz="0" w:space="0" w:color="auto"/>
      <w:lang w:eastAsia="en-US"/>
    </w:rPr>
  </w:style>
  <w:style w:type="character" w:customStyle="1" w:styleId="ECCLetterHeadZchn">
    <w:name w:val="ECC Letter Head Zchn"/>
    <w:basedOn w:val="DefaultParagraphFont"/>
    <w:link w:val="ECCLetterHead"/>
    <w:rsid w:val="00C62DB9"/>
    <w:rPr>
      <w:rFonts w:ascii="Arial" w:eastAsia="Calibri" w:hAnsi="Arial"/>
      <w:b/>
      <w:sz w:val="22"/>
      <w:lang w:eastAsia="en-US"/>
    </w:rPr>
  </w:style>
  <w:style w:type="character" w:customStyle="1" w:styleId="ECCParagraph">
    <w:name w:val="ECC Paragraph"/>
    <w:basedOn w:val="DefaultParagraphFont"/>
    <w:uiPriority w:val="1"/>
    <w:qFormat/>
    <w:rsid w:val="00C62DB9"/>
    <w:rPr>
      <w:rFonts w:ascii="Arial" w:hAnsi="Arial"/>
      <w:noProof w:val="0"/>
      <w:sz w:val="20"/>
      <w:bdr w:val="none" w:sz="0" w:space="0" w:color="auto"/>
      <w:lang w:val="en-GB"/>
    </w:rPr>
  </w:style>
  <w:style w:type="character" w:styleId="CommentReference">
    <w:name w:val="annotation reference"/>
    <w:basedOn w:val="DefaultParagraphFont"/>
    <w:uiPriority w:val="99"/>
    <w:semiHidden/>
    <w:unhideWhenUsed/>
    <w:rsid w:val="00626AD2"/>
    <w:rPr>
      <w:sz w:val="16"/>
      <w:szCs w:val="16"/>
    </w:rPr>
  </w:style>
  <w:style w:type="paragraph" w:styleId="CommentText">
    <w:name w:val="annotation text"/>
    <w:basedOn w:val="Normal"/>
    <w:link w:val="CommentTextChar"/>
    <w:uiPriority w:val="99"/>
    <w:unhideWhenUsed/>
    <w:rsid w:val="00626AD2"/>
    <w:rPr>
      <w:sz w:val="20"/>
      <w:szCs w:val="20"/>
    </w:rPr>
  </w:style>
  <w:style w:type="character" w:customStyle="1" w:styleId="CommentTextChar">
    <w:name w:val="Comment Text Char"/>
    <w:basedOn w:val="DefaultParagraphFont"/>
    <w:link w:val="CommentText"/>
    <w:uiPriority w:val="99"/>
    <w:rsid w:val="00626AD2"/>
    <w:rPr>
      <w:bdr w:val="nil"/>
    </w:rPr>
  </w:style>
  <w:style w:type="paragraph" w:styleId="CommentSubject">
    <w:name w:val="annotation subject"/>
    <w:basedOn w:val="CommentText"/>
    <w:next w:val="CommentText"/>
    <w:link w:val="CommentSubjectChar"/>
    <w:uiPriority w:val="99"/>
    <w:semiHidden/>
    <w:unhideWhenUsed/>
    <w:rsid w:val="00626AD2"/>
    <w:rPr>
      <w:b/>
      <w:bCs/>
    </w:rPr>
  </w:style>
  <w:style w:type="character" w:customStyle="1" w:styleId="CommentSubjectChar">
    <w:name w:val="Comment Subject Char"/>
    <w:basedOn w:val="CommentTextChar"/>
    <w:link w:val="CommentSubject"/>
    <w:uiPriority w:val="99"/>
    <w:semiHidden/>
    <w:rsid w:val="00626AD2"/>
    <w:rPr>
      <w:b/>
      <w:bCs/>
      <w:bdr w:val="nil"/>
    </w:rPr>
  </w:style>
  <w:style w:type="table" w:styleId="TableGrid">
    <w:name w:val="Table Grid"/>
    <w:basedOn w:val="TableNormal"/>
    <w:uiPriority w:val="39"/>
    <w:rsid w:val="00CC4B34"/>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rsid w:val="00CC4B34"/>
    <w:pPr>
      <w:overflowPunct w:val="0"/>
      <w:autoSpaceDE w:val="0"/>
      <w:autoSpaceDN w:val="0"/>
      <w:adjustRightInd w:val="0"/>
      <w:spacing w:before="60" w:after="60"/>
      <w:textAlignment w:val="baseline"/>
    </w:pPr>
    <w:rPr>
      <w:rFonts w:ascii="Calibri" w:hAnsi="Calibri"/>
      <w:szCs w:val="2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08338">
      <w:bodyDiv w:val="1"/>
      <w:marLeft w:val="0"/>
      <w:marRight w:val="0"/>
      <w:marTop w:val="0"/>
      <w:marBottom w:val="0"/>
      <w:divBdr>
        <w:top w:val="none" w:sz="0" w:space="0" w:color="auto"/>
        <w:left w:val="none" w:sz="0" w:space="0" w:color="auto"/>
        <w:bottom w:val="none" w:sz="0" w:space="0" w:color="auto"/>
        <w:right w:val="none" w:sz="0" w:space="0" w:color="auto"/>
      </w:divBdr>
    </w:div>
    <w:div w:id="504630926">
      <w:bodyDiv w:val="1"/>
      <w:marLeft w:val="0"/>
      <w:marRight w:val="0"/>
      <w:marTop w:val="0"/>
      <w:marBottom w:val="0"/>
      <w:divBdr>
        <w:top w:val="none" w:sz="0" w:space="0" w:color="auto"/>
        <w:left w:val="none" w:sz="0" w:space="0" w:color="auto"/>
        <w:bottom w:val="none" w:sz="0" w:space="0" w:color="auto"/>
        <w:right w:val="none" w:sz="0" w:space="0" w:color="auto"/>
      </w:divBdr>
    </w:div>
    <w:div w:id="923341103">
      <w:bodyDiv w:val="1"/>
      <w:marLeft w:val="0"/>
      <w:marRight w:val="0"/>
      <w:marTop w:val="0"/>
      <w:marBottom w:val="0"/>
      <w:divBdr>
        <w:top w:val="none" w:sz="0" w:space="0" w:color="auto"/>
        <w:left w:val="none" w:sz="0" w:space="0" w:color="auto"/>
        <w:bottom w:val="none" w:sz="0" w:space="0" w:color="auto"/>
        <w:right w:val="none" w:sz="0" w:space="0" w:color="auto"/>
      </w:divBdr>
    </w:div>
    <w:div w:id="1003170759">
      <w:bodyDiv w:val="1"/>
      <w:marLeft w:val="0"/>
      <w:marRight w:val="0"/>
      <w:marTop w:val="0"/>
      <w:marBottom w:val="0"/>
      <w:divBdr>
        <w:top w:val="none" w:sz="0" w:space="0" w:color="auto"/>
        <w:left w:val="none" w:sz="0" w:space="0" w:color="auto"/>
        <w:bottom w:val="none" w:sz="0" w:space="0" w:color="auto"/>
        <w:right w:val="none" w:sz="0" w:space="0" w:color="auto"/>
      </w:divBdr>
    </w:div>
    <w:div w:id="1063792588">
      <w:bodyDiv w:val="1"/>
      <w:marLeft w:val="0"/>
      <w:marRight w:val="0"/>
      <w:marTop w:val="0"/>
      <w:marBottom w:val="0"/>
      <w:divBdr>
        <w:top w:val="none" w:sz="0" w:space="0" w:color="auto"/>
        <w:left w:val="none" w:sz="0" w:space="0" w:color="auto"/>
        <w:bottom w:val="none" w:sz="0" w:space="0" w:color="auto"/>
        <w:right w:val="none" w:sz="0" w:space="0" w:color="auto"/>
      </w:divBdr>
    </w:div>
    <w:div w:id="1321152297">
      <w:bodyDiv w:val="1"/>
      <w:marLeft w:val="0"/>
      <w:marRight w:val="0"/>
      <w:marTop w:val="0"/>
      <w:marBottom w:val="0"/>
      <w:divBdr>
        <w:top w:val="none" w:sz="0" w:space="0" w:color="auto"/>
        <w:left w:val="none" w:sz="0" w:space="0" w:color="auto"/>
        <w:bottom w:val="none" w:sz="0" w:space="0" w:color="auto"/>
        <w:right w:val="none" w:sz="0" w:space="0" w:color="auto"/>
      </w:divBdr>
    </w:div>
    <w:div w:id="1595358405">
      <w:bodyDiv w:val="1"/>
      <w:marLeft w:val="0"/>
      <w:marRight w:val="0"/>
      <w:marTop w:val="0"/>
      <w:marBottom w:val="0"/>
      <w:divBdr>
        <w:top w:val="none" w:sz="0" w:space="0" w:color="auto"/>
        <w:left w:val="none" w:sz="0" w:space="0" w:color="auto"/>
        <w:bottom w:val="none" w:sz="0" w:space="0" w:color="auto"/>
        <w:right w:val="none" w:sz="0" w:space="0" w:color="auto"/>
      </w:divBdr>
    </w:div>
    <w:div w:id="1651979313">
      <w:bodyDiv w:val="1"/>
      <w:marLeft w:val="0"/>
      <w:marRight w:val="0"/>
      <w:marTop w:val="0"/>
      <w:marBottom w:val="0"/>
      <w:divBdr>
        <w:top w:val="none" w:sz="0" w:space="0" w:color="auto"/>
        <w:left w:val="none" w:sz="0" w:space="0" w:color="auto"/>
        <w:bottom w:val="none" w:sz="0" w:space="0" w:color="auto"/>
        <w:right w:val="none" w:sz="0" w:space="0" w:color="auto"/>
      </w:divBdr>
    </w:div>
    <w:div w:id="1810050042">
      <w:bodyDiv w:val="1"/>
      <w:marLeft w:val="0"/>
      <w:marRight w:val="0"/>
      <w:marTop w:val="0"/>
      <w:marBottom w:val="0"/>
      <w:divBdr>
        <w:top w:val="none" w:sz="0" w:space="0" w:color="auto"/>
        <w:left w:val="none" w:sz="0" w:space="0" w:color="auto"/>
        <w:bottom w:val="none" w:sz="0" w:space="0" w:color="auto"/>
        <w:right w:val="none" w:sz="0" w:space="0" w:color="auto"/>
      </w:divBdr>
    </w:div>
    <w:div w:id="1908492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0FFE99370CFD468510115DA163B2ED" ma:contentTypeVersion="11" ma:contentTypeDescription="Create a new document." ma:contentTypeScope="" ma:versionID="f20c0b6da03513b94983891aed53e549">
  <xsd:schema xmlns:xsd="http://www.w3.org/2001/XMLSchema" xmlns:xs="http://www.w3.org/2001/XMLSchema" xmlns:p="http://schemas.microsoft.com/office/2006/metadata/properties" xmlns:ns2="e5789da2-bddc-4ce6-b40c-c8a467e60ea0" targetNamespace="http://schemas.microsoft.com/office/2006/metadata/properties" ma:root="true" ma:fieldsID="7fe05b038bb7921921a6778a33ccd579" ns2:_="">
    <xsd:import namespace="e5789da2-bddc-4ce6-b40c-c8a467e60e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89da2-bddc-4ce6-b40c-c8a467e6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0AB76-1091-466B-9B67-18D0BD39E154}">
  <ds:schemaRefs>
    <ds:schemaRef ds:uri="http://schemas.microsoft.com/sharepoint/v3/contenttype/forms"/>
  </ds:schemaRefs>
</ds:datastoreItem>
</file>

<file path=customXml/itemProps2.xml><?xml version="1.0" encoding="utf-8"?>
<ds:datastoreItem xmlns:ds="http://schemas.openxmlformats.org/officeDocument/2006/customXml" ds:itemID="{F384ECEA-ACB1-4AB1-A374-C6F6AF52DC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4B2C7-30BF-43E7-835E-B6452A8D2B5A}">
  <ds:schemaRefs>
    <ds:schemaRef ds:uri="http://schemas.openxmlformats.org/officeDocument/2006/bibliography"/>
  </ds:schemaRefs>
</ds:datastoreItem>
</file>

<file path=customXml/itemProps4.xml><?xml version="1.0" encoding="utf-8"?>
<ds:datastoreItem xmlns:ds="http://schemas.openxmlformats.org/officeDocument/2006/customXml" ds:itemID="{A5AD2C08-B9CF-4B82-8AAB-1CF69F024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89da2-bddc-4ce6-b40c-c8a467e60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5980</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2025-02-11T09:57:00Z</dcterms:created>
  <dcterms:modified xsi:type="dcterms:W3CDTF">2025-02-11T16:12:00Z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2024-08-01T12:52:21Z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b54bba9d-58f8-4494-a77c-f649b85e1c81</vt:lpwstr>
  </property>
  <property fmtid="{D5CDD505-2E9C-101B-9397-08002B2CF9AE}" pid="8" name="MSIP_Label_5a50d26f-5c2c-4137-8396-1b24eb24286c_ContentBits">
    <vt:lpwstr>0</vt:lpwstr>
  </property>
  <property fmtid="{D5CDD505-2E9C-101B-9397-08002B2CF9AE}" pid="9" name="ContentTypeId">
    <vt:lpwstr>0x010100BC0FFE99370CFD468510115DA163B2ED</vt:lpwstr>
  </property>
</Properties>
</file>