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3340"/>
        <w:gridCol w:w="4709"/>
        <w:gridCol w:w="38"/>
      </w:tblGrid>
      <w:tr w:rsidR="009033CD" w:rsidRPr="00235592" w14:paraId="69A880EF" w14:textId="77777777" w:rsidTr="008C6502">
        <w:trPr>
          <w:cantSplit/>
          <w:trHeight w:val="1240"/>
        </w:trPr>
        <w:tc>
          <w:tcPr>
            <w:tcW w:w="5034" w:type="dxa"/>
            <w:gridSpan w:val="2"/>
            <w:tcBorders>
              <w:top w:val="nil"/>
              <w:left w:val="nil"/>
              <w:bottom w:val="nil"/>
              <w:right w:val="nil"/>
            </w:tcBorders>
          </w:tcPr>
          <w:p w14:paraId="6DF81B97" w14:textId="77777777" w:rsidR="009033CD" w:rsidRPr="00235592" w:rsidRDefault="009033CD" w:rsidP="009033CD">
            <w:pPr>
              <w:pStyle w:val="ECCLetterHead"/>
            </w:pPr>
          </w:p>
        </w:tc>
        <w:tc>
          <w:tcPr>
            <w:tcW w:w="4747" w:type="dxa"/>
            <w:gridSpan w:val="2"/>
            <w:tcBorders>
              <w:top w:val="nil"/>
              <w:left w:val="nil"/>
              <w:bottom w:val="nil"/>
              <w:right w:val="nil"/>
            </w:tcBorders>
          </w:tcPr>
          <w:p w14:paraId="62477035" w14:textId="1ABE5C3D" w:rsidR="009033CD" w:rsidRPr="009033CD" w:rsidRDefault="009033CD" w:rsidP="009033CD">
            <w:pPr>
              <w:pStyle w:val="ECCLetterHead"/>
            </w:pPr>
            <w:r w:rsidRPr="00235592">
              <w:tab/>
            </w:r>
            <w:r w:rsidRPr="009033CD">
              <w:t xml:space="preserve">Doc. </w:t>
            </w:r>
            <w:proofErr w:type="gramStart"/>
            <w:r w:rsidR="00645D05">
              <w:t>PTC</w:t>
            </w:r>
            <w:r w:rsidRPr="009033CD">
              <w:t>(</w:t>
            </w:r>
            <w:proofErr w:type="gramEnd"/>
            <w:r w:rsidRPr="009033CD">
              <w:t>2</w:t>
            </w:r>
            <w:r w:rsidR="00645D05">
              <w:t>4</w:t>
            </w:r>
            <w:r w:rsidRPr="009033CD">
              <w:t>)</w:t>
            </w:r>
            <w:r w:rsidR="009D6D37">
              <w:t>014</w:t>
            </w:r>
          </w:p>
        </w:tc>
      </w:tr>
      <w:tr w:rsidR="009033CD" w:rsidRPr="00235592" w14:paraId="1CAAD2E3" w14:textId="77777777" w:rsidTr="008C6502">
        <w:tblPrEx>
          <w:tblCellMar>
            <w:left w:w="108" w:type="dxa"/>
            <w:right w:w="108" w:type="dxa"/>
          </w:tblCellMar>
        </w:tblPrEx>
        <w:trPr>
          <w:gridAfter w:val="1"/>
          <w:wAfter w:w="38" w:type="dxa"/>
          <w:cantSplit/>
          <w:trHeight w:val="405"/>
        </w:trPr>
        <w:tc>
          <w:tcPr>
            <w:tcW w:w="5034" w:type="dxa"/>
            <w:gridSpan w:val="2"/>
            <w:tcBorders>
              <w:top w:val="nil"/>
              <w:left w:val="nil"/>
              <w:bottom w:val="nil"/>
              <w:right w:val="nil"/>
            </w:tcBorders>
            <w:shd w:val="clear" w:color="auto" w:fill="auto"/>
            <w:vAlign w:val="center"/>
          </w:tcPr>
          <w:p w14:paraId="00674F4F" w14:textId="35307A2B" w:rsidR="009033CD" w:rsidRPr="009033CD" w:rsidRDefault="00224CD3" w:rsidP="009033CD">
            <w:pPr>
              <w:pStyle w:val="ECCLetterHead"/>
              <w:rPr>
                <w:rStyle w:val="ECCHLyellow"/>
              </w:rPr>
            </w:pPr>
            <w:r>
              <w:t xml:space="preserve">CPG </w:t>
            </w:r>
            <w:r w:rsidR="009033CD" w:rsidRPr="009033CD">
              <w:t>PT</w:t>
            </w:r>
            <w:r w:rsidR="008C6502">
              <w:t>C</w:t>
            </w:r>
            <w:r>
              <w:t xml:space="preserve"> #1</w:t>
            </w:r>
          </w:p>
        </w:tc>
        <w:tc>
          <w:tcPr>
            <w:tcW w:w="4709" w:type="dxa"/>
            <w:tcBorders>
              <w:top w:val="nil"/>
              <w:left w:val="nil"/>
              <w:bottom w:val="nil"/>
              <w:right w:val="nil"/>
            </w:tcBorders>
            <w:vAlign w:val="center"/>
          </w:tcPr>
          <w:p w14:paraId="165A2E31" w14:textId="77777777" w:rsidR="009033CD" w:rsidRPr="00235592" w:rsidRDefault="009033CD" w:rsidP="009033CD">
            <w:pPr>
              <w:pStyle w:val="ECCLetterHead"/>
            </w:pPr>
          </w:p>
        </w:tc>
      </w:tr>
      <w:tr w:rsidR="009033CD" w:rsidRPr="00235592" w14:paraId="0E53A225" w14:textId="77777777" w:rsidTr="008C6502">
        <w:tblPrEx>
          <w:tblCellMar>
            <w:left w:w="108" w:type="dxa"/>
            <w:right w:w="108" w:type="dxa"/>
          </w:tblCellMar>
        </w:tblPrEx>
        <w:trPr>
          <w:gridAfter w:val="1"/>
          <w:wAfter w:w="38" w:type="dxa"/>
          <w:cantSplit/>
          <w:trHeight w:val="405"/>
        </w:trPr>
        <w:tc>
          <w:tcPr>
            <w:tcW w:w="5034" w:type="dxa"/>
            <w:gridSpan w:val="2"/>
            <w:tcBorders>
              <w:top w:val="nil"/>
              <w:left w:val="nil"/>
              <w:bottom w:val="nil"/>
              <w:right w:val="nil"/>
            </w:tcBorders>
            <w:vAlign w:val="center"/>
          </w:tcPr>
          <w:p w14:paraId="60692270" w14:textId="1C21E824" w:rsidR="009033CD" w:rsidRPr="009033CD" w:rsidRDefault="008C6502" w:rsidP="009033CD">
            <w:pPr>
              <w:pStyle w:val="ECCLetterHead"/>
            </w:pPr>
            <w:r>
              <w:t>Biel/Bienne</w:t>
            </w:r>
            <w:r w:rsidRPr="008C6502">
              <w:t>, Switzerland, 01 – 04 October 2024</w:t>
            </w:r>
          </w:p>
        </w:tc>
        <w:tc>
          <w:tcPr>
            <w:tcW w:w="4709" w:type="dxa"/>
            <w:tcBorders>
              <w:top w:val="nil"/>
              <w:left w:val="nil"/>
              <w:bottom w:val="nil"/>
              <w:right w:val="nil"/>
            </w:tcBorders>
            <w:vAlign w:val="center"/>
          </w:tcPr>
          <w:p w14:paraId="3C5B1C26" w14:textId="77777777" w:rsidR="009033CD" w:rsidRPr="00235592" w:rsidRDefault="009033CD" w:rsidP="009033CD">
            <w:pPr>
              <w:pStyle w:val="ECCTabletext"/>
            </w:pPr>
          </w:p>
        </w:tc>
      </w:tr>
      <w:tr w:rsidR="009033CD" w:rsidRPr="00235592" w14:paraId="6BB9CFA0" w14:textId="77777777" w:rsidTr="008C6502">
        <w:tblPrEx>
          <w:tblCellMar>
            <w:left w:w="108" w:type="dxa"/>
            <w:right w:w="108" w:type="dxa"/>
          </w:tblCellMar>
        </w:tblPrEx>
        <w:trPr>
          <w:gridAfter w:val="1"/>
          <w:wAfter w:w="38" w:type="dxa"/>
          <w:cantSplit/>
          <w:trHeight w:hRule="exact" w:val="79"/>
        </w:trPr>
        <w:tc>
          <w:tcPr>
            <w:tcW w:w="5034" w:type="dxa"/>
            <w:gridSpan w:val="2"/>
            <w:tcBorders>
              <w:top w:val="nil"/>
              <w:left w:val="nil"/>
              <w:bottom w:val="nil"/>
              <w:right w:val="nil"/>
            </w:tcBorders>
            <w:vAlign w:val="center"/>
          </w:tcPr>
          <w:p w14:paraId="39800BBB" w14:textId="77777777" w:rsidR="009033CD" w:rsidRPr="00235592" w:rsidRDefault="009033CD" w:rsidP="009033CD">
            <w:pPr>
              <w:pStyle w:val="ECCLetterHead"/>
            </w:pPr>
          </w:p>
        </w:tc>
        <w:tc>
          <w:tcPr>
            <w:tcW w:w="4709" w:type="dxa"/>
            <w:tcBorders>
              <w:top w:val="nil"/>
              <w:left w:val="nil"/>
              <w:bottom w:val="nil"/>
              <w:right w:val="nil"/>
            </w:tcBorders>
            <w:vAlign w:val="center"/>
          </w:tcPr>
          <w:p w14:paraId="004ED7CF" w14:textId="77777777" w:rsidR="009033CD" w:rsidRPr="00235592" w:rsidRDefault="009033CD" w:rsidP="009033CD">
            <w:pPr>
              <w:pStyle w:val="ECCLetterHead"/>
            </w:pPr>
          </w:p>
        </w:tc>
      </w:tr>
      <w:tr w:rsidR="009033CD" w:rsidRPr="00235592" w14:paraId="01D38234"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525F2C81" w14:textId="77777777" w:rsidR="009033CD" w:rsidRPr="009033CD" w:rsidRDefault="009033CD" w:rsidP="009033CD">
            <w:pPr>
              <w:pStyle w:val="ECCLetterHead"/>
            </w:pPr>
            <w:r w:rsidRPr="00235592">
              <w:t xml:space="preserve">Date issued: </w:t>
            </w:r>
          </w:p>
        </w:tc>
        <w:tc>
          <w:tcPr>
            <w:tcW w:w="8049" w:type="dxa"/>
            <w:gridSpan w:val="2"/>
            <w:tcBorders>
              <w:top w:val="nil"/>
              <w:left w:val="nil"/>
              <w:bottom w:val="nil"/>
              <w:right w:val="nil"/>
            </w:tcBorders>
            <w:vAlign w:val="center"/>
          </w:tcPr>
          <w:p w14:paraId="283B3100" w14:textId="6B034DB1" w:rsidR="009033CD" w:rsidRPr="00235592" w:rsidRDefault="00224CD3" w:rsidP="009033CD">
            <w:pPr>
              <w:pStyle w:val="ECCLetterHead"/>
            </w:pPr>
            <w:r>
              <w:t>24</w:t>
            </w:r>
            <w:r w:rsidR="008C6502">
              <w:t xml:space="preserve"> September 2024</w:t>
            </w:r>
          </w:p>
        </w:tc>
      </w:tr>
      <w:tr w:rsidR="009033CD" w:rsidRPr="00235592" w14:paraId="041759A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2A36B705" w14:textId="77777777" w:rsidR="009033CD" w:rsidRPr="009033CD" w:rsidRDefault="009033CD" w:rsidP="009033CD">
            <w:pPr>
              <w:pStyle w:val="ECCLetterHead"/>
            </w:pPr>
            <w:r w:rsidRPr="00235592">
              <w:t xml:space="preserve">Source: </w:t>
            </w:r>
          </w:p>
        </w:tc>
        <w:tc>
          <w:tcPr>
            <w:tcW w:w="8049" w:type="dxa"/>
            <w:gridSpan w:val="2"/>
            <w:tcBorders>
              <w:top w:val="nil"/>
              <w:left w:val="nil"/>
              <w:bottom w:val="nil"/>
              <w:right w:val="nil"/>
            </w:tcBorders>
            <w:vAlign w:val="center"/>
          </w:tcPr>
          <w:p w14:paraId="10180227" w14:textId="2D9F844B" w:rsidR="009033CD" w:rsidRPr="00235592" w:rsidRDefault="0082642E" w:rsidP="009033CD">
            <w:pPr>
              <w:pStyle w:val="ECCLetterHead"/>
            </w:pPr>
            <w:r>
              <w:t>Chair</w:t>
            </w:r>
            <w:r w:rsidR="00C14D24">
              <w:t xml:space="preserve"> (Interim CEPT coordinator)</w:t>
            </w:r>
          </w:p>
        </w:tc>
      </w:tr>
      <w:tr w:rsidR="009033CD" w:rsidRPr="00235592" w14:paraId="2CA125F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0ED71A16" w14:textId="77777777" w:rsidR="009033CD" w:rsidRPr="009033CD" w:rsidRDefault="009033CD" w:rsidP="009033CD">
            <w:pPr>
              <w:pStyle w:val="ECCLetterHead"/>
            </w:pPr>
            <w:r w:rsidRPr="00235592">
              <w:t xml:space="preserve">Subject: </w:t>
            </w:r>
          </w:p>
        </w:tc>
        <w:tc>
          <w:tcPr>
            <w:tcW w:w="8049" w:type="dxa"/>
            <w:gridSpan w:val="2"/>
            <w:tcBorders>
              <w:top w:val="nil"/>
              <w:left w:val="nil"/>
              <w:bottom w:val="nil"/>
              <w:right w:val="nil"/>
            </w:tcBorders>
            <w:vAlign w:val="center"/>
          </w:tcPr>
          <w:p w14:paraId="6D107D3B" w14:textId="09E2CE0E" w:rsidR="009033CD" w:rsidRPr="009033CD" w:rsidRDefault="009033CD" w:rsidP="009033CD">
            <w:pPr>
              <w:pStyle w:val="ECCLetterHead"/>
            </w:pPr>
            <w:r w:rsidRPr="00235592">
              <w:t>Draft CEPT Brief on WRC-</w:t>
            </w:r>
            <w:r w:rsidR="00890D52" w:rsidRPr="009033CD">
              <w:t>2</w:t>
            </w:r>
            <w:r w:rsidR="00890D52">
              <w:t>7</w:t>
            </w:r>
            <w:r w:rsidR="00890D52" w:rsidRPr="009033CD">
              <w:t xml:space="preserve"> </w:t>
            </w:r>
            <w:r w:rsidR="00224CD3">
              <w:t>a</w:t>
            </w:r>
            <w:r w:rsidRPr="009033CD">
              <w:t xml:space="preserve">genda </w:t>
            </w:r>
            <w:r w:rsidR="00224CD3">
              <w:t>i</w:t>
            </w:r>
            <w:r w:rsidRPr="009033CD">
              <w:t xml:space="preserve">tem </w:t>
            </w:r>
            <w:r w:rsidR="008C6502">
              <w:t>1.1</w:t>
            </w:r>
            <w:r w:rsidR="00F31A7F">
              <w:t>3</w:t>
            </w:r>
          </w:p>
        </w:tc>
      </w:tr>
      <w:tr w:rsidR="009033CD" w:rsidRPr="00235592" w14:paraId="7252B87D" w14:textId="77777777" w:rsidTr="005B531F">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3D3A2D01" w14:textId="77777777" w:rsidR="009033CD" w:rsidRPr="00235592" w:rsidRDefault="009033CD" w:rsidP="009033CD">
            <w:pPr>
              <w:rPr>
                <w:rStyle w:val="ECCParagraph"/>
              </w:rPr>
            </w:pPr>
          </w:p>
          <w:p w14:paraId="7BDD42A5" w14:textId="77777777" w:rsidR="009033CD" w:rsidRPr="00235592" w:rsidRDefault="009033CD" w:rsidP="009033CD">
            <w:pPr>
              <w:pStyle w:val="ECCLetterHead"/>
            </w:pPr>
          </w:p>
        </w:tc>
      </w:tr>
      <w:tr w:rsidR="009033CD" w:rsidRPr="00235592" w14:paraId="44552C8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A7C79AF" w14:textId="015C5E72" w:rsidR="009033CD" w:rsidRPr="009033CD" w:rsidRDefault="009033CD" w:rsidP="008C6502">
            <w:pPr>
              <w:pStyle w:val="ECCLetterHead"/>
            </w:pPr>
            <w:r w:rsidRPr="00235592">
              <w:t xml:space="preserve">Summary: </w:t>
            </w:r>
            <w:r w:rsidR="008C6502" w:rsidRPr="008C6502">
              <w:rPr>
                <w:rStyle w:val="ECCHLbold"/>
              </w:rPr>
              <w:t xml:space="preserve">This document contains the initial draft CEPT </w:t>
            </w:r>
            <w:r w:rsidR="008C6502">
              <w:rPr>
                <w:rStyle w:val="ECCHLbold"/>
              </w:rPr>
              <w:t>B</w:t>
            </w:r>
            <w:r w:rsidR="008C6502" w:rsidRPr="008C6502">
              <w:rPr>
                <w:rStyle w:val="ECCHLbold"/>
              </w:rPr>
              <w:t xml:space="preserve">rief on </w:t>
            </w:r>
            <w:r w:rsidR="00224CD3">
              <w:rPr>
                <w:rStyle w:val="ECCHLbold"/>
              </w:rPr>
              <w:t>WRC-27 a</w:t>
            </w:r>
            <w:r w:rsidR="008C6502" w:rsidRPr="008C6502">
              <w:rPr>
                <w:rStyle w:val="ECCHLbold"/>
              </w:rPr>
              <w:t xml:space="preserve">genda </w:t>
            </w:r>
            <w:r w:rsidR="00224CD3">
              <w:rPr>
                <w:rStyle w:val="ECCHLbold"/>
              </w:rPr>
              <w:t>i</w:t>
            </w:r>
            <w:r w:rsidR="008C6502" w:rsidRPr="008C6502">
              <w:rPr>
                <w:rStyle w:val="ECCHLbold"/>
              </w:rPr>
              <w:t>tem 1.</w:t>
            </w:r>
            <w:r w:rsidR="00F31A7F">
              <w:rPr>
                <w:rStyle w:val="ECCHLbold"/>
              </w:rPr>
              <w:t>13</w:t>
            </w:r>
            <w:r w:rsidR="008C6502" w:rsidRPr="008C6502">
              <w:rPr>
                <w:rStyle w:val="ECCHLbold"/>
              </w:rPr>
              <w:t>.</w:t>
            </w:r>
          </w:p>
        </w:tc>
      </w:tr>
      <w:tr w:rsidR="009033CD" w:rsidRPr="00235592" w14:paraId="3D77C96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129A1DD9" w14:textId="4022B2BB" w:rsidR="008E117A" w:rsidRPr="008E117A" w:rsidRDefault="008E117A" w:rsidP="008E117A">
            <w:pPr>
              <w:pStyle w:val="NormalWeb"/>
              <w:rPr>
                <w:rStyle w:val="ECCHLunderlined"/>
              </w:rPr>
            </w:pPr>
          </w:p>
        </w:tc>
      </w:tr>
      <w:tr w:rsidR="009033CD" w:rsidRPr="00235592" w14:paraId="4D385318"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37763768" w14:textId="77777777" w:rsidR="009033CD" w:rsidRPr="009033CD" w:rsidRDefault="009033CD" w:rsidP="009033CD">
            <w:pPr>
              <w:pStyle w:val="ECCLetterHead"/>
            </w:pPr>
            <w:r w:rsidRPr="00235592">
              <w:t>Proposal:</w:t>
            </w:r>
          </w:p>
        </w:tc>
      </w:tr>
      <w:tr w:rsidR="009033CD" w:rsidRPr="00235592" w14:paraId="031AC50D"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593F5F22" w14:textId="7C11F8F2" w:rsidR="00296E8B" w:rsidRPr="00296E8B" w:rsidRDefault="00296E8B" w:rsidP="00012181">
            <w:pPr>
              <w:pStyle w:val="ECCTablenote"/>
              <w:rPr>
                <w:rStyle w:val="ECCParagraph"/>
              </w:rPr>
            </w:pPr>
            <w:r w:rsidRPr="00296E8B">
              <w:rPr>
                <w:rStyle w:val="ECCParagraph"/>
              </w:rPr>
              <w:t xml:space="preserve">CPG PTC is invited to consider the proposed </w:t>
            </w:r>
            <w:r>
              <w:rPr>
                <w:rStyle w:val="ECCParagraph"/>
              </w:rPr>
              <w:t xml:space="preserve">draft </w:t>
            </w:r>
            <w:r w:rsidRPr="00296E8B">
              <w:rPr>
                <w:rStyle w:val="ECCParagraph"/>
              </w:rPr>
              <w:t>CEPT</w:t>
            </w:r>
            <w:r w:rsidRPr="008C6502">
              <w:rPr>
                <w:rStyle w:val="ECCHLbold"/>
              </w:rPr>
              <w:t xml:space="preserve"> </w:t>
            </w:r>
            <w:r w:rsidR="00012181" w:rsidRPr="00012181">
              <w:rPr>
                <w:rStyle w:val="ECCParagraph"/>
              </w:rPr>
              <w:t>Brief</w:t>
            </w:r>
            <w:r w:rsidR="00012181">
              <w:rPr>
                <w:rStyle w:val="ECCHLbold"/>
              </w:rPr>
              <w:t xml:space="preserve"> </w:t>
            </w:r>
            <w:r w:rsidRPr="00296E8B">
              <w:rPr>
                <w:rStyle w:val="ECCParagraph"/>
              </w:rPr>
              <w:t>on WRC-27 agenda item 1.13.</w:t>
            </w:r>
          </w:p>
          <w:p w14:paraId="04D8900C" w14:textId="36FFF159" w:rsidR="009033CD" w:rsidRPr="00235592" w:rsidRDefault="009033CD" w:rsidP="009033CD">
            <w:pPr>
              <w:pStyle w:val="ECCTabletext"/>
            </w:pPr>
          </w:p>
        </w:tc>
      </w:tr>
    </w:tbl>
    <w:p w14:paraId="3506290A" w14:textId="487242F1" w:rsidR="009033CD" w:rsidRPr="00235592" w:rsidRDefault="009033CD" w:rsidP="009033CD">
      <w:pPr>
        <w:rPr>
          <w:rStyle w:val="ECCParagraph"/>
        </w:rPr>
      </w:pPr>
      <w:r w:rsidRPr="00235592">
        <w:rPr>
          <w:rStyle w:val="ECCParagraph"/>
        </w:rPr>
        <w:br w:type="page"/>
      </w:r>
    </w:p>
    <w:p w14:paraId="60497D30" w14:textId="083640C2" w:rsidR="003771D5" w:rsidRPr="00F31A7F" w:rsidRDefault="003771D5" w:rsidP="003A68D5">
      <w:pPr>
        <w:pStyle w:val="ECCHeadingnonumbering"/>
      </w:pPr>
      <w:r w:rsidRPr="00235592">
        <w:rPr>
          <w:lang w:val="en-GB"/>
        </w:rPr>
        <w:lastRenderedPageBreak/>
        <w:t xml:space="preserve">DRAFT CEPT BRIEF ON AGENDA ITEM </w:t>
      </w:r>
      <w:r w:rsidR="00E3488D">
        <w:t>1.1</w:t>
      </w:r>
      <w:r w:rsidR="00F31A7F">
        <w:t>3</w:t>
      </w:r>
    </w:p>
    <w:p w14:paraId="7E54832F" w14:textId="5054D5FB" w:rsidR="003771D5" w:rsidRPr="00235592" w:rsidRDefault="008C6502" w:rsidP="00BD4E12">
      <w:pPr>
        <w:rPr>
          <w:rStyle w:val="ECCParagraph"/>
        </w:rPr>
      </w:pPr>
      <w:r w:rsidRPr="008C6502">
        <w:rPr>
          <w:rStyle w:val="ECCParagraph"/>
        </w:rPr>
        <w:t>1.1</w:t>
      </w:r>
      <w:r w:rsidR="00F31A7F">
        <w:rPr>
          <w:rStyle w:val="ECCParagraph"/>
        </w:rPr>
        <w:t>3</w:t>
      </w:r>
      <w:r w:rsidRPr="008C6502">
        <w:rPr>
          <w:rStyle w:val="ECCParagraph"/>
        </w:rPr>
        <w:t xml:space="preserve"> </w:t>
      </w:r>
      <w:r w:rsidR="00F31A7F" w:rsidRPr="00F31A7F">
        <w:rPr>
          <w:rStyle w:val="ECCParagraph"/>
        </w:rPr>
        <w:t xml:space="preserve">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00F31A7F" w:rsidRPr="00F31A7F">
        <w:rPr>
          <w:rStyle w:val="ECCHLbold"/>
        </w:rPr>
        <w:t>253 (WRC-23);</w:t>
      </w:r>
    </w:p>
    <w:p w14:paraId="0B399FBC" w14:textId="19194AEA" w:rsidR="003771D5" w:rsidRPr="00235592" w:rsidRDefault="003771D5" w:rsidP="00BD4E12">
      <w:pPr>
        <w:pStyle w:val="Titre1"/>
        <w:rPr>
          <w:lang w:val="en-GB"/>
        </w:rPr>
      </w:pPr>
      <w:r w:rsidRPr="00235592">
        <w:rPr>
          <w:lang w:val="en-GB"/>
        </w:rPr>
        <w:t>I</w:t>
      </w:r>
      <w:r w:rsidR="000F41FF">
        <w:t>ssue</w:t>
      </w:r>
    </w:p>
    <w:p w14:paraId="1932EC7E" w14:textId="0AFC40AD" w:rsidR="00B1452F" w:rsidRPr="00B1452F" w:rsidRDefault="00B1452F" w:rsidP="00F31A7F">
      <w:r w:rsidRPr="00B1452F">
        <w:rPr>
          <w:rStyle w:val="ECCParagraph"/>
        </w:rPr>
        <w:t xml:space="preserve">Resolution </w:t>
      </w:r>
      <w:r w:rsidRPr="008C6502">
        <w:rPr>
          <w:rStyle w:val="ECCHLbold"/>
        </w:rPr>
        <w:t>2</w:t>
      </w:r>
      <w:r w:rsidR="00F31A7F">
        <w:rPr>
          <w:rStyle w:val="ECCHLbold"/>
        </w:rPr>
        <w:t>53</w:t>
      </w:r>
      <w:r w:rsidRPr="008C6502">
        <w:rPr>
          <w:rStyle w:val="ECCHLbold"/>
        </w:rPr>
        <w:t xml:space="preserve"> (WRC-23)</w:t>
      </w:r>
      <w:r>
        <w:rPr>
          <w:rStyle w:val="ECCHLbold"/>
        </w:rPr>
        <w:t xml:space="preserve"> </w:t>
      </w:r>
      <w:r>
        <w:rPr>
          <w:rStyle w:val="ECCParagraph"/>
        </w:rPr>
        <w:t>invites WRC-27 t</w:t>
      </w:r>
      <w:r w:rsidR="00F31A7F" w:rsidRPr="00F31A7F">
        <w:rPr>
          <w:rStyle w:val="ECCParagraph"/>
        </w:rPr>
        <w:t>o consider, based on the results of studies, the appropriate regulatory actions, including possible new allocations to the MSS for direct connectivity between space stations and IMT user equipment to complement terrestrial IMT network coverage.</w:t>
      </w:r>
    </w:p>
    <w:p w14:paraId="51A76C86" w14:textId="4FA908FB" w:rsidR="00B1452F" w:rsidRDefault="00C14D24" w:rsidP="00B1452F">
      <w:r>
        <w:t>ITU</w:t>
      </w:r>
      <w:r w:rsidRPr="00593BDB">
        <w:t xml:space="preserve"> </w:t>
      </w:r>
      <w:r w:rsidR="00B1452F" w:rsidRPr="00593BDB">
        <w:t>has identified the following elements, relevant for this agenda item:</w:t>
      </w:r>
    </w:p>
    <w:p w14:paraId="0B28B8DB" w14:textId="34FED9D0" w:rsidR="007F3AC0" w:rsidRPr="007F3AC0" w:rsidRDefault="007F3AC0" w:rsidP="007F3AC0">
      <w:pPr>
        <w:pStyle w:val="ECCBulletsLv1"/>
      </w:pPr>
      <w:r w:rsidRPr="007F3AC0">
        <w:t>studies on possible allocations to the MSS in the frequency range between 694/698 MHz and 2.7 GHz, taking into account the IMT frequency arrangements addressed in the most recent version of Recommendation ITU-R M.1036;</w:t>
      </w:r>
    </w:p>
    <w:p w14:paraId="6DE58170" w14:textId="47A79AF7" w:rsidR="007F3AC0" w:rsidRDefault="007F3AC0" w:rsidP="007F3AC0">
      <w:pPr>
        <w:pStyle w:val="ECCBulletsLv1"/>
      </w:pPr>
      <w:r w:rsidRPr="007F3AC0">
        <w:t>studies on spectrum requirements and on technical, operational and regulatory matters related to the implementation of the mobile-satellite service for direct connectivity to the IMT user equipment to complement the terrestrial IMT network coverage</w:t>
      </w:r>
      <w:r w:rsidR="00224CD3">
        <w:t>.</w:t>
      </w:r>
    </w:p>
    <w:p w14:paraId="03853136" w14:textId="77777777" w:rsidR="003771D5" w:rsidRPr="00235592" w:rsidRDefault="003771D5" w:rsidP="00BD4E12">
      <w:pPr>
        <w:pStyle w:val="Titre1"/>
        <w:rPr>
          <w:lang w:val="en-GB"/>
        </w:rPr>
      </w:pPr>
      <w:r w:rsidRPr="00235592">
        <w:rPr>
          <w:lang w:val="en-GB"/>
        </w:rPr>
        <w:t xml:space="preserve">Preliminary CEPT position </w:t>
      </w:r>
    </w:p>
    <w:p w14:paraId="309DE2F3" w14:textId="02E3F54A" w:rsidR="003771D5" w:rsidRPr="00E77355" w:rsidRDefault="00CE1FFB" w:rsidP="00E77355">
      <w:pPr>
        <w:rPr>
          <w:rStyle w:val="ECCParagraph"/>
        </w:rPr>
      </w:pPr>
      <w:r w:rsidRPr="00E77355">
        <w:rPr>
          <w:rStyle w:val="ECCParagraph"/>
        </w:rPr>
        <w:t>TBD</w:t>
      </w:r>
    </w:p>
    <w:p w14:paraId="03E06DD5" w14:textId="5975169A" w:rsidR="0028260C" w:rsidRDefault="0028260C" w:rsidP="00BD4E12">
      <w:pPr>
        <w:pStyle w:val="Titre1"/>
      </w:pPr>
      <w:r>
        <w:t>BAckground</w:t>
      </w:r>
    </w:p>
    <w:p w14:paraId="7BF0E5A3" w14:textId="0AD38453" w:rsidR="001F0C05" w:rsidRDefault="001F0C05" w:rsidP="001F0C05">
      <w:pPr>
        <w:rPr>
          <w:rStyle w:val="ECCParagraph"/>
        </w:rPr>
      </w:pPr>
      <w:r w:rsidRPr="001F0C05">
        <w:rPr>
          <w:rStyle w:val="ECCParagraph"/>
        </w:rPr>
        <w:t>T</w:t>
      </w:r>
      <w:r w:rsidRPr="001F0C05">
        <w:rPr>
          <w:rStyle w:val="ECCParagraph"/>
          <w:lang w:val="da-DK"/>
        </w:rPr>
        <w:t>h</w:t>
      </w:r>
      <w:r w:rsidRPr="001F0C05">
        <w:rPr>
          <w:rStyle w:val="ECCParagraph"/>
        </w:rPr>
        <w:t>e</w:t>
      </w:r>
      <w:r w:rsidRPr="001F0C05">
        <w:rPr>
          <w:rStyle w:val="ECCParagraph"/>
          <w:lang w:val="da-DK"/>
        </w:rPr>
        <w:t xml:space="preserve"> International Mobile Telecommunications (IMT) systems support terrestrial and satellite components, including the capability to enable direct communication to IMT user equipment</w:t>
      </w:r>
      <w:r>
        <w:rPr>
          <w:rStyle w:val="ECCParagraph"/>
        </w:rPr>
        <w:t xml:space="preserve">. </w:t>
      </w:r>
      <w:r w:rsidR="00930209">
        <w:rPr>
          <w:rStyle w:val="ECCParagraph"/>
        </w:rPr>
        <w:t>Furthermore, t</w:t>
      </w:r>
      <w:r w:rsidRPr="001F0C05">
        <w:rPr>
          <w:rStyle w:val="ECCParagraph"/>
          <w:lang w:val="da-DK"/>
        </w:rPr>
        <w:t>he mobile-satellite system may provide alternative network resilience and mobile</w:t>
      </w:r>
      <w:r>
        <w:rPr>
          <w:rStyle w:val="ECCParagraph"/>
        </w:rPr>
        <w:t xml:space="preserve"> </w:t>
      </w:r>
      <w:r w:rsidRPr="001F0C05">
        <w:rPr>
          <w:rStyle w:val="ECCParagraph"/>
          <w:lang w:val="da-DK"/>
        </w:rPr>
        <w:t>connectivity to underserved communities and in rural and remote areas, in particular in the event of network failures of terrestrial IMT and natural disasters</w:t>
      </w:r>
      <w:r>
        <w:rPr>
          <w:rStyle w:val="ECCParagraph"/>
        </w:rPr>
        <w:t xml:space="preserve">. </w:t>
      </w:r>
    </w:p>
    <w:p w14:paraId="21E705A7" w14:textId="29340F5F" w:rsidR="00930209" w:rsidRDefault="00200A97" w:rsidP="00200A97">
      <w:pPr>
        <w:rPr>
          <w:rStyle w:val="ECCParagraph"/>
        </w:rPr>
      </w:pPr>
      <w:r>
        <w:rPr>
          <w:rStyle w:val="ECCParagraph"/>
        </w:rPr>
        <w:t>T</w:t>
      </w:r>
      <w:r w:rsidRPr="00200A97">
        <w:rPr>
          <w:rStyle w:val="ECCParagraph"/>
        </w:rPr>
        <w:t>he growth in demand for mobile-satellite systems</w:t>
      </w:r>
      <w:r>
        <w:rPr>
          <w:rStyle w:val="ECCParagraph"/>
        </w:rPr>
        <w:t xml:space="preserve"> </w:t>
      </w:r>
      <w:r w:rsidRPr="00200A97">
        <w:rPr>
          <w:rStyle w:val="ECCParagraph"/>
        </w:rPr>
        <w:t>is making it difficult to sustain MSS</w:t>
      </w:r>
      <w:r>
        <w:rPr>
          <w:rStyle w:val="ECCParagraph"/>
        </w:rPr>
        <w:t xml:space="preserve"> </w:t>
      </w:r>
      <w:r w:rsidRPr="00200A97">
        <w:rPr>
          <w:rStyle w:val="ECCParagraph"/>
        </w:rPr>
        <w:t>services on a long-term basis in the existing bands</w:t>
      </w:r>
      <w:r>
        <w:rPr>
          <w:rStyle w:val="ECCParagraph"/>
        </w:rPr>
        <w:t>. F</w:t>
      </w:r>
      <w:r w:rsidRPr="00200A97">
        <w:rPr>
          <w:rStyle w:val="ECCParagraph"/>
        </w:rPr>
        <w:t>or the determination of the incumbent services, the relevant provisions of the Radio Regulations in force apply</w:t>
      </w:r>
      <w:r w:rsidR="00930209">
        <w:rPr>
          <w:rStyle w:val="ECCParagraph"/>
        </w:rPr>
        <w:t>, and u</w:t>
      </w:r>
      <w:r w:rsidRPr="00200A97">
        <w:rPr>
          <w:rStyle w:val="ECCParagraph"/>
        </w:rPr>
        <w:t>nwanted emissions in the spurious domain may be considered regarding RAS frequency allocations</w:t>
      </w:r>
      <w:r>
        <w:rPr>
          <w:rStyle w:val="ECCParagraph"/>
        </w:rPr>
        <w:t>.</w:t>
      </w:r>
      <w:r w:rsidR="00930209" w:rsidRPr="00930209">
        <w:rPr>
          <w:rStyle w:val="ECCParagraph"/>
        </w:rPr>
        <w:t xml:space="preserve"> </w:t>
      </w:r>
    </w:p>
    <w:p w14:paraId="118E35C2" w14:textId="37B97C64" w:rsidR="00224CD3" w:rsidRDefault="00930209" w:rsidP="00200A97">
      <w:pPr>
        <w:rPr>
          <w:rStyle w:val="ECCParagraph"/>
        </w:rPr>
      </w:pPr>
      <w:r>
        <w:rPr>
          <w:rStyle w:val="ECCParagraph"/>
        </w:rPr>
        <w:t>T</w:t>
      </w:r>
      <w:r w:rsidRPr="00930209">
        <w:rPr>
          <w:rStyle w:val="ECCParagraph"/>
          <w:lang w:val="da-DK"/>
        </w:rPr>
        <w:t>he expected usage of the mobile-satellite service (MSS) in IMT frequency bands in specific service areas is based on the authorization by administrations within the territory under their jurisdiction</w:t>
      </w:r>
      <w:r>
        <w:rPr>
          <w:rStyle w:val="ECCParagraph"/>
        </w:rPr>
        <w:t>.</w:t>
      </w:r>
    </w:p>
    <w:p w14:paraId="66A3CDA8" w14:textId="1273BA9E" w:rsidR="00613E07" w:rsidRDefault="00613E07" w:rsidP="00613E07">
      <w:pPr>
        <w:pStyle w:val="Titre2"/>
        <w:rPr>
          <w:rStyle w:val="ECCParagraph"/>
        </w:rPr>
      </w:pPr>
      <w:r>
        <w:rPr>
          <w:rStyle w:val="ECCParagraph"/>
        </w:rPr>
        <w:t xml:space="preserve">STATUS of the </w:t>
      </w:r>
      <w:r w:rsidR="00203363">
        <w:rPr>
          <w:rStyle w:val="ECCParagraph"/>
        </w:rPr>
        <w:t>Agenda item</w:t>
      </w:r>
      <w:r>
        <w:rPr>
          <w:rStyle w:val="ECCParagraph"/>
        </w:rPr>
        <w:t xml:space="preserve"> in ECC PT1 </w:t>
      </w:r>
    </w:p>
    <w:p w14:paraId="4C7DA70F" w14:textId="77D7D5E8" w:rsidR="00613E07" w:rsidRDefault="00613E07" w:rsidP="00C14D24">
      <w:pPr>
        <w:pStyle w:val="ECCEditorsNote"/>
        <w:rPr>
          <w:rStyle w:val="ECCParagraph"/>
        </w:rPr>
      </w:pPr>
      <w:r w:rsidRPr="00613E07">
        <w:rPr>
          <w:rStyle w:val="ECCParagraph"/>
        </w:rPr>
        <w:t>Feedback from ECC PT1</w:t>
      </w:r>
    </w:p>
    <w:p w14:paraId="32F207AA" w14:textId="1C38DCDC" w:rsidR="00991DEE" w:rsidRPr="00D51F2D" w:rsidRDefault="00991DEE" w:rsidP="00991DEE">
      <w:pPr>
        <w:rPr>
          <w:rStyle w:val="ECCParagraph"/>
        </w:rPr>
      </w:pPr>
      <w:r w:rsidRPr="00D51F2D">
        <w:rPr>
          <w:rStyle w:val="ECCParagraph"/>
        </w:rPr>
        <w:t>ECC PT1 started work on WRC subjects at its meeting #79 hold this week in Tallinn, Estonia. Amongst others ECC PT1 is tasked by CPG to address technical studies under WRC-27 AI 1.13, on the protection the of terrestrial component of IMT.</w:t>
      </w:r>
    </w:p>
    <w:p w14:paraId="0A1CE019" w14:textId="77777777" w:rsidR="00991DEE" w:rsidRPr="00D51F2D" w:rsidRDefault="00991DEE" w:rsidP="00991DEE">
      <w:pPr>
        <w:rPr>
          <w:rStyle w:val="ECCParagraph"/>
        </w:rPr>
      </w:pPr>
      <w:r w:rsidRPr="00D51F2D">
        <w:rPr>
          <w:rStyle w:val="ECCParagraph"/>
        </w:rPr>
        <w:t xml:space="preserve">CPG requested ECC PT1 that CPG PTC is kept informed of the results of these technical studies in the ECC PT1 work, where CPG PTC has overall responsibility for the CEPT Brief and ECP for </w:t>
      </w:r>
      <w:r>
        <w:rPr>
          <w:rStyle w:val="ECCParagraph"/>
        </w:rPr>
        <w:t>WRC-27 AI</w:t>
      </w:r>
      <w:r w:rsidRPr="00D51F2D">
        <w:rPr>
          <w:rStyle w:val="ECCParagraph"/>
        </w:rPr>
        <w:t xml:space="preserve"> 1.13.</w:t>
      </w:r>
    </w:p>
    <w:p w14:paraId="10CDE2AC" w14:textId="77777777" w:rsidR="00991DEE" w:rsidRPr="00D51F2D" w:rsidRDefault="00991DEE" w:rsidP="00991DEE">
      <w:pPr>
        <w:rPr>
          <w:rStyle w:val="ECCParagraph"/>
        </w:rPr>
      </w:pPr>
      <w:r w:rsidRPr="00D51F2D">
        <w:rPr>
          <w:rStyle w:val="ECCParagraph"/>
        </w:rPr>
        <w:lastRenderedPageBreak/>
        <w:t xml:space="preserve">ECC PT1 received two contributions with initial technical studies. Document ECC PT1(24)155 (Orange) discusses the IMT uplink protection against interferences from MSS satellite unwanted emissions, the aggregated pfd levels were calculated with I/N=-6 dB. During the discussions, question was raised if the use of I/N=-6 dB is appropriate, Orange clarified this I/N=-6 dB was used for HIBS in WRC-23 AI1.4. </w:t>
      </w:r>
    </w:p>
    <w:p w14:paraId="457D8DD1" w14:textId="77777777" w:rsidR="00991DEE" w:rsidRPr="00D51F2D" w:rsidRDefault="00991DEE" w:rsidP="00991DEE">
      <w:pPr>
        <w:rPr>
          <w:rStyle w:val="ECCParagraph"/>
        </w:rPr>
      </w:pPr>
      <w:r w:rsidRPr="00D51F2D">
        <w:rPr>
          <w:rStyle w:val="ECCParagraph"/>
        </w:rPr>
        <w:t xml:space="preserve">Document ECC PT1(24)165 (France) proposes an approach in response to </w:t>
      </w:r>
      <w:r>
        <w:rPr>
          <w:rStyle w:val="ECCParagraph"/>
        </w:rPr>
        <w:t xml:space="preserve">WRC-27 </w:t>
      </w:r>
      <w:r w:rsidRPr="00D51F2D">
        <w:rPr>
          <w:rStyle w:val="ECCParagraph"/>
        </w:rPr>
        <w:t xml:space="preserve">AI 1.13 </w:t>
      </w:r>
      <w:proofErr w:type="gramStart"/>
      <w:r w:rsidRPr="00D51F2D">
        <w:rPr>
          <w:rStyle w:val="ECCParagraph"/>
        </w:rPr>
        <w:t>on  the</w:t>
      </w:r>
      <w:proofErr w:type="gramEnd"/>
      <w:r w:rsidRPr="00D51F2D">
        <w:rPr>
          <w:rStyle w:val="ECCParagraph"/>
        </w:rPr>
        <w:t xml:space="preserve"> protection of the terrestrial MFCN/IMT networks against the potential interference from MSS D2C/D2D operating in the frequency range from 694 MHz to 2.69 GHz bands. Protection thresholds (pfd, field strength levels, and SSB RSRP) are proposed taking into account the decision of WRC-23 AI 1.4 on HIBS and is suggesting relevant pfd (or field strength) threshold to be used in current discussions on MSS D2C/D2D for protecting the terrestrial MFCN/IMT networks downlink and uplink. The complexity of various harmonised frequency arrangements has been highlighted. </w:t>
      </w:r>
    </w:p>
    <w:p w14:paraId="7CB660A4" w14:textId="77777777" w:rsidR="00991DEE" w:rsidRPr="00D51F2D" w:rsidRDefault="00991DEE" w:rsidP="00991DEE">
      <w:pPr>
        <w:rPr>
          <w:rStyle w:val="ECCParagraph"/>
        </w:rPr>
      </w:pPr>
      <w:r w:rsidRPr="00D51F2D">
        <w:rPr>
          <w:rStyle w:val="ECCParagraph"/>
        </w:rPr>
        <w:t xml:space="preserve">A first round of question and answer took place. A working document was created on the basis of the two inputs focusing on WRC-27 AI 1.13 issues and contributions are encouraged to the next meeting. </w:t>
      </w:r>
    </w:p>
    <w:p w14:paraId="7BA66BFC" w14:textId="77777777" w:rsidR="00991DEE" w:rsidRPr="00D51F2D" w:rsidRDefault="00991DEE" w:rsidP="00991DEE">
      <w:pPr>
        <w:rPr>
          <w:rStyle w:val="ECCParagraph"/>
        </w:rPr>
      </w:pPr>
      <w:r w:rsidRPr="00D51F2D">
        <w:rPr>
          <w:rStyle w:val="ECCParagraph"/>
        </w:rPr>
        <w:t xml:space="preserve">The IMT terrestrial network protection against interferences from MSS satellite station unwanted emission was considered in both studies, how to consider the satellite unwanted emissions in the protection of IMT terrestrial networks needs further consideration. During the discussion, it has been recalled that </w:t>
      </w:r>
      <w:proofErr w:type="gramStart"/>
      <w:r w:rsidRPr="00D51F2D">
        <w:rPr>
          <w:rStyle w:val="ECCParagraph"/>
        </w:rPr>
        <w:t>International</w:t>
      </w:r>
      <w:proofErr w:type="gramEnd"/>
      <w:r w:rsidRPr="00D51F2D">
        <w:rPr>
          <w:rStyle w:val="ECCParagraph"/>
        </w:rPr>
        <w:t xml:space="preserve"> regulation used to not address unwanted emissions for the protection of MFCN. Any justification on any unwanted emission for MFCN and any other adjacent services will be further address during WRC</w:t>
      </w:r>
      <w:r>
        <w:rPr>
          <w:rStyle w:val="ECCParagraph"/>
        </w:rPr>
        <w:t>-27 AI</w:t>
      </w:r>
      <w:r w:rsidRPr="00D51F2D">
        <w:rPr>
          <w:rStyle w:val="ECCParagraph"/>
        </w:rPr>
        <w:t xml:space="preserve"> 1.13 study. </w:t>
      </w:r>
    </w:p>
    <w:p w14:paraId="3A899EDB" w14:textId="77777777" w:rsidR="00991DEE" w:rsidRDefault="00991DEE" w:rsidP="00991DEE">
      <w:pPr>
        <w:rPr>
          <w:rStyle w:val="ECCParagraph"/>
        </w:rPr>
      </w:pPr>
      <w:r w:rsidRPr="00D51F2D">
        <w:rPr>
          <w:rStyle w:val="ECCParagraph"/>
        </w:rPr>
        <w:t xml:space="preserve">Document 165 also contains a proposal to have the study as a CEPT contribution to the upcoming meetings of ITU-R WPs 4C and 5D but no agreement was reached to send this as a CEPT input. France informed that they are planning to update the proposed contribution taking into account the comments received during the meeting and invited interested administrations to contact them for co-signature. </w:t>
      </w:r>
    </w:p>
    <w:p w14:paraId="74796C24" w14:textId="2E361B98" w:rsidR="00203363" w:rsidRPr="00C14D24" w:rsidRDefault="00991DEE" w:rsidP="00203363">
      <w:r w:rsidRPr="00C14D24">
        <w:t>In accordance with the guidance from the CPG, the approach of provisional application of pfd limits, as appropriate, until WRC-27 within CEPT has not been discussed under WRC-27 AI 1.13 as it is not a WRC issue.</w:t>
      </w:r>
    </w:p>
    <w:p w14:paraId="134F13CE" w14:textId="24B9DDEC" w:rsidR="00613E07" w:rsidRPr="00235592" w:rsidRDefault="00613E07" w:rsidP="00613E07">
      <w:pPr>
        <w:pStyle w:val="Titre2"/>
        <w:rPr>
          <w:rStyle w:val="ECCParagraph"/>
        </w:rPr>
      </w:pPr>
      <w:r>
        <w:rPr>
          <w:rStyle w:val="ECCParagraph"/>
        </w:rPr>
        <w:t xml:space="preserve">Status of the </w:t>
      </w:r>
      <w:r w:rsidR="004411C4">
        <w:rPr>
          <w:rStyle w:val="ECCParagraph"/>
        </w:rPr>
        <w:t>agenda item</w:t>
      </w:r>
      <w:r>
        <w:rPr>
          <w:rStyle w:val="ECCParagraph"/>
        </w:rPr>
        <w:t xml:space="preserve"> in ITU-R</w:t>
      </w:r>
    </w:p>
    <w:p w14:paraId="788849D8" w14:textId="77777777" w:rsidR="00613E07" w:rsidRPr="00FF7A98" w:rsidRDefault="00613E07" w:rsidP="00613E07">
      <w:pPr>
        <w:pStyle w:val="ECCEditorsNote"/>
      </w:pPr>
      <w:r>
        <w:t xml:space="preserve">Summary of results on WRC-27 agenda item 1.13 from Chairman’s Report of ITU-R WP 4C (24-30 April 2024) </w:t>
      </w:r>
    </w:p>
    <w:p w14:paraId="369279D5" w14:textId="77777777" w:rsidR="00613E07" w:rsidRPr="00613E07" w:rsidRDefault="00613E07" w:rsidP="00613E07">
      <w:r w:rsidRPr="00613E07">
        <w:t xml:space="preserve">Agenda item 1.13 invites WRC-27 to consider studies on possible new allocations to the mobile-satellite service for direct connectivity between space stations and International Mobile Telecommunications (IMT) user equipment to complement terrestrial IMT network coverage, in accordance with Resolution 253 (WRC-23). </w:t>
      </w:r>
    </w:p>
    <w:p w14:paraId="2C58BE91" w14:textId="77777777" w:rsidR="00613E07" w:rsidRPr="00613E07" w:rsidRDefault="00613E07" w:rsidP="00613E07">
      <w:r w:rsidRPr="00613E07">
        <w:t>Based on the consideration of input documents, WP 4C developed the following output documents:</w:t>
      </w:r>
    </w:p>
    <w:p w14:paraId="63938083" w14:textId="77777777" w:rsidR="00613E07" w:rsidRPr="00613E07" w:rsidRDefault="00613E07" w:rsidP="00613E07">
      <w:r w:rsidRPr="00613E07">
        <w:t>–</w:t>
      </w:r>
      <w:r w:rsidRPr="00613E07">
        <w:tab/>
        <w:t>a liaison statement to contributing groups (see Doc. 4A/125);</w:t>
      </w:r>
    </w:p>
    <w:p w14:paraId="2CB61881" w14:textId="77777777" w:rsidR="00613E07" w:rsidRPr="00613E07" w:rsidRDefault="00613E07" w:rsidP="00613E07">
      <w:r w:rsidRPr="00613E07">
        <w:t>–</w:t>
      </w:r>
      <w:r w:rsidRPr="00613E07">
        <w:tab/>
        <w:t>a liaison statement to WP 5D (see Doc. 5D/107);</w:t>
      </w:r>
    </w:p>
    <w:p w14:paraId="60D6CA74" w14:textId="77777777" w:rsidR="00613E07" w:rsidRPr="00613E07" w:rsidRDefault="00613E07" w:rsidP="00613E07">
      <w:r w:rsidRPr="00613E07">
        <w:t>–</w:t>
      </w:r>
      <w:r w:rsidRPr="00613E07">
        <w:tab/>
        <w:t>an initial work plan for agenda item 1.13 (see Annex 6 to Doc. 4C/77);</w:t>
      </w:r>
    </w:p>
    <w:p w14:paraId="2B21A9D2" w14:textId="77777777" w:rsidR="00613E07" w:rsidRPr="00613E07" w:rsidRDefault="00613E07" w:rsidP="00613E07">
      <w:r w:rsidRPr="00613E07">
        <w:t>–</w:t>
      </w:r>
      <w:r w:rsidRPr="00613E07">
        <w:tab/>
        <w:t>a working document relating to WRC-27 agenda item 1.13 (see Annex 7 to Doc. 4C/77).</w:t>
      </w:r>
    </w:p>
    <w:p w14:paraId="457CA36C" w14:textId="77777777" w:rsidR="00613E07" w:rsidRPr="00613E07" w:rsidRDefault="00613E07" w:rsidP="00613E07">
      <w:r w:rsidRPr="00613E07">
        <w:t>The following issues need further discussion:</w:t>
      </w:r>
    </w:p>
    <w:p w14:paraId="599640AC" w14:textId="77777777" w:rsidR="00613E07" w:rsidRPr="00613E07" w:rsidRDefault="00613E07" w:rsidP="00613E07">
      <w:r w:rsidRPr="00613E07">
        <w:t>–</w:t>
      </w:r>
      <w:r w:rsidRPr="00613E07">
        <w:tab/>
        <w:t>final frequency band list for the studies in accordance with Recommendation ITU-R M.1036;</w:t>
      </w:r>
    </w:p>
    <w:p w14:paraId="743BE989" w14:textId="77777777" w:rsidR="00613E07" w:rsidRPr="00613E07" w:rsidRDefault="00613E07" w:rsidP="00613E07">
      <w:r w:rsidRPr="00613E07">
        <w:t>–</w:t>
      </w:r>
      <w:r w:rsidRPr="00613E07">
        <w:tab/>
        <w:t>TDD feasibility within MSS for IMT user equipment*;</w:t>
      </w:r>
    </w:p>
    <w:p w14:paraId="397B31EB" w14:textId="77777777" w:rsidR="00613E07" w:rsidRPr="00613E07" w:rsidRDefault="00613E07" w:rsidP="00613E07">
      <w:r w:rsidRPr="00613E07">
        <w:t>–</w:t>
      </w:r>
      <w:r w:rsidRPr="00613E07">
        <w:tab/>
        <w:t>responsibilities between WP 4C and WP 5D;</w:t>
      </w:r>
    </w:p>
    <w:p w14:paraId="4636D5AB" w14:textId="77777777" w:rsidR="00613E07" w:rsidRPr="00613E07" w:rsidRDefault="00613E07" w:rsidP="00613E07">
      <w:r w:rsidRPr="00613E07">
        <w:lastRenderedPageBreak/>
        <w:t>–</w:t>
      </w:r>
      <w:r w:rsidRPr="00613E07">
        <w:tab/>
        <w:t>definition of «direct connectivity»;</w:t>
      </w:r>
    </w:p>
    <w:p w14:paraId="40AFDE08" w14:textId="77777777" w:rsidR="00613E07" w:rsidRPr="00613E07" w:rsidRDefault="00613E07" w:rsidP="00613E07">
      <w:r w:rsidRPr="00613E07">
        <w:t>–</w:t>
      </w:r>
      <w:r w:rsidRPr="00613E07">
        <w:tab/>
        <w:t>authorization issues when providing services to IMT user equipment;</w:t>
      </w:r>
    </w:p>
    <w:p w14:paraId="35E5BBBD" w14:textId="77777777" w:rsidR="00613E07" w:rsidRPr="00613E07" w:rsidRDefault="00613E07" w:rsidP="00613E07">
      <w:r w:rsidRPr="00613E07">
        <w:t>–</w:t>
      </w:r>
      <w:r w:rsidRPr="00613E07">
        <w:tab/>
        <w:t>operation outside national boundaries (including territorial waters);</w:t>
      </w:r>
    </w:p>
    <w:p w14:paraId="49600B8A" w14:textId="77777777" w:rsidR="00613E07" w:rsidRPr="00613E07" w:rsidRDefault="00613E07" w:rsidP="00613E07">
      <w:r w:rsidRPr="00613E07">
        <w:t>–</w:t>
      </w:r>
      <w:r w:rsidRPr="00613E07">
        <w:tab/>
        <w:t>the need to develop studies related to the spectrum requirements under this agenda item.</w:t>
      </w:r>
    </w:p>
    <w:p w14:paraId="04A78AB9" w14:textId="77777777" w:rsidR="00613E07" w:rsidRPr="00613E07" w:rsidRDefault="00613E07" w:rsidP="00613E07">
      <w:r w:rsidRPr="00613E07">
        <w:t>*: Working Party 5D is requested to provide its view on the technical aspects with regards to the use and operation of TDD for direct connectivity between space stations and IMT user equipment.</w:t>
      </w:r>
    </w:p>
    <w:p w14:paraId="2A8189AA" w14:textId="77777777" w:rsidR="00613E07" w:rsidRPr="00613E07" w:rsidRDefault="00613E07" w:rsidP="00613E07">
      <w:r w:rsidRPr="00613E07">
        <w:t>One input document raised considerations regarding prior ITU-R studies of the feasibility of adding co-frequency MSS allocations to RNSS bands in the 1 GHz range which concludes that co-frequency sharing between RNSS and MSS (space-to-Earth) in the RNSS (space-to-Earth) and (space-to-space) is not feasible. Because there is no present intent to include the 1 GHz RNSS bands above on the list of frequency bands for study under AI 1.13, the meeting decided to carry Doc. 4C/53 forward to the October 2024 meeting of WP 4C.</w:t>
      </w:r>
    </w:p>
    <w:p w14:paraId="468B09E9" w14:textId="77777777" w:rsidR="00613E07" w:rsidRPr="00613E07" w:rsidRDefault="00613E07" w:rsidP="00613E07">
      <w:r w:rsidRPr="00613E07">
        <w:t>In the initial work plan, the implementation of the WRC-23 decisions as contained in the BR Director note in paragraphs 3 and 4 (see Doc. 4C/2) are duly reflected.</w:t>
      </w:r>
    </w:p>
    <w:p w14:paraId="5F08109A" w14:textId="77777777" w:rsidR="00613E07" w:rsidRPr="00613E07" w:rsidRDefault="00613E07" w:rsidP="00613E07">
      <w:r w:rsidRPr="00613E07">
        <w:t>In the liaison statement, it was agreed to include the following elements in common to agenda items 1.12, 1.13 and 1.14:</w:t>
      </w:r>
    </w:p>
    <w:p w14:paraId="5371BF6F" w14:textId="77777777" w:rsidR="00613E07" w:rsidRPr="00613E07" w:rsidRDefault="00613E07" w:rsidP="00613E07">
      <w:r w:rsidRPr="00613E07">
        <w:t>–</w:t>
      </w:r>
      <w:r w:rsidRPr="00613E07">
        <w:tab/>
        <w:t xml:space="preserve">a connection between this agenda item and MSS non-GSO earth station issues that may need to be addressed by WP 4A under WRC-27 AI 1.5; </w:t>
      </w:r>
    </w:p>
    <w:p w14:paraId="4DC9D6D8" w14:textId="77777777" w:rsidR="00613E07" w:rsidRPr="00613E07" w:rsidRDefault="00613E07" w:rsidP="00613E07">
      <w:r w:rsidRPr="00613E07">
        <w:t>–</w:t>
      </w:r>
      <w:r w:rsidRPr="00613E07">
        <w:tab/>
        <w:t>the frequency bands overlap between the agenda items.</w:t>
      </w:r>
    </w:p>
    <w:p w14:paraId="31B3A2E3" w14:textId="0E3EBB32" w:rsidR="00991DEE" w:rsidRDefault="00613E07" w:rsidP="00200A97">
      <w:pPr>
        <w:rPr>
          <w:rStyle w:val="ECCParagraph"/>
        </w:rPr>
      </w:pPr>
      <w:r w:rsidRPr="00613E07">
        <w:t>It was agreed to continue the preparation of joint session(s) on agenda item 1.13 during the October 2024 meeting of WP 4C, which is planned to overlap with the WP 5D meeting. The details including the date(s), the number of sessions, the draft agenda and the nominated chairs will be coordinated between the management teams of WP 4C and WP 5D with interested members based on clear understanding of responsibilities of the WPs.</w:t>
      </w:r>
    </w:p>
    <w:p w14:paraId="341856D9" w14:textId="567C9156" w:rsidR="003771D5" w:rsidRPr="00235592" w:rsidRDefault="003771D5" w:rsidP="00BD4E12">
      <w:pPr>
        <w:pStyle w:val="Titre1"/>
        <w:rPr>
          <w:lang w:val="en-GB"/>
        </w:rPr>
      </w:pPr>
      <w:r w:rsidRPr="00235592">
        <w:rPr>
          <w:lang w:val="en-GB"/>
        </w:rPr>
        <w:t>List of relevant documents</w:t>
      </w:r>
    </w:p>
    <w:p w14:paraId="24C8A31E" w14:textId="77777777" w:rsidR="00220194" w:rsidRDefault="003771D5" w:rsidP="000A29BC">
      <w:pPr>
        <w:pStyle w:val="ECCBreak"/>
        <w:rPr>
          <w:rStyle w:val="ECCParagraph"/>
        </w:rPr>
      </w:pPr>
      <w:r w:rsidRPr="00235592">
        <w:rPr>
          <w:rStyle w:val="ECCParagraph"/>
        </w:rPr>
        <w:t>ITU-Documentation (Recommendations, Reports, other)</w:t>
      </w:r>
    </w:p>
    <w:p w14:paraId="40267909" w14:textId="43C386AA" w:rsidR="000A29BC" w:rsidRDefault="009C003B" w:rsidP="006810E2">
      <w:pPr>
        <w:pStyle w:val="ECCBulletsLv1"/>
        <w:rPr>
          <w:rStyle w:val="ECCParagraph"/>
          <w:lang w:val="en-US"/>
        </w:rPr>
      </w:pPr>
      <w:r w:rsidRPr="006810E2">
        <w:rPr>
          <w:rStyle w:val="ECCParagraph"/>
          <w:lang w:val="en-US"/>
        </w:rPr>
        <w:t xml:space="preserve">Report ITU-R M.2077-0 </w:t>
      </w:r>
      <w:r w:rsidR="006810E2" w:rsidRPr="006810E2">
        <w:rPr>
          <w:rStyle w:val="ECCParagraph"/>
          <w:lang w:val="en-US"/>
        </w:rPr>
        <w:t>“Traffic forecasts and estimated spectrum requirements for the satellite component of IMT 2000 and systems beyond IMT-2000 for the period 2010 to 2020</w:t>
      </w:r>
      <w:r w:rsidR="006810E2">
        <w:rPr>
          <w:rStyle w:val="ECCParagraph"/>
        </w:rPr>
        <w:t>”</w:t>
      </w:r>
      <w:r w:rsidRPr="006810E2">
        <w:rPr>
          <w:rStyle w:val="ECCParagraph"/>
          <w:lang w:val="en-US"/>
        </w:rPr>
        <w:t>;</w:t>
      </w:r>
    </w:p>
    <w:p w14:paraId="3F12008C" w14:textId="0F2233A2" w:rsidR="00930508" w:rsidRPr="00DC265A" w:rsidRDefault="00930508" w:rsidP="00930508">
      <w:pPr>
        <w:pStyle w:val="ECCBulletsLv1"/>
        <w:rPr>
          <w:rStyle w:val="ECCParagraph"/>
          <w:lang w:val="en-US"/>
        </w:rPr>
      </w:pPr>
      <w:r w:rsidRPr="00930508">
        <w:rPr>
          <w:rStyle w:val="ECCParagraph"/>
          <w:lang w:val="en-US"/>
        </w:rPr>
        <w:t>Report ITU-R M.2218-0</w:t>
      </w:r>
      <w:r>
        <w:rPr>
          <w:rStyle w:val="ECCParagraph"/>
        </w:rPr>
        <w:t xml:space="preserve"> “</w:t>
      </w:r>
      <w:r w:rsidRPr="00930508">
        <w:rPr>
          <w:rStyle w:val="ECCParagraph"/>
        </w:rPr>
        <w:t>Traffic forecasts and estimated spectrum requirements for future development</w:t>
      </w:r>
      <w:r>
        <w:rPr>
          <w:rStyle w:val="ECCParagraph"/>
        </w:rPr>
        <w:t xml:space="preserve"> </w:t>
      </w:r>
      <w:r w:rsidRPr="00930508">
        <w:rPr>
          <w:rStyle w:val="ECCParagraph"/>
        </w:rPr>
        <w:t>of the mobile-satellite service</w:t>
      </w:r>
      <w:r>
        <w:rPr>
          <w:rStyle w:val="ECCParagraph"/>
        </w:rPr>
        <w:t xml:space="preserve"> </w:t>
      </w:r>
      <w:r w:rsidRPr="00930508">
        <w:rPr>
          <w:rStyle w:val="ECCParagraph"/>
        </w:rPr>
        <w:t>in the range 4-16 GHz</w:t>
      </w:r>
      <w:r>
        <w:rPr>
          <w:rStyle w:val="ECCParagraph"/>
        </w:rPr>
        <w:t>”;</w:t>
      </w:r>
    </w:p>
    <w:p w14:paraId="2E237830" w14:textId="5D0CA7E0" w:rsidR="00DC265A" w:rsidRPr="00BC348E" w:rsidRDefault="00DC265A" w:rsidP="00DC265A">
      <w:pPr>
        <w:pStyle w:val="ECCBulletsLv1"/>
        <w:rPr>
          <w:rStyle w:val="ECCParagraph"/>
          <w:lang w:val="en-US"/>
        </w:rPr>
      </w:pPr>
      <w:r>
        <w:rPr>
          <w:rStyle w:val="ECCParagraph"/>
        </w:rPr>
        <w:t>R</w:t>
      </w:r>
      <w:r w:rsidRPr="00DC265A">
        <w:rPr>
          <w:rStyle w:val="ECCParagraph"/>
        </w:rPr>
        <w:t xml:space="preserve">eport ITU-R M.2514-0 </w:t>
      </w:r>
      <w:r>
        <w:rPr>
          <w:rStyle w:val="ECCParagraph"/>
        </w:rPr>
        <w:t>“</w:t>
      </w:r>
      <w:r w:rsidRPr="00DC265A">
        <w:rPr>
          <w:rStyle w:val="ECCParagraph"/>
        </w:rPr>
        <w:t>Vision, requirements and evaluation guidelines for satellite radio interface(s) of IMT-2020</w:t>
      </w:r>
      <w:r>
        <w:rPr>
          <w:rStyle w:val="ECCParagraph"/>
        </w:rPr>
        <w:t>”;</w:t>
      </w:r>
      <w:r w:rsidRPr="00DC265A">
        <w:rPr>
          <w:rStyle w:val="ECCParagraph"/>
        </w:rPr>
        <w:cr/>
      </w:r>
    </w:p>
    <w:p w14:paraId="49913229" w14:textId="691244D3" w:rsidR="00BC348E" w:rsidRPr="00BC348E" w:rsidRDefault="00BC348E" w:rsidP="00BC348E">
      <w:pPr>
        <w:pStyle w:val="ECCBulletsLv1"/>
        <w:rPr>
          <w:rStyle w:val="ECCParagraph"/>
          <w:lang w:val="en-US"/>
        </w:rPr>
      </w:pPr>
      <w:r w:rsidRPr="00BC348E">
        <w:rPr>
          <w:rStyle w:val="ECCParagraph"/>
          <w:lang w:val="en-US"/>
        </w:rPr>
        <w:t xml:space="preserve">Report ITU-R M.2041-0 </w:t>
      </w:r>
      <w:r>
        <w:rPr>
          <w:rStyle w:val="ECCParagraph"/>
        </w:rPr>
        <w:t>“</w:t>
      </w:r>
      <w:r w:rsidRPr="00BC348E">
        <w:rPr>
          <w:rStyle w:val="ECCParagraph"/>
        </w:rPr>
        <w:t>Sharing and adjacent band compatibility in the 2.5 GHz band between</w:t>
      </w:r>
      <w:r>
        <w:rPr>
          <w:rStyle w:val="ECCParagraph"/>
        </w:rPr>
        <w:t xml:space="preserve"> </w:t>
      </w:r>
      <w:r w:rsidRPr="00BC348E">
        <w:rPr>
          <w:rStyle w:val="ECCParagraph"/>
        </w:rPr>
        <w:t>the terrestrial and satellite components of IMT-2000</w:t>
      </w:r>
      <w:r>
        <w:rPr>
          <w:rStyle w:val="ECCParagraph"/>
        </w:rPr>
        <w:t>”;</w:t>
      </w:r>
    </w:p>
    <w:p w14:paraId="7CE745F7" w14:textId="4F9049E3" w:rsidR="00BC348E" w:rsidRPr="00E45CDA" w:rsidRDefault="00AD64E0" w:rsidP="00BC348E">
      <w:pPr>
        <w:pStyle w:val="ECCBulletsLv1"/>
        <w:rPr>
          <w:rStyle w:val="ECCParagraph"/>
          <w:lang w:val="en-US"/>
        </w:rPr>
      </w:pPr>
      <w:r w:rsidRPr="00AD64E0">
        <w:rPr>
          <w:rStyle w:val="ECCParagraph"/>
        </w:rPr>
        <w:t xml:space="preserve">Recommendation ITU-R M.1182-1 </w:t>
      </w:r>
      <w:r>
        <w:rPr>
          <w:rStyle w:val="ECCParagraph"/>
        </w:rPr>
        <w:t>“</w:t>
      </w:r>
      <w:r w:rsidRPr="00AD64E0">
        <w:rPr>
          <w:rStyle w:val="ECCParagraph"/>
          <w:lang w:val="en-US"/>
        </w:rPr>
        <w:t>Integration of terrestrial and satellite mobile communication systems</w:t>
      </w:r>
      <w:r>
        <w:rPr>
          <w:rStyle w:val="ECCParagraph"/>
        </w:rPr>
        <w:t>”;</w:t>
      </w:r>
    </w:p>
    <w:p w14:paraId="6D6F651A" w14:textId="69CB66D2" w:rsidR="00E45CDA" w:rsidRPr="00E45CDA" w:rsidRDefault="00E45CDA" w:rsidP="00BC348E">
      <w:pPr>
        <w:pStyle w:val="ECCBulletsLv1"/>
        <w:rPr>
          <w:rStyle w:val="ECCParagraph"/>
          <w:lang w:val="en-US"/>
        </w:rPr>
      </w:pPr>
      <w:r w:rsidRPr="00E45CDA">
        <w:rPr>
          <w:rStyle w:val="ECCParagraph"/>
          <w:lang w:val="en-US"/>
        </w:rPr>
        <w:t>Recommendation ITU-R M.1036-6</w:t>
      </w:r>
      <w:r>
        <w:rPr>
          <w:rStyle w:val="ECCParagraph"/>
        </w:rPr>
        <w:t xml:space="preserve"> “</w:t>
      </w:r>
      <w:r w:rsidRPr="00E45CDA">
        <w:rPr>
          <w:rStyle w:val="ECCParagraph"/>
        </w:rPr>
        <w:t>Frequency arrangements for implementation of the terrestrial component of International Mobile Telecommunications in the bands identified for IMT in the Radio Regulations</w:t>
      </w:r>
      <w:r>
        <w:rPr>
          <w:rStyle w:val="ECCParagraph"/>
        </w:rPr>
        <w:t>”;</w:t>
      </w:r>
    </w:p>
    <w:p w14:paraId="3B347CFA" w14:textId="24EF26A2" w:rsidR="00E45CDA" w:rsidRPr="00E45CDA" w:rsidRDefault="00E45CDA" w:rsidP="00BC348E">
      <w:pPr>
        <w:pStyle w:val="ECCBulletsLv1"/>
        <w:rPr>
          <w:rStyle w:val="ECCParagraph"/>
          <w:lang w:val="en-US"/>
        </w:rPr>
      </w:pPr>
      <w:r w:rsidRPr="00E45CDA">
        <w:rPr>
          <w:rStyle w:val="ECCParagraph"/>
          <w:lang w:val="en-US"/>
        </w:rPr>
        <w:t>Recommendation ITU-R RA.769-2</w:t>
      </w:r>
      <w:r>
        <w:rPr>
          <w:rStyle w:val="ECCParagraph"/>
        </w:rPr>
        <w:t xml:space="preserve"> “</w:t>
      </w:r>
      <w:r w:rsidRPr="00E45CDA">
        <w:rPr>
          <w:rStyle w:val="ECCParagraph"/>
        </w:rPr>
        <w:t>Protection criteria used for radio astronomical measurements</w:t>
      </w:r>
      <w:r>
        <w:rPr>
          <w:rStyle w:val="ECCParagraph"/>
        </w:rPr>
        <w:t>”;</w:t>
      </w:r>
    </w:p>
    <w:p w14:paraId="05A9C902" w14:textId="2D18258D" w:rsidR="00E45CDA" w:rsidRPr="008B4365" w:rsidRDefault="00E45CDA" w:rsidP="00BC348E">
      <w:pPr>
        <w:pStyle w:val="ECCBulletsLv1"/>
        <w:rPr>
          <w:rStyle w:val="ECCParagraph"/>
          <w:lang w:val="en-US"/>
        </w:rPr>
      </w:pPr>
      <w:r w:rsidRPr="00E45CDA">
        <w:rPr>
          <w:rStyle w:val="ECCParagraph"/>
          <w:lang w:val="en-US"/>
        </w:rPr>
        <w:lastRenderedPageBreak/>
        <w:t xml:space="preserve">Recommendation ITU-R RA.1513-2 </w:t>
      </w:r>
      <w:r>
        <w:rPr>
          <w:rStyle w:val="ECCParagraph"/>
        </w:rPr>
        <w:t>“</w:t>
      </w:r>
      <w:r w:rsidRPr="00E45CDA">
        <w:rPr>
          <w:rStyle w:val="ECCParagraph"/>
          <w:lang w:val="en-US"/>
        </w:rPr>
        <w:t>Levels of data loss to radio astronomy observations and percentage-of-time criteria resulting from degradation by interference for frequency bands allocated to the radio astronomy service on a primary basis</w:t>
      </w:r>
      <w:r>
        <w:rPr>
          <w:rStyle w:val="ECCParagraph"/>
        </w:rPr>
        <w:t>”;</w:t>
      </w:r>
    </w:p>
    <w:p w14:paraId="12656146" w14:textId="0ADAE140" w:rsidR="008B4365" w:rsidRPr="00366E86" w:rsidRDefault="008B4365" w:rsidP="00BC348E">
      <w:pPr>
        <w:pStyle w:val="ECCBulletsLv1"/>
        <w:rPr>
          <w:rStyle w:val="ECCParagraph"/>
          <w:lang w:val="en-US"/>
        </w:rPr>
      </w:pPr>
      <w:r w:rsidRPr="008B4365">
        <w:rPr>
          <w:rStyle w:val="ECCParagraph"/>
          <w:lang w:val="en-US"/>
        </w:rPr>
        <w:t>Recommendation ITU-R M.1808-1</w:t>
      </w:r>
      <w:r>
        <w:rPr>
          <w:rStyle w:val="ECCParagraph"/>
        </w:rPr>
        <w:t xml:space="preserve"> “</w:t>
      </w:r>
      <w:r w:rsidRPr="008B4365">
        <w:rPr>
          <w:rStyle w:val="ECCParagraph"/>
        </w:rPr>
        <w:t>Technical and operational characteristics of conventional and trunked land mobile systems operating in the mobile service allocations below 869 MHz to be used in sharing studies in bands below 960 MHz</w:t>
      </w:r>
      <w:r>
        <w:rPr>
          <w:rStyle w:val="ECCParagraph"/>
        </w:rPr>
        <w:t>”</w:t>
      </w:r>
      <w:r w:rsidR="00366E86">
        <w:rPr>
          <w:rStyle w:val="ECCParagraph"/>
        </w:rPr>
        <w:t>;</w:t>
      </w:r>
    </w:p>
    <w:p w14:paraId="64BD5366" w14:textId="2BF173CB" w:rsidR="00366E86" w:rsidRPr="008C7E05" w:rsidRDefault="00366E86" w:rsidP="00BC348E">
      <w:pPr>
        <w:pStyle w:val="ECCBulletsLv1"/>
        <w:rPr>
          <w:rStyle w:val="ECCParagraph"/>
          <w:lang w:val="en-US"/>
        </w:rPr>
      </w:pPr>
      <w:r w:rsidRPr="00366E86">
        <w:rPr>
          <w:rStyle w:val="ECCParagraph"/>
          <w:lang w:val="en-US"/>
        </w:rPr>
        <w:t xml:space="preserve">Resolution </w:t>
      </w:r>
      <w:r w:rsidRPr="00B97B16">
        <w:rPr>
          <w:rStyle w:val="ECCHLbold"/>
          <w:lang w:val="en-US"/>
        </w:rPr>
        <w:t>646 (Rev.WRC-19)</w:t>
      </w:r>
      <w:r w:rsidR="008C7E05">
        <w:rPr>
          <w:rStyle w:val="ECCHLbold"/>
        </w:rPr>
        <w:t xml:space="preserve"> </w:t>
      </w:r>
      <w:r w:rsidR="008C7E05" w:rsidRPr="008C7E05">
        <w:rPr>
          <w:rStyle w:val="ECCParagraph"/>
        </w:rPr>
        <w:t>“Public protection and disaster relief”</w:t>
      </w:r>
      <w:r w:rsidRPr="008C7E05">
        <w:rPr>
          <w:rStyle w:val="ECCParagraph"/>
        </w:rPr>
        <w:t>;</w:t>
      </w:r>
    </w:p>
    <w:p w14:paraId="741CD823" w14:textId="410706A7" w:rsidR="008C7E05" w:rsidRPr="008C7E05" w:rsidRDefault="008C7E05" w:rsidP="008C7E05">
      <w:pPr>
        <w:pStyle w:val="ECCBulletsLv1"/>
        <w:rPr>
          <w:rStyle w:val="ECCParagraph"/>
          <w:lang w:val="en-US"/>
        </w:rPr>
      </w:pPr>
      <w:r w:rsidRPr="008C7E05">
        <w:rPr>
          <w:rStyle w:val="ECCParagraph"/>
          <w:lang w:val="en-US"/>
        </w:rPr>
        <w:t>GE06 Agreement</w:t>
      </w:r>
      <w:r>
        <w:rPr>
          <w:rStyle w:val="ECCParagraph"/>
        </w:rPr>
        <w:t xml:space="preserve"> “</w:t>
      </w:r>
      <w:r w:rsidRPr="008C7E05">
        <w:rPr>
          <w:rStyle w:val="ECCParagraph"/>
        </w:rPr>
        <w:t xml:space="preserve">relating to the planning of the digital terrestrial broadcasting service in Region 1 and in the Islamic Republic of Iran, in the frequency bands 174-230 MHz and 470-862 MHz, governs the use of these bands by all primary terrestrial services including </w:t>
      </w:r>
      <w:proofErr w:type="spellStart"/>
      <w:r w:rsidRPr="008C7E05">
        <w:rPr>
          <w:rStyle w:val="ECCParagraph"/>
        </w:rPr>
        <w:t>non</w:t>
      </w:r>
      <w:r>
        <w:rPr>
          <w:rStyle w:val="ECCParagraph"/>
        </w:rPr>
        <w:t xml:space="preserve"> </w:t>
      </w:r>
      <w:r w:rsidRPr="008C7E05">
        <w:rPr>
          <w:rStyle w:val="ECCParagraph"/>
        </w:rPr>
        <w:t>broadcasting</w:t>
      </w:r>
      <w:proofErr w:type="spellEnd"/>
      <w:r w:rsidRPr="008C7E05">
        <w:rPr>
          <w:rStyle w:val="ECCParagraph"/>
        </w:rPr>
        <w:t xml:space="preserve"> ones</w:t>
      </w:r>
      <w:r>
        <w:rPr>
          <w:rStyle w:val="ECCParagraph"/>
        </w:rPr>
        <w:t>”</w:t>
      </w:r>
      <w:r w:rsidRPr="008C7E05">
        <w:rPr>
          <w:rStyle w:val="ECCParagraph"/>
        </w:rPr>
        <w:t>.</w:t>
      </w:r>
    </w:p>
    <w:p w14:paraId="1EFE1E85" w14:textId="77777777" w:rsidR="00220194" w:rsidRDefault="003771D5" w:rsidP="000A29BC">
      <w:pPr>
        <w:pStyle w:val="ECCBreak"/>
        <w:rPr>
          <w:rStyle w:val="ECCParagraph"/>
        </w:rPr>
      </w:pPr>
      <w:r w:rsidRPr="00235592">
        <w:rPr>
          <w:rStyle w:val="ECCParagraph"/>
        </w:rPr>
        <w:t>CEPT and/or ECC Documentation (Decisions, Recommendations, Reports)</w:t>
      </w:r>
    </w:p>
    <w:p w14:paraId="24ADC4DB" w14:textId="77777777" w:rsidR="00E26BAC" w:rsidRDefault="003771D5" w:rsidP="000A29BC">
      <w:pPr>
        <w:pStyle w:val="ECCBreak"/>
        <w:rPr>
          <w:rStyle w:val="ECCParagraph"/>
        </w:rPr>
      </w:pPr>
      <w:r w:rsidRPr="00235592">
        <w:rPr>
          <w:rStyle w:val="ECCParagraph"/>
        </w:rPr>
        <w:t>EU Documentation (Directives, Decisions, Recommendations, other), if applicable</w:t>
      </w:r>
    </w:p>
    <w:p w14:paraId="3965CA32" w14:textId="77777777" w:rsidR="000A29BC" w:rsidRPr="00235592" w:rsidRDefault="000A29BC" w:rsidP="000A29BC">
      <w:pPr>
        <w:pStyle w:val="ECCBulletsLv1"/>
        <w:rPr>
          <w:rStyle w:val="ECCParagraph"/>
        </w:rPr>
      </w:pPr>
    </w:p>
    <w:p w14:paraId="110AA254" w14:textId="307CE6A2" w:rsidR="003771D5" w:rsidRDefault="003771D5" w:rsidP="00BD4E12">
      <w:pPr>
        <w:pStyle w:val="Titre1"/>
        <w:rPr>
          <w:lang w:val="en-GB"/>
        </w:rPr>
      </w:pPr>
      <w:r w:rsidRPr="00235592">
        <w:rPr>
          <w:lang w:val="en-GB"/>
        </w:rPr>
        <w:lastRenderedPageBreak/>
        <w:t>Actions to be taken</w:t>
      </w:r>
    </w:p>
    <w:p w14:paraId="42A8A15A" w14:textId="47FC1D63" w:rsidR="00E77355" w:rsidRPr="00E77355" w:rsidRDefault="00E77355" w:rsidP="00E77355">
      <w:pPr>
        <w:pStyle w:val="ECCBulletsLv1"/>
      </w:pPr>
    </w:p>
    <w:p w14:paraId="6273D382" w14:textId="5818827E" w:rsidR="003771D5" w:rsidRPr="00235592" w:rsidRDefault="003771D5" w:rsidP="00BD4E12">
      <w:pPr>
        <w:pStyle w:val="Titre1"/>
        <w:rPr>
          <w:lang w:val="en-GB"/>
        </w:rPr>
      </w:pPr>
      <w:r w:rsidRPr="00235592">
        <w:rPr>
          <w:lang w:val="en-GB"/>
        </w:rPr>
        <w:t xml:space="preserve">Relevant information </w:t>
      </w:r>
      <w:r w:rsidR="008C14EA" w:rsidRPr="00A52B8E">
        <w:rPr>
          <w:lang w:val="en-GB"/>
        </w:rPr>
        <w:t xml:space="preserve">as contributed </w:t>
      </w:r>
      <w:r w:rsidRPr="00235592">
        <w:rPr>
          <w:lang w:val="en-GB"/>
        </w:rPr>
        <w:t>from outside CEPT (examples of these are below)</w:t>
      </w:r>
    </w:p>
    <w:p w14:paraId="108611CC" w14:textId="380F2A23" w:rsidR="003771D5" w:rsidRPr="00235592" w:rsidRDefault="00652804" w:rsidP="00BD4E12">
      <w:pPr>
        <w:pStyle w:val="Titre2"/>
        <w:rPr>
          <w:lang w:val="en-GB"/>
        </w:rPr>
      </w:pPr>
      <w:r w:rsidRPr="00A52B8E">
        <w:rPr>
          <w:lang w:val="en-GB"/>
        </w:rPr>
        <w:t>European Commission</w:t>
      </w:r>
      <w:r w:rsidR="002132DB" w:rsidRPr="00A52B8E">
        <w:rPr>
          <w:lang w:val="en-GB"/>
        </w:rPr>
        <w:t xml:space="preserve"> (date o</w:t>
      </w:r>
      <w:r w:rsidR="00F8504F" w:rsidRPr="00A52B8E">
        <w:rPr>
          <w:lang w:val="en-GB"/>
        </w:rPr>
        <w:t>f proposal)</w:t>
      </w:r>
    </w:p>
    <w:p w14:paraId="02658459" w14:textId="77777777" w:rsidR="004F16F4" w:rsidRPr="00235592" w:rsidRDefault="004F16F4" w:rsidP="004F16F4">
      <w:pPr>
        <w:rPr>
          <w:rStyle w:val="ECCParagraph"/>
        </w:rPr>
      </w:pPr>
    </w:p>
    <w:p w14:paraId="0B92F784" w14:textId="4FDF6BEE" w:rsidR="003771D5" w:rsidRPr="00235592" w:rsidRDefault="003771D5" w:rsidP="00BD4E12">
      <w:pPr>
        <w:pStyle w:val="Titre2"/>
        <w:rPr>
          <w:lang w:val="en-GB"/>
        </w:rPr>
      </w:pPr>
      <w:r w:rsidRPr="00235592">
        <w:rPr>
          <w:lang w:val="en-GB"/>
        </w:rPr>
        <w:t xml:space="preserve">Regional </w:t>
      </w:r>
      <w:r w:rsidR="00B54B09">
        <w:t>T</w:t>
      </w:r>
      <w:r w:rsidR="0057797A" w:rsidRPr="00235592">
        <w:rPr>
          <w:lang w:val="en-GB"/>
        </w:rPr>
        <w:t xml:space="preserve">elecommunication </w:t>
      </w:r>
      <w:r w:rsidR="00B54B09">
        <w:t>O</w:t>
      </w:r>
      <w:r w:rsidR="0057797A" w:rsidRPr="00235592">
        <w:rPr>
          <w:lang w:val="en-GB"/>
        </w:rPr>
        <w:t>rganisations</w:t>
      </w:r>
    </w:p>
    <w:p w14:paraId="202E4ABD" w14:textId="77777777" w:rsidR="003771D5" w:rsidRPr="00235592" w:rsidRDefault="003771D5" w:rsidP="009B1F62">
      <w:pPr>
        <w:pStyle w:val="ECCBreak"/>
      </w:pPr>
      <w:r w:rsidRPr="00235592">
        <w:t>APT (date of proposal)</w:t>
      </w:r>
    </w:p>
    <w:p w14:paraId="2AF5FF95" w14:textId="77777777" w:rsidR="006C5C1C" w:rsidRPr="00235592" w:rsidRDefault="006C5C1C" w:rsidP="006C5C1C">
      <w:pPr>
        <w:rPr>
          <w:rStyle w:val="ECCParagraph"/>
        </w:rPr>
      </w:pPr>
    </w:p>
    <w:p w14:paraId="3A5AB3EF" w14:textId="77777777" w:rsidR="003771D5" w:rsidRPr="00235592" w:rsidRDefault="003771D5" w:rsidP="009B1F62">
      <w:pPr>
        <w:pStyle w:val="ECCBreak"/>
      </w:pPr>
      <w:r w:rsidRPr="00235592">
        <w:t>ATU (date of proposal)</w:t>
      </w:r>
    </w:p>
    <w:p w14:paraId="44B5ADE1" w14:textId="77777777" w:rsidR="003771D5" w:rsidRPr="00235592" w:rsidRDefault="003771D5" w:rsidP="00BD4E12">
      <w:pPr>
        <w:rPr>
          <w:rStyle w:val="ECCParagraph"/>
        </w:rPr>
      </w:pPr>
    </w:p>
    <w:p w14:paraId="08DC6F00" w14:textId="4E4A0648" w:rsidR="003771D5" w:rsidRPr="00235592" w:rsidRDefault="00A87414" w:rsidP="009B1F62">
      <w:pPr>
        <w:pStyle w:val="ECCBreak"/>
      </w:pPr>
      <w:r>
        <w:t>ASMG</w:t>
      </w:r>
      <w:r w:rsidR="003771D5" w:rsidRPr="00235592">
        <w:t xml:space="preserve"> (date of proposal)</w:t>
      </w:r>
    </w:p>
    <w:p w14:paraId="0B9B19D0" w14:textId="77777777" w:rsidR="003771D5" w:rsidRPr="00235592" w:rsidRDefault="003771D5" w:rsidP="00BD4E12">
      <w:pPr>
        <w:rPr>
          <w:rStyle w:val="ECCParagraph"/>
        </w:rPr>
      </w:pPr>
    </w:p>
    <w:p w14:paraId="5839E6A0" w14:textId="77777777" w:rsidR="003771D5" w:rsidRPr="00235592" w:rsidRDefault="003771D5" w:rsidP="009B1F62">
      <w:pPr>
        <w:pStyle w:val="ECCBreak"/>
      </w:pPr>
      <w:r w:rsidRPr="00235592">
        <w:t>CITEL (date of proposal)</w:t>
      </w:r>
    </w:p>
    <w:p w14:paraId="40516C74" w14:textId="77777777" w:rsidR="003771D5" w:rsidRPr="00235592" w:rsidRDefault="003771D5" w:rsidP="00BD4E12">
      <w:pPr>
        <w:rPr>
          <w:rStyle w:val="ECCParagraph"/>
        </w:rPr>
      </w:pPr>
    </w:p>
    <w:p w14:paraId="0EBA804D" w14:textId="77777777" w:rsidR="003771D5" w:rsidRPr="00235592" w:rsidRDefault="003771D5" w:rsidP="009B1F62">
      <w:pPr>
        <w:pStyle w:val="ECCBreak"/>
      </w:pPr>
      <w:r w:rsidRPr="00235592">
        <w:t>RCC (date of proposal)</w:t>
      </w:r>
    </w:p>
    <w:p w14:paraId="23D8BB81" w14:textId="77777777" w:rsidR="003771D5" w:rsidRPr="00235592" w:rsidRDefault="003771D5" w:rsidP="00BD4E12">
      <w:pPr>
        <w:rPr>
          <w:rStyle w:val="ECCParagraph"/>
        </w:rPr>
      </w:pPr>
    </w:p>
    <w:p w14:paraId="4C9DF9D0" w14:textId="476C0A76" w:rsidR="003771D5" w:rsidRDefault="003771D5" w:rsidP="00BD4E12">
      <w:pPr>
        <w:pStyle w:val="Titre2"/>
        <w:rPr>
          <w:lang w:val="en-GB"/>
        </w:rPr>
      </w:pPr>
      <w:r w:rsidRPr="00235592">
        <w:rPr>
          <w:lang w:val="en-GB"/>
        </w:rPr>
        <w:t>International organisations</w:t>
      </w:r>
      <w:r w:rsidR="00652804" w:rsidRPr="00A52B8E">
        <w:rPr>
          <w:lang w:val="en-GB"/>
        </w:rPr>
        <w:t xml:space="preserve"> members of the ITU</w:t>
      </w:r>
    </w:p>
    <w:p w14:paraId="354B4C78" w14:textId="6C2601ED" w:rsidR="007F2AB2" w:rsidRPr="00A52B8E" w:rsidRDefault="007F2AB2" w:rsidP="009B1F62">
      <w:pPr>
        <w:pStyle w:val="ECCBreak"/>
      </w:pPr>
      <w:r w:rsidRPr="00A52B8E">
        <w:t>CRAF (date of proposal)</w:t>
      </w:r>
    </w:p>
    <w:p w14:paraId="680BC6AC" w14:textId="77777777" w:rsidR="00BC157A" w:rsidRPr="00235592" w:rsidRDefault="00BC157A" w:rsidP="00BC157A">
      <w:pPr>
        <w:rPr>
          <w:rStyle w:val="ECCParagraph"/>
        </w:rPr>
      </w:pPr>
    </w:p>
    <w:p w14:paraId="294F61D9" w14:textId="77777777" w:rsidR="007F2AB2" w:rsidRPr="00A52B8E" w:rsidRDefault="007F2AB2" w:rsidP="009B1F62">
      <w:pPr>
        <w:pStyle w:val="ECCBreak"/>
      </w:pPr>
      <w:r w:rsidRPr="00A52B8E">
        <w:t>EBU (date of proposal)</w:t>
      </w:r>
    </w:p>
    <w:p w14:paraId="6AC21B72" w14:textId="73F991AE" w:rsidR="00BC157A" w:rsidRDefault="007F2AB2" w:rsidP="008324B2">
      <w:pPr>
        <w:pStyle w:val="ECCBreak"/>
      </w:pPr>
      <w:r w:rsidRPr="00A52B8E">
        <w:t xml:space="preserve">ESA </w:t>
      </w:r>
      <w:r w:rsidR="008324B2" w:rsidRPr="00A52B8E">
        <w:t>(</w:t>
      </w:r>
      <w:r w:rsidR="00613E07" w:rsidRPr="00613E07">
        <w:t>June 2024</w:t>
      </w:r>
      <w:r w:rsidR="008324B2" w:rsidRPr="00A52B8E">
        <w:t>)</w:t>
      </w:r>
    </w:p>
    <w:p w14:paraId="6335F02F" w14:textId="2C1B3EB5" w:rsidR="00613E07" w:rsidRDefault="00613E07" w:rsidP="00613E07">
      <w:r w:rsidRPr="00613E07">
        <w:t xml:space="preserve">ESA supports the SFCG objectives, as developed in June 2024, on WRC-27 agenda item </w:t>
      </w:r>
      <w:r>
        <w:t>1.13</w:t>
      </w:r>
      <w:r w:rsidRPr="00613E07">
        <w:t>, as shown below:</w:t>
      </w:r>
    </w:p>
    <w:p w14:paraId="11721D1A" w14:textId="63D3266B" w:rsidR="0082642E" w:rsidRPr="0082642E" w:rsidRDefault="00613E07" w:rsidP="0082642E">
      <w:pPr>
        <w:rPr>
          <w:lang w:val="da-DK"/>
        </w:rPr>
      </w:pPr>
      <w:r w:rsidRPr="00613E07">
        <w:t xml:space="preserve">SFCG supports adhering to the intended scope of Agenda Item 1.13 and Resolution </w:t>
      </w:r>
      <w:r w:rsidRPr="00D72193">
        <w:rPr>
          <w:rStyle w:val="ECCHLbold"/>
        </w:rPr>
        <w:t>253 (WRC-23)</w:t>
      </w:r>
      <w:r w:rsidRPr="00613E07">
        <w:t xml:space="preserve"> by only considering new allocations to the MSS for supplemental IMT terrestrial coverage in frequency bands identified for IMT as documented in Recommendation ITU-R M.1036.</w:t>
      </w:r>
    </w:p>
    <w:p w14:paraId="05FDC36A" w14:textId="1B485475" w:rsidR="006E59D4" w:rsidRPr="00A52B8E" w:rsidRDefault="006E59D4" w:rsidP="009B1F62">
      <w:pPr>
        <w:pStyle w:val="ECCBreak"/>
      </w:pPr>
      <w:r w:rsidRPr="00A52B8E">
        <w:lastRenderedPageBreak/>
        <w:t>GSMA (date of proposal)</w:t>
      </w:r>
    </w:p>
    <w:p w14:paraId="733E6EC7" w14:textId="77777777" w:rsidR="006E59D4" w:rsidRPr="00235592" w:rsidRDefault="006E59D4" w:rsidP="006E59D4">
      <w:pPr>
        <w:rPr>
          <w:rStyle w:val="ECCParagraph"/>
        </w:rPr>
      </w:pPr>
    </w:p>
    <w:p w14:paraId="7F29EA15" w14:textId="77777777" w:rsidR="00F8504F" w:rsidRPr="00A52B8E" w:rsidRDefault="00F8504F" w:rsidP="009B1F62">
      <w:pPr>
        <w:pStyle w:val="ECCBreak"/>
      </w:pPr>
      <w:r w:rsidRPr="00A52B8E">
        <w:t>GSOA (date of proposal)</w:t>
      </w:r>
    </w:p>
    <w:p w14:paraId="58BEBC97" w14:textId="77777777" w:rsidR="00885BFF" w:rsidRPr="00235592" w:rsidRDefault="00885BFF" w:rsidP="00885BFF">
      <w:pPr>
        <w:rPr>
          <w:rStyle w:val="ECCParagraph"/>
        </w:rPr>
      </w:pPr>
    </w:p>
    <w:p w14:paraId="417F5D3F" w14:textId="77777777" w:rsidR="00554C4C" w:rsidRPr="00A52B8E" w:rsidRDefault="00554C4C" w:rsidP="009B1F62">
      <w:pPr>
        <w:pStyle w:val="ECCBreak"/>
      </w:pPr>
      <w:r w:rsidRPr="00A52B8E">
        <w:t>IARU (date of proposal)</w:t>
      </w:r>
    </w:p>
    <w:p w14:paraId="4E2922B6" w14:textId="77777777" w:rsidR="00554C4C" w:rsidRPr="00235592" w:rsidRDefault="00554C4C" w:rsidP="00554C4C">
      <w:pPr>
        <w:rPr>
          <w:rStyle w:val="ECCParagraph"/>
        </w:rPr>
      </w:pPr>
    </w:p>
    <w:p w14:paraId="1B257E61" w14:textId="77777777" w:rsidR="00554C4C" w:rsidRPr="009701EC" w:rsidRDefault="00554C4C" w:rsidP="009B1F62">
      <w:pPr>
        <w:pStyle w:val="ECCBreak"/>
      </w:pPr>
      <w:r w:rsidRPr="009701EC">
        <w:t>IATA (date of proposal)</w:t>
      </w:r>
    </w:p>
    <w:p w14:paraId="086E160D" w14:textId="77777777" w:rsidR="00554C4C" w:rsidRPr="009701EC" w:rsidRDefault="00554C4C" w:rsidP="009B1F62">
      <w:pPr>
        <w:rPr>
          <w:rStyle w:val="ECCParagraph"/>
          <w:b/>
          <w:bCs/>
          <w:iCs/>
          <w:szCs w:val="28"/>
        </w:rPr>
      </w:pPr>
    </w:p>
    <w:p w14:paraId="66F485B0" w14:textId="3029EB12" w:rsidR="009701EC" w:rsidRDefault="00D15FCC" w:rsidP="009701EC">
      <w:pPr>
        <w:pStyle w:val="Titre2"/>
      </w:pPr>
      <w:r>
        <w:t xml:space="preserve">UN </w:t>
      </w:r>
      <w:r w:rsidR="00B54B09">
        <w:t>l</w:t>
      </w:r>
      <w:r w:rsidR="00570BE1">
        <w:t xml:space="preserve">evel </w:t>
      </w:r>
      <w:r>
        <w:t>C</w:t>
      </w:r>
      <w:r w:rsidR="00D1280A">
        <w:t>o</w:t>
      </w:r>
      <w:r>
        <w:t>mmittees</w:t>
      </w:r>
    </w:p>
    <w:p w14:paraId="1C0A5EFE" w14:textId="77777777" w:rsidR="003771D5" w:rsidRPr="009701EC" w:rsidRDefault="003771D5" w:rsidP="009B1F62">
      <w:pPr>
        <w:pStyle w:val="ECCBreak"/>
      </w:pPr>
      <w:r w:rsidRPr="009701EC">
        <w:t>ICAO (date of proposal)</w:t>
      </w:r>
    </w:p>
    <w:p w14:paraId="54EB00E7" w14:textId="77777777" w:rsidR="003771D5" w:rsidRPr="009701EC" w:rsidRDefault="003771D5" w:rsidP="00BD4E12">
      <w:pPr>
        <w:rPr>
          <w:rStyle w:val="ECCParagraph"/>
        </w:rPr>
      </w:pPr>
    </w:p>
    <w:p w14:paraId="568E7476" w14:textId="77777777" w:rsidR="003771D5" w:rsidRPr="009701EC" w:rsidRDefault="003771D5" w:rsidP="009B1F62">
      <w:pPr>
        <w:pStyle w:val="ECCBreak"/>
      </w:pPr>
      <w:r w:rsidRPr="009701EC">
        <w:t>IMO (date of proposal)</w:t>
      </w:r>
    </w:p>
    <w:p w14:paraId="3216A4D7" w14:textId="106FC05B" w:rsidR="003771D5" w:rsidRDefault="003771D5" w:rsidP="00BD4E12">
      <w:pPr>
        <w:rPr>
          <w:rStyle w:val="ECCParagraph"/>
        </w:rPr>
      </w:pPr>
    </w:p>
    <w:p w14:paraId="026E1DD9" w14:textId="6EE3E7AA" w:rsidR="003771D5" w:rsidRDefault="003771D5" w:rsidP="009B1F62">
      <w:pPr>
        <w:pStyle w:val="ECCBreak"/>
      </w:pPr>
      <w:r w:rsidRPr="00235592">
        <w:t>WMO (</w:t>
      </w:r>
      <w:r w:rsidR="00AD5CBF">
        <w:t>August 2024</w:t>
      </w:r>
      <w:r w:rsidRPr="00235592">
        <w:t>)</w:t>
      </w:r>
    </w:p>
    <w:p w14:paraId="0CCED858" w14:textId="77777777" w:rsidR="00AD5CBF" w:rsidRPr="00AD5CBF" w:rsidRDefault="00AD5CBF" w:rsidP="00AD5CBF">
      <w:pPr>
        <w:rPr>
          <w:lang w:val="da-DK"/>
        </w:rPr>
      </w:pPr>
      <w:r w:rsidRPr="00AD5CBF">
        <w:rPr>
          <w:lang w:val="da-DK"/>
        </w:rPr>
        <w:t>Under the understanding that activities under agenda item 1.13 are limited to frequency bands with mobile allocations already identified for IMT in the frequency range between 694 MHz and 2.7 GHz, WMO is not opposed to possible new allocations to the MSS for direct connectivity between space stations and IMT user equipment provided that there is no adjacent band negative impact on the interference environment of the following:</w:t>
      </w:r>
    </w:p>
    <w:p w14:paraId="764E578C" w14:textId="77777777" w:rsidR="00AD5CBF" w:rsidRPr="00AD5CBF" w:rsidRDefault="00AD5CBF" w:rsidP="00AD5CBF">
      <w:pPr>
        <w:rPr>
          <w:lang w:val="da-DK"/>
        </w:rPr>
      </w:pPr>
      <w:r w:rsidRPr="00AD5CBF">
        <w:rPr>
          <w:lang w:val="da-DK"/>
        </w:rPr>
        <w:t>•</w:t>
      </w:r>
      <w:r w:rsidRPr="00AD5CBF">
        <w:rPr>
          <w:lang w:val="da-DK"/>
        </w:rPr>
        <w:tab/>
        <w:t>MetSat systems in the 1 675–1 710 MHz band,</w:t>
      </w:r>
    </w:p>
    <w:p w14:paraId="36817CD0" w14:textId="77777777" w:rsidR="00AD5CBF" w:rsidRPr="00AD5CBF" w:rsidRDefault="00AD5CBF" w:rsidP="00AD5CBF">
      <w:pPr>
        <w:rPr>
          <w:lang w:val="da-DK"/>
        </w:rPr>
      </w:pPr>
      <w:r w:rsidRPr="00AD5CBF">
        <w:rPr>
          <w:lang w:val="da-DK"/>
        </w:rPr>
        <w:t>•</w:t>
      </w:r>
      <w:r w:rsidRPr="00AD5CBF">
        <w:rPr>
          <w:lang w:val="da-DK"/>
        </w:rPr>
        <w:tab/>
        <w:t>EESS and SOS systems in the 2 025–2 110 MHz band, and</w:t>
      </w:r>
    </w:p>
    <w:p w14:paraId="209E0138" w14:textId="77777777" w:rsidR="00AD5CBF" w:rsidRPr="00AD5CBF" w:rsidRDefault="00AD5CBF" w:rsidP="00AD5CBF">
      <w:pPr>
        <w:rPr>
          <w:lang w:val="da-DK"/>
        </w:rPr>
      </w:pPr>
      <w:r w:rsidRPr="00AD5CBF">
        <w:rPr>
          <w:lang w:val="da-DK"/>
        </w:rPr>
        <w:t>•</w:t>
      </w:r>
      <w:r w:rsidRPr="00AD5CBF">
        <w:rPr>
          <w:lang w:val="da-DK"/>
        </w:rPr>
        <w:tab/>
        <w:t>meteorological radar systems in the 2 700-2 900 MHz band.</w:t>
      </w:r>
    </w:p>
    <w:p w14:paraId="383B46EA" w14:textId="68A18A06" w:rsidR="00AD5CBF" w:rsidRPr="00AD5CBF" w:rsidRDefault="00AD5CBF" w:rsidP="00AD5CBF">
      <w:pPr>
        <w:rPr>
          <w:lang w:val="da-DK"/>
        </w:rPr>
      </w:pPr>
      <w:r w:rsidRPr="00AD5CBF">
        <w:rPr>
          <w:lang w:val="da-DK"/>
        </w:rPr>
        <w:t>WMO opposes the study of other frequency bands not currently identified for IMT. However, if considered, the protection of meteorological systems in the 694-2 700 MHz range must be ensured.</w:t>
      </w:r>
    </w:p>
    <w:p w14:paraId="557BCBB9" w14:textId="77777777" w:rsidR="003771D5" w:rsidRPr="00235592" w:rsidRDefault="003771D5" w:rsidP="00BD4E12">
      <w:pPr>
        <w:rPr>
          <w:rStyle w:val="ECCParagraph"/>
        </w:rPr>
      </w:pPr>
    </w:p>
    <w:p w14:paraId="09435367" w14:textId="32C5C831" w:rsidR="003771D5" w:rsidRPr="00235592" w:rsidRDefault="00B54B09" w:rsidP="00BD4E12">
      <w:pPr>
        <w:pStyle w:val="Titre2"/>
        <w:rPr>
          <w:lang w:val="en-GB"/>
        </w:rPr>
      </w:pPr>
      <w:r>
        <w:t>Other</w:t>
      </w:r>
      <w:r w:rsidR="00485535">
        <w:t xml:space="preserve"> </w:t>
      </w:r>
      <w:r w:rsidR="00A23AFE">
        <w:t>ECC MoU/L</w:t>
      </w:r>
      <w:r w:rsidR="00D1280A">
        <w:t>o</w:t>
      </w:r>
      <w:r w:rsidR="00A23AFE">
        <w:t>U partners</w:t>
      </w:r>
    </w:p>
    <w:p w14:paraId="4149F051" w14:textId="77777777" w:rsidR="00485535" w:rsidRDefault="00485535" w:rsidP="009B1F62">
      <w:pPr>
        <w:pStyle w:val="ECCBreak"/>
      </w:pPr>
      <w:r>
        <w:t>EUMETNET (date of proposal)</w:t>
      </w:r>
    </w:p>
    <w:p w14:paraId="19E1B302" w14:textId="77777777" w:rsidR="00EF69A0" w:rsidRPr="00235592" w:rsidRDefault="00EF69A0" w:rsidP="00EF69A0">
      <w:pPr>
        <w:rPr>
          <w:rStyle w:val="ECCParagraph"/>
        </w:rPr>
      </w:pPr>
    </w:p>
    <w:p w14:paraId="4649D611" w14:textId="33C26FF7" w:rsidR="003771D5" w:rsidRPr="00235592" w:rsidRDefault="00890D52" w:rsidP="009B1F62">
      <w:pPr>
        <w:pStyle w:val="ECCBreak"/>
      </w:pPr>
      <w:r>
        <w:t>EUROCONTROL</w:t>
      </w:r>
      <w:r w:rsidRPr="00235592">
        <w:t xml:space="preserve"> </w:t>
      </w:r>
      <w:r w:rsidR="003771D5" w:rsidRPr="00235592">
        <w:t>(date of proposal)</w:t>
      </w:r>
    </w:p>
    <w:p w14:paraId="19A63121" w14:textId="77777777" w:rsidR="003771D5" w:rsidRPr="00235592" w:rsidRDefault="003771D5" w:rsidP="00BD4E12">
      <w:pPr>
        <w:rPr>
          <w:rStyle w:val="ECCParagraph"/>
        </w:rPr>
      </w:pPr>
    </w:p>
    <w:p w14:paraId="220232F8" w14:textId="0114A5CB" w:rsidR="00D91D39" w:rsidRDefault="00D91D39" w:rsidP="009B1F62">
      <w:pPr>
        <w:pStyle w:val="ECCBreak"/>
      </w:pPr>
      <w:r w:rsidDel="003219F7">
        <w:rPr>
          <w:rStyle w:val="ECCParagraph"/>
        </w:rPr>
        <w:t xml:space="preserve">NATO </w:t>
      </w:r>
      <w:r w:rsidRPr="00C377C2" w:rsidDel="003219F7">
        <w:t>(date of proposal)</w:t>
      </w:r>
    </w:p>
    <w:p w14:paraId="10291937" w14:textId="13B91CDD" w:rsidR="008324B2" w:rsidRDefault="008324B2" w:rsidP="008324B2">
      <w:pPr>
        <w:rPr>
          <w:lang w:val="da-DK"/>
        </w:rPr>
      </w:pPr>
    </w:p>
    <w:p w14:paraId="3F2EBB62" w14:textId="79702AC6" w:rsidR="00EF69A0" w:rsidRPr="00235592" w:rsidRDefault="00EF69A0" w:rsidP="00EF69A0">
      <w:pPr>
        <w:rPr>
          <w:rStyle w:val="ECCParagraph"/>
        </w:rPr>
      </w:pPr>
    </w:p>
    <w:sectPr w:rsidR="00EF69A0" w:rsidRPr="00235592" w:rsidSect="00482679">
      <w:headerReference w:type="even" r:id="rId12"/>
      <w:headerReference w:type="default" r:id="rId13"/>
      <w:footerReference w:type="even" r:id="rId14"/>
      <w:footerReference w:type="default" r:id="rId15"/>
      <w:headerReference w:type="first" r:id="rId16"/>
      <w:footerReference w:type="first" r:id="rId17"/>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F13F" w14:textId="77777777" w:rsidR="008D4364" w:rsidRDefault="008D4364" w:rsidP="00D0121B">
      <w:r>
        <w:separator/>
      </w:r>
    </w:p>
    <w:p w14:paraId="5FBECD75" w14:textId="77777777" w:rsidR="008D4364" w:rsidRDefault="008D4364"/>
    <w:p w14:paraId="35DCFDF6" w14:textId="77777777" w:rsidR="008D4364" w:rsidRDefault="008D4364"/>
  </w:endnote>
  <w:endnote w:type="continuationSeparator" w:id="0">
    <w:p w14:paraId="0FE7D675" w14:textId="77777777" w:rsidR="008D4364" w:rsidRDefault="008D4364" w:rsidP="00D0121B">
      <w:r>
        <w:continuationSeparator/>
      </w:r>
    </w:p>
    <w:p w14:paraId="4C1B0212" w14:textId="77777777" w:rsidR="008D4364" w:rsidRDefault="008D4364"/>
    <w:p w14:paraId="432B55E3" w14:textId="77777777" w:rsidR="008D4364" w:rsidRDefault="008D4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BEF4" w14:textId="77777777" w:rsidR="0028260C" w:rsidRDefault="0028260C">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F98D" w14:textId="77777777" w:rsidR="0028260C" w:rsidRDefault="0028260C">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333C" w14:textId="77777777" w:rsidR="0028260C" w:rsidRDefault="0028260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7C9A" w14:textId="77777777" w:rsidR="008D4364" w:rsidRPr="00C77ABB" w:rsidRDefault="008D4364" w:rsidP="00C77ABB">
      <w:pPr>
        <w:pStyle w:val="Notedebasdepage"/>
      </w:pPr>
      <w:r w:rsidRPr="00C77ABB">
        <w:separator/>
      </w:r>
    </w:p>
  </w:footnote>
  <w:footnote w:type="continuationSeparator" w:id="0">
    <w:p w14:paraId="754E0647" w14:textId="77777777" w:rsidR="008D4364" w:rsidRPr="00C77ABB" w:rsidRDefault="008D4364" w:rsidP="00C77ABB">
      <w:pPr>
        <w:pStyle w:val="Notedebasdepage"/>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7333A06F" w:rsidR="00E06B29" w:rsidRPr="00CF2EC7" w:rsidRDefault="003771D5" w:rsidP="003A68D5">
    <w:pPr>
      <w:pStyle w:val="ECCpageHeader"/>
      <w:rPr>
        <w:lang w:val="en-US"/>
      </w:rPr>
    </w:pPr>
    <w:r w:rsidRPr="00CF2EC7">
      <w:rPr>
        <w:lang w:val="en-US"/>
      </w:rPr>
      <w:t xml:space="preserve">Draft CEPT Brief on AI </w:t>
    </w:r>
    <w:r w:rsidR="0028260C">
      <w:t>1.1</w:t>
    </w:r>
    <w:r w:rsidR="00F31A7F">
      <w:t>3</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4</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479A34D4" w:rsidR="00E06B29" w:rsidRPr="00CF2EC7" w:rsidRDefault="00D904D5" w:rsidP="003A68D5">
    <w:pPr>
      <w:pStyle w:val="ECCpageHeader"/>
      <w:rPr>
        <w:lang w:val="en-US"/>
      </w:rPr>
    </w:pPr>
    <w:r>
      <w:tab/>
    </w:r>
    <w:r>
      <w:tab/>
    </w:r>
    <w:r w:rsidR="002D6680" w:rsidRPr="00CF2EC7">
      <w:rPr>
        <w:lang w:val="en-US"/>
      </w:rPr>
      <w:t xml:space="preserve">Draft CEPT Brief on AI </w:t>
    </w:r>
    <w:r w:rsidR="0028260C">
      <w:t>1.1</w:t>
    </w:r>
    <w:r w:rsidR="00F31A7F">
      <w:t>3</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3</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77777777" w:rsidR="005C10EB" w:rsidRDefault="003771D5" w:rsidP="003A68D5">
    <w:pPr>
      <w:pStyle w:val="ECCpageHeader"/>
    </w:pPr>
    <w:r w:rsidRPr="008742E3">
      <w:rPr>
        <w:noProof/>
        <w:lang w:eastAsia="da-DK"/>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eastAsia="da-DK"/>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F3F6E784">
      <w:start w:val="1"/>
      <w:numFmt w:val="decimal"/>
      <w:pStyle w:val="ECCEditorsNote"/>
      <w:lvlText w:val="Editor's Note %1:"/>
      <w:lvlJc w:val="left"/>
      <w:pPr>
        <w:tabs>
          <w:tab w:val="num" w:pos="4111"/>
        </w:tabs>
        <w:ind w:left="4111"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1"/>
  </w:num>
  <w:num w:numId="2">
    <w:abstractNumId w:val="12"/>
  </w:num>
  <w:num w:numId="3">
    <w:abstractNumId w:val="11"/>
  </w:num>
  <w:num w:numId="4">
    <w:abstractNumId w:val="17"/>
  </w:num>
  <w:num w:numId="5">
    <w:abstractNumId w:val="14"/>
  </w:num>
  <w:num w:numId="6">
    <w:abstractNumId w:val="16"/>
  </w:num>
  <w:num w:numId="7">
    <w:abstractNumId w:val="15"/>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3"/>
  </w:num>
  <w:num w:numId="21">
    <w:abstractNumId w:val="10"/>
  </w:num>
  <w:num w:numId="22">
    <w:abstractNumId w:val="12"/>
  </w:num>
  <w:num w:numId="23">
    <w:abstractNumId w:val="12"/>
  </w:num>
  <w:num w:numId="24">
    <w:abstractNumId w:val="12"/>
  </w:num>
  <w:num w:numId="25">
    <w:abstractNumId w:val="12"/>
  </w:num>
  <w:num w:numId="26">
    <w:abstractNumId w:val="10"/>
  </w:num>
  <w:num w:numId="27">
    <w:abstractNumId w:val="10"/>
  </w:num>
  <w:num w:numId="28">
    <w:abstractNumId w:val="10"/>
  </w:num>
  <w:num w:numId="29">
    <w:abstractNumId w:val="13"/>
  </w:num>
  <w:num w:numId="30">
    <w:abstractNumId w:val="15"/>
  </w:num>
  <w:num w:numId="31">
    <w:abstractNumId w:val="17"/>
  </w:num>
  <w:num w:numId="32">
    <w:abstractNumId w:val="14"/>
  </w:num>
  <w:num w:numId="33">
    <w:abstractNumId w:val="16"/>
  </w:num>
  <w:num w:numId="34">
    <w:abstractNumId w:val="15"/>
  </w:num>
  <w:num w:numId="35">
    <w:abstractNumId w:val="15"/>
  </w:num>
  <w:num w:numId="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AES" w:cryptAlgorithmClass="hash" w:cryptAlgorithmType="typeAny" w:cryptAlgorithmSid="14" w:cryptSpinCount="100000" w:hash="kGPriJzZ2NeTQbLhCJkpHE8Adb6PXQ8fJpzHrkD7uEcz4POHT1ZNTpNWz0DGuO7W/a1ZaKpHyqG1cpE/F1ULtQ==" w:salt="+iOKmdLsYjqiyaO9OuoMVg=="/>
  <w:autoFormatOverride/>
  <w:styleLockTheme/>
  <w:styleLockQFSet/>
  <w:defaultTabStop w:val="567"/>
  <w:hyphenationZone w:val="425"/>
  <w:evenAndOddHeaders/>
  <w:characterSpacingControl w:val="doNotCompress"/>
  <w:hdrShapeDefaults>
    <o:shapedefaults v:ext="edit" spidmax="6145">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12181"/>
    <w:rsid w:val="00041A18"/>
    <w:rsid w:val="00052CAE"/>
    <w:rsid w:val="000611F2"/>
    <w:rsid w:val="00061762"/>
    <w:rsid w:val="00062CB1"/>
    <w:rsid w:val="000660F5"/>
    <w:rsid w:val="00067793"/>
    <w:rsid w:val="000701A5"/>
    <w:rsid w:val="00080D4D"/>
    <w:rsid w:val="00082DD7"/>
    <w:rsid w:val="00095620"/>
    <w:rsid w:val="00097D7A"/>
    <w:rsid w:val="000A29BC"/>
    <w:rsid w:val="000A3940"/>
    <w:rsid w:val="000A3F8A"/>
    <w:rsid w:val="000A6285"/>
    <w:rsid w:val="000B2156"/>
    <w:rsid w:val="000B5026"/>
    <w:rsid w:val="000C028F"/>
    <w:rsid w:val="000C42D0"/>
    <w:rsid w:val="000C5CB6"/>
    <w:rsid w:val="000D1710"/>
    <w:rsid w:val="000D7A37"/>
    <w:rsid w:val="000E42F5"/>
    <w:rsid w:val="000E4820"/>
    <w:rsid w:val="000F0594"/>
    <w:rsid w:val="000F1620"/>
    <w:rsid w:val="000F24F5"/>
    <w:rsid w:val="000F3F0B"/>
    <w:rsid w:val="000F41FF"/>
    <w:rsid w:val="001006CA"/>
    <w:rsid w:val="00100F8B"/>
    <w:rsid w:val="001105E4"/>
    <w:rsid w:val="00127230"/>
    <w:rsid w:val="00136A9C"/>
    <w:rsid w:val="0017456E"/>
    <w:rsid w:val="00183FE0"/>
    <w:rsid w:val="0018553F"/>
    <w:rsid w:val="001D15AA"/>
    <w:rsid w:val="001D334F"/>
    <w:rsid w:val="001D4247"/>
    <w:rsid w:val="001E337B"/>
    <w:rsid w:val="001F0C05"/>
    <w:rsid w:val="001F6210"/>
    <w:rsid w:val="0020079A"/>
    <w:rsid w:val="00200A97"/>
    <w:rsid w:val="0020250F"/>
    <w:rsid w:val="00203363"/>
    <w:rsid w:val="002132DB"/>
    <w:rsid w:val="00220194"/>
    <w:rsid w:val="00224CD3"/>
    <w:rsid w:val="00226070"/>
    <w:rsid w:val="00235592"/>
    <w:rsid w:val="00236978"/>
    <w:rsid w:val="00251F87"/>
    <w:rsid w:val="002620A2"/>
    <w:rsid w:val="00271881"/>
    <w:rsid w:val="0027241D"/>
    <w:rsid w:val="00273354"/>
    <w:rsid w:val="00274F84"/>
    <w:rsid w:val="0028060B"/>
    <w:rsid w:val="0028120C"/>
    <w:rsid w:val="0028260C"/>
    <w:rsid w:val="00292527"/>
    <w:rsid w:val="00293920"/>
    <w:rsid w:val="00295827"/>
    <w:rsid w:val="00295F16"/>
    <w:rsid w:val="00296E8B"/>
    <w:rsid w:val="002A0813"/>
    <w:rsid w:val="002C5C63"/>
    <w:rsid w:val="002C6DE9"/>
    <w:rsid w:val="002D1FA9"/>
    <w:rsid w:val="002D50A3"/>
    <w:rsid w:val="002D6680"/>
    <w:rsid w:val="002E786C"/>
    <w:rsid w:val="002F1E6A"/>
    <w:rsid w:val="003031DA"/>
    <w:rsid w:val="00307A79"/>
    <w:rsid w:val="00312E94"/>
    <w:rsid w:val="003219F7"/>
    <w:rsid w:val="00322E6A"/>
    <w:rsid w:val="0032496D"/>
    <w:rsid w:val="003314A0"/>
    <w:rsid w:val="003419EF"/>
    <w:rsid w:val="003525ED"/>
    <w:rsid w:val="00361E54"/>
    <w:rsid w:val="0036268F"/>
    <w:rsid w:val="003630AE"/>
    <w:rsid w:val="00366E86"/>
    <w:rsid w:val="00370A0C"/>
    <w:rsid w:val="003771D5"/>
    <w:rsid w:val="0038358E"/>
    <w:rsid w:val="00391A01"/>
    <w:rsid w:val="003A465E"/>
    <w:rsid w:val="003A5711"/>
    <w:rsid w:val="003A68D5"/>
    <w:rsid w:val="003B7070"/>
    <w:rsid w:val="003C64D9"/>
    <w:rsid w:val="003E70E0"/>
    <w:rsid w:val="003F0789"/>
    <w:rsid w:val="00403CE6"/>
    <w:rsid w:val="00407336"/>
    <w:rsid w:val="004074CC"/>
    <w:rsid w:val="004110CA"/>
    <w:rsid w:val="00416A69"/>
    <w:rsid w:val="0042509E"/>
    <w:rsid w:val="0043189D"/>
    <w:rsid w:val="004411C4"/>
    <w:rsid w:val="00443482"/>
    <w:rsid w:val="00443912"/>
    <w:rsid w:val="00446E3E"/>
    <w:rsid w:val="00450308"/>
    <w:rsid w:val="00457AD1"/>
    <w:rsid w:val="0046427F"/>
    <w:rsid w:val="00470D4B"/>
    <w:rsid w:val="00473469"/>
    <w:rsid w:val="00474DC4"/>
    <w:rsid w:val="00482679"/>
    <w:rsid w:val="00485307"/>
    <w:rsid w:val="00485535"/>
    <w:rsid w:val="00491977"/>
    <w:rsid w:val="0049491B"/>
    <w:rsid w:val="004A1329"/>
    <w:rsid w:val="004A511D"/>
    <w:rsid w:val="004B18B6"/>
    <w:rsid w:val="004C4A2E"/>
    <w:rsid w:val="004D5EA3"/>
    <w:rsid w:val="004E44C8"/>
    <w:rsid w:val="004E53BE"/>
    <w:rsid w:val="004F16F4"/>
    <w:rsid w:val="004F3F81"/>
    <w:rsid w:val="004F6CA7"/>
    <w:rsid w:val="004F7320"/>
    <w:rsid w:val="005028D4"/>
    <w:rsid w:val="00535050"/>
    <w:rsid w:val="00536F3C"/>
    <w:rsid w:val="0054260E"/>
    <w:rsid w:val="00543137"/>
    <w:rsid w:val="00550D79"/>
    <w:rsid w:val="00554C4C"/>
    <w:rsid w:val="005559AC"/>
    <w:rsid w:val="00557B5A"/>
    <w:rsid w:val="005611D0"/>
    <w:rsid w:val="00566B78"/>
    <w:rsid w:val="00570BE1"/>
    <w:rsid w:val="00571A40"/>
    <w:rsid w:val="005736B2"/>
    <w:rsid w:val="0057797A"/>
    <w:rsid w:val="005817E4"/>
    <w:rsid w:val="00583072"/>
    <w:rsid w:val="00594186"/>
    <w:rsid w:val="00595B5F"/>
    <w:rsid w:val="005A4978"/>
    <w:rsid w:val="005A4DD0"/>
    <w:rsid w:val="005A53B8"/>
    <w:rsid w:val="005B12CB"/>
    <w:rsid w:val="005B17AC"/>
    <w:rsid w:val="005B531F"/>
    <w:rsid w:val="005C10EB"/>
    <w:rsid w:val="005D371D"/>
    <w:rsid w:val="005D5C60"/>
    <w:rsid w:val="005E7495"/>
    <w:rsid w:val="00613E07"/>
    <w:rsid w:val="00621C12"/>
    <w:rsid w:val="00635A22"/>
    <w:rsid w:val="00642083"/>
    <w:rsid w:val="00643FA9"/>
    <w:rsid w:val="00645D05"/>
    <w:rsid w:val="00647D4E"/>
    <w:rsid w:val="00652804"/>
    <w:rsid w:val="0065550D"/>
    <w:rsid w:val="00657AD4"/>
    <w:rsid w:val="00665364"/>
    <w:rsid w:val="0068085F"/>
    <w:rsid w:val="006810E2"/>
    <w:rsid w:val="006876A8"/>
    <w:rsid w:val="00687B43"/>
    <w:rsid w:val="006A49E3"/>
    <w:rsid w:val="006B1EFD"/>
    <w:rsid w:val="006C454C"/>
    <w:rsid w:val="006C5C1C"/>
    <w:rsid w:val="006C5C2C"/>
    <w:rsid w:val="006E4888"/>
    <w:rsid w:val="006E59D4"/>
    <w:rsid w:val="006F0442"/>
    <w:rsid w:val="006F1E96"/>
    <w:rsid w:val="007023A3"/>
    <w:rsid w:val="00703FC0"/>
    <w:rsid w:val="007160BE"/>
    <w:rsid w:val="00721539"/>
    <w:rsid w:val="00722F65"/>
    <w:rsid w:val="0072609F"/>
    <w:rsid w:val="00726836"/>
    <w:rsid w:val="00727F8C"/>
    <w:rsid w:val="00734A4F"/>
    <w:rsid w:val="007611D1"/>
    <w:rsid w:val="00762BCC"/>
    <w:rsid w:val="00763BA3"/>
    <w:rsid w:val="00765B66"/>
    <w:rsid w:val="00767BB2"/>
    <w:rsid w:val="00771969"/>
    <w:rsid w:val="00780376"/>
    <w:rsid w:val="00791AAC"/>
    <w:rsid w:val="0079410C"/>
    <w:rsid w:val="00797D4C"/>
    <w:rsid w:val="007B0D9D"/>
    <w:rsid w:val="007B52C8"/>
    <w:rsid w:val="007C0E7E"/>
    <w:rsid w:val="007C4AAD"/>
    <w:rsid w:val="007C5A3B"/>
    <w:rsid w:val="007D17C5"/>
    <w:rsid w:val="007D52EC"/>
    <w:rsid w:val="007D6F63"/>
    <w:rsid w:val="007F1CEE"/>
    <w:rsid w:val="007F2AB2"/>
    <w:rsid w:val="007F3AC0"/>
    <w:rsid w:val="008018F0"/>
    <w:rsid w:val="008062AC"/>
    <w:rsid w:val="00817826"/>
    <w:rsid w:val="008221CB"/>
    <w:rsid w:val="0082642E"/>
    <w:rsid w:val="008324B2"/>
    <w:rsid w:val="00832B00"/>
    <w:rsid w:val="00837537"/>
    <w:rsid w:val="008566B7"/>
    <w:rsid w:val="0086094D"/>
    <w:rsid w:val="00860CDD"/>
    <w:rsid w:val="00872382"/>
    <w:rsid w:val="008742E3"/>
    <w:rsid w:val="00885BFF"/>
    <w:rsid w:val="00890D52"/>
    <w:rsid w:val="0089111B"/>
    <w:rsid w:val="008A1315"/>
    <w:rsid w:val="008A38A9"/>
    <w:rsid w:val="008A54FC"/>
    <w:rsid w:val="008B4365"/>
    <w:rsid w:val="008B70CD"/>
    <w:rsid w:val="008B7CE5"/>
    <w:rsid w:val="008C14EA"/>
    <w:rsid w:val="008C6502"/>
    <w:rsid w:val="008C7E05"/>
    <w:rsid w:val="008D218A"/>
    <w:rsid w:val="008D4364"/>
    <w:rsid w:val="008E117A"/>
    <w:rsid w:val="008E6109"/>
    <w:rsid w:val="009033CD"/>
    <w:rsid w:val="009170EA"/>
    <w:rsid w:val="00917D1C"/>
    <w:rsid w:val="0092076F"/>
    <w:rsid w:val="009227A8"/>
    <w:rsid w:val="00927833"/>
    <w:rsid w:val="00930209"/>
    <w:rsid w:val="00930439"/>
    <w:rsid w:val="00930508"/>
    <w:rsid w:val="00930BDF"/>
    <w:rsid w:val="00937FE5"/>
    <w:rsid w:val="00940A26"/>
    <w:rsid w:val="009434C3"/>
    <w:rsid w:val="00947A5A"/>
    <w:rsid w:val="009701EC"/>
    <w:rsid w:val="009770CA"/>
    <w:rsid w:val="00986677"/>
    <w:rsid w:val="00986DC9"/>
    <w:rsid w:val="00990B3C"/>
    <w:rsid w:val="00991DEE"/>
    <w:rsid w:val="0099421C"/>
    <w:rsid w:val="009954DB"/>
    <w:rsid w:val="009B0A78"/>
    <w:rsid w:val="009B1F62"/>
    <w:rsid w:val="009C003B"/>
    <w:rsid w:val="009D3496"/>
    <w:rsid w:val="009D4BA1"/>
    <w:rsid w:val="009D6D37"/>
    <w:rsid w:val="009D7D5A"/>
    <w:rsid w:val="009E47EB"/>
    <w:rsid w:val="009E6DC3"/>
    <w:rsid w:val="009F0B56"/>
    <w:rsid w:val="009F3A37"/>
    <w:rsid w:val="009F56B8"/>
    <w:rsid w:val="00A02090"/>
    <w:rsid w:val="00A076B5"/>
    <w:rsid w:val="00A173CE"/>
    <w:rsid w:val="00A211BF"/>
    <w:rsid w:val="00A23870"/>
    <w:rsid w:val="00A23AFE"/>
    <w:rsid w:val="00A31525"/>
    <w:rsid w:val="00A33409"/>
    <w:rsid w:val="00A43255"/>
    <w:rsid w:val="00A43BD3"/>
    <w:rsid w:val="00A4743C"/>
    <w:rsid w:val="00A52B8E"/>
    <w:rsid w:val="00A57992"/>
    <w:rsid w:val="00A724C2"/>
    <w:rsid w:val="00A73298"/>
    <w:rsid w:val="00A87414"/>
    <w:rsid w:val="00A95ACB"/>
    <w:rsid w:val="00A95DD6"/>
    <w:rsid w:val="00A97942"/>
    <w:rsid w:val="00AA079B"/>
    <w:rsid w:val="00AA086A"/>
    <w:rsid w:val="00AA7CCE"/>
    <w:rsid w:val="00AB1C16"/>
    <w:rsid w:val="00AB2EA8"/>
    <w:rsid w:val="00AB3C46"/>
    <w:rsid w:val="00AC40CD"/>
    <w:rsid w:val="00AC4632"/>
    <w:rsid w:val="00AD5CBF"/>
    <w:rsid w:val="00AD64E0"/>
    <w:rsid w:val="00AD7257"/>
    <w:rsid w:val="00AE372A"/>
    <w:rsid w:val="00AF1845"/>
    <w:rsid w:val="00AF2D0C"/>
    <w:rsid w:val="00B1452F"/>
    <w:rsid w:val="00B230E1"/>
    <w:rsid w:val="00B2563E"/>
    <w:rsid w:val="00B3042F"/>
    <w:rsid w:val="00B30D3B"/>
    <w:rsid w:val="00B410EA"/>
    <w:rsid w:val="00B432D4"/>
    <w:rsid w:val="00B453ED"/>
    <w:rsid w:val="00B460E4"/>
    <w:rsid w:val="00B54B09"/>
    <w:rsid w:val="00B576D7"/>
    <w:rsid w:val="00B779F3"/>
    <w:rsid w:val="00B80892"/>
    <w:rsid w:val="00B82735"/>
    <w:rsid w:val="00B92861"/>
    <w:rsid w:val="00B97B16"/>
    <w:rsid w:val="00BA2E30"/>
    <w:rsid w:val="00BA524C"/>
    <w:rsid w:val="00BA7A69"/>
    <w:rsid w:val="00BB6167"/>
    <w:rsid w:val="00BC157A"/>
    <w:rsid w:val="00BC348E"/>
    <w:rsid w:val="00BC3CA5"/>
    <w:rsid w:val="00BD28DF"/>
    <w:rsid w:val="00BD4E12"/>
    <w:rsid w:val="00BD7669"/>
    <w:rsid w:val="00BE2864"/>
    <w:rsid w:val="00BF29CE"/>
    <w:rsid w:val="00BF3831"/>
    <w:rsid w:val="00C0561A"/>
    <w:rsid w:val="00C076BF"/>
    <w:rsid w:val="00C10C10"/>
    <w:rsid w:val="00C14D24"/>
    <w:rsid w:val="00C27F02"/>
    <w:rsid w:val="00C33A7C"/>
    <w:rsid w:val="00C377C2"/>
    <w:rsid w:val="00C44519"/>
    <w:rsid w:val="00C504F4"/>
    <w:rsid w:val="00C57E85"/>
    <w:rsid w:val="00C65BB4"/>
    <w:rsid w:val="00C666E5"/>
    <w:rsid w:val="00C77ABB"/>
    <w:rsid w:val="00C8071C"/>
    <w:rsid w:val="00C816CB"/>
    <w:rsid w:val="00C82461"/>
    <w:rsid w:val="00C86F04"/>
    <w:rsid w:val="00CA07CC"/>
    <w:rsid w:val="00CA4FCE"/>
    <w:rsid w:val="00CA5F8F"/>
    <w:rsid w:val="00CB1567"/>
    <w:rsid w:val="00CC5A6F"/>
    <w:rsid w:val="00CD339A"/>
    <w:rsid w:val="00CE1FFB"/>
    <w:rsid w:val="00CE271A"/>
    <w:rsid w:val="00CE6FF5"/>
    <w:rsid w:val="00CF2EC7"/>
    <w:rsid w:val="00CF4FFB"/>
    <w:rsid w:val="00CF5245"/>
    <w:rsid w:val="00D0121B"/>
    <w:rsid w:val="00D04BA8"/>
    <w:rsid w:val="00D06479"/>
    <w:rsid w:val="00D06CA9"/>
    <w:rsid w:val="00D076EE"/>
    <w:rsid w:val="00D078BB"/>
    <w:rsid w:val="00D07B1A"/>
    <w:rsid w:val="00D1280A"/>
    <w:rsid w:val="00D15FCC"/>
    <w:rsid w:val="00D24CD0"/>
    <w:rsid w:val="00D30E46"/>
    <w:rsid w:val="00D50AC8"/>
    <w:rsid w:val="00D51F2D"/>
    <w:rsid w:val="00D53EEF"/>
    <w:rsid w:val="00D602C4"/>
    <w:rsid w:val="00D72193"/>
    <w:rsid w:val="00D871CA"/>
    <w:rsid w:val="00D904D5"/>
    <w:rsid w:val="00D91D39"/>
    <w:rsid w:val="00DA0026"/>
    <w:rsid w:val="00DA444C"/>
    <w:rsid w:val="00DA66BC"/>
    <w:rsid w:val="00DC265A"/>
    <w:rsid w:val="00DD6CE9"/>
    <w:rsid w:val="00DF1E2E"/>
    <w:rsid w:val="00DF2C67"/>
    <w:rsid w:val="00DF3AE2"/>
    <w:rsid w:val="00DF7D21"/>
    <w:rsid w:val="00E059C5"/>
    <w:rsid w:val="00E06B29"/>
    <w:rsid w:val="00E06C22"/>
    <w:rsid w:val="00E07CBB"/>
    <w:rsid w:val="00E1604C"/>
    <w:rsid w:val="00E162D2"/>
    <w:rsid w:val="00E17ADB"/>
    <w:rsid w:val="00E20647"/>
    <w:rsid w:val="00E26BAC"/>
    <w:rsid w:val="00E3488D"/>
    <w:rsid w:val="00E448A7"/>
    <w:rsid w:val="00E45CDA"/>
    <w:rsid w:val="00E4781B"/>
    <w:rsid w:val="00E51F8B"/>
    <w:rsid w:val="00E60351"/>
    <w:rsid w:val="00E6208D"/>
    <w:rsid w:val="00E71AE7"/>
    <w:rsid w:val="00E752E6"/>
    <w:rsid w:val="00E77355"/>
    <w:rsid w:val="00E83777"/>
    <w:rsid w:val="00E97060"/>
    <w:rsid w:val="00EA6088"/>
    <w:rsid w:val="00EB4DC6"/>
    <w:rsid w:val="00EB5A67"/>
    <w:rsid w:val="00EC1A2C"/>
    <w:rsid w:val="00ED7CAD"/>
    <w:rsid w:val="00EF19F5"/>
    <w:rsid w:val="00EF69A0"/>
    <w:rsid w:val="00F10E1F"/>
    <w:rsid w:val="00F212EB"/>
    <w:rsid w:val="00F268C0"/>
    <w:rsid w:val="00F31A7F"/>
    <w:rsid w:val="00F3690D"/>
    <w:rsid w:val="00F465D3"/>
    <w:rsid w:val="00F569C9"/>
    <w:rsid w:val="00F56F06"/>
    <w:rsid w:val="00F73815"/>
    <w:rsid w:val="00F7770D"/>
    <w:rsid w:val="00F8504F"/>
    <w:rsid w:val="00F85984"/>
    <w:rsid w:val="00F868C9"/>
    <w:rsid w:val="00F9153C"/>
    <w:rsid w:val="00F93115"/>
    <w:rsid w:val="00F97DAD"/>
    <w:rsid w:val="00FA5792"/>
    <w:rsid w:val="00FA5B5D"/>
    <w:rsid w:val="00FA63DC"/>
    <w:rsid w:val="00FB200D"/>
    <w:rsid w:val="00FC007D"/>
    <w:rsid w:val="00FD37AE"/>
    <w:rsid w:val="00FD5C27"/>
    <w:rsid w:val="00FE538A"/>
    <w:rsid w:val="00FE7EEC"/>
    <w:rsid w:val="00FF7A9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
    </o:shapedefaults>
    <o:shapelayout v:ext="edit">
      <o:idmap v:ext="edit" data="1"/>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EF69A0"/>
    <w:rPr>
      <w:rFonts w:eastAsia="Calibri"/>
      <w:szCs w:val="22"/>
      <w:lang w:val="en-GB"/>
    </w:rPr>
  </w:style>
  <w:style w:type="paragraph" w:styleId="Titre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Titre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Titre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Titre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Titre5">
    <w:name w:val="heading 5"/>
    <w:basedOn w:val="Normal"/>
    <w:next w:val="Normal"/>
    <w:semiHidden/>
    <w:qFormat/>
    <w:locked/>
    <w:rsid w:val="009E47EB"/>
    <w:pPr>
      <w:numPr>
        <w:ilvl w:val="4"/>
        <w:numId w:val="36"/>
      </w:numPr>
      <w:outlineLvl w:val="4"/>
    </w:pPr>
    <w:rPr>
      <w:b/>
      <w:bCs/>
      <w:i/>
      <w:iCs/>
      <w:sz w:val="26"/>
      <w:szCs w:val="26"/>
    </w:rPr>
  </w:style>
  <w:style w:type="paragraph" w:styleId="Titre6">
    <w:name w:val="heading 6"/>
    <w:basedOn w:val="Normal"/>
    <w:next w:val="Normal"/>
    <w:semiHidden/>
    <w:qFormat/>
    <w:locked/>
    <w:rsid w:val="009E47EB"/>
    <w:pPr>
      <w:numPr>
        <w:ilvl w:val="5"/>
        <w:numId w:val="36"/>
      </w:numPr>
      <w:outlineLvl w:val="5"/>
    </w:pPr>
    <w:rPr>
      <w:b/>
      <w:bCs/>
      <w:sz w:val="22"/>
    </w:rPr>
  </w:style>
  <w:style w:type="paragraph" w:styleId="Titre7">
    <w:name w:val="heading 7"/>
    <w:basedOn w:val="Normal"/>
    <w:next w:val="Normal"/>
    <w:semiHidden/>
    <w:qFormat/>
    <w:locked/>
    <w:rsid w:val="009E47EB"/>
    <w:pPr>
      <w:numPr>
        <w:ilvl w:val="6"/>
        <w:numId w:val="36"/>
      </w:numPr>
      <w:outlineLvl w:val="6"/>
    </w:pPr>
    <w:rPr>
      <w:sz w:val="24"/>
    </w:rPr>
  </w:style>
  <w:style w:type="paragraph" w:styleId="Titre8">
    <w:name w:val="heading 8"/>
    <w:basedOn w:val="Normal"/>
    <w:next w:val="Normal"/>
    <w:semiHidden/>
    <w:qFormat/>
    <w:locked/>
    <w:rsid w:val="009E47EB"/>
    <w:pPr>
      <w:numPr>
        <w:ilvl w:val="7"/>
        <w:numId w:val="36"/>
      </w:numPr>
      <w:outlineLvl w:val="7"/>
    </w:pPr>
    <w:rPr>
      <w:i/>
      <w:iCs/>
      <w:sz w:val="24"/>
    </w:rPr>
  </w:style>
  <w:style w:type="paragraph" w:styleId="Titre9">
    <w:name w:val="heading 9"/>
    <w:basedOn w:val="Normal"/>
    <w:next w:val="Normal"/>
    <w:semiHidden/>
    <w:qFormat/>
    <w:locked/>
    <w:rsid w:val="009E47EB"/>
    <w:pPr>
      <w:numPr>
        <w:ilvl w:val="8"/>
        <w:numId w:val="3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Titre1"/>
    <w:rsid w:val="009F0B56"/>
    <w:pPr>
      <w:numPr>
        <w:numId w:val="0"/>
      </w:numPr>
      <w:tabs>
        <w:tab w:val="left" w:pos="0"/>
        <w:tab w:val="center" w:pos="4820"/>
        <w:tab w:val="right" w:pos="9639"/>
      </w:tabs>
    </w:pPr>
  </w:style>
  <w:style w:type="paragraph" w:styleId="Textedebulles">
    <w:name w:val="Balloon Text"/>
    <w:basedOn w:val="Normal"/>
    <w:link w:val="TextedebullesC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M1">
    <w:name w:val="toc 1"/>
    <w:aliases w:val="ECC Index 1"/>
    <w:basedOn w:val="Normal"/>
    <w:link w:val="TM1Car"/>
    <w:uiPriority w:val="39"/>
    <w:semiHidden/>
    <w:qFormat/>
    <w:locked/>
    <w:rsid w:val="009F0B56"/>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9F0B56"/>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9F0B56"/>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9F0B56"/>
    <w:rPr>
      <w:rFonts w:eastAsia="Calibri"/>
      <w:sz w:val="16"/>
      <w:szCs w:val="16"/>
      <w14:cntxtAlts/>
    </w:rPr>
  </w:style>
  <w:style w:type="character" w:styleId="Appelnotedebasdep">
    <w:name w:val="footnote reference"/>
    <w:aliases w:val="ECC Footnote number"/>
    <w:basedOn w:val="Policepardfau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TextedebullesCar">
    <w:name w:val="Texte de bulles Car"/>
    <w:basedOn w:val="Policepardfaut"/>
    <w:link w:val="Textedebulles"/>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tabs>
        <w:tab w:val="clear" w:pos="4111"/>
        <w:tab w:val="num" w:pos="1559"/>
      </w:tabs>
      <w:spacing w:before="120"/>
      <w:ind w:left="1559"/>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Policepardfau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Policepardfau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ar"/>
    <w:uiPriority w:val="99"/>
    <w:semiHidden/>
    <w:unhideWhenUsed/>
    <w:locked/>
    <w:rsid w:val="007D52EC"/>
    <w:pPr>
      <w:spacing w:before="0" w:after="0"/>
      <w:ind w:left="4252"/>
    </w:pPr>
  </w:style>
  <w:style w:type="character" w:customStyle="1" w:styleId="SignatureCar">
    <w:name w:val="Signature Car"/>
    <w:basedOn w:val="Policepardfaut"/>
    <w:link w:val="Signature"/>
    <w:uiPriority w:val="99"/>
    <w:semiHidden/>
    <w:rsid w:val="007D52EC"/>
  </w:style>
  <w:style w:type="character" w:styleId="Accentuation">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M1Car">
    <w:name w:val="TM 1 Car"/>
    <w:aliases w:val="ECC Index 1 Car"/>
    <w:basedOn w:val="Policepardfaut"/>
    <w:link w:val="TM1"/>
    <w:uiPriority w:val="39"/>
    <w:semiHidden/>
    <w:rsid w:val="000E4820"/>
    <w:rPr>
      <w:rFonts w:eastAsia="Calibri"/>
      <w:b/>
      <w:noProof/>
    </w:rPr>
  </w:style>
  <w:style w:type="character" w:customStyle="1" w:styleId="ECCHLcyan">
    <w:name w:val="ECC HL cyan"/>
    <w:basedOn w:val="Policepardfaut"/>
    <w:uiPriority w:val="1"/>
    <w:qFormat/>
    <w:rsid w:val="009F0B56"/>
    <w:rPr>
      <w:iCs w:val="0"/>
      <w:bdr w:val="none" w:sz="0" w:space="0" w:color="auto"/>
      <w:shd w:val="solid" w:color="00FFFF" w:fill="auto"/>
      <w:lang w:val="en-GB"/>
    </w:rPr>
  </w:style>
  <w:style w:type="character" w:customStyle="1" w:styleId="ECCHLorange">
    <w:name w:val="ECC HL orange"/>
    <w:basedOn w:val="Policepardfaut"/>
    <w:uiPriority w:val="1"/>
    <w:qFormat/>
    <w:rsid w:val="009F0B56"/>
    <w:rPr>
      <w:bdr w:val="none" w:sz="0" w:space="0" w:color="auto"/>
      <w:shd w:val="solid" w:color="FFC000" w:fill="auto"/>
    </w:rPr>
  </w:style>
  <w:style w:type="character" w:customStyle="1" w:styleId="ECCHLblue">
    <w:name w:val="ECC HL blue"/>
    <w:basedOn w:val="Policepardfau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Policepardfau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Policepardfaut"/>
    <w:link w:val="ECCLetterHead"/>
    <w:rsid w:val="009F0B56"/>
    <w:rPr>
      <w:rFonts w:eastAsia="Calibri"/>
      <w:b/>
      <w:sz w:val="22"/>
      <w:lang w:val="en-GB"/>
    </w:rPr>
  </w:style>
  <w:style w:type="character" w:customStyle="1" w:styleId="ECCHLmagenta">
    <w:name w:val="ECC HL magenta"/>
    <w:basedOn w:val="Policepardfaut"/>
    <w:uiPriority w:val="1"/>
    <w:qFormat/>
    <w:rsid w:val="009F0B56"/>
    <w:rPr>
      <w:color w:val="auto"/>
      <w:bdr w:val="none" w:sz="0" w:space="0" w:color="auto"/>
      <w:shd w:val="solid" w:color="FF3399" w:fill="auto"/>
      <w:lang w:val="en-GB"/>
    </w:rPr>
  </w:style>
  <w:style w:type="character" w:customStyle="1" w:styleId="ECCHLbrown">
    <w:name w:val="ECC HL brown"/>
    <w:basedOn w:val="Policepardfau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Policepardfaut"/>
    <w:link w:val="ECCBreak"/>
    <w:rsid w:val="009F0B56"/>
    <w:rPr>
      <w:b/>
      <w:bCs/>
      <w:iCs/>
      <w:szCs w:val="28"/>
    </w:rPr>
  </w:style>
  <w:style w:type="character" w:styleId="Lienhypertexte">
    <w:name w:val="Hyperlink"/>
    <w:aliases w:val="ECC Hyperlink"/>
    <w:basedOn w:val="Policepardfaut"/>
    <w:uiPriority w:val="99"/>
    <w:rsid w:val="009F0B56"/>
    <w:rPr>
      <w:color w:val="0000FF" w:themeColor="hyperlink"/>
      <w:u w:val="single"/>
    </w:rPr>
  </w:style>
  <w:style w:type="paragraph" w:styleId="Lgende">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Textedelespacerserv">
    <w:name w:val="Placeholder Text"/>
    <w:basedOn w:val="Policepardfau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Grilledutableau">
    <w:name w:val="Table Grid"/>
    <w:basedOn w:val="Tableau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Policepardfau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Marquedecommentaire">
    <w:name w:val="annotation reference"/>
    <w:basedOn w:val="Policepardfaut"/>
    <w:uiPriority w:val="99"/>
    <w:semiHidden/>
    <w:unhideWhenUsed/>
    <w:locked/>
    <w:rsid w:val="003630AE"/>
    <w:rPr>
      <w:sz w:val="16"/>
      <w:szCs w:val="16"/>
    </w:rPr>
  </w:style>
  <w:style w:type="paragraph" w:styleId="Commentaire">
    <w:name w:val="annotation text"/>
    <w:basedOn w:val="Normal"/>
    <w:link w:val="CommentaireCar"/>
    <w:uiPriority w:val="99"/>
    <w:unhideWhenUsed/>
    <w:locked/>
    <w:rsid w:val="003630AE"/>
    <w:rPr>
      <w:szCs w:val="20"/>
    </w:rPr>
  </w:style>
  <w:style w:type="character" w:customStyle="1" w:styleId="CommentaireCar">
    <w:name w:val="Commentaire Car"/>
    <w:basedOn w:val="Policepardfaut"/>
    <w:link w:val="Commentaire"/>
    <w:uiPriority w:val="99"/>
    <w:rsid w:val="003630AE"/>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3630AE"/>
    <w:rPr>
      <w:b/>
      <w:bCs/>
    </w:rPr>
  </w:style>
  <w:style w:type="character" w:customStyle="1" w:styleId="ObjetducommentaireCar">
    <w:name w:val="Objet du commentaire Car"/>
    <w:basedOn w:val="CommentaireCar"/>
    <w:link w:val="Objetducommentaire"/>
    <w:uiPriority w:val="99"/>
    <w:semiHidden/>
    <w:rsid w:val="003630AE"/>
    <w:rPr>
      <w:rFonts w:eastAsia="Calibri"/>
      <w:b/>
      <w:bCs/>
      <w:lang w:val="en-GB"/>
    </w:rPr>
  </w:style>
  <w:style w:type="character" w:customStyle="1" w:styleId="ECCHLstrikethrough">
    <w:name w:val="ECC HL strikethrough"/>
    <w:basedOn w:val="Policepardfaut"/>
    <w:uiPriority w:val="1"/>
    <w:qFormat/>
    <w:rsid w:val="00647D4E"/>
    <w:rPr>
      <w:rFonts w:ascii="Arial" w:hAnsi="Arial"/>
      <w:strike/>
      <w:dstrike w:val="0"/>
      <w:sz w:val="20"/>
    </w:rPr>
  </w:style>
  <w:style w:type="character" w:customStyle="1" w:styleId="ECCTabletextChar">
    <w:name w:val="ECC Table text Char"/>
    <w:basedOn w:val="Policepardfau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vision">
    <w:name w:val="Revision"/>
    <w:hidden/>
    <w:uiPriority w:val="99"/>
    <w:semiHidden/>
    <w:rsid w:val="00C377C2"/>
    <w:pPr>
      <w:spacing w:before="0" w:after="0"/>
      <w:jc w:val="left"/>
    </w:pPr>
    <w:rPr>
      <w:rFonts w:eastAsia="Calibri"/>
      <w:szCs w:val="22"/>
      <w:lang w:val="en-GB"/>
    </w:rPr>
  </w:style>
  <w:style w:type="paragraph" w:styleId="Pieddepage">
    <w:name w:val="footer"/>
    <w:basedOn w:val="Normal"/>
    <w:link w:val="PieddepageCar"/>
    <w:uiPriority w:val="99"/>
    <w:semiHidden/>
    <w:unhideWhenUsed/>
    <w:locked/>
    <w:rsid w:val="0028260C"/>
    <w:pPr>
      <w:tabs>
        <w:tab w:val="center" w:pos="4536"/>
        <w:tab w:val="right" w:pos="9072"/>
      </w:tabs>
      <w:spacing w:before="0" w:after="0"/>
    </w:pPr>
  </w:style>
  <w:style w:type="character" w:customStyle="1" w:styleId="PieddepageCar">
    <w:name w:val="Pied de page Car"/>
    <w:basedOn w:val="Policepardfaut"/>
    <w:link w:val="Pieddepage"/>
    <w:uiPriority w:val="99"/>
    <w:semiHidden/>
    <w:rsid w:val="0028260C"/>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25510">
      <w:bodyDiv w:val="1"/>
      <w:marLeft w:val="0"/>
      <w:marRight w:val="0"/>
      <w:marTop w:val="0"/>
      <w:marBottom w:val="0"/>
      <w:divBdr>
        <w:top w:val="none" w:sz="0" w:space="0" w:color="auto"/>
        <w:left w:val="none" w:sz="0" w:space="0" w:color="auto"/>
        <w:bottom w:val="none" w:sz="0" w:space="0" w:color="auto"/>
        <w:right w:val="none" w:sz="0" w:space="0" w:color="auto"/>
      </w:divBdr>
    </w:div>
    <w:div w:id="559940931">
      <w:bodyDiv w:val="1"/>
      <w:marLeft w:val="0"/>
      <w:marRight w:val="0"/>
      <w:marTop w:val="0"/>
      <w:marBottom w:val="0"/>
      <w:divBdr>
        <w:top w:val="none" w:sz="0" w:space="0" w:color="auto"/>
        <w:left w:val="none" w:sz="0" w:space="0" w:color="auto"/>
        <w:bottom w:val="none" w:sz="0" w:space="0" w:color="auto"/>
        <w:right w:val="none" w:sz="0" w:space="0" w:color="auto"/>
      </w:divBdr>
    </w:div>
    <w:div w:id="750926318">
      <w:bodyDiv w:val="1"/>
      <w:marLeft w:val="0"/>
      <w:marRight w:val="0"/>
      <w:marTop w:val="0"/>
      <w:marBottom w:val="0"/>
      <w:divBdr>
        <w:top w:val="none" w:sz="0" w:space="0" w:color="auto"/>
        <w:left w:val="none" w:sz="0" w:space="0" w:color="auto"/>
        <w:bottom w:val="none" w:sz="0" w:space="0" w:color="auto"/>
        <w:right w:val="none" w:sz="0" w:space="0" w:color="auto"/>
      </w:divBdr>
    </w:div>
    <w:div w:id="14002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3" ma:contentTypeDescription="stakeholder communications relating to team or project&#10;" ma:contentTypeScope="" ma:versionID="59bf170b1e8035994526fa828e8373bd">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9e9570d6e12b64ea41bdfae53d57f5c1"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069ab6e-cbb1-4306-ad7e-01a48c91ef8b" ContentTypeId="0x010100CAA12C5105342047A1E5FE66CBFB41077D" PreviousValue="false"/>
</file>

<file path=customXml/itemProps1.xml><?xml version="1.0" encoding="utf-8"?>
<ds:datastoreItem xmlns:ds="http://schemas.openxmlformats.org/officeDocument/2006/customXml" ds:itemID="{B13013B7-E029-402D-BF7A-C54F6A2F443C}">
  <ds:schemaRefs>
    <ds:schemaRef ds:uri="http://schemas.openxmlformats.org/officeDocument/2006/bibliography"/>
  </ds:schemaRefs>
</ds:datastoreItem>
</file>

<file path=customXml/itemProps2.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3.xml><?xml version="1.0" encoding="utf-8"?>
<ds:datastoreItem xmlns:ds="http://schemas.openxmlformats.org/officeDocument/2006/customXml" ds:itemID="{0BBF1306-EB3D-4246-BF5B-60735DD3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5.xml><?xml version="1.0" encoding="utf-8"?>
<ds:datastoreItem xmlns:ds="http://schemas.openxmlformats.org/officeDocument/2006/customXml" ds:itemID="{2655AF47-0272-4BB2-956C-F5E94F9B3C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10511</Characters>
  <Application>Microsoft Office Word</Application>
  <DocSecurity>0</DocSecurity>
  <Lines>87</Lines>
  <Paragraphs>24</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12397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Natascha Ciaccia Huguenin</cp:lastModifiedBy>
  <cp:revision>8</cp:revision>
  <cp:lastPrinted>1901-01-01T00:00:00Z</cp:lastPrinted>
  <dcterms:created xsi:type="dcterms:W3CDTF">2024-09-24T12:36:00Z</dcterms:created>
  <dcterms:modified xsi:type="dcterms:W3CDTF">2024-09-24T12:41:00Z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ies>
</file>