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rsidTr="000E3E4D">
        <w:trPr>
          <w:cantSplit/>
          <w:trHeight w:val="1560"/>
        </w:trPr>
        <w:tc>
          <w:tcPr>
            <w:tcW w:w="4820" w:type="dxa"/>
            <w:gridSpan w:val="2"/>
            <w:tcBorders>
              <w:top w:val="nil"/>
              <w:left w:val="nil"/>
              <w:bottom w:val="nil"/>
              <w:right w:val="nil"/>
            </w:tcBorders>
            <w:vAlign w:val="center"/>
          </w:tcPr>
          <w:p w:rsidR="00265F50" w:rsidRPr="00265F50" w:rsidRDefault="00265F50" w:rsidP="00265F50">
            <w:pPr>
              <w:pStyle w:val="ECCLetterHead"/>
            </w:pPr>
            <w:r w:rsidRPr="00265F50">
              <w:rPr>
                <w:noProof/>
                <w:lang w:val="de-DE" w:eastAsia="de-DE"/>
              </w:rPr>
              <w:drawing>
                <wp:inline distT="0" distB="0" distL="0" distR="0" wp14:anchorId="550E8DE2" wp14:editId="2A65F0A4">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Pr="00265F50">
              <w:t>CPG</w:t>
            </w:r>
          </w:p>
        </w:tc>
        <w:tc>
          <w:tcPr>
            <w:tcW w:w="4961" w:type="dxa"/>
            <w:tcBorders>
              <w:top w:val="nil"/>
              <w:left w:val="nil"/>
              <w:bottom w:val="nil"/>
              <w:right w:val="nil"/>
            </w:tcBorders>
          </w:tcPr>
          <w:p w:rsidR="00265F50" w:rsidRPr="00265F50" w:rsidRDefault="00265F50" w:rsidP="00CE2E97">
            <w:pPr>
              <w:pStyle w:val="ECCLetterHead"/>
            </w:pPr>
            <w:r>
              <w:tab/>
              <w:t>Doc. CPG</w:t>
            </w:r>
            <w:r w:rsidR="00F11542">
              <w:t>(1</w:t>
            </w:r>
            <w:r w:rsidR="008A17A2">
              <w:t>7</w:t>
            </w:r>
            <w:r w:rsidRPr="00265F50">
              <w:t>)</w:t>
            </w:r>
            <w:r w:rsidR="008A17A2">
              <w:t>02</w:t>
            </w:r>
            <w:r w:rsidR="00CE2E97">
              <w:t>1</w:t>
            </w:r>
          </w:p>
        </w:tc>
      </w:tr>
      <w:tr w:rsidR="00F11542" w:rsidRPr="00A3755D"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F11542" w:rsidP="00265F50">
            <w:pPr>
              <w:pStyle w:val="ECCLetterHead"/>
            </w:pPr>
            <w:r w:rsidRPr="0011705C">
              <w:t>CPG</w:t>
            </w:r>
            <w:r w:rsidRPr="00265F50">
              <w:t>19-</w:t>
            </w:r>
            <w:r w:rsidR="00030AFF">
              <w:t>4</w:t>
            </w:r>
          </w:p>
        </w:tc>
      </w:tr>
      <w:tr w:rsidR="00F11542" w:rsidRPr="00A3755D"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030AFF" w:rsidP="00030AFF">
            <w:pPr>
              <w:pStyle w:val="ECCLetterHead"/>
            </w:pPr>
            <w:r>
              <w:t>Cluj-Napoca, Romania</w:t>
            </w:r>
            <w:r w:rsidR="00F11542" w:rsidRPr="00265F50">
              <w:t xml:space="preserve">, </w:t>
            </w:r>
            <w:r>
              <w:t>04</w:t>
            </w:r>
            <w:r w:rsidR="008A17A2" w:rsidRPr="008A17A2">
              <w:rPr>
                <w:vertAlign w:val="superscript"/>
              </w:rPr>
              <w:t>th</w:t>
            </w:r>
            <w:r w:rsidR="008A17A2">
              <w:t xml:space="preserve"> - </w:t>
            </w:r>
            <w:r>
              <w:t>07</w:t>
            </w:r>
            <w:r w:rsidR="008A17A2" w:rsidRPr="008A17A2">
              <w:rPr>
                <w:vertAlign w:val="superscript"/>
              </w:rPr>
              <w:t>th</w:t>
            </w:r>
            <w:r>
              <w:t xml:space="preserve"> July 2017</w:t>
            </w:r>
            <w:bookmarkStart w:id="0" w:name="_GoBack"/>
            <w:bookmarkEnd w:id="0"/>
          </w:p>
        </w:tc>
      </w:tr>
      <w:tr w:rsidR="00F11542" w:rsidRPr="00A3755D"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8A17A2" w:rsidP="00030AFF">
            <w:pPr>
              <w:pStyle w:val="ECCLetterHead"/>
            </w:pPr>
            <w:r>
              <w:t>26</w:t>
            </w:r>
            <w:r w:rsidRPr="008A17A2">
              <w:rPr>
                <w:vertAlign w:val="superscript"/>
              </w:rPr>
              <w:t>th</w:t>
            </w:r>
            <w:r>
              <w:t xml:space="preserve"> </w:t>
            </w:r>
            <w:r w:rsidR="00030AFF">
              <w:t>June 2017</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030AFF" w:rsidP="00263FFB">
            <w:pPr>
              <w:pStyle w:val="ECCLetterHead"/>
            </w:pPr>
            <w:r>
              <w:t>Germany</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030AFF" w:rsidP="00030AFF">
            <w:pPr>
              <w:pStyle w:val="ECCLetterHead"/>
            </w:pPr>
            <w:r>
              <w:t>AI 9.1, Issue 9.1.7 – Sufficiency of Current RR Article 18 Provisions to Address Unauthorized Operation of Satellite Earth Stations</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0" locked="1" layoutInCell="0" allowOverlap="1" wp14:anchorId="23CD9FBE" wp14:editId="2275FF89">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2BAED57D" id="_x0000_t202" coordsize="21600,21600" o:spt="202" path="m0,0l0,21600,21600,21600,2160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" o:allowincell="f">
                      <v:textbox inset="1.2mm,.8mm,1mm,2mm">
                        <w:txbxContent>
                          <w:p w14:paraId="68FC6D29"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8A17A2"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8A1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6"/>
        </w:trPr>
        <w:tc>
          <w:tcPr>
            <w:tcW w:w="9781" w:type="dxa"/>
            <w:gridSpan w:val="3"/>
            <w:tcBorders>
              <w:top w:val="nil"/>
              <w:left w:val="single" w:sz="6" w:space="0" w:color="C00000"/>
              <w:bottom w:val="single" w:sz="6" w:space="0" w:color="C00000"/>
              <w:right w:val="single" w:sz="6" w:space="0" w:color="C00000"/>
            </w:tcBorders>
          </w:tcPr>
          <w:p w:rsidR="00263FFB" w:rsidRPr="00263FFB" w:rsidRDefault="00030AFF" w:rsidP="00ED2BC0">
            <w:pPr>
              <w:pStyle w:val="ECCTabletext"/>
            </w:pPr>
            <w:r>
              <w:t xml:space="preserve">Article 18 of the Radio Regulations contains </w:t>
            </w:r>
            <w:r w:rsidR="005E215F">
              <w:t xml:space="preserve">the </w:t>
            </w:r>
            <w:r>
              <w:t>obligation</w:t>
            </w:r>
            <w:r w:rsidR="00712E46">
              <w:t xml:space="preserve"> </w:t>
            </w:r>
            <w:r w:rsidR="005E215F">
              <w:t xml:space="preserve">that </w:t>
            </w:r>
            <w:r w:rsidR="00712E46">
              <w:t xml:space="preserve">any </w:t>
            </w:r>
            <w:r w:rsidR="005E215F">
              <w:t xml:space="preserve">operation </w:t>
            </w:r>
            <w:r w:rsidR="00712E46">
              <w:t xml:space="preserve">of transmitting stations – including satellite Earth stations – </w:t>
            </w:r>
            <w:r w:rsidR="005E215F">
              <w:t>requires</w:t>
            </w:r>
            <w:r w:rsidR="00712E46">
              <w:t xml:space="preserve"> </w:t>
            </w:r>
            <w:r w:rsidR="005E215F">
              <w:t xml:space="preserve">authorisation </w:t>
            </w:r>
            <w:r w:rsidR="00712E46">
              <w:t>by the country to which that transmitting station is subject.</w:t>
            </w:r>
            <w:r w:rsidR="008A17A2">
              <w:t xml:space="preserve"> </w:t>
            </w:r>
            <w:r w:rsidR="005E215F">
              <w:t xml:space="preserve">This is </w:t>
            </w:r>
            <w:r w:rsidR="005E215F" w:rsidRPr="005E215F">
              <w:t xml:space="preserve">clear and unambiguous. </w:t>
            </w:r>
            <w:r w:rsidR="00712E46">
              <w:t>The attached Annex provides an analysis of the provisions of Article 18 and concludes that they are sufficient to address the issue of unauthorized operation of satellite Earth stations.</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263FFB" w:rsidRDefault="00F5135F" w:rsidP="00263FFB">
            <w:pPr>
              <w:pStyle w:val="ECCTabletext"/>
            </w:pPr>
            <w:r>
              <w:t>invites CPG19-4</w:t>
            </w:r>
            <w:r w:rsidR="00265F50">
              <w:t xml:space="preserve"> to</w:t>
            </w:r>
            <w:r w:rsidR="003003C4">
              <w:t xml:space="preserve"> </w:t>
            </w:r>
          </w:p>
          <w:p w:rsidR="00265F50" w:rsidRPr="00263FFB" w:rsidRDefault="005C3726" w:rsidP="00712E46">
            <w:pPr>
              <w:pStyle w:val="ECCBulletsLv2"/>
            </w:pPr>
            <w:r>
              <w:t>a</w:t>
            </w:r>
            <w:r w:rsidR="00712E46">
              <w:t>mend the background section of the CEPT Brief on AI 9.1, Issue 9.1.7 to include the analysis in the attached Annex</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5F50" w:rsidRPr="00A3755D" w:rsidTr="008A1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5"/>
        </w:trPr>
        <w:tc>
          <w:tcPr>
            <w:tcW w:w="9781" w:type="dxa"/>
            <w:gridSpan w:val="3"/>
            <w:tcBorders>
              <w:top w:val="nil"/>
              <w:left w:val="single" w:sz="6" w:space="0" w:color="C00000"/>
              <w:bottom w:val="single" w:sz="6" w:space="0" w:color="C00000"/>
              <w:right w:val="single" w:sz="6" w:space="0" w:color="C00000"/>
            </w:tcBorders>
          </w:tcPr>
          <w:p w:rsidR="00920948" w:rsidRDefault="00920948" w:rsidP="00920948">
            <w:pPr>
              <w:pStyle w:val="ECCTabletext"/>
            </w:pPr>
            <w:r w:rsidRPr="00235592">
              <w:t>A</w:t>
            </w:r>
            <w:r>
              <w:t>genda</w:t>
            </w:r>
            <w:r w:rsidRPr="00235592">
              <w:t xml:space="preserve"> I</w:t>
            </w:r>
            <w:r>
              <w:t>tem 9.1 Issue 9.1.7 – Issue 2) in the Annex to Resolution </w:t>
            </w:r>
            <w:r w:rsidRPr="00621791">
              <w:rPr>
                <w:rStyle w:val="ECCHLbold"/>
              </w:rPr>
              <w:t>958 (WRC</w:t>
            </w:r>
            <w:r w:rsidRPr="00621791">
              <w:rPr>
                <w:rStyle w:val="ECCHLbold"/>
              </w:rPr>
              <w:noBreakHyphen/>
              <w:t>15)</w:t>
            </w:r>
          </w:p>
          <w:p w:rsidR="00920948" w:rsidRPr="008A17A2" w:rsidRDefault="00920948" w:rsidP="00920948">
            <w:pPr>
              <w:rPr>
                <w:rStyle w:val="ECCParagraph"/>
              </w:rPr>
            </w:pPr>
            <w:r w:rsidRPr="008A17A2">
              <w:rPr>
                <w:rStyle w:val="ECCParagraph"/>
              </w:rPr>
              <w:t>Issue 2) Studies to examine:</w:t>
            </w:r>
          </w:p>
          <w:p w:rsidR="00920948" w:rsidRPr="001D6AD8" w:rsidRDefault="00920948" w:rsidP="00920948">
            <w:pPr>
              <w:pStyle w:val="ECCLetteredList"/>
              <w:rPr>
                <w:lang w:val="en-GB"/>
              </w:rPr>
            </w:pPr>
            <w:r w:rsidRPr="001D6AD8">
              <w:rPr>
                <w:lang w:val="en-GB"/>
              </w:rPr>
              <w:t xml:space="preserve">whether there is a need for possible additional measures in order to limit uplink transmissions of terminals to those authorized terminals in accordance with </w:t>
            </w:r>
            <w:r w:rsidRPr="001D6AD8">
              <w:rPr>
                <w:rStyle w:val="ECCHLbold"/>
                <w:rFonts w:eastAsia="Calibri"/>
                <w:lang w:val="en-GB"/>
              </w:rPr>
              <w:t>No 18.1</w:t>
            </w:r>
            <w:r w:rsidRPr="001D6AD8">
              <w:rPr>
                <w:lang w:val="en-GB"/>
              </w:rPr>
              <w:t xml:space="preserve">; </w:t>
            </w:r>
          </w:p>
          <w:p w:rsidR="00265F50" w:rsidRPr="008A17A2" w:rsidRDefault="00920948" w:rsidP="00265F50">
            <w:pPr>
              <w:pStyle w:val="ECCLetteredList"/>
              <w:rPr>
                <w:lang w:val="en-GB"/>
              </w:rPr>
            </w:pPr>
            <w:proofErr w:type="gramStart"/>
            <w:r w:rsidRPr="001D6AD8">
              <w:rPr>
                <w:lang w:val="en-GB"/>
              </w:rPr>
              <w:t>the</w:t>
            </w:r>
            <w:proofErr w:type="gramEnd"/>
            <w:r w:rsidRPr="001D6AD8">
              <w:rPr>
                <w:lang w:val="en-GB"/>
              </w:rPr>
              <w:t xml:space="preserve"> possible methods that will assist administrations in managing the unauthorized operation of earth station terminals deployed within its territory, as a tool to guide their national spectrum management programme, in accordance with </w:t>
            </w:r>
            <w:r w:rsidRPr="001D6AD8">
              <w:rPr>
                <w:rStyle w:val="ECCHLbold"/>
                <w:rFonts w:eastAsia="Calibri"/>
                <w:lang w:val="en-GB"/>
              </w:rPr>
              <w:t>Resolution ITU</w:t>
            </w:r>
            <w:r w:rsidRPr="001D6AD8">
              <w:rPr>
                <w:rStyle w:val="ECCHLbold"/>
                <w:rFonts w:eastAsia="Calibri"/>
                <w:lang w:val="en-GB"/>
              </w:rPr>
              <w:noBreakHyphen/>
              <w:t>R 64 (RA</w:t>
            </w:r>
            <w:r w:rsidRPr="001D6AD8">
              <w:rPr>
                <w:rStyle w:val="ECCHLbold"/>
                <w:rFonts w:eastAsia="Calibri"/>
                <w:lang w:val="en-GB"/>
              </w:rPr>
              <w:noBreakHyphen/>
              <w:t>15)</w:t>
            </w:r>
            <w:r w:rsidRPr="001D6AD8">
              <w:rPr>
                <w:lang w:val="en-GB"/>
              </w:rPr>
              <w:t>.</w:t>
            </w:r>
          </w:p>
        </w:tc>
      </w:tr>
    </w:tbl>
    <w:p w:rsidR="001B0583" w:rsidRDefault="001B0583" w:rsidP="001B0583">
      <w:pPr>
        <w:pStyle w:val="ECCTablenote"/>
        <w:rPr>
          <w:rStyle w:val="ECCParagraph"/>
        </w:rPr>
      </w:pPr>
    </w:p>
    <w:p w:rsidR="00A751C0" w:rsidRPr="001B0583" w:rsidRDefault="003003C4" w:rsidP="001B0583">
      <w:pPr>
        <w:pStyle w:val="ECCHeadingnonumbering"/>
        <w:rPr>
          <w:rStyle w:val="ECCParagraph"/>
          <w:lang w:val="da-DK"/>
        </w:rPr>
      </w:pPr>
      <w:r>
        <w:rPr>
          <w:rStyle w:val="ECCParagraph"/>
        </w:rPr>
        <w:t xml:space="preserve">Annex </w:t>
      </w:r>
      <w:r w:rsidR="00A751C0" w:rsidRPr="001B0583">
        <w:rPr>
          <w:rStyle w:val="ECCParagraph"/>
          <w:lang w:val="da-DK"/>
        </w:rPr>
        <w:br w:type="page"/>
      </w:r>
    </w:p>
    <w:p w:rsidR="00712E46" w:rsidRPr="00712E46" w:rsidRDefault="00712E46" w:rsidP="00712E46">
      <w:pPr>
        <w:pStyle w:val="ECCHeadingnonumbering"/>
      </w:pPr>
      <w:r w:rsidRPr="00712E46">
        <w:lastRenderedPageBreak/>
        <w:t xml:space="preserve">Background/Observations about current practice </w:t>
      </w:r>
    </w:p>
    <w:p w:rsidR="00712E46" w:rsidRPr="008A17A2" w:rsidRDefault="00712E46" w:rsidP="00712E46">
      <w:pPr>
        <w:rPr>
          <w:rStyle w:val="ECCParagraph"/>
        </w:rPr>
      </w:pPr>
      <w:r w:rsidRPr="008A17A2">
        <w:rPr>
          <w:rStyle w:val="ECCParagraph"/>
        </w:rPr>
        <w:t xml:space="preserve">Chapter </w:t>
      </w:r>
      <w:r w:rsidR="00D573BE" w:rsidRPr="008A17A2">
        <w:rPr>
          <w:rStyle w:val="ECCParagraph"/>
        </w:rPr>
        <w:t xml:space="preserve">V of the ITU Radio </w:t>
      </w:r>
      <w:r w:rsidR="00D1776D" w:rsidRPr="008A17A2">
        <w:rPr>
          <w:rStyle w:val="ECCParagraph"/>
        </w:rPr>
        <w:t>Regulations</w:t>
      </w:r>
      <w:r w:rsidR="00D573BE" w:rsidRPr="008A17A2">
        <w:rPr>
          <w:rStyle w:val="ECCParagraph"/>
        </w:rPr>
        <w:t xml:space="preserve"> contains in Article 18 a number of provisions </w:t>
      </w:r>
      <w:r w:rsidR="00636E2C" w:rsidRPr="008A17A2">
        <w:rPr>
          <w:rStyle w:val="ECCParagraph"/>
        </w:rPr>
        <w:t>regarding</w:t>
      </w:r>
      <w:r w:rsidR="00D573BE" w:rsidRPr="008A17A2">
        <w:rPr>
          <w:rStyle w:val="ECCParagraph"/>
        </w:rPr>
        <w:t xml:space="preserve"> the licenced operation of transmitting stations.</w:t>
      </w:r>
    </w:p>
    <w:p w:rsidR="00712E46" w:rsidRPr="008A17A2" w:rsidRDefault="00712E46" w:rsidP="00712E46">
      <w:pPr>
        <w:rPr>
          <w:rStyle w:val="ECCParagraph"/>
        </w:rPr>
      </w:pPr>
      <w:r w:rsidRPr="008A17A2">
        <w:rPr>
          <w:rStyle w:val="ECCParagraph"/>
        </w:rPr>
        <w:t>‘</w:t>
      </w:r>
      <w:r w:rsidR="00636E2C" w:rsidRPr="008A17A2">
        <w:rPr>
          <w:rStyle w:val="SchwacheHervorhebung"/>
        </w:rPr>
        <w:t>Article 18.1</w:t>
      </w:r>
      <w:r w:rsidR="00636E2C" w:rsidRPr="008A17A2">
        <w:rPr>
          <w:rStyle w:val="ECCParagraph"/>
        </w:rPr>
        <w:t xml:space="preserve"> - </w:t>
      </w:r>
      <w:r w:rsidRPr="008A17A2">
        <w:rPr>
          <w:rStyle w:val="ECCParagraph"/>
        </w:rPr>
        <w:t>No transmitting station may be established or operated by a private person or by any enterprise without a license issued in an appropriate form and in conformity with the provisions of these Regulations by or on behalf of the government of the country to which the station in question is subject</w:t>
      </w:r>
      <w:r w:rsidR="00636E2C" w:rsidRPr="008A17A2">
        <w:rPr>
          <w:rStyle w:val="ECCParagraph"/>
        </w:rPr>
        <w:t xml:space="preserve"> (however, see No. 18.2, 18.8 and 18.11) </w:t>
      </w:r>
      <w:r w:rsidRPr="008A17A2">
        <w:rPr>
          <w:rStyle w:val="ECCParagraph"/>
        </w:rPr>
        <w:t>’.</w:t>
      </w:r>
    </w:p>
    <w:p w:rsidR="00712E46" w:rsidRPr="008A17A2" w:rsidRDefault="00712E46" w:rsidP="00712E46">
      <w:pPr>
        <w:rPr>
          <w:rStyle w:val="ECCParagraph"/>
        </w:rPr>
      </w:pPr>
      <w:r w:rsidRPr="008A17A2">
        <w:rPr>
          <w:rStyle w:val="ECCParagraph"/>
        </w:rPr>
        <w:t xml:space="preserve">The phrase “to which the station in question is subject” is </w:t>
      </w:r>
      <w:r w:rsidR="00CE1FBD" w:rsidRPr="008A17A2">
        <w:rPr>
          <w:rStyle w:val="ECCParagraph"/>
        </w:rPr>
        <w:t xml:space="preserve">a </w:t>
      </w:r>
      <w:r w:rsidRPr="008A17A2">
        <w:rPr>
          <w:rStyle w:val="ECCParagraph"/>
        </w:rPr>
        <w:t>legal term meant to cover many different situations, including those of transmitters moving over territories of different countries. The drafters of this article could have chosen to have this obligation apply “for the country in which the station in question is located”, but did not. The most likely reason for this is that stations in motion at some point in time will be located in international waters. Since no nation has jurisdiction over international waters, a terminal would be subject to the jurisdiction of the country where the aircraft or vessel was registered. Therefore, by saying “to which the station in question is subject” the authors covered all cases – mobile or fixed, national airspace or international waters. The language chosen is flexible enough to cover both the cases of jurisdiction based on aircraft/vessel registration as well as jurisdiction based on location.</w:t>
      </w:r>
    </w:p>
    <w:p w:rsidR="00712E46" w:rsidRPr="008A17A2" w:rsidRDefault="00712E46" w:rsidP="00712E46">
      <w:pPr>
        <w:rPr>
          <w:rStyle w:val="ECCParagraph"/>
        </w:rPr>
      </w:pPr>
      <w:r w:rsidRPr="008A17A2">
        <w:rPr>
          <w:rStyle w:val="ECCParagraph"/>
        </w:rPr>
        <w:t>This interpretation is consistent with other areas of international law. Jurisdiction of a country is usually based on the “nexus” or connection a country has with a given activity. For instance, countries do not tax duty-free sales which take place on aircraft flying over its territory since the connection to the country overflown is insignificant. In contrast, the use of spectrum involves use of a sovereign national resource, as well as a possibility of interference received from transmitters operating by another administration. Administrations therefore have jurisdiction over any transmitter operated in their territory, even those flying over its airspace.</w:t>
      </w:r>
    </w:p>
    <w:p w:rsidR="00712E46" w:rsidRPr="008A17A2" w:rsidRDefault="00712E46" w:rsidP="00712E46">
      <w:pPr>
        <w:rPr>
          <w:rStyle w:val="ECCParagraph"/>
        </w:rPr>
      </w:pPr>
      <w:r w:rsidRPr="008A17A2">
        <w:rPr>
          <w:rStyle w:val="ECCParagraph"/>
        </w:rPr>
        <w:t xml:space="preserve">This requirement is followed in practice by aeronautical and maritime satellite service network operators, as well as by the international regulations applying to AMSS and ESIMs. Airlines typically require AMSS and ESIM vendors to show proof of authorisations in the countries they fly over. Speaking from experience, all network operators spend significant effort in securing authorisations in countries where their terminals operate and incorporate position-sensitive capabilities in the Network Operation </w:t>
      </w:r>
      <w:proofErr w:type="spellStart"/>
      <w:r w:rsidRPr="008A17A2">
        <w:rPr>
          <w:rStyle w:val="ECCParagraph"/>
        </w:rPr>
        <w:t>Centers</w:t>
      </w:r>
      <w:proofErr w:type="spellEnd"/>
      <w:r w:rsidRPr="008A17A2">
        <w:rPr>
          <w:rStyle w:val="ECCParagraph"/>
        </w:rPr>
        <w:t xml:space="preserve"> which prohibit transmissions in countries where they are not authorised.</w:t>
      </w:r>
    </w:p>
    <w:p w:rsidR="00712E46" w:rsidRPr="008A17A2" w:rsidRDefault="00712E46" w:rsidP="00712E46">
      <w:pPr>
        <w:rPr>
          <w:rStyle w:val="ECCParagraph"/>
        </w:rPr>
      </w:pPr>
      <w:r w:rsidRPr="008A17A2">
        <w:rPr>
          <w:rStyle w:val="ECCParagraph"/>
        </w:rPr>
        <w:t xml:space="preserve">Other provisions of Article 18 (please see some of them listed below) do refer to either mobile stations or aircraft/ships. These provisions, however, apply to specific cases and do not reduce or alter the broad requirement of Art. 18.1 </w:t>
      </w:r>
      <w:proofErr w:type="gramStart"/>
      <w:r w:rsidRPr="008A17A2">
        <w:rPr>
          <w:rStyle w:val="ECCParagraph"/>
        </w:rPr>
        <w:t>to</w:t>
      </w:r>
      <w:proofErr w:type="gramEnd"/>
      <w:r w:rsidRPr="008A17A2">
        <w:rPr>
          <w:rStyle w:val="ECCParagraph"/>
        </w:rPr>
        <w:t xml:space="preserve"> operate transmitters only if authorised by the country that has jurisdiction over the transmitter.</w:t>
      </w:r>
    </w:p>
    <w:p w:rsidR="00712E46" w:rsidRPr="008A17A2" w:rsidRDefault="00712E46" w:rsidP="00712E46">
      <w:pPr>
        <w:rPr>
          <w:rStyle w:val="ECCParagraph"/>
        </w:rPr>
      </w:pPr>
      <w:r w:rsidRPr="008A17A2">
        <w:rPr>
          <w:rStyle w:val="ECCParagraph"/>
        </w:rPr>
        <w:t> ‘</w:t>
      </w:r>
      <w:r w:rsidRPr="008A17A2">
        <w:rPr>
          <w:rStyle w:val="SchwacheHervorhebung"/>
        </w:rPr>
        <w:t>Article 18.3</w:t>
      </w:r>
      <w:r w:rsidRPr="008A17A2">
        <w:rPr>
          <w:rStyle w:val="ECCParagraph"/>
        </w:rPr>
        <w:t xml:space="preserve"> – Mobile stations which are registered in a territory or group of territories which does not have full responsibility for its international relations may be considered, in so far as the issue of licences is concerned, as subject to the authority of that territory or group of territories’.</w:t>
      </w:r>
    </w:p>
    <w:p w:rsidR="00712E46" w:rsidRPr="008A17A2" w:rsidRDefault="00712E46" w:rsidP="00712E46">
      <w:pPr>
        <w:rPr>
          <w:rStyle w:val="ECCParagraph"/>
        </w:rPr>
      </w:pPr>
      <w:r w:rsidRPr="008A17A2">
        <w:rPr>
          <w:rStyle w:val="ECCParagraph"/>
        </w:rPr>
        <w:t>This provision applies to the specific case of mobile stations licensed in territories which are not fully responsible for their international relations. It does not affect the requirement of Art. 18.1.</w:t>
      </w:r>
    </w:p>
    <w:p w:rsidR="00712E46" w:rsidRPr="008A17A2" w:rsidRDefault="00712E46" w:rsidP="00712E46">
      <w:pPr>
        <w:rPr>
          <w:rStyle w:val="ECCParagraph"/>
        </w:rPr>
      </w:pPr>
      <w:r w:rsidRPr="008A17A2">
        <w:rPr>
          <w:rStyle w:val="ECCParagraph"/>
        </w:rPr>
        <w:t>‘</w:t>
      </w:r>
      <w:r w:rsidRPr="008A17A2">
        <w:rPr>
          <w:rStyle w:val="SchwacheHervorhebung"/>
        </w:rPr>
        <w:t>Article 18.5</w:t>
      </w:r>
      <w:r w:rsidRPr="008A17A2">
        <w:rPr>
          <w:rStyle w:val="ECCParagraph"/>
        </w:rPr>
        <w:t xml:space="preserve"> </w:t>
      </w:r>
      <w:r w:rsidR="00636E2C" w:rsidRPr="008A17A2">
        <w:rPr>
          <w:rStyle w:val="ECCParagraph"/>
        </w:rPr>
        <w:t xml:space="preserve">– </w:t>
      </w:r>
      <w:r w:rsidRPr="008A17A2">
        <w:rPr>
          <w:rStyle w:val="ECCParagraph"/>
        </w:rPr>
        <w:t>To facilitate the verification of licences issued to mobile stations and mobile earth stations, a translation of the text in one of the working languages of the Union shall be added, when necessary, to the text written in the national language’.</w:t>
      </w:r>
    </w:p>
    <w:p w:rsidR="00712E46" w:rsidRPr="008A17A2" w:rsidRDefault="00712E46" w:rsidP="00712E46">
      <w:pPr>
        <w:rPr>
          <w:rStyle w:val="ECCParagraph"/>
        </w:rPr>
      </w:pPr>
      <w:r w:rsidRPr="008A17A2">
        <w:rPr>
          <w:rStyle w:val="ECCParagraph"/>
        </w:rPr>
        <w:t>‘</w:t>
      </w:r>
      <w:r w:rsidRPr="008A17A2">
        <w:rPr>
          <w:rStyle w:val="SchwacheHervorhebung"/>
        </w:rPr>
        <w:t>Article 18.6</w:t>
      </w:r>
      <w:r w:rsidRPr="008A17A2">
        <w:rPr>
          <w:rStyle w:val="ECCParagraph"/>
        </w:rPr>
        <w:t xml:space="preserve"> </w:t>
      </w:r>
      <w:r w:rsidR="00636E2C" w:rsidRPr="008A17A2">
        <w:rPr>
          <w:rStyle w:val="ECCParagraph"/>
        </w:rPr>
        <w:t xml:space="preserve">– </w:t>
      </w:r>
      <w:r w:rsidRPr="008A17A2">
        <w:rPr>
          <w:rStyle w:val="ECCParagraph"/>
        </w:rPr>
        <w:t>The government which issues a licence to a mobile station or a mobile earth station shall indicate therein in clear form the particulars of the station, including its name, call sign and, where appropriate, the public correspondence category, as well as the general characteristics of the installation’.</w:t>
      </w:r>
    </w:p>
    <w:p w:rsidR="00712E46" w:rsidRPr="008A17A2" w:rsidRDefault="00712E46" w:rsidP="00712E46">
      <w:pPr>
        <w:rPr>
          <w:rStyle w:val="ECCParagraph"/>
        </w:rPr>
      </w:pPr>
      <w:r w:rsidRPr="008A17A2">
        <w:rPr>
          <w:rStyle w:val="ECCParagraph"/>
        </w:rPr>
        <w:t>These provisions deal only with the form and content of licenses for mobile and mobile earth stations and do not affect the requirement of Art. 18.1.</w:t>
      </w:r>
    </w:p>
    <w:p w:rsidR="00712E46" w:rsidRPr="008A17A2" w:rsidRDefault="00712E46" w:rsidP="00712E46">
      <w:pPr>
        <w:rPr>
          <w:rStyle w:val="ECCParagraph"/>
        </w:rPr>
      </w:pPr>
      <w:r w:rsidRPr="008A17A2">
        <w:rPr>
          <w:rStyle w:val="ECCParagraph"/>
        </w:rPr>
        <w:t>‘</w:t>
      </w:r>
      <w:r w:rsidRPr="008A17A2">
        <w:rPr>
          <w:rStyle w:val="SchwacheHervorhebung"/>
        </w:rPr>
        <w:t>Article 18.7</w:t>
      </w:r>
      <w:r w:rsidRPr="008A17A2">
        <w:rPr>
          <w:rStyle w:val="ECCParagraph"/>
        </w:rPr>
        <w:t xml:space="preserve"> </w:t>
      </w:r>
      <w:r w:rsidR="00636E2C" w:rsidRPr="008A17A2">
        <w:rPr>
          <w:rStyle w:val="ECCParagraph"/>
        </w:rPr>
        <w:t xml:space="preserve">– </w:t>
      </w:r>
      <w:r w:rsidRPr="008A17A2">
        <w:rPr>
          <w:rStyle w:val="ECCParagraph"/>
        </w:rPr>
        <w:t xml:space="preserve">For land mobile stations, including stations consisting only of one or more receivers, a clause shall be included in the licence, specifically or by reference, under which the operation of these stations shall </w:t>
      </w:r>
      <w:r w:rsidRPr="008A17A2">
        <w:rPr>
          <w:rStyle w:val="ECCParagraph"/>
        </w:rPr>
        <w:lastRenderedPageBreak/>
        <w:t>be forbidden in countries other than the country in which the licence is issued, except as may be provided by special agreement between the governments of the countries concerned’.</w:t>
      </w:r>
    </w:p>
    <w:p w:rsidR="00712E46" w:rsidRPr="008A17A2" w:rsidRDefault="00712E46" w:rsidP="00712E46">
      <w:pPr>
        <w:rPr>
          <w:rStyle w:val="ECCParagraph"/>
        </w:rPr>
      </w:pPr>
      <w:r w:rsidRPr="008A17A2">
        <w:rPr>
          <w:rStyle w:val="ECCParagraph"/>
        </w:rPr>
        <w:t>One may see that this provision reinforces the requirement of Art. 18.1. for land mobile stations.</w:t>
      </w:r>
    </w:p>
    <w:p w:rsidR="00712E46" w:rsidRPr="008A17A2" w:rsidRDefault="00712E46" w:rsidP="00712E46">
      <w:pPr>
        <w:rPr>
          <w:rStyle w:val="ECCParagraph"/>
        </w:rPr>
      </w:pPr>
      <w:r w:rsidRPr="008A17A2">
        <w:rPr>
          <w:rStyle w:val="ECCParagraph"/>
        </w:rPr>
        <w:t>The specific provisions covering mobile stations may have been deemed necessary to include in Art. 18 since no ITU-R Recommendations exist covering the free circulation and use of mobile terminals.</w:t>
      </w:r>
      <w:r w:rsidR="008A17A2" w:rsidRPr="008A17A2">
        <w:rPr>
          <w:rStyle w:val="ECCParagraph"/>
        </w:rPr>
        <w:t xml:space="preserve"> </w:t>
      </w:r>
      <w:r w:rsidRPr="008A17A2">
        <w:rPr>
          <w:rStyle w:val="ECCParagraph"/>
        </w:rPr>
        <w:t>The ITU-R Recommendation covering ESIMs require compliance with Art. 18.</w:t>
      </w:r>
      <w:r w:rsidR="008A17A2" w:rsidRPr="008A17A2">
        <w:rPr>
          <w:rStyle w:val="ECCParagraph"/>
        </w:rPr>
        <w:t xml:space="preserve"> </w:t>
      </w:r>
      <w:r w:rsidRPr="008A17A2">
        <w:rPr>
          <w:rStyle w:val="ECCParagraph"/>
        </w:rPr>
        <w:t>Any future ITU-R recommendation will most likely follow this precedent.</w:t>
      </w:r>
    </w:p>
    <w:p w:rsidR="00712E46" w:rsidRPr="008A17A2" w:rsidRDefault="00636E2C" w:rsidP="00712E46">
      <w:pPr>
        <w:rPr>
          <w:rStyle w:val="ECCParagraph"/>
        </w:rPr>
      </w:pPr>
      <w:r w:rsidRPr="008A17A2">
        <w:rPr>
          <w:rStyle w:val="ECCParagraph"/>
        </w:rPr>
        <w:t>‘</w:t>
      </w:r>
      <w:r w:rsidRPr="008A17A2">
        <w:rPr>
          <w:rStyle w:val="SchwacheHervorhebung"/>
        </w:rPr>
        <w:t xml:space="preserve">Article </w:t>
      </w:r>
      <w:r w:rsidR="00712E46" w:rsidRPr="008A17A2">
        <w:rPr>
          <w:rStyle w:val="SchwacheHervorhebung"/>
        </w:rPr>
        <w:t>18.8</w:t>
      </w:r>
      <w:r w:rsidR="00712E46" w:rsidRPr="008A17A2">
        <w:rPr>
          <w:rStyle w:val="ECCParagraph"/>
        </w:rPr>
        <w:t xml:space="preserve"> – 1) In the case of a new registration of a ship or aircraft in circumstances where delay is likely to occur in the issue of a licence by the country in which it is to be registered, the administration of the country from which the mobile station or mobile earth station wishes to make its voyage or flight may, at the request of the operating company, issue a certificate to the effect that the station complies with these Regulations. This certificate, drawn up in a form determined by the issuing administration, shall give the particulars mentioned in No. 18.6 and shall be valid only for the duration of the voyage or flight to the country in which the registration of the ship or aircraft will be effected, or for a period of three months, whichever is less</w:t>
      </w:r>
      <w:r w:rsidRPr="008A17A2">
        <w:rPr>
          <w:rStyle w:val="ECCParagraph"/>
        </w:rPr>
        <w:t>’</w:t>
      </w:r>
      <w:r w:rsidR="00712E46" w:rsidRPr="008A17A2">
        <w:rPr>
          <w:rStyle w:val="ECCParagraph"/>
        </w:rPr>
        <w:t>.</w:t>
      </w:r>
    </w:p>
    <w:p w:rsidR="00712E46" w:rsidRPr="008A17A2" w:rsidRDefault="00712E46" w:rsidP="00712E46">
      <w:pPr>
        <w:rPr>
          <w:rStyle w:val="ECCParagraph"/>
        </w:rPr>
      </w:pPr>
      <w:r w:rsidRPr="008A17A2">
        <w:rPr>
          <w:rStyle w:val="ECCParagraph"/>
        </w:rPr>
        <w:t>This provision covers the case of delivery of new aircraft and vessels (movement from country of manufacture to country of ownership).</w:t>
      </w:r>
      <w:r w:rsidR="008A17A2" w:rsidRPr="008A17A2">
        <w:rPr>
          <w:rStyle w:val="ECCParagraph"/>
        </w:rPr>
        <w:t xml:space="preserve"> </w:t>
      </w:r>
      <w:r w:rsidRPr="008A17A2">
        <w:rPr>
          <w:rStyle w:val="ECCParagraph"/>
        </w:rPr>
        <w:t>Aircraft and ships are manufactured in a relatively limited number of countries, but are delivered to customers with radio equipment already installed on board.</w:t>
      </w:r>
      <w:r w:rsidR="008A17A2" w:rsidRPr="008A17A2">
        <w:rPr>
          <w:rStyle w:val="ECCParagraph"/>
        </w:rPr>
        <w:t xml:space="preserve"> </w:t>
      </w:r>
      <w:r w:rsidRPr="008A17A2">
        <w:rPr>
          <w:rStyle w:val="ECCParagraph"/>
        </w:rPr>
        <w:t>This radio equipment cannot be licensed in the country of the customer (e.g. airline) until that customer takes possession of the aircraft or vessel.</w:t>
      </w:r>
      <w:r w:rsidR="008A17A2" w:rsidRPr="008A17A2">
        <w:rPr>
          <w:rStyle w:val="ECCParagraph"/>
        </w:rPr>
        <w:t xml:space="preserve"> </w:t>
      </w:r>
      <w:r w:rsidRPr="008A17A2">
        <w:rPr>
          <w:rStyle w:val="ECCParagraph"/>
        </w:rPr>
        <w:t>This provision covers the very limited case of temporary authorizations to accommodate delivery of aircraft and vessels.</w:t>
      </w:r>
    </w:p>
    <w:p w:rsidR="00712E46" w:rsidRPr="008A17A2" w:rsidRDefault="00636E2C" w:rsidP="00712E46">
      <w:pPr>
        <w:rPr>
          <w:rStyle w:val="ECCParagraph"/>
        </w:rPr>
      </w:pPr>
      <w:r w:rsidRPr="008A17A2">
        <w:rPr>
          <w:rStyle w:val="ECCParagraph"/>
        </w:rPr>
        <w:t>‘</w:t>
      </w:r>
      <w:r w:rsidRPr="008A17A2">
        <w:rPr>
          <w:rStyle w:val="SchwacheHervorhebung"/>
        </w:rPr>
        <w:t xml:space="preserve">Article </w:t>
      </w:r>
      <w:r w:rsidR="00712E46" w:rsidRPr="008A17A2">
        <w:rPr>
          <w:rStyle w:val="SchwacheHervorhebung"/>
        </w:rPr>
        <w:t>18.11</w:t>
      </w:r>
      <w:r w:rsidR="00712E46" w:rsidRPr="008A17A2">
        <w:rPr>
          <w:rStyle w:val="ECCParagraph"/>
        </w:rPr>
        <w:t xml:space="preserve"> – In the case of hire, lease or interchange of aircraft, the administration having authority over the aircraft operator receiving an aircraft under such an arrangement may, by agreement with the administration of the country in which the aircraft is registered, issue a licence in conformity with that specified in No. 18.6 as a temporary substitute for the original licence</w:t>
      </w:r>
      <w:r w:rsidRPr="008A17A2">
        <w:rPr>
          <w:rStyle w:val="ECCParagraph"/>
        </w:rPr>
        <w:t>’</w:t>
      </w:r>
      <w:r w:rsidR="00712E46" w:rsidRPr="008A17A2">
        <w:rPr>
          <w:rStyle w:val="ECCParagraph"/>
        </w:rPr>
        <w:t>.</w:t>
      </w:r>
    </w:p>
    <w:p w:rsidR="00712E46" w:rsidRPr="008A17A2" w:rsidRDefault="00712E46" w:rsidP="00712E46">
      <w:pPr>
        <w:rPr>
          <w:rStyle w:val="ECCParagraph"/>
        </w:rPr>
      </w:pPr>
      <w:r w:rsidRPr="008A17A2">
        <w:rPr>
          <w:rStyle w:val="ECCParagraph"/>
        </w:rPr>
        <w:t>This provision covers the case of leased, hired or loaned aircraft or vessels.</w:t>
      </w:r>
      <w:r w:rsidR="008A17A2" w:rsidRPr="008A17A2">
        <w:rPr>
          <w:rStyle w:val="ECCParagraph"/>
        </w:rPr>
        <w:t xml:space="preserve"> </w:t>
      </w:r>
      <w:r w:rsidRPr="008A17A2">
        <w:rPr>
          <w:rStyle w:val="ECCParagraph"/>
        </w:rPr>
        <w:t>It does not affect the requirement of Art. 18.1.</w:t>
      </w:r>
    </w:p>
    <w:p w:rsidR="000117DB" w:rsidRPr="00712E46" w:rsidRDefault="000117DB" w:rsidP="000117DB">
      <w:pPr>
        <w:pStyle w:val="ECCHeadingnonumbering"/>
      </w:pPr>
      <w:r>
        <w:t>Conclusion</w:t>
      </w:r>
    </w:p>
    <w:p w:rsidR="0016489C" w:rsidRPr="008A17A2" w:rsidRDefault="00712E46" w:rsidP="00C512DE">
      <w:pPr>
        <w:rPr>
          <w:rStyle w:val="ECCParagraph"/>
        </w:rPr>
      </w:pPr>
      <w:r w:rsidRPr="008A17A2">
        <w:rPr>
          <w:rStyle w:val="ECCParagraph"/>
        </w:rPr>
        <w:t>The current provisions of Article 18 contain a clear and unambiguous requirement to operate a satellite Earth station only if duly authorized.</w:t>
      </w:r>
      <w:r w:rsidR="008A17A2" w:rsidRPr="008A17A2">
        <w:rPr>
          <w:rStyle w:val="ECCParagraph"/>
        </w:rPr>
        <w:t xml:space="preserve"> </w:t>
      </w:r>
      <w:r w:rsidRPr="008A17A2">
        <w:rPr>
          <w:rStyle w:val="ECCParagraph"/>
        </w:rPr>
        <w:t xml:space="preserve">Thus, </w:t>
      </w:r>
      <w:r w:rsidR="003A70B6" w:rsidRPr="008A17A2">
        <w:rPr>
          <w:rStyle w:val="ECCParagraph"/>
        </w:rPr>
        <w:t xml:space="preserve">if any </w:t>
      </w:r>
      <w:r w:rsidRPr="008A17A2">
        <w:rPr>
          <w:rStyle w:val="ECCParagraph"/>
        </w:rPr>
        <w:t>problems</w:t>
      </w:r>
      <w:r w:rsidR="003A70B6" w:rsidRPr="008A17A2">
        <w:rPr>
          <w:rStyle w:val="ECCParagraph"/>
        </w:rPr>
        <w:t xml:space="preserve"> are</w:t>
      </w:r>
      <w:r w:rsidRPr="008A17A2">
        <w:rPr>
          <w:rStyle w:val="ECCParagraph"/>
        </w:rPr>
        <w:t xml:space="preserve"> experienced by administrations with unauthorized operation of satellite Earth stations </w:t>
      </w:r>
      <w:r w:rsidR="003A70B6" w:rsidRPr="008A17A2">
        <w:rPr>
          <w:rStyle w:val="ECCParagraph"/>
        </w:rPr>
        <w:t>this is a problem of enforcement, not of inadequate regulation</w:t>
      </w:r>
      <w:r w:rsidRPr="008A17A2">
        <w:rPr>
          <w:rStyle w:val="ECCParagraph"/>
        </w:rPr>
        <w:t>.</w:t>
      </w:r>
      <w:r w:rsidR="008A17A2" w:rsidRPr="008A17A2">
        <w:rPr>
          <w:rStyle w:val="ECCParagraph"/>
        </w:rPr>
        <w:t xml:space="preserve"> </w:t>
      </w:r>
      <w:r w:rsidR="003A70B6" w:rsidRPr="008A17A2">
        <w:rPr>
          <w:rStyle w:val="ECCParagraph"/>
        </w:rPr>
        <w:t>Therefore a</w:t>
      </w:r>
      <w:r w:rsidRPr="008A17A2">
        <w:rPr>
          <w:rStyle w:val="ECCParagraph"/>
        </w:rPr>
        <w:t>dditional pro</w:t>
      </w:r>
      <w:r w:rsidR="00561DD8" w:rsidRPr="008A17A2">
        <w:rPr>
          <w:rStyle w:val="ECCParagraph"/>
        </w:rPr>
        <w:t xml:space="preserve">visions in the Radio Regulations will not improve the situation. </w:t>
      </w:r>
    </w:p>
    <w:p w:rsidR="00A751C0" w:rsidRPr="008A17A2" w:rsidRDefault="0016489C" w:rsidP="00C512DE">
      <w:pPr>
        <w:rPr>
          <w:rStyle w:val="ECCParagraph"/>
        </w:rPr>
      </w:pPr>
      <w:r w:rsidRPr="008A17A2">
        <w:rPr>
          <w:rStyle w:val="ECCParagraph"/>
        </w:rPr>
        <w:t>Issues</w:t>
      </w:r>
      <w:r w:rsidR="00561DD8" w:rsidRPr="008A17A2">
        <w:rPr>
          <w:rStyle w:val="ECCParagraph"/>
        </w:rPr>
        <w:t xml:space="preserve"> related to individual </w:t>
      </w:r>
      <w:r w:rsidRPr="008A17A2">
        <w:rPr>
          <w:rStyle w:val="ECCParagraph"/>
        </w:rPr>
        <w:t xml:space="preserve">satellite service </w:t>
      </w:r>
      <w:r w:rsidR="00561DD8" w:rsidRPr="008A17A2">
        <w:rPr>
          <w:rStyle w:val="ECCParagraph"/>
        </w:rPr>
        <w:t>applications – such as those involving mobility – are best addressed in the specific provisions enabling those application</w:t>
      </w:r>
      <w:r w:rsidR="008A17A2">
        <w:rPr>
          <w:rStyle w:val="ECCParagraph"/>
        </w:rPr>
        <w:t>s</w:t>
      </w:r>
      <w:r w:rsidR="00561DD8" w:rsidRPr="008A17A2">
        <w:rPr>
          <w:rStyle w:val="ECCParagraph"/>
        </w:rPr>
        <w:t>, rather than in general provisions in Article 18 or other parts of the Radio Regulations.</w:t>
      </w:r>
      <w:r w:rsidR="008A17A2" w:rsidRPr="008A17A2">
        <w:rPr>
          <w:rStyle w:val="ECCParagraph"/>
        </w:rPr>
        <w:t xml:space="preserve"> </w:t>
      </w:r>
      <w:r w:rsidR="00F47303" w:rsidRPr="008A17A2">
        <w:rPr>
          <w:rStyle w:val="ECCParagraph"/>
        </w:rPr>
        <w:t>For example, concerns regarding possible unauthorized operation of ESIM</w:t>
      </w:r>
      <w:r w:rsidR="008A17A2">
        <w:rPr>
          <w:rStyle w:val="ECCParagraph"/>
        </w:rPr>
        <w:t>s under Agenda i</w:t>
      </w:r>
      <w:r w:rsidR="00F47303" w:rsidRPr="008A17A2">
        <w:rPr>
          <w:rStyle w:val="ECCParagraph"/>
        </w:rPr>
        <w:t xml:space="preserve">tem 1.5 should be addressed by insertion of provisions in any WRC-19 Resolution addressing this AI that are similar to those adopted in Resolution </w:t>
      </w:r>
      <w:r w:rsidR="00F47303" w:rsidRPr="008A17A2">
        <w:rPr>
          <w:rStyle w:val="ECCHLbold"/>
        </w:rPr>
        <w:t>156 (WRC-15)</w:t>
      </w:r>
      <w:r w:rsidR="00F47303" w:rsidRPr="008A17A2">
        <w:rPr>
          <w:rStyle w:val="ECCParagraph"/>
        </w:rPr>
        <w:t>.</w:t>
      </w:r>
    </w:p>
    <w:sectPr w:rsidR="00A751C0" w:rsidRPr="008A17A2"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14" w:rsidRDefault="005D3014" w:rsidP="00DB17F9">
      <w:r>
        <w:separator/>
      </w:r>
    </w:p>
    <w:p w:rsidR="005D3014" w:rsidRDefault="005D3014"/>
  </w:endnote>
  <w:endnote w:type="continuationSeparator" w:id="0">
    <w:p w:rsidR="005D3014" w:rsidRDefault="005D3014" w:rsidP="00DB17F9">
      <w:r>
        <w:continuationSeparator/>
      </w:r>
    </w:p>
    <w:p w:rsidR="005D3014" w:rsidRDefault="005D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14" w:rsidRPr="00F51BD6" w:rsidRDefault="005D3014" w:rsidP="00CD07E7">
      <w:pPr>
        <w:spacing w:before="120" w:after="0"/>
      </w:pPr>
      <w:r>
        <w:separator/>
      </w:r>
    </w:p>
  </w:footnote>
  <w:footnote w:type="continuationSeparator" w:id="0">
    <w:p w:rsidR="005D3014" w:rsidRDefault="005D3014" w:rsidP="00CD07E7">
      <w:pPr>
        <w:spacing w:before="120" w:after="0"/>
      </w:pPr>
      <w:r>
        <w:continuationSeparator/>
      </w:r>
    </w:p>
  </w:footnote>
  <w:footnote w:type="continuationNotice" w:id="1">
    <w:p w:rsidR="005D3014" w:rsidRPr="00CD07E7" w:rsidRDefault="005D3014"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E2E97">
      <w:rPr>
        <w:noProof/>
      </w:rPr>
      <w:t>3</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26.05pt;height:59.7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io9mfObHeORFqVWSPTJspEuA6Ls=" w:salt="DkEATIY2aGgybcXUZeXlow=="/>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17DB"/>
    <w:rsid w:val="00012E3B"/>
    <w:rsid w:val="00030AFF"/>
    <w:rsid w:val="00041A18"/>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6489C"/>
    <w:rsid w:val="00172B28"/>
    <w:rsid w:val="00183FE0"/>
    <w:rsid w:val="0018553F"/>
    <w:rsid w:val="001B0583"/>
    <w:rsid w:val="001C30A8"/>
    <w:rsid w:val="0020079A"/>
    <w:rsid w:val="00222F9E"/>
    <w:rsid w:val="002302A9"/>
    <w:rsid w:val="00263FFB"/>
    <w:rsid w:val="00265F50"/>
    <w:rsid w:val="00274F84"/>
    <w:rsid w:val="0027787F"/>
    <w:rsid w:val="0028060B"/>
    <w:rsid w:val="0028120C"/>
    <w:rsid w:val="00283417"/>
    <w:rsid w:val="00295827"/>
    <w:rsid w:val="00295F16"/>
    <w:rsid w:val="00296C44"/>
    <w:rsid w:val="002A033F"/>
    <w:rsid w:val="002C6DC3"/>
    <w:rsid w:val="002D1FA9"/>
    <w:rsid w:val="002D50A3"/>
    <w:rsid w:val="003003C4"/>
    <w:rsid w:val="003007C0"/>
    <w:rsid w:val="00307A79"/>
    <w:rsid w:val="003204D5"/>
    <w:rsid w:val="00320ED0"/>
    <w:rsid w:val="00322E6A"/>
    <w:rsid w:val="003314A0"/>
    <w:rsid w:val="00381169"/>
    <w:rsid w:val="0038287C"/>
    <w:rsid w:val="0038358E"/>
    <w:rsid w:val="00387DDE"/>
    <w:rsid w:val="00391A01"/>
    <w:rsid w:val="003A0EB5"/>
    <w:rsid w:val="003A5711"/>
    <w:rsid w:val="003A70B6"/>
    <w:rsid w:val="003C268C"/>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C1A87"/>
    <w:rsid w:val="004C4A2E"/>
    <w:rsid w:val="004E057E"/>
    <w:rsid w:val="004E44C8"/>
    <w:rsid w:val="004E53BE"/>
    <w:rsid w:val="004E7F82"/>
    <w:rsid w:val="004F3EA9"/>
    <w:rsid w:val="00501992"/>
    <w:rsid w:val="005026AC"/>
    <w:rsid w:val="00510AE7"/>
    <w:rsid w:val="0053062A"/>
    <w:rsid w:val="00535050"/>
    <w:rsid w:val="00536F3C"/>
    <w:rsid w:val="0054260E"/>
    <w:rsid w:val="00550D79"/>
    <w:rsid w:val="005559AC"/>
    <w:rsid w:val="00555FB3"/>
    <w:rsid w:val="00557B5A"/>
    <w:rsid w:val="005611D0"/>
    <w:rsid w:val="00561DD8"/>
    <w:rsid w:val="00566BD4"/>
    <w:rsid w:val="00576411"/>
    <w:rsid w:val="00577CAF"/>
    <w:rsid w:val="00580223"/>
    <w:rsid w:val="00594186"/>
    <w:rsid w:val="005A05D1"/>
    <w:rsid w:val="005A53B8"/>
    <w:rsid w:val="005B202B"/>
    <w:rsid w:val="005C10EB"/>
    <w:rsid w:val="005C2301"/>
    <w:rsid w:val="005C3726"/>
    <w:rsid w:val="005C5A96"/>
    <w:rsid w:val="005D3014"/>
    <w:rsid w:val="005D371D"/>
    <w:rsid w:val="005E215F"/>
    <w:rsid w:val="005E7495"/>
    <w:rsid w:val="00605270"/>
    <w:rsid w:val="00621791"/>
    <w:rsid w:val="00621C12"/>
    <w:rsid w:val="00623E18"/>
    <w:rsid w:val="00625C5D"/>
    <w:rsid w:val="00635A22"/>
    <w:rsid w:val="00636E2C"/>
    <w:rsid w:val="00642083"/>
    <w:rsid w:val="0065550D"/>
    <w:rsid w:val="00664295"/>
    <w:rsid w:val="00665364"/>
    <w:rsid w:val="00667B35"/>
    <w:rsid w:val="00672F83"/>
    <w:rsid w:val="00673A9B"/>
    <w:rsid w:val="006876A8"/>
    <w:rsid w:val="006A3B77"/>
    <w:rsid w:val="006A49E3"/>
    <w:rsid w:val="006B1EFD"/>
    <w:rsid w:val="006C14E4"/>
    <w:rsid w:val="006C6DA8"/>
    <w:rsid w:val="006C7F61"/>
    <w:rsid w:val="006D407F"/>
    <w:rsid w:val="006F0442"/>
    <w:rsid w:val="00712E46"/>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37537"/>
    <w:rsid w:val="00842766"/>
    <w:rsid w:val="00854EBF"/>
    <w:rsid w:val="0086094D"/>
    <w:rsid w:val="00872382"/>
    <w:rsid w:val="00886906"/>
    <w:rsid w:val="008912FE"/>
    <w:rsid w:val="008A17A2"/>
    <w:rsid w:val="008A245D"/>
    <w:rsid w:val="008A54FC"/>
    <w:rsid w:val="008B70CD"/>
    <w:rsid w:val="008D141C"/>
    <w:rsid w:val="008D2C13"/>
    <w:rsid w:val="008E6109"/>
    <w:rsid w:val="008F47AB"/>
    <w:rsid w:val="009170EA"/>
    <w:rsid w:val="0092076F"/>
    <w:rsid w:val="00920948"/>
    <w:rsid w:val="00930439"/>
    <w:rsid w:val="00937AEB"/>
    <w:rsid w:val="009662E3"/>
    <w:rsid w:val="00966DD9"/>
    <w:rsid w:val="00986677"/>
    <w:rsid w:val="0099421C"/>
    <w:rsid w:val="009A2F3A"/>
    <w:rsid w:val="009A7A45"/>
    <w:rsid w:val="009C3803"/>
    <w:rsid w:val="009D2C13"/>
    <w:rsid w:val="009D3BA5"/>
    <w:rsid w:val="009D4BA1"/>
    <w:rsid w:val="009D7D5A"/>
    <w:rsid w:val="009E47EB"/>
    <w:rsid w:val="009E539D"/>
    <w:rsid w:val="009F3A37"/>
    <w:rsid w:val="009F6EA2"/>
    <w:rsid w:val="00A02090"/>
    <w:rsid w:val="00A03731"/>
    <w:rsid w:val="00A061CE"/>
    <w:rsid w:val="00A076B5"/>
    <w:rsid w:val="00A17F69"/>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2D0C"/>
    <w:rsid w:val="00AF4C0E"/>
    <w:rsid w:val="00B14E5E"/>
    <w:rsid w:val="00B25910"/>
    <w:rsid w:val="00B26973"/>
    <w:rsid w:val="00B30D3B"/>
    <w:rsid w:val="00B432D4"/>
    <w:rsid w:val="00B5315C"/>
    <w:rsid w:val="00B576D7"/>
    <w:rsid w:val="00B80892"/>
    <w:rsid w:val="00B82735"/>
    <w:rsid w:val="00B92306"/>
    <w:rsid w:val="00B92861"/>
    <w:rsid w:val="00BA7A69"/>
    <w:rsid w:val="00BB15E2"/>
    <w:rsid w:val="00BD28DF"/>
    <w:rsid w:val="00BD6876"/>
    <w:rsid w:val="00BE2864"/>
    <w:rsid w:val="00C00565"/>
    <w:rsid w:val="00C076BF"/>
    <w:rsid w:val="00C212B5"/>
    <w:rsid w:val="00C25F81"/>
    <w:rsid w:val="00C27F02"/>
    <w:rsid w:val="00C44908"/>
    <w:rsid w:val="00C504F4"/>
    <w:rsid w:val="00C512DE"/>
    <w:rsid w:val="00C57E85"/>
    <w:rsid w:val="00C65BB4"/>
    <w:rsid w:val="00C8071C"/>
    <w:rsid w:val="00C816CB"/>
    <w:rsid w:val="00C82461"/>
    <w:rsid w:val="00C91E3B"/>
    <w:rsid w:val="00CA07CC"/>
    <w:rsid w:val="00CA0D9F"/>
    <w:rsid w:val="00CA25B5"/>
    <w:rsid w:val="00CA4FCE"/>
    <w:rsid w:val="00CA5F8F"/>
    <w:rsid w:val="00CC5A6F"/>
    <w:rsid w:val="00CD07E7"/>
    <w:rsid w:val="00CE1FBD"/>
    <w:rsid w:val="00CE271A"/>
    <w:rsid w:val="00CE2E97"/>
    <w:rsid w:val="00CE6FF5"/>
    <w:rsid w:val="00CF5245"/>
    <w:rsid w:val="00D06683"/>
    <w:rsid w:val="00D07B1A"/>
    <w:rsid w:val="00D1167E"/>
    <w:rsid w:val="00D1776D"/>
    <w:rsid w:val="00D234E7"/>
    <w:rsid w:val="00D30E46"/>
    <w:rsid w:val="00D3663D"/>
    <w:rsid w:val="00D4349F"/>
    <w:rsid w:val="00D47EF6"/>
    <w:rsid w:val="00D50AC8"/>
    <w:rsid w:val="00D573BE"/>
    <w:rsid w:val="00D60A44"/>
    <w:rsid w:val="00D7390F"/>
    <w:rsid w:val="00D74F04"/>
    <w:rsid w:val="00D90913"/>
    <w:rsid w:val="00D92BEC"/>
    <w:rsid w:val="00DA18F2"/>
    <w:rsid w:val="00DB17F9"/>
    <w:rsid w:val="00DD6973"/>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A2ED5"/>
    <w:rsid w:val="00EA6088"/>
    <w:rsid w:val="00EC1A2C"/>
    <w:rsid w:val="00ED2BC0"/>
    <w:rsid w:val="00ED2C10"/>
    <w:rsid w:val="00F11542"/>
    <w:rsid w:val="00F210EC"/>
    <w:rsid w:val="00F212EB"/>
    <w:rsid w:val="00F23D13"/>
    <w:rsid w:val="00F32DEC"/>
    <w:rsid w:val="00F43E24"/>
    <w:rsid w:val="00F45561"/>
    <w:rsid w:val="00F465D3"/>
    <w:rsid w:val="00F47303"/>
    <w:rsid w:val="00F5135F"/>
    <w:rsid w:val="00F51BD6"/>
    <w:rsid w:val="00F56F06"/>
    <w:rsid w:val="00F56F62"/>
    <w:rsid w:val="00F62D48"/>
    <w:rsid w:val="00F64859"/>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1A12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SchwacheHervorhebung">
    <w:name w:val="Subtle Emphasis"/>
    <w:basedOn w:val="Absatz-Standardschriftart"/>
    <w:uiPriority w:val="19"/>
    <w:qFormat/>
    <w:rsid w:val="00605270"/>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SchwacheHervorhebung">
    <w:name w:val="Subtle Emphasis"/>
    <w:basedOn w:val="Absatz-Standardschriftart"/>
    <w:uiPriority w:val="19"/>
    <w:qFormat/>
    <w:rsid w:val="0060527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F75C-7ECA-46FD-8B0C-CF541F33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3</Pages>
  <Words>1297</Words>
  <Characters>8174</Characters>
  <Application>Microsoft Office Word</Application>
  <DocSecurity>0</DocSecurity>
  <Lines>68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stella.lyubchenko@eco.cept.org</Manager>
  <Company>ECO</Company>
  <LinksUpToDate>false</LinksUpToDate>
  <CharactersWithSpaces>9453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CPG</cp:lastModifiedBy>
  <cp:revision>5</cp:revision>
  <cp:lastPrinted>2016-10-04T08:55:00Z</cp:lastPrinted>
  <dcterms:created xsi:type="dcterms:W3CDTF">2017-06-26T16:33:00Z</dcterms:created>
  <dcterms:modified xsi:type="dcterms:W3CDTF">2017-06-26T19:07:00Z</dcterms:modified>
  <cp:category>protected templates</cp:category>
  <cp:contentStatus>Template CPG19-2</cp:contentStatus>
</cp:coreProperties>
</file>