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70" w:type="dxa"/>
        <w:tblLayout w:type="fixed"/>
        <w:tblCellMar>
          <w:left w:w="70" w:type="dxa"/>
          <w:right w:w="70" w:type="dxa"/>
        </w:tblCellMar>
        <w:tblLook w:val="0000" w:firstRow="0" w:lastRow="0" w:firstColumn="0" w:lastColumn="0" w:noHBand="0" w:noVBand="0"/>
      </w:tblPr>
      <w:tblGrid>
        <w:gridCol w:w="1671"/>
        <w:gridCol w:w="3007"/>
        <w:gridCol w:w="4961"/>
      </w:tblGrid>
      <w:tr w:rsidR="00263FFB" w:rsidRPr="00A3755D" w:rsidTr="006D4790">
        <w:trPr>
          <w:trHeight w:val="1560"/>
        </w:trPr>
        <w:tc>
          <w:tcPr>
            <w:tcW w:w="4678" w:type="dxa"/>
            <w:gridSpan w:val="2"/>
            <w:tcBorders>
              <w:top w:val="nil"/>
              <w:left w:val="nil"/>
              <w:bottom w:val="nil"/>
              <w:right w:val="nil"/>
            </w:tcBorders>
            <w:vAlign w:val="center"/>
          </w:tcPr>
          <w:p w:rsidR="00263FFB" w:rsidRPr="00263FFB" w:rsidRDefault="00FF0E5A" w:rsidP="001B0583">
            <w:pPr>
              <w:pStyle w:val="ECCLetterHead"/>
            </w:pPr>
            <w:r w:rsidRPr="00FC4F6F">
              <w:rPr>
                <w:noProof/>
                <w:lang w:val="de-DE" w:eastAsia="de-DE"/>
              </w:rPr>
              <w:drawing>
                <wp:inline distT="0" distB="0" distL="0" distR="0" wp14:anchorId="06D500F6" wp14:editId="349282C2">
                  <wp:extent cx="1623695" cy="826770"/>
                  <wp:effectExtent l="0" t="0" r="0" b="0"/>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3695" cy="826770"/>
                          </a:xfrm>
                          <a:prstGeom prst="rect">
                            <a:avLst/>
                          </a:prstGeom>
                          <a:noFill/>
                          <a:ln>
                            <a:noFill/>
                          </a:ln>
                        </pic:spPr>
                      </pic:pic>
                    </a:graphicData>
                  </a:graphic>
                </wp:inline>
              </w:drawing>
            </w:r>
            <w:r w:rsidR="001B0583">
              <w:t>CPG</w:t>
            </w:r>
          </w:p>
        </w:tc>
        <w:tc>
          <w:tcPr>
            <w:tcW w:w="4961" w:type="dxa"/>
            <w:tcBorders>
              <w:top w:val="nil"/>
              <w:left w:val="nil"/>
              <w:bottom w:val="nil"/>
              <w:right w:val="nil"/>
            </w:tcBorders>
          </w:tcPr>
          <w:p w:rsidR="00263FFB" w:rsidRPr="00263FFB" w:rsidRDefault="00263FFB" w:rsidP="007E7AA7">
            <w:pPr>
              <w:pStyle w:val="ECCLetterHead"/>
            </w:pPr>
            <w:r w:rsidRPr="00A3755D">
              <w:tab/>
              <w:t xml:space="preserve">Doc. </w:t>
            </w:r>
            <w:r w:rsidR="00BA68BE">
              <w:t>CPG</w:t>
            </w:r>
            <w:r w:rsidRPr="00263FFB">
              <w:t>(</w:t>
            </w:r>
            <w:r w:rsidR="007E7AA7">
              <w:t>19</w:t>
            </w:r>
            <w:r w:rsidRPr="00263FFB">
              <w:t>)</w:t>
            </w:r>
            <w:r w:rsidR="00D36B7D">
              <w:t>INFO</w:t>
            </w:r>
            <w:r w:rsidR="006D4790">
              <w:t>103</w:t>
            </w:r>
          </w:p>
        </w:tc>
      </w:tr>
      <w:tr w:rsidR="00BA68BE" w:rsidRPr="00A3755D" w:rsidTr="002125DF">
        <w:tblPrEx>
          <w:tblCellMar>
            <w:left w:w="108" w:type="dxa"/>
            <w:right w:w="108" w:type="dxa"/>
          </w:tblCellMar>
        </w:tblPrEx>
        <w:trPr>
          <w:trHeight w:val="405"/>
        </w:trPr>
        <w:tc>
          <w:tcPr>
            <w:tcW w:w="9639" w:type="dxa"/>
            <w:gridSpan w:val="3"/>
            <w:tcBorders>
              <w:top w:val="nil"/>
              <w:left w:val="nil"/>
              <w:bottom w:val="nil"/>
              <w:right w:val="nil"/>
            </w:tcBorders>
            <w:vAlign w:val="center"/>
          </w:tcPr>
          <w:p w:rsidR="00BA68BE" w:rsidRPr="00BA68BE" w:rsidRDefault="00BA68BE" w:rsidP="00B36FA6">
            <w:pPr>
              <w:pStyle w:val="ECCLetterHead"/>
            </w:pPr>
            <w:r w:rsidRPr="005627AB">
              <w:t>CPG19-</w:t>
            </w:r>
            <w:r w:rsidR="00C53689">
              <w:t>9</w:t>
            </w:r>
          </w:p>
        </w:tc>
      </w:tr>
      <w:tr w:rsidR="00BA68BE" w:rsidRPr="00A3755D" w:rsidTr="002125DF">
        <w:tblPrEx>
          <w:tblCellMar>
            <w:left w:w="108" w:type="dxa"/>
            <w:right w:w="108" w:type="dxa"/>
          </w:tblCellMar>
        </w:tblPrEx>
        <w:trPr>
          <w:trHeight w:val="405"/>
        </w:trPr>
        <w:tc>
          <w:tcPr>
            <w:tcW w:w="9639" w:type="dxa"/>
            <w:gridSpan w:val="3"/>
            <w:tcBorders>
              <w:top w:val="nil"/>
              <w:left w:val="nil"/>
              <w:bottom w:val="nil"/>
              <w:right w:val="nil"/>
            </w:tcBorders>
            <w:vAlign w:val="center"/>
          </w:tcPr>
          <w:p w:rsidR="00BA68BE" w:rsidRPr="00BA68BE" w:rsidRDefault="00C53689" w:rsidP="00B36FA6">
            <w:pPr>
              <w:pStyle w:val="ECCLetterHead"/>
            </w:pPr>
            <w:r>
              <w:t>Ankara</w:t>
            </w:r>
            <w:r w:rsidR="00BA68BE" w:rsidRPr="00BA68BE">
              <w:t xml:space="preserve">, </w:t>
            </w:r>
            <w:r>
              <w:t>Turkey</w:t>
            </w:r>
            <w:r w:rsidR="00BA68BE" w:rsidRPr="00BA68BE">
              <w:t>, 2</w:t>
            </w:r>
            <w:r>
              <w:t>6</w:t>
            </w:r>
            <w:r w:rsidR="00BA68BE" w:rsidRPr="00BA68BE">
              <w:rPr>
                <w:vertAlign w:val="superscript"/>
              </w:rPr>
              <w:t>th</w:t>
            </w:r>
            <w:r w:rsidR="00BA68BE">
              <w:t xml:space="preserve"> </w:t>
            </w:r>
            <w:r w:rsidR="00BA68BE" w:rsidRPr="00BA68BE">
              <w:t xml:space="preserve">- </w:t>
            </w:r>
            <w:r>
              <w:t>30</w:t>
            </w:r>
            <w:r w:rsidR="00BA68BE" w:rsidRPr="00BA68BE">
              <w:rPr>
                <w:vertAlign w:val="superscript"/>
              </w:rPr>
              <w:t>th</w:t>
            </w:r>
            <w:r w:rsidR="00BA68BE">
              <w:t xml:space="preserve"> </w:t>
            </w:r>
            <w:r>
              <w:t>August</w:t>
            </w:r>
            <w:r w:rsidR="00BA68BE" w:rsidRPr="00BA68BE">
              <w:t xml:space="preserve"> 201</w:t>
            </w:r>
            <w:r w:rsidR="00B36FA6">
              <w:t>9</w:t>
            </w:r>
          </w:p>
        </w:tc>
      </w:tr>
      <w:tr w:rsidR="00263FFB" w:rsidRPr="00A3755D" w:rsidTr="006D4790">
        <w:tblPrEx>
          <w:tblCellMar>
            <w:left w:w="108" w:type="dxa"/>
            <w:right w:w="108" w:type="dxa"/>
          </w:tblCellMar>
        </w:tblPrEx>
        <w:trPr>
          <w:trHeight w:hRule="exact" w:val="79"/>
        </w:trPr>
        <w:tc>
          <w:tcPr>
            <w:tcW w:w="4678" w:type="dxa"/>
            <w:gridSpan w:val="2"/>
            <w:tcBorders>
              <w:top w:val="nil"/>
              <w:left w:val="nil"/>
              <w:bottom w:val="nil"/>
              <w:right w:val="nil"/>
            </w:tcBorders>
            <w:vAlign w:val="center"/>
          </w:tcPr>
          <w:p w:rsidR="00263FFB" w:rsidRPr="00A3755D" w:rsidRDefault="00263FFB" w:rsidP="00263FFB">
            <w:pPr>
              <w:pStyle w:val="ECCLetterHead"/>
            </w:pPr>
          </w:p>
        </w:tc>
        <w:tc>
          <w:tcPr>
            <w:tcW w:w="4961" w:type="dxa"/>
            <w:tcBorders>
              <w:top w:val="nil"/>
              <w:left w:val="nil"/>
              <w:bottom w:val="nil"/>
              <w:right w:val="nil"/>
            </w:tcBorders>
            <w:vAlign w:val="center"/>
          </w:tcPr>
          <w:p w:rsidR="00263FFB" w:rsidRPr="00A3755D" w:rsidRDefault="00263FFB" w:rsidP="00263FFB">
            <w:pPr>
              <w:pStyle w:val="ECCLetterHead"/>
            </w:pPr>
          </w:p>
        </w:tc>
      </w:tr>
      <w:tr w:rsidR="00263FFB" w:rsidRPr="00A3755D" w:rsidTr="002125DF">
        <w:tblPrEx>
          <w:tblCellMar>
            <w:left w:w="108" w:type="dxa"/>
            <w:right w:w="108" w:type="dxa"/>
          </w:tblCellMar>
        </w:tblPrEx>
        <w:trPr>
          <w:trHeight w:val="405"/>
        </w:trPr>
        <w:tc>
          <w:tcPr>
            <w:tcW w:w="1671" w:type="dxa"/>
            <w:tcBorders>
              <w:top w:val="nil"/>
              <w:left w:val="nil"/>
              <w:bottom w:val="nil"/>
              <w:right w:val="nil"/>
            </w:tcBorders>
            <w:vAlign w:val="center"/>
          </w:tcPr>
          <w:p w:rsidR="00263FFB" w:rsidRPr="00263FFB" w:rsidRDefault="00263FFB" w:rsidP="00263FFB">
            <w:pPr>
              <w:pStyle w:val="ECCLetterHead"/>
            </w:pPr>
            <w:r w:rsidRPr="00A3755D">
              <w:t xml:space="preserve">Date issued: </w:t>
            </w:r>
          </w:p>
        </w:tc>
        <w:tc>
          <w:tcPr>
            <w:tcW w:w="7968" w:type="dxa"/>
            <w:gridSpan w:val="2"/>
            <w:tcBorders>
              <w:top w:val="nil"/>
              <w:left w:val="nil"/>
              <w:bottom w:val="nil"/>
              <w:right w:val="nil"/>
            </w:tcBorders>
            <w:vAlign w:val="center"/>
          </w:tcPr>
          <w:p w:rsidR="00263FFB" w:rsidRPr="00263FFB" w:rsidRDefault="00C53689" w:rsidP="00263FFB">
            <w:pPr>
              <w:pStyle w:val="ECCLetterHead"/>
            </w:pPr>
            <w:r>
              <w:t>19</w:t>
            </w:r>
            <w:r w:rsidRPr="00C53689">
              <w:rPr>
                <w:vertAlign w:val="superscript"/>
              </w:rPr>
              <w:t>th</w:t>
            </w:r>
            <w:r>
              <w:t xml:space="preserve"> August</w:t>
            </w:r>
            <w:r w:rsidR="00564DE1">
              <w:t xml:space="preserve"> 201</w:t>
            </w:r>
            <w:r>
              <w:t>9</w:t>
            </w:r>
          </w:p>
        </w:tc>
      </w:tr>
      <w:tr w:rsidR="00263FFB" w:rsidRPr="00A3755D" w:rsidTr="002125DF">
        <w:tblPrEx>
          <w:tblCellMar>
            <w:left w:w="108" w:type="dxa"/>
            <w:right w:w="108" w:type="dxa"/>
          </w:tblCellMar>
        </w:tblPrEx>
        <w:trPr>
          <w:trHeight w:val="405"/>
        </w:trPr>
        <w:tc>
          <w:tcPr>
            <w:tcW w:w="1671" w:type="dxa"/>
            <w:tcBorders>
              <w:top w:val="nil"/>
              <w:left w:val="nil"/>
              <w:bottom w:val="nil"/>
              <w:right w:val="nil"/>
            </w:tcBorders>
            <w:vAlign w:val="center"/>
          </w:tcPr>
          <w:p w:rsidR="00263FFB" w:rsidRPr="00263FFB" w:rsidRDefault="00263FFB" w:rsidP="00263FFB">
            <w:pPr>
              <w:pStyle w:val="ECCLetterHead"/>
            </w:pPr>
            <w:r w:rsidRPr="00A3755D">
              <w:t xml:space="preserve">Source: </w:t>
            </w:r>
          </w:p>
        </w:tc>
        <w:tc>
          <w:tcPr>
            <w:tcW w:w="7968" w:type="dxa"/>
            <w:gridSpan w:val="2"/>
            <w:tcBorders>
              <w:top w:val="nil"/>
              <w:left w:val="nil"/>
              <w:bottom w:val="nil"/>
              <w:right w:val="nil"/>
            </w:tcBorders>
            <w:vAlign w:val="center"/>
          </w:tcPr>
          <w:p w:rsidR="00263FFB" w:rsidRPr="00263FFB" w:rsidRDefault="00C53689" w:rsidP="002D6CB6">
            <w:pPr>
              <w:pStyle w:val="ECCLetterHead"/>
            </w:pPr>
            <w:r>
              <w:t>European Broadcasting Union (EBU)</w:t>
            </w:r>
          </w:p>
        </w:tc>
      </w:tr>
      <w:tr w:rsidR="00263FFB" w:rsidRPr="00A3755D" w:rsidTr="002125DF">
        <w:tblPrEx>
          <w:tblCellMar>
            <w:left w:w="108" w:type="dxa"/>
            <w:right w:w="108" w:type="dxa"/>
          </w:tblCellMar>
        </w:tblPrEx>
        <w:trPr>
          <w:trHeight w:val="405"/>
        </w:trPr>
        <w:tc>
          <w:tcPr>
            <w:tcW w:w="1671" w:type="dxa"/>
            <w:tcBorders>
              <w:top w:val="nil"/>
              <w:left w:val="nil"/>
              <w:bottom w:val="nil"/>
              <w:right w:val="nil"/>
            </w:tcBorders>
            <w:vAlign w:val="center"/>
          </w:tcPr>
          <w:p w:rsidR="00263FFB" w:rsidRPr="00263FFB" w:rsidRDefault="00263FFB" w:rsidP="00263FFB">
            <w:pPr>
              <w:pStyle w:val="ECCLetterHead"/>
            </w:pPr>
            <w:r w:rsidRPr="00A3755D">
              <w:t xml:space="preserve">Subject: </w:t>
            </w:r>
          </w:p>
        </w:tc>
        <w:tc>
          <w:tcPr>
            <w:tcW w:w="7968" w:type="dxa"/>
            <w:gridSpan w:val="2"/>
            <w:tcBorders>
              <w:top w:val="nil"/>
              <w:left w:val="nil"/>
              <w:bottom w:val="nil"/>
              <w:right w:val="nil"/>
            </w:tcBorders>
            <w:vAlign w:val="center"/>
          </w:tcPr>
          <w:p w:rsidR="00263FFB" w:rsidRPr="00263FFB" w:rsidRDefault="00C53689" w:rsidP="00263FFB">
            <w:pPr>
              <w:pStyle w:val="ECCLetterHead"/>
            </w:pPr>
            <w:r>
              <w:t xml:space="preserve">Update </w:t>
            </w:r>
            <w:r w:rsidR="008A5BAD">
              <w:t xml:space="preserve">of </w:t>
            </w:r>
            <w:r>
              <w:t>EBU’s position on WRC-19 Agenda item 10</w:t>
            </w:r>
          </w:p>
        </w:tc>
      </w:tr>
      <w:tr w:rsidR="00263FFB" w:rsidRPr="00A3755D" w:rsidTr="002125DF">
        <w:tblPrEx>
          <w:tblCellMar>
            <w:left w:w="108" w:type="dxa"/>
            <w:right w:w="108" w:type="dxa"/>
          </w:tblCellMar>
        </w:tblPrEx>
        <w:trPr>
          <w:trHeight w:val="1040"/>
        </w:trPr>
        <w:tc>
          <w:tcPr>
            <w:tcW w:w="9639" w:type="dxa"/>
            <w:gridSpan w:val="3"/>
            <w:tcBorders>
              <w:top w:val="nil"/>
              <w:left w:val="nil"/>
              <w:bottom w:val="nil"/>
              <w:right w:val="nil"/>
            </w:tcBorders>
            <w:vAlign w:val="center"/>
          </w:tcPr>
          <w:p w:rsidR="00263FFB" w:rsidRPr="00263FFB" w:rsidRDefault="001C130A" w:rsidP="00263FFB">
            <w:pPr>
              <w:pStyle w:val="ECCTabletext"/>
            </w:pPr>
            <w:r w:rsidRPr="00263FFB">
              <w:rPr>
                <w:noProof/>
                <w:lang w:val="de-DE" w:eastAsia="de-DE"/>
              </w:rPr>
              <mc:AlternateContent>
                <mc:Choice Requires="wps">
                  <w:drawing>
                    <wp:anchor distT="0" distB="0" distL="114300" distR="114300" simplePos="0" relativeHeight="251658240" behindDoc="0" locked="0" layoutInCell="0" allowOverlap="1" wp14:anchorId="22E6D947" wp14:editId="0D2A339D">
                      <wp:simplePos x="0" y="0"/>
                      <wp:positionH relativeFrom="column">
                        <wp:posOffset>2646680</wp:posOffset>
                      </wp:positionH>
                      <wp:positionV relativeFrom="page">
                        <wp:posOffset>-37465</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E6D947" id="_x0000_t202" coordsize="21600,21600" o:spt="202" path="m,l,21600r21600,l21600,xe">
                      <v:stroke joinstyle="miter"/>
                      <v:path gradientshapeok="t" o:connecttype="rect"/>
                    </v:shapetype>
                    <v:shape id="Textfeld 24" o:spid="_x0000_s1026" type="#_x0000_t202" style="position:absolute;left:0;text-align:left;margin-left:208.4pt;margin-top:-2.95pt;width:36pt;height:2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" o:allowincell="f">
                      <v:textbox inset="1.2mm,.8mm,1mm,2mm">
                        <w:txbxContent>
                          <w:p w:rsidR="00263FFB" w:rsidRPr="00F45561" w:rsidRDefault="00F45561" w:rsidP="00F45561">
                            <w:pPr>
                              <w:pStyle w:val="ECCTabletext"/>
                              <w:jc w:val="center"/>
                              <w:rPr>
                                <w:lang w:val="de-DE"/>
                              </w:rPr>
                            </w:pPr>
                            <w:r>
                              <w:rPr>
                                <w:lang w:val="de-DE"/>
                              </w:rPr>
                              <w:t>N</w:t>
                            </w:r>
                          </w:p>
                        </w:txbxContent>
                      </v:textbox>
                      <w10:wrap anchory="page"/>
                    </v:shape>
                  </w:pict>
                </mc:Fallback>
              </mc:AlternateContent>
            </w:r>
            <w:r w:rsidR="00263FFB" w:rsidRPr="00263FFB">
              <w:t xml:space="preserve">Group membership required </w:t>
            </w:r>
            <w:proofErr w:type="gramStart"/>
            <w:r w:rsidR="00263FFB" w:rsidRPr="00263FFB">
              <w:t>to read</w:t>
            </w:r>
            <w:proofErr w:type="gramEnd"/>
            <w:r w:rsidR="00263FFB" w:rsidRPr="00263FFB">
              <w:t>? (Y/N)</w:t>
            </w:r>
            <w:bookmarkStart w:id="0" w:name="_GoBack"/>
            <w:bookmarkEnd w:id="0"/>
          </w:p>
        </w:tc>
      </w:tr>
      <w:tr w:rsidR="00263FFB" w:rsidRPr="00A3755D" w:rsidTr="002125DF">
        <w:tblPrEx>
          <w:tblCellMar>
            <w:left w:w="108" w:type="dxa"/>
            <w:right w:w="108" w:type="dxa"/>
          </w:tblCellMar>
        </w:tblPrEx>
        <w:trPr>
          <w:trHeight w:hRule="exact" w:val="74"/>
        </w:trPr>
        <w:tc>
          <w:tcPr>
            <w:tcW w:w="9639" w:type="dxa"/>
            <w:gridSpan w:val="3"/>
            <w:tcBorders>
              <w:top w:val="nil"/>
              <w:left w:val="nil"/>
              <w:bottom w:val="nil"/>
              <w:right w:val="nil"/>
            </w:tcBorders>
            <w:vAlign w:val="center"/>
          </w:tcPr>
          <w:p w:rsidR="00263FFB" w:rsidRPr="00F32DEC" w:rsidRDefault="00263FFB" w:rsidP="00263FFB">
            <w:pPr>
              <w:rPr>
                <w:rStyle w:val="ECCParagraph"/>
              </w:rPr>
            </w:pPr>
          </w:p>
          <w:p w:rsidR="00263FFB" w:rsidRPr="00A3755D" w:rsidRDefault="00263FFB" w:rsidP="00263FFB"/>
        </w:tc>
      </w:tr>
      <w:tr w:rsidR="00263FFB" w:rsidRPr="00A3755D" w:rsidTr="0021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6"/>
        </w:trPr>
        <w:tc>
          <w:tcPr>
            <w:tcW w:w="9639"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 xml:space="preserve">Summary: </w:t>
            </w:r>
          </w:p>
        </w:tc>
      </w:tr>
      <w:tr w:rsidR="00263FFB" w:rsidRPr="00A3755D" w:rsidTr="006D4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3"/>
        </w:trPr>
        <w:tc>
          <w:tcPr>
            <w:tcW w:w="9639" w:type="dxa"/>
            <w:gridSpan w:val="3"/>
            <w:tcBorders>
              <w:top w:val="nil"/>
              <w:left w:val="single" w:sz="6" w:space="0" w:color="C00000"/>
              <w:bottom w:val="single" w:sz="6" w:space="0" w:color="C00000"/>
              <w:right w:val="single" w:sz="6" w:space="0" w:color="C00000"/>
            </w:tcBorders>
          </w:tcPr>
          <w:p w:rsidR="00263FFB" w:rsidRPr="00263FFB" w:rsidRDefault="00C53689" w:rsidP="005A6B0C">
            <w:pPr>
              <w:pStyle w:val="ECCTabletext"/>
            </w:pPr>
            <w:r w:rsidRPr="00C53689">
              <w:t>The European Broadcasting Union (EBU) presents in this document its position regarding WRC-19 agenda item</w:t>
            </w:r>
            <w:r w:rsidR="00B03EDA">
              <w:t xml:space="preserve"> </w:t>
            </w:r>
            <w:r w:rsidRPr="00C53689">
              <w:t xml:space="preserve">10.  At the 3rd </w:t>
            </w:r>
            <w:r w:rsidR="00B03EDA">
              <w:t>and 8</w:t>
            </w:r>
            <w:r w:rsidR="00B03EDA" w:rsidRPr="00B03EDA">
              <w:rPr>
                <w:vertAlign w:val="superscript"/>
              </w:rPr>
              <w:t>th</w:t>
            </w:r>
            <w:r w:rsidR="00B03EDA">
              <w:t xml:space="preserve"> </w:t>
            </w:r>
            <w:r w:rsidRPr="00C53689">
              <w:t>CPG-19 meeting</w:t>
            </w:r>
            <w:r w:rsidR="00B03EDA">
              <w:t>s</w:t>
            </w:r>
            <w:r w:rsidRPr="00C53689">
              <w:t xml:space="preserve">, EBU already submitted </w:t>
            </w:r>
            <w:r w:rsidR="00172CA9">
              <w:t>its</w:t>
            </w:r>
            <w:r w:rsidRPr="00C53689">
              <w:t xml:space="preserve"> preliminary positions on Agenda items 1.1, </w:t>
            </w:r>
            <w:r w:rsidR="00B03EDA">
              <w:t xml:space="preserve">1.3, </w:t>
            </w:r>
            <w:r w:rsidRPr="00C53689">
              <w:t>1.13, 9.1.6</w:t>
            </w:r>
            <w:r w:rsidR="00B03EDA">
              <w:t>, 8</w:t>
            </w:r>
            <w:r w:rsidRPr="00C53689">
              <w:t xml:space="preserve"> and 10. </w:t>
            </w:r>
            <w:r w:rsidR="00E1506D">
              <w:t>T</w:t>
            </w:r>
            <w:r w:rsidRPr="00C53689">
              <w:t xml:space="preserve">he EBU positions on Agenda items </w:t>
            </w:r>
            <w:r w:rsidR="00E1506D" w:rsidRPr="00E1506D">
              <w:t>1.1, 1.3, 1.13, 9.1.6</w:t>
            </w:r>
            <w:r w:rsidR="00E1506D">
              <w:t xml:space="preserve"> and</w:t>
            </w:r>
            <w:r w:rsidR="00E1506D" w:rsidRPr="00E1506D">
              <w:t xml:space="preserve"> 8 </w:t>
            </w:r>
            <w:r w:rsidR="00E1506D">
              <w:t>can be considered final positions</w:t>
            </w:r>
            <w:r w:rsidRPr="00C53689">
              <w:t xml:space="preserve">. Regarding agenda item </w:t>
            </w:r>
            <w:r w:rsidR="00E1506D">
              <w:t>10</w:t>
            </w:r>
            <w:r w:rsidRPr="00C53689">
              <w:t xml:space="preserve">, the EBU position </w:t>
            </w:r>
            <w:r w:rsidR="00E1506D">
              <w:t xml:space="preserve">has been updated </w:t>
            </w:r>
            <w:r w:rsidR="005A6B0C">
              <w:t xml:space="preserve">on the basis of the latest proposals received </w:t>
            </w:r>
            <w:r w:rsidR="00E1506D">
              <w:t xml:space="preserve">and </w:t>
            </w:r>
            <w:r w:rsidR="005A6B0C">
              <w:t xml:space="preserve">this </w:t>
            </w:r>
            <w:r w:rsidR="00E1506D">
              <w:t xml:space="preserve">is now </w:t>
            </w:r>
            <w:r w:rsidRPr="00C53689">
              <w:t>submitted to the CPG.</w:t>
            </w:r>
          </w:p>
        </w:tc>
      </w:tr>
      <w:tr w:rsidR="00263FFB" w:rsidRPr="00A3755D" w:rsidTr="0021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639"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Proposal:</w:t>
            </w:r>
          </w:p>
        </w:tc>
      </w:tr>
      <w:tr w:rsidR="00263FFB" w:rsidRPr="00A3755D" w:rsidTr="0021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2"/>
        </w:trPr>
        <w:tc>
          <w:tcPr>
            <w:tcW w:w="9639" w:type="dxa"/>
            <w:gridSpan w:val="3"/>
            <w:tcBorders>
              <w:top w:val="nil"/>
              <w:left w:val="single" w:sz="6" w:space="0" w:color="C00000"/>
              <w:bottom w:val="single" w:sz="6" w:space="0" w:color="C00000"/>
              <w:right w:val="single" w:sz="6" w:space="0" w:color="C00000"/>
            </w:tcBorders>
          </w:tcPr>
          <w:p w:rsidR="00C53689" w:rsidRPr="00C53689" w:rsidRDefault="00C53689" w:rsidP="00C53689">
            <w:pPr>
              <w:pStyle w:val="ECCTabletext"/>
            </w:pPr>
            <w:r w:rsidRPr="00C53689">
              <w:t>to CPG19-</w:t>
            </w:r>
            <w:r>
              <w:t>9</w:t>
            </w:r>
            <w:r w:rsidRPr="00C53689">
              <w:t xml:space="preserve"> to </w:t>
            </w:r>
          </w:p>
          <w:p w:rsidR="00263FFB" w:rsidRPr="00263FFB" w:rsidRDefault="00C53689" w:rsidP="00D642A7">
            <w:pPr>
              <w:pStyle w:val="ECCBulletsLv2"/>
            </w:pPr>
            <w:proofErr w:type="gramStart"/>
            <w:r w:rsidRPr="00C53689">
              <w:t>consider</w:t>
            </w:r>
            <w:proofErr w:type="gramEnd"/>
            <w:r w:rsidRPr="00C53689">
              <w:t xml:space="preserve"> </w:t>
            </w:r>
            <w:r w:rsidR="007D41F9">
              <w:t xml:space="preserve">the information in the Annex </w:t>
            </w:r>
            <w:r w:rsidRPr="00C53689">
              <w:t xml:space="preserve">and </w:t>
            </w:r>
            <w:r w:rsidR="007D41F9">
              <w:t xml:space="preserve">to </w:t>
            </w:r>
            <w:r w:rsidRPr="00C53689">
              <w:t xml:space="preserve">include </w:t>
            </w:r>
            <w:r w:rsidR="007D41F9">
              <w:t xml:space="preserve">it </w:t>
            </w:r>
            <w:r w:rsidRPr="00C53689">
              <w:t>in the draft CEPT Brief on WRC-19 agenda item</w:t>
            </w:r>
            <w:r>
              <w:t xml:space="preserve"> 10</w:t>
            </w:r>
            <w:r w:rsidRPr="00C53689">
              <w:t>.</w:t>
            </w:r>
          </w:p>
        </w:tc>
      </w:tr>
      <w:tr w:rsidR="00263FFB" w:rsidRPr="00A3755D" w:rsidTr="002125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43"/>
        </w:trPr>
        <w:tc>
          <w:tcPr>
            <w:tcW w:w="9639" w:type="dxa"/>
            <w:gridSpan w:val="3"/>
            <w:tcBorders>
              <w:top w:val="single" w:sz="6" w:space="0" w:color="C00000"/>
              <w:left w:val="single" w:sz="6" w:space="0" w:color="C00000"/>
              <w:bottom w:val="nil"/>
              <w:right w:val="single" w:sz="6" w:space="0" w:color="C00000"/>
            </w:tcBorders>
            <w:vAlign w:val="center"/>
          </w:tcPr>
          <w:p w:rsidR="00263FFB" w:rsidRPr="00263FFB" w:rsidRDefault="00263FFB" w:rsidP="00263FFB">
            <w:pPr>
              <w:pStyle w:val="ECCLetterHead"/>
            </w:pPr>
            <w:r w:rsidRPr="00A3755D">
              <w:t>Background:</w:t>
            </w:r>
          </w:p>
        </w:tc>
      </w:tr>
      <w:tr w:rsidR="00263FFB" w:rsidRPr="00A3755D" w:rsidTr="006D47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89"/>
        </w:trPr>
        <w:tc>
          <w:tcPr>
            <w:tcW w:w="9639" w:type="dxa"/>
            <w:gridSpan w:val="3"/>
            <w:tcBorders>
              <w:top w:val="nil"/>
              <w:left w:val="single" w:sz="6" w:space="0" w:color="C00000"/>
              <w:bottom w:val="single" w:sz="6" w:space="0" w:color="C00000"/>
              <w:right w:val="single" w:sz="6" w:space="0" w:color="C00000"/>
            </w:tcBorders>
          </w:tcPr>
          <w:p w:rsidR="00263FFB" w:rsidRPr="00263FFB" w:rsidRDefault="00C53689" w:rsidP="00564DE1">
            <w:pPr>
              <w:pStyle w:val="ECCTabletext"/>
            </w:pPr>
            <w:r w:rsidRPr="00C53689">
              <w:t xml:space="preserve">The EBU is the world’s leading alliance of public service media (PSM). We have 119 member organizations in 56 countries in Europe, and an additional 34 Associates in Asia, Africa, Australasia and the Americas.  The EBU is devoted to making public service media indispensable. We support and strengthen public service media, provide first-class media services and offer our Members a centre for learning and sharing. The </w:t>
            </w:r>
            <w:r w:rsidR="00E1506D">
              <w:t xml:space="preserve">updated </w:t>
            </w:r>
            <w:r w:rsidRPr="00C53689">
              <w:t xml:space="preserve">EBU position </w:t>
            </w:r>
            <w:r>
              <w:t xml:space="preserve">on </w:t>
            </w:r>
            <w:r w:rsidRPr="00C53689">
              <w:t>WRC-19 Agenda item</w:t>
            </w:r>
            <w:r>
              <w:t xml:space="preserve"> 10</w:t>
            </w:r>
            <w:r w:rsidRPr="00C53689">
              <w:t xml:space="preserve"> </w:t>
            </w:r>
            <w:r>
              <w:t>is</w:t>
            </w:r>
            <w:r w:rsidRPr="00C53689">
              <w:t xml:space="preserve"> provided below.</w:t>
            </w:r>
          </w:p>
        </w:tc>
      </w:tr>
    </w:tbl>
    <w:p w:rsidR="006D4790" w:rsidRDefault="007A0A30" w:rsidP="006D4790">
      <w:pPr>
        <w:pStyle w:val="berschrift1"/>
        <w:numPr>
          <w:ilvl w:val="0"/>
          <w:numId w:val="0"/>
        </w:numPr>
        <w:ind w:left="431" w:hanging="431"/>
        <w:rPr>
          <w:b w:val="0"/>
          <w:bCs w:val="0"/>
          <w:szCs w:val="20"/>
        </w:rPr>
      </w:pPr>
      <w:r w:rsidRPr="007A0A30">
        <w:t>A</w:t>
      </w:r>
      <w:r w:rsidR="00464BDD">
        <w:t>NNE</w:t>
      </w:r>
      <w:r w:rsidRPr="007A0A30">
        <w:t xml:space="preserve">XES: </w:t>
      </w:r>
      <w:r w:rsidR="007D41F9">
        <w:t>1</w:t>
      </w:r>
      <w:r w:rsidR="006D4790">
        <w:br w:type="page"/>
      </w:r>
    </w:p>
    <w:p w:rsidR="007A0A30" w:rsidRPr="007A0A30" w:rsidRDefault="007D41F9" w:rsidP="00464BDD">
      <w:pPr>
        <w:pStyle w:val="Beschriftung"/>
      </w:pPr>
      <w:r>
        <w:lastRenderedPageBreak/>
        <w:t xml:space="preserve">Annex: </w:t>
      </w:r>
      <w:r w:rsidR="007A0A30" w:rsidRPr="007A0A30">
        <w:t>EBU position on WRC-19 Agenda Item 10</w:t>
      </w:r>
    </w:p>
    <w:p w:rsidR="007A0A30" w:rsidRPr="007A0A30" w:rsidRDefault="007A0A30" w:rsidP="00464BDD">
      <w:pPr>
        <w:pStyle w:val="berschrift1"/>
        <w:numPr>
          <w:ilvl w:val="0"/>
          <w:numId w:val="0"/>
        </w:numPr>
        <w:ind w:left="431" w:hanging="431"/>
      </w:pPr>
      <w:bookmarkStart w:id="1" w:name="_Hlk529880198"/>
      <w:r w:rsidRPr="007A0A30">
        <w:t>WRC-19 Agenda Item 10</w:t>
      </w:r>
    </w:p>
    <w:bookmarkEnd w:id="1"/>
    <w:p w:rsidR="007A0A30" w:rsidRPr="007A0A30" w:rsidRDefault="007A0A30" w:rsidP="007A0A30">
      <w:r w:rsidRPr="007A0A30">
        <w:t>‘to recommend to the Council items for inclusion in the agenda for the next WRC, and to give its views on the preliminary agenda for the subsequent conference and on possible agenda items for future conferences, in accordance with Article 7 of the Convention’</w:t>
      </w:r>
    </w:p>
    <w:p w:rsidR="007A0A30" w:rsidRDefault="007A0A30" w:rsidP="00464BDD">
      <w:pPr>
        <w:pStyle w:val="berschrift1"/>
        <w:numPr>
          <w:ilvl w:val="0"/>
          <w:numId w:val="0"/>
        </w:numPr>
        <w:ind w:left="431" w:hanging="431"/>
      </w:pPr>
      <w:r w:rsidRPr="007A0A30">
        <w:t>EBU Position</w:t>
      </w:r>
    </w:p>
    <w:p w:rsidR="003D653F" w:rsidRDefault="003D653F" w:rsidP="0090770C">
      <w:pPr>
        <w:pStyle w:val="berschrift3"/>
        <w:numPr>
          <w:ilvl w:val="0"/>
          <w:numId w:val="0"/>
        </w:numPr>
        <w:ind w:left="720" w:hanging="720"/>
        <w:rPr>
          <w:rStyle w:val="ECCParagraph"/>
          <w:caps/>
          <w:color w:val="D2232A"/>
          <w:kern w:val="32"/>
          <w:szCs w:val="32"/>
        </w:rPr>
      </w:pPr>
      <w:r>
        <w:rPr>
          <w:rStyle w:val="ECCParagraph"/>
        </w:rPr>
        <w:t>UHF band</w:t>
      </w:r>
    </w:p>
    <w:p w:rsidR="004305A1" w:rsidRPr="004305A1" w:rsidRDefault="004305A1" w:rsidP="004305A1">
      <w:r w:rsidRPr="004305A1">
        <w:rPr>
          <w:rStyle w:val="ECCParagraph"/>
        </w:rPr>
        <w:t xml:space="preserve">The EBU supports the WRC-15 conclusions that there should be no further discussions on allocations in the 470-694 MHz band at WRC-19, and that any studies on the future of that band should be started after WRC-19. </w:t>
      </w:r>
    </w:p>
    <w:p w:rsidR="004305A1" w:rsidRPr="004305A1" w:rsidRDefault="004305A1" w:rsidP="004305A1">
      <w:r w:rsidRPr="004305A1">
        <w:rPr>
          <w:rStyle w:val="ECCParagraph"/>
        </w:rPr>
        <w:t>EBU supports No Change to ITU-R Resolution 235 (WRC-15) which defines WRC-23 Agenda Item 2.5 related to the UHF band in Region 1.</w:t>
      </w:r>
    </w:p>
    <w:p w:rsidR="004305A1" w:rsidRPr="004305A1" w:rsidRDefault="004305A1" w:rsidP="004305A1">
      <w:r w:rsidRPr="004305A1">
        <w:rPr>
          <w:rStyle w:val="ECCParagraph"/>
        </w:rPr>
        <w:t xml:space="preserve">The European Union </w:t>
      </w:r>
      <w:r w:rsidR="003D653F">
        <w:rPr>
          <w:rStyle w:val="ECCParagraph"/>
        </w:rPr>
        <w:t xml:space="preserve">(EU) </w:t>
      </w:r>
      <w:r w:rsidRPr="004305A1">
        <w:rPr>
          <w:rStyle w:val="ECCParagraph"/>
        </w:rPr>
        <w:t>has decided that the 470-694 MHz band should be retained for DTT use until at least 2030</w:t>
      </w:r>
      <w:r w:rsidR="00B93014">
        <w:rPr>
          <w:rStyle w:val="Funotenzeichen"/>
        </w:rPr>
        <w:footnoteReference w:id="2"/>
      </w:r>
      <w:r w:rsidRPr="004305A1">
        <w:rPr>
          <w:rStyle w:val="ECCParagraph"/>
        </w:rPr>
        <w:t xml:space="preserve">. This recognises the importance of the DTT platform </w:t>
      </w:r>
      <w:r w:rsidR="00664B23">
        <w:rPr>
          <w:rStyle w:val="ECCParagraph"/>
        </w:rPr>
        <w:t xml:space="preserve">to broadcasters and viewers </w:t>
      </w:r>
      <w:r w:rsidRPr="004305A1">
        <w:rPr>
          <w:rStyle w:val="ECCParagraph"/>
        </w:rPr>
        <w:t xml:space="preserve">and the need to provide certainty for investments in broadcasting infrastructure. DTT will continue to play an essential role as a major distribution platform in the foreseeable future and long-term certainty for spectrum below 700 MHz will give </w:t>
      </w:r>
      <w:r w:rsidR="00664B23">
        <w:rPr>
          <w:rStyle w:val="ECCParagraph"/>
        </w:rPr>
        <w:t>the broadcasters</w:t>
      </w:r>
      <w:r w:rsidR="00664B23" w:rsidRPr="004305A1">
        <w:rPr>
          <w:rStyle w:val="ECCParagraph"/>
        </w:rPr>
        <w:t xml:space="preserve"> </w:t>
      </w:r>
      <w:r w:rsidRPr="004305A1">
        <w:rPr>
          <w:rStyle w:val="ECCParagraph"/>
        </w:rPr>
        <w:t>the capacity to further innovate, develop and remain competitive.</w:t>
      </w:r>
      <w:r w:rsidR="003D653F" w:rsidRPr="003D653F">
        <w:rPr>
          <w:rStyle w:val="ECCParagraph"/>
        </w:rPr>
        <w:t xml:space="preserve"> </w:t>
      </w:r>
      <w:r w:rsidR="003D653F">
        <w:rPr>
          <w:rStyle w:val="ECCParagraph"/>
        </w:rPr>
        <w:t>This band also remains crucial for Programme Making and Special Events (PMSE) services</w:t>
      </w:r>
      <w:r w:rsidR="00C86595" w:rsidRPr="00C86595">
        <w:t xml:space="preserve"> </w:t>
      </w:r>
      <w:r w:rsidR="000A55C5">
        <w:t>including</w:t>
      </w:r>
      <w:r w:rsidR="00C86595">
        <w:t xml:space="preserve"> those used for</w:t>
      </w:r>
      <w:r w:rsidR="00C86595" w:rsidRPr="00C86595">
        <w:rPr>
          <w:rStyle w:val="ECCParagraph"/>
        </w:rPr>
        <w:t xml:space="preserve"> production of audio</w:t>
      </w:r>
      <w:r w:rsidR="00C86595" w:rsidRPr="00C86595">
        <w:rPr>
          <w:rStyle w:val="ECCParagraph"/>
          <w:rFonts w:ascii="Cambria Math" w:hAnsi="Cambria Math" w:cs="Cambria Math"/>
        </w:rPr>
        <w:t>‐</w:t>
      </w:r>
      <w:r w:rsidR="00C86595" w:rsidRPr="00C86595">
        <w:rPr>
          <w:rStyle w:val="ECCParagraph"/>
        </w:rPr>
        <w:t>visual content, news and events</w:t>
      </w:r>
      <w:r w:rsidR="003D653F">
        <w:rPr>
          <w:rStyle w:val="ECCParagraph"/>
        </w:rPr>
        <w:t>.</w:t>
      </w:r>
    </w:p>
    <w:p w:rsidR="004305A1" w:rsidRDefault="004305A1" w:rsidP="004305A1">
      <w:pPr>
        <w:rPr>
          <w:rStyle w:val="ECCParagraph"/>
        </w:rPr>
      </w:pPr>
      <w:r w:rsidRPr="004305A1">
        <w:rPr>
          <w:rStyle w:val="ECCParagraph"/>
        </w:rPr>
        <w:t>The EU has also agreed to release the 700 MHz (694-790 MHz), as per WRC-15 decisions, by 2020/22. Releasing the 700 MHz band from broadcasting services will require technical changes to the DTT network due to the change of frequencies. In many countries, introduction of new technologies such as DVB-T2 and HEVC will also be required to maintain the range of programmes currently offered by DTT and to allow the possibility of new services being introduced. As a consequence, millions of consumers across Europe will need to change their reception equipment at home. These new technologies will be introduced in the sub-700 MHz spectrum and this requires long term certainty of access to the band 470-694 MHz. Otherwise, timely release of the 700 MHz band might be hindered.</w:t>
      </w:r>
    </w:p>
    <w:p w:rsidR="006D4790" w:rsidRDefault="006D4790" w:rsidP="0090770C">
      <w:pPr>
        <w:pStyle w:val="berschrift3"/>
        <w:numPr>
          <w:ilvl w:val="0"/>
          <w:numId w:val="0"/>
        </w:numPr>
        <w:ind w:left="720" w:hanging="720"/>
      </w:pPr>
    </w:p>
    <w:p w:rsidR="00F85A29" w:rsidRDefault="00F85A29" w:rsidP="0090770C">
      <w:pPr>
        <w:pStyle w:val="berschrift3"/>
        <w:numPr>
          <w:ilvl w:val="0"/>
          <w:numId w:val="0"/>
        </w:numPr>
        <w:ind w:left="720" w:hanging="720"/>
      </w:pPr>
      <w:r>
        <w:t>C-Band</w:t>
      </w:r>
    </w:p>
    <w:p w:rsidR="008F211B" w:rsidRDefault="009D19CD" w:rsidP="003C7CF7">
      <w:r w:rsidRPr="009D19CD">
        <w:t>The frequency range 3400 to 4200 MHz is used by broadcasters for programme contribution and programme distribution (including in some countries the backbone distribution network for DTT networks), nationally, regionally and globally. The EUROVISION satellite network also makes extensive use of the 3600-4200 MHz band for all coverage in Asia/Africa/America.</w:t>
      </w:r>
      <w:r>
        <w:t xml:space="preserve"> </w:t>
      </w:r>
    </w:p>
    <w:p w:rsidR="00106468" w:rsidRDefault="009D19CD" w:rsidP="005A6B0C">
      <w:r w:rsidRPr="009D19CD">
        <w:t>In Europe, the ECC/DEC/(11)06  harmonises the use of the band 3400 to 3800 MHz for wireless broadband services; the band is one of the pioneer bands for the introduction of 5G based services in Europe and several European countries have already auctioned the band or are in the process of doing so</w:t>
      </w:r>
      <w:r>
        <w:t>.</w:t>
      </w:r>
      <w:r w:rsidR="004B59A7">
        <w:t xml:space="preserve"> </w:t>
      </w:r>
    </w:p>
    <w:p w:rsidR="00900F44" w:rsidRDefault="00864CB4" w:rsidP="00864CB4">
      <w:r w:rsidRPr="003C7CF7">
        <w:lastRenderedPageBreak/>
        <w:t xml:space="preserve">Studies on technical and regulatory conditions for coexistence between </w:t>
      </w:r>
      <w:r w:rsidR="00460ECC">
        <w:t>IMT</w:t>
      </w:r>
      <w:r w:rsidRPr="003C7CF7">
        <w:t xml:space="preserve"> and fixed satellite services in the frequency band 3400-4200 MHz are included in Report ITU-R</w:t>
      </w:r>
      <w:r w:rsidR="00C94911" w:rsidRPr="00C94911">
        <w:t xml:space="preserve"> </w:t>
      </w:r>
      <w:r w:rsidR="00F32A27">
        <w:t>S</w:t>
      </w:r>
      <w:r w:rsidR="00C94911" w:rsidRPr="003C7CF7">
        <w:t>.</w:t>
      </w:r>
      <w:r w:rsidR="00F32A27">
        <w:t>2368</w:t>
      </w:r>
      <w:r w:rsidR="00C94911">
        <w:rPr>
          <w:rStyle w:val="Funotenzeichen"/>
        </w:rPr>
        <w:footnoteReference w:id="3"/>
      </w:r>
      <w:r w:rsidRPr="003C7CF7">
        <w:t xml:space="preserve">. The results show that the required separation distances to avoid interference </w:t>
      </w:r>
      <w:r w:rsidR="00B20400">
        <w:t xml:space="preserve">to satellite services </w:t>
      </w:r>
      <w:r w:rsidRPr="003C7CF7">
        <w:t>could go up to tens of km or over 100 km in some particular cases.</w:t>
      </w:r>
      <w:r>
        <w:t xml:space="preserve"> </w:t>
      </w:r>
      <w:r w:rsidR="00900F44">
        <w:t>Recent 5G trials in the 3400-3800 MHz range have produced harmful interference to satellite services in the band, confirming the results of the studies.</w:t>
      </w:r>
    </w:p>
    <w:p w:rsidR="009D19CD" w:rsidRDefault="009D19CD" w:rsidP="004F320A">
      <w:r w:rsidRPr="009D19CD">
        <w:t xml:space="preserve">In Europe in many cases the location of the receive satellite earth stations is known and an exclusion zone could guarantee their protection. However, this protection is not always applied for </w:t>
      </w:r>
      <w:r>
        <w:t>economic</w:t>
      </w:r>
      <w:r w:rsidRPr="009D19CD">
        <w:t xml:space="preserve"> reasons. As a consequence, many broadcasters are moving their services to the upper part of the C-Band, the 3800-4200 MHz band.  </w:t>
      </w:r>
    </w:p>
    <w:p w:rsidR="00E619BF" w:rsidRDefault="009D19CD" w:rsidP="004F320A">
      <w:r w:rsidRPr="009D19CD">
        <w:t>The impact on broadcasters’ satellite operations of the decision to make 3400-3800</w:t>
      </w:r>
      <w:r w:rsidR="00265837">
        <w:t xml:space="preserve"> </w:t>
      </w:r>
      <w:r w:rsidRPr="009D19CD">
        <w:t>MHz available to IMT has been to cause the failure of otherwise stable links in adjacent bands due to the impact of blocking caused by the relatively high levels of emission from IMT when compared with the emission from spacecraft. Satellite downlinks are designed to operate with high gain antenna systems and were largely designed to operate from 3400MHz or 3700MHz upwards. Therefore</w:t>
      </w:r>
      <w:r w:rsidR="00FC7AA5">
        <w:t>,</w:t>
      </w:r>
      <w:r w:rsidRPr="009D19CD">
        <w:t xml:space="preserve"> existing satellite earth stations have little or no adjacent channel selectivity at these frequencies. To mitigate these effects additional filtering is required at each downlink which is costly to retrofit.</w:t>
      </w:r>
    </w:p>
    <w:p w:rsidR="00FC7AA5" w:rsidRDefault="00FC7AA5" w:rsidP="006E2B3F">
      <w:r w:rsidRPr="00FC7AA5">
        <w:t>Given the impact on broadcasters’ services of making the 3400-3800 MHz spectrum available to IMT, the remaining spectrum from 3800 to 4200 MHz is even more important to broadcasters. Taking into account the above, EBU does not support the allocation of the 3800-4200 MHz band to the Mobile Service. In addition, adequate protection measures in this band need to be provided to avoid adjacent channel interference from the 3400-3800 MHz band.</w:t>
      </w:r>
    </w:p>
    <w:p w:rsidR="00FC7AA5" w:rsidRDefault="00FC7AA5" w:rsidP="006E2B3F">
      <w:r w:rsidRPr="00FC7AA5">
        <w:t>Recently in the US, an FCC programme to encourage registration of satellite downlinks using spectrum between 3.7 and 4.2GHz was extended in order to be able to assess the protection required for incumbent services should this spectrum be reallocated.  However, for most countries outside Europe and the US, the use and locations of downlink receivers used by broadcasters for distribution are rarely registered as there is usually no requirement to do so. A global allocation to IMT in the 3400-3800 MHz band will offer no protection to these broadcasters’ operations and therefore it is not supported by the EBU.</w:t>
      </w:r>
    </w:p>
    <w:p w:rsidR="00C20DCE" w:rsidRPr="004305A1" w:rsidRDefault="00F525B5" w:rsidP="003C7CF7">
      <w:r>
        <w:t>In summary, the EBU does not support any future WRC agenda item that would consider additional allocations to the Mobile services for IMT in the 3400-4200 MHz frequency range.</w:t>
      </w:r>
    </w:p>
    <w:p w:rsidR="00A751C0" w:rsidRPr="00F32DEC" w:rsidRDefault="00A751C0" w:rsidP="00C53689">
      <w:pPr>
        <w:pStyle w:val="ECCHeadingnonumbering"/>
        <w:rPr>
          <w:rStyle w:val="ECCParagraph"/>
        </w:rPr>
      </w:pPr>
    </w:p>
    <w:sectPr w:rsidR="00A751C0" w:rsidRPr="00F32DEC" w:rsidSect="00797DEE">
      <w:headerReference w:type="even" r:id="rId9"/>
      <w:headerReference w:type="default" r:id="rId10"/>
      <w:footerReference w:type="even" r:id="rId11"/>
      <w:footerReference w:type="default" r:id="rId12"/>
      <w:headerReference w:type="first" r:id="rId13"/>
      <w:footerReference w:type="firs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6C" w:rsidRDefault="0061626C" w:rsidP="00DB17F9">
      <w:r>
        <w:separator/>
      </w:r>
    </w:p>
    <w:p w:rsidR="0061626C" w:rsidRDefault="0061626C"/>
  </w:endnote>
  <w:endnote w:type="continuationSeparator" w:id="0">
    <w:p w:rsidR="0061626C" w:rsidRDefault="0061626C" w:rsidP="00DB17F9">
      <w:r>
        <w:continuationSeparator/>
      </w:r>
    </w:p>
    <w:p w:rsidR="0061626C" w:rsidRDefault="00616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6C" w:rsidRPr="00F51BD6" w:rsidRDefault="0061626C" w:rsidP="00CD07E7">
      <w:pPr>
        <w:spacing w:before="120" w:after="0"/>
      </w:pPr>
      <w:r>
        <w:separator/>
      </w:r>
    </w:p>
  </w:footnote>
  <w:footnote w:type="continuationSeparator" w:id="0">
    <w:p w:rsidR="0061626C" w:rsidRDefault="0061626C" w:rsidP="00CD07E7">
      <w:pPr>
        <w:spacing w:before="120" w:after="0"/>
      </w:pPr>
      <w:r>
        <w:continuationSeparator/>
      </w:r>
    </w:p>
  </w:footnote>
  <w:footnote w:type="continuationNotice" w:id="1">
    <w:p w:rsidR="0061626C" w:rsidRPr="00CD07E7" w:rsidRDefault="0061626C" w:rsidP="00CD07E7">
      <w:pPr>
        <w:spacing w:before="120" w:after="0"/>
      </w:pPr>
    </w:p>
  </w:footnote>
  <w:footnote w:id="2">
    <w:p w:rsidR="00B93014" w:rsidRPr="00B93014" w:rsidRDefault="00B93014">
      <w:pPr>
        <w:pStyle w:val="Funotentext"/>
      </w:pPr>
      <w:r>
        <w:rPr>
          <w:rStyle w:val="Funotenzeichen"/>
        </w:rPr>
        <w:footnoteRef/>
      </w:r>
      <w:r>
        <w:t xml:space="preserve">    </w:t>
      </w:r>
      <w:hyperlink r:id="rId1" w:history="1">
        <w:r w:rsidRPr="00F32A27">
          <w:rPr>
            <w:rStyle w:val="Hyperlink"/>
          </w:rPr>
          <w:t>DECISION (EU) 2017/899 OF THE EUROPEAN PARLIAMENT AND OF THE COUNCIL of 17 May 2017 on the use of the 470-790 MHz frequency band in the Union</w:t>
        </w:r>
      </w:hyperlink>
      <w:r w:rsidR="00CF7D38">
        <w:t>.</w:t>
      </w:r>
    </w:p>
  </w:footnote>
  <w:footnote w:id="3">
    <w:p w:rsidR="00C94911" w:rsidRPr="005259E1" w:rsidRDefault="00C94911" w:rsidP="00C94911">
      <w:pPr>
        <w:pStyle w:val="Funotentext"/>
        <w:rPr>
          <w:lang w:val="en-US"/>
        </w:rPr>
      </w:pPr>
      <w:r>
        <w:rPr>
          <w:rStyle w:val="Funotenzeichen"/>
        </w:rPr>
        <w:footnoteRef/>
      </w:r>
      <w:r>
        <w:t xml:space="preserve">   </w:t>
      </w:r>
      <w:r w:rsidR="00F32A27">
        <w:t xml:space="preserve"> </w:t>
      </w:r>
      <w:hyperlink r:id="rId2" w:history="1">
        <w:r w:rsidRPr="00F32A27">
          <w:rPr>
            <w:rStyle w:val="Hyperlink"/>
          </w:rPr>
          <w:t>Report ITU-R M.</w:t>
        </w:r>
        <w:r w:rsidR="00F32A27" w:rsidRPr="00F32A27">
          <w:rPr>
            <w:rStyle w:val="Hyperlink"/>
          </w:rPr>
          <w:t>2368</w:t>
        </w:r>
        <w:r w:rsidRPr="00F32A27">
          <w:rPr>
            <w:rStyle w:val="Hyperlink"/>
          </w:rPr>
          <w:t xml:space="preserve">: </w:t>
        </w:r>
        <w:r w:rsidR="00F32A27" w:rsidRPr="00F32A27">
          <w:rPr>
            <w:rStyle w:val="Hyperlink"/>
          </w:rPr>
          <w:t>Sharing studies between International Mobile Telecommunication-Advanced systems and geostationary satellite networks in the fixed-satellite service in the 3 400-4 200 MHz and 4 500-4 800 MHz frequency bands in the WRC study cycle leading to WRC-15</w:t>
        </w:r>
      </w:hyperlink>
      <w:r w:rsidR="00F32A27">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797DEE">
      <w:rPr>
        <w:noProof/>
      </w:rPr>
      <w:t>2</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1C130A">
      <w:rPr>
        <w:noProof/>
      </w:rPr>
      <w:t>3</w:t>
    </w:r>
    <w:r w:rsidRPr="00714F0F">
      <w:fldChar w:fldCharType="end"/>
    </w:r>
  </w:p>
  <w:p w:rsidR="00E11D7E" w:rsidRDefault="00E11D7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790" w:rsidRDefault="006D4790">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5pt;height:60pt" o:bullet="t">
        <v:imagedata r:id="rId1" o:title="Editor's Note"/>
      </v:shape>
    </w:pict>
  </w:numPicBullet>
  <w:abstractNum w:abstractNumId="0"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15:restartNumberingAfterBreak="0">
    <w:nsid w:val="3D163F7A"/>
    <w:multiLevelType w:val="multilevel"/>
    <w:tmpl w:val="C51432D8"/>
    <w:lvl w:ilvl="0">
      <w:start w:val="1"/>
      <w:numFmt w:val="decimal"/>
      <w:pStyle w:val="berschrift1"/>
      <w:lvlText w:val="%1"/>
      <w:lvlJc w:val="left"/>
      <w:pPr>
        <w:tabs>
          <w:tab w:val="num" w:pos="432"/>
        </w:tabs>
        <w:ind w:left="432" w:hanging="432"/>
      </w:pPr>
      <w:rPr>
        <w:rFonts w:ascii="Arial" w:hAnsi="Arial" w:hint="default"/>
        <w:b/>
        <w:i w:val="0"/>
        <w:color w:val="D2232A"/>
        <w:sz w:val="20"/>
        <w:szCs w:val="20"/>
      </w:rPr>
    </w:lvl>
    <w:lvl w:ilvl="1">
      <w:start w:val="1"/>
      <w:numFmt w:val="decimal"/>
      <w:pStyle w:val="berschrift2"/>
      <w:lvlText w:val="%1.%2"/>
      <w:lvlJc w:val="left"/>
      <w:pPr>
        <w:tabs>
          <w:tab w:val="num" w:pos="576"/>
        </w:tabs>
        <w:ind w:left="576" w:hanging="576"/>
      </w:pPr>
      <w:rPr>
        <w:rFonts w:ascii="Arial" w:hAnsi="Arial" w:hint="default"/>
        <w:b/>
        <w:i w:val="0"/>
        <w:sz w:val="20"/>
      </w:rPr>
    </w:lvl>
    <w:lvl w:ilvl="2">
      <w:start w:val="1"/>
      <w:numFmt w:val="decimal"/>
      <w:pStyle w:val="berschrift3"/>
      <w:lvlText w:val="%1.%2.%3"/>
      <w:lvlJc w:val="left"/>
      <w:pPr>
        <w:tabs>
          <w:tab w:val="num" w:pos="720"/>
        </w:tabs>
        <w:ind w:left="720" w:hanging="720"/>
      </w:pPr>
      <w:rPr>
        <w:rFonts w:ascii="Arial" w:hAnsi="Arial" w:hint="default"/>
        <w:b/>
        <w:i w:val="0"/>
        <w:caps w:val="0"/>
        <w:sz w:val="20"/>
        <w:szCs w:val="20"/>
      </w:rPr>
    </w:lvl>
    <w:lvl w:ilvl="3">
      <w:start w:val="1"/>
      <w:numFmt w:val="decimal"/>
      <w:pStyle w:val="berschrift4"/>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5"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NotTrackFormatting/>
  <w:documentProtection w:formatting="1" w:enforcement="1"/>
  <w:autoFormatOverride/>
  <w:styleLockQFSet/>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8BE"/>
    <w:rsid w:val="0001112E"/>
    <w:rsid w:val="00012A78"/>
    <w:rsid w:val="00012E3B"/>
    <w:rsid w:val="00041A18"/>
    <w:rsid w:val="00067793"/>
    <w:rsid w:val="00080D4D"/>
    <w:rsid w:val="00082DD7"/>
    <w:rsid w:val="00095620"/>
    <w:rsid w:val="000A3940"/>
    <w:rsid w:val="000A55C5"/>
    <w:rsid w:val="000B6D45"/>
    <w:rsid w:val="000C028F"/>
    <w:rsid w:val="000D1710"/>
    <w:rsid w:val="000D43BB"/>
    <w:rsid w:val="000E42F5"/>
    <w:rsid w:val="000F0594"/>
    <w:rsid w:val="000F0CA8"/>
    <w:rsid w:val="000F247D"/>
    <w:rsid w:val="000F24F5"/>
    <w:rsid w:val="000F2ED9"/>
    <w:rsid w:val="001006CA"/>
    <w:rsid w:val="00100F8B"/>
    <w:rsid w:val="00102172"/>
    <w:rsid w:val="00106468"/>
    <w:rsid w:val="00110652"/>
    <w:rsid w:val="001525C4"/>
    <w:rsid w:val="001526A2"/>
    <w:rsid w:val="00154F16"/>
    <w:rsid w:val="00156314"/>
    <w:rsid w:val="00172B28"/>
    <w:rsid w:val="00172CA9"/>
    <w:rsid w:val="00183FE0"/>
    <w:rsid w:val="0018553F"/>
    <w:rsid w:val="001B0583"/>
    <w:rsid w:val="001C130A"/>
    <w:rsid w:val="001C30A8"/>
    <w:rsid w:val="001C55DE"/>
    <w:rsid w:val="001E657A"/>
    <w:rsid w:val="0020079A"/>
    <w:rsid w:val="002049B9"/>
    <w:rsid w:val="002125DF"/>
    <w:rsid w:val="00215FA7"/>
    <w:rsid w:val="00222F9E"/>
    <w:rsid w:val="002302A9"/>
    <w:rsid w:val="00263FFB"/>
    <w:rsid w:val="00265837"/>
    <w:rsid w:val="00274F84"/>
    <w:rsid w:val="0027787F"/>
    <w:rsid w:val="0028060B"/>
    <w:rsid w:val="0028120C"/>
    <w:rsid w:val="00283417"/>
    <w:rsid w:val="00295827"/>
    <w:rsid w:val="00295F16"/>
    <w:rsid w:val="00296C44"/>
    <w:rsid w:val="002A033F"/>
    <w:rsid w:val="002C6DC3"/>
    <w:rsid w:val="002D1FA9"/>
    <w:rsid w:val="002D204E"/>
    <w:rsid w:val="002D50A3"/>
    <w:rsid w:val="002D6CB6"/>
    <w:rsid w:val="003007C0"/>
    <w:rsid w:val="00301517"/>
    <w:rsid w:val="00307A79"/>
    <w:rsid w:val="003204D5"/>
    <w:rsid w:val="00320ED0"/>
    <w:rsid w:val="00322E6A"/>
    <w:rsid w:val="003314A0"/>
    <w:rsid w:val="00356165"/>
    <w:rsid w:val="00362AC3"/>
    <w:rsid w:val="00381169"/>
    <w:rsid w:val="0038287C"/>
    <w:rsid w:val="0038358E"/>
    <w:rsid w:val="00387DDE"/>
    <w:rsid w:val="00391A01"/>
    <w:rsid w:val="003A0EB5"/>
    <w:rsid w:val="003A5711"/>
    <w:rsid w:val="003C64D9"/>
    <w:rsid w:val="003C7CF7"/>
    <w:rsid w:val="003D0AAE"/>
    <w:rsid w:val="003D653F"/>
    <w:rsid w:val="003E2E42"/>
    <w:rsid w:val="003E70E0"/>
    <w:rsid w:val="00403CE6"/>
    <w:rsid w:val="004110CA"/>
    <w:rsid w:val="0041160E"/>
    <w:rsid w:val="0042761F"/>
    <w:rsid w:val="004305A1"/>
    <w:rsid w:val="00431162"/>
    <w:rsid w:val="00441EE0"/>
    <w:rsid w:val="00443482"/>
    <w:rsid w:val="00450308"/>
    <w:rsid w:val="00457AD1"/>
    <w:rsid w:val="00460ECC"/>
    <w:rsid w:val="0046427F"/>
    <w:rsid w:val="00464BDD"/>
    <w:rsid w:val="004732B6"/>
    <w:rsid w:val="00475219"/>
    <w:rsid w:val="00485665"/>
    <w:rsid w:val="00491977"/>
    <w:rsid w:val="004A1329"/>
    <w:rsid w:val="004B15A2"/>
    <w:rsid w:val="004B59A7"/>
    <w:rsid w:val="004C2D29"/>
    <w:rsid w:val="004C4A2E"/>
    <w:rsid w:val="004C7E0B"/>
    <w:rsid w:val="004E057E"/>
    <w:rsid w:val="004E44C8"/>
    <w:rsid w:val="004E53BE"/>
    <w:rsid w:val="004E7F82"/>
    <w:rsid w:val="004F320A"/>
    <w:rsid w:val="004F3EA9"/>
    <w:rsid w:val="004F6875"/>
    <w:rsid w:val="00501992"/>
    <w:rsid w:val="00510C4C"/>
    <w:rsid w:val="0053062A"/>
    <w:rsid w:val="00535050"/>
    <w:rsid w:val="00536F3C"/>
    <w:rsid w:val="00540BA0"/>
    <w:rsid w:val="0054260E"/>
    <w:rsid w:val="00550D79"/>
    <w:rsid w:val="005559AC"/>
    <w:rsid w:val="00555FB3"/>
    <w:rsid w:val="00557B5A"/>
    <w:rsid w:val="005611D0"/>
    <w:rsid w:val="00564DE1"/>
    <w:rsid w:val="00566BD4"/>
    <w:rsid w:val="00576411"/>
    <w:rsid w:val="00577382"/>
    <w:rsid w:val="00577CAF"/>
    <w:rsid w:val="00580223"/>
    <w:rsid w:val="0058168C"/>
    <w:rsid w:val="00594186"/>
    <w:rsid w:val="005A05D1"/>
    <w:rsid w:val="005A53B8"/>
    <w:rsid w:val="005A6B0C"/>
    <w:rsid w:val="005B202B"/>
    <w:rsid w:val="005C02F4"/>
    <w:rsid w:val="005C10EB"/>
    <w:rsid w:val="005C2301"/>
    <w:rsid w:val="005C5A96"/>
    <w:rsid w:val="005D371D"/>
    <w:rsid w:val="005E7495"/>
    <w:rsid w:val="0061626C"/>
    <w:rsid w:val="00621C12"/>
    <w:rsid w:val="00623E18"/>
    <w:rsid w:val="00625C5D"/>
    <w:rsid w:val="00635A22"/>
    <w:rsid w:val="00636F49"/>
    <w:rsid w:val="00642083"/>
    <w:rsid w:val="0064756C"/>
    <w:rsid w:val="0065550D"/>
    <w:rsid w:val="00657767"/>
    <w:rsid w:val="00664295"/>
    <w:rsid w:val="00664B23"/>
    <w:rsid w:val="00665364"/>
    <w:rsid w:val="00667B35"/>
    <w:rsid w:val="00673A9B"/>
    <w:rsid w:val="006876A8"/>
    <w:rsid w:val="006A49E3"/>
    <w:rsid w:val="006B1EFD"/>
    <w:rsid w:val="006C14E4"/>
    <w:rsid w:val="006C6DA8"/>
    <w:rsid w:val="006C7F61"/>
    <w:rsid w:val="006D407F"/>
    <w:rsid w:val="006D4790"/>
    <w:rsid w:val="006E2B3F"/>
    <w:rsid w:val="006E2C79"/>
    <w:rsid w:val="006F0442"/>
    <w:rsid w:val="0070349C"/>
    <w:rsid w:val="00714F0F"/>
    <w:rsid w:val="007160BE"/>
    <w:rsid w:val="007200D8"/>
    <w:rsid w:val="00722F65"/>
    <w:rsid w:val="007257CD"/>
    <w:rsid w:val="00734A4F"/>
    <w:rsid w:val="007414C6"/>
    <w:rsid w:val="0076140C"/>
    <w:rsid w:val="00762BCC"/>
    <w:rsid w:val="00763BA3"/>
    <w:rsid w:val="00765B66"/>
    <w:rsid w:val="00767BB2"/>
    <w:rsid w:val="0077159C"/>
    <w:rsid w:val="00776D23"/>
    <w:rsid w:val="00780376"/>
    <w:rsid w:val="00780EE3"/>
    <w:rsid w:val="00791AAC"/>
    <w:rsid w:val="00797D4C"/>
    <w:rsid w:val="00797DEE"/>
    <w:rsid w:val="007A0A30"/>
    <w:rsid w:val="007C0ACB"/>
    <w:rsid w:val="007C0E7E"/>
    <w:rsid w:val="007C4098"/>
    <w:rsid w:val="007D17C5"/>
    <w:rsid w:val="007D41F9"/>
    <w:rsid w:val="007D52EC"/>
    <w:rsid w:val="007E7AA7"/>
    <w:rsid w:val="007F1CEE"/>
    <w:rsid w:val="0080441F"/>
    <w:rsid w:val="0081410D"/>
    <w:rsid w:val="00837537"/>
    <w:rsid w:val="00842766"/>
    <w:rsid w:val="00854A29"/>
    <w:rsid w:val="00854EBF"/>
    <w:rsid w:val="0086094D"/>
    <w:rsid w:val="00864CB4"/>
    <w:rsid w:val="00872382"/>
    <w:rsid w:val="00886906"/>
    <w:rsid w:val="008912FE"/>
    <w:rsid w:val="008A245D"/>
    <w:rsid w:val="008A54FC"/>
    <w:rsid w:val="008A5BAD"/>
    <w:rsid w:val="008B70CD"/>
    <w:rsid w:val="008C5F91"/>
    <w:rsid w:val="008D141C"/>
    <w:rsid w:val="008D2C13"/>
    <w:rsid w:val="008E6109"/>
    <w:rsid w:val="008F211B"/>
    <w:rsid w:val="008F47AB"/>
    <w:rsid w:val="00900F44"/>
    <w:rsid w:val="0090770C"/>
    <w:rsid w:val="009170EA"/>
    <w:rsid w:val="0092076F"/>
    <w:rsid w:val="00930439"/>
    <w:rsid w:val="00937AEB"/>
    <w:rsid w:val="009662E3"/>
    <w:rsid w:val="00966DD9"/>
    <w:rsid w:val="00986677"/>
    <w:rsid w:val="0099421C"/>
    <w:rsid w:val="0099615D"/>
    <w:rsid w:val="009A2F3A"/>
    <w:rsid w:val="009A7A45"/>
    <w:rsid w:val="009C3803"/>
    <w:rsid w:val="009D19CD"/>
    <w:rsid w:val="009D2C13"/>
    <w:rsid w:val="009D3BA5"/>
    <w:rsid w:val="009D4BA1"/>
    <w:rsid w:val="009D7D5A"/>
    <w:rsid w:val="009E47EB"/>
    <w:rsid w:val="009E7E94"/>
    <w:rsid w:val="009F3A37"/>
    <w:rsid w:val="009F6EA2"/>
    <w:rsid w:val="00A02090"/>
    <w:rsid w:val="00A028A9"/>
    <w:rsid w:val="00A03731"/>
    <w:rsid w:val="00A061CE"/>
    <w:rsid w:val="00A076B5"/>
    <w:rsid w:val="00A164D1"/>
    <w:rsid w:val="00A17F69"/>
    <w:rsid w:val="00A23870"/>
    <w:rsid w:val="00A274DB"/>
    <w:rsid w:val="00A41E1E"/>
    <w:rsid w:val="00A6411D"/>
    <w:rsid w:val="00A73298"/>
    <w:rsid w:val="00A751C0"/>
    <w:rsid w:val="00A83DC9"/>
    <w:rsid w:val="00A95ACB"/>
    <w:rsid w:val="00A97942"/>
    <w:rsid w:val="00AA079B"/>
    <w:rsid w:val="00AA086A"/>
    <w:rsid w:val="00AA5D6C"/>
    <w:rsid w:val="00AA6FDF"/>
    <w:rsid w:val="00AC0EA5"/>
    <w:rsid w:val="00AC2686"/>
    <w:rsid w:val="00AC2DCB"/>
    <w:rsid w:val="00AD1BE1"/>
    <w:rsid w:val="00AD7257"/>
    <w:rsid w:val="00AF2D0C"/>
    <w:rsid w:val="00AF4C0E"/>
    <w:rsid w:val="00B03EDA"/>
    <w:rsid w:val="00B14E5E"/>
    <w:rsid w:val="00B20400"/>
    <w:rsid w:val="00B25910"/>
    <w:rsid w:val="00B26973"/>
    <w:rsid w:val="00B30D3B"/>
    <w:rsid w:val="00B36FA6"/>
    <w:rsid w:val="00B37DCC"/>
    <w:rsid w:val="00B432D4"/>
    <w:rsid w:val="00B5315C"/>
    <w:rsid w:val="00B54B36"/>
    <w:rsid w:val="00B576D7"/>
    <w:rsid w:val="00B80892"/>
    <w:rsid w:val="00B82735"/>
    <w:rsid w:val="00B92306"/>
    <w:rsid w:val="00B92861"/>
    <w:rsid w:val="00B93014"/>
    <w:rsid w:val="00BA68BE"/>
    <w:rsid w:val="00BA7A69"/>
    <w:rsid w:val="00BB15E2"/>
    <w:rsid w:val="00BD28DF"/>
    <w:rsid w:val="00BD6876"/>
    <w:rsid w:val="00BE2864"/>
    <w:rsid w:val="00C00565"/>
    <w:rsid w:val="00C076BF"/>
    <w:rsid w:val="00C20DCE"/>
    <w:rsid w:val="00C212B5"/>
    <w:rsid w:val="00C25F81"/>
    <w:rsid w:val="00C27F02"/>
    <w:rsid w:val="00C44908"/>
    <w:rsid w:val="00C504F4"/>
    <w:rsid w:val="00C512DE"/>
    <w:rsid w:val="00C53689"/>
    <w:rsid w:val="00C57E85"/>
    <w:rsid w:val="00C65BB4"/>
    <w:rsid w:val="00C8071C"/>
    <w:rsid w:val="00C816CB"/>
    <w:rsid w:val="00C82461"/>
    <w:rsid w:val="00C86595"/>
    <w:rsid w:val="00C91E3B"/>
    <w:rsid w:val="00C92145"/>
    <w:rsid w:val="00C94911"/>
    <w:rsid w:val="00CA07CC"/>
    <w:rsid w:val="00CA25B5"/>
    <w:rsid w:val="00CA4FCE"/>
    <w:rsid w:val="00CA5F8F"/>
    <w:rsid w:val="00CC5A6F"/>
    <w:rsid w:val="00CD07E7"/>
    <w:rsid w:val="00CE271A"/>
    <w:rsid w:val="00CE6FF5"/>
    <w:rsid w:val="00CF5245"/>
    <w:rsid w:val="00CF7D38"/>
    <w:rsid w:val="00D06683"/>
    <w:rsid w:val="00D07B1A"/>
    <w:rsid w:val="00D1167E"/>
    <w:rsid w:val="00D234E7"/>
    <w:rsid w:val="00D30E46"/>
    <w:rsid w:val="00D3663D"/>
    <w:rsid w:val="00D36B7D"/>
    <w:rsid w:val="00D37ABE"/>
    <w:rsid w:val="00D4349F"/>
    <w:rsid w:val="00D47EF6"/>
    <w:rsid w:val="00D50AC8"/>
    <w:rsid w:val="00D60A44"/>
    <w:rsid w:val="00D642A7"/>
    <w:rsid w:val="00D7390F"/>
    <w:rsid w:val="00D74F04"/>
    <w:rsid w:val="00D90913"/>
    <w:rsid w:val="00D92BEC"/>
    <w:rsid w:val="00DA18F2"/>
    <w:rsid w:val="00DB17F9"/>
    <w:rsid w:val="00DD6973"/>
    <w:rsid w:val="00DF2C67"/>
    <w:rsid w:val="00DF3AE2"/>
    <w:rsid w:val="00DF7D21"/>
    <w:rsid w:val="00E03771"/>
    <w:rsid w:val="00E059C5"/>
    <w:rsid w:val="00E11D7E"/>
    <w:rsid w:val="00E14334"/>
    <w:rsid w:val="00E1506D"/>
    <w:rsid w:val="00E2303A"/>
    <w:rsid w:val="00E343BD"/>
    <w:rsid w:val="00E348D9"/>
    <w:rsid w:val="00E36601"/>
    <w:rsid w:val="00E46600"/>
    <w:rsid w:val="00E60351"/>
    <w:rsid w:val="00E619BF"/>
    <w:rsid w:val="00E668CE"/>
    <w:rsid w:val="00E71AE7"/>
    <w:rsid w:val="00E752E6"/>
    <w:rsid w:val="00E843D8"/>
    <w:rsid w:val="00EA2ED5"/>
    <w:rsid w:val="00EA6088"/>
    <w:rsid w:val="00EC1A2C"/>
    <w:rsid w:val="00ED2C10"/>
    <w:rsid w:val="00EF16BF"/>
    <w:rsid w:val="00F212EB"/>
    <w:rsid w:val="00F23D13"/>
    <w:rsid w:val="00F32A27"/>
    <w:rsid w:val="00F32DEC"/>
    <w:rsid w:val="00F43E24"/>
    <w:rsid w:val="00F45561"/>
    <w:rsid w:val="00F465D3"/>
    <w:rsid w:val="00F51BD6"/>
    <w:rsid w:val="00F525B5"/>
    <w:rsid w:val="00F56F06"/>
    <w:rsid w:val="00F56F62"/>
    <w:rsid w:val="00F62D48"/>
    <w:rsid w:val="00F73815"/>
    <w:rsid w:val="00F7770D"/>
    <w:rsid w:val="00F85A29"/>
    <w:rsid w:val="00F905E7"/>
    <w:rsid w:val="00F91FDD"/>
    <w:rsid w:val="00F93115"/>
    <w:rsid w:val="00FA4E32"/>
    <w:rsid w:val="00FA5792"/>
    <w:rsid w:val="00FB04BE"/>
    <w:rsid w:val="00FB200D"/>
    <w:rsid w:val="00FB3571"/>
    <w:rsid w:val="00FB4F1D"/>
    <w:rsid w:val="00FC7AA5"/>
    <w:rsid w:val="00FD36BE"/>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C2A3DB"/>
  <w15:docId w15:val="{AFE2685A-2CAC-41EE-BDF5-06C398394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Standard">
    <w:name w:val="Normal"/>
    <w:aliases w:val="ECC Base"/>
    <w:semiHidden/>
    <w:qFormat/>
    <w:rsid w:val="00714F0F"/>
    <w:rPr>
      <w:rFonts w:eastAsia="Calibri"/>
      <w:szCs w:val="22"/>
      <w:lang w:val="en-GB"/>
    </w:rPr>
  </w:style>
  <w:style w:type="paragraph" w:styleId="berschrift1">
    <w:name w:val="heading 1"/>
    <w:aliases w:val="ECC Heading 1"/>
    <w:next w:val="Standard"/>
    <w:qFormat/>
    <w:rsid w:val="00A751C0"/>
    <w:pPr>
      <w:keepNext/>
      <w:numPr>
        <w:numId w:val="6"/>
      </w:numPr>
      <w:spacing w:before="600"/>
      <w:ind w:left="431" w:hanging="431"/>
      <w:outlineLvl w:val="0"/>
    </w:pPr>
    <w:rPr>
      <w:rFonts w:cs="Arial"/>
      <w:b/>
      <w:bCs/>
      <w:caps/>
      <w:color w:val="D2232A"/>
      <w:kern w:val="32"/>
      <w:szCs w:val="32"/>
    </w:rPr>
  </w:style>
  <w:style w:type="paragraph" w:styleId="berschrift2">
    <w:name w:val="heading 2"/>
    <w:aliases w:val="ECC Heading 2"/>
    <w:next w:val="Standard"/>
    <w:qFormat/>
    <w:rsid w:val="00F51BD6"/>
    <w:pPr>
      <w:keepNext/>
      <w:numPr>
        <w:ilvl w:val="1"/>
        <w:numId w:val="6"/>
      </w:numPr>
      <w:spacing w:before="480"/>
      <w:ind w:left="578" w:hanging="578"/>
      <w:outlineLvl w:val="1"/>
    </w:pPr>
    <w:rPr>
      <w:rFonts w:cs="Arial"/>
      <w:b/>
      <w:bCs/>
      <w:iCs/>
      <w:caps/>
      <w:szCs w:val="28"/>
    </w:rPr>
  </w:style>
  <w:style w:type="paragraph" w:styleId="berschrift3">
    <w:name w:val="heading 3"/>
    <w:aliases w:val="ECC Heading 3"/>
    <w:next w:val="Standard"/>
    <w:qFormat/>
    <w:rsid w:val="00E2303A"/>
    <w:pPr>
      <w:keepNext/>
      <w:numPr>
        <w:ilvl w:val="2"/>
        <w:numId w:val="6"/>
      </w:numPr>
      <w:spacing w:before="360"/>
      <w:outlineLvl w:val="2"/>
    </w:pPr>
    <w:rPr>
      <w:rFonts w:cs="Arial"/>
      <w:b/>
      <w:bCs/>
      <w:szCs w:val="26"/>
    </w:rPr>
  </w:style>
  <w:style w:type="paragraph" w:styleId="berschrift4">
    <w:name w:val="heading 4"/>
    <w:aliases w:val="ECC Heading 4"/>
    <w:next w:val="Standard"/>
    <w:qFormat/>
    <w:rsid w:val="00F51BD6"/>
    <w:pPr>
      <w:numPr>
        <w:ilvl w:val="3"/>
        <w:numId w:val="6"/>
      </w:numPr>
      <w:spacing w:before="360"/>
      <w:ind w:left="862" w:hanging="862"/>
      <w:outlineLvl w:val="3"/>
    </w:pPr>
    <w:rPr>
      <w:rFonts w:cs="Arial"/>
      <w:bCs/>
      <w:i/>
      <w:color w:val="D2232A"/>
      <w:szCs w:val="26"/>
    </w:rPr>
  </w:style>
  <w:style w:type="paragraph" w:styleId="berschrift5">
    <w:name w:val="heading 5"/>
    <w:basedOn w:val="Standard"/>
    <w:next w:val="Standard"/>
    <w:semiHidden/>
    <w:qFormat/>
    <w:locked/>
    <w:rsid w:val="009E47EB"/>
    <w:pPr>
      <w:numPr>
        <w:ilvl w:val="4"/>
        <w:numId w:val="6"/>
      </w:numPr>
      <w:outlineLvl w:val="4"/>
    </w:pPr>
    <w:rPr>
      <w:b/>
      <w:bCs/>
      <w:i/>
      <w:iCs/>
      <w:sz w:val="26"/>
      <w:szCs w:val="26"/>
    </w:rPr>
  </w:style>
  <w:style w:type="paragraph" w:styleId="berschrift6">
    <w:name w:val="heading 6"/>
    <w:basedOn w:val="Standard"/>
    <w:next w:val="Standard"/>
    <w:semiHidden/>
    <w:qFormat/>
    <w:locked/>
    <w:rsid w:val="009E47EB"/>
    <w:pPr>
      <w:numPr>
        <w:ilvl w:val="5"/>
        <w:numId w:val="6"/>
      </w:numPr>
      <w:outlineLvl w:val="5"/>
    </w:pPr>
    <w:rPr>
      <w:b/>
      <w:bCs/>
      <w:sz w:val="22"/>
    </w:rPr>
  </w:style>
  <w:style w:type="paragraph" w:styleId="berschrift7">
    <w:name w:val="heading 7"/>
    <w:basedOn w:val="Standard"/>
    <w:next w:val="Standard"/>
    <w:semiHidden/>
    <w:qFormat/>
    <w:locked/>
    <w:rsid w:val="009E47EB"/>
    <w:pPr>
      <w:numPr>
        <w:ilvl w:val="6"/>
        <w:numId w:val="6"/>
      </w:numPr>
      <w:outlineLvl w:val="6"/>
    </w:pPr>
    <w:rPr>
      <w:sz w:val="24"/>
    </w:rPr>
  </w:style>
  <w:style w:type="paragraph" w:styleId="berschrift8">
    <w:name w:val="heading 8"/>
    <w:basedOn w:val="Standard"/>
    <w:next w:val="Standard"/>
    <w:semiHidden/>
    <w:qFormat/>
    <w:locked/>
    <w:rsid w:val="009E47EB"/>
    <w:pPr>
      <w:numPr>
        <w:ilvl w:val="7"/>
        <w:numId w:val="6"/>
      </w:numPr>
      <w:outlineLvl w:val="7"/>
    </w:pPr>
    <w:rPr>
      <w:i/>
      <w:iCs/>
      <w:sz w:val="24"/>
    </w:rPr>
  </w:style>
  <w:style w:type="paragraph" w:styleId="berschrift9">
    <w:name w:val="heading 9"/>
    <w:basedOn w:val="Standard"/>
    <w:next w:val="Standard"/>
    <w:semiHidden/>
    <w:qFormat/>
    <w:locked/>
    <w:rsid w:val="009E47EB"/>
    <w:pPr>
      <w:numPr>
        <w:ilvl w:val="8"/>
        <w:numId w:val="6"/>
      </w:numPr>
      <w:outlineLvl w:val="8"/>
    </w:pPr>
    <w:rPr>
      <w:rFonts w:cs="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BulletsLv1">
    <w:name w:val="ECC Bullets Lv1"/>
    <w:basedOn w:val="Standard"/>
    <w:rsid w:val="00714F0F"/>
    <w:pPr>
      <w:numPr>
        <w:numId w:val="2"/>
      </w:numPr>
      <w:tabs>
        <w:tab w:val="left" w:pos="340"/>
      </w:tabs>
      <w:spacing w:before="60" w:after="0" w:line="288" w:lineRule="auto"/>
      <w:ind w:left="340" w:hanging="340"/>
      <w:contextualSpacing/>
    </w:pPr>
  </w:style>
  <w:style w:type="paragraph" w:styleId="Kopfzeile">
    <w:name w:val="header"/>
    <w:basedOn w:val="Standard"/>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Standard"/>
    <w:rsid w:val="00E2303A"/>
    <w:pPr>
      <w:keepNext/>
      <w:pageBreakBefore/>
      <w:numPr>
        <w:numId w:val="1"/>
      </w:numPr>
    </w:pPr>
    <w:rPr>
      <w:b/>
      <w:caps/>
      <w:color w:val="D2232A"/>
    </w:rPr>
  </w:style>
  <w:style w:type="paragraph" w:styleId="Verzeichnis1">
    <w:name w:val="toc 1"/>
    <w:aliases w:val="ECC Index 1"/>
    <w:basedOn w:val="Standard"/>
    <w:link w:val="Verzeichnis1Zchn"/>
    <w:uiPriority w:val="39"/>
    <w:semiHidden/>
    <w:qFormat/>
    <w:rsid w:val="0038287C"/>
    <w:pPr>
      <w:tabs>
        <w:tab w:val="left" w:pos="425"/>
        <w:tab w:val="right" w:leader="dot" w:pos="9639"/>
      </w:tabs>
      <w:spacing w:after="0"/>
      <w:ind w:left="425" w:hanging="425"/>
    </w:pPr>
    <w:rPr>
      <w:b/>
      <w:noProof/>
      <w:szCs w:val="20"/>
      <w:lang w:val="da-DK"/>
    </w:rPr>
  </w:style>
  <w:style w:type="paragraph" w:styleId="Funotentext">
    <w:name w:val="footnote text"/>
    <w:aliases w:val="ECC Footnote"/>
    <w:basedOn w:val="Standard"/>
    <w:link w:val="FunotentextZchn"/>
    <w:rsid w:val="001526A2"/>
    <w:pPr>
      <w:widowControl w:val="0"/>
      <w:tabs>
        <w:tab w:val="left" w:pos="284"/>
      </w:tabs>
      <w:spacing w:after="0"/>
      <w:ind w:left="284" w:hanging="284"/>
    </w:pPr>
    <w:rPr>
      <w:sz w:val="16"/>
      <w:szCs w:val="16"/>
      <w:lang w:val="da-DK"/>
      <w14:cntxtAlts/>
    </w:rPr>
  </w:style>
  <w:style w:type="paragraph" w:styleId="Verzeichnis2">
    <w:name w:val="toc 2"/>
    <w:aliases w:val="ECC Index 2"/>
    <w:basedOn w:val="Standard"/>
    <w:uiPriority w:val="39"/>
    <w:semiHidden/>
    <w:qFormat/>
    <w:rsid w:val="0038287C"/>
    <w:pPr>
      <w:tabs>
        <w:tab w:val="left" w:pos="993"/>
        <w:tab w:val="right" w:leader="dot" w:pos="9639"/>
      </w:tabs>
      <w:spacing w:before="0" w:after="0"/>
      <w:ind w:left="992" w:hanging="567"/>
    </w:pPr>
    <w:rPr>
      <w:noProof/>
      <w:szCs w:val="20"/>
      <w:lang w:val="da-DK"/>
    </w:rPr>
  </w:style>
  <w:style w:type="paragraph" w:styleId="Verzeichnis3">
    <w:name w:val="toc 3"/>
    <w:aliases w:val="ECC Index 3"/>
    <w:basedOn w:val="Standard"/>
    <w:uiPriority w:val="39"/>
    <w:semiHidden/>
    <w:qFormat/>
    <w:rsid w:val="0038287C"/>
    <w:pPr>
      <w:tabs>
        <w:tab w:val="left" w:pos="1701"/>
        <w:tab w:val="right" w:leader="dot" w:pos="9639"/>
      </w:tabs>
      <w:spacing w:before="0" w:after="0"/>
      <w:ind w:left="1701" w:hanging="709"/>
    </w:pPr>
    <w:rPr>
      <w:noProof/>
      <w:szCs w:val="20"/>
      <w:lang w:val="da-DK"/>
    </w:rPr>
  </w:style>
  <w:style w:type="paragraph" w:styleId="Verzeichnis4">
    <w:name w:val="toc 4"/>
    <w:aliases w:val="ECC Index 4"/>
    <w:basedOn w:val="Standard"/>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Absatz-Standardschriftart"/>
    <w:uiPriority w:val="1"/>
    <w:qFormat/>
    <w:rsid w:val="0038287C"/>
    <w:rPr>
      <w:bdr w:val="none" w:sz="0" w:space="0" w:color="auto"/>
      <w:shd w:val="solid" w:color="92D050" w:fill="auto"/>
      <w:lang w:val="en-GB"/>
    </w:rPr>
  </w:style>
  <w:style w:type="character" w:customStyle="1" w:styleId="FunotentextZchn">
    <w:name w:val="Fußnotentext Zchn"/>
    <w:aliases w:val="ECC Footnote Zchn"/>
    <w:basedOn w:val="Absatz-Standardschriftart"/>
    <w:link w:val="Funotentext"/>
    <w:rsid w:val="001526A2"/>
    <w:rPr>
      <w:rFonts w:eastAsia="Calibri"/>
      <w:sz w:val="16"/>
      <w:szCs w:val="16"/>
      <w14:cntxtAlts/>
    </w:rPr>
  </w:style>
  <w:style w:type="character" w:styleId="Funotenzeichen">
    <w:name w:val="footnote reference"/>
    <w:aliases w:val="ECC Footnote number"/>
    <w:basedOn w:val="Absatz-Standardschriftart"/>
    <w:rsid w:val="00DB17F9"/>
    <w:rPr>
      <w:rFonts w:ascii="Arial" w:hAnsi="Arial"/>
      <w:sz w:val="20"/>
      <w:vertAlign w:val="superscript"/>
    </w:rPr>
  </w:style>
  <w:style w:type="paragraph" w:styleId="Beschriftung">
    <w:name w:val="caption"/>
    <w:aliases w:val="ECC Caption"/>
    <w:next w:val="Standard"/>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Standard"/>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Standard"/>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Standard"/>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Standard"/>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Standard"/>
    <w:rsid w:val="00714F0F"/>
    <w:pPr>
      <w:numPr>
        <w:numId w:val="4"/>
      </w:numPr>
      <w:spacing w:after="0"/>
    </w:pPr>
    <w:rPr>
      <w:szCs w:val="20"/>
    </w:rPr>
  </w:style>
  <w:style w:type="paragraph" w:customStyle="1" w:styleId="ECCReference">
    <w:name w:val="ECC Reference"/>
    <w:basedOn w:val="Standard"/>
    <w:rsid w:val="0038287C"/>
    <w:pPr>
      <w:numPr>
        <w:numId w:val="5"/>
      </w:numPr>
      <w:spacing w:before="0" w:after="0"/>
    </w:pPr>
    <w:rPr>
      <w:lang w:eastAsia="ja-JP"/>
    </w:rPr>
  </w:style>
  <w:style w:type="paragraph" w:styleId="Sprechblasentext">
    <w:name w:val="Balloon Text"/>
    <w:basedOn w:val="Standard"/>
    <w:link w:val="SprechblasentextZchn"/>
    <w:uiPriority w:val="99"/>
    <w:semiHidden/>
    <w:unhideWhenUsed/>
    <w:lock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paragraph" w:customStyle="1" w:styleId="ECCEditorsNote">
    <w:name w:val="ECC Editor's Note"/>
    <w:next w:val="Standard"/>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Standard"/>
    <w:rsid w:val="00283417"/>
    <w:pPr>
      <w:spacing w:after="240"/>
      <w:jc w:val="center"/>
    </w:pPr>
    <w:rPr>
      <w:noProof/>
      <w:lang w:val="de-DE" w:eastAsia="de-DE"/>
      <w14:cntxtAlts/>
    </w:rPr>
  </w:style>
  <w:style w:type="paragraph" w:customStyle="1" w:styleId="ECCLetterHead">
    <w:name w:val="ECC Letter Head"/>
    <w:basedOn w:val="Standard"/>
    <w:link w:val="ECCLetterHeadZchn"/>
    <w:qFormat/>
    <w:rsid w:val="0038287C"/>
    <w:pPr>
      <w:tabs>
        <w:tab w:val="right" w:pos="4750"/>
      </w:tabs>
      <w:spacing w:before="120"/>
    </w:pPr>
    <w:rPr>
      <w:b/>
      <w:sz w:val="22"/>
      <w:szCs w:val="20"/>
    </w:rPr>
  </w:style>
  <w:style w:type="character" w:customStyle="1" w:styleId="ECCHLyellow">
    <w:name w:val="ECC HL yellow"/>
    <w:basedOn w:val="Absatz-Standardschriftar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Standard"/>
    <w:qFormat/>
    <w:rsid w:val="00714F0F"/>
    <w:pPr>
      <w:spacing w:before="60"/>
    </w:pPr>
  </w:style>
  <w:style w:type="paragraph" w:styleId="Unterschrift">
    <w:name w:val="Signature"/>
    <w:basedOn w:val="Standard"/>
    <w:link w:val="UnterschriftZchn"/>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UnterschriftZchn">
    <w:name w:val="Unterschrift Zchn"/>
    <w:basedOn w:val="Absatz-Standardschriftart"/>
    <w:link w:val="Unterschrift"/>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Fett"/>
    <w:uiPriority w:val="1"/>
    <w:qFormat/>
    <w:rsid w:val="0038287C"/>
    <w:rPr>
      <w:b/>
      <w:bCs/>
    </w:rPr>
  </w:style>
  <w:style w:type="character" w:styleId="Hervorhebung">
    <w:name w:val="Emphasis"/>
    <w:aliases w:val="ECC HL italics"/>
    <w:basedOn w:val="Absatz-Standardschriftart"/>
    <w:uiPriority w:val="1"/>
    <w:qFormat/>
    <w:rsid w:val="00DB17F9"/>
    <w:rPr>
      <w:i/>
    </w:rPr>
  </w:style>
  <w:style w:type="character" w:customStyle="1" w:styleId="Verzeichnis1Zchn">
    <w:name w:val="Verzeichnis 1 Zchn"/>
    <w:aliases w:val="ECC Index 1 Zchn"/>
    <w:basedOn w:val="Absatz-Standardschriftart"/>
    <w:link w:val="Verzeichnis1"/>
    <w:uiPriority w:val="39"/>
    <w:semiHidden/>
    <w:rsid w:val="00D3663D"/>
    <w:rPr>
      <w:rFonts w:eastAsia="Calibri"/>
      <w:b/>
      <w:noProof/>
    </w:rPr>
  </w:style>
  <w:style w:type="paragraph" w:styleId="Inhaltsverzeichnisberschrift">
    <w:name w:val="TOC Heading"/>
    <w:basedOn w:val="berschrift1"/>
    <w:next w:val="Standard"/>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Absatz-Standardschriftart"/>
    <w:uiPriority w:val="1"/>
    <w:qFormat/>
    <w:rsid w:val="0038287C"/>
    <w:rPr>
      <w:iCs w:val="0"/>
      <w:bdr w:val="none" w:sz="0" w:space="0" w:color="auto"/>
      <w:shd w:val="solid" w:color="00FFFF" w:fill="auto"/>
      <w:lang w:val="en-GB"/>
    </w:rPr>
  </w:style>
  <w:style w:type="character" w:customStyle="1" w:styleId="ECCHLorange">
    <w:name w:val="ECC HL orange"/>
    <w:basedOn w:val="Absatz-Standardschriftart"/>
    <w:uiPriority w:val="1"/>
    <w:qFormat/>
    <w:rsid w:val="0038287C"/>
    <w:rPr>
      <w:bdr w:val="none" w:sz="0" w:space="0" w:color="auto"/>
      <w:shd w:val="solid" w:color="FFC000" w:fill="auto"/>
    </w:rPr>
  </w:style>
  <w:style w:type="character" w:customStyle="1" w:styleId="ECCHLblue">
    <w:name w:val="ECC HL blue"/>
    <w:basedOn w:val="Absatz-Standardschriftar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Absatz-Standardschriftart"/>
    <w:uiPriority w:val="1"/>
    <w:qFormat/>
    <w:rsid w:val="0038287C"/>
    <w:rPr>
      <w:iCs w:val="0"/>
      <w:color w:val="FFFFFF" w:themeColor="background1"/>
      <w:bdr w:val="none" w:sz="0" w:space="0" w:color="auto"/>
      <w:shd w:val="solid" w:color="008080" w:fill="auto"/>
    </w:rPr>
  </w:style>
  <w:style w:type="paragraph" w:styleId="Listenabsatz">
    <w:name w:val="List Paragraph"/>
    <w:basedOn w:val="Standard"/>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Absatz-Standardschriftart"/>
    <w:link w:val="ECCLetterHead"/>
    <w:rsid w:val="00263FFB"/>
    <w:rPr>
      <w:rFonts w:eastAsia="Calibri"/>
      <w:b/>
      <w:sz w:val="22"/>
      <w:lang w:val="en-GB"/>
    </w:rPr>
  </w:style>
  <w:style w:type="character" w:customStyle="1" w:styleId="ECCHLmagenta">
    <w:name w:val="ECC HL magenta"/>
    <w:basedOn w:val="Absatz-Standardschriftart"/>
    <w:uiPriority w:val="1"/>
    <w:qFormat/>
    <w:rsid w:val="0038287C"/>
    <w:rPr>
      <w:color w:val="auto"/>
      <w:bdr w:val="none" w:sz="0" w:space="0" w:color="auto"/>
      <w:shd w:val="solid" w:color="FF3399" w:fill="auto"/>
      <w:lang w:val="en-GB"/>
    </w:rPr>
  </w:style>
  <w:style w:type="character" w:customStyle="1" w:styleId="ECCHLbrown">
    <w:name w:val="ECC HL brown"/>
    <w:basedOn w:val="Absatz-Standardschriftar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Absatz-Standardschriftart"/>
    <w:uiPriority w:val="99"/>
    <w:rsid w:val="00DB17F9"/>
    <w:rPr>
      <w:color w:val="0000FF" w:themeColor="hyperlink"/>
      <w:u w:val="single"/>
    </w:rPr>
  </w:style>
  <w:style w:type="paragraph" w:customStyle="1" w:styleId="ECCHeadingnonumbering">
    <w:name w:val="ECC Heading no numbering"/>
    <w:basedOn w:val="berschrift1"/>
    <w:rsid w:val="00DB17F9"/>
    <w:pPr>
      <w:numPr>
        <w:numId w:val="0"/>
      </w:numPr>
      <w:tabs>
        <w:tab w:val="left" w:pos="0"/>
        <w:tab w:val="center" w:pos="4820"/>
        <w:tab w:val="right" w:pos="9639"/>
      </w:tabs>
    </w:pPr>
  </w:style>
  <w:style w:type="character" w:customStyle="1" w:styleId="ECCParagraph">
    <w:name w:val="ECC Paragraph"/>
    <w:basedOn w:val="Absatz-Standardschriftar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FarbigesRaster">
    <w:name w:val="Colorful Grid"/>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elleEinfach1">
    <w:name w:val="Table Simple 1"/>
    <w:basedOn w:val="NormaleTabelle"/>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FarbigesRaster-Akzent6">
    <w:name w:val="Colorful Grid Accent 6"/>
    <w:basedOn w:val="NormaleTabelle"/>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ellenraster">
    <w:name w:val="Table Grid"/>
    <w:basedOn w:val="NormaleTabelle"/>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Absatz-Standardschriftart"/>
    <w:link w:val="ECCBreak"/>
    <w:rsid w:val="0042761F"/>
    <w:rPr>
      <w:b/>
      <w:bCs/>
      <w:iCs/>
      <w:caps/>
      <w:szCs w:val="28"/>
    </w:rPr>
  </w:style>
  <w:style w:type="character" w:styleId="Kommentarzeichen">
    <w:name w:val="annotation reference"/>
    <w:basedOn w:val="Absatz-Standardschriftart"/>
    <w:uiPriority w:val="99"/>
    <w:semiHidden/>
    <w:unhideWhenUsed/>
    <w:locked/>
    <w:rsid w:val="003D0AAE"/>
    <w:rPr>
      <w:sz w:val="16"/>
      <w:szCs w:val="16"/>
    </w:rPr>
  </w:style>
  <w:style w:type="paragraph" w:styleId="Kommentartext">
    <w:name w:val="annotation text"/>
    <w:basedOn w:val="Standard"/>
    <w:link w:val="KommentartextZchn"/>
    <w:uiPriority w:val="99"/>
    <w:semiHidden/>
    <w:unhideWhenUsed/>
    <w:locked/>
    <w:rsid w:val="003D0AAE"/>
    <w:rPr>
      <w:szCs w:val="20"/>
    </w:rPr>
  </w:style>
  <w:style w:type="character" w:customStyle="1" w:styleId="KommentartextZchn">
    <w:name w:val="Kommentartext Zchn"/>
    <w:basedOn w:val="Absatz-Standardschriftart"/>
    <w:link w:val="Kommentartext"/>
    <w:uiPriority w:val="99"/>
    <w:semiHidden/>
    <w:rsid w:val="003D0AAE"/>
    <w:rPr>
      <w:rFonts w:eastAsia="Calibri"/>
      <w:lang w:val="en-GB"/>
    </w:rPr>
  </w:style>
  <w:style w:type="paragraph" w:styleId="Kommentarthema">
    <w:name w:val="annotation subject"/>
    <w:basedOn w:val="Kommentartext"/>
    <w:next w:val="Kommentartext"/>
    <w:link w:val="KommentarthemaZchn"/>
    <w:uiPriority w:val="99"/>
    <w:semiHidden/>
    <w:unhideWhenUsed/>
    <w:locked/>
    <w:rsid w:val="003D0AAE"/>
    <w:rPr>
      <w:b/>
      <w:bCs/>
    </w:rPr>
  </w:style>
  <w:style w:type="character" w:customStyle="1" w:styleId="KommentarthemaZchn">
    <w:name w:val="Kommentarthema Zchn"/>
    <w:basedOn w:val="KommentartextZchn"/>
    <w:link w:val="Kommentarthema"/>
    <w:uiPriority w:val="99"/>
    <w:semiHidden/>
    <w:rsid w:val="003D0AAE"/>
    <w:rPr>
      <w:rFonts w:eastAsia="Calibri"/>
      <w:b/>
      <w:bCs/>
      <w:lang w:val="en-GB"/>
    </w:rPr>
  </w:style>
  <w:style w:type="paragraph" w:styleId="berarbeitung">
    <w:name w:val="Revision"/>
    <w:hidden/>
    <w:uiPriority w:val="99"/>
    <w:semiHidden/>
    <w:rsid w:val="003D0AAE"/>
    <w:pPr>
      <w:spacing w:before="0" w:after="0"/>
      <w:jc w:val="left"/>
    </w:pPr>
    <w:rPr>
      <w:rFonts w:eastAsia="Calibri"/>
      <w:szCs w:val="22"/>
      <w:lang w:val="en-GB"/>
    </w:rPr>
  </w:style>
  <w:style w:type="character" w:customStyle="1" w:styleId="UnresolvedMention1">
    <w:name w:val="Unresolved Mention1"/>
    <w:basedOn w:val="Absatz-Standardschriftart"/>
    <w:uiPriority w:val="99"/>
    <w:semiHidden/>
    <w:unhideWhenUsed/>
    <w:rsid w:val="00F32A27"/>
    <w:rPr>
      <w:color w:val="605E5C"/>
      <w:shd w:val="clear" w:color="auto" w:fill="E1DFDD"/>
    </w:rPr>
  </w:style>
  <w:style w:type="character" w:customStyle="1" w:styleId="UnresolvedMention2">
    <w:name w:val="Unresolved Mention2"/>
    <w:basedOn w:val="Absatz-Standardschriftart"/>
    <w:uiPriority w:val="99"/>
    <w:semiHidden/>
    <w:unhideWhenUsed/>
    <w:rsid w:val="00EF16BF"/>
    <w:rPr>
      <w:color w:val="605E5C"/>
      <w:shd w:val="clear" w:color="auto" w:fill="E1DFDD"/>
    </w:rPr>
  </w:style>
  <w:style w:type="paragraph" w:styleId="Fuzeile">
    <w:name w:val="footer"/>
    <w:basedOn w:val="Standard"/>
    <w:link w:val="FuzeileZchn"/>
    <w:uiPriority w:val="99"/>
    <w:semiHidden/>
    <w:unhideWhenUsed/>
    <w:locked/>
    <w:rsid w:val="006D4790"/>
    <w:pPr>
      <w:tabs>
        <w:tab w:val="center" w:pos="4536"/>
        <w:tab w:val="right" w:pos="9072"/>
      </w:tabs>
      <w:spacing w:before="0" w:after="0"/>
    </w:pPr>
  </w:style>
  <w:style w:type="character" w:customStyle="1" w:styleId="FuzeileZchn">
    <w:name w:val="Fußzeile Zchn"/>
    <w:basedOn w:val="Absatz-Standardschriftart"/>
    <w:link w:val="Fuzeile"/>
    <w:uiPriority w:val="99"/>
    <w:semiHidden/>
    <w:rsid w:val="006D4790"/>
    <w:rPr>
      <w:rFonts w:eastAsia="Calibri"/>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www.itu.int/pub/R-REP-S.2368-2015" TargetMode="External"/><Relationship Id="rId1" Type="http://schemas.openxmlformats.org/officeDocument/2006/relationships/hyperlink" Target="https://workspace.ebu.ch/display/smrbnp/Licensing+the+700+MHz+for+LTE?preview=/98825168/108838557/smr436rev2.EU_decision_UHF_PE_5_2017_INIT_EN.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7AAA2-6D27-43DC-8C54-3DCF557F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6017</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stella.lyubchenko@eco.cept.org</Manager>
  <Company>ECO</Company>
  <LinksUpToDate>false</LinksUpToDate>
  <CharactersWithSpaces>6958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CPG</dc:creator>
  <dc:description>This template is used as guidance to draft generic contributions to CEPT</dc:description>
  <cp:lastModifiedBy>Germany</cp:lastModifiedBy>
  <cp:revision>3</cp:revision>
  <cp:lastPrinted>1901-01-01T00:00:00Z</cp:lastPrinted>
  <dcterms:created xsi:type="dcterms:W3CDTF">2019-08-19T09:29:00Z</dcterms:created>
  <dcterms:modified xsi:type="dcterms:W3CDTF">2019-08-19T09:30:00Z</dcterms:modified>
  <cp:category>protected templates</cp:category>
  <cp:contentStatus>Revision 19.10.2014</cp:contentStatus>
</cp:coreProperties>
</file>