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D416" w14:textId="31061CE7" w:rsidR="005E2805" w:rsidRDefault="005E2805" w:rsidP="005E2805"/>
    <w:tbl>
      <w:tblPr>
        <w:tblW w:w="9781" w:type="dxa"/>
        <w:tblInd w:w="-72" w:type="dxa"/>
        <w:tblLayout w:type="fixed"/>
        <w:tblLook w:val="0000" w:firstRow="0" w:lastRow="0" w:firstColumn="0" w:lastColumn="0" w:noHBand="0" w:noVBand="0"/>
      </w:tblPr>
      <w:tblGrid>
        <w:gridCol w:w="1694"/>
        <w:gridCol w:w="3091"/>
        <w:gridCol w:w="1736"/>
        <w:gridCol w:w="3222"/>
        <w:gridCol w:w="38"/>
      </w:tblGrid>
      <w:tr w:rsidR="005E2805" w:rsidRPr="00235592" w14:paraId="1AE738CB" w14:textId="77777777" w:rsidTr="0014328C">
        <w:trPr>
          <w:gridAfter w:val="1"/>
          <w:wAfter w:w="38" w:type="dxa"/>
          <w:cantSplit/>
          <w:trHeight w:val="405"/>
        </w:trPr>
        <w:tc>
          <w:tcPr>
            <w:tcW w:w="4785" w:type="dxa"/>
            <w:gridSpan w:val="2"/>
            <w:tcBorders>
              <w:top w:val="nil"/>
              <w:left w:val="nil"/>
              <w:bottom w:val="nil"/>
              <w:right w:val="nil"/>
            </w:tcBorders>
            <w:shd w:val="clear" w:color="auto" w:fill="auto"/>
            <w:vAlign w:val="center"/>
          </w:tcPr>
          <w:p w14:paraId="4EE69B3F" w14:textId="77777777" w:rsidR="005E2805" w:rsidRPr="00235592" w:rsidRDefault="005E2805" w:rsidP="00734A68">
            <w:pPr>
              <w:pStyle w:val="ECCLetterHead"/>
            </w:pPr>
          </w:p>
        </w:tc>
        <w:tc>
          <w:tcPr>
            <w:tcW w:w="4958" w:type="dxa"/>
            <w:gridSpan w:val="2"/>
            <w:tcBorders>
              <w:top w:val="nil"/>
              <w:left w:val="nil"/>
              <w:bottom w:val="nil"/>
              <w:right w:val="nil"/>
            </w:tcBorders>
            <w:vAlign w:val="center"/>
          </w:tcPr>
          <w:p w14:paraId="7FDEA184" w14:textId="52F292B0" w:rsidR="005E2805" w:rsidRPr="00235592" w:rsidRDefault="005E2805" w:rsidP="00734A68">
            <w:pPr>
              <w:pStyle w:val="ECCLetterHead"/>
            </w:pPr>
            <w:r>
              <w:t xml:space="preserve">                                  </w:t>
            </w:r>
            <w:r w:rsidR="00255EFF">
              <w:t>CPG</w:t>
            </w:r>
            <w:r>
              <w:t>(24)</w:t>
            </w:r>
            <w:r w:rsidR="00F77419" w:rsidRPr="00F77419">
              <w:t>0</w:t>
            </w:r>
            <w:r w:rsidR="001E2854">
              <w:t>24</w:t>
            </w:r>
            <w:r w:rsidR="00F77419" w:rsidRPr="00F77419">
              <w:t xml:space="preserve"> ANNEX IV-</w:t>
            </w:r>
            <w:r w:rsidR="00F9728D">
              <w:t>0</w:t>
            </w:r>
            <w:r w:rsidR="00F77419" w:rsidRPr="00F77419">
              <w:t>1</w:t>
            </w:r>
          </w:p>
        </w:tc>
      </w:tr>
      <w:tr w:rsidR="005E2805" w:rsidRPr="00235592" w14:paraId="2379318F" w14:textId="77777777" w:rsidTr="0014328C">
        <w:trPr>
          <w:gridAfter w:val="1"/>
          <w:wAfter w:w="38" w:type="dxa"/>
          <w:cantSplit/>
          <w:trHeight w:val="405"/>
        </w:trPr>
        <w:tc>
          <w:tcPr>
            <w:tcW w:w="4785" w:type="dxa"/>
            <w:gridSpan w:val="2"/>
            <w:tcBorders>
              <w:top w:val="nil"/>
              <w:left w:val="nil"/>
              <w:bottom w:val="nil"/>
              <w:right w:val="nil"/>
            </w:tcBorders>
            <w:shd w:val="clear" w:color="auto" w:fill="auto"/>
            <w:vAlign w:val="center"/>
          </w:tcPr>
          <w:p w14:paraId="43642726" w14:textId="77777777" w:rsidR="005E2805" w:rsidRPr="00235592" w:rsidRDefault="005E2805" w:rsidP="00734A68">
            <w:pPr>
              <w:pStyle w:val="ECCLetterHead"/>
            </w:pPr>
          </w:p>
        </w:tc>
        <w:tc>
          <w:tcPr>
            <w:tcW w:w="4958" w:type="dxa"/>
            <w:gridSpan w:val="2"/>
            <w:tcBorders>
              <w:top w:val="nil"/>
              <w:left w:val="nil"/>
              <w:bottom w:val="nil"/>
              <w:right w:val="nil"/>
            </w:tcBorders>
            <w:vAlign w:val="center"/>
          </w:tcPr>
          <w:p w14:paraId="743EACD4" w14:textId="77777777" w:rsidR="005E2805" w:rsidRPr="00235592" w:rsidRDefault="005E2805" w:rsidP="00734A68">
            <w:pPr>
              <w:pStyle w:val="ECCLetterHead"/>
            </w:pPr>
          </w:p>
        </w:tc>
      </w:tr>
      <w:tr w:rsidR="00734A68" w:rsidRPr="00235592" w14:paraId="6D0FF702" w14:textId="77777777" w:rsidTr="0014328C">
        <w:trPr>
          <w:gridAfter w:val="1"/>
          <w:wAfter w:w="38" w:type="dxa"/>
          <w:cantSplit/>
          <w:trHeight w:val="405"/>
        </w:trPr>
        <w:tc>
          <w:tcPr>
            <w:tcW w:w="4785" w:type="dxa"/>
            <w:gridSpan w:val="2"/>
            <w:tcBorders>
              <w:top w:val="nil"/>
              <w:left w:val="nil"/>
              <w:bottom w:val="nil"/>
              <w:right w:val="nil"/>
            </w:tcBorders>
            <w:shd w:val="clear" w:color="auto" w:fill="auto"/>
            <w:vAlign w:val="center"/>
          </w:tcPr>
          <w:p w14:paraId="136CFB1C" w14:textId="60903A1A" w:rsidR="005E2805" w:rsidRPr="005E2805" w:rsidRDefault="00734A68" w:rsidP="00734A68">
            <w:pPr>
              <w:pStyle w:val="ECCLetterHead"/>
              <w:rPr>
                <w:rStyle w:val="ECCHLyellow"/>
                <w:szCs w:val="20"/>
                <w:shd w:val="clear" w:color="auto" w:fill="auto"/>
              </w:rPr>
            </w:pPr>
            <w:bookmarkStart w:id="0" w:name="_Hlk170262927"/>
            <w:r w:rsidRPr="00235592">
              <w:t>CPG</w:t>
            </w:r>
            <w:r w:rsidRPr="00734A68">
              <w:t>27</w:t>
            </w:r>
            <w:r w:rsidR="00255EFF">
              <w:t>-2</w:t>
            </w:r>
          </w:p>
        </w:tc>
        <w:tc>
          <w:tcPr>
            <w:tcW w:w="4958" w:type="dxa"/>
            <w:gridSpan w:val="2"/>
            <w:tcBorders>
              <w:top w:val="nil"/>
              <w:left w:val="nil"/>
              <w:bottom w:val="nil"/>
              <w:right w:val="nil"/>
            </w:tcBorders>
            <w:vAlign w:val="center"/>
          </w:tcPr>
          <w:p w14:paraId="56EA140C" w14:textId="77777777" w:rsidR="00734A68" w:rsidRPr="00235592" w:rsidRDefault="00734A68" w:rsidP="00734A68">
            <w:pPr>
              <w:pStyle w:val="ECCLetterHead"/>
            </w:pPr>
          </w:p>
        </w:tc>
      </w:tr>
      <w:tr w:rsidR="00734A68" w:rsidRPr="00235592" w14:paraId="067A1925" w14:textId="77777777" w:rsidTr="0014328C">
        <w:tblPrEx>
          <w:tblCellMar>
            <w:left w:w="70" w:type="dxa"/>
            <w:right w:w="70" w:type="dxa"/>
          </w:tblCellMar>
        </w:tblPrEx>
        <w:trPr>
          <w:gridAfter w:val="1"/>
          <w:wAfter w:w="38" w:type="dxa"/>
          <w:cantSplit/>
          <w:trHeight w:val="405"/>
        </w:trPr>
        <w:tc>
          <w:tcPr>
            <w:tcW w:w="6521" w:type="dxa"/>
            <w:gridSpan w:val="3"/>
            <w:tcBorders>
              <w:top w:val="nil"/>
              <w:left w:val="nil"/>
              <w:bottom w:val="nil"/>
              <w:right w:val="nil"/>
            </w:tcBorders>
            <w:vAlign w:val="center"/>
          </w:tcPr>
          <w:p w14:paraId="18840216" w14:textId="79998C51" w:rsidR="00734A68" w:rsidRPr="00734A68" w:rsidRDefault="00255EFF" w:rsidP="00734A68">
            <w:pPr>
              <w:pStyle w:val="ECCLetterHead"/>
            </w:pPr>
            <w:r w:rsidRPr="00255EFF">
              <w:t>Prague, Czech Republic, 10 – 13 December 2024</w:t>
            </w:r>
          </w:p>
        </w:tc>
        <w:tc>
          <w:tcPr>
            <w:tcW w:w="3222" w:type="dxa"/>
            <w:tcBorders>
              <w:top w:val="nil"/>
              <w:left w:val="nil"/>
              <w:bottom w:val="nil"/>
              <w:right w:val="nil"/>
            </w:tcBorders>
            <w:vAlign w:val="center"/>
          </w:tcPr>
          <w:p w14:paraId="1B50D14C" w14:textId="77777777" w:rsidR="00734A68" w:rsidRPr="00235592" w:rsidRDefault="00734A68" w:rsidP="00734A68">
            <w:pPr>
              <w:pStyle w:val="ECCTabletext"/>
            </w:pPr>
          </w:p>
        </w:tc>
      </w:tr>
      <w:tr w:rsidR="00734A68" w:rsidRPr="00235592" w14:paraId="4EA68902" w14:textId="77777777" w:rsidTr="0014328C">
        <w:trPr>
          <w:gridAfter w:val="1"/>
          <w:wAfter w:w="38" w:type="dxa"/>
          <w:cantSplit/>
          <w:trHeight w:hRule="exact" w:val="79"/>
        </w:trPr>
        <w:tc>
          <w:tcPr>
            <w:tcW w:w="4785" w:type="dxa"/>
            <w:gridSpan w:val="2"/>
            <w:tcBorders>
              <w:top w:val="nil"/>
              <w:left w:val="nil"/>
              <w:bottom w:val="nil"/>
              <w:right w:val="nil"/>
            </w:tcBorders>
            <w:vAlign w:val="center"/>
          </w:tcPr>
          <w:p w14:paraId="15234D54" w14:textId="77777777" w:rsidR="00734A68" w:rsidRPr="00235592" w:rsidRDefault="00734A68" w:rsidP="00734A68">
            <w:pPr>
              <w:pStyle w:val="ECCLetterHead"/>
            </w:pPr>
          </w:p>
        </w:tc>
        <w:tc>
          <w:tcPr>
            <w:tcW w:w="4958" w:type="dxa"/>
            <w:gridSpan w:val="2"/>
            <w:tcBorders>
              <w:top w:val="nil"/>
              <w:left w:val="nil"/>
              <w:bottom w:val="nil"/>
              <w:right w:val="nil"/>
            </w:tcBorders>
            <w:vAlign w:val="center"/>
          </w:tcPr>
          <w:p w14:paraId="065A3B6D" w14:textId="77777777" w:rsidR="00734A68" w:rsidRPr="00235592" w:rsidRDefault="00734A68" w:rsidP="00734A68">
            <w:pPr>
              <w:pStyle w:val="ECCLetterHead"/>
            </w:pPr>
          </w:p>
        </w:tc>
      </w:tr>
      <w:tr w:rsidR="00734A68" w:rsidRPr="00235592" w14:paraId="324439CC" w14:textId="77777777" w:rsidTr="0014328C">
        <w:trPr>
          <w:gridAfter w:val="1"/>
          <w:wAfter w:w="38" w:type="dxa"/>
          <w:cantSplit/>
          <w:trHeight w:val="405"/>
        </w:trPr>
        <w:tc>
          <w:tcPr>
            <w:tcW w:w="1694" w:type="dxa"/>
            <w:tcBorders>
              <w:top w:val="nil"/>
              <w:left w:val="nil"/>
              <w:bottom w:val="nil"/>
              <w:right w:val="nil"/>
            </w:tcBorders>
            <w:vAlign w:val="center"/>
          </w:tcPr>
          <w:p w14:paraId="65E2E558" w14:textId="77777777" w:rsidR="00734A68" w:rsidRPr="00734A68" w:rsidRDefault="00734A68" w:rsidP="00734A68">
            <w:pPr>
              <w:pStyle w:val="ECCLetterHead"/>
            </w:pPr>
            <w:r w:rsidRPr="00235592">
              <w:t xml:space="preserve">Date issued: </w:t>
            </w:r>
          </w:p>
        </w:tc>
        <w:tc>
          <w:tcPr>
            <w:tcW w:w="8049" w:type="dxa"/>
            <w:gridSpan w:val="3"/>
            <w:tcBorders>
              <w:top w:val="nil"/>
              <w:left w:val="nil"/>
              <w:bottom w:val="nil"/>
              <w:right w:val="nil"/>
            </w:tcBorders>
            <w:vAlign w:val="center"/>
          </w:tcPr>
          <w:p w14:paraId="4C855615" w14:textId="53FAC670" w:rsidR="00734A68" w:rsidRPr="00734A68" w:rsidRDefault="001E2854" w:rsidP="00734A68">
            <w:pPr>
              <w:pStyle w:val="ECCLetterHead"/>
            </w:pPr>
            <w:r>
              <w:t>7</w:t>
            </w:r>
            <w:r w:rsidRPr="001E2854">
              <w:rPr>
                <w:vertAlign w:val="superscript"/>
              </w:rPr>
              <w:t>th</w:t>
            </w:r>
            <w:r>
              <w:t xml:space="preserve"> January, 2025</w:t>
            </w:r>
          </w:p>
        </w:tc>
      </w:tr>
      <w:tr w:rsidR="00734A68" w:rsidRPr="00235592" w14:paraId="49D4D502" w14:textId="77777777" w:rsidTr="0014328C">
        <w:trPr>
          <w:gridAfter w:val="1"/>
          <w:wAfter w:w="38" w:type="dxa"/>
          <w:cantSplit/>
          <w:trHeight w:val="405"/>
        </w:trPr>
        <w:tc>
          <w:tcPr>
            <w:tcW w:w="1694" w:type="dxa"/>
            <w:tcBorders>
              <w:top w:val="nil"/>
              <w:left w:val="nil"/>
              <w:bottom w:val="nil"/>
              <w:right w:val="nil"/>
            </w:tcBorders>
            <w:vAlign w:val="center"/>
          </w:tcPr>
          <w:p w14:paraId="7E6A1C99" w14:textId="77777777" w:rsidR="00734A68" w:rsidRPr="00734A68" w:rsidRDefault="00734A68" w:rsidP="00734A68">
            <w:pPr>
              <w:pStyle w:val="ECCLetterHead"/>
            </w:pPr>
            <w:r w:rsidRPr="00235592">
              <w:t xml:space="preserve">Source: </w:t>
            </w:r>
          </w:p>
        </w:tc>
        <w:tc>
          <w:tcPr>
            <w:tcW w:w="8049" w:type="dxa"/>
            <w:gridSpan w:val="3"/>
            <w:tcBorders>
              <w:top w:val="nil"/>
              <w:left w:val="nil"/>
              <w:bottom w:val="nil"/>
              <w:right w:val="nil"/>
            </w:tcBorders>
            <w:vAlign w:val="center"/>
          </w:tcPr>
          <w:p w14:paraId="47D82373" w14:textId="6AE3AC56" w:rsidR="00734A68" w:rsidRPr="00734A68" w:rsidRDefault="001E2854" w:rsidP="00734A68">
            <w:pPr>
              <w:pStyle w:val="ECCLetterHead"/>
            </w:pPr>
            <w:r w:rsidRPr="001E2854">
              <w:t>CPG27-2</w:t>
            </w:r>
          </w:p>
        </w:tc>
      </w:tr>
      <w:tr w:rsidR="00734A68" w:rsidRPr="00235592" w14:paraId="06CDC166" w14:textId="77777777" w:rsidTr="0014328C">
        <w:trPr>
          <w:gridAfter w:val="1"/>
          <w:wAfter w:w="38" w:type="dxa"/>
          <w:cantSplit/>
          <w:trHeight w:val="405"/>
        </w:trPr>
        <w:tc>
          <w:tcPr>
            <w:tcW w:w="1694" w:type="dxa"/>
            <w:tcBorders>
              <w:top w:val="nil"/>
              <w:left w:val="nil"/>
              <w:bottom w:val="nil"/>
              <w:right w:val="nil"/>
            </w:tcBorders>
            <w:vAlign w:val="center"/>
          </w:tcPr>
          <w:p w14:paraId="04FC8C97" w14:textId="77777777" w:rsidR="00734A68" w:rsidRPr="00734A68" w:rsidRDefault="00734A68" w:rsidP="00734A68">
            <w:pPr>
              <w:pStyle w:val="ECCLetterHead"/>
            </w:pPr>
            <w:r w:rsidRPr="00235592">
              <w:t xml:space="preserve">Subject: </w:t>
            </w:r>
          </w:p>
        </w:tc>
        <w:tc>
          <w:tcPr>
            <w:tcW w:w="8049" w:type="dxa"/>
            <w:gridSpan w:val="3"/>
            <w:tcBorders>
              <w:top w:val="nil"/>
              <w:left w:val="nil"/>
              <w:bottom w:val="nil"/>
              <w:right w:val="nil"/>
            </w:tcBorders>
            <w:vAlign w:val="center"/>
          </w:tcPr>
          <w:p w14:paraId="67AA2EAE" w14:textId="44AA8322" w:rsidR="00734A68" w:rsidRPr="00734A68" w:rsidRDefault="00734A68" w:rsidP="00734A68">
            <w:pPr>
              <w:pStyle w:val="ECCLetterHead"/>
            </w:pPr>
            <w:r w:rsidRPr="00235592">
              <w:t>Draft CEPT Brief on WRC-</w:t>
            </w:r>
            <w:r w:rsidRPr="00734A68">
              <w:t xml:space="preserve">27 </w:t>
            </w:r>
            <w:r w:rsidR="00D57B99">
              <w:t>a</w:t>
            </w:r>
            <w:r w:rsidRPr="00734A68">
              <w:t xml:space="preserve">genda </w:t>
            </w:r>
            <w:r w:rsidR="00D57B99">
              <w:t>i</w:t>
            </w:r>
            <w:r w:rsidRPr="00734A68">
              <w:t>tem 1.1</w:t>
            </w:r>
          </w:p>
        </w:tc>
      </w:tr>
      <w:tr w:rsidR="00734A68" w:rsidRPr="00235592" w14:paraId="556635C5" w14:textId="77777777" w:rsidTr="0014328C">
        <w:trPr>
          <w:gridAfter w:val="1"/>
          <w:wAfter w:w="38" w:type="dxa"/>
          <w:cantSplit/>
          <w:trHeight w:val="405"/>
        </w:trPr>
        <w:tc>
          <w:tcPr>
            <w:tcW w:w="1694" w:type="dxa"/>
            <w:tcBorders>
              <w:top w:val="nil"/>
              <w:left w:val="nil"/>
              <w:bottom w:val="nil"/>
              <w:right w:val="nil"/>
            </w:tcBorders>
            <w:vAlign w:val="center"/>
          </w:tcPr>
          <w:p w14:paraId="7BCA3466" w14:textId="77777777" w:rsidR="00734A68" w:rsidRDefault="00734A68" w:rsidP="00734A68">
            <w:pPr>
              <w:pStyle w:val="ECCLetterHead"/>
            </w:pPr>
          </w:p>
          <w:p w14:paraId="0AA1E402" w14:textId="77777777" w:rsidR="00734A68" w:rsidRPr="00235592" w:rsidRDefault="00734A68" w:rsidP="00734A68">
            <w:pPr>
              <w:pStyle w:val="ECCLetterHead"/>
            </w:pPr>
          </w:p>
        </w:tc>
        <w:tc>
          <w:tcPr>
            <w:tcW w:w="8049" w:type="dxa"/>
            <w:gridSpan w:val="3"/>
            <w:tcBorders>
              <w:top w:val="nil"/>
              <w:left w:val="nil"/>
              <w:bottom w:val="nil"/>
              <w:right w:val="nil"/>
            </w:tcBorders>
            <w:vAlign w:val="center"/>
          </w:tcPr>
          <w:p w14:paraId="7FB4C7E9" w14:textId="77777777" w:rsidR="00734A68" w:rsidRPr="00235592" w:rsidRDefault="00734A68" w:rsidP="00734A68">
            <w:pPr>
              <w:pStyle w:val="ECCLetterHead"/>
            </w:pPr>
          </w:p>
        </w:tc>
      </w:tr>
      <w:tr w:rsidR="00734A68" w:rsidRPr="00235592" w14:paraId="570574F9" w14:textId="77777777" w:rsidTr="0014328C">
        <w:trPr>
          <w:gridAfter w:val="1"/>
          <w:wAfter w:w="38" w:type="dxa"/>
          <w:cantSplit/>
          <w:trHeight w:hRule="exact" w:val="74"/>
        </w:trPr>
        <w:tc>
          <w:tcPr>
            <w:tcW w:w="9743" w:type="dxa"/>
            <w:gridSpan w:val="4"/>
            <w:tcBorders>
              <w:top w:val="nil"/>
              <w:left w:val="nil"/>
              <w:bottom w:val="single" w:sz="6" w:space="0" w:color="C00000"/>
              <w:right w:val="nil"/>
            </w:tcBorders>
            <w:vAlign w:val="center"/>
          </w:tcPr>
          <w:p w14:paraId="1E812705" w14:textId="77777777" w:rsidR="00734A68" w:rsidRPr="00235592" w:rsidRDefault="00734A68" w:rsidP="00734A68">
            <w:pPr>
              <w:rPr>
                <w:rStyle w:val="ECCParagraph"/>
              </w:rPr>
            </w:pPr>
          </w:p>
          <w:p w14:paraId="5BC2B0CC" w14:textId="77777777" w:rsidR="00734A68" w:rsidRPr="00235592" w:rsidRDefault="00734A68" w:rsidP="00734A68">
            <w:pPr>
              <w:pStyle w:val="ECCLetterHead"/>
            </w:pPr>
          </w:p>
        </w:tc>
      </w:tr>
      <w:tr w:rsidR="00734A68" w:rsidRPr="00235592" w14:paraId="57174D26" w14:textId="77777777" w:rsidTr="00143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46"/>
        </w:trPr>
        <w:tc>
          <w:tcPr>
            <w:tcW w:w="9781" w:type="dxa"/>
            <w:gridSpan w:val="5"/>
            <w:tcBorders>
              <w:top w:val="single" w:sz="6" w:space="0" w:color="C00000"/>
              <w:left w:val="single" w:sz="6" w:space="0" w:color="C00000"/>
              <w:bottom w:val="nil"/>
              <w:right w:val="single" w:sz="6" w:space="0" w:color="C00000"/>
            </w:tcBorders>
            <w:vAlign w:val="center"/>
          </w:tcPr>
          <w:p w14:paraId="07655FC2" w14:textId="77777777" w:rsidR="00734A68" w:rsidRPr="00734A68" w:rsidRDefault="00734A68" w:rsidP="00734A68">
            <w:pPr>
              <w:pStyle w:val="ECCLetterHead"/>
            </w:pPr>
            <w:r w:rsidRPr="00235592">
              <w:t xml:space="preserve">Summary: </w:t>
            </w:r>
          </w:p>
        </w:tc>
      </w:tr>
      <w:tr w:rsidR="00720AC4" w:rsidRPr="00235592" w14:paraId="396C2254" w14:textId="77777777" w:rsidTr="00143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12"/>
        </w:trPr>
        <w:tc>
          <w:tcPr>
            <w:tcW w:w="9781" w:type="dxa"/>
            <w:gridSpan w:val="5"/>
            <w:tcBorders>
              <w:top w:val="nil"/>
              <w:left w:val="single" w:sz="6" w:space="0" w:color="C00000"/>
              <w:bottom w:val="single" w:sz="6" w:space="0" w:color="C00000"/>
              <w:right w:val="single" w:sz="6" w:space="0" w:color="C00000"/>
            </w:tcBorders>
          </w:tcPr>
          <w:p w14:paraId="33F78312" w14:textId="25C09B98" w:rsidR="00720AC4" w:rsidRPr="00720AC4" w:rsidRDefault="00720AC4" w:rsidP="00720AC4">
            <w:pPr>
              <w:rPr>
                <w:rStyle w:val="ECCParagraph"/>
              </w:rPr>
            </w:pPr>
          </w:p>
        </w:tc>
      </w:tr>
      <w:tr w:rsidR="00720AC4" w:rsidRPr="00235592" w14:paraId="04602692" w14:textId="77777777" w:rsidTr="00143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046DD3BA" w14:textId="77777777" w:rsidR="00720AC4" w:rsidRPr="00720AC4" w:rsidRDefault="00720AC4" w:rsidP="00720AC4">
            <w:pPr>
              <w:pStyle w:val="ECCLetterHead"/>
            </w:pPr>
            <w:r w:rsidRPr="00235592">
              <w:t>Proposal:</w:t>
            </w:r>
          </w:p>
        </w:tc>
      </w:tr>
      <w:tr w:rsidR="00720AC4" w:rsidRPr="00235592" w14:paraId="5BAD70B9" w14:textId="77777777" w:rsidTr="00143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945"/>
        </w:trPr>
        <w:tc>
          <w:tcPr>
            <w:tcW w:w="9781" w:type="dxa"/>
            <w:gridSpan w:val="5"/>
            <w:tcBorders>
              <w:top w:val="nil"/>
              <w:left w:val="single" w:sz="6" w:space="0" w:color="C00000"/>
              <w:bottom w:val="single" w:sz="6" w:space="0" w:color="C00000"/>
              <w:right w:val="single" w:sz="6" w:space="0" w:color="C00000"/>
            </w:tcBorders>
          </w:tcPr>
          <w:p w14:paraId="77B451A7" w14:textId="04D6DA94" w:rsidR="00720AC4" w:rsidRPr="00720AC4" w:rsidRDefault="00720AC4" w:rsidP="00720AC4">
            <w:pPr>
              <w:pStyle w:val="ECCTabletext"/>
            </w:pPr>
          </w:p>
        </w:tc>
      </w:tr>
    </w:tbl>
    <w:p w14:paraId="5214D1B2" w14:textId="77777777" w:rsidR="00720AC4" w:rsidRDefault="00720AC4">
      <w:pPr>
        <w:rPr>
          <w:rStyle w:val="ECCHLorange"/>
        </w:rPr>
      </w:pPr>
    </w:p>
    <w:p w14:paraId="05683EBF" w14:textId="705D9B1E" w:rsidR="00734A68" w:rsidRDefault="00734A68">
      <w:pPr>
        <w:rPr>
          <w:rFonts w:cs="Arial"/>
          <w:b/>
          <w:bCs/>
          <w:caps/>
          <w:color w:val="D2232A"/>
          <w:kern w:val="32"/>
          <w:szCs w:val="32"/>
        </w:rPr>
      </w:pPr>
      <w:r>
        <w:br w:type="page"/>
      </w:r>
    </w:p>
    <w:p w14:paraId="60497D30" w14:textId="48EE9F76" w:rsidR="003771D5" w:rsidRPr="00235592" w:rsidRDefault="003771D5" w:rsidP="003A68D5">
      <w:pPr>
        <w:pStyle w:val="ECCHeadingnonumbering"/>
        <w:rPr>
          <w:lang w:val="en-GB"/>
        </w:rPr>
      </w:pPr>
      <w:r w:rsidRPr="00235592">
        <w:rPr>
          <w:lang w:val="en-GB"/>
        </w:rPr>
        <w:lastRenderedPageBreak/>
        <w:t xml:space="preserve">DRAFT CEPT BRIEF ON AGENDA ITEM </w:t>
      </w:r>
      <w:r w:rsidR="00A35AFB">
        <w:t>1.1</w:t>
      </w:r>
      <w:r w:rsidRPr="00235592">
        <w:rPr>
          <w:lang w:val="en-GB"/>
        </w:rPr>
        <w:t xml:space="preserve"> </w:t>
      </w:r>
    </w:p>
    <w:p w14:paraId="7E54832F" w14:textId="788525B9" w:rsidR="003771D5" w:rsidRPr="00235592" w:rsidRDefault="003366A7" w:rsidP="00D57B99">
      <w:pPr>
        <w:rPr>
          <w:rStyle w:val="ECCParagraph"/>
        </w:rPr>
      </w:pPr>
      <w:r>
        <w:t>1.1</w:t>
      </w:r>
      <w:r>
        <w:tab/>
      </w:r>
      <w:r w:rsidR="003915BC">
        <w:t>T</w:t>
      </w:r>
      <w:r w:rsidR="00BE444D" w:rsidRPr="00BE444D">
        <w:t xml:space="preserve">o consider the technical and operational conditions for the use of the frequency bands </w:t>
      </w:r>
      <w:bookmarkStart w:id="1" w:name="_Hlk170264184"/>
      <w:r w:rsidR="00BE444D" w:rsidRPr="00BE444D">
        <w:t>47.2-50.2 GHz and 50.4-51.4 GHz (Earth-to-space)</w:t>
      </w:r>
      <w:bookmarkEnd w:id="1"/>
      <w:r w:rsidR="00BE444D" w:rsidRPr="00BE444D">
        <w:t xml:space="preserve">, or parts thereof, by aeronautical and maritime earth stations in motion communicating with space stations in the fixed-satellite service and 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 the fixed-satellite service, in accordance with </w:t>
      </w:r>
      <w:r w:rsidR="00BE444D" w:rsidRPr="00233D8F">
        <w:t xml:space="preserve">Resolution </w:t>
      </w:r>
      <w:r w:rsidR="00BE444D" w:rsidRPr="00BE444D">
        <w:rPr>
          <w:rStyle w:val="ECCHLbold"/>
        </w:rPr>
        <w:t>176 (Rev.WRC-23)</w:t>
      </w:r>
      <w:r w:rsidR="00BE444D">
        <w:t>.</w:t>
      </w:r>
    </w:p>
    <w:p w14:paraId="0B399FBC" w14:textId="19194AEA" w:rsidR="003771D5" w:rsidRPr="00235592" w:rsidRDefault="003771D5" w:rsidP="00BD4E12">
      <w:pPr>
        <w:pStyle w:val="Heading1"/>
        <w:rPr>
          <w:lang w:val="en-GB"/>
        </w:rPr>
      </w:pPr>
      <w:r w:rsidRPr="00235592">
        <w:rPr>
          <w:lang w:val="en-GB"/>
        </w:rPr>
        <w:t>I</w:t>
      </w:r>
      <w:r w:rsidR="000F41FF">
        <w:t>ssue</w:t>
      </w:r>
    </w:p>
    <w:p w14:paraId="6CBC6972" w14:textId="3EE4D393" w:rsidR="00BE444D" w:rsidRPr="00BE444D" w:rsidRDefault="00BE444D" w:rsidP="00227EB3">
      <w:pPr>
        <w:rPr>
          <w:rStyle w:val="ECCParagraph"/>
        </w:rPr>
      </w:pPr>
      <w:r>
        <w:rPr>
          <w:rStyle w:val="ECCParagraph"/>
        </w:rPr>
        <w:t xml:space="preserve">WRC-23, through Resolution </w:t>
      </w:r>
      <w:r w:rsidRPr="00BE444D">
        <w:rPr>
          <w:rStyle w:val="ECCHLbold"/>
        </w:rPr>
        <w:t>176 (Rev.WRC-23)</w:t>
      </w:r>
      <w:r>
        <w:rPr>
          <w:rStyle w:val="ECCParagraph"/>
        </w:rPr>
        <w:t xml:space="preserve"> resolves to invite ITU-R</w:t>
      </w:r>
      <w:r w:rsidR="00227EB3">
        <w:rPr>
          <w:rStyle w:val="ECCParagraph"/>
        </w:rPr>
        <w:t xml:space="preserve"> </w:t>
      </w:r>
      <w:r w:rsidR="00227EB3" w:rsidRPr="00227EB3">
        <w:t>to complete in time for the</w:t>
      </w:r>
      <w:r w:rsidR="00227EB3">
        <w:t xml:space="preserve"> </w:t>
      </w:r>
      <w:r w:rsidR="00227EB3" w:rsidRPr="00227EB3">
        <w:t>2027 world radiocommunication conference</w:t>
      </w:r>
      <w:r>
        <w:rPr>
          <w:rStyle w:val="ECCParagraph"/>
        </w:rPr>
        <w:t>:</w:t>
      </w:r>
    </w:p>
    <w:p w14:paraId="606DCB1D" w14:textId="2FAE8025" w:rsidR="00227EB3" w:rsidRPr="00227EB3" w:rsidRDefault="00227EB3" w:rsidP="00227EB3">
      <w:pPr>
        <w:pStyle w:val="ECCBulletsLv1"/>
      </w:pPr>
      <w:r w:rsidRPr="00227EB3">
        <w:t xml:space="preserve">studies on the spectrum needs and technical and operational characteristics of </w:t>
      </w:r>
      <w:r w:rsidR="00522B1B">
        <w:t xml:space="preserve">Aeronautical </w:t>
      </w:r>
      <w:r w:rsidR="00B750CD">
        <w:t>ESIM (</w:t>
      </w:r>
      <w:r w:rsidRPr="00227EB3">
        <w:t>A-ESIMs</w:t>
      </w:r>
      <w:r w:rsidR="00B750CD">
        <w:t>)</w:t>
      </w:r>
      <w:r w:rsidRPr="00227EB3">
        <w:t xml:space="preserve"> and M</w:t>
      </w:r>
      <w:r w:rsidR="00B750CD">
        <w:t>aritime ESIM (M</w:t>
      </w:r>
      <w:r w:rsidRPr="00227EB3">
        <w:t>-ESIMs</w:t>
      </w:r>
      <w:r w:rsidR="00B750CD">
        <w:t>)</w:t>
      </w:r>
      <w:r w:rsidRPr="00227EB3">
        <w:t xml:space="preserve"> that plan to operate within FSS allocations in the frequency bands 47.2-50.2 GHz (Earth-to-space) and 50.4-51.4 GHz (Earth-to-space), or parts thereof;</w:t>
      </w:r>
    </w:p>
    <w:p w14:paraId="13262DF5" w14:textId="3B862163" w:rsidR="00BE444D" w:rsidRDefault="00227EB3" w:rsidP="00BE444D">
      <w:pPr>
        <w:pStyle w:val="ECCBulletsLv1"/>
      </w:pPr>
      <w:r w:rsidRPr="00227EB3">
        <w:t>studies on sharing and compatibility between A-ESIMs and M-ESIMs communicating with space stations in the FSS in the frequency bands mentioned in considering a), or parts thereof, and the stations of primary services allocated in these frequency bands and in adjacent frequency bands, including passive services in adjacent and near-adjacent frequency bands, in order to ensure protection of, and not impose undue constraints on, those services;</w:t>
      </w:r>
    </w:p>
    <w:p w14:paraId="7062BDED" w14:textId="54F1B81B" w:rsidR="00227EB3" w:rsidRDefault="00227EB3" w:rsidP="00BE444D">
      <w:pPr>
        <w:pStyle w:val="ECCBulletsLv1"/>
      </w:pPr>
      <w:r w:rsidRPr="00227EB3">
        <w:t>the development, for M-ESIMs and A-ESIMs, of the technical conditions for their operation, taking into account the results of the studies above</w:t>
      </w:r>
      <w:r>
        <w:t>;</w:t>
      </w:r>
    </w:p>
    <w:p w14:paraId="613BB739" w14:textId="146552ED" w:rsidR="00227EB3" w:rsidRDefault="00227EB3" w:rsidP="00BE444D">
      <w:pPr>
        <w:pStyle w:val="ECCBulletsLv1"/>
      </w:pPr>
      <w:r w:rsidRPr="00227EB3">
        <w:t>the development, for M-ESIMs and A-ESIMs communicating with GSO networks and non-GSO systems, of regulatory provisions for their operation, taking into account the results of the studies above;</w:t>
      </w:r>
    </w:p>
    <w:p w14:paraId="5C6D53E9" w14:textId="463CF643" w:rsidR="00227EB3" w:rsidRDefault="00227EB3" w:rsidP="00BE444D">
      <w:pPr>
        <w:pStyle w:val="ECCBulletsLv1"/>
      </w:pPr>
      <w:r w:rsidRPr="00227EB3">
        <w:t>consideration of the results of studies within the ITU Radiocommunication Sector (ITU-R) for the development of a new Recommendation for the Network Control and Monitoring Centre for ESIM operations;</w:t>
      </w:r>
    </w:p>
    <w:p w14:paraId="36B93860" w14:textId="284918A2" w:rsidR="00227EB3" w:rsidRDefault="00227EB3" w:rsidP="006F3F82">
      <w:pPr>
        <w:pStyle w:val="ECCBulletsLv1"/>
      </w:pPr>
      <w:r w:rsidRPr="00227EB3">
        <w:t>studi</w:t>
      </w:r>
      <w:r w:rsidR="006F3F82">
        <w:t xml:space="preserve">es </w:t>
      </w:r>
      <w:r w:rsidRPr="00227EB3">
        <w:t>on the responsibility of the administrations involved in the operations of the A</w:t>
      </w:r>
      <w:r w:rsidR="00D339CA">
        <w:t>-</w:t>
      </w:r>
      <w:r w:rsidRPr="00227EB3">
        <w:t>ESIMs and M-ESIMs addressed by Resolution</w:t>
      </w:r>
      <w:r>
        <w:t xml:space="preserve"> </w:t>
      </w:r>
      <w:r>
        <w:rPr>
          <w:rStyle w:val="ECCHLbold"/>
        </w:rPr>
        <w:t>176 (R</w:t>
      </w:r>
      <w:r w:rsidRPr="00BE444D">
        <w:rPr>
          <w:rStyle w:val="ECCHLbold"/>
        </w:rPr>
        <w:t>ev.WRC-23)</w:t>
      </w:r>
      <w:r>
        <w:t>;</w:t>
      </w:r>
    </w:p>
    <w:p w14:paraId="24B6C062" w14:textId="3F38D315" w:rsidR="00227EB3" w:rsidRDefault="006F3F82" w:rsidP="006F3F82">
      <w:r w:rsidRPr="006F3F82">
        <w:t>ITU</w:t>
      </w:r>
      <w:r w:rsidR="008E673D">
        <w:t>-R</w:t>
      </w:r>
      <w:r w:rsidRPr="006F3F82">
        <w:t xml:space="preserve"> </w:t>
      </w:r>
      <w:r>
        <w:t xml:space="preserve">is also invited </w:t>
      </w:r>
      <w:r w:rsidRPr="006F3F82">
        <w:t xml:space="preserve">to complete in time for the </w:t>
      </w:r>
      <w:r w:rsidR="0085328E">
        <w:t>WRC-</w:t>
      </w:r>
      <w:r w:rsidRPr="006F3F82">
        <w:t>27</w:t>
      </w:r>
      <w:r>
        <w:t>,</w:t>
      </w:r>
      <w:r w:rsidRPr="006F3F82">
        <w:t xml:space="preserve"> the development, for M-ESIMs and A-ESIMs communicating with GSO networks or non-GSO systems, regulatory provisions for their operation, taking into account the results of the studies</w:t>
      </w:r>
      <w:r w:rsidR="005A5A6D">
        <w:t>.</w:t>
      </w:r>
    </w:p>
    <w:p w14:paraId="06942E02" w14:textId="38896309" w:rsidR="006F3F82" w:rsidRDefault="006F3F82" w:rsidP="006F3F82">
      <w:r>
        <w:t xml:space="preserve">Finally, WRC-27 is invited </w:t>
      </w:r>
      <w:r w:rsidRPr="006F3F82">
        <w:t>to consider the results of the above studies and take the necessary actions for GSO and non-GSO</w:t>
      </w:r>
      <w:r>
        <w:t xml:space="preserve"> </w:t>
      </w:r>
      <w:r w:rsidRPr="006F3F82">
        <w:t>ESIMs, as appropriate, provided that the results of the studies are complete and agreed by the ITU-R Study Groups</w:t>
      </w:r>
      <w:r>
        <w:t>.</w:t>
      </w:r>
    </w:p>
    <w:p w14:paraId="03853136" w14:textId="77777777" w:rsidR="003771D5" w:rsidRPr="00235592" w:rsidRDefault="003771D5" w:rsidP="00BD4E12">
      <w:pPr>
        <w:pStyle w:val="Heading1"/>
        <w:rPr>
          <w:lang w:val="en-GB"/>
        </w:rPr>
      </w:pPr>
      <w:r w:rsidRPr="00235592">
        <w:rPr>
          <w:lang w:val="en-GB"/>
        </w:rPr>
        <w:t xml:space="preserve">Preliminary CEPT position </w:t>
      </w:r>
    </w:p>
    <w:p w14:paraId="646311B7" w14:textId="77777777" w:rsidR="002B405C" w:rsidRDefault="002B405C" w:rsidP="002B405C">
      <w:pPr>
        <w:rPr>
          <w:rStyle w:val="ECCParagraph"/>
        </w:rPr>
      </w:pPr>
      <w:r>
        <w:rPr>
          <w:rStyle w:val="ECCParagraph"/>
        </w:rPr>
        <w:t xml:space="preserve">CEPT supports the development of a regulatory framework for the operation of aeronautical and maritime ESIMs communicating with GSO and non-GSO satellite systems in the FSS frequency bands </w:t>
      </w:r>
      <w:r w:rsidRPr="00227EB3">
        <w:t>47.2-50.2 GHz (Earth-to-space) and 50.4-51.4 GHz (Earth-to-space)</w:t>
      </w:r>
      <w:r>
        <w:rPr>
          <w:rStyle w:val="ECCParagraph"/>
        </w:rPr>
        <w:t>.</w:t>
      </w:r>
    </w:p>
    <w:p w14:paraId="47AB73EB" w14:textId="77777777" w:rsidR="002B405C" w:rsidRPr="00FE70FC" w:rsidRDefault="002B405C" w:rsidP="002B405C">
      <w:pPr>
        <w:rPr>
          <w:rStyle w:val="ECCParagraph"/>
        </w:rPr>
      </w:pPr>
      <w:r>
        <w:rPr>
          <w:rStyle w:val="ECCParagraph"/>
        </w:rPr>
        <w:t xml:space="preserve">CEPT also considers that there is a need to ensure a consistency of the regulatory framework applicable to ESIMs across the various frequency bands. As a consequence, depending on the outcome of the technical studies and taking into account the previous work and regulations proposed by CEPT with respect to A-ESIMs and M-ESIMs in other frequency ranges, the possible framework to develop may include, on a non-exhaustive </w:t>
      </w:r>
      <w:r w:rsidRPr="00FE70FC">
        <w:rPr>
          <w:rStyle w:val="ECCParagraph"/>
        </w:rPr>
        <w:t>basis, parts or all of the following measures:</w:t>
      </w:r>
    </w:p>
    <w:p w14:paraId="08D72BA2" w14:textId="26958802" w:rsidR="00541BE0" w:rsidRPr="00233D8F" w:rsidRDefault="00541BE0" w:rsidP="002B405C">
      <w:pPr>
        <w:pStyle w:val="ECCBulletsLv1"/>
        <w:rPr>
          <w:rStyle w:val="ECCParagraph"/>
        </w:rPr>
      </w:pPr>
      <w:bookmarkStart w:id="2" w:name="_Hlk170263676"/>
      <w:r w:rsidRPr="00233D8F">
        <w:rPr>
          <w:rStyle w:val="ECCParagraph"/>
        </w:rPr>
        <w:t xml:space="preserve">to limit the operation of ESIMs to the territories of administrations which have authorised such operation within their territories </w:t>
      </w:r>
    </w:p>
    <w:p w14:paraId="595692E4" w14:textId="39171386" w:rsidR="008705B5" w:rsidRPr="00FE70FC" w:rsidRDefault="002B405C" w:rsidP="000E7FBB">
      <w:pPr>
        <w:pStyle w:val="ECCBulletsLv1"/>
        <w:rPr>
          <w:rStyle w:val="ECCParagraph"/>
        </w:rPr>
      </w:pPr>
      <w:r w:rsidRPr="00FE70FC">
        <w:rPr>
          <w:rStyle w:val="ECCParagraph"/>
        </w:rPr>
        <w:t>to ensure the characteristics of ESIMs remain in the envelope of notified earth station characteristics;</w:t>
      </w:r>
    </w:p>
    <w:p w14:paraId="7D609138" w14:textId="062850A8" w:rsidR="00FB7561" w:rsidRPr="00233D8F" w:rsidRDefault="008705B5" w:rsidP="002B405C">
      <w:pPr>
        <w:pStyle w:val="ECCBulletsLv1"/>
        <w:rPr>
          <w:rStyle w:val="ECCParagraph"/>
        </w:rPr>
      </w:pPr>
      <w:r w:rsidRPr="00FE70FC">
        <w:rPr>
          <w:rStyle w:val="ECCParagraph"/>
        </w:rPr>
        <w:lastRenderedPageBreak/>
        <w:t>CEPT is in favo</w:t>
      </w:r>
      <w:r w:rsidR="00AC4916">
        <w:rPr>
          <w:rStyle w:val="ECCParagraph"/>
        </w:rPr>
        <w:t>u</w:t>
      </w:r>
      <w:r w:rsidRPr="00FE70FC">
        <w:rPr>
          <w:rStyle w:val="ECCParagraph"/>
        </w:rPr>
        <w:t xml:space="preserve">r of adopting similar approach that has been developed under Resolution </w:t>
      </w:r>
      <w:r w:rsidRPr="00233D8F">
        <w:rPr>
          <w:rStyle w:val="ECCHLbold"/>
        </w:rPr>
        <w:t>123</w:t>
      </w:r>
      <w:r w:rsidR="00DC4854" w:rsidRPr="00233D8F">
        <w:rPr>
          <w:rStyle w:val="ECCHLbold"/>
        </w:rPr>
        <w:t xml:space="preserve"> (WRC-23)</w:t>
      </w:r>
      <w:r w:rsidRPr="00FE70FC">
        <w:rPr>
          <w:rStyle w:val="ECCParagraph"/>
        </w:rPr>
        <w:t xml:space="preserve"> for identifying the notifying administration of the satellite network with which the ESIM communicates</w:t>
      </w:r>
    </w:p>
    <w:p w14:paraId="3C79345E" w14:textId="6DEED606" w:rsidR="002B405C" w:rsidRDefault="00FB7561" w:rsidP="00233D8F">
      <w:pPr>
        <w:pStyle w:val="ECCBulletsLv1"/>
        <w:rPr>
          <w:rStyle w:val="ECCParagraph"/>
        </w:rPr>
      </w:pPr>
      <w:r w:rsidRPr="00FE70FC">
        <w:rPr>
          <w:rStyle w:val="ECCParagraph"/>
        </w:rPr>
        <w:t>CEPT is in favo</w:t>
      </w:r>
      <w:r w:rsidR="00AC4916">
        <w:rPr>
          <w:rStyle w:val="ECCParagraph"/>
        </w:rPr>
        <w:t>u</w:t>
      </w:r>
      <w:r w:rsidRPr="00FE70FC">
        <w:rPr>
          <w:rStyle w:val="ECCParagraph"/>
        </w:rPr>
        <w:t xml:space="preserve">r of adopting similar approach that has been developed under Resolution </w:t>
      </w:r>
      <w:r w:rsidRPr="00233D8F">
        <w:rPr>
          <w:rStyle w:val="ECCHLbold"/>
        </w:rPr>
        <w:t xml:space="preserve">123 </w:t>
      </w:r>
      <w:r w:rsidR="00DC4854" w:rsidRPr="00233D8F">
        <w:rPr>
          <w:rStyle w:val="ECCHLbold"/>
        </w:rPr>
        <w:t>(WRC-23)</w:t>
      </w:r>
      <w:r w:rsidR="00DC4854">
        <w:rPr>
          <w:rStyle w:val="ECCParagraph"/>
        </w:rPr>
        <w:t xml:space="preserve"> </w:t>
      </w:r>
      <w:r w:rsidRPr="00FE70FC">
        <w:rPr>
          <w:rStyle w:val="ECCParagraph"/>
        </w:rPr>
        <w:t>for the purpose of interference management procedures to address the operation of ESIMs communicating with GSO/non-GSO FSS systems and for the responsibility of the entities involved in this operation</w:t>
      </w:r>
      <w:r w:rsidR="008705B5" w:rsidRPr="00FE70FC">
        <w:rPr>
          <w:rStyle w:val="ECCParagraph"/>
        </w:rPr>
        <w:t xml:space="preserve"> </w:t>
      </w:r>
      <w:bookmarkEnd w:id="2"/>
    </w:p>
    <w:p w14:paraId="143E2F01" w14:textId="77777777" w:rsidR="003771D5" w:rsidRPr="00235592" w:rsidRDefault="003771D5" w:rsidP="003A68D5">
      <w:pPr>
        <w:pStyle w:val="Heading1"/>
        <w:rPr>
          <w:lang w:val="en-GB"/>
        </w:rPr>
      </w:pPr>
      <w:r w:rsidRPr="00235592">
        <w:rPr>
          <w:lang w:val="en-GB"/>
        </w:rPr>
        <w:t xml:space="preserve">Background </w:t>
      </w:r>
    </w:p>
    <w:p w14:paraId="5007AF59" w14:textId="7C504071" w:rsidR="00EF0878" w:rsidRPr="00233D8F" w:rsidRDefault="00EF0878" w:rsidP="008705B5">
      <w:pPr>
        <w:rPr>
          <w:rStyle w:val="ECCParagraph"/>
        </w:rPr>
      </w:pPr>
      <w:r w:rsidRPr="00720AC4">
        <w:rPr>
          <w:rStyle w:val="ECCParagraph"/>
        </w:rPr>
        <w:t xml:space="preserve">This agenda item was part of the ECP on </w:t>
      </w:r>
      <w:r w:rsidR="004B191F">
        <w:rPr>
          <w:rStyle w:val="ECCParagraph"/>
        </w:rPr>
        <w:t>a</w:t>
      </w:r>
      <w:r w:rsidRPr="00720AC4">
        <w:rPr>
          <w:rStyle w:val="ECCParagraph"/>
        </w:rPr>
        <w:t xml:space="preserve">genda </w:t>
      </w:r>
      <w:r w:rsidR="004B191F">
        <w:rPr>
          <w:rStyle w:val="ECCParagraph"/>
        </w:rPr>
        <w:t>i</w:t>
      </w:r>
      <w:r w:rsidRPr="00720AC4">
        <w:rPr>
          <w:rStyle w:val="ECCParagraph"/>
        </w:rPr>
        <w:t>tem 10 and supported by CEPT at WRC-23 to be included in the</w:t>
      </w:r>
      <w:r w:rsidR="00A36FE5">
        <w:rPr>
          <w:rStyle w:val="ECCParagraph"/>
        </w:rPr>
        <w:t xml:space="preserve"> </w:t>
      </w:r>
      <w:r w:rsidR="004B191F">
        <w:rPr>
          <w:rStyle w:val="ECCParagraph"/>
        </w:rPr>
        <w:t>a</w:t>
      </w:r>
      <w:r w:rsidRPr="00720AC4">
        <w:rPr>
          <w:rStyle w:val="ECCParagraph"/>
        </w:rPr>
        <w:t xml:space="preserve">genda for WRC-27. The following reasoning was provided in the ECP to justify the adoption of the agenda item. </w:t>
      </w:r>
    </w:p>
    <w:p w14:paraId="7BFE77E9" w14:textId="7B8DDE6D" w:rsidR="00EF0878" w:rsidRDefault="00EF0878" w:rsidP="00BD4E12">
      <w:pPr>
        <w:rPr>
          <w:rStyle w:val="ECCParagraph"/>
        </w:rPr>
      </w:pPr>
      <w:r w:rsidRPr="00EF0878">
        <w:t xml:space="preserve">ESIM, earth stations in motion that communicate with GSO FSS space stations, are currently facilitated under Resolution </w:t>
      </w:r>
      <w:r w:rsidRPr="00233D8F">
        <w:rPr>
          <w:rStyle w:val="ECCHLbold"/>
        </w:rPr>
        <w:t>156 (WRC-15)</w:t>
      </w:r>
      <w:r w:rsidRPr="00EF0878">
        <w:t>, within the frequency bands 19.7-20.2 GHz and 29.5</w:t>
      </w:r>
      <w:r w:rsidRPr="00EF0878">
        <w:noBreakHyphen/>
        <w:t xml:space="preserve">30.0 GHz and under Resolution </w:t>
      </w:r>
      <w:r w:rsidRPr="00233D8F">
        <w:rPr>
          <w:rStyle w:val="ECCHLbold"/>
        </w:rPr>
        <w:t>169 (WRC-19)</w:t>
      </w:r>
      <w:r w:rsidRPr="00EF0878">
        <w:t>, within the frequency bands 17.7-19.7 GHz and 27.5-29.5 GHz. There is currently an increasing demand for broadband services that can provide high data rates to users on-board moving platforms such as ships or aircraft. The accelerating utilization of Ka-band frequency spectrum for the provision of these ESIM services will be stifled by the exponential user demand and the scarcity of spectral resources in this frequency band. In order to overcome these challenges and continue to improve the services provided to end-users on the move, it is proposed to carry out technical sharing and compatibility studies between ESIM communicating with GSO and non-GSO FSS systems and other services in the frequency bands 37.5-39.5 GHz (space-to-Earth), 39.5-40.5 GHz (space-to-Earth), 47.2</w:t>
      </w:r>
      <w:r w:rsidRPr="00EF0878">
        <w:noBreakHyphen/>
        <w:t>50.2 GHz (Earth-to-space) and 50.4-51.4 GHz (Earth-to-space). The goal of these studies will be to develop the appropriate technical, operational and regulatory measures that facilitate the use of earth stations in motion communicating with geostationary and non-geostationary space stations in the fixed-satellite service in those frequency bands and ensure the protection of the co-primary incumbent services.</w:t>
      </w:r>
    </w:p>
    <w:p w14:paraId="7A2D8ED4" w14:textId="21B90092" w:rsidR="000F03DC" w:rsidRDefault="00EF0878" w:rsidP="00394288">
      <w:pPr>
        <w:rPr>
          <w:rFonts w:cs="Arial"/>
          <w:b/>
          <w:bCs/>
          <w:iCs/>
          <w:caps/>
          <w:szCs w:val="28"/>
          <w:lang w:val="da-DK"/>
        </w:rPr>
      </w:pPr>
      <w:r>
        <w:rPr>
          <w:rStyle w:val="ECCParagraph"/>
        </w:rPr>
        <w:t>Despite CEPT proposed to consider the Q band for the downlink from satellites to ESIMs, WRC-23 retained to define AI 1.1 for the uplink only in the V-band. Also, WRC-23 did not agree with the CEPT proposal to consider land ESIMs under this AI</w:t>
      </w:r>
      <w:r w:rsidR="00720AC4">
        <w:rPr>
          <w:rStyle w:val="ECCParagraph"/>
        </w:rPr>
        <w:t xml:space="preserve"> but</w:t>
      </w:r>
      <w:r w:rsidR="00720AC4" w:rsidRPr="00DB5EFD">
        <w:rPr>
          <w:rStyle w:val="ECCParagraph"/>
        </w:rPr>
        <w:t xml:space="preserve"> recognizing b) of Resolution </w:t>
      </w:r>
      <w:r w:rsidR="00720AC4" w:rsidRPr="00DB5EFD">
        <w:rPr>
          <w:rStyle w:val="ECCHLbold"/>
        </w:rPr>
        <w:t xml:space="preserve">176 (Rev.WRC-23) </w:t>
      </w:r>
      <w:r w:rsidR="00720AC4" w:rsidRPr="00DB5EFD">
        <w:rPr>
          <w:rStyle w:val="ECCParagraph"/>
        </w:rPr>
        <w:t>covers them</w:t>
      </w:r>
      <w:r>
        <w:rPr>
          <w:rStyle w:val="ECCParagraph"/>
        </w:rPr>
        <w:t>.</w:t>
      </w:r>
    </w:p>
    <w:p w14:paraId="2414A820" w14:textId="20650D0E" w:rsidR="00394288" w:rsidRDefault="00BA4F68" w:rsidP="00E80BB7">
      <w:pPr>
        <w:rPr>
          <w:rStyle w:val="ECCParagraph"/>
        </w:rPr>
      </w:pPr>
      <w:r>
        <w:t xml:space="preserve">After WRC-23, CPM27-1 </w:t>
      </w:r>
      <w:r w:rsidR="00401DBD">
        <w:t>designated</w:t>
      </w:r>
      <w:r>
        <w:t xml:space="preserve"> ITU-R WP</w:t>
      </w:r>
      <w:r w:rsidR="004C3679">
        <w:t xml:space="preserve"> </w:t>
      </w:r>
      <w:r>
        <w:t xml:space="preserve">4A </w:t>
      </w:r>
      <w:r w:rsidR="00257792">
        <w:t xml:space="preserve">as the responsible group </w:t>
      </w:r>
      <w:r w:rsidR="004C3679">
        <w:t xml:space="preserve">for </w:t>
      </w:r>
      <w:r w:rsidR="00646192">
        <w:t xml:space="preserve">conducting studies </w:t>
      </w:r>
      <w:r w:rsidR="00B360C5">
        <w:t xml:space="preserve">under </w:t>
      </w:r>
      <w:r w:rsidR="004C3679">
        <w:t>WRC-27 agenda item 1.1.</w:t>
      </w:r>
    </w:p>
    <w:p w14:paraId="4A78ABC4" w14:textId="1FB2433C" w:rsidR="003A5F73" w:rsidRPr="003A5F73" w:rsidRDefault="003A5F73" w:rsidP="003A5F73">
      <w:r>
        <w:t xml:space="preserve">The first meeting of WP 4A took place 1-9 May 2024 in </w:t>
      </w:r>
      <w:r w:rsidRPr="003A5F73">
        <w:t xml:space="preserve">Geneva </w:t>
      </w:r>
      <w:r>
        <w:t xml:space="preserve">and </w:t>
      </w:r>
      <w:r w:rsidRPr="003A5F73">
        <w:t xml:space="preserve">considered 10 contributions for this agenda item. The </w:t>
      </w:r>
      <w:r w:rsidR="007C0405">
        <w:t>meeting</w:t>
      </w:r>
      <w:r w:rsidRPr="003A5F73">
        <w:t xml:space="preserve"> produced the following 4 output documents:</w:t>
      </w:r>
    </w:p>
    <w:p w14:paraId="126267A1" w14:textId="2AE4DAF7" w:rsidR="003A5F73" w:rsidRPr="003A5F73" w:rsidRDefault="003A5F73" w:rsidP="003A5F73">
      <w:pPr>
        <w:pStyle w:val="ECCBulletsLv1"/>
      </w:pPr>
      <w:r w:rsidRPr="003A5F73">
        <w:t xml:space="preserve">4A/128 Annex </w:t>
      </w:r>
      <w:hyperlink r:id="rId12" w:history="1">
        <w:r w:rsidR="00D17FD2" w:rsidRPr="00D17FD2">
          <w:rPr>
            <w:rStyle w:val="Hyperlink"/>
          </w:rPr>
          <w:t>01</w:t>
        </w:r>
      </w:hyperlink>
      <w:r w:rsidRPr="003A5F73">
        <w:t>: Draft work plan for WRC-27 agenda item 1.1;</w:t>
      </w:r>
    </w:p>
    <w:p w14:paraId="642E54C4" w14:textId="28B110FF" w:rsidR="003A5F73" w:rsidRPr="003A5F73" w:rsidRDefault="003A5F73" w:rsidP="003A5F73">
      <w:pPr>
        <w:pStyle w:val="ECCBulletsLv1"/>
      </w:pPr>
      <w:r w:rsidRPr="003A5F73">
        <w:t xml:space="preserve">4A/128 Annex </w:t>
      </w:r>
      <w:hyperlink r:id="rId13" w:history="1">
        <w:r w:rsidR="006C7280" w:rsidRPr="006C7280">
          <w:rPr>
            <w:rStyle w:val="Hyperlink"/>
          </w:rPr>
          <w:t>02</w:t>
        </w:r>
      </w:hyperlink>
      <w:r w:rsidRPr="003A5F73">
        <w:t>: Elements towards a working document on WRC-27 agenda item 1.1;</w:t>
      </w:r>
    </w:p>
    <w:p w14:paraId="6076D5C4" w14:textId="77777777" w:rsidR="003A5F73" w:rsidRPr="003A5F73" w:rsidRDefault="003A5F73" w:rsidP="003A5F73">
      <w:pPr>
        <w:pStyle w:val="ECCBulletsLv1"/>
      </w:pPr>
      <w:r w:rsidRPr="003A5F73">
        <w:t>Liaison statement to the contributing working parties 3M, 4C, 5A, 5B, 5C, 5D, 7B, 7D (copy to WP 7C for information) requesting information on incumbent services and propagation models;</w:t>
      </w:r>
    </w:p>
    <w:p w14:paraId="49F3B5FD" w14:textId="77777777" w:rsidR="003A5F73" w:rsidRPr="003A5F73" w:rsidRDefault="003A5F73" w:rsidP="003A5F73">
      <w:pPr>
        <w:pStyle w:val="ECCBulletsLv1"/>
      </w:pPr>
      <w:r w:rsidRPr="003A5F73">
        <w:t>Reply liaison statement to WP 7C to acknowledge the technical information received on EESS (passive);</w:t>
      </w:r>
    </w:p>
    <w:p w14:paraId="6B48356B" w14:textId="28806C6E" w:rsidR="007D72EE" w:rsidRDefault="007D72EE" w:rsidP="003A5F73">
      <w:r>
        <w:t>The output documents aim at collecting the parameters of other services that have to be addressed under the technical studies.</w:t>
      </w:r>
    </w:p>
    <w:p w14:paraId="341856D9" w14:textId="77777777" w:rsidR="003771D5" w:rsidRPr="00235592" w:rsidRDefault="003771D5" w:rsidP="00BD4E12">
      <w:pPr>
        <w:pStyle w:val="Heading1"/>
        <w:rPr>
          <w:lang w:val="en-GB"/>
        </w:rPr>
      </w:pPr>
      <w:r w:rsidRPr="00235592">
        <w:rPr>
          <w:lang w:val="en-GB"/>
        </w:rPr>
        <w:t>List of relevant documents</w:t>
      </w:r>
    </w:p>
    <w:p w14:paraId="24C8A31E" w14:textId="04E53195" w:rsidR="00220194" w:rsidRPr="00E80BB7" w:rsidRDefault="003771D5" w:rsidP="000A29BC">
      <w:pPr>
        <w:pStyle w:val="ECCBreak"/>
        <w:rPr>
          <w:rStyle w:val="ECCParagraph"/>
          <w:lang w:val="fr-FR"/>
        </w:rPr>
      </w:pPr>
      <w:r w:rsidRPr="00A35AFB">
        <w:rPr>
          <w:rStyle w:val="ECCParagraph"/>
          <w:lang w:val="fr-FR"/>
        </w:rPr>
        <w:t>ITU-Documentation (</w:t>
      </w:r>
      <w:r w:rsidR="00623209">
        <w:rPr>
          <w:rStyle w:val="ECCParagraph"/>
        </w:rPr>
        <w:t xml:space="preserve">Resolutions, </w:t>
      </w:r>
      <w:r w:rsidRPr="00A35AFB">
        <w:rPr>
          <w:rStyle w:val="ECCParagraph"/>
          <w:lang w:val="fr-FR"/>
        </w:rPr>
        <w:t>Recommendations, Reports, other)</w:t>
      </w:r>
    </w:p>
    <w:p w14:paraId="56A22A8A" w14:textId="3615A26E" w:rsidR="00DA38E9" w:rsidRDefault="00DA38E9" w:rsidP="00DA38E9">
      <w:pPr>
        <w:pStyle w:val="ECCBulletsLv1"/>
        <w:rPr>
          <w:rStyle w:val="ECCParagraph"/>
        </w:rPr>
      </w:pPr>
      <w:r w:rsidRPr="00DA38E9">
        <w:rPr>
          <w:rStyle w:val="ECCParagraph"/>
        </w:rPr>
        <w:t xml:space="preserve">Resolution </w:t>
      </w:r>
      <w:hyperlink r:id="rId14" w:history="1">
        <w:r w:rsidRPr="00032643">
          <w:rPr>
            <w:rStyle w:val="Hyperlink"/>
          </w:rPr>
          <w:t>123 (WRC-23)</w:t>
        </w:r>
      </w:hyperlink>
      <w:r w:rsidRPr="00DA38E9">
        <w:rPr>
          <w:rStyle w:val="ECCParagraph"/>
        </w:rPr>
        <w:t>:</w:t>
      </w:r>
      <w:r>
        <w:rPr>
          <w:rStyle w:val="ECCParagraph"/>
        </w:rPr>
        <w:t xml:space="preserve"> “</w:t>
      </w:r>
      <w:r w:rsidRPr="00DA38E9">
        <w:t>Use of the frequency band 12.75-13.25 GHz by earth stations in motion</w:t>
      </w:r>
      <w:r>
        <w:t xml:space="preserve"> </w:t>
      </w:r>
      <w:r w:rsidRPr="00DA38E9">
        <w:t>on</w:t>
      </w:r>
      <w:r>
        <w:t xml:space="preserve"> </w:t>
      </w:r>
      <w:r w:rsidRPr="00DA38E9">
        <w:t>aircraft and vessels communicating with geostationary</w:t>
      </w:r>
      <w:r>
        <w:t xml:space="preserve"> </w:t>
      </w:r>
      <w:r w:rsidRPr="00DA38E9">
        <w:t>space stations in the fixed-satellite service</w:t>
      </w:r>
      <w:r>
        <w:t>”</w:t>
      </w:r>
    </w:p>
    <w:p w14:paraId="7EC2DCBA" w14:textId="78252F64" w:rsidR="00DA38E9" w:rsidRDefault="00DA38E9" w:rsidP="00DA38E9">
      <w:pPr>
        <w:pStyle w:val="ECCBulletsLv1"/>
        <w:rPr>
          <w:rStyle w:val="ECCParagraph"/>
        </w:rPr>
      </w:pPr>
      <w:r w:rsidRPr="00DA38E9">
        <w:rPr>
          <w:rStyle w:val="ECCParagraph"/>
        </w:rPr>
        <w:t xml:space="preserve">Resolution </w:t>
      </w:r>
      <w:hyperlink r:id="rId15" w:history="1">
        <w:r w:rsidRPr="00711C08">
          <w:rPr>
            <w:rStyle w:val="Hyperlink"/>
          </w:rPr>
          <w:t>121 (WRC-23)</w:t>
        </w:r>
      </w:hyperlink>
      <w:r w:rsidRPr="00DA38E9">
        <w:rPr>
          <w:rStyle w:val="ECCParagraph"/>
        </w:rPr>
        <w:t>:</w:t>
      </w:r>
      <w:r>
        <w:rPr>
          <w:rStyle w:val="ECCParagraph"/>
        </w:rPr>
        <w:t xml:space="preserve"> “</w:t>
      </w:r>
      <w:r w:rsidRPr="00DA38E9">
        <w:t>Use of the frequency bands 17.7-18.6 GHz, 18.8-19.3 GHz and 19.7-20.2 GHz</w:t>
      </w:r>
      <w:r>
        <w:t xml:space="preserve"> </w:t>
      </w:r>
      <w:r w:rsidRPr="00DA38E9">
        <w:t>(space-to-Earth) and 27.5-29.1 GHz and 29.5-30 GHz (Earth-to-space) by</w:t>
      </w:r>
      <w:r>
        <w:t xml:space="preserve"> </w:t>
      </w:r>
      <w:r w:rsidRPr="00DA38E9">
        <w:t>aeronautical and maritime earth</w:t>
      </w:r>
      <w:r>
        <w:t xml:space="preserve"> </w:t>
      </w:r>
      <w:r w:rsidRPr="00DA38E9">
        <w:t>stations in motion communicating</w:t>
      </w:r>
      <w:r>
        <w:t xml:space="preserve"> </w:t>
      </w:r>
      <w:r w:rsidRPr="00DA38E9">
        <w:t>with non-geostationary space stations in the fixed-satellite service</w:t>
      </w:r>
      <w:r>
        <w:t>”</w:t>
      </w:r>
    </w:p>
    <w:p w14:paraId="5BC80367" w14:textId="266FDA4A" w:rsidR="006D6A35" w:rsidRPr="006D6A35" w:rsidRDefault="006D6A35" w:rsidP="006D6A35">
      <w:pPr>
        <w:pStyle w:val="ECCBulletsLv1"/>
      </w:pPr>
      <w:r w:rsidRPr="006D6A35">
        <w:lastRenderedPageBreak/>
        <w:t xml:space="preserve">Resolution </w:t>
      </w:r>
      <w:hyperlink r:id="rId16" w:history="1">
        <w:r w:rsidRPr="0045190D">
          <w:rPr>
            <w:rStyle w:val="Hyperlink"/>
          </w:rPr>
          <w:t>169 (WRC-19)</w:t>
        </w:r>
      </w:hyperlink>
      <w:r w:rsidRPr="006D6A35">
        <w:t xml:space="preserve">: “Use of the frequency bands 17.7-19.7 GHz and 27.5-29.5 GHz by earth stations in motion communicating with geostationary space stations in the fixed-satellite service” </w:t>
      </w:r>
    </w:p>
    <w:p w14:paraId="12BD1B38" w14:textId="4412C6B1" w:rsidR="00C14129" w:rsidRPr="00C14129" w:rsidRDefault="00C14129" w:rsidP="00C14129">
      <w:pPr>
        <w:pStyle w:val="ECCBulletsLv1"/>
      </w:pPr>
      <w:r w:rsidRPr="00C14129">
        <w:rPr>
          <w:rStyle w:val="ECCParagraph"/>
        </w:rPr>
        <w:t xml:space="preserve">Resolution </w:t>
      </w:r>
      <w:hyperlink r:id="rId17" w:history="1">
        <w:r w:rsidRPr="00A358C5">
          <w:rPr>
            <w:rStyle w:val="Hyperlink"/>
          </w:rPr>
          <w:t>156 (WRC-15)</w:t>
        </w:r>
      </w:hyperlink>
      <w:r w:rsidRPr="00C14129">
        <w:rPr>
          <w:rStyle w:val="ECCParagraph"/>
        </w:rPr>
        <w:t>: “Use of the frequency bands 19.7-20.2 GHz and 29.5-30.0 GHz by earth stations in motion communicating with geostationary space stations in the fixed-satellite service”;</w:t>
      </w:r>
    </w:p>
    <w:p w14:paraId="7BBA90BE" w14:textId="75F4F701" w:rsidR="006251BC" w:rsidRPr="00C14129" w:rsidRDefault="00032643" w:rsidP="00C14129">
      <w:pPr>
        <w:pStyle w:val="ECCBulletsLv1"/>
        <w:rPr>
          <w:rStyle w:val="ECCParagraph"/>
        </w:rPr>
      </w:pPr>
      <w:r w:rsidRPr="00E80BB7">
        <w:t xml:space="preserve">Resolution </w:t>
      </w:r>
      <w:hyperlink r:id="rId18" w:history="1">
        <w:r w:rsidRPr="00E80BB7">
          <w:rPr>
            <w:rStyle w:val="Hyperlink"/>
          </w:rPr>
          <w:t>902 (WRC-03)</w:t>
        </w:r>
      </w:hyperlink>
      <w:r w:rsidR="00077121">
        <w:t>: “</w:t>
      </w:r>
      <w:r w:rsidR="00BD3FC6" w:rsidRPr="00BD3FC6">
        <w:t>Provisions relating to earth stations located on board vessels which operate in fixed-satellite service networks in the uplink bands 5 925-6 425 MHz and 14-14.5 GHz</w:t>
      </w:r>
      <w:r w:rsidR="00077121">
        <w:t>”</w:t>
      </w:r>
    </w:p>
    <w:p w14:paraId="0C41311C" w14:textId="7247B528" w:rsidR="00C14129" w:rsidRPr="00C14129" w:rsidRDefault="00C14129" w:rsidP="00C14129">
      <w:pPr>
        <w:pStyle w:val="ECCBulletsLv1"/>
        <w:rPr>
          <w:rStyle w:val="ECCParagraph"/>
        </w:rPr>
      </w:pPr>
      <w:r w:rsidRPr="00C14129">
        <w:rPr>
          <w:rStyle w:val="ECCParagraph"/>
        </w:rPr>
        <w:t xml:space="preserve">Recommendation </w:t>
      </w:r>
      <w:hyperlink r:id="rId19" w:history="1">
        <w:r w:rsidR="000E1318" w:rsidRPr="000E1318">
          <w:rPr>
            <w:rStyle w:val="Hyperlink"/>
          </w:rPr>
          <w:t>ITU-R RS.1449-0</w:t>
        </w:r>
      </w:hyperlink>
      <w:r w:rsidR="00154983">
        <w:rPr>
          <w:rStyle w:val="ECCParagraph"/>
        </w:rPr>
        <w:t xml:space="preserve"> (05/2000)</w:t>
      </w:r>
      <w:r w:rsidRPr="00C14129">
        <w:rPr>
          <w:rStyle w:val="ECCParagraph"/>
        </w:rPr>
        <w:t>: “Feasibility of sharing between the FSS (space-to-Earth) and the Earth exploration-satellite (passive) and space research (passive) services in the band 18.6-18.8 GHz”;</w:t>
      </w:r>
    </w:p>
    <w:p w14:paraId="1219F63B" w14:textId="12943006" w:rsidR="00C93B80" w:rsidRPr="00C93B80" w:rsidRDefault="00C93B80" w:rsidP="00C93B80">
      <w:pPr>
        <w:pStyle w:val="ECCBulletsLv1"/>
        <w:rPr>
          <w:rStyle w:val="ECCParagraph"/>
        </w:rPr>
      </w:pPr>
      <w:r w:rsidRPr="00C93B80">
        <w:t xml:space="preserve">Recommendation </w:t>
      </w:r>
      <w:hyperlink r:id="rId20" w:history="1">
        <w:r w:rsidRPr="00C93B80">
          <w:rPr>
            <w:rStyle w:val="Hyperlink"/>
          </w:rPr>
          <w:t>ITU-R S.1587-3</w:t>
        </w:r>
      </w:hyperlink>
      <w:r w:rsidRPr="00C93B80">
        <w:t xml:space="preserve"> (09/2015): </w:t>
      </w:r>
      <w:r w:rsidR="00FF3CD3">
        <w:t>“</w:t>
      </w:r>
      <w:r w:rsidRPr="00C93B80">
        <w:t>Technical characteristics of earth stations on board vessels communicating with FSS satellites in the frequency bands 5 925-6 425 MHz and 14-14.5 GHz which are allocated to the fixed-satellite service</w:t>
      </w:r>
      <w:r w:rsidR="00FF3CD3">
        <w:t>”</w:t>
      </w:r>
    </w:p>
    <w:p w14:paraId="50DBC621" w14:textId="077F0983" w:rsidR="00FA7592" w:rsidRPr="00FA7592" w:rsidRDefault="00FA7592" w:rsidP="00FA7592">
      <w:pPr>
        <w:pStyle w:val="ECCBulletsLv1"/>
        <w:rPr>
          <w:rStyle w:val="ECCParagraph"/>
        </w:rPr>
      </w:pPr>
      <w:r w:rsidRPr="00FA7592">
        <w:rPr>
          <w:rStyle w:val="ECCParagraph"/>
        </w:rPr>
        <w:t xml:space="preserve">Recommendation </w:t>
      </w:r>
      <w:hyperlink r:id="rId21" w:history="1">
        <w:r w:rsidR="005433AA" w:rsidRPr="00E976F0">
          <w:rPr>
            <w:rStyle w:val="Hyperlink"/>
          </w:rPr>
          <w:t>ITU-R S.1503-4</w:t>
        </w:r>
      </w:hyperlink>
      <w:r w:rsidR="00E315D2">
        <w:rPr>
          <w:rStyle w:val="ECCParagraph"/>
        </w:rPr>
        <w:t xml:space="preserve"> (09/2023)</w:t>
      </w:r>
      <w:r w:rsidR="008B0B4E">
        <w:rPr>
          <w:rStyle w:val="ECCParagraph"/>
        </w:rPr>
        <w:t>:</w:t>
      </w:r>
      <w:r w:rsidRPr="00FA7592">
        <w:rPr>
          <w:rStyle w:val="ECCParagraph"/>
        </w:rPr>
        <w:t xml:space="preserve"> “</w:t>
      </w:r>
      <w:r w:rsidRPr="00FA7592">
        <w:t xml:space="preserve">Functional description to be used in developing software tools for determining conformity of non-geostationary-satellite orbit fixed-satellite service systems or networks with limits contained in Article </w:t>
      </w:r>
      <w:r w:rsidRPr="00233D8F">
        <w:rPr>
          <w:rStyle w:val="ECCHLbold"/>
        </w:rPr>
        <w:t>22</w:t>
      </w:r>
      <w:r w:rsidRPr="00FA7592">
        <w:t xml:space="preserve"> of the Radio Regulations</w:t>
      </w:r>
      <w:r w:rsidRPr="00FA7592">
        <w:rPr>
          <w:rStyle w:val="ECCParagraph"/>
        </w:rPr>
        <w:t xml:space="preserve">”  </w:t>
      </w:r>
    </w:p>
    <w:p w14:paraId="3C05BE0A" w14:textId="07525BAB" w:rsidR="00C14129" w:rsidRPr="00C14129" w:rsidRDefault="00C14129" w:rsidP="00C14129">
      <w:pPr>
        <w:pStyle w:val="ECCBulletsLv1"/>
        <w:rPr>
          <w:rStyle w:val="ECCParagraph"/>
        </w:rPr>
      </w:pPr>
      <w:r w:rsidRPr="00C14129">
        <w:rPr>
          <w:rStyle w:val="ECCParagraph"/>
        </w:rPr>
        <w:t xml:space="preserve">Recommendation </w:t>
      </w:r>
      <w:hyperlink r:id="rId22" w:history="1">
        <w:r w:rsidR="00CD7D9D" w:rsidRPr="003920B2">
          <w:rPr>
            <w:rStyle w:val="Hyperlink"/>
          </w:rPr>
          <w:t>ITU-R SF.1707-0</w:t>
        </w:r>
      </w:hyperlink>
      <w:r w:rsidR="00F36C78">
        <w:rPr>
          <w:rStyle w:val="ECCParagraph"/>
        </w:rPr>
        <w:t xml:space="preserve"> </w:t>
      </w:r>
      <w:r w:rsidR="00742185">
        <w:rPr>
          <w:rStyle w:val="ECCParagraph"/>
        </w:rPr>
        <w:t>(04/2005</w:t>
      </w:r>
      <w:r w:rsidR="005056E0">
        <w:rPr>
          <w:rStyle w:val="ECCParagraph"/>
        </w:rPr>
        <w:t>)</w:t>
      </w:r>
      <w:r w:rsidR="008B0B4E">
        <w:rPr>
          <w:rStyle w:val="ECCParagraph"/>
        </w:rPr>
        <w:t>:</w:t>
      </w:r>
      <w:r w:rsidRPr="00C14129">
        <w:t xml:space="preserve"> </w:t>
      </w:r>
      <w:r w:rsidRPr="00C14129">
        <w:rPr>
          <w:rStyle w:val="ECCParagraph"/>
        </w:rPr>
        <w:t>“</w:t>
      </w:r>
      <w:r w:rsidR="00D006C4" w:rsidRPr="00D006C4">
        <w:t>Methods to facilitate the implementation of large numbers of earth stations in the FSS in areas where terrestrial services are also deployed</w:t>
      </w:r>
      <w:r w:rsidRPr="00C14129">
        <w:rPr>
          <w:rStyle w:val="ECCParagraph"/>
        </w:rPr>
        <w:t>”</w:t>
      </w:r>
    </w:p>
    <w:p w14:paraId="43584852" w14:textId="7D935F12" w:rsidR="00C14129" w:rsidRPr="00C14129" w:rsidRDefault="00C14129" w:rsidP="00C14129">
      <w:pPr>
        <w:pStyle w:val="ECCBulletsLv1"/>
        <w:rPr>
          <w:rStyle w:val="ECCParagraph"/>
        </w:rPr>
      </w:pPr>
      <w:r w:rsidRPr="00C14129">
        <w:rPr>
          <w:rStyle w:val="ECCParagraph"/>
        </w:rPr>
        <w:t xml:space="preserve">Recommendation </w:t>
      </w:r>
      <w:r w:rsidR="006A6CA8" w:rsidRPr="006A6CA8">
        <w:t xml:space="preserve"> </w:t>
      </w:r>
      <w:hyperlink r:id="rId23" w:history="1">
        <w:r w:rsidR="006A6CA8" w:rsidRPr="006A6CA8">
          <w:rPr>
            <w:rStyle w:val="Hyperlink"/>
          </w:rPr>
          <w:t>ITU-R M.1643-0</w:t>
        </w:r>
      </w:hyperlink>
      <w:r w:rsidR="006A6CA8" w:rsidRPr="006A6CA8">
        <w:t xml:space="preserve"> (06/2003): </w:t>
      </w:r>
      <w:r w:rsidRPr="00C14129">
        <w:rPr>
          <w:rStyle w:val="ECCParagraph"/>
        </w:rPr>
        <w:t>“Technical and operational requirements for aircraft earth stations of aeronautical mobile-satellite service including those using fixed-satellite service network transponders in the band 14-14.5 GHz (Earth-to-space)”</w:t>
      </w:r>
    </w:p>
    <w:p w14:paraId="1272EF80" w14:textId="7079FE8D" w:rsidR="00A93C48" w:rsidRDefault="001C20E6" w:rsidP="00A93C48">
      <w:pPr>
        <w:pStyle w:val="ECCBulletsLv1"/>
        <w:rPr>
          <w:rStyle w:val="ECCParagraph"/>
        </w:rPr>
      </w:pPr>
      <w:r w:rsidRPr="001C20E6">
        <w:rPr>
          <w:rStyle w:val="ECCParagraph"/>
        </w:rPr>
        <w:t xml:space="preserve">Report </w:t>
      </w:r>
      <w:hyperlink r:id="rId24" w:history="1">
        <w:r w:rsidR="00A156F6" w:rsidRPr="00A156F6">
          <w:rPr>
            <w:rStyle w:val="Hyperlink"/>
          </w:rPr>
          <w:t>ITU-R S.2261-0</w:t>
        </w:r>
      </w:hyperlink>
      <w:r w:rsidR="00A93C48" w:rsidRPr="00A93C48">
        <w:rPr>
          <w:rStyle w:val="ECCParagraph"/>
        </w:rPr>
        <w:t xml:space="preserve"> </w:t>
      </w:r>
      <w:r w:rsidR="00946609">
        <w:rPr>
          <w:rStyle w:val="ECCParagraph"/>
        </w:rPr>
        <w:t xml:space="preserve">(09/2012): </w:t>
      </w:r>
      <w:r w:rsidR="00A93C48" w:rsidRPr="00A93C48">
        <w:rPr>
          <w:rStyle w:val="ECCParagraph"/>
        </w:rPr>
        <w:t>“Technical and operational requirements for earth stations on mobile platforms operating in non-GSO FSS systems in the frequency bands from 17.3 to 19.3, 19.7 to 20.2, 27 to 29.1 and from 29.5 to 30.0 GHz”</w:t>
      </w:r>
    </w:p>
    <w:p w14:paraId="6587FE8D" w14:textId="3A4CB369" w:rsidR="001C70AD" w:rsidRPr="00A93C48" w:rsidRDefault="001C70AD" w:rsidP="001C20E6">
      <w:pPr>
        <w:pStyle w:val="ECCBulletsLv1"/>
        <w:rPr>
          <w:rStyle w:val="ECCParagraph"/>
        </w:rPr>
      </w:pPr>
      <w:r w:rsidRPr="001C70AD">
        <w:t xml:space="preserve">Report </w:t>
      </w:r>
      <w:hyperlink r:id="rId25" w:history="1">
        <w:r w:rsidRPr="001C70AD">
          <w:rPr>
            <w:rStyle w:val="Hyperlink"/>
          </w:rPr>
          <w:t>ITU-R S.246</w:t>
        </w:r>
        <w:r w:rsidR="005760A1">
          <w:rPr>
            <w:rStyle w:val="Hyperlink"/>
          </w:rPr>
          <w:t>4-0</w:t>
        </w:r>
      </w:hyperlink>
      <w:r w:rsidRPr="001C70AD">
        <w:t xml:space="preserve"> (09/2019): </w:t>
      </w:r>
      <w:r w:rsidR="008E58BC">
        <w:t>“</w:t>
      </w:r>
      <w:r w:rsidRPr="001C70AD">
        <w:t>Operation of earth stations in motion communicating with geostationary space stations in the fixed-satellite service allocations at 17.7-19.7 GHz and 27.5-29.5 GHz</w:t>
      </w:r>
      <w:r w:rsidR="008E58BC">
        <w:t>”</w:t>
      </w:r>
      <w:r w:rsidRPr="001C70AD">
        <w:t xml:space="preserve"> </w:t>
      </w:r>
    </w:p>
    <w:p w14:paraId="5E5AB007" w14:textId="17C7950C" w:rsidR="00A93C48" w:rsidRPr="00A93C48" w:rsidRDefault="0043511D" w:rsidP="00DA38E9">
      <w:pPr>
        <w:pStyle w:val="ECCBulletsLv1"/>
        <w:rPr>
          <w:rStyle w:val="ECCParagraph"/>
        </w:rPr>
      </w:pPr>
      <w:r w:rsidRPr="0043511D">
        <w:t xml:space="preserve">Report </w:t>
      </w:r>
      <w:hyperlink r:id="rId26" w:history="1">
        <w:r w:rsidRPr="0043511D">
          <w:rPr>
            <w:rStyle w:val="Hyperlink"/>
          </w:rPr>
          <w:t>ITU-R S.2223-1</w:t>
        </w:r>
      </w:hyperlink>
      <w:r w:rsidR="003E3AA1">
        <w:rPr>
          <w:rStyle w:val="ECCParagraph"/>
        </w:rPr>
        <w:t xml:space="preserve"> </w:t>
      </w:r>
      <w:r w:rsidR="003E3AA1" w:rsidRPr="003E3AA1">
        <w:t>(10/2016)</w:t>
      </w:r>
      <w:r w:rsidR="003E3AA1">
        <w:t>:</w:t>
      </w:r>
      <w:r w:rsidR="00A93C48" w:rsidRPr="00A93C48">
        <w:rPr>
          <w:rStyle w:val="ECCParagraph"/>
        </w:rPr>
        <w:t xml:space="preserve"> “Technical and operational requirements for GSO FSS earth stations on mobile platforms</w:t>
      </w:r>
      <w:r w:rsidR="00DA38E9">
        <w:rPr>
          <w:rStyle w:val="ECCParagraph"/>
        </w:rPr>
        <w:t xml:space="preserve"> </w:t>
      </w:r>
      <w:r w:rsidR="00DA38E9" w:rsidRPr="00DA38E9">
        <w:t>in bands from 17.3 to 30.0 GHz</w:t>
      </w:r>
      <w:r w:rsidR="00A93C48" w:rsidRPr="00A93C48">
        <w:rPr>
          <w:rStyle w:val="ECCParagraph"/>
        </w:rPr>
        <w:t>”</w:t>
      </w:r>
    </w:p>
    <w:p w14:paraId="581FF507" w14:textId="4719B6BD" w:rsidR="00A93C48" w:rsidRPr="00A93C48" w:rsidRDefault="00A93C48" w:rsidP="00A93C48">
      <w:pPr>
        <w:pStyle w:val="ECCBulletsLv1"/>
        <w:rPr>
          <w:rStyle w:val="ECCParagraph"/>
        </w:rPr>
      </w:pPr>
      <w:r w:rsidRPr="00A93C48">
        <w:rPr>
          <w:rStyle w:val="ECCParagraph"/>
        </w:rPr>
        <w:t>Report</w:t>
      </w:r>
      <w:r w:rsidR="00101ECB" w:rsidRPr="00101ECB">
        <w:t xml:space="preserve"> </w:t>
      </w:r>
      <w:hyperlink r:id="rId27" w:history="1">
        <w:r w:rsidR="00101ECB" w:rsidRPr="00101ECB">
          <w:rPr>
            <w:rStyle w:val="Hyperlink"/>
          </w:rPr>
          <w:t>ITU-R S.2357-0</w:t>
        </w:r>
      </w:hyperlink>
      <w:r w:rsidR="00101ECB" w:rsidRPr="00101ECB">
        <w:t xml:space="preserve"> (06/2015): </w:t>
      </w:r>
      <w:r w:rsidRPr="00A93C48">
        <w:rPr>
          <w:rStyle w:val="ECCParagraph"/>
        </w:rPr>
        <w:t>“Technical and operational guidelines for earth stations on mobile platforms communicating with geostationary space stations in the fixed-satellite service in the frequency bands 19.7-20.2 GHz and 29.5-30.0 GHz”</w:t>
      </w:r>
    </w:p>
    <w:p w14:paraId="2D5FFA8A" w14:textId="30D143A7" w:rsidR="00C14129" w:rsidRPr="00C14129" w:rsidRDefault="00C14129" w:rsidP="00C14129">
      <w:pPr>
        <w:pStyle w:val="ECCBulletsLv1"/>
      </w:pPr>
      <w:r w:rsidRPr="00C14129">
        <w:t xml:space="preserve">Supporting material </w:t>
      </w:r>
      <w:r>
        <w:t>being</w:t>
      </w:r>
      <w:r w:rsidRPr="00C14129">
        <w:t xml:space="preserve"> developed to address WRC-2</w:t>
      </w:r>
      <w:r>
        <w:t>7</w:t>
      </w:r>
      <w:r w:rsidRPr="00C14129">
        <w:t xml:space="preserve"> agenda item 1.1, ITU-R WP 4A </w:t>
      </w:r>
      <w:r w:rsidR="00A93C48" w:rsidRPr="00A93C48">
        <w:t>Document 4A/128</w:t>
      </w:r>
      <w:r w:rsidR="00A93C48">
        <w:t xml:space="preserve"> </w:t>
      </w:r>
      <w:r w:rsidRPr="00C14129">
        <w:t>Annex</w:t>
      </w:r>
      <w:r w:rsidR="00C93B80">
        <w:t xml:space="preserve"> </w:t>
      </w:r>
      <w:hyperlink r:id="rId28" w:history="1">
        <w:r w:rsidR="00C93B80" w:rsidRPr="00C93B80">
          <w:rPr>
            <w:rStyle w:val="Hyperlink"/>
          </w:rPr>
          <w:t>02</w:t>
        </w:r>
      </w:hyperlink>
    </w:p>
    <w:p w14:paraId="1EFE1E85" w14:textId="77777777" w:rsidR="00220194" w:rsidRDefault="003771D5" w:rsidP="000A29BC">
      <w:pPr>
        <w:pStyle w:val="ECCBreak"/>
        <w:rPr>
          <w:rStyle w:val="ECCParagraph"/>
        </w:rPr>
      </w:pPr>
      <w:r w:rsidRPr="00235592">
        <w:rPr>
          <w:rStyle w:val="ECCParagraph"/>
        </w:rPr>
        <w:t>CEPT and/or ECC Documentation (Decisions, Recommendations, Reports)</w:t>
      </w:r>
    </w:p>
    <w:p w14:paraId="3DDE0C38" w14:textId="7C3D7735" w:rsidR="00C14129" w:rsidRPr="00C14129" w:rsidRDefault="00000000" w:rsidP="00C14129">
      <w:pPr>
        <w:pStyle w:val="ECCBulletsLv1"/>
        <w:rPr>
          <w:rStyle w:val="ECCParagraph"/>
        </w:rPr>
      </w:pPr>
      <w:hyperlink r:id="rId29" w:history="1">
        <w:r w:rsidR="00C14129" w:rsidRPr="003F40BC">
          <w:rPr>
            <w:rStyle w:val="Hyperlink"/>
          </w:rPr>
          <w:t>ECC</w:t>
        </w:r>
        <w:r w:rsidR="007229D5">
          <w:rPr>
            <w:rStyle w:val="Hyperlink"/>
          </w:rPr>
          <w:t xml:space="preserve"> </w:t>
        </w:r>
        <w:r w:rsidR="00C14129" w:rsidRPr="003F40BC">
          <w:rPr>
            <w:rStyle w:val="Hyperlink"/>
          </w:rPr>
          <w:t>D</w:t>
        </w:r>
        <w:r w:rsidR="007229D5">
          <w:rPr>
            <w:rStyle w:val="Hyperlink"/>
          </w:rPr>
          <w:t xml:space="preserve">ecision </w:t>
        </w:r>
        <w:r w:rsidR="00C14129" w:rsidRPr="003F40BC">
          <w:rPr>
            <w:rStyle w:val="Hyperlink"/>
          </w:rPr>
          <w:t>(15)04</w:t>
        </w:r>
      </w:hyperlink>
      <w:r w:rsidR="00C14129" w:rsidRPr="00C14129">
        <w:t xml:space="preserve">: “The harmonised use, free circulation and exemption from individual licensing of Land and Maritime Earth Stations On Mobile Platforms (ESOMPs) operating with NGSO FSS satellite systems in the frequency ranges 17.3-20.2 GHz, 27.5-29.1 GHz and 29.5-30.0 GHz” </w:t>
      </w:r>
    </w:p>
    <w:p w14:paraId="5992AF84" w14:textId="2C9039D9" w:rsidR="00C05E5C" w:rsidRPr="00C05E5C" w:rsidRDefault="00000000" w:rsidP="00794926">
      <w:pPr>
        <w:pStyle w:val="ECCBulletsLv1"/>
      </w:pPr>
      <w:hyperlink r:id="rId30" w:history="1">
        <w:r w:rsidR="00C05E5C" w:rsidRPr="00AA1AFC">
          <w:rPr>
            <w:rStyle w:val="Hyperlink"/>
          </w:rPr>
          <w:t>ECC</w:t>
        </w:r>
        <w:r w:rsidR="007229D5" w:rsidRPr="007229D5">
          <w:rPr>
            <w:rStyle w:val="Hyperlink"/>
          </w:rPr>
          <w:t xml:space="preserve"> Decision </w:t>
        </w:r>
        <w:r w:rsidR="00C05E5C" w:rsidRPr="00AA1AFC">
          <w:rPr>
            <w:rStyle w:val="Hyperlink"/>
          </w:rPr>
          <w:t>(13)01</w:t>
        </w:r>
      </w:hyperlink>
      <w:r w:rsidR="00C05E5C" w:rsidRPr="00C05E5C">
        <w:t>: “The harmonised use, free circulation and exemption from individual licensing of Earth Stations On Mobile Platforms (ESOMPs) within the frequency bands 17.3-20.2 GHz and 27.5-30.0 GHz”</w:t>
      </w:r>
    </w:p>
    <w:p w14:paraId="7E4A216A" w14:textId="63E76AB8" w:rsidR="00C05E5C" w:rsidRPr="00C05E5C" w:rsidRDefault="00000000" w:rsidP="00C05E5C">
      <w:pPr>
        <w:pStyle w:val="ECCBulletsLv1"/>
        <w:rPr>
          <w:rStyle w:val="ECCParagraph"/>
        </w:rPr>
      </w:pPr>
      <w:hyperlink r:id="rId31" w:history="1">
        <w:r w:rsidR="00C05E5C" w:rsidRPr="0077472D">
          <w:rPr>
            <w:rStyle w:val="Hyperlink"/>
          </w:rPr>
          <w:t>ECC Report 232</w:t>
        </w:r>
      </w:hyperlink>
      <w:r w:rsidR="00C05E5C" w:rsidRPr="00C05E5C">
        <w:rPr>
          <w:rStyle w:val="ECCParagraph"/>
        </w:rPr>
        <w:t xml:space="preserve">: </w:t>
      </w:r>
      <w:r w:rsidR="00895940">
        <w:rPr>
          <w:rStyle w:val="ECCParagraph"/>
        </w:rPr>
        <w:t>“</w:t>
      </w:r>
      <w:r w:rsidR="00C05E5C" w:rsidRPr="00C05E5C">
        <w:rPr>
          <w:rStyle w:val="ECCParagraph"/>
        </w:rPr>
        <w:t>Compatibility between Fixed Satellite Service uncoordinated receive Earth Stations and the Fixed Service in the band 17.7-19.7 GHz</w:t>
      </w:r>
      <w:r w:rsidR="00895940">
        <w:rPr>
          <w:rStyle w:val="ECCParagraph"/>
        </w:rPr>
        <w:t>”</w:t>
      </w:r>
    </w:p>
    <w:p w14:paraId="6A07E192" w14:textId="3FF5F427" w:rsidR="00C05E5C" w:rsidRPr="00C05E5C" w:rsidRDefault="00000000" w:rsidP="00C05E5C">
      <w:pPr>
        <w:pStyle w:val="ECCBulletsLv1"/>
        <w:rPr>
          <w:rStyle w:val="ECCParagraph"/>
        </w:rPr>
      </w:pPr>
      <w:hyperlink r:id="rId32" w:history="1">
        <w:r w:rsidR="00C05E5C" w:rsidRPr="00E84762">
          <w:rPr>
            <w:rStyle w:val="Hyperlink"/>
          </w:rPr>
          <w:t>ECC Report 217</w:t>
        </w:r>
      </w:hyperlink>
      <w:r w:rsidR="00C05E5C" w:rsidRPr="00C05E5C">
        <w:rPr>
          <w:rStyle w:val="ECCParagraph"/>
        </w:rPr>
        <w:t xml:space="preserve">: </w:t>
      </w:r>
      <w:r w:rsidR="00F07BC3">
        <w:rPr>
          <w:rStyle w:val="ECCParagraph"/>
        </w:rPr>
        <w:t>“</w:t>
      </w:r>
      <w:r w:rsidR="00C05E5C" w:rsidRPr="00C05E5C">
        <w:rPr>
          <w:rStyle w:val="ECCParagraph"/>
        </w:rPr>
        <w:t>The Use of Land and Maritime Earth Stations on Mobile Platforms Operating with NGSO FSS Satellite Systems in the Frequency Range 17.3-20.2 GHz, 27.5-29.1 GHz and 29.5-30.0 GHz</w:t>
      </w:r>
      <w:r w:rsidR="00F07BC3">
        <w:rPr>
          <w:rStyle w:val="ECCParagraph"/>
        </w:rPr>
        <w:t>”</w:t>
      </w:r>
    </w:p>
    <w:p w14:paraId="7FE3DC3B" w14:textId="57F07E8B" w:rsidR="006B302D" w:rsidRPr="00C14129" w:rsidRDefault="00000000" w:rsidP="00C05E5C">
      <w:pPr>
        <w:pStyle w:val="ECCBulletsLv1"/>
        <w:rPr>
          <w:rStyle w:val="ECCParagraph"/>
        </w:rPr>
      </w:pPr>
      <w:hyperlink r:id="rId33" w:history="1">
        <w:r w:rsidR="00C14129" w:rsidRPr="00C91E09">
          <w:rPr>
            <w:rStyle w:val="Hyperlink"/>
          </w:rPr>
          <w:t>ECC Report 184</w:t>
        </w:r>
      </w:hyperlink>
      <w:r w:rsidR="00C14129" w:rsidRPr="00C14129">
        <w:t>: “The Use of Earth Stations on Mobile Platforms Operating with GSO Satellite Networks in the Frequency Ranges 17.3-20.2 GHz and 27.5-30.0 GHz”</w:t>
      </w:r>
    </w:p>
    <w:p w14:paraId="77F9D6CF" w14:textId="521390A6" w:rsidR="00C05E5C" w:rsidRPr="00C05E5C" w:rsidRDefault="00000000" w:rsidP="00C05E5C">
      <w:pPr>
        <w:pStyle w:val="ECCBulletsLv1"/>
        <w:rPr>
          <w:rStyle w:val="ECCParagraph"/>
        </w:rPr>
      </w:pPr>
      <w:hyperlink r:id="rId34" w:history="1">
        <w:r w:rsidR="00C05E5C" w:rsidRPr="00C05E5C">
          <w:rPr>
            <w:rStyle w:val="Hyperlink"/>
          </w:rPr>
          <w:t>ECC</w:t>
        </w:r>
        <w:r w:rsidR="007229D5" w:rsidRPr="007229D5">
          <w:rPr>
            <w:rStyle w:val="Hyperlink"/>
          </w:rPr>
          <w:t xml:space="preserve"> Decision </w:t>
        </w:r>
        <w:r w:rsidR="00C05E5C" w:rsidRPr="00C05E5C">
          <w:rPr>
            <w:rStyle w:val="Hyperlink"/>
          </w:rPr>
          <w:t>(19)04</w:t>
        </w:r>
      </w:hyperlink>
      <w:r w:rsidR="00C05E5C" w:rsidRPr="00C05E5C">
        <w:t xml:space="preserve">: </w:t>
      </w:r>
      <w:r w:rsidR="0033653C">
        <w:t>“T</w:t>
      </w:r>
      <w:r w:rsidR="00C05E5C" w:rsidRPr="00C05E5C">
        <w:t>he harmonised use of spectrum, free circulation and use of earth stations on-board aircraft operating with GSO FSS networks and NGSO FSS systems in the frequency bands 12.75-13.25 GHz (Earth-to-space) and 10.7-12.75 GHz (space-to-Earth)</w:t>
      </w:r>
      <w:r w:rsidR="00D3166C">
        <w:t>”</w:t>
      </w:r>
    </w:p>
    <w:p w14:paraId="0EFC1A3D" w14:textId="018FE9A5" w:rsidR="00C05E5C" w:rsidRPr="00C05E5C" w:rsidRDefault="00000000" w:rsidP="00C05E5C">
      <w:pPr>
        <w:pStyle w:val="ECCBulletsLv1"/>
      </w:pPr>
      <w:hyperlink r:id="rId35" w:history="1">
        <w:r w:rsidR="00C05E5C" w:rsidRPr="00C05E5C">
          <w:rPr>
            <w:rStyle w:val="Hyperlink"/>
          </w:rPr>
          <w:t>ECC</w:t>
        </w:r>
        <w:r w:rsidR="007229D5" w:rsidRPr="007229D5">
          <w:rPr>
            <w:rStyle w:val="Hyperlink"/>
          </w:rPr>
          <w:t xml:space="preserve"> Decision </w:t>
        </w:r>
        <w:r w:rsidR="00C05E5C" w:rsidRPr="00C05E5C">
          <w:rPr>
            <w:rStyle w:val="Hyperlink"/>
          </w:rPr>
          <w:t>(18)04</w:t>
        </w:r>
      </w:hyperlink>
      <w:r w:rsidR="00C05E5C" w:rsidRPr="00C05E5C">
        <w:t xml:space="preserve">: </w:t>
      </w:r>
      <w:r w:rsidR="0033653C">
        <w:t>“T</w:t>
      </w:r>
      <w:r w:rsidR="00C05E5C" w:rsidRPr="00C05E5C">
        <w:t>he harmonised use, exemption from individual licensing and free circulation and use of land based Earth Stations In-Motion (ESIM) operating with GSO FSS satellite systems in the frequency bands 10.7-12.75 GHz and 14.0-14.5 GHz</w:t>
      </w:r>
      <w:r w:rsidR="0034200D">
        <w:t>”</w:t>
      </w:r>
      <w:r w:rsidR="00C05E5C" w:rsidRPr="00C05E5C">
        <w:t xml:space="preserve"> </w:t>
      </w:r>
    </w:p>
    <w:p w14:paraId="329663EB" w14:textId="64C9DE3A" w:rsidR="00C05E5C" w:rsidRPr="00C05E5C" w:rsidRDefault="00000000" w:rsidP="00C05E5C">
      <w:pPr>
        <w:pStyle w:val="ECCBulletsLv1"/>
      </w:pPr>
      <w:hyperlink r:id="rId36" w:history="1">
        <w:r w:rsidR="00C05E5C" w:rsidRPr="00C05E5C">
          <w:rPr>
            <w:rStyle w:val="Hyperlink"/>
          </w:rPr>
          <w:t>ECC</w:t>
        </w:r>
        <w:r w:rsidR="007229D5" w:rsidRPr="007229D5">
          <w:rPr>
            <w:rStyle w:val="Hyperlink"/>
          </w:rPr>
          <w:t xml:space="preserve"> Decision </w:t>
        </w:r>
        <w:r w:rsidR="00C05E5C" w:rsidRPr="00C05E5C">
          <w:rPr>
            <w:rStyle w:val="Hyperlink"/>
          </w:rPr>
          <w:t>(13)01</w:t>
        </w:r>
      </w:hyperlink>
      <w:r w:rsidR="00C05E5C" w:rsidRPr="00C05E5C">
        <w:t xml:space="preserve">: </w:t>
      </w:r>
      <w:r w:rsidR="007229D5">
        <w:t>“</w:t>
      </w:r>
      <w:r w:rsidR="00413247" w:rsidRPr="00413247">
        <w:t>The harmonised use, free circulation and exemption from individual licensing of Earth Stations On Mobile Platforms (ESOMPs) within the frequency bands 17.3-20.2 GHz and 27.5-30.0 GHz</w:t>
      </w:r>
      <w:r w:rsidR="00062DFB">
        <w:t>”</w:t>
      </w:r>
    </w:p>
    <w:p w14:paraId="0A657425" w14:textId="31186630" w:rsidR="00C05E5C" w:rsidRPr="00C05E5C" w:rsidRDefault="00000000" w:rsidP="00C05E5C">
      <w:pPr>
        <w:pStyle w:val="ECCBulletsLv1"/>
      </w:pPr>
      <w:hyperlink r:id="rId37" w:history="1">
        <w:r w:rsidR="00C05E5C" w:rsidRPr="00C05E5C">
          <w:rPr>
            <w:rStyle w:val="Hyperlink"/>
          </w:rPr>
          <w:t>ECC</w:t>
        </w:r>
        <w:r w:rsidR="004442D6" w:rsidRPr="004442D6">
          <w:rPr>
            <w:rStyle w:val="Hyperlink"/>
          </w:rPr>
          <w:t xml:space="preserve"> Decision </w:t>
        </w:r>
        <w:r w:rsidR="00C05E5C" w:rsidRPr="00C05E5C">
          <w:rPr>
            <w:rStyle w:val="Hyperlink"/>
          </w:rPr>
          <w:t>(05)11</w:t>
        </w:r>
      </w:hyperlink>
      <w:r w:rsidR="00C05E5C" w:rsidRPr="00C05E5C">
        <w:t xml:space="preserve">: </w:t>
      </w:r>
      <w:r w:rsidR="009E2698">
        <w:t>“</w:t>
      </w:r>
      <w:r w:rsidR="004A776E" w:rsidRPr="004A776E">
        <w:t>The free circulation and use of Aircraft Earth Stations (AES) in the frequency bands 14.0-14.5 GHz (Earth-tospace), 10.7-11.7 GHz (space-to-Earth) and 12.5-12.75 GHz (space-to-Earth)</w:t>
      </w:r>
      <w:r w:rsidR="004A776E">
        <w:t>”</w:t>
      </w:r>
    </w:p>
    <w:p w14:paraId="01429AE2" w14:textId="2A97CE58" w:rsidR="001C7107" w:rsidRDefault="00000000" w:rsidP="001C7107">
      <w:pPr>
        <w:pStyle w:val="ECCBulletsLv1"/>
      </w:pPr>
      <w:hyperlink r:id="rId38" w:history="1">
        <w:r w:rsidR="001C7107" w:rsidRPr="001C7107">
          <w:rPr>
            <w:rStyle w:val="Hyperlink"/>
          </w:rPr>
          <w:t>ECC</w:t>
        </w:r>
        <w:r w:rsidR="004442D6" w:rsidRPr="004442D6">
          <w:rPr>
            <w:rStyle w:val="Hyperlink"/>
          </w:rPr>
          <w:t xml:space="preserve"> Decision </w:t>
        </w:r>
        <w:r w:rsidR="001C7107" w:rsidRPr="001C7107">
          <w:rPr>
            <w:rStyle w:val="Hyperlink"/>
          </w:rPr>
          <w:t>(05)10</w:t>
        </w:r>
      </w:hyperlink>
      <w:r w:rsidR="001C7107" w:rsidRPr="001C7107">
        <w:t xml:space="preserve">: </w:t>
      </w:r>
      <w:r w:rsidR="00945B1D">
        <w:t>“</w:t>
      </w:r>
      <w:r w:rsidR="00D9758B" w:rsidRPr="00D9758B">
        <w:t>The free circulation and use of Earth Stations on board Vessels operating in fixed satellite service networks in the frequency bands 14-14.5 GHz</w:t>
      </w:r>
      <w:r w:rsidR="00D9758B">
        <w:t>”</w:t>
      </w:r>
    </w:p>
    <w:p w14:paraId="7BB8D233" w14:textId="7A97B6EE" w:rsidR="00720AC4" w:rsidRPr="001C7107" w:rsidRDefault="00000000" w:rsidP="00720AC4">
      <w:pPr>
        <w:pStyle w:val="ECCBulletsLv1"/>
      </w:pPr>
      <w:hyperlink r:id="rId39" w:history="1">
        <w:r w:rsidR="00720AC4" w:rsidRPr="00A42192">
          <w:rPr>
            <w:rStyle w:val="Hyperlink"/>
          </w:rPr>
          <w:t>ECC Decision (21)01</w:t>
        </w:r>
      </w:hyperlink>
      <w:r w:rsidR="00720AC4">
        <w:t>: “</w:t>
      </w:r>
      <w:r w:rsidR="00720AC4" w:rsidRPr="00392E5D">
        <w:t>The use of the bands 47.2-50.2 GHz and 50.4-52.4 GHz by the</w:t>
      </w:r>
      <w:r w:rsidR="00720AC4">
        <w:t xml:space="preserve"> </w:t>
      </w:r>
      <w:r w:rsidR="00720AC4" w:rsidRPr="00392E5D">
        <w:t>fixed-satellite service (Earth-to-space)</w:t>
      </w:r>
      <w:r w:rsidR="00720AC4">
        <w:t xml:space="preserve">”, </w:t>
      </w:r>
      <w:r w:rsidR="00720AC4" w:rsidRPr="00392E5D">
        <w:t xml:space="preserve">see </w:t>
      </w:r>
      <w:r w:rsidR="00720AC4">
        <w:t>A</w:t>
      </w:r>
      <w:r w:rsidR="00720AC4" w:rsidRPr="00392E5D">
        <w:t>nnex 2</w:t>
      </w:r>
    </w:p>
    <w:p w14:paraId="24ADC4DB" w14:textId="77777777" w:rsidR="00E26BAC" w:rsidRDefault="003771D5" w:rsidP="000A29BC">
      <w:pPr>
        <w:pStyle w:val="ECCBreak"/>
        <w:rPr>
          <w:rStyle w:val="ECCParagraph"/>
        </w:rPr>
      </w:pPr>
      <w:r w:rsidRPr="00235592">
        <w:rPr>
          <w:rStyle w:val="ECCParagraph"/>
        </w:rPr>
        <w:t>EU Documentation (Directives, Decisions, Recommendations, other), if applicable</w:t>
      </w:r>
    </w:p>
    <w:p w14:paraId="5C18ACE0" w14:textId="0379BF6E" w:rsidR="004D40D7" w:rsidRPr="004D40D7" w:rsidRDefault="00000000" w:rsidP="004D40D7">
      <w:pPr>
        <w:pStyle w:val="ECCBulletsLv1"/>
      </w:pPr>
      <w:hyperlink r:id="rId40" w:history="1">
        <w:r w:rsidR="004D40D7" w:rsidRPr="00BB3C7B">
          <w:rPr>
            <w:rStyle w:val="Hyperlink"/>
          </w:rPr>
          <w:t>ETSI EN 303 97</w:t>
        </w:r>
        <w:r w:rsidR="00BB3C7B">
          <w:rPr>
            <w:rStyle w:val="Hyperlink"/>
          </w:rPr>
          <w:t>9</w:t>
        </w:r>
        <w:r w:rsidR="00BB3C7B" w:rsidRPr="00BB3C7B">
          <w:rPr>
            <w:rStyle w:val="Hyperlink"/>
          </w:rPr>
          <w:t xml:space="preserve"> V2.1.2 (2016-10)</w:t>
        </w:r>
      </w:hyperlink>
      <w:r w:rsidR="00BB3C7B">
        <w:t>:</w:t>
      </w:r>
      <w:r w:rsidR="004D40D7" w:rsidRPr="004D40D7">
        <w:t xml:space="preserve"> “Satellite Earth Stations and Systems (SES); Harmonised Standard for Earth Stations on Mobile Platforms (ESOMP) transmitting towards satellites in non-geostationary orbit, operating in the 27</w:t>
      </w:r>
      <w:r w:rsidR="00A54D40">
        <w:t>.</w:t>
      </w:r>
      <w:r w:rsidR="004D40D7" w:rsidRPr="004D40D7">
        <w:t>5 GHz to 29</w:t>
      </w:r>
      <w:r w:rsidR="00A54D40">
        <w:t>.</w:t>
      </w:r>
      <w:r w:rsidR="004D40D7" w:rsidRPr="004D40D7">
        <w:t>1 GHz and 29</w:t>
      </w:r>
      <w:r w:rsidR="00A54D40">
        <w:t>.</w:t>
      </w:r>
      <w:r w:rsidR="004D40D7" w:rsidRPr="004D40D7">
        <w:t>5 GHz to 30</w:t>
      </w:r>
      <w:r w:rsidR="00A54D40">
        <w:t>.</w:t>
      </w:r>
      <w:r w:rsidR="004D40D7" w:rsidRPr="004D40D7">
        <w:t>0 GHz frequency bands covering the essential requirements of article 3.2 of the Directive 2014/53/EU”</w:t>
      </w:r>
    </w:p>
    <w:p w14:paraId="40D23086" w14:textId="4FD85B2B" w:rsidR="007203D8" w:rsidRPr="004D40D7" w:rsidRDefault="00000000" w:rsidP="004D40D7">
      <w:pPr>
        <w:pStyle w:val="ECCBulletsLv1"/>
      </w:pPr>
      <w:hyperlink r:id="rId41" w:history="1">
        <w:r w:rsidR="004D40D7" w:rsidRPr="002A1575">
          <w:rPr>
            <w:rStyle w:val="Hyperlink"/>
          </w:rPr>
          <w:t>ETSI EN 303 978</w:t>
        </w:r>
        <w:r w:rsidR="00C73EAC" w:rsidRPr="002A1575">
          <w:rPr>
            <w:rStyle w:val="Hyperlink"/>
          </w:rPr>
          <w:t xml:space="preserve"> V2.1.2 (2016-10)</w:t>
        </w:r>
      </w:hyperlink>
      <w:r w:rsidR="004D40D7" w:rsidRPr="004D40D7">
        <w:t>: “</w:t>
      </w:r>
      <w:r w:rsidR="00E95422" w:rsidRPr="00E95422">
        <w:t>Satellite Earth Stations and Systems (SES); Harmonised Standard for Earth Stations on Mobile Platforms (ESOMP) transmitting towards satellites in geostationary orbit, operating in the 27</w:t>
      </w:r>
      <w:r w:rsidR="00A54D40">
        <w:t>.</w:t>
      </w:r>
      <w:r w:rsidR="00E95422" w:rsidRPr="00E95422">
        <w:t>5 GHz to 30</w:t>
      </w:r>
      <w:r w:rsidR="00A54D40">
        <w:t>.</w:t>
      </w:r>
      <w:r w:rsidR="00E95422" w:rsidRPr="00E95422">
        <w:t>0 GHz frequency bands covering the essential requirements of article 3.2 of the Directive 2014/53/EU</w:t>
      </w:r>
      <w:r w:rsidR="004D40D7" w:rsidRPr="004D40D7">
        <w:t>”</w:t>
      </w:r>
    </w:p>
    <w:p w14:paraId="3965CA32" w14:textId="37E90599" w:rsidR="000A29BC" w:rsidRPr="00235592" w:rsidRDefault="00000000" w:rsidP="00DA6628">
      <w:pPr>
        <w:pStyle w:val="ECCBulletsLv1"/>
        <w:rPr>
          <w:rStyle w:val="ECCParagraph"/>
        </w:rPr>
      </w:pPr>
      <w:hyperlink r:id="rId42" w:history="1">
        <w:r w:rsidR="00DA6628" w:rsidRPr="00861FAA">
          <w:rPr>
            <w:rStyle w:val="Hyperlink"/>
          </w:rPr>
          <w:t>ETSI EN 303 98</w:t>
        </w:r>
        <w:r w:rsidR="00861FAA" w:rsidRPr="00861FAA">
          <w:rPr>
            <w:rStyle w:val="Hyperlink"/>
          </w:rPr>
          <w:t>0 V1.2.1 (2021-05)</w:t>
        </w:r>
      </w:hyperlink>
      <w:r w:rsidR="00DA6628" w:rsidRPr="004D40D7">
        <w:t>: “</w:t>
      </w:r>
      <w:r w:rsidR="00762AF0" w:rsidRPr="00762AF0">
        <w:t>Satellite Earth Stations and Systems (SES); Fixed and in-motion Earth Stations</w:t>
      </w:r>
      <w:r w:rsidR="008B4D7E">
        <w:t xml:space="preserve"> </w:t>
      </w:r>
      <w:r w:rsidR="00762AF0" w:rsidRPr="00762AF0">
        <w:t>communicating with non-geostationary satellite systems (NEST) in the 11 GHz to 14 GHz frequency bands; Harmonised Standard for access to radio spectrum</w:t>
      </w:r>
      <w:r w:rsidR="00DA6628" w:rsidRPr="004D40D7">
        <w:t>”</w:t>
      </w:r>
    </w:p>
    <w:p w14:paraId="110AA254" w14:textId="77777777" w:rsidR="003771D5" w:rsidRPr="00235592" w:rsidRDefault="003771D5" w:rsidP="00BD4E12">
      <w:pPr>
        <w:pStyle w:val="Heading1"/>
        <w:rPr>
          <w:lang w:val="en-GB"/>
        </w:rPr>
      </w:pPr>
      <w:r w:rsidRPr="00235592">
        <w:rPr>
          <w:lang w:val="en-GB"/>
        </w:rPr>
        <w:t>Actions to be taken</w:t>
      </w:r>
    </w:p>
    <w:p w14:paraId="1E0F805E" w14:textId="2792712D" w:rsidR="002B405C" w:rsidRPr="002B405C" w:rsidRDefault="0002480F" w:rsidP="0002480F">
      <w:pPr>
        <w:pStyle w:val="ECCBulletsLv1"/>
        <w:rPr>
          <w:rStyle w:val="ECCParagraph"/>
        </w:rPr>
      </w:pPr>
      <w:r>
        <w:rPr>
          <w:rStyle w:val="ECCParagraph"/>
        </w:rPr>
        <w:t>P</w:t>
      </w:r>
      <w:r w:rsidR="002B405C" w:rsidRPr="002B405C">
        <w:rPr>
          <w:rStyle w:val="ECCParagraph"/>
        </w:rPr>
        <w:t xml:space="preserve">rovide </w:t>
      </w:r>
      <w:r w:rsidR="00D74550">
        <w:rPr>
          <w:rStyle w:val="ECCParagraph"/>
        </w:rPr>
        <w:t xml:space="preserve">ITU-R </w:t>
      </w:r>
      <w:r w:rsidR="002B405C" w:rsidRPr="002B405C">
        <w:rPr>
          <w:rStyle w:val="ECCParagraph"/>
        </w:rPr>
        <w:t>WP</w:t>
      </w:r>
      <w:r w:rsidR="00D74550">
        <w:rPr>
          <w:rStyle w:val="ECCParagraph"/>
        </w:rPr>
        <w:t xml:space="preserve"> </w:t>
      </w:r>
      <w:r w:rsidR="002B405C" w:rsidRPr="002B405C">
        <w:rPr>
          <w:rStyle w:val="ECCParagraph"/>
        </w:rPr>
        <w:t xml:space="preserve">4A with filed network parameters of ESIMs systems and/or possible </w:t>
      </w:r>
      <w:r w:rsidR="002B405C" w:rsidRPr="002B405C">
        <w:t>draft characteristics of ESIMs communicating with GSO/non-GSO satellite systems operating or expected to operate in CEPT countries,</w:t>
      </w:r>
      <w:r w:rsidR="002B405C" w:rsidRPr="002B405C" w:rsidDel="003E2084">
        <w:rPr>
          <w:rStyle w:val="ECCParagraph"/>
        </w:rPr>
        <w:t xml:space="preserve"> </w:t>
      </w:r>
      <w:r w:rsidR="002B405C" w:rsidRPr="002B405C">
        <w:rPr>
          <w:rStyle w:val="ECCParagraph"/>
        </w:rPr>
        <w:t xml:space="preserve">in order to ensure they are included in the working document on sharing studies. </w:t>
      </w:r>
    </w:p>
    <w:p w14:paraId="53BC4C2C" w14:textId="380C9AC6" w:rsidR="002B405C" w:rsidRDefault="0002480F" w:rsidP="002B405C">
      <w:pPr>
        <w:pStyle w:val="ECCBulletsLv1"/>
      </w:pPr>
      <w:r>
        <w:t>P</w:t>
      </w:r>
      <w:r w:rsidR="002B405C" w:rsidRPr="002B405C">
        <w:t>ropose sharing and compatibility studies, taking into account the possible reuse and adaptation, as relevant, of studies carried out under AI 1.5 of WRC-19, AI 1.15 and AI 1.16 of WRC-23 and relevant conclusions reflected in associated outcomes (Resolutions and Recommendations).</w:t>
      </w:r>
    </w:p>
    <w:p w14:paraId="6C9FD864" w14:textId="569A6616" w:rsidR="00C12D04" w:rsidRPr="00233D8F" w:rsidRDefault="0002480F" w:rsidP="00C12D04">
      <w:pPr>
        <w:pStyle w:val="ECCBulletsLv1"/>
        <w:rPr>
          <w:rStyle w:val="ECCParagraph"/>
        </w:rPr>
      </w:pPr>
      <w:bookmarkStart w:id="3" w:name="_Hlk177571898"/>
      <w:r>
        <w:rPr>
          <w:rStyle w:val="ECCParagraph"/>
        </w:rPr>
        <w:t>P</w:t>
      </w:r>
      <w:r w:rsidR="00C12D04" w:rsidRPr="00233D8F">
        <w:rPr>
          <w:rStyle w:val="ECCParagraph"/>
        </w:rPr>
        <w:t xml:space="preserve">ropose sharing and compatibility studies to verify that with those additional Earth stations, the protection of the EESS (passive) in the adjacent frequency band 50.2-50.4 GHz continues to be ensured through the current mandatory unwanted emission limits in Resolution </w:t>
      </w:r>
      <w:r w:rsidR="00C12D04" w:rsidRPr="00712EE7">
        <w:rPr>
          <w:rStyle w:val="ECCHLbold"/>
        </w:rPr>
        <w:t>750 (Rev WRC-19)</w:t>
      </w:r>
      <w:r w:rsidR="00C12D04" w:rsidRPr="00233D8F">
        <w:rPr>
          <w:rStyle w:val="ECCParagraph"/>
        </w:rPr>
        <w:t>.</w:t>
      </w:r>
    </w:p>
    <w:p w14:paraId="3B64B5A4" w14:textId="1DC88AAC" w:rsidR="00720AC4" w:rsidRPr="00217A44" w:rsidRDefault="00720AC4" w:rsidP="00720AC4">
      <w:pPr>
        <w:pStyle w:val="ECCBulletsLv1"/>
        <w:rPr>
          <w:rStyle w:val="ECCParagraph"/>
        </w:rPr>
      </w:pPr>
      <w:r w:rsidRPr="00217A44">
        <w:rPr>
          <w:rStyle w:val="ECCParagraph"/>
        </w:rPr>
        <w:t xml:space="preserve">Consider, as appropriate, all requirements with respect to the provisions applicable to RA, including </w:t>
      </w:r>
      <w:r w:rsidR="00C83A70">
        <w:rPr>
          <w:rStyle w:val="ECCParagraph"/>
        </w:rPr>
        <w:t>No</w:t>
      </w:r>
      <w:r w:rsidRPr="00217A44">
        <w:rPr>
          <w:rStyle w:val="ECCParagraph"/>
        </w:rPr>
        <w:t>s</w:t>
      </w:r>
      <w:r w:rsidR="00F62680">
        <w:rPr>
          <w:rStyle w:val="ECCParagraph"/>
        </w:rPr>
        <w:t>.</w:t>
      </w:r>
      <w:r w:rsidRPr="00217A44">
        <w:rPr>
          <w:rStyle w:val="ECCParagraph"/>
        </w:rPr>
        <w:t xml:space="preserve"> </w:t>
      </w:r>
      <w:r w:rsidRPr="00233D8F">
        <w:rPr>
          <w:rStyle w:val="ECCHLbold"/>
        </w:rPr>
        <w:t>5.555</w:t>
      </w:r>
      <w:r w:rsidRPr="00217A44">
        <w:rPr>
          <w:rStyle w:val="ECCParagraph"/>
        </w:rPr>
        <w:t xml:space="preserve">, </w:t>
      </w:r>
      <w:r w:rsidRPr="00233D8F">
        <w:rPr>
          <w:rStyle w:val="ECCHLbold"/>
        </w:rPr>
        <w:t>5.556</w:t>
      </w:r>
      <w:r w:rsidRPr="00217A44">
        <w:rPr>
          <w:rStyle w:val="ECCParagraph"/>
        </w:rPr>
        <w:t xml:space="preserve">, </w:t>
      </w:r>
      <w:r w:rsidRPr="00233D8F">
        <w:rPr>
          <w:rStyle w:val="ECCHLbold"/>
        </w:rPr>
        <w:t>5.340</w:t>
      </w:r>
      <w:r w:rsidR="00F62680">
        <w:rPr>
          <w:rStyle w:val="ECCParagraph"/>
        </w:rPr>
        <w:t xml:space="preserve"> and</w:t>
      </w:r>
      <w:r w:rsidRPr="00217A44">
        <w:rPr>
          <w:rStyle w:val="ECCParagraph"/>
        </w:rPr>
        <w:t xml:space="preserve"> </w:t>
      </w:r>
      <w:r w:rsidRPr="00233D8F">
        <w:rPr>
          <w:rStyle w:val="ECCHLbold"/>
        </w:rPr>
        <w:t>5.149</w:t>
      </w:r>
      <w:r w:rsidRPr="00217A44">
        <w:rPr>
          <w:rStyle w:val="ECCParagraph"/>
        </w:rPr>
        <w:t>.</w:t>
      </w:r>
    </w:p>
    <w:p w14:paraId="16416BD1" w14:textId="317CAE65" w:rsidR="00C12D04" w:rsidRPr="00233D8F" w:rsidRDefault="0002480F" w:rsidP="00C12D04">
      <w:pPr>
        <w:pStyle w:val="ECCBulletsLv1"/>
        <w:rPr>
          <w:rStyle w:val="ECCParagraph"/>
        </w:rPr>
      </w:pPr>
      <w:r>
        <w:rPr>
          <w:rStyle w:val="ECCParagraph"/>
        </w:rPr>
        <w:t>V</w:t>
      </w:r>
      <w:r w:rsidR="00C12D04" w:rsidRPr="00233D8F">
        <w:rPr>
          <w:rStyle w:val="ECCParagraph"/>
        </w:rPr>
        <w:t xml:space="preserve">erify the applicability of Resolution </w:t>
      </w:r>
      <w:r w:rsidR="00C12D04" w:rsidRPr="00233D8F">
        <w:rPr>
          <w:rStyle w:val="ECCHLbold"/>
        </w:rPr>
        <w:t>770 (WRC-23)</w:t>
      </w:r>
      <w:r w:rsidR="00C12D04" w:rsidRPr="00233D8F">
        <w:rPr>
          <w:rStyle w:val="ECCParagraph"/>
        </w:rPr>
        <w:t xml:space="preserve"> to ensure the protection of GSO networks from non-GSO ESIMs</w:t>
      </w:r>
      <w:bookmarkEnd w:id="3"/>
      <w:r w:rsidR="00F62680">
        <w:rPr>
          <w:rStyle w:val="ECCParagraph"/>
        </w:rPr>
        <w:t>.</w:t>
      </w:r>
    </w:p>
    <w:p w14:paraId="712989AD" w14:textId="668B8949" w:rsidR="00427CF7" w:rsidRPr="00233D8F" w:rsidRDefault="0002480F" w:rsidP="00427CF7">
      <w:pPr>
        <w:pStyle w:val="ECCBulletsLv1"/>
        <w:rPr>
          <w:rStyle w:val="ECCParagraph"/>
        </w:rPr>
      </w:pPr>
      <w:r>
        <w:rPr>
          <w:rStyle w:val="ECCParagraph"/>
        </w:rPr>
        <w:t>E</w:t>
      </w:r>
      <w:r w:rsidR="00427CF7" w:rsidRPr="00233D8F">
        <w:rPr>
          <w:rStyle w:val="ECCParagraph"/>
        </w:rPr>
        <w:t xml:space="preserve">stablish power flux density (pfd) limits on the earth surface for A-ESIM and the associated methodology for the Radiocommunication Bureau (BR) to examine the compliance of an A-ESIM with these pfd limits to ensure the protection of mobile, fixed and Radio Astronomy Services (see </w:t>
      </w:r>
      <w:r w:rsidR="00F62680">
        <w:rPr>
          <w:rStyle w:val="ECCParagraph"/>
        </w:rPr>
        <w:t xml:space="preserve">Nos. </w:t>
      </w:r>
      <w:r w:rsidR="00427CF7" w:rsidRPr="00233D8F">
        <w:rPr>
          <w:rStyle w:val="ECCHLbold"/>
        </w:rPr>
        <w:t>5.556</w:t>
      </w:r>
      <w:r w:rsidR="00427CF7" w:rsidRPr="00233D8F">
        <w:rPr>
          <w:rStyle w:val="ECCParagraph"/>
        </w:rPr>
        <w:t xml:space="preserve"> </w:t>
      </w:r>
      <w:r w:rsidR="00F62680">
        <w:rPr>
          <w:rStyle w:val="ECCParagraph"/>
        </w:rPr>
        <w:t xml:space="preserve">and </w:t>
      </w:r>
      <w:r w:rsidR="00427CF7" w:rsidRPr="00233D8F">
        <w:rPr>
          <w:rStyle w:val="ECCHLbold"/>
        </w:rPr>
        <w:t>5.149</w:t>
      </w:r>
      <w:r w:rsidR="00427CF7" w:rsidRPr="00233D8F">
        <w:rPr>
          <w:rStyle w:val="ECCParagraph"/>
        </w:rPr>
        <w:t>)</w:t>
      </w:r>
      <w:r w:rsidR="00F62680">
        <w:rPr>
          <w:rStyle w:val="ECCParagraph"/>
        </w:rPr>
        <w:t>.</w:t>
      </w:r>
    </w:p>
    <w:p w14:paraId="2D91EAB4" w14:textId="10A3E408" w:rsidR="00427CF7" w:rsidRPr="00233D8F" w:rsidRDefault="0002480F" w:rsidP="00427CF7">
      <w:pPr>
        <w:pStyle w:val="ECCBulletsLv1"/>
        <w:rPr>
          <w:rStyle w:val="ECCParagraph"/>
        </w:rPr>
      </w:pPr>
      <w:r>
        <w:rPr>
          <w:rStyle w:val="ECCParagraph"/>
        </w:rPr>
        <w:t>E</w:t>
      </w:r>
      <w:r w:rsidR="00427CF7" w:rsidRPr="00233D8F">
        <w:rPr>
          <w:rStyle w:val="ECCParagraph"/>
        </w:rPr>
        <w:t>stablish on-axis and off-axis e.i.r.p. density limits for the purpose of the protection of GSO and non-GSO FSS systems</w:t>
      </w:r>
      <w:r w:rsidR="000F3561">
        <w:rPr>
          <w:rStyle w:val="ECCParagraph"/>
        </w:rPr>
        <w:t>.</w:t>
      </w:r>
    </w:p>
    <w:p w14:paraId="69C770F7" w14:textId="3E0C61F9" w:rsidR="000E7FBB" w:rsidRPr="00233D8F" w:rsidRDefault="00720AC4" w:rsidP="000E7FBB">
      <w:pPr>
        <w:pStyle w:val="ECCBulletsLv1"/>
        <w:rPr>
          <w:rStyle w:val="ECCHLcyan"/>
        </w:rPr>
      </w:pPr>
      <w:r>
        <w:rPr>
          <w:rStyle w:val="ECCParagraph"/>
        </w:rPr>
        <w:t xml:space="preserve">Consider </w:t>
      </w:r>
      <w:r w:rsidR="000E7FBB" w:rsidRPr="00233D8F">
        <w:rPr>
          <w:rStyle w:val="ECCParagraph"/>
        </w:rPr>
        <w:t>the development of an ITU-R Recommendation for the Network Control and Monitoring Centre (NCMC) for ESIM operations that would provide means to control ESIM transmissions without jeopardizing the development of these systems.</w:t>
      </w:r>
      <w:r w:rsidR="000E7FBB" w:rsidRPr="000E7FBB">
        <w:rPr>
          <w:rStyle w:val="ECCHLyellow"/>
        </w:rPr>
        <w:t xml:space="preserve"> </w:t>
      </w:r>
    </w:p>
    <w:p w14:paraId="6273D382" w14:textId="5818827E" w:rsidR="003771D5" w:rsidRPr="00235592" w:rsidRDefault="003771D5" w:rsidP="00BD4E12">
      <w:pPr>
        <w:pStyle w:val="Heading1"/>
        <w:rPr>
          <w:lang w:val="en-GB"/>
        </w:rPr>
      </w:pPr>
      <w:r w:rsidRPr="00235592">
        <w:rPr>
          <w:lang w:val="en-GB"/>
        </w:rPr>
        <w:t xml:space="preserve">Relevant information </w:t>
      </w:r>
      <w:r w:rsidR="008C14EA" w:rsidRPr="00A52B8E">
        <w:rPr>
          <w:lang w:val="en-GB"/>
        </w:rPr>
        <w:t xml:space="preserve">as contributed </w:t>
      </w:r>
      <w:r w:rsidRPr="00235592">
        <w:rPr>
          <w:lang w:val="en-GB"/>
        </w:rPr>
        <w:t>from outside CEPT (examples of these are below)</w:t>
      </w:r>
    </w:p>
    <w:p w14:paraId="108611CC" w14:textId="380F2A23" w:rsidR="003771D5" w:rsidRPr="00235592" w:rsidRDefault="00652804" w:rsidP="00BD4E12">
      <w:pPr>
        <w:pStyle w:val="Heading2"/>
        <w:rPr>
          <w:lang w:val="en-GB"/>
        </w:rPr>
      </w:pPr>
      <w:r w:rsidRPr="00A52B8E">
        <w:rPr>
          <w:lang w:val="en-GB"/>
        </w:rPr>
        <w:t>European Commission</w:t>
      </w:r>
      <w:r w:rsidR="002132DB" w:rsidRPr="00A52B8E">
        <w:rPr>
          <w:lang w:val="en-GB"/>
        </w:rPr>
        <w:t xml:space="preserve"> (date o</w:t>
      </w:r>
      <w:r w:rsidR="00F8504F" w:rsidRPr="00A52B8E">
        <w:rPr>
          <w:lang w:val="en-GB"/>
        </w:rPr>
        <w:t>f proposal)</w:t>
      </w:r>
    </w:p>
    <w:p w14:paraId="02658459" w14:textId="77777777" w:rsidR="004F16F4" w:rsidRPr="00235592" w:rsidRDefault="004F16F4" w:rsidP="004F16F4">
      <w:pPr>
        <w:rPr>
          <w:rStyle w:val="ECCParagraph"/>
        </w:rPr>
      </w:pPr>
    </w:p>
    <w:p w14:paraId="0B92F784" w14:textId="4FDF6BEE" w:rsidR="003771D5" w:rsidRPr="00235592" w:rsidRDefault="003771D5" w:rsidP="00BD4E12">
      <w:pPr>
        <w:pStyle w:val="Heading2"/>
        <w:rPr>
          <w:lang w:val="en-GB"/>
        </w:rPr>
      </w:pPr>
      <w:r w:rsidRPr="00235592">
        <w:rPr>
          <w:lang w:val="en-GB"/>
        </w:rPr>
        <w:lastRenderedPageBreak/>
        <w:t xml:space="preserve">Regional </w:t>
      </w:r>
      <w:r w:rsidR="00B54B09">
        <w:t>T</w:t>
      </w:r>
      <w:r w:rsidR="0057797A" w:rsidRPr="00235592">
        <w:rPr>
          <w:lang w:val="en-GB"/>
        </w:rPr>
        <w:t xml:space="preserve">elecommunication </w:t>
      </w:r>
      <w:r w:rsidR="00B54B09">
        <w:t>O</w:t>
      </w:r>
      <w:r w:rsidR="0057797A" w:rsidRPr="00235592">
        <w:rPr>
          <w:lang w:val="en-GB"/>
        </w:rPr>
        <w:t>rganisations</w:t>
      </w:r>
    </w:p>
    <w:p w14:paraId="202E4ABD" w14:textId="11344B2C" w:rsidR="003771D5" w:rsidRPr="00235592" w:rsidRDefault="003771D5" w:rsidP="009B1F62">
      <w:pPr>
        <w:pStyle w:val="ECCBreak"/>
      </w:pPr>
      <w:r w:rsidRPr="00235592">
        <w:t>APT (date of proposal)</w:t>
      </w:r>
    </w:p>
    <w:p w14:paraId="2AF5FF95" w14:textId="77777777" w:rsidR="006C5C1C" w:rsidRPr="00235592" w:rsidRDefault="006C5C1C" w:rsidP="006C5C1C">
      <w:pPr>
        <w:rPr>
          <w:rStyle w:val="ECCParagraph"/>
        </w:rPr>
      </w:pPr>
    </w:p>
    <w:p w14:paraId="3A5AB3EF" w14:textId="0DE90364" w:rsidR="003771D5" w:rsidRDefault="003771D5" w:rsidP="009B1F62">
      <w:pPr>
        <w:pStyle w:val="ECCBreak"/>
      </w:pPr>
      <w:r w:rsidRPr="00235592">
        <w:t>ATU (</w:t>
      </w:r>
      <w:r w:rsidR="00BB3214" w:rsidRPr="00235592">
        <w:t>date of proposal</w:t>
      </w:r>
      <w:r w:rsidRPr="00235592">
        <w:t>)</w:t>
      </w:r>
    </w:p>
    <w:p w14:paraId="03A1F84E" w14:textId="77777777" w:rsidR="00BB3214" w:rsidRPr="004817E3" w:rsidRDefault="00BB3214" w:rsidP="00E80BB7"/>
    <w:p w14:paraId="08DC6F00" w14:textId="4E4A0648" w:rsidR="003771D5" w:rsidRPr="00235592" w:rsidRDefault="00A87414" w:rsidP="009B1F62">
      <w:pPr>
        <w:pStyle w:val="ECCBreak"/>
      </w:pPr>
      <w:r>
        <w:t>ASMG</w:t>
      </w:r>
      <w:r w:rsidR="003771D5" w:rsidRPr="00235592">
        <w:t xml:space="preserve"> (date of proposal)</w:t>
      </w:r>
    </w:p>
    <w:p w14:paraId="0B9B19D0" w14:textId="77777777" w:rsidR="003771D5" w:rsidRPr="00235592" w:rsidRDefault="003771D5" w:rsidP="00BD4E12">
      <w:pPr>
        <w:rPr>
          <w:rStyle w:val="ECCParagraph"/>
        </w:rPr>
      </w:pPr>
    </w:p>
    <w:p w14:paraId="5839E6A0" w14:textId="738E67C8" w:rsidR="003771D5" w:rsidRPr="00235592" w:rsidRDefault="003771D5" w:rsidP="009B1F62">
      <w:pPr>
        <w:pStyle w:val="ECCBreak"/>
      </w:pPr>
      <w:r w:rsidRPr="00235592">
        <w:t>CITEL (</w:t>
      </w:r>
      <w:r w:rsidR="00F85127">
        <w:t>November</w:t>
      </w:r>
      <w:r w:rsidR="00B17877">
        <w:t xml:space="preserve"> 2024</w:t>
      </w:r>
      <w:r w:rsidRPr="00235592">
        <w:t>)</w:t>
      </w:r>
    </w:p>
    <w:p w14:paraId="6E95AEA4" w14:textId="393065A8" w:rsidR="00B17877" w:rsidRDefault="00B17877" w:rsidP="00BD4E12">
      <w:r>
        <w:t>Preliminary view (PV)</w:t>
      </w:r>
    </w:p>
    <w:p w14:paraId="40516C74" w14:textId="76F9F76B" w:rsidR="003771D5" w:rsidRPr="00235592" w:rsidRDefault="00B17877" w:rsidP="00BD4E12">
      <w:pPr>
        <w:rPr>
          <w:rStyle w:val="ECCParagraph"/>
        </w:rPr>
      </w:pPr>
      <w:r w:rsidRPr="00B17877">
        <w:t>Administrations support studies under the terms of Resolution 176 (rev. WRC-23) to consider appropriate technical, operational, and regulatory conditions to allow the operation of aeronautical and maritime earth stations in motion communicating with space stations in the fixed-satellite service in the frequency bands 47.2-50.2 GHz and 50.4-51.4 GHz (Earth-to-space), or parts thereof, guaranteeing the protection of stations of other services allocated on a primary basis in those bands, or parts thereof while ensuring the protection of existing services, including in adjacent bands.</w:t>
      </w:r>
    </w:p>
    <w:p w14:paraId="0EBA804D" w14:textId="1A4D2DDB" w:rsidR="003771D5" w:rsidRPr="00235592" w:rsidRDefault="003771D5" w:rsidP="009B1F62">
      <w:pPr>
        <w:pStyle w:val="ECCBreak"/>
      </w:pPr>
      <w:r w:rsidRPr="00235592">
        <w:t>RCC (</w:t>
      </w:r>
      <w:r w:rsidR="00F85127">
        <w:t>December</w:t>
      </w:r>
      <w:r w:rsidR="00F21714">
        <w:t xml:space="preserve"> 2024</w:t>
      </w:r>
      <w:r w:rsidRPr="00235592">
        <w:t>)</w:t>
      </w:r>
    </w:p>
    <w:p w14:paraId="2E523FBC" w14:textId="5039601D" w:rsidR="000B31EB" w:rsidRDefault="000B31EB" w:rsidP="00BD4E12">
      <w:r w:rsidRPr="000B31EB">
        <w:t>The RCC Administrations are studying regulatory provisions and technical conditions that will allow aeronautical and maritime ESIMs to communicate with geostationary (GSO) and non</w:t>
      </w:r>
      <w:r>
        <w:t>-</w:t>
      </w:r>
      <w:r w:rsidRPr="000B31EB">
        <w:t xml:space="preserve">geostationary (NGSO) space stations in the FSS operating in the frequency bands 47.2-50.2 GHz and 50.4-51.4 GHz (Earth-to-space) or parts thereof, while ensuring the protection of existing services to which these and adjacent frequency bands are allocated, including passive services in adjacent frequency bands, without changing the conditions of allocation/use of frequency bands for existing applications/services. </w:t>
      </w:r>
    </w:p>
    <w:p w14:paraId="23D8BB81" w14:textId="4AB8CB0B" w:rsidR="003771D5" w:rsidRDefault="00F21714" w:rsidP="00BD4E12">
      <w:r w:rsidRPr="00F21714">
        <w:t>The RCC Administrations support the exclusion of unauthorized use of maritime and aeronautical ESIMs within the territories of states that have not granted the relevant authorizations (licenses) through developing regulatory provisions and technical conditions for operation of ESIMs.</w:t>
      </w:r>
    </w:p>
    <w:p w14:paraId="0BB9D8D6" w14:textId="7D7128FD" w:rsidR="00F21714" w:rsidRPr="00235592" w:rsidRDefault="00F21714" w:rsidP="00BD4E12">
      <w:pPr>
        <w:rPr>
          <w:rStyle w:val="ECCParagraph"/>
        </w:rPr>
      </w:pPr>
      <w:r w:rsidRPr="00F21714">
        <w:t>The RCC Administrations consider it necessary to define the responsibility of Administrations involved in the operation of aeronautical and maritime ESIMs in GSO networks or non-GSO FSS systems, and to develop an Recommendation ITU-R on the functionality and implementation of the Network Control and Monitoring Centre (NCMC) for ESIMs based on the above studies and the provisions of Resolutions 121 (WRC-23), 123 (WRC-23), 156 (Rev. WRC-23) and 169 (Rev. WRC- 23) on the conditions for the use of aeronautical and maritime ESIMs in the Ku/Ka frequency bands allocated to the FSS.</w:t>
      </w:r>
    </w:p>
    <w:p w14:paraId="4C9DF9D0" w14:textId="491B03A9" w:rsidR="003771D5" w:rsidRPr="00235592" w:rsidRDefault="003771D5" w:rsidP="00BD4E12">
      <w:pPr>
        <w:pStyle w:val="Heading2"/>
        <w:rPr>
          <w:lang w:val="en-GB"/>
        </w:rPr>
      </w:pPr>
      <w:r w:rsidRPr="00235592">
        <w:rPr>
          <w:lang w:val="en-GB"/>
        </w:rPr>
        <w:t>International organisations</w:t>
      </w:r>
      <w:r w:rsidR="00652804" w:rsidRPr="00A52B8E">
        <w:rPr>
          <w:lang w:val="en-GB"/>
        </w:rPr>
        <w:t xml:space="preserve"> members of the ITU</w:t>
      </w:r>
    </w:p>
    <w:p w14:paraId="354B4C78" w14:textId="77777777" w:rsidR="007F2AB2" w:rsidRPr="00A52B8E" w:rsidRDefault="007F2AB2" w:rsidP="009B1F62">
      <w:pPr>
        <w:pStyle w:val="ECCBreak"/>
      </w:pPr>
      <w:r w:rsidRPr="00A52B8E">
        <w:t>CRAF (date of proposal)</w:t>
      </w:r>
    </w:p>
    <w:p w14:paraId="680BC6AC" w14:textId="77777777" w:rsidR="00BC157A" w:rsidRPr="00235592" w:rsidRDefault="00BC157A" w:rsidP="00BC157A">
      <w:pPr>
        <w:rPr>
          <w:rStyle w:val="ECCParagraph"/>
        </w:rPr>
      </w:pPr>
    </w:p>
    <w:p w14:paraId="294F61D9" w14:textId="77777777" w:rsidR="007F2AB2" w:rsidRPr="00A52B8E" w:rsidRDefault="007F2AB2" w:rsidP="009B1F62">
      <w:pPr>
        <w:pStyle w:val="ECCBreak"/>
      </w:pPr>
      <w:r w:rsidRPr="00A52B8E">
        <w:t>EBU (date of proposal)</w:t>
      </w:r>
    </w:p>
    <w:p w14:paraId="65697FCC" w14:textId="77777777" w:rsidR="007F2AB2" w:rsidRPr="00235592" w:rsidRDefault="007F2AB2" w:rsidP="007F2AB2">
      <w:pPr>
        <w:rPr>
          <w:rStyle w:val="ECCParagraph"/>
        </w:rPr>
      </w:pPr>
    </w:p>
    <w:p w14:paraId="1651F70F" w14:textId="40003228" w:rsidR="007F2AB2" w:rsidRPr="00A52B8E" w:rsidRDefault="007F2AB2" w:rsidP="009B1F62">
      <w:pPr>
        <w:pStyle w:val="ECCBreak"/>
      </w:pPr>
      <w:r w:rsidRPr="00A52B8E">
        <w:lastRenderedPageBreak/>
        <w:t>ESA (</w:t>
      </w:r>
      <w:r w:rsidR="005C488C">
        <w:t>August 24</w:t>
      </w:r>
      <w:r w:rsidRPr="00A52B8E">
        <w:t>)</w:t>
      </w:r>
    </w:p>
    <w:p w14:paraId="63F682EC" w14:textId="2BE486C9" w:rsidR="00707255" w:rsidRPr="00233D8F" w:rsidRDefault="00707255" w:rsidP="00BC157A">
      <w:pPr>
        <w:rPr>
          <w:rStyle w:val="ECCParagraph"/>
        </w:rPr>
      </w:pPr>
      <w:r w:rsidRPr="00233D8F">
        <w:rPr>
          <w:rStyle w:val="ECCParagraph"/>
        </w:rPr>
        <w:t>ESA supports the SFCG objectives, as developed in June 2024, on WRC-27 agenda item 1.1, as shown below:</w:t>
      </w:r>
    </w:p>
    <w:p w14:paraId="6AC21B72" w14:textId="1B6BD683" w:rsidR="00BC157A" w:rsidRPr="00235592" w:rsidRDefault="00F85127" w:rsidP="00BC157A">
      <w:pPr>
        <w:rPr>
          <w:rStyle w:val="ECCParagraph"/>
        </w:rPr>
      </w:pPr>
      <w:r>
        <w:t>“</w:t>
      </w:r>
      <w:r w:rsidR="005C488C" w:rsidRPr="005C488C">
        <w:t>SFCG does not oppose the operation of ESIMs in the bands 47.2-50.2 GHz and 50.4-51.4 GHz (Earth-to-space) provided that the protection of the EESS (passive) in the adjacent frequency band 50.2-50.4 GHz continues to be ensured through mandatory unwanted emission limits in Resolution 750.</w:t>
      </w:r>
      <w:r>
        <w:t>”</w:t>
      </w:r>
    </w:p>
    <w:p w14:paraId="05FDC36A" w14:textId="1B485475" w:rsidR="006E59D4" w:rsidRPr="00A52B8E" w:rsidRDefault="006E59D4" w:rsidP="009B1F62">
      <w:pPr>
        <w:pStyle w:val="ECCBreak"/>
      </w:pPr>
      <w:r w:rsidRPr="00A52B8E">
        <w:t>GSMA (date of proposal)</w:t>
      </w:r>
    </w:p>
    <w:p w14:paraId="733E6EC7" w14:textId="77777777" w:rsidR="006E59D4" w:rsidRPr="00235592" w:rsidRDefault="006E59D4" w:rsidP="006E59D4">
      <w:pPr>
        <w:rPr>
          <w:rStyle w:val="ECCParagraph"/>
        </w:rPr>
      </w:pPr>
    </w:p>
    <w:p w14:paraId="7F29EA15" w14:textId="226962CE" w:rsidR="00F8504F" w:rsidRPr="00A52B8E" w:rsidRDefault="00F8504F" w:rsidP="009B1F62">
      <w:pPr>
        <w:pStyle w:val="ECCBreak"/>
      </w:pPr>
      <w:r w:rsidRPr="00A52B8E">
        <w:t>GSOA (</w:t>
      </w:r>
      <w:r w:rsidR="00430D3F">
        <w:t xml:space="preserve">September </w:t>
      </w:r>
      <w:r w:rsidR="00B73B8F">
        <w:t>20</w:t>
      </w:r>
      <w:r w:rsidR="00430D3F">
        <w:t>24</w:t>
      </w:r>
      <w:r w:rsidRPr="00A52B8E">
        <w:t>)</w:t>
      </w:r>
      <w:r w:rsidR="004E2845">
        <w:t xml:space="preserve"> </w:t>
      </w:r>
    </w:p>
    <w:p w14:paraId="53464DA2" w14:textId="77777777" w:rsidR="00565631" w:rsidRDefault="00565631" w:rsidP="00430D3F">
      <w:pPr>
        <w:pStyle w:val="ECCTabletext"/>
      </w:pPr>
    </w:p>
    <w:p w14:paraId="1D4A7261" w14:textId="229BEFAC" w:rsidR="00430D3F" w:rsidRPr="00430D3F" w:rsidRDefault="00430D3F" w:rsidP="00430D3F">
      <w:pPr>
        <w:pStyle w:val="ECCTabletext"/>
      </w:pPr>
      <w:r>
        <w:t>GSOA supports</w:t>
      </w:r>
      <w:r w:rsidRPr="00430D3F">
        <w:t>:</w:t>
      </w:r>
    </w:p>
    <w:p w14:paraId="51480D3C" w14:textId="77777777" w:rsidR="00430D3F" w:rsidRDefault="00430D3F" w:rsidP="00233D8F">
      <w:pPr>
        <w:pStyle w:val="ECCBulletsLv1"/>
      </w:pPr>
      <w:r w:rsidRPr="00953850">
        <w:t xml:space="preserve">studies aiming to develop a framework, including the technical conditions and regulatory provisions, for the use of the frequency bands </w:t>
      </w:r>
      <w:r w:rsidRPr="00430D3F">
        <w:t>47.2-50.2 GHz (Earth-to-space) and 50.4-51.4 GHz (Earth-to-space) by A-ESIM and M-ESIM communicating with GSO and non-GSO networks, taking into account the protection of incumbent primary services in these frequency bands and adjacent bands.</w:t>
      </w:r>
    </w:p>
    <w:p w14:paraId="58BEBC97" w14:textId="4C576EF2" w:rsidR="00885BFF" w:rsidRPr="00235592" w:rsidRDefault="00430D3F" w:rsidP="00233D8F">
      <w:pPr>
        <w:pStyle w:val="ECCBulletsLv1"/>
        <w:rPr>
          <w:rStyle w:val="ECCParagraph"/>
        </w:rPr>
      </w:pPr>
      <w:r w:rsidRPr="00430D3F">
        <w:t>ensure consistency of ITU-R regulatory frameworks for ESIMs across the bands and support the development of the ITU-R Recommendation for the Network Control and Monitoring Centre (NCMC) for ESIM operations that would ensure control of ESIM transmissions without jeopardizing their development.</w:t>
      </w:r>
      <w:r w:rsidRPr="001D236B">
        <w:t> </w:t>
      </w:r>
    </w:p>
    <w:p w14:paraId="417F5D3F" w14:textId="77777777" w:rsidR="00554C4C" w:rsidRPr="00A52B8E" w:rsidRDefault="00554C4C" w:rsidP="009B1F62">
      <w:pPr>
        <w:pStyle w:val="ECCBreak"/>
      </w:pPr>
      <w:r w:rsidRPr="00A52B8E">
        <w:t>IARU (date of proposal)</w:t>
      </w:r>
    </w:p>
    <w:p w14:paraId="4E2922B6" w14:textId="77777777" w:rsidR="00554C4C" w:rsidRPr="00235592" w:rsidRDefault="00554C4C" w:rsidP="00554C4C">
      <w:pPr>
        <w:rPr>
          <w:rStyle w:val="ECCParagraph"/>
        </w:rPr>
      </w:pPr>
    </w:p>
    <w:p w14:paraId="1B257E61" w14:textId="77777777" w:rsidR="00554C4C" w:rsidRPr="009701EC" w:rsidRDefault="00554C4C" w:rsidP="009B1F62">
      <w:pPr>
        <w:pStyle w:val="ECCBreak"/>
      </w:pPr>
      <w:r w:rsidRPr="009701EC">
        <w:t>IATA (date of proposal)</w:t>
      </w:r>
    </w:p>
    <w:p w14:paraId="086E160D" w14:textId="77777777" w:rsidR="00554C4C" w:rsidRPr="009701EC" w:rsidRDefault="00554C4C" w:rsidP="009B1F62">
      <w:pPr>
        <w:rPr>
          <w:rStyle w:val="ECCParagraph"/>
          <w:b/>
          <w:bCs/>
          <w:iCs/>
          <w:szCs w:val="28"/>
        </w:rPr>
      </w:pPr>
    </w:p>
    <w:p w14:paraId="66F485B0" w14:textId="3029EB12" w:rsidR="009701EC" w:rsidRDefault="00D15FCC" w:rsidP="009701EC">
      <w:pPr>
        <w:pStyle w:val="Heading2"/>
      </w:pPr>
      <w:r>
        <w:t xml:space="preserve">UN </w:t>
      </w:r>
      <w:r w:rsidR="00B54B09">
        <w:t>l</w:t>
      </w:r>
      <w:r w:rsidR="00570BE1">
        <w:t xml:space="preserve">evel </w:t>
      </w:r>
      <w:r>
        <w:t>C</w:t>
      </w:r>
      <w:r w:rsidR="00D1280A">
        <w:t>o</w:t>
      </w:r>
      <w:r>
        <w:t>mmittees</w:t>
      </w:r>
    </w:p>
    <w:p w14:paraId="1C0A5EFE" w14:textId="77777777" w:rsidR="003771D5" w:rsidRPr="009701EC" w:rsidRDefault="003771D5" w:rsidP="009B1F62">
      <w:pPr>
        <w:pStyle w:val="ECCBreak"/>
      </w:pPr>
      <w:r w:rsidRPr="009701EC">
        <w:t>ICAO (date of proposal)</w:t>
      </w:r>
    </w:p>
    <w:p w14:paraId="54EB00E7" w14:textId="77777777" w:rsidR="003771D5" w:rsidRPr="009701EC" w:rsidRDefault="003771D5" w:rsidP="00BD4E12">
      <w:pPr>
        <w:rPr>
          <w:rStyle w:val="ECCParagraph"/>
        </w:rPr>
      </w:pPr>
    </w:p>
    <w:p w14:paraId="568E7476" w14:textId="77777777" w:rsidR="003771D5" w:rsidRPr="009701EC" w:rsidRDefault="003771D5" w:rsidP="009B1F62">
      <w:pPr>
        <w:pStyle w:val="ECCBreak"/>
      </w:pPr>
      <w:r w:rsidRPr="009701EC">
        <w:t>IMO (date of proposal)</w:t>
      </w:r>
    </w:p>
    <w:p w14:paraId="3216A4D7" w14:textId="106FC05B" w:rsidR="003771D5" w:rsidRDefault="003771D5" w:rsidP="00BD4E12">
      <w:pPr>
        <w:rPr>
          <w:rStyle w:val="ECCParagraph"/>
        </w:rPr>
      </w:pPr>
    </w:p>
    <w:p w14:paraId="026E1DD9" w14:textId="1653CF6C" w:rsidR="003771D5" w:rsidRPr="00235592" w:rsidRDefault="003771D5" w:rsidP="009B1F62">
      <w:pPr>
        <w:pStyle w:val="ECCBreak"/>
      </w:pPr>
      <w:r w:rsidRPr="00235592">
        <w:t>WMO</w:t>
      </w:r>
      <w:r w:rsidR="0072741A">
        <w:t xml:space="preserve"> </w:t>
      </w:r>
      <w:r w:rsidRPr="00235592">
        <w:t>(</w:t>
      </w:r>
      <w:r w:rsidR="00734CAF">
        <w:t xml:space="preserve">March </w:t>
      </w:r>
      <w:r w:rsidR="004433D5">
        <w:t>2024)</w:t>
      </w:r>
      <w:r w:rsidR="004E2845">
        <w:t xml:space="preserve"> </w:t>
      </w:r>
    </w:p>
    <w:p w14:paraId="557BCBB9" w14:textId="2C7AE4BB" w:rsidR="003771D5" w:rsidRPr="00235592" w:rsidRDefault="00BC0D02" w:rsidP="00BD4E12">
      <w:pPr>
        <w:rPr>
          <w:rStyle w:val="ECCParagraph"/>
        </w:rPr>
      </w:pPr>
      <w:r w:rsidRPr="00BC0D02">
        <w:t>WMO does not oppose the operation of ESIMs in the bands 47.2–50.2 GHz and 50.4–51.4 GHz (Earth-to-space) provided that the protection of the EESS (passive) in the adjacent frequency band 50.2-50.4 GHz continues to be ensured through mandatory unwanted emissions limits in Resolution 750 (Rev. WRC-19).</w:t>
      </w:r>
    </w:p>
    <w:p w14:paraId="09435367" w14:textId="32C5C831" w:rsidR="003771D5" w:rsidRPr="00235592" w:rsidRDefault="00B54B09" w:rsidP="00BD4E12">
      <w:pPr>
        <w:pStyle w:val="Heading2"/>
        <w:rPr>
          <w:lang w:val="en-GB"/>
        </w:rPr>
      </w:pPr>
      <w:r>
        <w:t>Other</w:t>
      </w:r>
      <w:r w:rsidR="00485535">
        <w:t xml:space="preserve"> </w:t>
      </w:r>
      <w:r w:rsidR="00A23AFE">
        <w:t>ECC MoU/L</w:t>
      </w:r>
      <w:r w:rsidR="00D1280A">
        <w:t>o</w:t>
      </w:r>
      <w:r w:rsidR="00A23AFE">
        <w:t>U partners</w:t>
      </w:r>
    </w:p>
    <w:p w14:paraId="6A91A055" w14:textId="77777777" w:rsidR="00BD0BD2" w:rsidRDefault="00BD0BD2" w:rsidP="00BD0BD2">
      <w:pPr>
        <w:pStyle w:val="ECCBreak"/>
      </w:pPr>
      <w:r>
        <w:t>EUMETNET (March 2024)</w:t>
      </w:r>
    </w:p>
    <w:p w14:paraId="6FC0DF8D" w14:textId="77777777" w:rsidR="00BD0BD2" w:rsidRPr="00235592" w:rsidRDefault="00BD0BD2" w:rsidP="00BD0BD2">
      <w:pPr>
        <w:rPr>
          <w:rStyle w:val="ECCParagraph"/>
        </w:rPr>
      </w:pPr>
      <w:r>
        <w:rPr>
          <w:rStyle w:val="ECCParagraph"/>
        </w:rPr>
        <w:t>EUMETNET supports the WMO position.</w:t>
      </w:r>
    </w:p>
    <w:p w14:paraId="4649D611" w14:textId="2AD438D3" w:rsidR="003771D5" w:rsidRPr="00235592" w:rsidRDefault="00890D52" w:rsidP="009B1F62">
      <w:pPr>
        <w:pStyle w:val="ECCBreak"/>
      </w:pPr>
      <w:r>
        <w:lastRenderedPageBreak/>
        <w:t>EUROCONTROL</w:t>
      </w:r>
      <w:r w:rsidRPr="00235592">
        <w:t xml:space="preserve"> </w:t>
      </w:r>
      <w:r w:rsidR="003771D5" w:rsidRPr="00235592">
        <w:t>(date of proposal)</w:t>
      </w:r>
    </w:p>
    <w:p w14:paraId="19A63121" w14:textId="77777777" w:rsidR="003771D5" w:rsidRPr="00235592" w:rsidRDefault="003771D5" w:rsidP="00BD4E12">
      <w:pPr>
        <w:rPr>
          <w:rStyle w:val="ECCParagraph"/>
        </w:rPr>
      </w:pPr>
    </w:p>
    <w:p w14:paraId="220232F8" w14:textId="77777777" w:rsidR="00D91D39" w:rsidDel="003219F7" w:rsidRDefault="00D91D39" w:rsidP="009B1F62">
      <w:pPr>
        <w:pStyle w:val="ECCBreak"/>
        <w:rPr>
          <w:rStyle w:val="ECCParagraph"/>
          <w:rFonts w:eastAsia="Calibri"/>
          <w:b w:val="0"/>
          <w:bCs w:val="0"/>
          <w:iCs w:val="0"/>
          <w:szCs w:val="22"/>
        </w:rPr>
      </w:pPr>
      <w:r w:rsidDel="003219F7">
        <w:rPr>
          <w:rStyle w:val="ECCParagraph"/>
        </w:rPr>
        <w:t xml:space="preserve">NATO </w:t>
      </w:r>
      <w:r w:rsidRPr="00C377C2" w:rsidDel="003219F7">
        <w:t>(date of proposal)</w:t>
      </w:r>
    </w:p>
    <w:bookmarkEnd w:id="0"/>
    <w:p w14:paraId="3F2EBB62" w14:textId="77777777" w:rsidR="00EF69A0" w:rsidRPr="00235592" w:rsidRDefault="00EF69A0" w:rsidP="00EF69A0">
      <w:pPr>
        <w:rPr>
          <w:rStyle w:val="ECCParagraph"/>
        </w:rPr>
      </w:pPr>
    </w:p>
    <w:sectPr w:rsidR="00EF69A0" w:rsidRPr="00235592" w:rsidSect="00482679">
      <w:headerReference w:type="even" r:id="rId43"/>
      <w:headerReference w:type="default" r:id="rId44"/>
      <w:footerReference w:type="even" r:id="rId45"/>
      <w:footerReference w:type="default" r:id="rId46"/>
      <w:headerReference w:type="first" r:id="rId47"/>
      <w:footerReference w:type="first" r:id="rId4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FD7D" w14:textId="77777777" w:rsidR="005F4098" w:rsidRDefault="005F4098" w:rsidP="00D0121B">
      <w:r>
        <w:separator/>
      </w:r>
    </w:p>
    <w:p w14:paraId="21E9606E" w14:textId="77777777" w:rsidR="005F4098" w:rsidRDefault="005F4098"/>
    <w:p w14:paraId="11252266" w14:textId="77777777" w:rsidR="005F4098" w:rsidRDefault="005F4098"/>
  </w:endnote>
  <w:endnote w:type="continuationSeparator" w:id="0">
    <w:p w14:paraId="587A0226" w14:textId="77777777" w:rsidR="005F4098" w:rsidRDefault="005F4098" w:rsidP="00D0121B">
      <w:r>
        <w:continuationSeparator/>
      </w:r>
    </w:p>
    <w:p w14:paraId="5BB14C16" w14:textId="77777777" w:rsidR="005F4098" w:rsidRDefault="005F4098"/>
    <w:p w14:paraId="3BC0D17E" w14:textId="77777777" w:rsidR="005F4098" w:rsidRDefault="005F4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84E3" w14:textId="77777777" w:rsidR="007058E7" w:rsidRDefault="007058E7">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9964" w14:textId="77777777" w:rsidR="007058E7" w:rsidRDefault="007058E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6060" w14:textId="77777777" w:rsidR="007058E7" w:rsidRDefault="007058E7">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FBBA" w14:textId="77777777" w:rsidR="005F4098" w:rsidRPr="00C77ABB" w:rsidRDefault="005F4098" w:rsidP="00C77ABB">
      <w:pPr>
        <w:pStyle w:val="FootnoteText"/>
      </w:pPr>
      <w:r w:rsidRPr="00C77ABB">
        <w:separator/>
      </w:r>
    </w:p>
  </w:footnote>
  <w:footnote w:type="continuationSeparator" w:id="0">
    <w:p w14:paraId="36412183" w14:textId="77777777" w:rsidR="005F4098" w:rsidRPr="00C77ABB" w:rsidRDefault="005F4098" w:rsidP="00C77ABB">
      <w:pPr>
        <w:pStyle w:val="FootnoteText"/>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F" w14:textId="5A8552CA" w:rsidR="00E06B29" w:rsidRPr="00CF2EC7" w:rsidRDefault="003771D5" w:rsidP="003A68D5">
    <w:pPr>
      <w:pStyle w:val="ECCpageHeader"/>
      <w:rPr>
        <w:lang w:val="en-US"/>
      </w:rPr>
    </w:pPr>
    <w:r w:rsidRPr="00CF2EC7">
      <w:rPr>
        <w:lang w:val="en-US"/>
      </w:rPr>
      <w:t xml:space="preserve">Draft CEPT Brief on AI </w:t>
    </w:r>
    <w:r w:rsidR="00AA6941">
      <w:t>1.1</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4</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6132F8C0" w:rsidR="00E06B29" w:rsidRPr="00CF2EC7" w:rsidRDefault="00D904D5" w:rsidP="003A68D5">
    <w:pPr>
      <w:pStyle w:val="ECCpageHeader"/>
      <w:rPr>
        <w:lang w:val="en-US"/>
      </w:rPr>
    </w:pPr>
    <w:r>
      <w:tab/>
    </w:r>
    <w:r>
      <w:tab/>
    </w:r>
    <w:r w:rsidR="002D6680" w:rsidRPr="00CF2EC7">
      <w:rPr>
        <w:lang w:val="en-US"/>
      </w:rPr>
      <w:t xml:space="preserve">Draft CEPT Brief on AI </w:t>
    </w:r>
    <w:r w:rsidR="00AA6941">
      <w:t>1.1</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3</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77777777" w:rsidR="005C10EB" w:rsidRDefault="003771D5" w:rsidP="003A68D5">
    <w:pPr>
      <w:pStyle w:val="ECCpageHeader"/>
    </w:pPr>
    <w:r w:rsidRPr="008742E3">
      <w:rPr>
        <w:noProof/>
        <w:lang w:eastAsia="da-DK"/>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eastAsia="da-DK"/>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611D0"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D4AFF"/>
    <w:multiLevelType w:val="hybridMultilevel"/>
    <w:tmpl w:val="6F7439CC"/>
    <w:lvl w:ilvl="0" w:tplc="9F145020">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A73EDA"/>
    <w:multiLevelType w:val="hybridMultilevel"/>
    <w:tmpl w:val="EA26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6CB65BF9"/>
    <w:multiLevelType w:val="hybridMultilevel"/>
    <w:tmpl w:val="303CE5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055985">
    <w:abstractNumId w:val="12"/>
  </w:num>
  <w:num w:numId="2" w16cid:durableId="1438254366">
    <w:abstractNumId w:val="13"/>
  </w:num>
  <w:num w:numId="3" w16cid:durableId="146867168">
    <w:abstractNumId w:val="12"/>
  </w:num>
  <w:num w:numId="4" w16cid:durableId="792213126">
    <w:abstractNumId w:val="19"/>
  </w:num>
  <w:num w:numId="5" w16cid:durableId="1615746762">
    <w:abstractNumId w:val="16"/>
  </w:num>
  <w:num w:numId="6" w16cid:durableId="1342198438">
    <w:abstractNumId w:val="18"/>
  </w:num>
  <w:num w:numId="7" w16cid:durableId="1529022467">
    <w:abstractNumId w:val="17"/>
  </w:num>
  <w:num w:numId="8" w16cid:durableId="968821710">
    <w:abstractNumId w:val="11"/>
  </w:num>
  <w:num w:numId="9" w16cid:durableId="384990480">
    <w:abstractNumId w:val="9"/>
  </w:num>
  <w:num w:numId="10" w16cid:durableId="261424489">
    <w:abstractNumId w:val="7"/>
  </w:num>
  <w:num w:numId="11" w16cid:durableId="1711831949">
    <w:abstractNumId w:val="6"/>
  </w:num>
  <w:num w:numId="12" w16cid:durableId="166098697">
    <w:abstractNumId w:val="5"/>
  </w:num>
  <w:num w:numId="13" w16cid:durableId="2069185006">
    <w:abstractNumId w:val="4"/>
  </w:num>
  <w:num w:numId="14" w16cid:durableId="260188278">
    <w:abstractNumId w:val="8"/>
  </w:num>
  <w:num w:numId="15" w16cid:durableId="1899972203">
    <w:abstractNumId w:val="3"/>
  </w:num>
  <w:num w:numId="16" w16cid:durableId="1991130575">
    <w:abstractNumId w:val="2"/>
  </w:num>
  <w:num w:numId="17" w16cid:durableId="764884295">
    <w:abstractNumId w:val="1"/>
  </w:num>
  <w:num w:numId="18" w16cid:durableId="1255169964">
    <w:abstractNumId w:val="0"/>
  </w:num>
  <w:num w:numId="19" w16cid:durableId="508443301">
    <w:abstractNumId w:val="14"/>
  </w:num>
  <w:num w:numId="20" w16cid:durableId="1763454554">
    <w:abstractNumId w:val="14"/>
  </w:num>
  <w:num w:numId="21" w16cid:durableId="829055746">
    <w:abstractNumId w:val="11"/>
  </w:num>
  <w:num w:numId="22" w16cid:durableId="637959375">
    <w:abstractNumId w:val="13"/>
  </w:num>
  <w:num w:numId="23" w16cid:durableId="400256102">
    <w:abstractNumId w:val="13"/>
  </w:num>
  <w:num w:numId="24" w16cid:durableId="2012752874">
    <w:abstractNumId w:val="13"/>
  </w:num>
  <w:num w:numId="25" w16cid:durableId="1081874915">
    <w:abstractNumId w:val="13"/>
  </w:num>
  <w:num w:numId="26" w16cid:durableId="1985576636">
    <w:abstractNumId w:val="11"/>
  </w:num>
  <w:num w:numId="27" w16cid:durableId="1648239445">
    <w:abstractNumId w:val="11"/>
  </w:num>
  <w:num w:numId="28" w16cid:durableId="1058939884">
    <w:abstractNumId w:val="11"/>
  </w:num>
  <w:num w:numId="29" w16cid:durableId="1668709042">
    <w:abstractNumId w:val="14"/>
  </w:num>
  <w:num w:numId="30" w16cid:durableId="1342246160">
    <w:abstractNumId w:val="17"/>
  </w:num>
  <w:num w:numId="31" w16cid:durableId="1948270993">
    <w:abstractNumId w:val="19"/>
  </w:num>
  <w:num w:numId="32" w16cid:durableId="1824199178">
    <w:abstractNumId w:val="16"/>
  </w:num>
  <w:num w:numId="33" w16cid:durableId="1971396909">
    <w:abstractNumId w:val="18"/>
  </w:num>
  <w:num w:numId="34" w16cid:durableId="1019549406">
    <w:abstractNumId w:val="17"/>
  </w:num>
  <w:num w:numId="35" w16cid:durableId="1897819383">
    <w:abstractNumId w:val="17"/>
  </w:num>
  <w:num w:numId="36" w16cid:durableId="1372533975">
    <w:abstractNumId w:val="17"/>
  </w:num>
  <w:num w:numId="37" w16cid:durableId="204875134">
    <w:abstractNumId w:val="10"/>
  </w:num>
  <w:num w:numId="38" w16cid:durableId="68164371">
    <w:abstractNumId w:val="20"/>
  </w:num>
  <w:num w:numId="39" w16cid:durableId="51284537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autoFormatOverride/>
  <w:styleLockTheme/>
  <w:styleLockQFSet/>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07BFF"/>
    <w:rsid w:val="0002480F"/>
    <w:rsid w:val="00025E4E"/>
    <w:rsid w:val="000267E8"/>
    <w:rsid w:val="000325FA"/>
    <w:rsid w:val="00032643"/>
    <w:rsid w:val="00037DBB"/>
    <w:rsid w:val="000411D5"/>
    <w:rsid w:val="00041A18"/>
    <w:rsid w:val="00052CAE"/>
    <w:rsid w:val="00053AD6"/>
    <w:rsid w:val="00057844"/>
    <w:rsid w:val="000611F2"/>
    <w:rsid w:val="00061762"/>
    <w:rsid w:val="00062CB1"/>
    <w:rsid w:val="00062DFB"/>
    <w:rsid w:val="0006406A"/>
    <w:rsid w:val="000654C8"/>
    <w:rsid w:val="000660F5"/>
    <w:rsid w:val="00067793"/>
    <w:rsid w:val="000701A5"/>
    <w:rsid w:val="00077121"/>
    <w:rsid w:val="00080D4D"/>
    <w:rsid w:val="000826B4"/>
    <w:rsid w:val="00082A9F"/>
    <w:rsid w:val="00082DD7"/>
    <w:rsid w:val="0009478B"/>
    <w:rsid w:val="00095620"/>
    <w:rsid w:val="00097D7A"/>
    <w:rsid w:val="000A22BB"/>
    <w:rsid w:val="000A29BC"/>
    <w:rsid w:val="000A3940"/>
    <w:rsid w:val="000A3F8A"/>
    <w:rsid w:val="000A4BF7"/>
    <w:rsid w:val="000A6285"/>
    <w:rsid w:val="000B2156"/>
    <w:rsid w:val="000B31EB"/>
    <w:rsid w:val="000B5026"/>
    <w:rsid w:val="000C028F"/>
    <w:rsid w:val="000C177A"/>
    <w:rsid w:val="000C5CB6"/>
    <w:rsid w:val="000D1710"/>
    <w:rsid w:val="000D7A37"/>
    <w:rsid w:val="000E11C4"/>
    <w:rsid w:val="000E1318"/>
    <w:rsid w:val="000E1B10"/>
    <w:rsid w:val="000E42F5"/>
    <w:rsid w:val="000E4820"/>
    <w:rsid w:val="000E7FBB"/>
    <w:rsid w:val="000F03DC"/>
    <w:rsid w:val="000F0594"/>
    <w:rsid w:val="000F1620"/>
    <w:rsid w:val="000F24F5"/>
    <w:rsid w:val="000F3561"/>
    <w:rsid w:val="000F3F0B"/>
    <w:rsid w:val="000F41FF"/>
    <w:rsid w:val="001006CA"/>
    <w:rsid w:val="00100F8B"/>
    <w:rsid w:val="00101ECB"/>
    <w:rsid w:val="00140667"/>
    <w:rsid w:val="001462E2"/>
    <w:rsid w:val="00154983"/>
    <w:rsid w:val="001569F2"/>
    <w:rsid w:val="00163A1F"/>
    <w:rsid w:val="00164928"/>
    <w:rsid w:val="0017456E"/>
    <w:rsid w:val="00183FE0"/>
    <w:rsid w:val="0018553F"/>
    <w:rsid w:val="00187274"/>
    <w:rsid w:val="00197536"/>
    <w:rsid w:val="001C20E6"/>
    <w:rsid w:val="001C70AD"/>
    <w:rsid w:val="001C7107"/>
    <w:rsid w:val="001D15AA"/>
    <w:rsid w:val="001D334F"/>
    <w:rsid w:val="001D4247"/>
    <w:rsid w:val="001E2854"/>
    <w:rsid w:val="001E337B"/>
    <w:rsid w:val="0020079A"/>
    <w:rsid w:val="0020250F"/>
    <w:rsid w:val="002132DB"/>
    <w:rsid w:val="00220194"/>
    <w:rsid w:val="00226070"/>
    <w:rsid w:val="00227EB3"/>
    <w:rsid w:val="00233D8F"/>
    <w:rsid w:val="00235592"/>
    <w:rsid w:val="00236978"/>
    <w:rsid w:val="002426D7"/>
    <w:rsid w:val="00251F87"/>
    <w:rsid w:val="00255EFF"/>
    <w:rsid w:val="00256B41"/>
    <w:rsid w:val="00257792"/>
    <w:rsid w:val="002620A2"/>
    <w:rsid w:val="00271881"/>
    <w:rsid w:val="00272280"/>
    <w:rsid w:val="0027241D"/>
    <w:rsid w:val="00273354"/>
    <w:rsid w:val="00274F84"/>
    <w:rsid w:val="0028060B"/>
    <w:rsid w:val="0028120C"/>
    <w:rsid w:val="00292527"/>
    <w:rsid w:val="00293920"/>
    <w:rsid w:val="00295106"/>
    <w:rsid w:val="00295827"/>
    <w:rsid w:val="00295F16"/>
    <w:rsid w:val="002A0813"/>
    <w:rsid w:val="002A1575"/>
    <w:rsid w:val="002B405C"/>
    <w:rsid w:val="002B4604"/>
    <w:rsid w:val="002B4800"/>
    <w:rsid w:val="002C5C63"/>
    <w:rsid w:val="002D1FA9"/>
    <w:rsid w:val="002D50A3"/>
    <w:rsid w:val="002D6680"/>
    <w:rsid w:val="002E786C"/>
    <w:rsid w:val="002F110B"/>
    <w:rsid w:val="002F1E6A"/>
    <w:rsid w:val="003031DA"/>
    <w:rsid w:val="00307A79"/>
    <w:rsid w:val="0031183A"/>
    <w:rsid w:val="00312E94"/>
    <w:rsid w:val="003173D7"/>
    <w:rsid w:val="0032054E"/>
    <w:rsid w:val="00320DA3"/>
    <w:rsid w:val="003219F7"/>
    <w:rsid w:val="00322E6A"/>
    <w:rsid w:val="0032496D"/>
    <w:rsid w:val="003314A0"/>
    <w:rsid w:val="0033653C"/>
    <w:rsid w:val="003366A7"/>
    <w:rsid w:val="00336B0F"/>
    <w:rsid w:val="003419EF"/>
    <w:rsid w:val="0034200D"/>
    <w:rsid w:val="00351009"/>
    <w:rsid w:val="00361E54"/>
    <w:rsid w:val="0036268F"/>
    <w:rsid w:val="003630AE"/>
    <w:rsid w:val="00370A0C"/>
    <w:rsid w:val="003771D5"/>
    <w:rsid w:val="003822E9"/>
    <w:rsid w:val="0038358E"/>
    <w:rsid w:val="00383B81"/>
    <w:rsid w:val="003876CF"/>
    <w:rsid w:val="003915BC"/>
    <w:rsid w:val="00391A01"/>
    <w:rsid w:val="003920B2"/>
    <w:rsid w:val="00394288"/>
    <w:rsid w:val="0039594E"/>
    <w:rsid w:val="003A465E"/>
    <w:rsid w:val="003A5711"/>
    <w:rsid w:val="003A5F73"/>
    <w:rsid w:val="003A68D5"/>
    <w:rsid w:val="003B7070"/>
    <w:rsid w:val="003C64D9"/>
    <w:rsid w:val="003E19BA"/>
    <w:rsid w:val="003E3AA1"/>
    <w:rsid w:val="003E70E0"/>
    <w:rsid w:val="003F40BC"/>
    <w:rsid w:val="00401DBD"/>
    <w:rsid w:val="00403CE6"/>
    <w:rsid w:val="00407336"/>
    <w:rsid w:val="004074CC"/>
    <w:rsid w:val="004110CA"/>
    <w:rsid w:val="00413247"/>
    <w:rsid w:val="00421E1D"/>
    <w:rsid w:val="0042509E"/>
    <w:rsid w:val="00427252"/>
    <w:rsid w:val="00427CF7"/>
    <w:rsid w:val="00430D3F"/>
    <w:rsid w:val="0043511D"/>
    <w:rsid w:val="004377A2"/>
    <w:rsid w:val="004433D5"/>
    <w:rsid w:val="00443482"/>
    <w:rsid w:val="00443912"/>
    <w:rsid w:val="004442D6"/>
    <w:rsid w:val="00446E3E"/>
    <w:rsid w:val="00450308"/>
    <w:rsid w:val="0045190D"/>
    <w:rsid w:val="004526BF"/>
    <w:rsid w:val="00457AD1"/>
    <w:rsid w:val="0046427F"/>
    <w:rsid w:val="00470D4B"/>
    <w:rsid w:val="00473469"/>
    <w:rsid w:val="00474DC4"/>
    <w:rsid w:val="004817E3"/>
    <w:rsid w:val="00482679"/>
    <w:rsid w:val="00482AA2"/>
    <w:rsid w:val="00485307"/>
    <w:rsid w:val="00485535"/>
    <w:rsid w:val="00491977"/>
    <w:rsid w:val="004938AC"/>
    <w:rsid w:val="0049491B"/>
    <w:rsid w:val="004A1329"/>
    <w:rsid w:val="004A511D"/>
    <w:rsid w:val="004A776E"/>
    <w:rsid w:val="004B18B6"/>
    <w:rsid w:val="004B191F"/>
    <w:rsid w:val="004B537D"/>
    <w:rsid w:val="004B6C78"/>
    <w:rsid w:val="004C3679"/>
    <w:rsid w:val="004C4A2E"/>
    <w:rsid w:val="004D358D"/>
    <w:rsid w:val="004D40D7"/>
    <w:rsid w:val="004D5EA3"/>
    <w:rsid w:val="004E2845"/>
    <w:rsid w:val="004E44C8"/>
    <w:rsid w:val="004E53BE"/>
    <w:rsid w:val="004F16F4"/>
    <w:rsid w:val="004F3F81"/>
    <w:rsid w:val="004F6CA7"/>
    <w:rsid w:val="005028D4"/>
    <w:rsid w:val="005056E0"/>
    <w:rsid w:val="005075CC"/>
    <w:rsid w:val="00522B1B"/>
    <w:rsid w:val="005300C9"/>
    <w:rsid w:val="0053456C"/>
    <w:rsid w:val="00535050"/>
    <w:rsid w:val="0053595C"/>
    <w:rsid w:val="00536F3C"/>
    <w:rsid w:val="00541BE0"/>
    <w:rsid w:val="0054260E"/>
    <w:rsid w:val="005433AA"/>
    <w:rsid w:val="00550D79"/>
    <w:rsid w:val="00554C4C"/>
    <w:rsid w:val="005559AC"/>
    <w:rsid w:val="00557B5A"/>
    <w:rsid w:val="005611D0"/>
    <w:rsid w:val="005615A3"/>
    <w:rsid w:val="00565631"/>
    <w:rsid w:val="00570BE1"/>
    <w:rsid w:val="00571A40"/>
    <w:rsid w:val="005736B2"/>
    <w:rsid w:val="005760A1"/>
    <w:rsid w:val="0057797A"/>
    <w:rsid w:val="005817E4"/>
    <w:rsid w:val="00583072"/>
    <w:rsid w:val="00594186"/>
    <w:rsid w:val="00595B5F"/>
    <w:rsid w:val="005A401C"/>
    <w:rsid w:val="005A4978"/>
    <w:rsid w:val="005A4DD0"/>
    <w:rsid w:val="005A53B8"/>
    <w:rsid w:val="005A5A6D"/>
    <w:rsid w:val="005A72C1"/>
    <w:rsid w:val="005B12CB"/>
    <w:rsid w:val="005B17AC"/>
    <w:rsid w:val="005B531F"/>
    <w:rsid w:val="005C10EB"/>
    <w:rsid w:val="005C488C"/>
    <w:rsid w:val="005C4EC1"/>
    <w:rsid w:val="005C6308"/>
    <w:rsid w:val="005C72EE"/>
    <w:rsid w:val="005D0BFC"/>
    <w:rsid w:val="005D1B67"/>
    <w:rsid w:val="005D371D"/>
    <w:rsid w:val="005D5C60"/>
    <w:rsid w:val="005E2805"/>
    <w:rsid w:val="005E7495"/>
    <w:rsid w:val="005F4098"/>
    <w:rsid w:val="005F4D6D"/>
    <w:rsid w:val="00621C12"/>
    <w:rsid w:val="00623209"/>
    <w:rsid w:val="006233E5"/>
    <w:rsid w:val="006251BC"/>
    <w:rsid w:val="00635A22"/>
    <w:rsid w:val="00636233"/>
    <w:rsid w:val="0064023C"/>
    <w:rsid w:val="00642083"/>
    <w:rsid w:val="00643FA9"/>
    <w:rsid w:val="0064442C"/>
    <w:rsid w:val="00645DE4"/>
    <w:rsid w:val="00646192"/>
    <w:rsid w:val="00647CBA"/>
    <w:rsid w:val="00647D4E"/>
    <w:rsid w:val="00652804"/>
    <w:rsid w:val="0065550D"/>
    <w:rsid w:val="00657AD4"/>
    <w:rsid w:val="00662AEA"/>
    <w:rsid w:val="00663110"/>
    <w:rsid w:val="006650D3"/>
    <w:rsid w:val="00665364"/>
    <w:rsid w:val="0068085F"/>
    <w:rsid w:val="0068156E"/>
    <w:rsid w:val="006876A8"/>
    <w:rsid w:val="00687B43"/>
    <w:rsid w:val="00695574"/>
    <w:rsid w:val="006971D3"/>
    <w:rsid w:val="00697BCF"/>
    <w:rsid w:val="006A31EC"/>
    <w:rsid w:val="006A400C"/>
    <w:rsid w:val="006A49E3"/>
    <w:rsid w:val="006A4E78"/>
    <w:rsid w:val="006A690F"/>
    <w:rsid w:val="006A6CA8"/>
    <w:rsid w:val="006A6D1F"/>
    <w:rsid w:val="006B1EFD"/>
    <w:rsid w:val="006B302D"/>
    <w:rsid w:val="006C454C"/>
    <w:rsid w:val="006C5C1C"/>
    <w:rsid w:val="006C7280"/>
    <w:rsid w:val="006D6A35"/>
    <w:rsid w:val="006E12BB"/>
    <w:rsid w:val="006E4888"/>
    <w:rsid w:val="006E59D4"/>
    <w:rsid w:val="006F0442"/>
    <w:rsid w:val="006F1E96"/>
    <w:rsid w:val="006F3F82"/>
    <w:rsid w:val="007023A3"/>
    <w:rsid w:val="00703FC0"/>
    <w:rsid w:val="007058E7"/>
    <w:rsid w:val="00707255"/>
    <w:rsid w:val="00711956"/>
    <w:rsid w:val="00711C08"/>
    <w:rsid w:val="00712EE7"/>
    <w:rsid w:val="007160BE"/>
    <w:rsid w:val="007203D8"/>
    <w:rsid w:val="00720AC4"/>
    <w:rsid w:val="00721539"/>
    <w:rsid w:val="007229D5"/>
    <w:rsid w:val="00722F65"/>
    <w:rsid w:val="0072609F"/>
    <w:rsid w:val="00726836"/>
    <w:rsid w:val="0072741A"/>
    <w:rsid w:val="00727F8C"/>
    <w:rsid w:val="00734A4F"/>
    <w:rsid w:val="00734A68"/>
    <w:rsid w:val="00734CAF"/>
    <w:rsid w:val="007375FC"/>
    <w:rsid w:val="00742185"/>
    <w:rsid w:val="0074386A"/>
    <w:rsid w:val="007620C2"/>
    <w:rsid w:val="00762AF0"/>
    <w:rsid w:val="00762BCC"/>
    <w:rsid w:val="00763BA3"/>
    <w:rsid w:val="00765B66"/>
    <w:rsid w:val="00767BB2"/>
    <w:rsid w:val="00771969"/>
    <w:rsid w:val="0077472D"/>
    <w:rsid w:val="007778B1"/>
    <w:rsid w:val="00780376"/>
    <w:rsid w:val="00791AAC"/>
    <w:rsid w:val="0079410C"/>
    <w:rsid w:val="00794926"/>
    <w:rsid w:val="00797D4C"/>
    <w:rsid w:val="007B0D9D"/>
    <w:rsid w:val="007B52C8"/>
    <w:rsid w:val="007C0405"/>
    <w:rsid w:val="007C0E7E"/>
    <w:rsid w:val="007C4AAD"/>
    <w:rsid w:val="007C5A3B"/>
    <w:rsid w:val="007D17C5"/>
    <w:rsid w:val="007D1A1F"/>
    <w:rsid w:val="007D3C4D"/>
    <w:rsid w:val="007D52EC"/>
    <w:rsid w:val="007D6F63"/>
    <w:rsid w:val="007D72EE"/>
    <w:rsid w:val="007E0AA3"/>
    <w:rsid w:val="007E3336"/>
    <w:rsid w:val="007F1ADE"/>
    <w:rsid w:val="007F1CEE"/>
    <w:rsid w:val="007F2AB2"/>
    <w:rsid w:val="007F2EE1"/>
    <w:rsid w:val="008018F0"/>
    <w:rsid w:val="0080579B"/>
    <w:rsid w:val="008062AC"/>
    <w:rsid w:val="008076B7"/>
    <w:rsid w:val="00817826"/>
    <w:rsid w:val="008221CB"/>
    <w:rsid w:val="00822883"/>
    <w:rsid w:val="0083654F"/>
    <w:rsid w:val="00837537"/>
    <w:rsid w:val="00841C4D"/>
    <w:rsid w:val="0085328E"/>
    <w:rsid w:val="0086094D"/>
    <w:rsid w:val="00861FAA"/>
    <w:rsid w:val="008705B5"/>
    <w:rsid w:val="00872382"/>
    <w:rsid w:val="008742E3"/>
    <w:rsid w:val="00885BFF"/>
    <w:rsid w:val="00890D52"/>
    <w:rsid w:val="00893A9F"/>
    <w:rsid w:val="00895940"/>
    <w:rsid w:val="008A1315"/>
    <w:rsid w:val="008A38A9"/>
    <w:rsid w:val="008A54FC"/>
    <w:rsid w:val="008B0B4E"/>
    <w:rsid w:val="008B49DE"/>
    <w:rsid w:val="008B4D7E"/>
    <w:rsid w:val="008B70CD"/>
    <w:rsid w:val="008B7CE5"/>
    <w:rsid w:val="008C14EA"/>
    <w:rsid w:val="008D218A"/>
    <w:rsid w:val="008E117A"/>
    <w:rsid w:val="008E548B"/>
    <w:rsid w:val="008E58BC"/>
    <w:rsid w:val="008E6109"/>
    <w:rsid w:val="008E673D"/>
    <w:rsid w:val="009033CD"/>
    <w:rsid w:val="009170EA"/>
    <w:rsid w:val="00917D1C"/>
    <w:rsid w:val="0092076F"/>
    <w:rsid w:val="00927833"/>
    <w:rsid w:val="00930439"/>
    <w:rsid w:val="00930BDF"/>
    <w:rsid w:val="00937FE5"/>
    <w:rsid w:val="0094078D"/>
    <w:rsid w:val="009434C3"/>
    <w:rsid w:val="00945B1D"/>
    <w:rsid w:val="00946609"/>
    <w:rsid w:val="00947A5A"/>
    <w:rsid w:val="009616B7"/>
    <w:rsid w:val="00964119"/>
    <w:rsid w:val="00964393"/>
    <w:rsid w:val="009701EC"/>
    <w:rsid w:val="00971FDA"/>
    <w:rsid w:val="009770CA"/>
    <w:rsid w:val="00982377"/>
    <w:rsid w:val="00986677"/>
    <w:rsid w:val="0099421C"/>
    <w:rsid w:val="009978F8"/>
    <w:rsid w:val="009A3138"/>
    <w:rsid w:val="009A45EE"/>
    <w:rsid w:val="009A4B4B"/>
    <w:rsid w:val="009B0A78"/>
    <w:rsid w:val="009B1F62"/>
    <w:rsid w:val="009B390A"/>
    <w:rsid w:val="009C3A9C"/>
    <w:rsid w:val="009C6F81"/>
    <w:rsid w:val="009C7071"/>
    <w:rsid w:val="009D0776"/>
    <w:rsid w:val="009D3496"/>
    <w:rsid w:val="009D4BA1"/>
    <w:rsid w:val="009D7D5A"/>
    <w:rsid w:val="009E0190"/>
    <w:rsid w:val="009E2698"/>
    <w:rsid w:val="009E47EB"/>
    <w:rsid w:val="009E6DC3"/>
    <w:rsid w:val="009F0B56"/>
    <w:rsid w:val="009F3A37"/>
    <w:rsid w:val="00A02090"/>
    <w:rsid w:val="00A076B5"/>
    <w:rsid w:val="00A156F6"/>
    <w:rsid w:val="00A173CE"/>
    <w:rsid w:val="00A17422"/>
    <w:rsid w:val="00A211BF"/>
    <w:rsid w:val="00A226A8"/>
    <w:rsid w:val="00A23870"/>
    <w:rsid w:val="00A23AFE"/>
    <w:rsid w:val="00A2402F"/>
    <w:rsid w:val="00A31525"/>
    <w:rsid w:val="00A33409"/>
    <w:rsid w:val="00A35215"/>
    <w:rsid w:val="00A358C5"/>
    <w:rsid w:val="00A35AFB"/>
    <w:rsid w:val="00A36FE5"/>
    <w:rsid w:val="00A422CE"/>
    <w:rsid w:val="00A43BD3"/>
    <w:rsid w:val="00A4743C"/>
    <w:rsid w:val="00A52B8E"/>
    <w:rsid w:val="00A53197"/>
    <w:rsid w:val="00A54D40"/>
    <w:rsid w:val="00A55597"/>
    <w:rsid w:val="00A569F7"/>
    <w:rsid w:val="00A57992"/>
    <w:rsid w:val="00A73298"/>
    <w:rsid w:val="00A87414"/>
    <w:rsid w:val="00A907A1"/>
    <w:rsid w:val="00A921AA"/>
    <w:rsid w:val="00A93C48"/>
    <w:rsid w:val="00A95ACB"/>
    <w:rsid w:val="00A95DD6"/>
    <w:rsid w:val="00A97942"/>
    <w:rsid w:val="00AA079B"/>
    <w:rsid w:val="00AA086A"/>
    <w:rsid w:val="00AA1AFC"/>
    <w:rsid w:val="00AA6941"/>
    <w:rsid w:val="00AA7CCE"/>
    <w:rsid w:val="00AB1C16"/>
    <w:rsid w:val="00AB2EA8"/>
    <w:rsid w:val="00AB3C46"/>
    <w:rsid w:val="00AB5350"/>
    <w:rsid w:val="00AC027F"/>
    <w:rsid w:val="00AC40CD"/>
    <w:rsid w:val="00AC4632"/>
    <w:rsid w:val="00AC4916"/>
    <w:rsid w:val="00AD6850"/>
    <w:rsid w:val="00AD7239"/>
    <w:rsid w:val="00AD7257"/>
    <w:rsid w:val="00AE2CD5"/>
    <w:rsid w:val="00AE372A"/>
    <w:rsid w:val="00AE72EC"/>
    <w:rsid w:val="00AF14B5"/>
    <w:rsid w:val="00AF1845"/>
    <w:rsid w:val="00AF2D0C"/>
    <w:rsid w:val="00B028B4"/>
    <w:rsid w:val="00B17877"/>
    <w:rsid w:val="00B230E1"/>
    <w:rsid w:val="00B240CE"/>
    <w:rsid w:val="00B241FE"/>
    <w:rsid w:val="00B2563E"/>
    <w:rsid w:val="00B3042F"/>
    <w:rsid w:val="00B30D3B"/>
    <w:rsid w:val="00B313F6"/>
    <w:rsid w:val="00B360C5"/>
    <w:rsid w:val="00B432D4"/>
    <w:rsid w:val="00B453ED"/>
    <w:rsid w:val="00B460E4"/>
    <w:rsid w:val="00B54B09"/>
    <w:rsid w:val="00B576D7"/>
    <w:rsid w:val="00B668A7"/>
    <w:rsid w:val="00B73B8F"/>
    <w:rsid w:val="00B74111"/>
    <w:rsid w:val="00B750CD"/>
    <w:rsid w:val="00B779F3"/>
    <w:rsid w:val="00B80892"/>
    <w:rsid w:val="00B82735"/>
    <w:rsid w:val="00B85F60"/>
    <w:rsid w:val="00B868A4"/>
    <w:rsid w:val="00B92861"/>
    <w:rsid w:val="00B947A3"/>
    <w:rsid w:val="00BA2E30"/>
    <w:rsid w:val="00BA4F68"/>
    <w:rsid w:val="00BA524C"/>
    <w:rsid w:val="00BA677D"/>
    <w:rsid w:val="00BA7A69"/>
    <w:rsid w:val="00BB1266"/>
    <w:rsid w:val="00BB3214"/>
    <w:rsid w:val="00BB3C7B"/>
    <w:rsid w:val="00BC0D02"/>
    <w:rsid w:val="00BC1022"/>
    <w:rsid w:val="00BC157A"/>
    <w:rsid w:val="00BC3CA5"/>
    <w:rsid w:val="00BD0BD2"/>
    <w:rsid w:val="00BD1169"/>
    <w:rsid w:val="00BD28DF"/>
    <w:rsid w:val="00BD3FC6"/>
    <w:rsid w:val="00BD4D25"/>
    <w:rsid w:val="00BD4E12"/>
    <w:rsid w:val="00BD4E6B"/>
    <w:rsid w:val="00BD7669"/>
    <w:rsid w:val="00BE2864"/>
    <w:rsid w:val="00BE2BB9"/>
    <w:rsid w:val="00BE444D"/>
    <w:rsid w:val="00BE5C35"/>
    <w:rsid w:val="00BE68A3"/>
    <w:rsid w:val="00BF3831"/>
    <w:rsid w:val="00C0518A"/>
    <w:rsid w:val="00C0561A"/>
    <w:rsid w:val="00C05E5C"/>
    <w:rsid w:val="00C076BF"/>
    <w:rsid w:val="00C10C10"/>
    <w:rsid w:val="00C12D04"/>
    <w:rsid w:val="00C13965"/>
    <w:rsid w:val="00C14129"/>
    <w:rsid w:val="00C27F02"/>
    <w:rsid w:val="00C31DC1"/>
    <w:rsid w:val="00C339CF"/>
    <w:rsid w:val="00C33A7C"/>
    <w:rsid w:val="00C377C2"/>
    <w:rsid w:val="00C44519"/>
    <w:rsid w:val="00C4614B"/>
    <w:rsid w:val="00C504F4"/>
    <w:rsid w:val="00C53BF8"/>
    <w:rsid w:val="00C56B3B"/>
    <w:rsid w:val="00C57E85"/>
    <w:rsid w:val="00C60DBF"/>
    <w:rsid w:val="00C62462"/>
    <w:rsid w:val="00C65BB4"/>
    <w:rsid w:val="00C666E5"/>
    <w:rsid w:val="00C71802"/>
    <w:rsid w:val="00C73EAC"/>
    <w:rsid w:val="00C77ABB"/>
    <w:rsid w:val="00C8071C"/>
    <w:rsid w:val="00C816CB"/>
    <w:rsid w:val="00C82461"/>
    <w:rsid w:val="00C82ECD"/>
    <w:rsid w:val="00C83A70"/>
    <w:rsid w:val="00C90E30"/>
    <w:rsid w:val="00C91E09"/>
    <w:rsid w:val="00C92EA9"/>
    <w:rsid w:val="00C93B80"/>
    <w:rsid w:val="00CA07CC"/>
    <w:rsid w:val="00CA4FCE"/>
    <w:rsid w:val="00CA5F8F"/>
    <w:rsid w:val="00CB05DB"/>
    <w:rsid w:val="00CC5A6F"/>
    <w:rsid w:val="00CD7D9D"/>
    <w:rsid w:val="00CE271A"/>
    <w:rsid w:val="00CE6FF5"/>
    <w:rsid w:val="00CF16EB"/>
    <w:rsid w:val="00CF2EC7"/>
    <w:rsid w:val="00CF3DB7"/>
    <w:rsid w:val="00CF4FFB"/>
    <w:rsid w:val="00CF5245"/>
    <w:rsid w:val="00D006C4"/>
    <w:rsid w:val="00D0121B"/>
    <w:rsid w:val="00D037AB"/>
    <w:rsid w:val="00D04BA8"/>
    <w:rsid w:val="00D06479"/>
    <w:rsid w:val="00D06CA9"/>
    <w:rsid w:val="00D076EE"/>
    <w:rsid w:val="00D07B1A"/>
    <w:rsid w:val="00D1280A"/>
    <w:rsid w:val="00D15FCC"/>
    <w:rsid w:val="00D17FD2"/>
    <w:rsid w:val="00D21634"/>
    <w:rsid w:val="00D24CD0"/>
    <w:rsid w:val="00D30E46"/>
    <w:rsid w:val="00D3166C"/>
    <w:rsid w:val="00D339CA"/>
    <w:rsid w:val="00D4127E"/>
    <w:rsid w:val="00D50AC8"/>
    <w:rsid w:val="00D53EEF"/>
    <w:rsid w:val="00D57B99"/>
    <w:rsid w:val="00D602C4"/>
    <w:rsid w:val="00D63872"/>
    <w:rsid w:val="00D644E0"/>
    <w:rsid w:val="00D714DA"/>
    <w:rsid w:val="00D74550"/>
    <w:rsid w:val="00D801B8"/>
    <w:rsid w:val="00D8302B"/>
    <w:rsid w:val="00D85ACF"/>
    <w:rsid w:val="00D871CA"/>
    <w:rsid w:val="00D904D5"/>
    <w:rsid w:val="00D91D39"/>
    <w:rsid w:val="00D9758B"/>
    <w:rsid w:val="00DA0026"/>
    <w:rsid w:val="00DA35DC"/>
    <w:rsid w:val="00DA38E9"/>
    <w:rsid w:val="00DA444C"/>
    <w:rsid w:val="00DA6628"/>
    <w:rsid w:val="00DA66BC"/>
    <w:rsid w:val="00DB2A52"/>
    <w:rsid w:val="00DB6595"/>
    <w:rsid w:val="00DC4854"/>
    <w:rsid w:val="00DD4E0A"/>
    <w:rsid w:val="00DD580E"/>
    <w:rsid w:val="00DD6CE9"/>
    <w:rsid w:val="00DF1E2E"/>
    <w:rsid w:val="00DF2C67"/>
    <w:rsid w:val="00DF3AE2"/>
    <w:rsid w:val="00DF6A1B"/>
    <w:rsid w:val="00DF7D21"/>
    <w:rsid w:val="00E05912"/>
    <w:rsid w:val="00E059C5"/>
    <w:rsid w:val="00E06B29"/>
    <w:rsid w:val="00E06C22"/>
    <w:rsid w:val="00E07C89"/>
    <w:rsid w:val="00E07CBB"/>
    <w:rsid w:val="00E17ADB"/>
    <w:rsid w:val="00E20647"/>
    <w:rsid w:val="00E20E0D"/>
    <w:rsid w:val="00E26BAC"/>
    <w:rsid w:val="00E315D2"/>
    <w:rsid w:val="00E35AC4"/>
    <w:rsid w:val="00E448A7"/>
    <w:rsid w:val="00E4781B"/>
    <w:rsid w:val="00E51F8B"/>
    <w:rsid w:val="00E60351"/>
    <w:rsid w:val="00E60A00"/>
    <w:rsid w:val="00E60D9E"/>
    <w:rsid w:val="00E64001"/>
    <w:rsid w:val="00E71AE7"/>
    <w:rsid w:val="00E752E6"/>
    <w:rsid w:val="00E80BB7"/>
    <w:rsid w:val="00E82658"/>
    <w:rsid w:val="00E83777"/>
    <w:rsid w:val="00E84762"/>
    <w:rsid w:val="00E84BC4"/>
    <w:rsid w:val="00E95422"/>
    <w:rsid w:val="00E97060"/>
    <w:rsid w:val="00E976F0"/>
    <w:rsid w:val="00EA2984"/>
    <w:rsid w:val="00EA6088"/>
    <w:rsid w:val="00EB4BBF"/>
    <w:rsid w:val="00EB5A67"/>
    <w:rsid w:val="00EB6402"/>
    <w:rsid w:val="00EC1A2C"/>
    <w:rsid w:val="00EC5033"/>
    <w:rsid w:val="00ED1A5A"/>
    <w:rsid w:val="00ED7CAD"/>
    <w:rsid w:val="00EF0878"/>
    <w:rsid w:val="00EF19F5"/>
    <w:rsid w:val="00EF34A4"/>
    <w:rsid w:val="00EF69A0"/>
    <w:rsid w:val="00F07BC3"/>
    <w:rsid w:val="00F10E1F"/>
    <w:rsid w:val="00F209EE"/>
    <w:rsid w:val="00F212EB"/>
    <w:rsid w:val="00F21714"/>
    <w:rsid w:val="00F26841"/>
    <w:rsid w:val="00F268C0"/>
    <w:rsid w:val="00F3690D"/>
    <w:rsid w:val="00F36C78"/>
    <w:rsid w:val="00F465D3"/>
    <w:rsid w:val="00F569C9"/>
    <w:rsid w:val="00F56F06"/>
    <w:rsid w:val="00F62138"/>
    <w:rsid w:val="00F62680"/>
    <w:rsid w:val="00F63952"/>
    <w:rsid w:val="00F67A25"/>
    <w:rsid w:val="00F73815"/>
    <w:rsid w:val="00F7414C"/>
    <w:rsid w:val="00F77419"/>
    <w:rsid w:val="00F7770D"/>
    <w:rsid w:val="00F8054D"/>
    <w:rsid w:val="00F80A1F"/>
    <w:rsid w:val="00F838B4"/>
    <w:rsid w:val="00F8504F"/>
    <w:rsid w:val="00F85127"/>
    <w:rsid w:val="00F85984"/>
    <w:rsid w:val="00F868C9"/>
    <w:rsid w:val="00F9153C"/>
    <w:rsid w:val="00F93115"/>
    <w:rsid w:val="00F9728D"/>
    <w:rsid w:val="00F97DAD"/>
    <w:rsid w:val="00FA24DF"/>
    <w:rsid w:val="00FA5792"/>
    <w:rsid w:val="00FA5B5D"/>
    <w:rsid w:val="00FA63DC"/>
    <w:rsid w:val="00FA7592"/>
    <w:rsid w:val="00FB200D"/>
    <w:rsid w:val="00FB5441"/>
    <w:rsid w:val="00FB7561"/>
    <w:rsid w:val="00FD11AC"/>
    <w:rsid w:val="00FD1EA6"/>
    <w:rsid w:val="00FD5C27"/>
    <w:rsid w:val="00FE1EB6"/>
    <w:rsid w:val="00FE20B9"/>
    <w:rsid w:val="00FE538A"/>
    <w:rsid w:val="00FE5440"/>
    <w:rsid w:val="00FE70FC"/>
    <w:rsid w:val="00FE7EEC"/>
    <w:rsid w:val="00FF3CD3"/>
    <w:rsid w:val="00FF563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5CF186A2"/>
  <w15:docId w15:val="{E2B28DC8-5F57-45F0-AB41-BBF0E866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EF69A0"/>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Heading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Heading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9F0B56"/>
    <w:pPr>
      <w:numPr>
        <w:numId w:val="0"/>
      </w:numPr>
      <w:tabs>
        <w:tab w:val="left" w:pos="0"/>
        <w:tab w:val="center" w:pos="4820"/>
        <w:tab w:val="right" w:pos="9639"/>
      </w:tabs>
    </w:p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9F0B56"/>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9F0B56"/>
    <w:rPr>
      <w:rFonts w:eastAsia="Calibri"/>
      <w:sz w:val="16"/>
      <w:szCs w:val="16"/>
      <w14:cntxtAlts/>
    </w:rPr>
  </w:style>
  <w:style w:type="character" w:styleId="FootnoteReference">
    <w:name w:val="footnote reference"/>
    <w:aliases w:val="ECC Footnote number"/>
    <w:basedOn w:val="DefaultParagraphFon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9F0B56"/>
    <w:rPr>
      <w:b/>
      <w:bCs/>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9F0B56"/>
    <w:rPr>
      <w:bdr w:val="none" w:sz="0" w:space="0" w:color="auto"/>
      <w:shd w:val="solid" w:color="FFC000" w:fill="auto"/>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DefaultParagraphFont"/>
    <w:link w:val="ECCBreak"/>
    <w:rsid w:val="009F0B56"/>
    <w:rPr>
      <w:b/>
      <w:bCs/>
      <w:iCs/>
      <w:szCs w:val="28"/>
    </w:rPr>
  </w:style>
  <w:style w:type="character" w:styleId="Hyperlink">
    <w:name w:val="Hyperlink"/>
    <w:aliases w:val="ECC Hyperlink,CEO_Hyperlink"/>
    <w:basedOn w:val="DefaultParagraphFont"/>
    <w:uiPriority w:val="99"/>
    <w:qFormat/>
    <w:rsid w:val="009F0B56"/>
    <w:rPr>
      <w:color w:val="0000FF" w:themeColor="hyperlink"/>
      <w:u w:val="single"/>
    </w:rPr>
  </w:style>
  <w:style w:type="paragraph" w:styleId="Caption">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unhideWhenUsed/>
    <w:locked/>
    <w:rsid w:val="003630AE"/>
    <w:rPr>
      <w:szCs w:val="20"/>
    </w:rPr>
  </w:style>
  <w:style w:type="character" w:customStyle="1" w:styleId="CommentTextChar">
    <w:name w:val="Comment Text Char"/>
    <w:basedOn w:val="DefaultParagraphFont"/>
    <w:link w:val="CommentText"/>
    <w:uiPriority w:val="99"/>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character" w:customStyle="1" w:styleId="ECCHLstrikethrough">
    <w:name w:val="ECC HL strikethrough"/>
    <w:basedOn w:val="DefaultParagraphFont"/>
    <w:uiPriority w:val="1"/>
    <w:qFormat/>
    <w:rsid w:val="00647D4E"/>
    <w:rPr>
      <w:rFonts w:ascii="Arial" w:hAnsi="Arial"/>
      <w:strike/>
      <w:dstrike w:val="0"/>
      <w:sz w:val="20"/>
    </w:rPr>
  </w:style>
  <w:style w:type="character" w:customStyle="1" w:styleId="ECCTabletextChar">
    <w:name w:val="ECC Table text Char"/>
    <w:basedOn w:val="DefaultParagraphFon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evision">
    <w:name w:val="Revision"/>
    <w:hidden/>
    <w:uiPriority w:val="99"/>
    <w:semiHidden/>
    <w:rsid w:val="00C377C2"/>
    <w:pPr>
      <w:spacing w:before="0" w:after="0"/>
      <w:jc w:val="left"/>
    </w:pPr>
    <w:rPr>
      <w:rFonts w:eastAsia="Calibri"/>
      <w:szCs w:val="22"/>
      <w:lang w:val="en-GB"/>
    </w:rPr>
  </w:style>
  <w:style w:type="paragraph" w:styleId="Footer">
    <w:name w:val="footer"/>
    <w:basedOn w:val="Normal"/>
    <w:link w:val="FooterChar"/>
    <w:uiPriority w:val="99"/>
    <w:semiHidden/>
    <w:unhideWhenUsed/>
    <w:locked/>
    <w:rsid w:val="007058E7"/>
    <w:pPr>
      <w:tabs>
        <w:tab w:val="center" w:pos="4513"/>
        <w:tab w:val="right" w:pos="9026"/>
      </w:tabs>
      <w:spacing w:before="0" w:after="0"/>
    </w:pPr>
  </w:style>
  <w:style w:type="character" w:customStyle="1" w:styleId="FooterChar">
    <w:name w:val="Footer Char"/>
    <w:basedOn w:val="DefaultParagraphFont"/>
    <w:link w:val="Footer"/>
    <w:uiPriority w:val="99"/>
    <w:semiHidden/>
    <w:rsid w:val="007058E7"/>
    <w:rPr>
      <w:rFonts w:eastAsia="Calibri"/>
      <w:szCs w:val="22"/>
      <w:lang w:val="en-GB"/>
    </w:rPr>
  </w:style>
  <w:style w:type="paragraph" w:styleId="ListParagraph">
    <w:name w:val="List Paragraph"/>
    <w:basedOn w:val="Normal"/>
    <w:uiPriority w:val="34"/>
    <w:qFormat/>
    <w:locked/>
    <w:rsid w:val="00F838B4"/>
    <w:pPr>
      <w:ind w:left="720"/>
      <w:contextualSpacing/>
    </w:pPr>
  </w:style>
  <w:style w:type="character" w:styleId="FollowedHyperlink">
    <w:name w:val="FollowedHyperlink"/>
    <w:basedOn w:val="DefaultParagraphFont"/>
    <w:uiPriority w:val="99"/>
    <w:semiHidden/>
    <w:unhideWhenUsed/>
    <w:locked/>
    <w:rsid w:val="006C7280"/>
    <w:rPr>
      <w:color w:val="800080" w:themeColor="followedHyperlink"/>
      <w:u w:val="single"/>
    </w:rPr>
  </w:style>
  <w:style w:type="character" w:styleId="Strong">
    <w:name w:val="Strong"/>
    <w:basedOn w:val="DefaultParagraphFont"/>
    <w:qFormat/>
    <w:locked/>
    <w:rsid w:val="00AE72EC"/>
    <w:rPr>
      <w:b/>
      <w:bCs/>
    </w:rPr>
  </w:style>
  <w:style w:type="character" w:styleId="UnresolvedMention">
    <w:name w:val="Unresolved Mention"/>
    <w:basedOn w:val="DefaultParagraphFont"/>
    <w:uiPriority w:val="99"/>
    <w:semiHidden/>
    <w:unhideWhenUsed/>
    <w:rsid w:val="00EA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39962">
      <w:bodyDiv w:val="1"/>
      <w:marLeft w:val="0"/>
      <w:marRight w:val="0"/>
      <w:marTop w:val="0"/>
      <w:marBottom w:val="0"/>
      <w:divBdr>
        <w:top w:val="none" w:sz="0" w:space="0" w:color="auto"/>
        <w:left w:val="none" w:sz="0" w:space="0" w:color="auto"/>
        <w:bottom w:val="none" w:sz="0" w:space="0" w:color="auto"/>
        <w:right w:val="none" w:sz="0" w:space="0" w:color="auto"/>
      </w:divBdr>
    </w:div>
    <w:div w:id="1543907976">
      <w:bodyDiv w:val="1"/>
      <w:marLeft w:val="0"/>
      <w:marRight w:val="0"/>
      <w:marTop w:val="0"/>
      <w:marBottom w:val="0"/>
      <w:divBdr>
        <w:top w:val="none" w:sz="0" w:space="0" w:color="auto"/>
        <w:left w:val="none" w:sz="0" w:space="0" w:color="auto"/>
        <w:bottom w:val="none" w:sz="0" w:space="0" w:color="auto"/>
        <w:right w:val="none" w:sz="0" w:space="0" w:color="auto"/>
      </w:divBdr>
    </w:div>
    <w:div w:id="1691489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ties/itu-r/md/23/wp4a/c/R23-WP4A-C-0128!N02!MSW-E.docx" TargetMode="External"/><Relationship Id="rId18" Type="http://schemas.openxmlformats.org/officeDocument/2006/relationships/hyperlink" Target="https://www.google.com/url?sa=t&amp;rct=j&amp;q=&amp;esrc=s&amp;source=web&amp;cd=&amp;ved=2ahUKEwjg-qn6oYaIAxV_SKQEHWlsDC8QFnoECBgQAQ&amp;url=https%3A%2F%2Fwww.itu.int%2Fdms_pub%2Fitu-r%2Foth%2F0C%2F0A%2FR0C0A00000F00177PDFE.pdf&amp;usg=AOvVaw0X-z2yP3saXRC-zqSCqpkr&amp;opi=89978449" TargetMode="External"/><Relationship Id="rId26" Type="http://schemas.openxmlformats.org/officeDocument/2006/relationships/hyperlink" Target="https://www.itu.int/dms_pub/itu-r/opb/rep/R-REP-S.2223-1-2016-PDF-E.pdf" TargetMode="External"/><Relationship Id="rId39" Type="http://schemas.openxmlformats.org/officeDocument/2006/relationships/hyperlink" Target="https://docdb.cept.org/download/3733" TargetMode="External"/><Relationship Id="rId21" Type="http://schemas.openxmlformats.org/officeDocument/2006/relationships/hyperlink" Target="https://www.itu.int/rec/R-REC-S.1503/recommendation.asp?lang=en&amp;parent=R-REC-S.1503-4-202309-I" TargetMode="External"/><Relationship Id="rId34" Type="http://schemas.openxmlformats.org/officeDocument/2006/relationships/hyperlink" Target="https://docdb.cept.org/document/13856" TargetMode="External"/><Relationship Id="rId42" Type="http://schemas.openxmlformats.org/officeDocument/2006/relationships/hyperlink" Target="https://www.google.com/url?sa=t&amp;rct=j&amp;q=&amp;esrc=s&amp;source=web&amp;cd=&amp;ved=2ahUKEwiqmeTlpoaIAxW3aqQEHe7oIasQFnoECB8QAQ&amp;url=https%3A%2F%2Fwww.etsi.org%2Fdeliver%2Fetsi_en%2F303900_303999%2F303980%2F01.02.01_60%2Fen_303980v010201p.pdf&amp;usg=AOvVaw3aGsVWZz-W2rU_ygUN22kj&amp;opi=89978449"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ogle.com/url?sa=t&amp;rct=j&amp;q=&amp;esrc=s&amp;source=web&amp;cd=&amp;cad=rja&amp;uact=8&amp;ved=2ahUKEwiIgZrsnoaIAxVYQ6QEHYcZBe4QFnoECBIQAQ&amp;url=https%3A%2F%2Fwww.itu.int%2Fdms_pub%2Fitu-r%2Foth%2F0C%2F0A%2FR0C0A00000F0056PDFE.pdf&amp;usg=AOvVaw2o-1F4VKa9I-vFI4wghBEf&amp;opi=89978449" TargetMode="External"/><Relationship Id="rId29" Type="http://schemas.openxmlformats.org/officeDocument/2006/relationships/hyperlink" Target="https://www.google.com/url?sa=t&amp;rct=j&amp;q=&amp;esrc=s&amp;source=web&amp;cd=&amp;ved=2ahUKEwjOoaeQooaIAxVpQ6QEHVyBLD4QFnoECBoQAQ&amp;url=https%3A%2F%2Fdocdb.cept.org%2Fdownload%2F1496&amp;usg=AOvVaw2GAcBtz8iw_c_nBTF2hTNK&amp;opi=89978449" TargetMode="External"/><Relationship Id="rId11" Type="http://schemas.openxmlformats.org/officeDocument/2006/relationships/endnotes" Target="endnotes.xml"/><Relationship Id="rId24" Type="http://schemas.openxmlformats.org/officeDocument/2006/relationships/hyperlink" Target="https://www.itu.int/pub/R-REP-S.2261-2012" TargetMode="External"/><Relationship Id="rId32" Type="http://schemas.openxmlformats.org/officeDocument/2006/relationships/hyperlink" Target="https://www.google.com/url?sa=t&amp;rct=j&amp;q=&amp;esrc=s&amp;source=web&amp;cd=&amp;cad=rja&amp;uact=8&amp;ved=2ahUKEwi6v4fWo4aIAxWhVKQEHYibNaIQFnoECBkQAQ&amp;url=https%3A%2F%2Fdocdb.cept.org%2Fdownload%2F1162&amp;usg=AOvVaw2Qj81M2ZsFzNpIBcpzyg4g&amp;opi=89978449" TargetMode="External"/><Relationship Id="rId37" Type="http://schemas.openxmlformats.org/officeDocument/2006/relationships/hyperlink" Target="https://docdb.cept.org/document/392" TargetMode="External"/><Relationship Id="rId40" Type="http://schemas.openxmlformats.org/officeDocument/2006/relationships/hyperlink" Target="https://www.google.com/url?sa=t&amp;rct=j&amp;q=&amp;esrc=s&amp;source=web&amp;cd=&amp;ved=2ahUKEwisuPi3qIaIAxVARaQEHasLORoQFnoECBYQAQ&amp;url=https%3A%2F%2Fwww.etsi.org%2Fdeliver%2Fetsi_en%2F303900_303999%2F303979%2F02.01.02_60%2Fen_303979v020102p.pdf&amp;usg=AOvVaw1urJZV1IrRi7xmy9tmoO1M&amp;opi=89978449"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ogle.com/url?sa=t&amp;rct=j&amp;q=&amp;esrc=s&amp;source=web&amp;cd=&amp;cad=rja&amp;uact=8&amp;ved=2ahUKEwisuaSroYaIAxUsTqQEHWwxKPYQFnoECBQQAQ&amp;url=https%3A%2F%2Fwww.itu.int%2Fdms_pub%2Fitu-r%2Fopb%2Fact%2FR-ACT-WRC.16-2024-PDF-E.pdf&amp;usg=AOvVaw3lYvdcbUP8Fge7HaiQ0wVV&amp;opi=89978449" TargetMode="External"/><Relationship Id="rId23" Type="http://schemas.openxmlformats.org/officeDocument/2006/relationships/hyperlink" Target="https://www.itu.int/rec/R-REC-M.1643/en" TargetMode="External"/><Relationship Id="rId28" Type="http://schemas.openxmlformats.org/officeDocument/2006/relationships/hyperlink" Target="https://www.itu.int/dms_ties/itu-r/md/23/wp4a/c/R23-WP4A-C-0128!N02!MSW-E.docx" TargetMode="External"/><Relationship Id="rId36" Type="http://schemas.openxmlformats.org/officeDocument/2006/relationships/hyperlink" Target="https://docdb.cept.org/document/439"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tu.int/rec/R-REC-RS.1449/recommendation.asp?lang=en&amp;parent=R-REC-RS.1449-0-200005-I" TargetMode="External"/><Relationship Id="rId31" Type="http://schemas.openxmlformats.org/officeDocument/2006/relationships/hyperlink" Target="https://www.google.com/url?sa=t&amp;rct=j&amp;q=&amp;esrc=s&amp;source=web&amp;cd=&amp;ved=2ahUKEwj92Pb7ooaIAxUMRaQEHaMxDagQFnoECAoQAQ&amp;url=https%3A%2F%2Fdocdb.cept.org%2Fdownload%2F1206&amp;usg=AOvVaw3NQBqiuzZFp_ye_DBqtZZx&amp;opi=89978449"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url?sa=t&amp;rct=j&amp;q=&amp;esrc=s&amp;source=web&amp;cd=&amp;ved=2ahUKEwi4_6PAoYaIAxXyAfsDHb3uBU0QFnoECBkQAQ&amp;url=https%3A%2F%2Fwww.itu.int%2Fdms_pub%2Fitu-r%2Fopb%2Fact%2FR-ACT-WRC.16-2024-PDF-E.pdf&amp;usg=AOvVaw3lYvdcbUP8Fge7HaiQ0wVV&amp;cshid=1724249398899808&amp;opi=89978449" TargetMode="External"/><Relationship Id="rId22" Type="http://schemas.openxmlformats.org/officeDocument/2006/relationships/hyperlink" Target="https://www.itu.int/rec/R-REC-SF.1707/recommendation.asp?lang=en&amp;parent=R-REC-SF.1707-0-200504-I" TargetMode="External"/><Relationship Id="rId27" Type="http://schemas.openxmlformats.org/officeDocument/2006/relationships/hyperlink" Target="https://www.itu.int/pub/R-REP-S.2357" TargetMode="External"/><Relationship Id="rId30" Type="http://schemas.openxmlformats.org/officeDocument/2006/relationships/hyperlink" Target="https://www.google.com/url?sa=t&amp;rct=j&amp;q=&amp;esrc=s&amp;source=web&amp;cd=&amp;cad=rja&amp;uact=8&amp;ved=2ahUKEwi_-P7NooaIAxWuTqQEHUJ2LAIQFnoECBYQAQ&amp;url=https%3A%2F%2Fdocdb.cept.org%2Fdownload%2F3452&amp;usg=AOvVaw3txBzgFFKM4Do5Eh5ZM9IB&amp;opi=89978449" TargetMode="External"/><Relationship Id="rId35" Type="http://schemas.openxmlformats.org/officeDocument/2006/relationships/hyperlink" Target="https://docdb.cept.org/document/336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itu.int/dms_ties/itu-r/md/23/wp4a/c/R23-WP4A-C-0128!N01!MSW-E.docx" TargetMode="External"/><Relationship Id="rId17" Type="http://schemas.openxmlformats.org/officeDocument/2006/relationships/hyperlink" Target="https://www.google.com/url?sa=t&amp;rct=j&amp;q=&amp;esrc=s&amp;source=web&amp;cd=&amp;ved=2ahUKEwjoy9vRnoaIAxXuTaQEHdJ7AuMQFnoECBsQAQ&amp;url=https%3A%2F%2Fwww.itu.int%2Fdms_pub%2Fitu-r%2Foth%2F0C%2F0A%2FR0C0A00000F0047PDFE.pdf&amp;usg=AOvVaw3ZC40R7pruzORLBG4zM65z&amp;opi=89978449" TargetMode="External"/><Relationship Id="rId25" Type="http://schemas.openxmlformats.org/officeDocument/2006/relationships/hyperlink" Target="https://www.itu.int/pub/R-REP-S.2464-2019" TargetMode="External"/><Relationship Id="rId33" Type="http://schemas.openxmlformats.org/officeDocument/2006/relationships/hyperlink" Target="https://www.google.com/url?sa=t&amp;rct=j&amp;q=&amp;esrc=s&amp;source=web&amp;cd=&amp;cad=rja&amp;uact=8&amp;ved=2ahUKEwjkmb2QpIaIAxXOSaQEHeiaO04QFnoECBUQAQ&amp;url=https%3A%2F%2Fdocdb.cept.org%2Fdownload%2F692&amp;usg=AOvVaw1VgIAWtfSsbZFKZc3UYwdj&amp;opi=89978449" TargetMode="External"/><Relationship Id="rId38" Type="http://schemas.openxmlformats.org/officeDocument/2006/relationships/hyperlink" Target="https://docdb.cept.org/document/391" TargetMode="External"/><Relationship Id="rId46" Type="http://schemas.openxmlformats.org/officeDocument/2006/relationships/footer" Target="footer2.xml"/><Relationship Id="rId20" Type="http://schemas.openxmlformats.org/officeDocument/2006/relationships/hyperlink" Target="https://www.itu.int/rec/R-REC-S.1587/en" TargetMode="External"/><Relationship Id="rId41" Type="http://schemas.openxmlformats.org/officeDocument/2006/relationships/hyperlink" Target="https://www.google.com/url?sa=t&amp;rct=j&amp;q=&amp;esrc=s&amp;source=web&amp;cd=&amp;ved=2ahUKEwiQpvuVrYaIAxUuTaQEHY5rIc0QFnoECBcQAQ&amp;url=https%3A%2F%2Fwww.etsi.org%2Fdeliver%2Fetsi_en%2F303900_303999%2F303978%2F02.01.02_60%2Fen_303978v020102p.pdf&amp;usg=AOvVaw0Ibc-2gAOKM1a_9VyFFNEZ&amp;opi=89978449"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3" ma:contentTypeDescription="stakeholder communications relating to team or project&#10;" ma:contentTypeScope="" ma:versionID="1a24ff74b590e6c661a2db165463cf29">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3c7f670ccdf915adb4c2142b8af2d442"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assification xmlns="c5f543e3-8063-4253-bd42-47ca496057f8">PROTECTED</Classification>
    <To xmlns="c5f543e3-8063-4253-bd42-47ca496057f8" xsi:nil="true"/>
    <Attach_x0020_count xmlns="c5f543e3-8063-4253-bd42-47ca496057f8" xsi:nil="true"/>
    <TaxCatchAll xmlns="c5f543e3-8063-4253-bd42-47ca496057f8" xsi:nil="true"/>
    <Organisation xmlns="c5f543e3-8063-4253-bd42-47ca496057f8" xsi:nil="true"/>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9069ab6e-cbb1-4306-ad7e-01a48c91ef8b" ContentTypeId="0x010100CAA12C5105342047A1E5FE66CBFB41077D"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6E0A6-46CC-4BAB-B69B-3A566979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EB6F0-2DEF-4BE9-A9BA-C41E99EE8BF8}">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3.xml><?xml version="1.0" encoding="utf-8"?>
<ds:datastoreItem xmlns:ds="http://schemas.openxmlformats.org/officeDocument/2006/customXml" ds:itemID="{8AF5A013-E5D6-4E51-B47B-7FBF38C4A49A}">
  <ds:schemaRefs>
    <ds:schemaRef ds:uri="Microsoft.SharePoint.Taxonomy.ContentTypeSync"/>
  </ds:schemaRefs>
</ds:datastoreItem>
</file>

<file path=customXml/itemProps4.xml><?xml version="1.0" encoding="utf-8"?>
<ds:datastoreItem xmlns:ds="http://schemas.openxmlformats.org/officeDocument/2006/customXml" ds:itemID="{A31750C7-C3B9-46A7-92C9-B97D7EE648F1}">
  <ds:schemaRefs>
    <ds:schemaRef ds:uri="http://schemas.openxmlformats.org/officeDocument/2006/bibliography"/>
  </ds:schemaRefs>
</ds:datastoreItem>
</file>

<file path=customXml/itemProps5.xml><?xml version="1.0" encoding="utf-8"?>
<ds:datastoreItem xmlns:ds="http://schemas.openxmlformats.org/officeDocument/2006/customXml" ds:itemID="{B2670F9A-9D2D-47E5-94DF-6DBD0534F9C9}">
  <ds:schemaRefs>
    <ds:schemaRef ds:uri="http://schemas.microsoft.com/sharepoint/v3/contenttype/forms"/>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24544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dc:creator>
  <cp:keywords/>
  <dc:description/>
  <cp:lastModifiedBy>Lauren Galloway</cp:lastModifiedBy>
  <cp:revision>4</cp:revision>
  <dcterms:created xsi:type="dcterms:W3CDTF">2025-01-07T21:27:00Z</dcterms:created>
  <dcterms:modified xsi:type="dcterms:W3CDTF">2025-01-07T21:29:00Z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2024-12-11T08:28:02Z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dd9c4c36-5f43-46f9-9e82-dd60bcb0a9d8</vt:lpwstr>
  </property>
  <property fmtid="{D5CDD505-2E9C-101B-9397-08002B2CF9AE}" pid="8" name="MSIP_Label_5a50d26f-5c2c-4137-8396-1b24eb24286c_ContentBits">
    <vt:lpwstr>0</vt:lpwstr>
  </property>
  <property fmtid="{D5CDD505-2E9C-101B-9397-08002B2CF9AE}" pid="9" name="ContentTypeId">
    <vt:lpwstr>0x010100CAA12C5105342047A1E5FE66CBFB41077D0077CF2320134F6146BF6CC804A6E36883</vt:lpwstr>
  </property>
</Properties>
</file>