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94"/>
        <w:gridCol w:w="3481"/>
        <w:gridCol w:w="4568"/>
        <w:gridCol w:w="38"/>
      </w:tblGrid>
      <w:tr w:rsidR="009033CD" w:rsidRPr="00235592" w14:paraId="69A880EF" w14:textId="77777777" w:rsidTr="004826CF">
        <w:trPr>
          <w:cantSplit/>
          <w:trHeight w:val="1240"/>
        </w:trPr>
        <w:tc>
          <w:tcPr>
            <w:tcW w:w="5175" w:type="dxa"/>
            <w:gridSpan w:val="2"/>
            <w:tcBorders>
              <w:top w:val="nil"/>
              <w:left w:val="nil"/>
              <w:bottom w:val="nil"/>
              <w:right w:val="nil"/>
            </w:tcBorders>
          </w:tcPr>
          <w:p w14:paraId="6DF81B97" w14:textId="77777777" w:rsidR="009033CD" w:rsidRPr="00235592" w:rsidRDefault="009033CD" w:rsidP="009033CD">
            <w:pPr>
              <w:pStyle w:val="ECCLetterHead"/>
            </w:pPr>
          </w:p>
        </w:tc>
        <w:tc>
          <w:tcPr>
            <w:tcW w:w="4606" w:type="dxa"/>
            <w:gridSpan w:val="2"/>
            <w:tcBorders>
              <w:top w:val="nil"/>
              <w:left w:val="nil"/>
              <w:bottom w:val="nil"/>
              <w:right w:val="nil"/>
            </w:tcBorders>
          </w:tcPr>
          <w:p w14:paraId="62477035" w14:textId="5F58B835" w:rsidR="009033CD" w:rsidRPr="009033CD" w:rsidRDefault="009033CD" w:rsidP="00C73314">
            <w:pPr>
              <w:pStyle w:val="ECCLetterHead"/>
            </w:pPr>
            <w:r w:rsidRPr="00235592">
              <w:tab/>
            </w:r>
            <w:r w:rsidR="00C73314">
              <w:t xml:space="preserve">Doc. </w:t>
            </w:r>
            <w:r w:rsidR="0069258E">
              <w:t>CPG</w:t>
            </w:r>
            <w:r w:rsidR="00C73314" w:rsidRPr="00C73314">
              <w:t>(24)0</w:t>
            </w:r>
            <w:r w:rsidR="00BF4E3A">
              <w:t>24</w:t>
            </w:r>
            <w:r w:rsidR="00C73314" w:rsidRPr="00C73314">
              <w:t xml:space="preserve"> ANNEX </w:t>
            </w:r>
            <w:r w:rsidR="00C73314" w:rsidRPr="00C73314">
              <w:rPr>
                <w:rStyle w:val="ECCHLbold"/>
                <w:b/>
                <w:bCs w:val="0"/>
              </w:rPr>
              <w:t>IV-14</w:t>
            </w:r>
          </w:p>
        </w:tc>
      </w:tr>
      <w:tr w:rsidR="009033CD" w:rsidRPr="00235592" w14:paraId="1CAAD2E3" w14:textId="77777777" w:rsidTr="004826CF">
        <w:tblPrEx>
          <w:tblCellMar>
            <w:left w:w="108" w:type="dxa"/>
            <w:right w:w="108" w:type="dxa"/>
          </w:tblCellMar>
        </w:tblPrEx>
        <w:trPr>
          <w:gridAfter w:val="1"/>
          <w:wAfter w:w="38" w:type="dxa"/>
          <w:cantSplit/>
          <w:trHeight w:val="405"/>
        </w:trPr>
        <w:tc>
          <w:tcPr>
            <w:tcW w:w="5175" w:type="dxa"/>
            <w:gridSpan w:val="2"/>
            <w:tcBorders>
              <w:top w:val="nil"/>
              <w:left w:val="nil"/>
              <w:bottom w:val="nil"/>
              <w:right w:val="nil"/>
            </w:tcBorders>
            <w:shd w:val="clear" w:color="auto" w:fill="auto"/>
            <w:vAlign w:val="center"/>
          </w:tcPr>
          <w:p w14:paraId="00674F4F" w14:textId="245AAD92" w:rsidR="009033CD" w:rsidRPr="009033CD" w:rsidRDefault="009033CD" w:rsidP="009033CD">
            <w:pPr>
              <w:pStyle w:val="ECCLetterHead"/>
              <w:rPr>
                <w:rStyle w:val="ECCHLyellow"/>
              </w:rPr>
            </w:pPr>
            <w:r w:rsidRPr="00235592">
              <w:t>CPG</w:t>
            </w:r>
            <w:r w:rsidR="0069258E">
              <w:t>27-2</w:t>
            </w:r>
          </w:p>
        </w:tc>
        <w:tc>
          <w:tcPr>
            <w:tcW w:w="4568" w:type="dxa"/>
            <w:tcBorders>
              <w:top w:val="nil"/>
              <w:left w:val="nil"/>
              <w:bottom w:val="nil"/>
              <w:right w:val="nil"/>
            </w:tcBorders>
            <w:vAlign w:val="center"/>
          </w:tcPr>
          <w:p w14:paraId="165A2E31" w14:textId="77777777" w:rsidR="009033CD" w:rsidRPr="00235592" w:rsidRDefault="009033CD" w:rsidP="009033CD">
            <w:pPr>
              <w:pStyle w:val="ECCLetterHead"/>
            </w:pPr>
          </w:p>
        </w:tc>
      </w:tr>
      <w:tr w:rsidR="009033CD" w:rsidRPr="00235592" w14:paraId="0E53A225" w14:textId="77777777" w:rsidTr="004826CF">
        <w:tblPrEx>
          <w:tblCellMar>
            <w:left w:w="108" w:type="dxa"/>
            <w:right w:w="108" w:type="dxa"/>
          </w:tblCellMar>
        </w:tblPrEx>
        <w:trPr>
          <w:gridAfter w:val="1"/>
          <w:wAfter w:w="38" w:type="dxa"/>
          <w:cantSplit/>
          <w:trHeight w:val="405"/>
        </w:trPr>
        <w:tc>
          <w:tcPr>
            <w:tcW w:w="5175" w:type="dxa"/>
            <w:gridSpan w:val="2"/>
            <w:tcBorders>
              <w:top w:val="nil"/>
              <w:left w:val="nil"/>
              <w:bottom w:val="nil"/>
              <w:right w:val="nil"/>
            </w:tcBorders>
            <w:vAlign w:val="center"/>
          </w:tcPr>
          <w:p w14:paraId="60692270" w14:textId="33F32C08" w:rsidR="009033CD" w:rsidRPr="009033CD" w:rsidRDefault="004826CF" w:rsidP="009033CD">
            <w:pPr>
              <w:pStyle w:val="ECCLetterHead"/>
            </w:pPr>
            <w:r w:rsidRPr="007F0CFB">
              <w:t>Prague, Czech Republic</w:t>
            </w:r>
            <w:r w:rsidRPr="004826CF">
              <w:t>, 10 – 13 December 2024</w:t>
            </w:r>
          </w:p>
        </w:tc>
        <w:tc>
          <w:tcPr>
            <w:tcW w:w="4568" w:type="dxa"/>
            <w:tcBorders>
              <w:top w:val="nil"/>
              <w:left w:val="nil"/>
              <w:bottom w:val="nil"/>
              <w:right w:val="nil"/>
            </w:tcBorders>
            <w:vAlign w:val="center"/>
          </w:tcPr>
          <w:p w14:paraId="3C5B1C26" w14:textId="77777777" w:rsidR="009033CD" w:rsidRPr="00235592" w:rsidRDefault="009033CD" w:rsidP="009033CD">
            <w:pPr>
              <w:pStyle w:val="ECCTabletext"/>
            </w:pPr>
          </w:p>
        </w:tc>
      </w:tr>
      <w:tr w:rsidR="009033CD" w:rsidRPr="00235592" w14:paraId="6BB9CFA0" w14:textId="77777777" w:rsidTr="004826CF">
        <w:tblPrEx>
          <w:tblCellMar>
            <w:left w:w="108" w:type="dxa"/>
            <w:right w:w="108" w:type="dxa"/>
          </w:tblCellMar>
        </w:tblPrEx>
        <w:trPr>
          <w:gridAfter w:val="1"/>
          <w:wAfter w:w="38" w:type="dxa"/>
          <w:cantSplit/>
          <w:trHeight w:hRule="exact" w:val="79"/>
        </w:trPr>
        <w:tc>
          <w:tcPr>
            <w:tcW w:w="5175" w:type="dxa"/>
            <w:gridSpan w:val="2"/>
            <w:tcBorders>
              <w:top w:val="nil"/>
              <w:left w:val="nil"/>
              <w:bottom w:val="nil"/>
              <w:right w:val="nil"/>
            </w:tcBorders>
            <w:vAlign w:val="center"/>
          </w:tcPr>
          <w:p w14:paraId="39800BBB" w14:textId="77777777" w:rsidR="009033CD" w:rsidRPr="00235592" w:rsidRDefault="009033CD" w:rsidP="009033CD">
            <w:pPr>
              <w:pStyle w:val="ECCLetterHead"/>
            </w:pPr>
          </w:p>
        </w:tc>
        <w:tc>
          <w:tcPr>
            <w:tcW w:w="4568" w:type="dxa"/>
            <w:tcBorders>
              <w:top w:val="nil"/>
              <w:left w:val="nil"/>
              <w:bottom w:val="nil"/>
              <w:right w:val="nil"/>
            </w:tcBorders>
            <w:vAlign w:val="center"/>
          </w:tcPr>
          <w:p w14:paraId="004ED7CF" w14:textId="77777777" w:rsidR="009033CD" w:rsidRPr="00235592" w:rsidRDefault="009033CD" w:rsidP="009033CD">
            <w:pPr>
              <w:pStyle w:val="ECCLetterHead"/>
            </w:pPr>
          </w:p>
        </w:tc>
      </w:tr>
      <w:tr w:rsidR="009033CD" w:rsidRPr="00235592" w14:paraId="01D38234"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525F2C81" w14:textId="638FBAD6" w:rsidR="009033CD" w:rsidRPr="009033CD" w:rsidRDefault="009033CD" w:rsidP="009033CD">
            <w:pPr>
              <w:pStyle w:val="ECCLetterHead"/>
            </w:pPr>
            <w:r w:rsidRPr="00235592">
              <w:t xml:space="preserve">Date issued: </w:t>
            </w:r>
          </w:p>
        </w:tc>
        <w:tc>
          <w:tcPr>
            <w:tcW w:w="8049" w:type="dxa"/>
            <w:gridSpan w:val="2"/>
            <w:tcBorders>
              <w:top w:val="nil"/>
              <w:left w:val="nil"/>
              <w:bottom w:val="nil"/>
              <w:right w:val="nil"/>
            </w:tcBorders>
            <w:vAlign w:val="center"/>
          </w:tcPr>
          <w:p w14:paraId="283B3100" w14:textId="4E68F70F" w:rsidR="009033CD" w:rsidRPr="00235592" w:rsidRDefault="005B751D" w:rsidP="00022127">
            <w:pPr>
              <w:pStyle w:val="ECCLetterHead"/>
            </w:pPr>
            <w:r>
              <w:rPr>
                <w:rStyle w:val="ECCParagraph"/>
              </w:rPr>
              <w:t>10</w:t>
            </w:r>
            <w:r w:rsidR="00D0021E" w:rsidRPr="00D0021E">
              <w:rPr>
                <w:rStyle w:val="ECCParagraph"/>
                <w:vertAlign w:val="superscript"/>
              </w:rPr>
              <w:t>th</w:t>
            </w:r>
            <w:r w:rsidR="00D0021E">
              <w:rPr>
                <w:rStyle w:val="ECCParagraph"/>
              </w:rPr>
              <w:t xml:space="preserve"> January, 2025</w:t>
            </w:r>
          </w:p>
        </w:tc>
      </w:tr>
      <w:tr w:rsidR="009033CD" w:rsidRPr="00235592" w14:paraId="041759A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2A36B705" w14:textId="77777777" w:rsidR="009033CD" w:rsidRPr="009033CD" w:rsidRDefault="009033CD" w:rsidP="009033CD">
            <w:pPr>
              <w:pStyle w:val="ECCLetterHead"/>
            </w:pPr>
            <w:r w:rsidRPr="00235592">
              <w:t xml:space="preserve">Source: </w:t>
            </w:r>
          </w:p>
        </w:tc>
        <w:tc>
          <w:tcPr>
            <w:tcW w:w="8049" w:type="dxa"/>
            <w:gridSpan w:val="2"/>
            <w:tcBorders>
              <w:top w:val="nil"/>
              <w:left w:val="nil"/>
              <w:bottom w:val="nil"/>
              <w:right w:val="nil"/>
            </w:tcBorders>
            <w:vAlign w:val="center"/>
          </w:tcPr>
          <w:p w14:paraId="10180227" w14:textId="76365042" w:rsidR="009033CD" w:rsidRPr="00235592" w:rsidRDefault="00BF4E3A" w:rsidP="009033CD">
            <w:pPr>
              <w:pStyle w:val="ECCLetterHead"/>
            </w:pPr>
            <w:r w:rsidRPr="00BF4E3A">
              <w:t>CPG27-2</w:t>
            </w:r>
          </w:p>
        </w:tc>
      </w:tr>
      <w:tr w:rsidR="009033CD" w:rsidRPr="00235592" w14:paraId="2CA125F7" w14:textId="77777777" w:rsidTr="005B531F">
        <w:tblPrEx>
          <w:tblCellMar>
            <w:left w:w="108" w:type="dxa"/>
            <w:right w:w="108" w:type="dxa"/>
          </w:tblCellMar>
        </w:tblPrEx>
        <w:trPr>
          <w:gridAfter w:val="1"/>
          <w:wAfter w:w="38" w:type="dxa"/>
          <w:cantSplit/>
          <w:trHeight w:val="405"/>
        </w:trPr>
        <w:tc>
          <w:tcPr>
            <w:tcW w:w="1694" w:type="dxa"/>
            <w:tcBorders>
              <w:top w:val="nil"/>
              <w:left w:val="nil"/>
              <w:bottom w:val="nil"/>
              <w:right w:val="nil"/>
            </w:tcBorders>
            <w:vAlign w:val="center"/>
          </w:tcPr>
          <w:p w14:paraId="0ED71A16" w14:textId="77777777" w:rsidR="009033CD" w:rsidRPr="009033CD" w:rsidRDefault="009033CD" w:rsidP="009033CD">
            <w:pPr>
              <w:pStyle w:val="ECCLetterHead"/>
            </w:pPr>
            <w:r w:rsidRPr="00235592">
              <w:t xml:space="preserve">Subject: </w:t>
            </w:r>
          </w:p>
        </w:tc>
        <w:tc>
          <w:tcPr>
            <w:tcW w:w="8049" w:type="dxa"/>
            <w:gridSpan w:val="2"/>
            <w:tcBorders>
              <w:top w:val="nil"/>
              <w:left w:val="nil"/>
              <w:bottom w:val="nil"/>
              <w:right w:val="nil"/>
            </w:tcBorders>
            <w:vAlign w:val="center"/>
          </w:tcPr>
          <w:p w14:paraId="6D107D3B" w14:textId="7E5BCC80" w:rsidR="009033CD" w:rsidRPr="009033CD" w:rsidRDefault="009033CD" w:rsidP="009033CD">
            <w:pPr>
              <w:pStyle w:val="ECCLetterHead"/>
            </w:pPr>
            <w:r w:rsidRPr="00235592">
              <w:t>Draft CEPT Brief on WRC-</w:t>
            </w:r>
            <w:r w:rsidR="00890D52" w:rsidRPr="009033CD">
              <w:t>2</w:t>
            </w:r>
            <w:r w:rsidR="00890D52">
              <w:t>7</w:t>
            </w:r>
            <w:r w:rsidR="00890D52" w:rsidRPr="009033CD">
              <w:t xml:space="preserve"> </w:t>
            </w:r>
            <w:r w:rsidR="00022127">
              <w:t>a</w:t>
            </w:r>
            <w:r w:rsidRPr="009033CD">
              <w:t xml:space="preserve">genda </w:t>
            </w:r>
            <w:r w:rsidR="00022127">
              <w:t>i</w:t>
            </w:r>
            <w:r w:rsidRPr="009033CD">
              <w:t xml:space="preserve">tem </w:t>
            </w:r>
            <w:r w:rsidR="00250156">
              <w:t>1.1</w:t>
            </w:r>
            <w:r w:rsidR="009B232E">
              <w:t>4</w:t>
            </w:r>
          </w:p>
        </w:tc>
      </w:tr>
      <w:tr w:rsidR="009033CD" w:rsidRPr="00235592" w14:paraId="7252B87D" w14:textId="77777777" w:rsidTr="005B531F">
        <w:tblPrEx>
          <w:tblCellMar>
            <w:left w:w="108" w:type="dxa"/>
            <w:right w:w="108" w:type="dxa"/>
          </w:tblCellMar>
        </w:tblPrEx>
        <w:trPr>
          <w:gridAfter w:val="1"/>
          <w:wAfter w:w="38" w:type="dxa"/>
          <w:cantSplit/>
          <w:trHeight w:hRule="exact" w:val="74"/>
        </w:trPr>
        <w:tc>
          <w:tcPr>
            <w:tcW w:w="9743" w:type="dxa"/>
            <w:gridSpan w:val="3"/>
            <w:tcBorders>
              <w:top w:val="nil"/>
              <w:left w:val="nil"/>
              <w:bottom w:val="single" w:sz="6" w:space="0" w:color="C00000"/>
              <w:right w:val="nil"/>
            </w:tcBorders>
            <w:vAlign w:val="center"/>
          </w:tcPr>
          <w:p w14:paraId="3D3A2D01" w14:textId="77777777" w:rsidR="009033CD" w:rsidRPr="00235592" w:rsidRDefault="009033CD" w:rsidP="009033CD">
            <w:pPr>
              <w:rPr>
                <w:rStyle w:val="ECCParagraph"/>
              </w:rPr>
            </w:pPr>
          </w:p>
          <w:p w14:paraId="7BDD42A5" w14:textId="77777777" w:rsidR="009033CD" w:rsidRPr="00235592" w:rsidRDefault="009033CD" w:rsidP="009033CD">
            <w:pPr>
              <w:pStyle w:val="ECCLetterHead"/>
            </w:pPr>
          </w:p>
        </w:tc>
      </w:tr>
      <w:tr w:rsidR="009033CD" w:rsidRPr="00235592" w14:paraId="44552C8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6A7C79AF" w14:textId="19363BBA" w:rsidR="009033CD" w:rsidRPr="009033CD" w:rsidRDefault="009033CD" w:rsidP="009033CD">
            <w:pPr>
              <w:pStyle w:val="ECCLetterHead"/>
            </w:pPr>
            <w:r w:rsidRPr="00235592">
              <w:t xml:space="preserve">Summary: </w:t>
            </w:r>
          </w:p>
        </w:tc>
      </w:tr>
      <w:tr w:rsidR="009033CD" w:rsidRPr="00235592" w14:paraId="3D77C967"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4"/>
            <w:tcBorders>
              <w:top w:val="nil"/>
              <w:left w:val="single" w:sz="6" w:space="0" w:color="C00000"/>
              <w:bottom w:val="single" w:sz="6" w:space="0" w:color="C00000"/>
              <w:right w:val="single" w:sz="6" w:space="0" w:color="C00000"/>
            </w:tcBorders>
          </w:tcPr>
          <w:p w14:paraId="129A1DD9" w14:textId="1329E2CE" w:rsidR="008E117A" w:rsidRPr="008E117A" w:rsidRDefault="008E117A" w:rsidP="008E117A">
            <w:pPr>
              <w:pStyle w:val="NormalWeb"/>
              <w:rPr>
                <w:rStyle w:val="ECCHLunderlined"/>
              </w:rPr>
            </w:pPr>
          </w:p>
        </w:tc>
      </w:tr>
      <w:tr w:rsidR="009033CD" w:rsidRPr="00235592" w14:paraId="4D385318"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7763768" w14:textId="77777777" w:rsidR="009033CD" w:rsidRPr="009033CD" w:rsidRDefault="009033CD" w:rsidP="009033CD">
            <w:pPr>
              <w:pStyle w:val="ECCLetterHead"/>
            </w:pPr>
            <w:r w:rsidRPr="00235592">
              <w:t>Proposal:</w:t>
            </w:r>
          </w:p>
        </w:tc>
      </w:tr>
      <w:tr w:rsidR="009033CD" w:rsidRPr="00235592" w14:paraId="031AC50D" w14:textId="77777777" w:rsidTr="005B5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781" w:type="dxa"/>
            <w:gridSpan w:val="4"/>
            <w:tcBorders>
              <w:top w:val="nil"/>
              <w:left w:val="single" w:sz="6" w:space="0" w:color="C00000"/>
              <w:bottom w:val="single" w:sz="6" w:space="0" w:color="C00000"/>
              <w:right w:val="single" w:sz="6" w:space="0" w:color="C00000"/>
            </w:tcBorders>
          </w:tcPr>
          <w:p w14:paraId="04D8900C" w14:textId="0D2AF438" w:rsidR="009033CD" w:rsidRPr="00235592" w:rsidRDefault="009033CD" w:rsidP="006D3093">
            <w:pPr>
              <w:pStyle w:val="ECCTabletext"/>
            </w:pPr>
          </w:p>
        </w:tc>
      </w:tr>
    </w:tbl>
    <w:p w14:paraId="3506290A" w14:textId="487242F1" w:rsidR="009033CD" w:rsidRPr="00235592" w:rsidRDefault="009033CD" w:rsidP="009033CD">
      <w:pPr>
        <w:rPr>
          <w:rStyle w:val="ECCParagraph"/>
        </w:rPr>
      </w:pPr>
      <w:r w:rsidRPr="00235592">
        <w:rPr>
          <w:rStyle w:val="ECCParagraph"/>
        </w:rPr>
        <w:br w:type="page"/>
      </w:r>
    </w:p>
    <w:p w14:paraId="60497D30" w14:textId="50C83E81" w:rsidR="003771D5" w:rsidRPr="00E373B3" w:rsidRDefault="003771D5" w:rsidP="003A68D5">
      <w:pPr>
        <w:pStyle w:val="ECCHeadingnonumbering"/>
      </w:pPr>
      <w:r w:rsidRPr="00235592">
        <w:rPr>
          <w:lang w:val="en-GB"/>
        </w:rPr>
        <w:lastRenderedPageBreak/>
        <w:t xml:space="preserve">DRAFT CEPT BRIEF ON AGENDA ITEM </w:t>
      </w:r>
      <w:r w:rsidR="00E373B3">
        <w:t>1.1</w:t>
      </w:r>
      <w:r w:rsidR="009B232E">
        <w:t>4</w:t>
      </w:r>
    </w:p>
    <w:p w14:paraId="7E54832F" w14:textId="6A22C78C" w:rsidR="003771D5" w:rsidRPr="00235592" w:rsidRDefault="00E373B3" w:rsidP="00BD4E12">
      <w:pPr>
        <w:rPr>
          <w:rStyle w:val="ECCParagraph"/>
        </w:rPr>
      </w:pPr>
      <w:r>
        <w:rPr>
          <w:rStyle w:val="ECCParagraph"/>
        </w:rPr>
        <w:t>1.1</w:t>
      </w:r>
      <w:r w:rsidR="009B232E">
        <w:rPr>
          <w:rStyle w:val="ECCParagraph"/>
        </w:rPr>
        <w:t>4</w:t>
      </w:r>
      <w:r w:rsidR="003771D5" w:rsidRPr="00235592">
        <w:rPr>
          <w:rStyle w:val="ECCParagraph"/>
        </w:rPr>
        <w:tab/>
      </w:r>
      <w:r w:rsidR="009B232E" w:rsidRPr="009B232E">
        <w:t xml:space="preserve">to consider possible additional allocations to the mobile-satellite service, in accordance with Resolution </w:t>
      </w:r>
      <w:r w:rsidR="009B232E" w:rsidRPr="009B232E">
        <w:rPr>
          <w:rStyle w:val="ECCHLbold"/>
        </w:rPr>
        <w:t>254 (WRC-23)</w:t>
      </w:r>
      <w:r w:rsidR="00832DD0" w:rsidRPr="00832DD0">
        <w:rPr>
          <w:rStyle w:val="ECCParagraph"/>
        </w:rPr>
        <w:t>;</w:t>
      </w:r>
    </w:p>
    <w:p w14:paraId="0B399FBC" w14:textId="19194AEA" w:rsidR="003771D5" w:rsidRPr="00235592" w:rsidRDefault="003771D5" w:rsidP="00BD4E12">
      <w:pPr>
        <w:pStyle w:val="Heading1"/>
        <w:rPr>
          <w:lang w:val="en-GB"/>
        </w:rPr>
      </w:pPr>
      <w:r w:rsidRPr="00235592">
        <w:rPr>
          <w:lang w:val="en-GB"/>
        </w:rPr>
        <w:t>I</w:t>
      </w:r>
      <w:r w:rsidR="000F41FF">
        <w:t>ssue</w:t>
      </w:r>
    </w:p>
    <w:p w14:paraId="3CB193F0" w14:textId="38B74AE6" w:rsidR="00D0121B" w:rsidRDefault="00E373B3" w:rsidP="00BD4E12">
      <w:r>
        <w:rPr>
          <w:rStyle w:val="ECCParagraph"/>
        </w:rPr>
        <w:t xml:space="preserve">WRC-23 </w:t>
      </w:r>
      <w:r w:rsidRPr="00182F52">
        <w:t xml:space="preserve">through Resolution </w:t>
      </w:r>
      <w:r>
        <w:rPr>
          <w:rStyle w:val="ECCHLbold"/>
        </w:rPr>
        <w:t>2</w:t>
      </w:r>
      <w:r w:rsidR="00832DD0">
        <w:rPr>
          <w:rStyle w:val="ECCHLbold"/>
        </w:rPr>
        <w:t>5</w:t>
      </w:r>
      <w:r w:rsidR="009B232E">
        <w:rPr>
          <w:rStyle w:val="ECCHLbold"/>
        </w:rPr>
        <w:t>4</w:t>
      </w:r>
      <w:r w:rsidRPr="00182F52">
        <w:t xml:space="preserve"> </w:t>
      </w:r>
      <w:r w:rsidRPr="00182F52">
        <w:rPr>
          <w:rStyle w:val="ECCHLbold"/>
        </w:rPr>
        <w:t>(WRC-</w:t>
      </w:r>
      <w:r>
        <w:rPr>
          <w:rStyle w:val="ECCHLbold"/>
        </w:rPr>
        <w:t>23</w:t>
      </w:r>
      <w:r w:rsidRPr="00182F52">
        <w:rPr>
          <w:rStyle w:val="ECCHLbold"/>
        </w:rPr>
        <w:t xml:space="preserve">) </w:t>
      </w:r>
      <w:r w:rsidRPr="00182F52">
        <w:rPr>
          <w:rStyle w:val="Emphasis"/>
        </w:rPr>
        <w:t>resolves to invite the ITU Radiocommunication Secto</w:t>
      </w:r>
      <w:r>
        <w:rPr>
          <w:rStyle w:val="Emphasis"/>
        </w:rPr>
        <w:t>r</w:t>
      </w:r>
      <w:r w:rsidR="00180773">
        <w:rPr>
          <w:rStyle w:val="Emphasis"/>
        </w:rPr>
        <w:t xml:space="preserve"> </w:t>
      </w:r>
      <w:r w:rsidR="00180773" w:rsidRPr="00180773">
        <w:rPr>
          <w:rStyle w:val="Emphasis"/>
        </w:rPr>
        <w:t>to complete in time for the 2027 world radiocommunication conference</w:t>
      </w:r>
      <w:r>
        <w:t>:</w:t>
      </w:r>
    </w:p>
    <w:p w14:paraId="4AFC479F" w14:textId="3488CB12" w:rsidR="009B232E" w:rsidRPr="009B232E" w:rsidRDefault="00E373B3" w:rsidP="009B232E">
      <w:r w:rsidRPr="00E373B3">
        <w:t>1</w:t>
      </w:r>
      <w:r w:rsidR="00180773">
        <w:tab/>
      </w:r>
      <w:r w:rsidR="009B232E" w:rsidRPr="009B232E">
        <w:t>studies on relevant spectrum requirements and technical, operational and regulatory matters for the MSS in connection with possible new allocations to the MSS in the frequency bands 2 010-2 025 MHz (Earth-to-space) and 2 160-2 170 MHz (space-to-Earth) in Regions 1 and 3 and 2 120-2 160 MHz (space-to-Earth) in all Regions;</w:t>
      </w:r>
    </w:p>
    <w:p w14:paraId="4B547A40" w14:textId="209DDCE0" w:rsidR="009B232E" w:rsidRPr="009B232E" w:rsidRDefault="009B232E" w:rsidP="009B232E">
      <w:r w:rsidRPr="009B232E">
        <w:t>2</w:t>
      </w:r>
      <w:r>
        <w:tab/>
      </w:r>
      <w:r w:rsidRPr="009B232E">
        <w:t>studies on sharing and compatibility of possible new allocations to the MSS in the frequency bands being studied to ensure the protection of existing services allocated on a primary basis, and also in adjacent frequency bands, without adversely affecting those services;</w:t>
      </w:r>
    </w:p>
    <w:p w14:paraId="58312596" w14:textId="2471ECDF" w:rsidR="00E373B3" w:rsidRPr="00E373B3" w:rsidRDefault="009B232E" w:rsidP="009B232E">
      <w:pPr>
        <w:rPr>
          <w:rStyle w:val="ECCParagraph"/>
        </w:rPr>
      </w:pPr>
      <w:r w:rsidRPr="009B232E">
        <w:t>3</w:t>
      </w:r>
      <w:r>
        <w:tab/>
      </w:r>
      <w:r w:rsidRPr="009B232E">
        <w:t>studies on possible technical, operational and regulatory measures that ensure the protection of existing services and their continued operation and future development without imposing additional regulatory or technical constraints on those services, while ensuring their protection from harmful interference, when considering possible additional allocations to the MSS,</w:t>
      </w:r>
    </w:p>
    <w:p w14:paraId="03853136" w14:textId="77777777" w:rsidR="003771D5" w:rsidRPr="00235592" w:rsidRDefault="003771D5" w:rsidP="00BD4E12">
      <w:pPr>
        <w:pStyle w:val="Heading1"/>
        <w:rPr>
          <w:lang w:val="en-GB"/>
        </w:rPr>
      </w:pPr>
      <w:r w:rsidRPr="00235592">
        <w:rPr>
          <w:lang w:val="en-GB"/>
        </w:rPr>
        <w:t xml:space="preserve">Preliminary CEPT position </w:t>
      </w:r>
    </w:p>
    <w:p w14:paraId="5880E511" w14:textId="347DFC7F" w:rsidR="00C16EBB" w:rsidRDefault="00B96710" w:rsidP="009B232E">
      <w:pPr>
        <w:rPr>
          <w:rStyle w:val="ECCParagraph"/>
        </w:rPr>
      </w:pPr>
      <w:r w:rsidRPr="00B96710">
        <w:t>In CEPT, the frequency band 2110-2170 MHz is harmonised and widely used for IMT mobile networks. Consideration of MSS in this frequency band should be limited to agenda item 1.13.</w:t>
      </w:r>
    </w:p>
    <w:p w14:paraId="64031CB5" w14:textId="30F133C1" w:rsidR="00C16EBB" w:rsidRPr="006D3093" w:rsidRDefault="003771D5" w:rsidP="00C16EBB">
      <w:pPr>
        <w:pStyle w:val="Heading1"/>
        <w:rPr>
          <w:lang w:val="en-GB"/>
        </w:rPr>
      </w:pPr>
      <w:r w:rsidRPr="00235592">
        <w:rPr>
          <w:lang w:val="en-GB"/>
        </w:rPr>
        <w:t xml:space="preserve">Background </w:t>
      </w:r>
    </w:p>
    <w:p w14:paraId="06D348AD" w14:textId="604C643C" w:rsidR="00C16EBB" w:rsidRPr="00C16EBB" w:rsidRDefault="00C16EBB" w:rsidP="00C16EBB">
      <w:r w:rsidRPr="00C16EBB">
        <w:t xml:space="preserve">CEPT notes that the bands covered under this agenda item are also covered under </w:t>
      </w:r>
      <w:r w:rsidR="00D85CD3">
        <w:t>a</w:t>
      </w:r>
      <w:r w:rsidRPr="00C16EBB">
        <w:t xml:space="preserve">genda </w:t>
      </w:r>
      <w:r w:rsidR="00D85CD3">
        <w:t>i</w:t>
      </w:r>
      <w:r w:rsidRPr="00C16EBB">
        <w:t>tems 1.12 and 1.13</w:t>
      </w:r>
      <w:r w:rsidR="00644383">
        <w:t xml:space="preserve">. </w:t>
      </w:r>
      <w:r w:rsidR="00644383">
        <w:rPr>
          <w:rStyle w:val="ECCParagraph"/>
        </w:rPr>
        <w:t>T</w:t>
      </w:r>
      <w:r w:rsidRPr="006D3093">
        <w:rPr>
          <w:rStyle w:val="ECCParagraph"/>
        </w:rPr>
        <w:t>herefore</w:t>
      </w:r>
      <w:r w:rsidR="009E2BCE">
        <w:rPr>
          <w:rStyle w:val="ECCParagraph"/>
        </w:rPr>
        <w:t xml:space="preserve">, it should be considered </w:t>
      </w:r>
      <w:r w:rsidR="00644383">
        <w:rPr>
          <w:rStyle w:val="ECCParagraph"/>
        </w:rPr>
        <w:t xml:space="preserve">whether </w:t>
      </w:r>
      <w:r w:rsidRPr="006D3093">
        <w:rPr>
          <w:rStyle w:val="ECCParagraph"/>
        </w:rPr>
        <w:t xml:space="preserve">studies / regulatory changes under this agenda item </w:t>
      </w:r>
      <w:r w:rsidR="00644383">
        <w:rPr>
          <w:rStyle w:val="ECCParagraph"/>
        </w:rPr>
        <w:t>are</w:t>
      </w:r>
      <w:r w:rsidRPr="006D3093">
        <w:rPr>
          <w:rStyle w:val="ECCParagraph"/>
        </w:rPr>
        <w:t xml:space="preserve"> required</w:t>
      </w:r>
      <w:r w:rsidR="00644383">
        <w:rPr>
          <w:rStyle w:val="ECCParagraph"/>
        </w:rPr>
        <w:t>, taking into account the following:</w:t>
      </w:r>
    </w:p>
    <w:p w14:paraId="399E3E92" w14:textId="77777777" w:rsidR="00C16EBB" w:rsidRDefault="00C16EBB" w:rsidP="006D3093">
      <w:pPr>
        <w:pStyle w:val="ECCBulletsLv3"/>
        <w:numPr>
          <w:ilvl w:val="0"/>
          <w:numId w:val="0"/>
        </w:numPr>
      </w:pPr>
    </w:p>
    <w:p w14:paraId="3813F9D5" w14:textId="2AE38B25" w:rsidR="00462D0B" w:rsidRPr="00462D0B" w:rsidRDefault="00462D0B" w:rsidP="000E15DF">
      <w:pPr>
        <w:pStyle w:val="ECCBulletsLv1"/>
      </w:pPr>
      <w:r w:rsidRPr="00462D0B">
        <w:t>the 2120-2170 MHz band</w:t>
      </w:r>
      <w:r w:rsidR="009E2BCE">
        <w:t>, also</w:t>
      </w:r>
      <w:r w:rsidR="006E5C28">
        <w:t xml:space="preserve"> considered</w:t>
      </w:r>
      <w:r w:rsidR="009E2BCE">
        <w:t xml:space="preserve"> under WRC 27 agenda item 1.13,</w:t>
      </w:r>
      <w:r w:rsidRPr="00462D0B">
        <w:t xml:space="preserve"> is harmonised in Europe for IMT with extensive deployment. </w:t>
      </w:r>
    </w:p>
    <w:p w14:paraId="6E0327DA" w14:textId="02786A51" w:rsidR="00741892" w:rsidRDefault="00462D0B" w:rsidP="000E15DF">
      <w:pPr>
        <w:pStyle w:val="ECCBulletsLv1"/>
      </w:pPr>
      <w:r w:rsidRPr="00462D0B">
        <w:t xml:space="preserve">Consequently, due to the </w:t>
      </w:r>
      <w:r w:rsidR="009E2BCE">
        <w:t>difficulties</w:t>
      </w:r>
      <w:r w:rsidRPr="00462D0B">
        <w:t xml:space="preserve"> of establishing the required pairing, </w:t>
      </w:r>
      <w:r w:rsidR="009E2BCE">
        <w:t>it may be less relevant to</w:t>
      </w:r>
      <w:r w:rsidRPr="00462D0B">
        <w:t xml:space="preserve"> study a possible allocation of the frequency band 2010-2025 MHz</w:t>
      </w:r>
      <w:r w:rsidR="009E2BCE">
        <w:t xml:space="preserve">, also </w:t>
      </w:r>
      <w:r w:rsidR="006E5C28">
        <w:t xml:space="preserve">considered </w:t>
      </w:r>
      <w:r w:rsidR="009E2BCE">
        <w:t>under</w:t>
      </w:r>
      <w:r w:rsidR="009E2BCE" w:rsidRPr="009E2BCE">
        <w:t xml:space="preserve"> WRC 27 agenda item 1.1</w:t>
      </w:r>
      <w:r w:rsidR="009E2BCE">
        <w:t>2,</w:t>
      </w:r>
      <w:r w:rsidRPr="00462D0B">
        <w:t xml:space="preserve"> to the MSS in the Earth-to-space direction under this agenda item. </w:t>
      </w:r>
    </w:p>
    <w:p w14:paraId="341856D9" w14:textId="77777777" w:rsidR="003771D5" w:rsidRPr="00235592" w:rsidRDefault="003771D5" w:rsidP="00BD4E12">
      <w:pPr>
        <w:pStyle w:val="Heading1"/>
        <w:rPr>
          <w:lang w:val="en-GB"/>
        </w:rPr>
      </w:pPr>
      <w:r w:rsidRPr="00235592">
        <w:rPr>
          <w:lang w:val="en-GB"/>
        </w:rPr>
        <w:t>List of relevant documents</w:t>
      </w:r>
    </w:p>
    <w:p w14:paraId="24C8A31E" w14:textId="77777777" w:rsidR="00220194" w:rsidRPr="00566D8A" w:rsidRDefault="003771D5" w:rsidP="000A29BC">
      <w:pPr>
        <w:pStyle w:val="ECCBreak"/>
        <w:rPr>
          <w:rStyle w:val="ECCParagraph"/>
          <w:lang w:val="fr-FR"/>
        </w:rPr>
      </w:pPr>
      <w:r w:rsidRPr="00566D8A">
        <w:rPr>
          <w:rStyle w:val="ECCParagraph"/>
          <w:lang w:val="fr-FR"/>
        </w:rPr>
        <w:t>ITU-Documentation (Recommendations, Reports, other)</w:t>
      </w:r>
    </w:p>
    <w:p w14:paraId="40267909" w14:textId="77777777" w:rsidR="000A29BC" w:rsidRPr="00566D8A" w:rsidRDefault="000A29BC" w:rsidP="000A29BC">
      <w:pPr>
        <w:pStyle w:val="ECCBulletsLv1"/>
        <w:rPr>
          <w:rStyle w:val="ECCParagraph"/>
          <w:lang w:val="fr-FR"/>
        </w:rPr>
      </w:pPr>
    </w:p>
    <w:p w14:paraId="1EFE1E85" w14:textId="77777777" w:rsidR="00220194" w:rsidRDefault="003771D5" w:rsidP="000A29BC">
      <w:pPr>
        <w:pStyle w:val="ECCBreak"/>
        <w:rPr>
          <w:rStyle w:val="ECCParagraph"/>
        </w:rPr>
      </w:pPr>
      <w:r w:rsidRPr="00235592">
        <w:rPr>
          <w:rStyle w:val="ECCParagraph"/>
        </w:rPr>
        <w:t>CEPT and/or ECC Documentation (Decisions, Recommendations, Reports)</w:t>
      </w:r>
    </w:p>
    <w:p w14:paraId="15E59C66" w14:textId="77777777" w:rsidR="000A29BC" w:rsidRPr="00235592" w:rsidRDefault="000A29BC" w:rsidP="000A29BC">
      <w:pPr>
        <w:pStyle w:val="ECCBulletsLv1"/>
        <w:rPr>
          <w:rStyle w:val="ECCParagraph"/>
        </w:rPr>
      </w:pPr>
    </w:p>
    <w:p w14:paraId="24ADC4DB" w14:textId="77777777" w:rsidR="00E26BAC" w:rsidRDefault="003771D5" w:rsidP="000A29BC">
      <w:pPr>
        <w:pStyle w:val="ECCBreak"/>
        <w:rPr>
          <w:rStyle w:val="ECCParagraph"/>
        </w:rPr>
      </w:pPr>
      <w:r w:rsidRPr="00235592">
        <w:rPr>
          <w:rStyle w:val="ECCParagraph"/>
        </w:rPr>
        <w:t>EU Documentation (Directives, Decisions, Recommendations, other), if applicable</w:t>
      </w:r>
    </w:p>
    <w:p w14:paraId="3965CA32" w14:textId="77777777" w:rsidR="000A29BC" w:rsidRPr="00235592" w:rsidRDefault="000A29BC" w:rsidP="000A29BC">
      <w:pPr>
        <w:pStyle w:val="ECCBulletsLv1"/>
        <w:rPr>
          <w:rStyle w:val="ECCParagraph"/>
        </w:rPr>
      </w:pPr>
    </w:p>
    <w:p w14:paraId="600232E7" w14:textId="50DAF1C1" w:rsidR="006C5C1C" w:rsidRPr="00235592" w:rsidRDefault="003771D5" w:rsidP="00BD4E12">
      <w:pPr>
        <w:pStyle w:val="Heading1"/>
        <w:rPr>
          <w:rStyle w:val="ECCParagraph"/>
        </w:rPr>
      </w:pPr>
      <w:r w:rsidRPr="00235592">
        <w:rPr>
          <w:lang w:val="en-GB"/>
        </w:rPr>
        <w:t>Actions to be taken</w:t>
      </w:r>
    </w:p>
    <w:p w14:paraId="1DBBD4D5" w14:textId="79A3B019" w:rsidR="00741892" w:rsidRPr="00235592" w:rsidRDefault="00B61627" w:rsidP="00741892">
      <w:pPr>
        <w:pStyle w:val="ECCBulletsLv1"/>
      </w:pPr>
      <w:r>
        <w:t>TBD</w:t>
      </w:r>
    </w:p>
    <w:p w14:paraId="6273D382" w14:textId="5818827E" w:rsidR="003771D5" w:rsidRPr="00235592" w:rsidRDefault="003771D5" w:rsidP="00BD4E12">
      <w:pPr>
        <w:pStyle w:val="Heading1"/>
        <w:rPr>
          <w:lang w:val="en-GB"/>
        </w:rPr>
      </w:pPr>
      <w:r w:rsidRPr="00235592">
        <w:rPr>
          <w:lang w:val="en-GB"/>
        </w:rPr>
        <w:t xml:space="preserve">Relevant information </w:t>
      </w:r>
      <w:r w:rsidR="008C14EA" w:rsidRPr="00A52B8E">
        <w:rPr>
          <w:lang w:val="en-GB"/>
        </w:rPr>
        <w:t xml:space="preserve">as contributed </w:t>
      </w:r>
      <w:r w:rsidRPr="00235592">
        <w:rPr>
          <w:lang w:val="en-GB"/>
        </w:rPr>
        <w:t>from outside CEPT (examples of these are below)</w:t>
      </w:r>
    </w:p>
    <w:p w14:paraId="108611CC" w14:textId="380F2A23" w:rsidR="003771D5" w:rsidRPr="00235592" w:rsidRDefault="00652804" w:rsidP="00BD4E12">
      <w:pPr>
        <w:pStyle w:val="Heading2"/>
        <w:rPr>
          <w:lang w:val="en-GB"/>
        </w:rPr>
      </w:pPr>
      <w:r w:rsidRPr="00A52B8E">
        <w:rPr>
          <w:lang w:val="en-GB"/>
        </w:rPr>
        <w:t>European Commission</w:t>
      </w:r>
      <w:r w:rsidR="002132DB" w:rsidRPr="00A52B8E">
        <w:rPr>
          <w:lang w:val="en-GB"/>
        </w:rPr>
        <w:t xml:space="preserve"> (date o</w:t>
      </w:r>
      <w:r w:rsidR="00F8504F" w:rsidRPr="00A52B8E">
        <w:rPr>
          <w:lang w:val="en-GB"/>
        </w:rPr>
        <w:t>f proposal)</w:t>
      </w:r>
    </w:p>
    <w:p w14:paraId="02658459" w14:textId="77777777" w:rsidR="004F16F4" w:rsidRPr="00235592" w:rsidRDefault="004F16F4" w:rsidP="004F16F4">
      <w:pPr>
        <w:rPr>
          <w:rStyle w:val="ECCParagraph"/>
        </w:rPr>
      </w:pPr>
    </w:p>
    <w:p w14:paraId="0B92F784" w14:textId="4FDF6BEE" w:rsidR="003771D5" w:rsidRPr="00235592" w:rsidRDefault="003771D5" w:rsidP="00BD4E12">
      <w:pPr>
        <w:pStyle w:val="Heading2"/>
        <w:rPr>
          <w:lang w:val="en-GB"/>
        </w:rPr>
      </w:pPr>
      <w:r w:rsidRPr="00235592">
        <w:rPr>
          <w:lang w:val="en-GB"/>
        </w:rPr>
        <w:t xml:space="preserve">Regional </w:t>
      </w:r>
      <w:r w:rsidR="00B54B09">
        <w:t>T</w:t>
      </w:r>
      <w:r w:rsidR="0057797A" w:rsidRPr="00235592">
        <w:rPr>
          <w:lang w:val="en-GB"/>
        </w:rPr>
        <w:t xml:space="preserve">elecommunication </w:t>
      </w:r>
      <w:r w:rsidR="00B54B09">
        <w:t>O</w:t>
      </w:r>
      <w:r w:rsidR="0057797A" w:rsidRPr="00235592">
        <w:rPr>
          <w:lang w:val="en-GB"/>
        </w:rPr>
        <w:t>rganisations</w:t>
      </w:r>
    </w:p>
    <w:p w14:paraId="202E4ABD" w14:textId="77777777" w:rsidR="003771D5" w:rsidRPr="00235592" w:rsidRDefault="003771D5" w:rsidP="009B1F62">
      <w:pPr>
        <w:pStyle w:val="ECCBreak"/>
      </w:pPr>
      <w:r w:rsidRPr="00235592">
        <w:t>APT (date of proposal)</w:t>
      </w:r>
    </w:p>
    <w:p w14:paraId="2AF5FF95" w14:textId="77777777" w:rsidR="006C5C1C" w:rsidRPr="00235592" w:rsidRDefault="006C5C1C" w:rsidP="006C5C1C">
      <w:pPr>
        <w:rPr>
          <w:rStyle w:val="ECCParagraph"/>
        </w:rPr>
      </w:pPr>
    </w:p>
    <w:p w14:paraId="3A5AB3EF" w14:textId="77777777" w:rsidR="003771D5" w:rsidRPr="00235592" w:rsidRDefault="003771D5" w:rsidP="009B1F62">
      <w:pPr>
        <w:pStyle w:val="ECCBreak"/>
      </w:pPr>
      <w:r w:rsidRPr="00235592">
        <w:t>ATU (date of proposal)</w:t>
      </w:r>
    </w:p>
    <w:p w14:paraId="44B5ADE1" w14:textId="77777777" w:rsidR="003771D5" w:rsidRPr="00235592" w:rsidRDefault="003771D5" w:rsidP="00BD4E12">
      <w:pPr>
        <w:rPr>
          <w:rStyle w:val="ECCParagraph"/>
        </w:rPr>
      </w:pPr>
    </w:p>
    <w:p w14:paraId="08DC6F00" w14:textId="4E4A0648" w:rsidR="003771D5" w:rsidRPr="00235592" w:rsidRDefault="00A87414" w:rsidP="009B1F62">
      <w:pPr>
        <w:pStyle w:val="ECCBreak"/>
      </w:pPr>
      <w:r>
        <w:t>ASMG</w:t>
      </w:r>
      <w:r w:rsidR="003771D5" w:rsidRPr="00235592">
        <w:t xml:space="preserve"> (date of proposal)</w:t>
      </w:r>
    </w:p>
    <w:p w14:paraId="0B9B19D0" w14:textId="77777777" w:rsidR="003771D5" w:rsidRPr="00235592" w:rsidRDefault="003771D5" w:rsidP="00BD4E12">
      <w:pPr>
        <w:rPr>
          <w:rStyle w:val="ECCParagraph"/>
        </w:rPr>
      </w:pPr>
    </w:p>
    <w:p w14:paraId="5839E6A0" w14:textId="17A7A1F3" w:rsidR="003771D5" w:rsidRPr="00235592" w:rsidRDefault="003771D5" w:rsidP="009B1F62">
      <w:pPr>
        <w:pStyle w:val="ECCBreak"/>
      </w:pPr>
      <w:r w:rsidRPr="00235592">
        <w:t>CITEL (</w:t>
      </w:r>
      <w:r w:rsidR="0011639D" w:rsidRPr="0011639D">
        <w:rPr>
          <w:lang w:val="en-GB"/>
        </w:rPr>
        <w:t>November 2024</w:t>
      </w:r>
      <w:r w:rsidRPr="00235592">
        <w:t>)</w:t>
      </w:r>
    </w:p>
    <w:p w14:paraId="53E091FD" w14:textId="77777777" w:rsidR="00E8591A" w:rsidRPr="00E8591A" w:rsidRDefault="00E8591A" w:rsidP="00E8591A">
      <w:pPr>
        <w:rPr>
          <w:rStyle w:val="ECCParagraph"/>
        </w:rPr>
      </w:pPr>
      <w:r w:rsidRPr="00E8591A">
        <w:rPr>
          <w:rStyle w:val="ECCParagraph"/>
        </w:rPr>
        <w:t xml:space="preserve">Preliminary View (PV) </w:t>
      </w:r>
    </w:p>
    <w:p w14:paraId="40516C74" w14:textId="65C9AB0B" w:rsidR="003771D5" w:rsidRPr="00235592" w:rsidRDefault="00E8591A" w:rsidP="00E8591A">
      <w:pPr>
        <w:rPr>
          <w:rStyle w:val="ECCParagraph"/>
        </w:rPr>
      </w:pPr>
      <w:r w:rsidRPr="00E8591A">
        <w:rPr>
          <w:rStyle w:val="ECCParagraph"/>
        </w:rPr>
        <w:t xml:space="preserve">Three Administrations support studies on possible new MSS frequency allocations consistent with Resolution </w:t>
      </w:r>
      <w:r w:rsidRPr="00AC28AC">
        <w:rPr>
          <w:rStyle w:val="ECCHLbold"/>
        </w:rPr>
        <w:t>254 (WRC-23)</w:t>
      </w:r>
      <w:r w:rsidRPr="00E8591A">
        <w:rPr>
          <w:rStyle w:val="ECCParagraph"/>
        </w:rPr>
        <w:t>, that consider technical criteria and parameters to ensure protection to existing radiocommunication</w:t>
      </w:r>
      <w:r>
        <w:rPr>
          <w:rStyle w:val="ECCParagraph"/>
        </w:rPr>
        <w:t xml:space="preserve"> </w:t>
      </w:r>
      <w:r w:rsidRPr="00E8591A">
        <w:rPr>
          <w:rStyle w:val="ECCParagraph"/>
        </w:rPr>
        <w:t>services, including those in the adjacent frequency bands, and their future development. The overlapping of the</w:t>
      </w:r>
      <w:r>
        <w:rPr>
          <w:rStyle w:val="ECCParagraph"/>
        </w:rPr>
        <w:t xml:space="preserve"> </w:t>
      </w:r>
      <w:r w:rsidRPr="00E8591A">
        <w:rPr>
          <w:rStyle w:val="ECCParagraph"/>
        </w:rPr>
        <w:t>frequency bands with agenda Items 1.12 / 1.13 / 1.14 should also be considered during studies under each of</w:t>
      </w:r>
      <w:r>
        <w:rPr>
          <w:rStyle w:val="ECCParagraph"/>
        </w:rPr>
        <w:t xml:space="preserve"> </w:t>
      </w:r>
      <w:r w:rsidRPr="00E8591A">
        <w:rPr>
          <w:rStyle w:val="ECCParagraph"/>
        </w:rPr>
        <w:t>these agenda items.</w:t>
      </w:r>
    </w:p>
    <w:p w14:paraId="0EBA804D" w14:textId="14FCAC4A" w:rsidR="003771D5" w:rsidRPr="00235592" w:rsidRDefault="003771D5" w:rsidP="009B1F62">
      <w:pPr>
        <w:pStyle w:val="ECCBreak"/>
      </w:pPr>
      <w:r w:rsidRPr="00235592">
        <w:t>RCC (</w:t>
      </w:r>
      <w:r w:rsidR="000A55CC" w:rsidRPr="000A55CC">
        <w:rPr>
          <w:lang w:val="en-GB"/>
        </w:rPr>
        <w:t>December 2024</w:t>
      </w:r>
      <w:r w:rsidRPr="00235592">
        <w:t>)</w:t>
      </w:r>
    </w:p>
    <w:p w14:paraId="2525C7A8" w14:textId="77777777" w:rsidR="00533190" w:rsidRDefault="00533190" w:rsidP="00BD4E12">
      <w:r w:rsidRPr="00533190">
        <w:t xml:space="preserve">The RCC Administrations do not object to conducting studies on possible additional allocations to the mobile-satellite service. </w:t>
      </w:r>
    </w:p>
    <w:p w14:paraId="23D8BB81" w14:textId="322734EA" w:rsidR="003771D5" w:rsidRPr="00235592" w:rsidRDefault="00533190" w:rsidP="00BD4E12">
      <w:pPr>
        <w:rPr>
          <w:rStyle w:val="ECCParagraph"/>
        </w:rPr>
      </w:pPr>
      <w:r w:rsidRPr="00533190">
        <w:t>The RCC Administrations believe that additional allocations to the MSS are permissible only if technical and regulatory conditions for their use are established that allow ensuring the protection of existing and planned radio systems in the same or adjacent frequency bands allocated in accordance with the RR Article 5.</w:t>
      </w:r>
    </w:p>
    <w:p w14:paraId="4C9DF9D0" w14:textId="491B03A9" w:rsidR="003771D5" w:rsidRPr="00235592" w:rsidRDefault="003771D5" w:rsidP="00BD4E12">
      <w:pPr>
        <w:pStyle w:val="Heading2"/>
        <w:rPr>
          <w:lang w:val="en-GB"/>
        </w:rPr>
      </w:pPr>
      <w:r w:rsidRPr="00235592">
        <w:rPr>
          <w:lang w:val="en-GB"/>
        </w:rPr>
        <w:t>International organisations</w:t>
      </w:r>
      <w:r w:rsidR="00652804" w:rsidRPr="00A52B8E">
        <w:rPr>
          <w:lang w:val="en-GB"/>
        </w:rPr>
        <w:t xml:space="preserve"> members of the ITU</w:t>
      </w:r>
    </w:p>
    <w:p w14:paraId="354B4C78" w14:textId="77777777" w:rsidR="007F2AB2" w:rsidRPr="00A52B8E" w:rsidRDefault="007F2AB2" w:rsidP="009B1F62">
      <w:pPr>
        <w:pStyle w:val="ECCBreak"/>
      </w:pPr>
      <w:r w:rsidRPr="00A52B8E">
        <w:t>CRAF (date of proposal)</w:t>
      </w:r>
    </w:p>
    <w:p w14:paraId="680BC6AC" w14:textId="77777777" w:rsidR="00BC157A" w:rsidRPr="00235592" w:rsidRDefault="00BC157A" w:rsidP="00BC157A">
      <w:pPr>
        <w:rPr>
          <w:rStyle w:val="ECCParagraph"/>
        </w:rPr>
      </w:pPr>
    </w:p>
    <w:p w14:paraId="294F61D9" w14:textId="77777777" w:rsidR="007F2AB2" w:rsidRPr="00A52B8E" w:rsidRDefault="007F2AB2" w:rsidP="009B1F62">
      <w:pPr>
        <w:pStyle w:val="ECCBreak"/>
      </w:pPr>
      <w:r w:rsidRPr="00A52B8E">
        <w:lastRenderedPageBreak/>
        <w:t>EBU (date of proposal)</w:t>
      </w:r>
    </w:p>
    <w:p w14:paraId="65697FCC" w14:textId="77777777" w:rsidR="007F2AB2" w:rsidRPr="00235592" w:rsidRDefault="007F2AB2" w:rsidP="007F2AB2">
      <w:pPr>
        <w:rPr>
          <w:rStyle w:val="ECCParagraph"/>
        </w:rPr>
      </w:pPr>
    </w:p>
    <w:p w14:paraId="1651F70F" w14:textId="1C041D21" w:rsidR="007F2AB2" w:rsidRPr="00A52B8E" w:rsidRDefault="007F2AB2" w:rsidP="009B1F62">
      <w:pPr>
        <w:pStyle w:val="ECCBreak"/>
      </w:pPr>
      <w:r w:rsidRPr="00A52B8E">
        <w:t>ESA (</w:t>
      </w:r>
      <w:r w:rsidR="005E2ACD">
        <w:t>June 2024</w:t>
      </w:r>
      <w:r w:rsidRPr="00A52B8E">
        <w:t>)</w:t>
      </w:r>
    </w:p>
    <w:p w14:paraId="3A9E33AE" w14:textId="07677CC8" w:rsidR="005E2ACD" w:rsidRDefault="005E2ACD" w:rsidP="005E2ACD">
      <w:r w:rsidRPr="00613E07">
        <w:t xml:space="preserve">ESA supports the SFCG objectives, as developed in June 2024, on WRC-27 agenda item </w:t>
      </w:r>
      <w:r>
        <w:t>1.13</w:t>
      </w:r>
      <w:r w:rsidRPr="00613E07">
        <w:t>, as shown below:</w:t>
      </w:r>
    </w:p>
    <w:p w14:paraId="2E0D06B8" w14:textId="3C6A5186" w:rsidR="005E2ACD" w:rsidRDefault="00B9276C" w:rsidP="005E2ACD">
      <w:r>
        <w:t>“</w:t>
      </w:r>
      <w:r w:rsidR="005E2ACD" w:rsidRPr="005E2ACD">
        <w:t>SFCG is not opposed to the consideration of possible new MSS allocations provided that there is no negative impact on the EESS/SOS/SRS in the 2025-2110 MHz frequency band and on the SRS (deep space) in the 2110-2120 MHz band.</w:t>
      </w:r>
      <w:r>
        <w:t>”</w:t>
      </w:r>
    </w:p>
    <w:p w14:paraId="282AC193" w14:textId="2F74C742" w:rsidR="005E2ACD" w:rsidRPr="005E2ACD" w:rsidRDefault="005E2ACD" w:rsidP="005E2ACD">
      <w:pPr>
        <w:rPr>
          <w:rStyle w:val="ECCHLbold"/>
        </w:rPr>
      </w:pPr>
      <w:r w:rsidRPr="005E2ACD">
        <w:rPr>
          <w:rStyle w:val="ECCHLbold"/>
        </w:rPr>
        <w:t>GSMA (date of proposal)</w:t>
      </w:r>
    </w:p>
    <w:p w14:paraId="733E6EC7" w14:textId="77777777" w:rsidR="006E59D4" w:rsidRPr="00235592" w:rsidRDefault="006E59D4" w:rsidP="006E59D4">
      <w:pPr>
        <w:rPr>
          <w:rStyle w:val="ECCParagraph"/>
        </w:rPr>
      </w:pPr>
    </w:p>
    <w:p w14:paraId="7F29EA15" w14:textId="5FAC6837" w:rsidR="00F8504F" w:rsidRPr="00A52B8E" w:rsidRDefault="00F8504F" w:rsidP="009B1F62">
      <w:pPr>
        <w:pStyle w:val="ECCBreak"/>
      </w:pPr>
      <w:r w:rsidRPr="00A52B8E">
        <w:t>GSOA (</w:t>
      </w:r>
      <w:r w:rsidR="00ED7641">
        <w:t>Septem</w:t>
      </w:r>
      <w:r w:rsidR="00CC752D">
        <w:t>ber 2024</w:t>
      </w:r>
      <w:r w:rsidRPr="00A52B8E">
        <w:t>)</w:t>
      </w:r>
    </w:p>
    <w:p w14:paraId="58BEBC97" w14:textId="32A712DA" w:rsidR="00885BFF" w:rsidRPr="00235592" w:rsidRDefault="00ED7641" w:rsidP="00885BFF">
      <w:pPr>
        <w:rPr>
          <w:rStyle w:val="ECCParagraph"/>
        </w:rPr>
      </w:pPr>
      <w:r w:rsidRPr="00ED7641">
        <w:rPr>
          <w:rStyle w:val="ECCParagraph"/>
        </w:rPr>
        <w:t xml:space="preserve">GSOA supports studies under Resolves 1, 2, and 3 of Resolution 254 (WRC-23) and new spectrum allocations to the MSS.  </w:t>
      </w:r>
    </w:p>
    <w:p w14:paraId="417F5D3F" w14:textId="77777777" w:rsidR="00554C4C" w:rsidRPr="00A52B8E" w:rsidRDefault="00554C4C" w:rsidP="009B1F62">
      <w:pPr>
        <w:pStyle w:val="ECCBreak"/>
      </w:pPr>
      <w:r w:rsidRPr="00A52B8E">
        <w:t>IARU (date of proposal)</w:t>
      </w:r>
    </w:p>
    <w:p w14:paraId="4E2922B6" w14:textId="77777777" w:rsidR="00554C4C" w:rsidRPr="00235592" w:rsidRDefault="00554C4C" w:rsidP="00554C4C">
      <w:pPr>
        <w:rPr>
          <w:rStyle w:val="ECCParagraph"/>
        </w:rPr>
      </w:pPr>
    </w:p>
    <w:p w14:paraId="1B257E61" w14:textId="77777777" w:rsidR="00554C4C" w:rsidRPr="009701EC" w:rsidRDefault="00554C4C" w:rsidP="009B1F62">
      <w:pPr>
        <w:pStyle w:val="ECCBreak"/>
      </w:pPr>
      <w:r w:rsidRPr="009701EC">
        <w:t>IATA (date of proposal)</w:t>
      </w:r>
    </w:p>
    <w:p w14:paraId="086E160D" w14:textId="77777777" w:rsidR="00554C4C" w:rsidRPr="009701EC" w:rsidRDefault="00554C4C" w:rsidP="009B1F62">
      <w:pPr>
        <w:rPr>
          <w:rStyle w:val="ECCParagraph"/>
          <w:b/>
          <w:bCs/>
          <w:iCs/>
          <w:szCs w:val="28"/>
        </w:rPr>
      </w:pPr>
    </w:p>
    <w:p w14:paraId="66F485B0" w14:textId="3029EB12" w:rsidR="009701EC" w:rsidRDefault="00D15FCC" w:rsidP="009701EC">
      <w:pPr>
        <w:pStyle w:val="Heading2"/>
      </w:pPr>
      <w:r>
        <w:t xml:space="preserve">UN </w:t>
      </w:r>
      <w:r w:rsidR="00B54B09">
        <w:t>l</w:t>
      </w:r>
      <w:r w:rsidR="00570BE1">
        <w:t xml:space="preserve">evel </w:t>
      </w:r>
      <w:r>
        <w:t>C</w:t>
      </w:r>
      <w:r w:rsidR="00D1280A">
        <w:t>o</w:t>
      </w:r>
      <w:r>
        <w:t>mmittees</w:t>
      </w:r>
    </w:p>
    <w:p w14:paraId="1C0A5EFE" w14:textId="77777777" w:rsidR="003771D5" w:rsidRPr="009701EC" w:rsidRDefault="003771D5" w:rsidP="009B1F62">
      <w:pPr>
        <w:pStyle w:val="ECCBreak"/>
      </w:pPr>
      <w:r w:rsidRPr="009701EC">
        <w:t>ICAO (date of proposal)</w:t>
      </w:r>
    </w:p>
    <w:p w14:paraId="54EB00E7" w14:textId="77777777" w:rsidR="003771D5" w:rsidRPr="009701EC" w:rsidRDefault="003771D5" w:rsidP="00BD4E12">
      <w:pPr>
        <w:rPr>
          <w:rStyle w:val="ECCParagraph"/>
        </w:rPr>
      </w:pPr>
    </w:p>
    <w:p w14:paraId="568E7476" w14:textId="77777777" w:rsidR="003771D5" w:rsidRPr="009701EC" w:rsidRDefault="003771D5" w:rsidP="009B1F62">
      <w:pPr>
        <w:pStyle w:val="ECCBreak"/>
      </w:pPr>
      <w:r w:rsidRPr="009701EC">
        <w:t>IMO (date of proposal)</w:t>
      </w:r>
    </w:p>
    <w:p w14:paraId="3216A4D7" w14:textId="106FC05B" w:rsidR="003771D5" w:rsidRDefault="003771D5" w:rsidP="00BD4E12">
      <w:pPr>
        <w:rPr>
          <w:rStyle w:val="ECCParagraph"/>
        </w:rPr>
      </w:pPr>
    </w:p>
    <w:p w14:paraId="026E1DD9" w14:textId="55C655D3" w:rsidR="003771D5" w:rsidRDefault="003771D5" w:rsidP="009B1F62">
      <w:pPr>
        <w:pStyle w:val="ECCBreak"/>
      </w:pPr>
      <w:r w:rsidRPr="00235592">
        <w:t>WMO (</w:t>
      </w:r>
      <w:r w:rsidR="00F06612">
        <w:t xml:space="preserve">March </w:t>
      </w:r>
      <w:r w:rsidR="005E2ACD">
        <w:t>2024</w:t>
      </w:r>
      <w:r w:rsidRPr="00235592">
        <w:t>)</w:t>
      </w:r>
    </w:p>
    <w:p w14:paraId="557BCBB9" w14:textId="2A841DCA" w:rsidR="003771D5" w:rsidRPr="00235592" w:rsidRDefault="005E2ACD" w:rsidP="00BD4E12">
      <w:pPr>
        <w:rPr>
          <w:rStyle w:val="ECCParagraph"/>
        </w:rPr>
      </w:pPr>
      <w:r w:rsidRPr="005E2ACD">
        <w:t>WMO does not oppose possible additional allocations to the MSS in the 2 010-2 025 MHz (Earth-to-space) band, provided that there is no impact on the operation of EESS/MetSat satellite systems in the adjacent 2 025-2 110 MHz frequency band.</w:t>
      </w:r>
    </w:p>
    <w:p w14:paraId="09435367" w14:textId="32C5C831" w:rsidR="003771D5" w:rsidRPr="00235592" w:rsidRDefault="00B54B09" w:rsidP="00BD4E12">
      <w:pPr>
        <w:pStyle w:val="Heading2"/>
        <w:rPr>
          <w:lang w:val="en-GB"/>
        </w:rPr>
      </w:pPr>
      <w:r>
        <w:t>Other</w:t>
      </w:r>
      <w:r w:rsidR="00485535">
        <w:t xml:space="preserve"> </w:t>
      </w:r>
      <w:r w:rsidR="00A23AFE">
        <w:t>ECC MoU/L</w:t>
      </w:r>
      <w:r w:rsidR="00D1280A">
        <w:t>o</w:t>
      </w:r>
      <w:r w:rsidR="00A23AFE">
        <w:t>U partners</w:t>
      </w:r>
    </w:p>
    <w:p w14:paraId="4149F051" w14:textId="2977993D" w:rsidR="00485535" w:rsidRDefault="00485535" w:rsidP="009B1F62">
      <w:pPr>
        <w:pStyle w:val="ECCBreak"/>
      </w:pPr>
      <w:r>
        <w:t>EUMETNET (</w:t>
      </w:r>
      <w:r w:rsidR="00F06612">
        <w:t>March 2024</w:t>
      </w:r>
      <w:r>
        <w:t>)</w:t>
      </w:r>
    </w:p>
    <w:p w14:paraId="19E1B302" w14:textId="7A5A4065" w:rsidR="00EF69A0" w:rsidRPr="00235592" w:rsidRDefault="00F06612" w:rsidP="00EF69A0">
      <w:pPr>
        <w:rPr>
          <w:rStyle w:val="ECCParagraph"/>
        </w:rPr>
      </w:pPr>
      <w:r w:rsidRPr="00F06612">
        <w:rPr>
          <w:rStyle w:val="ECCParagraph"/>
        </w:rPr>
        <w:t>EUMETNET supports the WMO position.</w:t>
      </w:r>
    </w:p>
    <w:p w14:paraId="4649D611" w14:textId="33C26FF7" w:rsidR="003771D5" w:rsidRPr="00235592" w:rsidRDefault="00890D52" w:rsidP="009B1F62">
      <w:pPr>
        <w:pStyle w:val="ECCBreak"/>
      </w:pPr>
      <w:r>
        <w:lastRenderedPageBreak/>
        <w:t>EUROCONTROL</w:t>
      </w:r>
      <w:r w:rsidRPr="00235592">
        <w:t xml:space="preserve"> </w:t>
      </w:r>
      <w:r w:rsidR="003771D5" w:rsidRPr="00235592">
        <w:t>(date of proposal)</w:t>
      </w:r>
    </w:p>
    <w:p w14:paraId="19A63121" w14:textId="77777777" w:rsidR="003771D5" w:rsidRPr="00235592" w:rsidRDefault="003771D5" w:rsidP="00BD4E12">
      <w:pPr>
        <w:rPr>
          <w:rStyle w:val="ECCParagraph"/>
        </w:rPr>
      </w:pPr>
    </w:p>
    <w:p w14:paraId="220232F8" w14:textId="6C3E7E3E" w:rsidR="00D91D39" w:rsidDel="003219F7" w:rsidRDefault="00D91D39" w:rsidP="009B1F62">
      <w:pPr>
        <w:pStyle w:val="ECCBreak"/>
        <w:rPr>
          <w:rStyle w:val="ECCParagraph"/>
          <w:rFonts w:eastAsia="Calibri"/>
          <w:b w:val="0"/>
          <w:bCs w:val="0"/>
          <w:iCs w:val="0"/>
          <w:szCs w:val="22"/>
        </w:rPr>
      </w:pPr>
      <w:r w:rsidDel="003219F7">
        <w:rPr>
          <w:rStyle w:val="ECCParagraph"/>
        </w:rPr>
        <w:t xml:space="preserve">NATO </w:t>
      </w:r>
      <w:r w:rsidRPr="00C377C2" w:rsidDel="003219F7">
        <w:t>(</w:t>
      </w:r>
      <w:r w:rsidR="00955D88" w:rsidRPr="00955D88">
        <w:rPr>
          <w:lang w:val="en-GB"/>
        </w:rPr>
        <w:t>November 2024</w:t>
      </w:r>
      <w:r w:rsidRPr="00C377C2" w:rsidDel="003219F7">
        <w:t>)</w:t>
      </w:r>
    </w:p>
    <w:p w14:paraId="75F6EA28" w14:textId="77777777" w:rsidR="00030716" w:rsidRPr="00AC28AC" w:rsidRDefault="00030716" w:rsidP="00030716">
      <w:pPr>
        <w:rPr>
          <w:rStyle w:val="ECCHLunderlined"/>
        </w:rPr>
      </w:pPr>
      <w:r w:rsidRPr="00AC28AC">
        <w:rPr>
          <w:rStyle w:val="ECCHLunderlined"/>
        </w:rPr>
        <w:t>Preliminary NATO Military Interest Statement</w:t>
      </w:r>
    </w:p>
    <w:p w14:paraId="43A4EF8F" w14:textId="77777777" w:rsidR="00030716" w:rsidRPr="00030716" w:rsidRDefault="00030716" w:rsidP="00030716">
      <w:pPr>
        <w:rPr>
          <w:rStyle w:val="ECCParagraph"/>
        </w:rPr>
      </w:pPr>
      <w:r w:rsidRPr="00030716">
        <w:rPr>
          <w:rStyle w:val="ECCParagraph"/>
        </w:rPr>
        <w:t>NATO military systems are utilising the NATO harmonised band 2 025-2 110 MHZ which is adjacent to the 2 010-2 025 MHz band under study. The other bands which are in the tuning range of the TRR and partly for unmanned systems are of interest for NATO.</w:t>
      </w:r>
    </w:p>
    <w:p w14:paraId="3F2EBB62" w14:textId="41E148B2" w:rsidR="00EF69A0" w:rsidRPr="00235592" w:rsidRDefault="00030716" w:rsidP="00EF69A0">
      <w:pPr>
        <w:rPr>
          <w:rStyle w:val="ECCParagraph"/>
        </w:rPr>
      </w:pPr>
      <w:r w:rsidRPr="00030716">
        <w:rPr>
          <w:rStyle w:val="ECCParagraph"/>
        </w:rPr>
        <w:t>NATO systems might be affected by these new allocations.</w:t>
      </w:r>
    </w:p>
    <w:sectPr w:rsidR="00EF69A0" w:rsidRPr="00235592" w:rsidSect="00482679">
      <w:headerReference w:type="even" r:id="rId12"/>
      <w:headerReference w:type="default" r:id="rId13"/>
      <w:footerReference w:type="even" r:id="rId14"/>
      <w:footerReference w:type="default" r:id="rId15"/>
      <w:headerReference w:type="first" r:id="rId16"/>
      <w:footerReference w:type="first" r:id="rId17"/>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C040" w14:textId="77777777" w:rsidR="00144994" w:rsidRDefault="00144994" w:rsidP="00D0121B">
      <w:r>
        <w:separator/>
      </w:r>
    </w:p>
    <w:p w14:paraId="18CE19F0" w14:textId="77777777" w:rsidR="00144994" w:rsidRDefault="00144994"/>
    <w:p w14:paraId="35C5D8FD" w14:textId="77777777" w:rsidR="00144994" w:rsidRDefault="00144994"/>
  </w:endnote>
  <w:endnote w:type="continuationSeparator" w:id="0">
    <w:p w14:paraId="77665A64" w14:textId="77777777" w:rsidR="00144994" w:rsidRDefault="00144994" w:rsidP="00D0121B">
      <w:r>
        <w:continuationSeparator/>
      </w:r>
    </w:p>
    <w:p w14:paraId="2CA6AE76" w14:textId="77777777" w:rsidR="00144994" w:rsidRDefault="00144994"/>
    <w:p w14:paraId="117FA04A" w14:textId="77777777" w:rsidR="00144994" w:rsidRDefault="00144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CC4E" w14:textId="77777777" w:rsidR="00022127" w:rsidRDefault="00022127">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5677" w14:textId="77777777" w:rsidR="00022127" w:rsidRDefault="00022127">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A4A8" w14:textId="77777777" w:rsidR="00022127" w:rsidRDefault="00022127">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5498D" w14:textId="77777777" w:rsidR="00144994" w:rsidRPr="00C77ABB" w:rsidRDefault="00144994" w:rsidP="00C77ABB">
      <w:pPr>
        <w:pStyle w:val="FootnoteText"/>
      </w:pPr>
      <w:r w:rsidRPr="00C77ABB">
        <w:separator/>
      </w:r>
    </w:p>
  </w:footnote>
  <w:footnote w:type="continuationSeparator" w:id="0">
    <w:p w14:paraId="7D93CD61" w14:textId="77777777" w:rsidR="00144994" w:rsidRPr="00C77ABB" w:rsidRDefault="00144994" w:rsidP="00C77ABB">
      <w:pPr>
        <w:pStyle w:val="FootnoteText"/>
      </w:pPr>
      <w:r w:rsidRPr="00C77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1D2F" w14:textId="46CAB97F" w:rsidR="00E06B29" w:rsidRPr="00CF2EC7" w:rsidRDefault="003771D5" w:rsidP="003A68D5">
    <w:pPr>
      <w:pStyle w:val="ECCpageHeader"/>
      <w:rPr>
        <w:lang w:val="en-US"/>
      </w:rPr>
    </w:pPr>
    <w:r w:rsidRPr="00CF2EC7">
      <w:rPr>
        <w:lang w:val="en-US"/>
      </w:rPr>
      <w:t xml:space="preserve">Draft CEPT Brief on AI </w:t>
    </w:r>
    <w:r w:rsidR="00022127">
      <w:t>1.14</w:t>
    </w:r>
    <w:r w:rsidRPr="00CF2EC7">
      <w:rPr>
        <w:lang w:val="en-US"/>
      </w:rPr>
      <w:t xml:space="preserve"> </w:t>
    </w:r>
    <w:r w:rsidR="002D6680" w:rsidRPr="00CF2EC7">
      <w:rPr>
        <w:lang w:val="en-US"/>
      </w:rPr>
      <w:t xml:space="preserve">-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4</w:t>
    </w:r>
    <w:r w:rsidR="005C10EB"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F73B" w14:textId="2711EA80" w:rsidR="00E06B29" w:rsidRPr="00CF2EC7" w:rsidRDefault="00D904D5" w:rsidP="003A68D5">
    <w:pPr>
      <w:pStyle w:val="ECCpageHeader"/>
      <w:rPr>
        <w:lang w:val="en-US"/>
      </w:rPr>
    </w:pPr>
    <w:r>
      <w:tab/>
    </w:r>
    <w:r>
      <w:tab/>
    </w:r>
    <w:r w:rsidR="002D6680" w:rsidRPr="00CF2EC7">
      <w:rPr>
        <w:lang w:val="en-US"/>
      </w:rPr>
      <w:t xml:space="preserve">Draft CEPT Brief on AI </w:t>
    </w:r>
    <w:r w:rsidR="00022127">
      <w:t>1.14</w:t>
    </w:r>
    <w:r w:rsidR="002D6680" w:rsidRPr="00CF2EC7">
      <w:rPr>
        <w:lang w:val="en-US"/>
      </w:rPr>
      <w:t xml:space="preserve"> - </w:t>
    </w:r>
    <w:r w:rsidR="005C10EB" w:rsidRPr="00CF2EC7">
      <w:rPr>
        <w:lang w:val="en-US"/>
      </w:rPr>
      <w:t xml:space="preserve">Page </w:t>
    </w:r>
    <w:r w:rsidR="005C10EB" w:rsidRPr="005611D0">
      <w:fldChar w:fldCharType="begin"/>
    </w:r>
    <w:r w:rsidR="005C10EB" w:rsidRPr="00CF2EC7">
      <w:rPr>
        <w:lang w:val="en-US"/>
      </w:rPr>
      <w:instrText xml:space="preserve"> PAGE  \* Arabic  \* MERGEFORMAT </w:instrText>
    </w:r>
    <w:r w:rsidR="005C10EB" w:rsidRPr="005611D0">
      <w:fldChar w:fldCharType="separate"/>
    </w:r>
    <w:r w:rsidR="00817826">
      <w:rPr>
        <w:noProof/>
        <w:lang w:val="en-US"/>
      </w:rPr>
      <w:t>3</w:t>
    </w:r>
    <w:r w:rsidR="005C10EB"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AE56" w14:textId="77777777" w:rsidR="005C10EB" w:rsidRDefault="003771D5" w:rsidP="003A68D5">
    <w:pPr>
      <w:pStyle w:val="ECCpageHeader"/>
    </w:pPr>
    <w:r w:rsidRPr="008742E3">
      <w:rPr>
        <w:noProof/>
        <w:lang w:eastAsia="da-DK"/>
      </w:rPr>
      <w:drawing>
        <wp:inline distT="0" distB="0" distL="0" distR="0" wp14:anchorId="5F0E6159" wp14:editId="45B98E97">
          <wp:extent cx="889000" cy="889000"/>
          <wp:effectExtent l="0" t="0" r="6350" b="6350"/>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eastAsia="da-DK"/>
      </w:rPr>
      <w:drawing>
        <wp:inline distT="0" distB="0" distL="0" distR="0" wp14:anchorId="7AA008F9" wp14:editId="68853BA8">
          <wp:extent cx="1461770" cy="546100"/>
          <wp:effectExtent l="0" t="0" r="5080" b="6350"/>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66DE6A5" w14:textId="77777777" w:rsidR="003771D5" w:rsidRPr="005611D0" w:rsidRDefault="003771D5" w:rsidP="00377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F665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C4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40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49D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9670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6A18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348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4F5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25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7A8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A87A02"/>
    <w:multiLevelType w:val="hybridMultilevel"/>
    <w:tmpl w:val="248209E6"/>
    <w:lvl w:ilvl="0" w:tplc="048CDB92">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2059470434">
    <w:abstractNumId w:val="11"/>
  </w:num>
  <w:num w:numId="2" w16cid:durableId="12152359">
    <w:abstractNumId w:val="12"/>
  </w:num>
  <w:num w:numId="3" w16cid:durableId="790322357">
    <w:abstractNumId w:val="11"/>
  </w:num>
  <w:num w:numId="4" w16cid:durableId="1820224916">
    <w:abstractNumId w:val="17"/>
  </w:num>
  <w:num w:numId="5" w16cid:durableId="354042647">
    <w:abstractNumId w:val="14"/>
  </w:num>
  <w:num w:numId="6" w16cid:durableId="580261295">
    <w:abstractNumId w:val="16"/>
  </w:num>
  <w:num w:numId="7" w16cid:durableId="519516048">
    <w:abstractNumId w:val="15"/>
  </w:num>
  <w:num w:numId="8" w16cid:durableId="461272639">
    <w:abstractNumId w:val="10"/>
  </w:num>
  <w:num w:numId="9" w16cid:durableId="119617852">
    <w:abstractNumId w:val="9"/>
  </w:num>
  <w:num w:numId="10" w16cid:durableId="437069876">
    <w:abstractNumId w:val="7"/>
  </w:num>
  <w:num w:numId="11" w16cid:durableId="1941142604">
    <w:abstractNumId w:val="6"/>
  </w:num>
  <w:num w:numId="12" w16cid:durableId="501357365">
    <w:abstractNumId w:val="5"/>
  </w:num>
  <w:num w:numId="13" w16cid:durableId="653340761">
    <w:abstractNumId w:val="4"/>
  </w:num>
  <w:num w:numId="14" w16cid:durableId="880240000">
    <w:abstractNumId w:val="8"/>
  </w:num>
  <w:num w:numId="15" w16cid:durableId="495921760">
    <w:abstractNumId w:val="3"/>
  </w:num>
  <w:num w:numId="16" w16cid:durableId="1932153102">
    <w:abstractNumId w:val="2"/>
  </w:num>
  <w:num w:numId="17" w16cid:durableId="452404692">
    <w:abstractNumId w:val="1"/>
  </w:num>
  <w:num w:numId="18" w16cid:durableId="1264923988">
    <w:abstractNumId w:val="0"/>
  </w:num>
  <w:num w:numId="19" w16cid:durableId="1582835439">
    <w:abstractNumId w:val="13"/>
  </w:num>
  <w:num w:numId="20" w16cid:durableId="603342983">
    <w:abstractNumId w:val="13"/>
  </w:num>
  <w:num w:numId="21" w16cid:durableId="159124284">
    <w:abstractNumId w:val="10"/>
  </w:num>
  <w:num w:numId="22" w16cid:durableId="1405644188">
    <w:abstractNumId w:val="12"/>
  </w:num>
  <w:num w:numId="23" w16cid:durableId="443501851">
    <w:abstractNumId w:val="12"/>
  </w:num>
  <w:num w:numId="24" w16cid:durableId="1181624535">
    <w:abstractNumId w:val="12"/>
  </w:num>
  <w:num w:numId="25" w16cid:durableId="1897467789">
    <w:abstractNumId w:val="12"/>
  </w:num>
  <w:num w:numId="26" w16cid:durableId="390423248">
    <w:abstractNumId w:val="10"/>
  </w:num>
  <w:num w:numId="27" w16cid:durableId="71397576">
    <w:abstractNumId w:val="10"/>
  </w:num>
  <w:num w:numId="28" w16cid:durableId="1907642054">
    <w:abstractNumId w:val="10"/>
  </w:num>
  <w:num w:numId="29" w16cid:durableId="352195300">
    <w:abstractNumId w:val="13"/>
  </w:num>
  <w:num w:numId="30" w16cid:durableId="82996391">
    <w:abstractNumId w:val="15"/>
  </w:num>
  <w:num w:numId="31" w16cid:durableId="372537468">
    <w:abstractNumId w:val="17"/>
  </w:num>
  <w:num w:numId="32" w16cid:durableId="926885315">
    <w:abstractNumId w:val="14"/>
  </w:num>
  <w:num w:numId="33" w16cid:durableId="1282375179">
    <w:abstractNumId w:val="16"/>
  </w:num>
  <w:num w:numId="34" w16cid:durableId="3015371">
    <w:abstractNumId w:val="15"/>
  </w:num>
  <w:num w:numId="35" w16cid:durableId="964501620">
    <w:abstractNumId w:val="15"/>
  </w:num>
  <w:num w:numId="36" w16cid:durableId="102486594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AES" w:cryptAlgorithmClass="hash" w:cryptAlgorithmType="typeAny" w:cryptAlgorithmSid="14" w:cryptSpinCount="100000" w:hash="kGPriJzZ2NeTQbLhCJkpHE8Adb6PXQ8fJpzHrkD7uEcz4POHT1ZNTpNWz0DGuO7W/a1ZaKpHyqG1cpE/F1ULtQ==" w:salt="+iOKmdLsYjqiyaO9OuoMVg=="/>
  <w:autoFormatOverride/>
  <w:styleLockTheme/>
  <w:styleLockQFSet/>
  <w:defaultTabStop w:val="567"/>
  <w:hyphenationZone w:val="425"/>
  <w:evenAndOddHeaders/>
  <w:characterSpacingControl w:val="doNotCompress"/>
  <w:hdrShapeDefaults>
    <o:shapedefaults v:ext="edit" spidmax="2050">
      <o:colormru v:ext="edit" colors="#7b6c58,#887e6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E"/>
    <w:rsid w:val="00015077"/>
    <w:rsid w:val="00022127"/>
    <w:rsid w:val="00030716"/>
    <w:rsid w:val="00041A18"/>
    <w:rsid w:val="00052CAE"/>
    <w:rsid w:val="00060315"/>
    <w:rsid w:val="000611F2"/>
    <w:rsid w:val="00061762"/>
    <w:rsid w:val="00062CB1"/>
    <w:rsid w:val="000660F5"/>
    <w:rsid w:val="00067793"/>
    <w:rsid w:val="000701A5"/>
    <w:rsid w:val="00080D4D"/>
    <w:rsid w:val="00082DD7"/>
    <w:rsid w:val="00095620"/>
    <w:rsid w:val="00097D7A"/>
    <w:rsid w:val="000A29BC"/>
    <w:rsid w:val="000A3940"/>
    <w:rsid w:val="000A3F8A"/>
    <w:rsid w:val="000A55CC"/>
    <w:rsid w:val="000A6285"/>
    <w:rsid w:val="000B2156"/>
    <w:rsid w:val="000B5026"/>
    <w:rsid w:val="000C028F"/>
    <w:rsid w:val="000C5CB6"/>
    <w:rsid w:val="000D1710"/>
    <w:rsid w:val="000D7A37"/>
    <w:rsid w:val="000E15DF"/>
    <w:rsid w:val="000E42F5"/>
    <w:rsid w:val="000E4820"/>
    <w:rsid w:val="000E7E33"/>
    <w:rsid w:val="000F0594"/>
    <w:rsid w:val="000F1620"/>
    <w:rsid w:val="000F24F5"/>
    <w:rsid w:val="000F3F0B"/>
    <w:rsid w:val="000F41FF"/>
    <w:rsid w:val="001006CA"/>
    <w:rsid w:val="00100F8B"/>
    <w:rsid w:val="0011639D"/>
    <w:rsid w:val="001378C1"/>
    <w:rsid w:val="00144994"/>
    <w:rsid w:val="00172DF7"/>
    <w:rsid w:val="0017456E"/>
    <w:rsid w:val="00180773"/>
    <w:rsid w:val="00182755"/>
    <w:rsid w:val="00183125"/>
    <w:rsid w:val="00183FE0"/>
    <w:rsid w:val="0018553F"/>
    <w:rsid w:val="001D15AA"/>
    <w:rsid w:val="001D334F"/>
    <w:rsid w:val="001D4247"/>
    <w:rsid w:val="001E337B"/>
    <w:rsid w:val="0020079A"/>
    <w:rsid w:val="0020250F"/>
    <w:rsid w:val="002132DB"/>
    <w:rsid w:val="00220194"/>
    <w:rsid w:val="00221CAC"/>
    <w:rsid w:val="00226070"/>
    <w:rsid w:val="00235592"/>
    <w:rsid w:val="00236978"/>
    <w:rsid w:val="00243CA6"/>
    <w:rsid w:val="00250156"/>
    <w:rsid w:val="00251F87"/>
    <w:rsid w:val="002620A2"/>
    <w:rsid w:val="00271881"/>
    <w:rsid w:val="0027241D"/>
    <w:rsid w:val="00273354"/>
    <w:rsid w:val="00274F84"/>
    <w:rsid w:val="0028060B"/>
    <w:rsid w:val="0028120C"/>
    <w:rsid w:val="00292527"/>
    <w:rsid w:val="00293920"/>
    <w:rsid w:val="00295827"/>
    <w:rsid w:val="00295F16"/>
    <w:rsid w:val="002A0813"/>
    <w:rsid w:val="002A58F6"/>
    <w:rsid w:val="002B6FF6"/>
    <w:rsid w:val="002C5C63"/>
    <w:rsid w:val="002D1FA9"/>
    <w:rsid w:val="002D50A3"/>
    <w:rsid w:val="002D6680"/>
    <w:rsid w:val="002E186F"/>
    <w:rsid w:val="002E786C"/>
    <w:rsid w:val="002F1CFE"/>
    <w:rsid w:val="002F1E6A"/>
    <w:rsid w:val="0030305A"/>
    <w:rsid w:val="003031DA"/>
    <w:rsid w:val="00307A79"/>
    <w:rsid w:val="00312E94"/>
    <w:rsid w:val="003219F7"/>
    <w:rsid w:val="00322E6A"/>
    <w:rsid w:val="0032496D"/>
    <w:rsid w:val="003314A0"/>
    <w:rsid w:val="003419EF"/>
    <w:rsid w:val="00361E54"/>
    <w:rsid w:val="0036268F"/>
    <w:rsid w:val="003630AE"/>
    <w:rsid w:val="00370A0C"/>
    <w:rsid w:val="0037607F"/>
    <w:rsid w:val="003771D5"/>
    <w:rsid w:val="0038358E"/>
    <w:rsid w:val="00391A01"/>
    <w:rsid w:val="003A465E"/>
    <w:rsid w:val="003A5711"/>
    <w:rsid w:val="003A68D5"/>
    <w:rsid w:val="003B7070"/>
    <w:rsid w:val="003C64D9"/>
    <w:rsid w:val="003C72B9"/>
    <w:rsid w:val="003E70E0"/>
    <w:rsid w:val="003F2EF1"/>
    <w:rsid w:val="00403CE6"/>
    <w:rsid w:val="00407336"/>
    <w:rsid w:val="004074CC"/>
    <w:rsid w:val="004110CA"/>
    <w:rsid w:val="0042509E"/>
    <w:rsid w:val="00440C3D"/>
    <w:rsid w:val="00443482"/>
    <w:rsid w:val="00443912"/>
    <w:rsid w:val="00446E3E"/>
    <w:rsid w:val="00450308"/>
    <w:rsid w:val="00457AD1"/>
    <w:rsid w:val="00462D0B"/>
    <w:rsid w:val="0046427F"/>
    <w:rsid w:val="00470D4B"/>
    <w:rsid w:val="00473469"/>
    <w:rsid w:val="00474DC4"/>
    <w:rsid w:val="00482679"/>
    <w:rsid w:val="004826CF"/>
    <w:rsid w:val="00485307"/>
    <w:rsid w:val="00485535"/>
    <w:rsid w:val="00491977"/>
    <w:rsid w:val="0049491B"/>
    <w:rsid w:val="004A1329"/>
    <w:rsid w:val="004A511D"/>
    <w:rsid w:val="004B18B6"/>
    <w:rsid w:val="004C4A2E"/>
    <w:rsid w:val="004D5EA3"/>
    <w:rsid w:val="004E44C8"/>
    <w:rsid w:val="004E53BE"/>
    <w:rsid w:val="004F16F4"/>
    <w:rsid w:val="004F3F81"/>
    <w:rsid w:val="004F6CA7"/>
    <w:rsid w:val="005028D4"/>
    <w:rsid w:val="0050597C"/>
    <w:rsid w:val="00507E06"/>
    <w:rsid w:val="00530A5F"/>
    <w:rsid w:val="00533190"/>
    <w:rsid w:val="00535050"/>
    <w:rsid w:val="00536F3C"/>
    <w:rsid w:val="0054260E"/>
    <w:rsid w:val="00550D79"/>
    <w:rsid w:val="00554C4C"/>
    <w:rsid w:val="005559AC"/>
    <w:rsid w:val="00557B5A"/>
    <w:rsid w:val="005611D0"/>
    <w:rsid w:val="0056169F"/>
    <w:rsid w:val="00566D8A"/>
    <w:rsid w:val="00570BE1"/>
    <w:rsid w:val="00571A40"/>
    <w:rsid w:val="005736B2"/>
    <w:rsid w:val="00574C2D"/>
    <w:rsid w:val="0057797A"/>
    <w:rsid w:val="005817E4"/>
    <w:rsid w:val="00583072"/>
    <w:rsid w:val="00594186"/>
    <w:rsid w:val="00595B5F"/>
    <w:rsid w:val="005A4978"/>
    <w:rsid w:val="005A4DD0"/>
    <w:rsid w:val="005A53B8"/>
    <w:rsid w:val="005B12CB"/>
    <w:rsid w:val="005B17AC"/>
    <w:rsid w:val="005B531F"/>
    <w:rsid w:val="005B751D"/>
    <w:rsid w:val="005C10EB"/>
    <w:rsid w:val="005D371D"/>
    <w:rsid w:val="005D5C60"/>
    <w:rsid w:val="005E2ACD"/>
    <w:rsid w:val="005E7495"/>
    <w:rsid w:val="00607C7A"/>
    <w:rsid w:val="00612D39"/>
    <w:rsid w:val="00616B23"/>
    <w:rsid w:val="00621C12"/>
    <w:rsid w:val="006318FA"/>
    <w:rsid w:val="00635A22"/>
    <w:rsid w:val="00642083"/>
    <w:rsid w:val="00643FA9"/>
    <w:rsid w:val="00644383"/>
    <w:rsid w:val="00647D4E"/>
    <w:rsid w:val="00652804"/>
    <w:rsid w:val="0065550D"/>
    <w:rsid w:val="00655E90"/>
    <w:rsid w:val="00657AD4"/>
    <w:rsid w:val="00665364"/>
    <w:rsid w:val="0068085F"/>
    <w:rsid w:val="006876A8"/>
    <w:rsid w:val="00687B43"/>
    <w:rsid w:val="0069258E"/>
    <w:rsid w:val="006A49E3"/>
    <w:rsid w:val="006B1EFD"/>
    <w:rsid w:val="006C454C"/>
    <w:rsid w:val="006C5C1C"/>
    <w:rsid w:val="006D3093"/>
    <w:rsid w:val="006E4888"/>
    <w:rsid w:val="006E59D4"/>
    <w:rsid w:val="006E5C28"/>
    <w:rsid w:val="006F0442"/>
    <w:rsid w:val="006F1E96"/>
    <w:rsid w:val="007023A3"/>
    <w:rsid w:val="00703FC0"/>
    <w:rsid w:val="00713D04"/>
    <w:rsid w:val="007160BE"/>
    <w:rsid w:val="00721539"/>
    <w:rsid w:val="00722F65"/>
    <w:rsid w:val="0072609F"/>
    <w:rsid w:val="00726836"/>
    <w:rsid w:val="00727F8C"/>
    <w:rsid w:val="00734A4F"/>
    <w:rsid w:val="00741892"/>
    <w:rsid w:val="00762BCC"/>
    <w:rsid w:val="00763BA3"/>
    <w:rsid w:val="00765B66"/>
    <w:rsid w:val="00767BB2"/>
    <w:rsid w:val="00771969"/>
    <w:rsid w:val="00780376"/>
    <w:rsid w:val="00791AAC"/>
    <w:rsid w:val="0079410C"/>
    <w:rsid w:val="00797D4C"/>
    <w:rsid w:val="007B0D9D"/>
    <w:rsid w:val="007B52C8"/>
    <w:rsid w:val="007C0E7E"/>
    <w:rsid w:val="007C4AAD"/>
    <w:rsid w:val="007C5A3B"/>
    <w:rsid w:val="007C7601"/>
    <w:rsid w:val="007D17C5"/>
    <w:rsid w:val="007D52EC"/>
    <w:rsid w:val="007D6F63"/>
    <w:rsid w:val="007F1CEE"/>
    <w:rsid w:val="007F2AB2"/>
    <w:rsid w:val="0080062D"/>
    <w:rsid w:val="008018F0"/>
    <w:rsid w:val="008062AC"/>
    <w:rsid w:val="00806C13"/>
    <w:rsid w:val="00817826"/>
    <w:rsid w:val="008221CB"/>
    <w:rsid w:val="00826683"/>
    <w:rsid w:val="00832DD0"/>
    <w:rsid w:val="00837537"/>
    <w:rsid w:val="008566FD"/>
    <w:rsid w:val="0086094D"/>
    <w:rsid w:val="00866E79"/>
    <w:rsid w:val="00872382"/>
    <w:rsid w:val="008742E3"/>
    <w:rsid w:val="00885BFF"/>
    <w:rsid w:val="00890D52"/>
    <w:rsid w:val="008A1315"/>
    <w:rsid w:val="008A38A9"/>
    <w:rsid w:val="008A54FC"/>
    <w:rsid w:val="008B70CD"/>
    <w:rsid w:val="008B7CE5"/>
    <w:rsid w:val="008C14EA"/>
    <w:rsid w:val="008D218A"/>
    <w:rsid w:val="008E117A"/>
    <w:rsid w:val="008E6109"/>
    <w:rsid w:val="009033CD"/>
    <w:rsid w:val="009170EA"/>
    <w:rsid w:val="00917D1C"/>
    <w:rsid w:val="0092076F"/>
    <w:rsid w:val="00927833"/>
    <w:rsid w:val="00930439"/>
    <w:rsid w:val="00930BDF"/>
    <w:rsid w:val="00935DE1"/>
    <w:rsid w:val="00937FE5"/>
    <w:rsid w:val="009434C3"/>
    <w:rsid w:val="00945640"/>
    <w:rsid w:val="00947A5A"/>
    <w:rsid w:val="00955D88"/>
    <w:rsid w:val="009701EC"/>
    <w:rsid w:val="009770CA"/>
    <w:rsid w:val="00986677"/>
    <w:rsid w:val="0099421C"/>
    <w:rsid w:val="009B0A78"/>
    <w:rsid w:val="009B1F62"/>
    <w:rsid w:val="009B232E"/>
    <w:rsid w:val="009C6DFB"/>
    <w:rsid w:val="009D3496"/>
    <w:rsid w:val="009D4BA1"/>
    <w:rsid w:val="009D7D5A"/>
    <w:rsid w:val="009E2BCE"/>
    <w:rsid w:val="009E47EB"/>
    <w:rsid w:val="009E6DC3"/>
    <w:rsid w:val="009F0B56"/>
    <w:rsid w:val="009F37FB"/>
    <w:rsid w:val="009F3A37"/>
    <w:rsid w:val="00A02090"/>
    <w:rsid w:val="00A076B5"/>
    <w:rsid w:val="00A173CE"/>
    <w:rsid w:val="00A1777F"/>
    <w:rsid w:val="00A211BF"/>
    <w:rsid w:val="00A229C2"/>
    <w:rsid w:val="00A23870"/>
    <w:rsid w:val="00A23AFE"/>
    <w:rsid w:val="00A31525"/>
    <w:rsid w:val="00A33409"/>
    <w:rsid w:val="00A35C73"/>
    <w:rsid w:val="00A43BD3"/>
    <w:rsid w:val="00A4743C"/>
    <w:rsid w:val="00A52B8E"/>
    <w:rsid w:val="00A57992"/>
    <w:rsid w:val="00A731F2"/>
    <w:rsid w:val="00A73298"/>
    <w:rsid w:val="00A87414"/>
    <w:rsid w:val="00A95ACB"/>
    <w:rsid w:val="00A95DD6"/>
    <w:rsid w:val="00A97942"/>
    <w:rsid w:val="00AA079B"/>
    <w:rsid w:val="00AA086A"/>
    <w:rsid w:val="00AA7CCE"/>
    <w:rsid w:val="00AB1C16"/>
    <w:rsid w:val="00AB2EA8"/>
    <w:rsid w:val="00AB3C46"/>
    <w:rsid w:val="00AC28AC"/>
    <w:rsid w:val="00AC2996"/>
    <w:rsid w:val="00AC40CD"/>
    <w:rsid w:val="00AC4632"/>
    <w:rsid w:val="00AD3EE9"/>
    <w:rsid w:val="00AD7257"/>
    <w:rsid w:val="00AE372A"/>
    <w:rsid w:val="00AF1845"/>
    <w:rsid w:val="00AF2D0C"/>
    <w:rsid w:val="00B230E1"/>
    <w:rsid w:val="00B2563E"/>
    <w:rsid w:val="00B3042F"/>
    <w:rsid w:val="00B30D3B"/>
    <w:rsid w:val="00B432D4"/>
    <w:rsid w:val="00B453ED"/>
    <w:rsid w:val="00B460E4"/>
    <w:rsid w:val="00B54B09"/>
    <w:rsid w:val="00B576D7"/>
    <w:rsid w:val="00B61627"/>
    <w:rsid w:val="00B779F3"/>
    <w:rsid w:val="00B80892"/>
    <w:rsid w:val="00B82735"/>
    <w:rsid w:val="00B9276C"/>
    <w:rsid w:val="00B92861"/>
    <w:rsid w:val="00B96710"/>
    <w:rsid w:val="00BA2E30"/>
    <w:rsid w:val="00BA524C"/>
    <w:rsid w:val="00BA7A69"/>
    <w:rsid w:val="00BB3B42"/>
    <w:rsid w:val="00BB5678"/>
    <w:rsid w:val="00BC157A"/>
    <w:rsid w:val="00BC3CA5"/>
    <w:rsid w:val="00BD28DF"/>
    <w:rsid w:val="00BD4E12"/>
    <w:rsid w:val="00BD7669"/>
    <w:rsid w:val="00BE168B"/>
    <w:rsid w:val="00BE2864"/>
    <w:rsid w:val="00BF3831"/>
    <w:rsid w:val="00BF4E3A"/>
    <w:rsid w:val="00C0561A"/>
    <w:rsid w:val="00C076BF"/>
    <w:rsid w:val="00C10C10"/>
    <w:rsid w:val="00C16EBB"/>
    <w:rsid w:val="00C27F02"/>
    <w:rsid w:val="00C33A7C"/>
    <w:rsid w:val="00C377C2"/>
    <w:rsid w:val="00C44519"/>
    <w:rsid w:val="00C504F4"/>
    <w:rsid w:val="00C57E85"/>
    <w:rsid w:val="00C65BB4"/>
    <w:rsid w:val="00C666E5"/>
    <w:rsid w:val="00C73314"/>
    <w:rsid w:val="00C756A3"/>
    <w:rsid w:val="00C77ABB"/>
    <w:rsid w:val="00C8071C"/>
    <w:rsid w:val="00C816CB"/>
    <w:rsid w:val="00C82461"/>
    <w:rsid w:val="00CA07CC"/>
    <w:rsid w:val="00CA4FCE"/>
    <w:rsid w:val="00CA5F8F"/>
    <w:rsid w:val="00CC5A6F"/>
    <w:rsid w:val="00CC752D"/>
    <w:rsid w:val="00CE271A"/>
    <w:rsid w:val="00CE6FF5"/>
    <w:rsid w:val="00CF2EC7"/>
    <w:rsid w:val="00CF4FFB"/>
    <w:rsid w:val="00CF5245"/>
    <w:rsid w:val="00D0021E"/>
    <w:rsid w:val="00D0121B"/>
    <w:rsid w:val="00D04BA8"/>
    <w:rsid w:val="00D06479"/>
    <w:rsid w:val="00D06CA9"/>
    <w:rsid w:val="00D076EE"/>
    <w:rsid w:val="00D07B1A"/>
    <w:rsid w:val="00D1280A"/>
    <w:rsid w:val="00D15FCC"/>
    <w:rsid w:val="00D24CD0"/>
    <w:rsid w:val="00D30E46"/>
    <w:rsid w:val="00D50AC8"/>
    <w:rsid w:val="00D53EEF"/>
    <w:rsid w:val="00D602C4"/>
    <w:rsid w:val="00D85CD3"/>
    <w:rsid w:val="00D871CA"/>
    <w:rsid w:val="00D904D5"/>
    <w:rsid w:val="00D91D39"/>
    <w:rsid w:val="00DA0026"/>
    <w:rsid w:val="00DA444C"/>
    <w:rsid w:val="00DA66BC"/>
    <w:rsid w:val="00DD6CE9"/>
    <w:rsid w:val="00DF144A"/>
    <w:rsid w:val="00DF1E2E"/>
    <w:rsid w:val="00DF2C67"/>
    <w:rsid w:val="00DF3AE2"/>
    <w:rsid w:val="00DF7D21"/>
    <w:rsid w:val="00E059C5"/>
    <w:rsid w:val="00E06B29"/>
    <w:rsid w:val="00E06C22"/>
    <w:rsid w:val="00E07CBB"/>
    <w:rsid w:val="00E17ADB"/>
    <w:rsid w:val="00E20647"/>
    <w:rsid w:val="00E26BAC"/>
    <w:rsid w:val="00E373B3"/>
    <w:rsid w:val="00E41408"/>
    <w:rsid w:val="00E448A7"/>
    <w:rsid w:val="00E4781B"/>
    <w:rsid w:val="00E51F8B"/>
    <w:rsid w:val="00E60351"/>
    <w:rsid w:val="00E71AE7"/>
    <w:rsid w:val="00E752E6"/>
    <w:rsid w:val="00E83777"/>
    <w:rsid w:val="00E8591A"/>
    <w:rsid w:val="00E915C0"/>
    <w:rsid w:val="00E97060"/>
    <w:rsid w:val="00EA30D0"/>
    <w:rsid w:val="00EA6088"/>
    <w:rsid w:val="00EB5A67"/>
    <w:rsid w:val="00EC1A2C"/>
    <w:rsid w:val="00ED7641"/>
    <w:rsid w:val="00ED7CAD"/>
    <w:rsid w:val="00EF19F5"/>
    <w:rsid w:val="00EF69A0"/>
    <w:rsid w:val="00F06612"/>
    <w:rsid w:val="00F10E1F"/>
    <w:rsid w:val="00F212EB"/>
    <w:rsid w:val="00F21E71"/>
    <w:rsid w:val="00F268C0"/>
    <w:rsid w:val="00F3690D"/>
    <w:rsid w:val="00F40DC3"/>
    <w:rsid w:val="00F465D3"/>
    <w:rsid w:val="00F569C9"/>
    <w:rsid w:val="00F56F06"/>
    <w:rsid w:val="00F72885"/>
    <w:rsid w:val="00F73815"/>
    <w:rsid w:val="00F7770D"/>
    <w:rsid w:val="00F8504F"/>
    <w:rsid w:val="00F85984"/>
    <w:rsid w:val="00F868C9"/>
    <w:rsid w:val="00F9153C"/>
    <w:rsid w:val="00F925B3"/>
    <w:rsid w:val="00F93115"/>
    <w:rsid w:val="00F97DAD"/>
    <w:rsid w:val="00FA08DE"/>
    <w:rsid w:val="00FA5792"/>
    <w:rsid w:val="00FA5B5D"/>
    <w:rsid w:val="00FA63DC"/>
    <w:rsid w:val="00FB200D"/>
    <w:rsid w:val="00FC428E"/>
    <w:rsid w:val="00FD5C27"/>
    <w:rsid w:val="00FE538A"/>
    <w:rsid w:val="00FE7EE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5CF186A2"/>
  <w15:docId w15:val="{970C781E-5CB9-49E5-8F0B-65B91E64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semiHidden="1" w:uiPriority="31" w:qFormat="1"/>
    <w:lsdException w:name="Intense Reference" w:semiHidden="1" w:uiPriority="0"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EF69A0"/>
    <w:rPr>
      <w:rFonts w:eastAsia="Calibri"/>
      <w:szCs w:val="22"/>
      <w:lang w:val="en-GB"/>
    </w:rPr>
  </w:style>
  <w:style w:type="paragraph" w:styleId="Heading1">
    <w:name w:val="heading 1"/>
    <w:aliases w:val="ECC Heading 1"/>
    <w:next w:val="Normal"/>
    <w:qFormat/>
    <w:rsid w:val="009F0B56"/>
    <w:pPr>
      <w:keepNext/>
      <w:numPr>
        <w:numId w:val="36"/>
      </w:numPr>
      <w:spacing w:before="600"/>
      <w:jc w:val="left"/>
      <w:outlineLvl w:val="0"/>
    </w:pPr>
    <w:rPr>
      <w:rFonts w:eastAsia="Calibri" w:cs="Arial"/>
      <w:b/>
      <w:bCs/>
      <w:caps/>
      <w:color w:val="D2232A"/>
      <w:kern w:val="32"/>
      <w:szCs w:val="32"/>
    </w:rPr>
  </w:style>
  <w:style w:type="paragraph" w:styleId="Heading2">
    <w:name w:val="heading 2"/>
    <w:aliases w:val="ECC Heading 2"/>
    <w:next w:val="Normal"/>
    <w:qFormat/>
    <w:rsid w:val="009F0B56"/>
    <w:pPr>
      <w:keepNext/>
      <w:numPr>
        <w:ilvl w:val="1"/>
        <w:numId w:val="36"/>
      </w:numPr>
      <w:spacing w:before="480"/>
      <w:jc w:val="left"/>
      <w:outlineLvl w:val="1"/>
    </w:pPr>
    <w:rPr>
      <w:rFonts w:eastAsia="Calibri" w:cs="Arial"/>
      <w:b/>
      <w:bCs/>
      <w:iCs/>
      <w:caps/>
      <w:szCs w:val="28"/>
    </w:rPr>
  </w:style>
  <w:style w:type="paragraph" w:styleId="Heading3">
    <w:name w:val="heading 3"/>
    <w:aliases w:val="ECC Heading 3"/>
    <w:next w:val="Normal"/>
    <w:qFormat/>
    <w:rsid w:val="009F0B56"/>
    <w:pPr>
      <w:keepNext/>
      <w:numPr>
        <w:ilvl w:val="2"/>
        <w:numId w:val="36"/>
      </w:numPr>
      <w:spacing w:before="360"/>
      <w:jc w:val="left"/>
      <w:outlineLvl w:val="2"/>
    </w:pPr>
    <w:rPr>
      <w:rFonts w:eastAsia="Calibri" w:cs="Arial"/>
      <w:b/>
      <w:bCs/>
      <w:szCs w:val="26"/>
    </w:rPr>
  </w:style>
  <w:style w:type="paragraph" w:styleId="Heading4">
    <w:name w:val="heading 4"/>
    <w:aliases w:val="ECC Heading 4"/>
    <w:next w:val="Normal"/>
    <w:qFormat/>
    <w:rsid w:val="009F0B56"/>
    <w:pPr>
      <w:numPr>
        <w:ilvl w:val="3"/>
        <w:numId w:val="36"/>
      </w:numPr>
      <w:spacing w:before="360"/>
      <w:jc w:val="left"/>
      <w:outlineLvl w:val="3"/>
    </w:pPr>
    <w:rPr>
      <w:rFonts w:eastAsia="Calibri" w:cs="Arial"/>
      <w:bCs/>
      <w:i/>
      <w:color w:val="D2232A"/>
      <w:szCs w:val="26"/>
    </w:rPr>
  </w:style>
  <w:style w:type="paragraph" w:styleId="Heading5">
    <w:name w:val="heading 5"/>
    <w:basedOn w:val="Normal"/>
    <w:next w:val="Normal"/>
    <w:semiHidden/>
    <w:qFormat/>
    <w:locked/>
    <w:rsid w:val="009E47EB"/>
    <w:pPr>
      <w:numPr>
        <w:ilvl w:val="4"/>
        <w:numId w:val="36"/>
      </w:numPr>
      <w:outlineLvl w:val="4"/>
    </w:pPr>
    <w:rPr>
      <w:b/>
      <w:bCs/>
      <w:i/>
      <w:iCs/>
      <w:sz w:val="26"/>
      <w:szCs w:val="26"/>
    </w:rPr>
  </w:style>
  <w:style w:type="paragraph" w:styleId="Heading6">
    <w:name w:val="heading 6"/>
    <w:basedOn w:val="Normal"/>
    <w:next w:val="Normal"/>
    <w:semiHidden/>
    <w:qFormat/>
    <w:locked/>
    <w:rsid w:val="009E47EB"/>
    <w:pPr>
      <w:numPr>
        <w:ilvl w:val="5"/>
        <w:numId w:val="36"/>
      </w:numPr>
      <w:outlineLvl w:val="5"/>
    </w:pPr>
    <w:rPr>
      <w:b/>
      <w:bCs/>
      <w:sz w:val="22"/>
    </w:rPr>
  </w:style>
  <w:style w:type="paragraph" w:styleId="Heading7">
    <w:name w:val="heading 7"/>
    <w:basedOn w:val="Normal"/>
    <w:next w:val="Normal"/>
    <w:semiHidden/>
    <w:qFormat/>
    <w:locked/>
    <w:rsid w:val="009E47EB"/>
    <w:pPr>
      <w:numPr>
        <w:ilvl w:val="6"/>
        <w:numId w:val="36"/>
      </w:numPr>
      <w:outlineLvl w:val="6"/>
    </w:pPr>
    <w:rPr>
      <w:sz w:val="24"/>
    </w:rPr>
  </w:style>
  <w:style w:type="paragraph" w:styleId="Heading8">
    <w:name w:val="heading 8"/>
    <w:basedOn w:val="Normal"/>
    <w:next w:val="Normal"/>
    <w:semiHidden/>
    <w:qFormat/>
    <w:locked/>
    <w:rsid w:val="009E47EB"/>
    <w:pPr>
      <w:numPr>
        <w:ilvl w:val="7"/>
        <w:numId w:val="36"/>
      </w:numPr>
      <w:outlineLvl w:val="7"/>
    </w:pPr>
    <w:rPr>
      <w:i/>
      <w:iCs/>
      <w:sz w:val="24"/>
    </w:rPr>
  </w:style>
  <w:style w:type="paragraph" w:styleId="Heading9">
    <w:name w:val="heading 9"/>
    <w:basedOn w:val="Normal"/>
    <w:next w:val="Normal"/>
    <w:semiHidden/>
    <w:qFormat/>
    <w:locked/>
    <w:rsid w:val="009E47EB"/>
    <w:pPr>
      <w:numPr>
        <w:ilvl w:val="8"/>
        <w:numId w:val="3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9F0B56"/>
    <w:pPr>
      <w:numPr>
        <w:numId w:val="28"/>
      </w:numPr>
      <w:tabs>
        <w:tab w:val="left" w:pos="340"/>
      </w:tabs>
      <w:spacing w:before="60" w:after="0"/>
    </w:pPr>
  </w:style>
  <w:style w:type="paragraph" w:customStyle="1" w:styleId="ECCHeadingnonumbering">
    <w:name w:val="ECC Heading no numbering"/>
    <w:basedOn w:val="Heading1"/>
    <w:rsid w:val="009F0B56"/>
    <w:pPr>
      <w:numPr>
        <w:numId w:val="0"/>
      </w:numPr>
      <w:tabs>
        <w:tab w:val="left" w:pos="0"/>
        <w:tab w:val="center" w:pos="4820"/>
        <w:tab w:val="right" w:pos="9639"/>
      </w:tabs>
    </w:pPr>
  </w:style>
  <w:style w:type="paragraph" w:styleId="BalloonText">
    <w:name w:val="Balloon Text"/>
    <w:basedOn w:val="Normal"/>
    <w:link w:val="BalloonTextCh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9F0B56"/>
    <w:pPr>
      <w:keepNext/>
      <w:pageBreakBefore/>
      <w:numPr>
        <w:numId w:val="25"/>
      </w:numPr>
      <w:jc w:val="left"/>
    </w:pPr>
    <w:rPr>
      <w:rFonts w:eastAsia="Calibri"/>
      <w:b/>
      <w:caps/>
      <w:color w:val="D2232A"/>
    </w:rPr>
  </w:style>
  <w:style w:type="paragraph" w:styleId="TOC1">
    <w:name w:val="toc 1"/>
    <w:aliases w:val="ECC Index 1"/>
    <w:basedOn w:val="Normal"/>
    <w:link w:val="TOC1Char"/>
    <w:uiPriority w:val="39"/>
    <w:semiHidden/>
    <w:qFormat/>
    <w:locked/>
    <w:rsid w:val="009F0B56"/>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9F0B56"/>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9F0B56"/>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9F0B56"/>
    <w:rPr>
      <w:rFonts w:eastAsia="Calibri"/>
      <w:sz w:val="16"/>
      <w:szCs w:val="16"/>
      <w14:cntxtAlts/>
    </w:rPr>
  </w:style>
  <w:style w:type="character" w:styleId="FootnoteReference">
    <w:name w:val="footnote reference"/>
    <w:aliases w:val="ECC Footnote number"/>
    <w:basedOn w:val="DefaultParagraphFon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25"/>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25"/>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25"/>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31"/>
      </w:numPr>
      <w:spacing w:after="0"/>
      <w:jc w:val="left"/>
    </w:pPr>
    <w:rPr>
      <w:rFonts w:eastAsia="Calibri"/>
    </w:rPr>
  </w:style>
  <w:style w:type="paragraph" w:customStyle="1" w:styleId="ECCNumberedList">
    <w:name w:val="ECC Numbered List"/>
    <w:basedOn w:val="Normal"/>
    <w:rsid w:val="009F0B56"/>
    <w:pPr>
      <w:numPr>
        <w:numId w:val="32"/>
      </w:numPr>
      <w:spacing w:after="0"/>
    </w:pPr>
    <w:rPr>
      <w:szCs w:val="20"/>
    </w:rPr>
  </w:style>
  <w:style w:type="paragraph" w:customStyle="1" w:styleId="ECCReference">
    <w:name w:val="ECC Reference"/>
    <w:basedOn w:val="Normal"/>
    <w:rsid w:val="009F0B56"/>
    <w:pPr>
      <w:numPr>
        <w:numId w:val="33"/>
      </w:numPr>
      <w:spacing w:before="0" w:after="0"/>
    </w:pPr>
    <w:rPr>
      <w:lang w:eastAsia="ja-JP"/>
    </w:rPr>
  </w:style>
  <w:style w:type="character" w:customStyle="1" w:styleId="BalloonTextChar">
    <w:name w:val="Balloon Text Char"/>
    <w:basedOn w:val="DefaultParagraphFont"/>
    <w:link w:val="BalloonText"/>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29"/>
      </w:numPr>
      <w:shd w:val="solid" w:color="FFFF00" w:fill="auto"/>
      <w:spacing w:before="120"/>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DefaultParagraphFon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9F0B56"/>
    <w:rPr>
      <w:b/>
      <w:bCs/>
    </w:rPr>
  </w:style>
  <w:style w:type="paragraph" w:customStyle="1" w:styleId="ECCTabletext">
    <w:name w:val="ECC Table text"/>
    <w:basedOn w:val="Normal"/>
    <w:link w:val="ECCTabletextChar"/>
    <w:qFormat/>
    <w:rsid w:val="009F0B56"/>
    <w:pPr>
      <w:spacing w:before="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character" w:styleId="Emphasis">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OC1Char">
    <w:name w:val="TOC 1 Char"/>
    <w:aliases w:val="ECC Index 1 Char"/>
    <w:basedOn w:val="DefaultParagraphFont"/>
    <w:link w:val="TOC1"/>
    <w:uiPriority w:val="39"/>
    <w:semiHidden/>
    <w:rsid w:val="000E4820"/>
    <w:rPr>
      <w:rFonts w:eastAsia="Calibri"/>
      <w:b/>
      <w:noProof/>
    </w:rPr>
  </w:style>
  <w:style w:type="character" w:customStyle="1" w:styleId="ECCHLcyan">
    <w:name w:val="ECC HL cyan"/>
    <w:basedOn w:val="DefaultParagraphFont"/>
    <w:uiPriority w:val="1"/>
    <w:qFormat/>
    <w:rsid w:val="009F0B56"/>
    <w:rPr>
      <w:iCs w:val="0"/>
      <w:bdr w:val="none" w:sz="0" w:space="0" w:color="auto"/>
      <w:shd w:val="solid" w:color="00FFFF" w:fill="auto"/>
      <w:lang w:val="en-GB"/>
    </w:rPr>
  </w:style>
  <w:style w:type="character" w:customStyle="1" w:styleId="ECCHLorange">
    <w:name w:val="ECC HL orange"/>
    <w:basedOn w:val="DefaultParagraphFont"/>
    <w:uiPriority w:val="1"/>
    <w:qFormat/>
    <w:rsid w:val="009F0B56"/>
    <w:rPr>
      <w:bdr w:val="none" w:sz="0" w:space="0" w:color="auto"/>
      <w:shd w:val="solid" w:color="FFC000" w:fill="auto"/>
    </w:rPr>
  </w:style>
  <w:style w:type="character" w:customStyle="1" w:styleId="ECCHLblue">
    <w:name w:val="ECC HL blue"/>
    <w:basedOn w:val="DefaultParagraphFon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DefaultParagraphFon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DefaultParagraphFont"/>
    <w:link w:val="ECCLetterHead"/>
    <w:rsid w:val="009F0B56"/>
    <w:rPr>
      <w:rFonts w:eastAsia="Calibri"/>
      <w:b/>
      <w:sz w:val="22"/>
      <w:lang w:val="en-GB"/>
    </w:rPr>
  </w:style>
  <w:style w:type="character" w:customStyle="1" w:styleId="ECCHLmagenta">
    <w:name w:val="ECC HL magenta"/>
    <w:basedOn w:val="DefaultParagraphFont"/>
    <w:uiPriority w:val="1"/>
    <w:qFormat/>
    <w:rsid w:val="009F0B56"/>
    <w:rPr>
      <w:color w:val="auto"/>
      <w:bdr w:val="none" w:sz="0" w:space="0" w:color="auto"/>
      <w:shd w:val="solid" w:color="FF3399" w:fill="auto"/>
      <w:lang w:val="en-GB"/>
    </w:rPr>
  </w:style>
  <w:style w:type="character" w:customStyle="1" w:styleId="ECCHLbrown">
    <w:name w:val="ECC HL brown"/>
    <w:basedOn w:val="DefaultParagraphFon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DefaultParagraphFont"/>
    <w:link w:val="ECCBreak"/>
    <w:rsid w:val="009F0B56"/>
    <w:rPr>
      <w:b/>
      <w:bCs/>
      <w:iCs/>
      <w:szCs w:val="28"/>
    </w:rPr>
  </w:style>
  <w:style w:type="character" w:styleId="Hyperlink">
    <w:name w:val="Hyperlink"/>
    <w:aliases w:val="ECC Hyperlink"/>
    <w:basedOn w:val="DefaultParagraphFont"/>
    <w:uiPriority w:val="99"/>
    <w:rsid w:val="009F0B56"/>
    <w:rPr>
      <w:color w:val="0000FF" w:themeColor="hyperlink"/>
      <w:u w:val="single"/>
    </w:rPr>
  </w:style>
  <w:style w:type="paragraph" w:styleId="Caption">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PlaceholderText">
    <w:name w:val="Placeholder Text"/>
    <w:basedOn w:val="DefaultParagraphFon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TableGrid">
    <w:name w:val="Table Grid"/>
    <w:basedOn w:val="Table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CommentReference">
    <w:name w:val="annotation reference"/>
    <w:basedOn w:val="DefaultParagraphFont"/>
    <w:uiPriority w:val="99"/>
    <w:semiHidden/>
    <w:unhideWhenUsed/>
    <w:locked/>
    <w:rsid w:val="003630AE"/>
    <w:rPr>
      <w:sz w:val="16"/>
      <w:szCs w:val="16"/>
    </w:rPr>
  </w:style>
  <w:style w:type="paragraph" w:styleId="CommentText">
    <w:name w:val="annotation text"/>
    <w:basedOn w:val="Normal"/>
    <w:link w:val="CommentTextChar"/>
    <w:uiPriority w:val="99"/>
    <w:unhideWhenUsed/>
    <w:locked/>
    <w:rsid w:val="003630AE"/>
    <w:rPr>
      <w:szCs w:val="20"/>
    </w:rPr>
  </w:style>
  <w:style w:type="character" w:customStyle="1" w:styleId="CommentTextChar">
    <w:name w:val="Comment Text Char"/>
    <w:basedOn w:val="DefaultParagraphFont"/>
    <w:link w:val="CommentText"/>
    <w:uiPriority w:val="99"/>
    <w:rsid w:val="003630AE"/>
    <w:rPr>
      <w:rFonts w:eastAsia="Calibri"/>
      <w:lang w:val="en-GB"/>
    </w:rPr>
  </w:style>
  <w:style w:type="paragraph" w:styleId="CommentSubject">
    <w:name w:val="annotation subject"/>
    <w:basedOn w:val="CommentText"/>
    <w:next w:val="CommentText"/>
    <w:link w:val="CommentSubjectChar"/>
    <w:uiPriority w:val="99"/>
    <w:semiHidden/>
    <w:unhideWhenUsed/>
    <w:locked/>
    <w:rsid w:val="003630AE"/>
    <w:rPr>
      <w:b/>
      <w:bCs/>
    </w:rPr>
  </w:style>
  <w:style w:type="character" w:customStyle="1" w:styleId="CommentSubjectChar">
    <w:name w:val="Comment Subject Char"/>
    <w:basedOn w:val="CommentTextChar"/>
    <w:link w:val="CommentSubject"/>
    <w:uiPriority w:val="99"/>
    <w:semiHidden/>
    <w:rsid w:val="003630AE"/>
    <w:rPr>
      <w:rFonts w:eastAsia="Calibri"/>
      <w:b/>
      <w:bCs/>
      <w:lang w:val="en-GB"/>
    </w:rPr>
  </w:style>
  <w:style w:type="character" w:customStyle="1" w:styleId="ECCHLstrikethrough">
    <w:name w:val="ECC HL strikethrough"/>
    <w:basedOn w:val="DefaultParagraphFont"/>
    <w:uiPriority w:val="1"/>
    <w:qFormat/>
    <w:rsid w:val="00647D4E"/>
    <w:rPr>
      <w:rFonts w:ascii="Arial" w:hAnsi="Arial"/>
      <w:strike/>
      <w:dstrike w:val="0"/>
      <w:sz w:val="20"/>
    </w:rPr>
  </w:style>
  <w:style w:type="character" w:customStyle="1" w:styleId="ECCTabletextChar">
    <w:name w:val="ECC Table text Char"/>
    <w:basedOn w:val="DefaultParagraphFont"/>
    <w:link w:val="ECCTabletext"/>
    <w:rsid w:val="00271881"/>
    <w:rPr>
      <w:rFonts w:eastAsia="Calibri"/>
      <w:szCs w:val="22"/>
      <w:lang w:val="en-GB"/>
    </w:rPr>
  </w:style>
  <w:style w:type="paragraph" w:styleId="NormalWeb">
    <w:name w:val="Normal (Web)"/>
    <w:basedOn w:val="Normal"/>
    <w:uiPriority w:val="99"/>
    <w:semiHidden/>
    <w:unhideWhenUsed/>
    <w:locked/>
    <w:rsid w:val="00E07CBB"/>
    <w:rPr>
      <w:rFonts w:ascii="Times New Roman" w:hAnsi="Times New Roman"/>
      <w:sz w:val="24"/>
      <w:szCs w:val="24"/>
    </w:rPr>
  </w:style>
  <w:style w:type="paragraph" w:styleId="Revision">
    <w:name w:val="Revision"/>
    <w:hidden/>
    <w:uiPriority w:val="99"/>
    <w:semiHidden/>
    <w:rsid w:val="00C377C2"/>
    <w:pPr>
      <w:spacing w:before="0" w:after="0"/>
      <w:jc w:val="left"/>
    </w:pPr>
    <w:rPr>
      <w:rFonts w:eastAsia="Calibri"/>
      <w:szCs w:val="22"/>
      <w:lang w:val="en-GB"/>
    </w:rPr>
  </w:style>
  <w:style w:type="paragraph" w:styleId="Footer">
    <w:name w:val="footer"/>
    <w:basedOn w:val="Normal"/>
    <w:link w:val="FooterChar"/>
    <w:uiPriority w:val="99"/>
    <w:semiHidden/>
    <w:unhideWhenUsed/>
    <w:locked/>
    <w:rsid w:val="00022127"/>
    <w:pPr>
      <w:tabs>
        <w:tab w:val="center" w:pos="4536"/>
        <w:tab w:val="right" w:pos="9072"/>
      </w:tabs>
      <w:spacing w:before="0" w:after="0"/>
    </w:pPr>
  </w:style>
  <w:style w:type="character" w:customStyle="1" w:styleId="FooterChar">
    <w:name w:val="Footer Char"/>
    <w:basedOn w:val="DefaultParagraphFont"/>
    <w:link w:val="Footer"/>
    <w:uiPriority w:val="99"/>
    <w:semiHidden/>
    <w:rsid w:val="00022127"/>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996">
      <w:bodyDiv w:val="1"/>
      <w:marLeft w:val="0"/>
      <w:marRight w:val="0"/>
      <w:marTop w:val="0"/>
      <w:marBottom w:val="0"/>
      <w:divBdr>
        <w:top w:val="none" w:sz="0" w:space="0" w:color="auto"/>
        <w:left w:val="none" w:sz="0" w:space="0" w:color="auto"/>
        <w:bottom w:val="none" w:sz="0" w:space="0" w:color="auto"/>
        <w:right w:val="none" w:sz="0" w:space="0" w:color="auto"/>
      </w:divBdr>
    </w:div>
    <w:div w:id="162286496">
      <w:bodyDiv w:val="1"/>
      <w:marLeft w:val="0"/>
      <w:marRight w:val="0"/>
      <w:marTop w:val="0"/>
      <w:marBottom w:val="0"/>
      <w:divBdr>
        <w:top w:val="none" w:sz="0" w:space="0" w:color="auto"/>
        <w:left w:val="none" w:sz="0" w:space="0" w:color="auto"/>
        <w:bottom w:val="none" w:sz="0" w:space="0" w:color="auto"/>
        <w:right w:val="none" w:sz="0" w:space="0" w:color="auto"/>
      </w:divBdr>
    </w:div>
    <w:div w:id="381440426">
      <w:bodyDiv w:val="1"/>
      <w:marLeft w:val="0"/>
      <w:marRight w:val="0"/>
      <w:marTop w:val="0"/>
      <w:marBottom w:val="0"/>
      <w:divBdr>
        <w:top w:val="none" w:sz="0" w:space="0" w:color="auto"/>
        <w:left w:val="none" w:sz="0" w:space="0" w:color="auto"/>
        <w:bottom w:val="none" w:sz="0" w:space="0" w:color="auto"/>
        <w:right w:val="none" w:sz="0" w:space="0" w:color="auto"/>
      </w:divBdr>
    </w:div>
    <w:div w:id="1957057769">
      <w:bodyDiv w:val="1"/>
      <w:marLeft w:val="0"/>
      <w:marRight w:val="0"/>
      <w:marTop w:val="0"/>
      <w:marBottom w:val="0"/>
      <w:divBdr>
        <w:top w:val="none" w:sz="0" w:space="0" w:color="auto"/>
        <w:left w:val="none" w:sz="0" w:space="0" w:color="auto"/>
        <w:bottom w:val="none" w:sz="0" w:space="0" w:color="auto"/>
        <w:right w:val="none" w:sz="0" w:space="0" w:color="auto"/>
      </w:divBdr>
      <w:divsChild>
        <w:div w:id="357394609">
          <w:marLeft w:val="0"/>
          <w:marRight w:val="0"/>
          <w:marTop w:val="0"/>
          <w:marBottom w:val="0"/>
          <w:divBdr>
            <w:top w:val="none" w:sz="0" w:space="0" w:color="auto"/>
            <w:left w:val="none" w:sz="0" w:space="0" w:color="auto"/>
            <w:bottom w:val="none" w:sz="0" w:space="0" w:color="auto"/>
            <w:right w:val="none" w:sz="0" w:space="0" w:color="auto"/>
          </w:divBdr>
        </w:div>
      </w:divsChild>
    </w:div>
    <w:div w:id="203661075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69ab6e-cbb1-4306-ad7e-01a48c91ef8b" ContentTypeId="0x010100CAA12C5105342047A1E5FE66CBFB41077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akeholder" ma:contentTypeID="0x010100CAA12C5105342047A1E5FE66CBFB41077D0077CF2320134F6146BF6CC804A6E36883" ma:contentTypeVersion="23" ma:contentTypeDescription="stakeholder communications relating to team or project&#10;" ma:contentTypeScope="" ma:versionID="1a24ff74b590e6c661a2db165463cf29">
  <xsd:schema xmlns:xsd="http://www.w3.org/2001/XMLSchema" xmlns:xs="http://www.w3.org/2001/XMLSchema" xmlns:p="http://schemas.microsoft.com/office/2006/metadata/properties" xmlns:ns3="c5f543e3-8063-4253-bd42-47ca496057f8" xmlns:ns4="ba712082-ff81-49c1-a241-94c9f69f8dde" targetNamespace="http://schemas.microsoft.com/office/2006/metadata/properties" ma:root="true" ma:fieldsID="3c7f670ccdf915adb4c2142b8af2d442" ns3:_="" ns4:_="">
    <xsd:import namespace="c5f543e3-8063-4253-bd42-47ca496057f8"/>
    <xsd:import namespace="ba712082-ff81-49c1-a241-94c9f69f8dde"/>
    <xsd:element name="properties">
      <xsd:complexType>
        <xsd:sequence>
          <xsd:element name="documentManagement">
            <xsd:complexType>
              <xsd:all>
                <xsd:element ref="ns3:Classification" minOccurs="0"/>
                <xsd:element ref="ns3:Attach_x0020_count" minOccurs="0"/>
                <xsd:element ref="ns3:Organisation" minOccurs="0"/>
                <xsd:element ref="ns3:ReceivedTime" minOccurs="0"/>
                <xsd:element ref="ns3:SentOn" minOccurs="0"/>
                <xsd:element ref="ns3:To" minOccurs="0"/>
                <xsd:element ref="ns3:mvFrom"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3:TaxCatchAll" minOccurs="0"/>
                <xsd:element ref="ns4:MediaServiceDateTaken" minOccurs="0"/>
                <xsd:element ref="ns4:MediaLengthInSeconds" minOccurs="0"/>
                <xsd:element ref="ns4:Hyperlink"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543e3-8063-4253-bd42-47ca496057f8" elementFormDefault="qualified">
    <xsd:import namespace="http://schemas.microsoft.com/office/2006/documentManagement/types"/>
    <xsd:import namespace="http://schemas.microsoft.com/office/infopath/2007/PartnerControls"/>
    <xsd:element name="Classification" ma:index="9" nillable="true" ma:displayName="Information classification" ma:default="PROTECTED" ma:format="Dropdown" ma:internalName="Classification">
      <xsd:simpleType>
        <xsd:restriction base="dms:Choice">
          <xsd:enumeration value="PROTECTED"/>
          <xsd:enumeration value="CONFIDENTIAL"/>
          <xsd:enumeration value="HIGHLY SENSITIVE"/>
        </xsd:restriction>
      </xsd:simpleType>
    </xsd:element>
    <xsd:element name="Attach_x0020_count" ma:index="10" nillable="true" ma:displayName="Attach count" ma:decimals="0" ma:description="Auto-populated by saved email" ma:internalName="Attach_x0020_count">
      <xsd:simpleType>
        <xsd:restriction base="dms:Number"/>
      </xsd:simpleType>
    </xsd:element>
    <xsd:element name="Organisation" ma:index="11" nillable="true" ma:displayName="Organisation" ma:internalName="Organisation">
      <xsd:simpleType>
        <xsd:restriction base="dms:Text">
          <xsd:maxLength value="255"/>
        </xsd:restriction>
      </xsd:simpleType>
    </xsd:element>
    <xsd:element name="ReceivedTime" ma:index="12" nillable="true" ma:displayName="ReceivedTime" ma:description="Auto-populated by saved email" ma:format="DateTime" ma:internalName="ReceivedTime">
      <xsd:simpleType>
        <xsd:restriction base="dms:DateTime"/>
      </xsd:simpleType>
    </xsd:element>
    <xsd:element name="SentOn" ma:index="13" nillable="true" ma:displayName="SentOn" ma:description="Auto-populated by saved email" ma:format="DateTime" ma:internalName="SentOn">
      <xsd:simpleType>
        <xsd:restriction base="dms:DateTime"/>
      </xsd:simpleType>
    </xsd:element>
    <xsd:element name="To" ma:index="14" nillable="true" ma:displayName="To" ma:description="Auto-populated by saved email" ma:internalName="To">
      <xsd:simpleType>
        <xsd:restriction base="dms:Text">
          <xsd:maxLength value="255"/>
        </xsd:restriction>
      </xsd:simpleType>
    </xsd:element>
    <xsd:element name="mvFrom" ma:index="15" nillable="true" ma:displayName="From" ma:description="Auto-populated by saved email" ma:internalName="mvFrom">
      <xsd:simpleType>
        <xsd:restriction base="dms:Text">
          <xsd:maxLength value="255"/>
        </xsd:restriction>
      </xsd:simpleType>
    </xsd:element>
    <xsd:element name="TaxCatchAll" ma:index="26" nillable="true" ma:displayName="Taxonomy Catch All Column" ma:hidden="true" ma:list="{d18027b6-3a67-4944-b8bc-eee15205d084}" ma:internalName="TaxCatchAll" ma:showField="CatchAllData" ma:web="3941dbea-0bfa-4292-92e1-a3e095606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712082-ff81-49c1-a241-94c9f69f8d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69ab6e-cbb1-4306-ad7e-01a48c91ef8b"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Hyperlink" ma:index="2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o xmlns="c5f543e3-8063-4253-bd42-47ca496057f8" xsi:nil="true"/>
    <Attach_x0020_count xmlns="c5f543e3-8063-4253-bd42-47ca496057f8" xsi:nil="true"/>
    <TaxCatchAll xmlns="c5f543e3-8063-4253-bd42-47ca496057f8" xsi:nil="true"/>
    <Organisation xmlns="c5f543e3-8063-4253-bd42-47ca496057f8" xsi:nil="true"/>
    <Classification xmlns="c5f543e3-8063-4253-bd42-47ca496057f8" xsi:nil="true"/>
    <SentOn xmlns="c5f543e3-8063-4253-bd42-47ca496057f8" xsi:nil="true"/>
    <ReceivedTime xmlns="c5f543e3-8063-4253-bd42-47ca496057f8" xsi:nil="true"/>
    <mvFrom xmlns="c5f543e3-8063-4253-bd42-47ca496057f8" xsi:nil="true"/>
    <Hyperlink xmlns="ba712082-ff81-49c1-a241-94c9f69f8dde">
      <Url xsi:nil="true"/>
      <Description xsi:nil="true"/>
    </Hyperlink>
    <lcf76f155ced4ddcb4097134ff3c332f xmlns="ba712082-ff81-49c1-a241-94c9f69f8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5AF47-0272-4BB2-956C-F5E94F9B3C1E}">
  <ds:schemaRefs>
    <ds:schemaRef ds:uri="Microsoft.SharePoint.Taxonomy.ContentTypeSync"/>
  </ds:schemaRefs>
</ds:datastoreItem>
</file>

<file path=customXml/itemProps2.xml><?xml version="1.0" encoding="utf-8"?>
<ds:datastoreItem xmlns:ds="http://schemas.openxmlformats.org/officeDocument/2006/customXml" ds:itemID="{09E8774F-D464-4816-99BF-5C3B23073E53}">
  <ds:schemaRefs>
    <ds:schemaRef ds:uri="http://schemas.microsoft.com/sharepoint/v3/contenttype/forms"/>
  </ds:schemaRefs>
</ds:datastoreItem>
</file>

<file path=customXml/itemProps3.xml><?xml version="1.0" encoding="utf-8"?>
<ds:datastoreItem xmlns:ds="http://schemas.openxmlformats.org/officeDocument/2006/customXml" ds:itemID="{E115BC51-0588-407D-A09D-BD05A5B4FB48}">
  <ds:schemaRefs>
    <ds:schemaRef ds:uri="http://schemas.openxmlformats.org/officeDocument/2006/bibliography"/>
  </ds:schemaRefs>
</ds:datastoreItem>
</file>

<file path=customXml/itemProps4.xml><?xml version="1.0" encoding="utf-8"?>
<ds:datastoreItem xmlns:ds="http://schemas.openxmlformats.org/officeDocument/2006/customXml" ds:itemID="{14BD53F6-7205-422A-B37C-53C72446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543e3-8063-4253-bd42-47ca496057f8"/>
    <ds:schemaRef ds:uri="ba712082-ff81-49c1-a241-94c9f69f8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3018F4-AE28-4AD0-B1A3-032401A9F7B5}">
  <ds:schemaRefs>
    <ds:schemaRef ds:uri="http://schemas.microsoft.com/office/2006/metadata/properties"/>
    <ds:schemaRef ds:uri="http://schemas.microsoft.com/office/infopath/2007/PartnerControls"/>
    <ds:schemaRef ds:uri="c5f543e3-8063-4253-bd42-47ca496057f8"/>
    <ds:schemaRef ds:uri="ba712082-ff81-49c1-a241-94c9f69f8d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800</Words>
  <Characters>4565</Characters>
  <Application>Microsoft Office Word</Application>
  <DocSecurity>0</DocSecurity>
  <Lines>38</Lines>
  <Paragraphs>10</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Manager>stella.lyubchenko@eco.cept.org</Manager>
  <Company>ECO</Company>
  <LinksUpToDate>false</LinksUpToDate>
  <CharactersWithSpaces>5355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Brief on AI XX</dc:title>
  <dc:creator>eco</dc:creator>
  <cp:keywords>CEPT Brief</cp:keywords>
  <cp:lastModifiedBy>Lauren Galloway</cp:lastModifiedBy>
  <cp:revision>5</cp:revision>
  <cp:lastPrinted>1901-01-01T00:00:00Z</cp:lastPrinted>
  <dcterms:created xsi:type="dcterms:W3CDTF">2025-01-07T12:00:00Z</dcterms:created>
  <dcterms:modified xsi:type="dcterms:W3CDTF">2025-01-10T16:06:00Z</dcterms:modified>
  <cp:category>protected templates</cp:category>
  <cp:contentStatus>Revision 11 Aug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0x010100CAA12C5105342047A1E5FE66CBFB41077D0077CF2320134F6146BF6CC804A6E36883</vt:lpwstr>
  </property>
  <property fmtid="{D5CDD505-2E9C-101B-9397-08002B2CF9AE}" pid="3" name="MSIP_Label_5a50d26f-5c2c-4137-8396-1b24eb24286c_Enabled">
    <vt:lpwstr>true</vt:lpwstr>
  </property>
  <property fmtid="{D5CDD505-2E9C-101B-9397-08002B2CF9AE}" pid="4" name="MSIP_Label_5a50d26f-5c2c-4137-8396-1b24eb24286c_SetDate">
    <vt:lpwstr>2024-03-14T13:09:18Z</vt:lpwstr>
  </property>
  <property fmtid="{D5CDD505-2E9C-101B-9397-08002B2CF9AE}" pid="5" name="MSIP_Label_5a50d26f-5c2c-4137-8396-1b24eb24286c_Method">
    <vt:lpwstr>Privileged</vt:lpwstr>
  </property>
  <property fmtid="{D5CDD505-2E9C-101B-9397-08002B2CF9AE}" pid="6" name="MSIP_Label_5a50d26f-5c2c-4137-8396-1b24eb24286c_Name">
    <vt:lpwstr>5a50d26f-5c2c-4137-8396-1b24eb24286c</vt:lpwstr>
  </property>
  <property fmtid="{D5CDD505-2E9C-101B-9397-08002B2CF9AE}" pid="7" name="MSIP_Label_5a50d26f-5c2c-4137-8396-1b24eb24286c_SiteId">
    <vt:lpwstr>0af648de-310c-4068-8ae4-f9418bae24cc</vt:lpwstr>
  </property>
  <property fmtid="{D5CDD505-2E9C-101B-9397-08002B2CF9AE}" pid="8" name="MSIP_Label_5a50d26f-5c2c-4137-8396-1b24eb24286c_ActionId">
    <vt:lpwstr>f33ee487-19e3-4960-9dc1-10933ed7a644</vt:lpwstr>
  </property>
  <property fmtid="{D5CDD505-2E9C-101B-9397-08002B2CF9AE}" pid="9" name="MSIP_Label_5a50d26f-5c2c-4137-8396-1b24eb24286c_ContentBits">
    <vt:lpwstr>0</vt:lpwstr>
  </property>
  <property fmtid="{D5CDD505-2E9C-101B-9397-08002B2CF9AE}" pid="10" name="MediaServiceImageTags">
    <vt:lpwstr/>
  </property>
</Properties>
</file>