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4770" w14:textId="77777777" w:rsidR="00017A6F" w:rsidRDefault="00017A6F"/>
    <w:tbl>
      <w:tblPr>
        <w:tblW w:w="9903" w:type="dxa"/>
        <w:tblInd w:w="-72" w:type="dxa"/>
        <w:tblLayout w:type="fixed"/>
        <w:tblCellMar>
          <w:left w:w="70" w:type="dxa"/>
          <w:right w:w="70" w:type="dxa"/>
        </w:tblCellMar>
        <w:tblLook w:val="0000" w:firstRow="0" w:lastRow="0" w:firstColumn="0" w:lastColumn="0" w:noHBand="0" w:noVBand="0"/>
      </w:tblPr>
      <w:tblGrid>
        <w:gridCol w:w="1694"/>
        <w:gridCol w:w="3091"/>
        <w:gridCol w:w="24"/>
        <w:gridCol w:w="5044"/>
        <w:gridCol w:w="50"/>
      </w:tblGrid>
      <w:tr w:rsidR="009033CD" w:rsidRPr="00235592" w14:paraId="597E62B8" w14:textId="77777777" w:rsidTr="00651044">
        <w:trPr>
          <w:cantSplit/>
          <w:trHeight w:val="1260"/>
        </w:trPr>
        <w:tc>
          <w:tcPr>
            <w:tcW w:w="4809" w:type="dxa"/>
            <w:gridSpan w:val="3"/>
            <w:tcBorders>
              <w:top w:val="nil"/>
              <w:left w:val="nil"/>
              <w:bottom w:val="nil"/>
              <w:right w:val="nil"/>
            </w:tcBorders>
          </w:tcPr>
          <w:p w14:paraId="4BD7AD07" w14:textId="77777777" w:rsidR="009033CD" w:rsidRPr="00235592" w:rsidRDefault="009033CD" w:rsidP="009006DF">
            <w:pPr>
              <w:pStyle w:val="Heading1"/>
              <w:numPr>
                <w:ilvl w:val="0"/>
                <w:numId w:val="0"/>
              </w:numPr>
              <w:ind w:left="432" w:hanging="432"/>
            </w:pPr>
          </w:p>
        </w:tc>
        <w:tc>
          <w:tcPr>
            <w:tcW w:w="5094" w:type="dxa"/>
            <w:gridSpan w:val="2"/>
            <w:tcBorders>
              <w:top w:val="nil"/>
              <w:left w:val="nil"/>
              <w:bottom w:val="nil"/>
              <w:right w:val="nil"/>
            </w:tcBorders>
          </w:tcPr>
          <w:p w14:paraId="2C15C048" w14:textId="27915A16" w:rsidR="009033CD" w:rsidRPr="009033CD" w:rsidRDefault="009033CD" w:rsidP="002F2902">
            <w:pPr>
              <w:pStyle w:val="ECCLetterHead"/>
            </w:pPr>
            <w:r w:rsidRPr="00235592">
              <w:tab/>
            </w:r>
            <w:r w:rsidRPr="009033CD">
              <w:t xml:space="preserve">Doc. </w:t>
            </w:r>
            <w:r w:rsidR="002F2902">
              <w:t>CPG</w:t>
            </w:r>
            <w:r w:rsidR="009E08EB">
              <w:t>(25)0</w:t>
            </w:r>
            <w:r w:rsidR="00FA164A">
              <w:t>16</w:t>
            </w:r>
            <w:r w:rsidR="009E08EB">
              <w:t xml:space="preserve"> ANNEX IV-17</w:t>
            </w:r>
          </w:p>
        </w:tc>
      </w:tr>
      <w:tr w:rsidR="00651044" w:rsidRPr="00235592" w14:paraId="3984DA8E" w14:textId="77777777" w:rsidTr="00651044">
        <w:tblPrEx>
          <w:tblCellMar>
            <w:left w:w="108" w:type="dxa"/>
            <w:right w:w="108" w:type="dxa"/>
          </w:tblCellMar>
        </w:tblPrEx>
        <w:trPr>
          <w:gridAfter w:val="1"/>
          <w:wAfter w:w="50" w:type="dxa"/>
          <w:cantSplit/>
          <w:trHeight w:val="405"/>
        </w:trPr>
        <w:tc>
          <w:tcPr>
            <w:tcW w:w="4785" w:type="dxa"/>
            <w:gridSpan w:val="2"/>
            <w:tcBorders>
              <w:top w:val="nil"/>
              <w:left w:val="nil"/>
              <w:bottom w:val="nil"/>
              <w:right w:val="nil"/>
            </w:tcBorders>
            <w:shd w:val="clear" w:color="auto" w:fill="auto"/>
            <w:vAlign w:val="center"/>
          </w:tcPr>
          <w:p w14:paraId="67D29041" w14:textId="400D3020" w:rsidR="00651044" w:rsidRPr="00651044" w:rsidRDefault="00651044" w:rsidP="00651044">
            <w:pPr>
              <w:pStyle w:val="ECCLetterHead"/>
              <w:rPr>
                <w:rStyle w:val="ECCHLyellow"/>
              </w:rPr>
            </w:pPr>
            <w:r w:rsidRPr="00651044">
              <w:t>CPG27-</w:t>
            </w:r>
            <w:r w:rsidR="00EF7140">
              <w:t>3</w:t>
            </w:r>
          </w:p>
        </w:tc>
        <w:tc>
          <w:tcPr>
            <w:tcW w:w="5068" w:type="dxa"/>
            <w:gridSpan w:val="2"/>
            <w:tcBorders>
              <w:top w:val="nil"/>
              <w:left w:val="nil"/>
              <w:bottom w:val="nil"/>
              <w:right w:val="nil"/>
            </w:tcBorders>
            <w:vAlign w:val="center"/>
          </w:tcPr>
          <w:p w14:paraId="13F5031B" w14:textId="77777777" w:rsidR="00651044" w:rsidRPr="00651044" w:rsidRDefault="00651044" w:rsidP="00651044"/>
        </w:tc>
      </w:tr>
      <w:tr w:rsidR="00651044" w:rsidRPr="00235592" w14:paraId="6C7944F5" w14:textId="77777777" w:rsidTr="00651044">
        <w:tblPrEx>
          <w:tblCellMar>
            <w:left w:w="108" w:type="dxa"/>
            <w:right w:w="108" w:type="dxa"/>
          </w:tblCellMar>
        </w:tblPrEx>
        <w:trPr>
          <w:gridAfter w:val="1"/>
          <w:wAfter w:w="50" w:type="dxa"/>
          <w:cantSplit/>
          <w:trHeight w:val="405"/>
        </w:trPr>
        <w:tc>
          <w:tcPr>
            <w:tcW w:w="9853" w:type="dxa"/>
            <w:gridSpan w:val="4"/>
            <w:tcBorders>
              <w:top w:val="nil"/>
              <w:left w:val="nil"/>
              <w:bottom w:val="nil"/>
              <w:right w:val="nil"/>
            </w:tcBorders>
            <w:vAlign w:val="center"/>
          </w:tcPr>
          <w:p w14:paraId="38C158D2" w14:textId="77777777" w:rsidR="00651044" w:rsidRPr="00651044" w:rsidRDefault="00651044" w:rsidP="00651044">
            <w:pPr>
              <w:pStyle w:val="ECCLetterHead"/>
            </w:pPr>
            <w:r w:rsidRPr="00651044">
              <w:t>Groningen, The Netherlands (Hybrid), 10th – 13th June 2025</w:t>
            </w:r>
          </w:p>
        </w:tc>
      </w:tr>
      <w:tr w:rsidR="00651044" w:rsidRPr="00235592" w14:paraId="7819B81F" w14:textId="77777777" w:rsidTr="00651044">
        <w:tblPrEx>
          <w:tblCellMar>
            <w:left w:w="108" w:type="dxa"/>
            <w:right w:w="108" w:type="dxa"/>
          </w:tblCellMar>
        </w:tblPrEx>
        <w:trPr>
          <w:gridAfter w:val="1"/>
          <w:wAfter w:w="50" w:type="dxa"/>
          <w:cantSplit/>
          <w:trHeight w:hRule="exact" w:val="79"/>
        </w:trPr>
        <w:tc>
          <w:tcPr>
            <w:tcW w:w="4785" w:type="dxa"/>
            <w:gridSpan w:val="2"/>
            <w:tcBorders>
              <w:top w:val="nil"/>
              <w:left w:val="nil"/>
              <w:bottom w:val="nil"/>
              <w:right w:val="nil"/>
            </w:tcBorders>
            <w:vAlign w:val="center"/>
          </w:tcPr>
          <w:p w14:paraId="03574E96" w14:textId="77777777" w:rsidR="00651044" w:rsidRPr="00651044" w:rsidRDefault="00651044" w:rsidP="00651044">
            <w:pPr>
              <w:pStyle w:val="ECCLetterHead"/>
            </w:pPr>
          </w:p>
        </w:tc>
        <w:tc>
          <w:tcPr>
            <w:tcW w:w="5068" w:type="dxa"/>
            <w:gridSpan w:val="2"/>
            <w:tcBorders>
              <w:top w:val="nil"/>
              <w:left w:val="nil"/>
              <w:bottom w:val="nil"/>
              <w:right w:val="nil"/>
            </w:tcBorders>
            <w:vAlign w:val="center"/>
          </w:tcPr>
          <w:p w14:paraId="476E9367" w14:textId="77777777" w:rsidR="00651044" w:rsidRPr="00651044" w:rsidRDefault="00651044" w:rsidP="00651044">
            <w:pPr>
              <w:pStyle w:val="ECCLetterHead"/>
            </w:pPr>
          </w:p>
        </w:tc>
      </w:tr>
      <w:tr w:rsidR="00651044" w:rsidRPr="00235592" w14:paraId="7917020C" w14:textId="77777777" w:rsidTr="00651044">
        <w:tblPrEx>
          <w:tblCellMar>
            <w:left w:w="108" w:type="dxa"/>
            <w:right w:w="108" w:type="dxa"/>
          </w:tblCellMar>
        </w:tblPrEx>
        <w:trPr>
          <w:gridAfter w:val="1"/>
          <w:wAfter w:w="50" w:type="dxa"/>
          <w:cantSplit/>
          <w:trHeight w:val="405"/>
        </w:trPr>
        <w:tc>
          <w:tcPr>
            <w:tcW w:w="1694" w:type="dxa"/>
            <w:tcBorders>
              <w:top w:val="nil"/>
              <w:left w:val="nil"/>
              <w:bottom w:val="nil"/>
              <w:right w:val="nil"/>
            </w:tcBorders>
            <w:vAlign w:val="center"/>
          </w:tcPr>
          <w:p w14:paraId="0DB97813" w14:textId="77777777" w:rsidR="00651044" w:rsidRPr="00651044" w:rsidRDefault="00651044" w:rsidP="00651044">
            <w:pPr>
              <w:pStyle w:val="ECCLetterHead"/>
            </w:pPr>
            <w:r w:rsidRPr="00651044">
              <w:t xml:space="preserve">Date issued: </w:t>
            </w:r>
          </w:p>
        </w:tc>
        <w:tc>
          <w:tcPr>
            <w:tcW w:w="8159" w:type="dxa"/>
            <w:gridSpan w:val="3"/>
            <w:tcBorders>
              <w:top w:val="nil"/>
              <w:left w:val="nil"/>
              <w:bottom w:val="nil"/>
              <w:right w:val="nil"/>
            </w:tcBorders>
            <w:vAlign w:val="center"/>
          </w:tcPr>
          <w:p w14:paraId="1F40194B" w14:textId="128D979B" w:rsidR="00651044" w:rsidRPr="00651044" w:rsidRDefault="00651044" w:rsidP="00651044">
            <w:pPr>
              <w:pStyle w:val="ECCLetterHead"/>
            </w:pPr>
            <w:r w:rsidRPr="00651044">
              <w:t xml:space="preserve">30th </w:t>
            </w:r>
            <w:r w:rsidR="00EF7140">
              <w:t>June</w:t>
            </w:r>
            <w:r w:rsidRPr="00651044">
              <w:t xml:space="preserve"> 2025</w:t>
            </w:r>
          </w:p>
        </w:tc>
      </w:tr>
      <w:tr w:rsidR="00651044" w:rsidRPr="00235592" w14:paraId="71FB6626" w14:textId="77777777" w:rsidTr="00651044">
        <w:tblPrEx>
          <w:tblCellMar>
            <w:left w:w="108" w:type="dxa"/>
            <w:right w:w="108" w:type="dxa"/>
          </w:tblCellMar>
        </w:tblPrEx>
        <w:trPr>
          <w:gridAfter w:val="1"/>
          <w:wAfter w:w="50" w:type="dxa"/>
          <w:cantSplit/>
          <w:trHeight w:val="405"/>
        </w:trPr>
        <w:tc>
          <w:tcPr>
            <w:tcW w:w="1694" w:type="dxa"/>
            <w:tcBorders>
              <w:top w:val="nil"/>
              <w:left w:val="nil"/>
              <w:bottom w:val="nil"/>
              <w:right w:val="nil"/>
            </w:tcBorders>
            <w:vAlign w:val="center"/>
          </w:tcPr>
          <w:p w14:paraId="02B68238" w14:textId="77777777" w:rsidR="00651044" w:rsidRPr="00651044" w:rsidRDefault="00651044" w:rsidP="00651044">
            <w:pPr>
              <w:pStyle w:val="ECCLetterHead"/>
            </w:pPr>
            <w:r w:rsidRPr="00651044">
              <w:t xml:space="preserve">Source: </w:t>
            </w:r>
          </w:p>
        </w:tc>
        <w:tc>
          <w:tcPr>
            <w:tcW w:w="8159" w:type="dxa"/>
            <w:gridSpan w:val="3"/>
            <w:tcBorders>
              <w:top w:val="nil"/>
              <w:left w:val="nil"/>
              <w:bottom w:val="nil"/>
              <w:right w:val="nil"/>
            </w:tcBorders>
            <w:vAlign w:val="center"/>
          </w:tcPr>
          <w:p w14:paraId="2EAE5B90" w14:textId="66C49CE8" w:rsidR="00651044" w:rsidRPr="00651044" w:rsidRDefault="00EF7140" w:rsidP="00651044">
            <w:pPr>
              <w:pStyle w:val="ECCLetterHead"/>
            </w:pPr>
            <w:r w:rsidRPr="00651044">
              <w:t>CPG27-</w:t>
            </w:r>
            <w:r w:rsidRPr="00EF7140">
              <w:t>3</w:t>
            </w:r>
          </w:p>
        </w:tc>
      </w:tr>
      <w:tr w:rsidR="00651044" w:rsidRPr="00235592" w14:paraId="4EF4B349" w14:textId="77777777" w:rsidTr="00651044">
        <w:tblPrEx>
          <w:tblCellMar>
            <w:left w:w="108" w:type="dxa"/>
            <w:right w:w="108" w:type="dxa"/>
          </w:tblCellMar>
        </w:tblPrEx>
        <w:trPr>
          <w:gridAfter w:val="1"/>
          <w:wAfter w:w="50" w:type="dxa"/>
          <w:cantSplit/>
          <w:trHeight w:val="405"/>
        </w:trPr>
        <w:tc>
          <w:tcPr>
            <w:tcW w:w="1694" w:type="dxa"/>
            <w:tcBorders>
              <w:top w:val="nil"/>
              <w:left w:val="nil"/>
              <w:bottom w:val="nil"/>
              <w:right w:val="nil"/>
            </w:tcBorders>
            <w:vAlign w:val="center"/>
          </w:tcPr>
          <w:p w14:paraId="548AB18B" w14:textId="77777777" w:rsidR="00651044" w:rsidRPr="00651044" w:rsidRDefault="00651044" w:rsidP="00651044">
            <w:pPr>
              <w:pStyle w:val="ECCLetterHead"/>
            </w:pPr>
            <w:r w:rsidRPr="00651044">
              <w:t xml:space="preserve">Subject: </w:t>
            </w:r>
          </w:p>
        </w:tc>
        <w:tc>
          <w:tcPr>
            <w:tcW w:w="8159" w:type="dxa"/>
            <w:gridSpan w:val="3"/>
            <w:tcBorders>
              <w:top w:val="nil"/>
              <w:left w:val="nil"/>
              <w:bottom w:val="nil"/>
              <w:right w:val="nil"/>
            </w:tcBorders>
            <w:vAlign w:val="center"/>
          </w:tcPr>
          <w:p w14:paraId="67CA1782" w14:textId="77777777" w:rsidR="00651044" w:rsidRPr="00651044" w:rsidRDefault="00651044" w:rsidP="00651044">
            <w:pPr>
              <w:pStyle w:val="ECCLetterHead"/>
            </w:pPr>
            <w:r w:rsidRPr="00651044">
              <w:t>Draft CEPT Brief on WRC-27 agenda item 1.17</w:t>
            </w:r>
          </w:p>
        </w:tc>
      </w:tr>
      <w:tr w:rsidR="00651044" w:rsidRPr="00235592" w14:paraId="02566CA8" w14:textId="77777777" w:rsidTr="00651044">
        <w:tblPrEx>
          <w:tblCellMar>
            <w:left w:w="108" w:type="dxa"/>
            <w:right w:w="108" w:type="dxa"/>
          </w:tblCellMar>
        </w:tblPrEx>
        <w:trPr>
          <w:gridAfter w:val="1"/>
          <w:wAfter w:w="50" w:type="dxa"/>
          <w:cantSplit/>
          <w:trHeight w:hRule="exact" w:val="74"/>
        </w:trPr>
        <w:tc>
          <w:tcPr>
            <w:tcW w:w="9853" w:type="dxa"/>
            <w:gridSpan w:val="4"/>
            <w:tcBorders>
              <w:top w:val="nil"/>
              <w:left w:val="nil"/>
              <w:bottom w:val="single" w:sz="6" w:space="0" w:color="C00000"/>
              <w:right w:val="nil"/>
            </w:tcBorders>
            <w:vAlign w:val="center"/>
          </w:tcPr>
          <w:p w14:paraId="1C8EE84A" w14:textId="77777777" w:rsidR="00651044" w:rsidRPr="00651044" w:rsidRDefault="00651044" w:rsidP="00651044">
            <w:pPr>
              <w:rPr>
                <w:rStyle w:val="ECCParagraph"/>
              </w:rPr>
            </w:pPr>
          </w:p>
          <w:p w14:paraId="31722085" w14:textId="77777777" w:rsidR="00651044" w:rsidRPr="00651044" w:rsidRDefault="00651044" w:rsidP="00651044">
            <w:pPr>
              <w:pStyle w:val="ECCLetterHead"/>
            </w:pPr>
          </w:p>
        </w:tc>
      </w:tr>
      <w:tr w:rsidR="00651044" w:rsidRPr="00235592" w14:paraId="4CEAADB9" w14:textId="77777777" w:rsidTr="0065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cantSplit/>
          <w:trHeight w:val="446"/>
        </w:trPr>
        <w:tc>
          <w:tcPr>
            <w:tcW w:w="9853" w:type="dxa"/>
            <w:gridSpan w:val="4"/>
            <w:tcBorders>
              <w:top w:val="single" w:sz="6" w:space="0" w:color="C00000"/>
              <w:left w:val="single" w:sz="6" w:space="0" w:color="C00000"/>
              <w:bottom w:val="nil"/>
              <w:right w:val="single" w:sz="6" w:space="0" w:color="C00000"/>
            </w:tcBorders>
            <w:vAlign w:val="center"/>
          </w:tcPr>
          <w:p w14:paraId="48931071" w14:textId="77777777" w:rsidR="00651044" w:rsidRPr="00651044" w:rsidRDefault="00651044" w:rsidP="00651044">
            <w:pPr>
              <w:pStyle w:val="ECCLetterHead"/>
            </w:pPr>
            <w:r w:rsidRPr="00651044">
              <w:t xml:space="preserve">Summary: </w:t>
            </w:r>
          </w:p>
        </w:tc>
      </w:tr>
      <w:tr w:rsidR="00651044" w:rsidRPr="009739D2" w14:paraId="25706CDC" w14:textId="77777777" w:rsidTr="0065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cantSplit/>
          <w:trHeight w:val="1289"/>
        </w:trPr>
        <w:tc>
          <w:tcPr>
            <w:tcW w:w="9853" w:type="dxa"/>
            <w:gridSpan w:val="4"/>
            <w:tcBorders>
              <w:top w:val="nil"/>
              <w:left w:val="single" w:sz="6" w:space="0" w:color="C00000"/>
              <w:bottom w:val="single" w:sz="6" w:space="0" w:color="C00000"/>
              <w:right w:val="single" w:sz="6" w:space="0" w:color="C00000"/>
            </w:tcBorders>
          </w:tcPr>
          <w:p w14:paraId="6217678C" w14:textId="77777777" w:rsidR="00651044" w:rsidRPr="00651044" w:rsidRDefault="00651044" w:rsidP="00651044">
            <w:pPr>
              <w:pStyle w:val="ECCTabletext"/>
            </w:pPr>
          </w:p>
          <w:p w14:paraId="36EC61CB" w14:textId="77777777" w:rsidR="00651044" w:rsidRPr="00651044" w:rsidRDefault="00651044" w:rsidP="00651044">
            <w:pPr>
              <w:pStyle w:val="ECCTabletext"/>
            </w:pPr>
          </w:p>
        </w:tc>
      </w:tr>
      <w:tr w:rsidR="00651044" w:rsidRPr="00235592" w14:paraId="3BB9DE5B" w14:textId="77777777" w:rsidTr="0065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cantSplit/>
          <w:trHeight w:val="443"/>
        </w:trPr>
        <w:tc>
          <w:tcPr>
            <w:tcW w:w="9853" w:type="dxa"/>
            <w:gridSpan w:val="4"/>
            <w:tcBorders>
              <w:top w:val="single" w:sz="6" w:space="0" w:color="C00000"/>
              <w:left w:val="single" w:sz="6" w:space="0" w:color="C00000"/>
              <w:bottom w:val="nil"/>
              <w:right w:val="single" w:sz="6" w:space="0" w:color="C00000"/>
            </w:tcBorders>
            <w:vAlign w:val="center"/>
          </w:tcPr>
          <w:p w14:paraId="650CEBAB" w14:textId="77777777" w:rsidR="00651044" w:rsidRPr="00651044" w:rsidRDefault="00651044" w:rsidP="00651044">
            <w:pPr>
              <w:pStyle w:val="ECCLetterHead"/>
            </w:pPr>
            <w:r w:rsidRPr="00651044">
              <w:t>Proposal:</w:t>
            </w:r>
          </w:p>
        </w:tc>
      </w:tr>
      <w:tr w:rsidR="00651044" w:rsidRPr="00235592" w14:paraId="21454C27" w14:textId="77777777" w:rsidTr="0065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cantSplit/>
          <w:trHeight w:val="945"/>
        </w:trPr>
        <w:tc>
          <w:tcPr>
            <w:tcW w:w="9853" w:type="dxa"/>
            <w:gridSpan w:val="4"/>
            <w:tcBorders>
              <w:top w:val="nil"/>
              <w:left w:val="single" w:sz="6" w:space="0" w:color="C00000"/>
              <w:bottom w:val="single" w:sz="6" w:space="0" w:color="C00000"/>
              <w:right w:val="single" w:sz="6" w:space="0" w:color="C00000"/>
            </w:tcBorders>
          </w:tcPr>
          <w:p w14:paraId="64941DBA" w14:textId="77777777" w:rsidR="00651044" w:rsidRPr="00651044" w:rsidRDefault="00651044" w:rsidP="00651044">
            <w:pPr>
              <w:rPr>
                <w:rStyle w:val="ECCHLyellow"/>
              </w:rPr>
            </w:pPr>
          </w:p>
        </w:tc>
      </w:tr>
    </w:tbl>
    <w:p w14:paraId="7A873700" w14:textId="77777777" w:rsidR="00651044" w:rsidRPr="00651044" w:rsidRDefault="00651044" w:rsidP="00651044">
      <w:pPr>
        <w:rPr>
          <w:rStyle w:val="ECCParagraph"/>
        </w:rPr>
      </w:pPr>
      <w:r w:rsidRPr="00651044">
        <w:rPr>
          <w:rStyle w:val="ECCParagraph"/>
        </w:rPr>
        <w:br w:type="page"/>
      </w:r>
    </w:p>
    <w:p w14:paraId="4F4D7B78" w14:textId="5F381809" w:rsidR="003771D5" w:rsidRDefault="003771D5" w:rsidP="003A68D5">
      <w:pPr>
        <w:pStyle w:val="ECCHeadingnonumbering"/>
      </w:pPr>
      <w:r w:rsidRPr="00235592">
        <w:rPr>
          <w:lang w:val="en-GB"/>
        </w:rPr>
        <w:lastRenderedPageBreak/>
        <w:t xml:space="preserve">DRAFT CEPT BRIEF ON AGENDA ITEM </w:t>
      </w:r>
      <w:r w:rsidR="00C3200F">
        <w:t>1.1</w:t>
      </w:r>
      <w:r w:rsidR="00777344">
        <w:t>7</w:t>
      </w:r>
      <w:r w:rsidRPr="00235592">
        <w:rPr>
          <w:lang w:val="en-GB"/>
        </w:rPr>
        <w:t xml:space="preserve"> </w:t>
      </w:r>
    </w:p>
    <w:p w14:paraId="0E228E1A" w14:textId="177FDD03" w:rsidR="00777344" w:rsidRPr="00777344" w:rsidRDefault="004D7F5F" w:rsidP="00777344">
      <w:r>
        <w:t xml:space="preserve">1.17 </w:t>
      </w:r>
      <w:r w:rsidR="00777344" w:rsidRPr="00777344">
        <w:t>to consider regulatory provisions and potential primary allocations to the meteorological aids service (space weather) to accommodate receive-only space weather sensor applications in the Radio Regulation,</w:t>
      </w:r>
      <w:r w:rsidR="00777344">
        <w:t xml:space="preserve"> </w:t>
      </w:r>
      <w:r w:rsidR="00777344" w:rsidRPr="00777344">
        <w:t>In accordance with Resolution</w:t>
      </w:r>
      <w:r w:rsidR="00777344" w:rsidRPr="00BB1386">
        <w:rPr>
          <w:rStyle w:val="ECCHLbold"/>
        </w:rPr>
        <w:t> 682 (Rev. WRC-23)</w:t>
      </w:r>
      <w:r w:rsidR="00777344" w:rsidRPr="00777344">
        <w:t>,</w:t>
      </w:r>
    </w:p>
    <w:p w14:paraId="443A7784" w14:textId="77777777" w:rsidR="003771D5" w:rsidRPr="00523446" w:rsidRDefault="003771D5" w:rsidP="00523446">
      <w:pPr>
        <w:pStyle w:val="Heading1"/>
        <w:numPr>
          <w:ilvl w:val="0"/>
          <w:numId w:val="40"/>
        </w:numPr>
        <w:rPr>
          <w:lang w:val="en-GB"/>
        </w:rPr>
      </w:pPr>
      <w:r w:rsidRPr="00523446">
        <w:rPr>
          <w:lang w:val="en-GB"/>
        </w:rPr>
        <w:t>I</w:t>
      </w:r>
      <w:r w:rsidR="000F41FF">
        <w:t>ssue</w:t>
      </w:r>
    </w:p>
    <w:p w14:paraId="085A3C3D" w14:textId="55963B15" w:rsidR="00241D35" w:rsidRDefault="00241D35" w:rsidP="00241D35">
      <w:r>
        <w:t xml:space="preserve">Following establishing a basic </w:t>
      </w:r>
      <w:r w:rsidR="00382000">
        <w:t xml:space="preserve">framework for space weather </w:t>
      </w:r>
      <w:r w:rsidR="00D53ED2">
        <w:t xml:space="preserve">in the Radio Regulations (RR) </w:t>
      </w:r>
      <w:r w:rsidR="00364E86">
        <w:t xml:space="preserve">at WRC-23, this agenda item </w:t>
      </w:r>
      <w:r w:rsidR="00A154BE">
        <w:t xml:space="preserve">(AI) </w:t>
      </w:r>
      <w:r w:rsidR="00364E86">
        <w:t xml:space="preserve">will address </w:t>
      </w:r>
      <w:r w:rsidR="00095D45">
        <w:t xml:space="preserve">the </w:t>
      </w:r>
      <w:r w:rsidR="00F21D1D">
        <w:t>frequency</w:t>
      </w:r>
      <w:r w:rsidR="00364E86">
        <w:t xml:space="preserve"> </w:t>
      </w:r>
      <w:r w:rsidR="005A1935">
        <w:t>allocation</w:t>
      </w:r>
      <w:r w:rsidR="00095D45">
        <w:t>s</w:t>
      </w:r>
      <w:r w:rsidR="005A1935">
        <w:t xml:space="preserve"> for receive-only space weather sensors</w:t>
      </w:r>
      <w:r w:rsidR="00095D45">
        <w:t xml:space="preserve"> in </w:t>
      </w:r>
      <w:r w:rsidR="00F21D1D">
        <w:t xml:space="preserve">Article 5 </w:t>
      </w:r>
      <w:r w:rsidR="00681D50">
        <w:t>RR</w:t>
      </w:r>
      <w:r w:rsidR="00095D45">
        <w:t>.</w:t>
      </w:r>
      <w:r w:rsidR="005A1935">
        <w:t xml:space="preserve"> </w:t>
      </w:r>
    </w:p>
    <w:p w14:paraId="58C15C71" w14:textId="77777777" w:rsidR="00094271" w:rsidRDefault="00094271" w:rsidP="00094271">
      <w:pPr>
        <w:rPr>
          <w:rStyle w:val="ECCParagraph"/>
        </w:rPr>
      </w:pPr>
      <w:r>
        <w:rPr>
          <w:rStyle w:val="ECCParagraph"/>
        </w:rPr>
        <w:t>To study spectrum needs and appropriate protection criteria for receive-only space weather sensors, as well as system characteristics, and to consider, based on sharing and compatibility studies potential new primary allocations to MetAids (space weather) in the following frequency bands</w:t>
      </w:r>
    </w:p>
    <w:p w14:paraId="0D044FB8" w14:textId="35E0F882" w:rsidR="00094271" w:rsidRPr="00094271" w:rsidRDefault="00094271" w:rsidP="00F2011C">
      <w:pPr>
        <w:pStyle w:val="ECCBulletsLv1"/>
        <w:rPr>
          <w:rStyle w:val="ECCParagraph"/>
        </w:rPr>
      </w:pPr>
      <w:r>
        <w:rPr>
          <w:rStyle w:val="ECCParagraph"/>
        </w:rPr>
        <w:t>27.5</w:t>
      </w:r>
      <w:r w:rsidR="00473846">
        <w:rPr>
          <w:rStyle w:val="ECCParagraph"/>
        </w:rPr>
        <w:t>-</w:t>
      </w:r>
      <w:r>
        <w:rPr>
          <w:rStyle w:val="ECCParagraph"/>
        </w:rPr>
        <w:t>28.0 MHz</w:t>
      </w:r>
    </w:p>
    <w:p w14:paraId="7972F233" w14:textId="12AA6BCB" w:rsidR="00094271" w:rsidRPr="00094271" w:rsidRDefault="00094271" w:rsidP="00F2011C">
      <w:pPr>
        <w:pStyle w:val="ECCBulletsLv1"/>
        <w:rPr>
          <w:rStyle w:val="ECCParagraph"/>
        </w:rPr>
      </w:pPr>
      <w:r>
        <w:rPr>
          <w:rStyle w:val="ECCParagraph"/>
        </w:rPr>
        <w:t>29.7</w:t>
      </w:r>
      <w:r w:rsidR="00473846">
        <w:rPr>
          <w:rStyle w:val="ECCParagraph"/>
        </w:rPr>
        <w:t>-</w:t>
      </w:r>
      <w:r>
        <w:rPr>
          <w:rStyle w:val="ECCParagraph"/>
        </w:rPr>
        <w:t>30.2 MHz</w:t>
      </w:r>
    </w:p>
    <w:p w14:paraId="49C27CBF" w14:textId="3F08E31C" w:rsidR="00094271" w:rsidRPr="00094271" w:rsidRDefault="00094271" w:rsidP="00F2011C">
      <w:pPr>
        <w:pStyle w:val="ECCBulletsLv1"/>
        <w:rPr>
          <w:rStyle w:val="ECCParagraph"/>
        </w:rPr>
      </w:pPr>
      <w:r>
        <w:rPr>
          <w:rStyle w:val="ECCParagraph"/>
        </w:rPr>
        <w:t>32.2</w:t>
      </w:r>
      <w:r w:rsidR="00473846">
        <w:rPr>
          <w:rStyle w:val="ECCParagraph"/>
        </w:rPr>
        <w:t>-</w:t>
      </w:r>
      <w:r>
        <w:rPr>
          <w:rStyle w:val="ECCParagraph"/>
        </w:rPr>
        <w:t>32.6 MHz</w:t>
      </w:r>
    </w:p>
    <w:p w14:paraId="45388CB8" w14:textId="74D15C62" w:rsidR="00094271" w:rsidRPr="00094271" w:rsidRDefault="00094271" w:rsidP="00F2011C">
      <w:pPr>
        <w:pStyle w:val="ECCBulletsLv1"/>
        <w:rPr>
          <w:rStyle w:val="ECCParagraph"/>
        </w:rPr>
      </w:pPr>
      <w:r>
        <w:rPr>
          <w:rStyle w:val="ECCParagraph"/>
        </w:rPr>
        <w:t>37.5</w:t>
      </w:r>
      <w:r w:rsidR="00473846">
        <w:rPr>
          <w:rStyle w:val="ECCParagraph"/>
        </w:rPr>
        <w:t>-</w:t>
      </w:r>
      <w:r>
        <w:rPr>
          <w:rStyle w:val="ECCParagraph"/>
        </w:rPr>
        <w:t>38.325 MHz</w:t>
      </w:r>
    </w:p>
    <w:p w14:paraId="257B46D0" w14:textId="245B6902" w:rsidR="00094271" w:rsidRPr="00094271" w:rsidRDefault="00094271" w:rsidP="00F2011C">
      <w:pPr>
        <w:pStyle w:val="ECCBulletsLv1"/>
        <w:rPr>
          <w:rStyle w:val="ECCParagraph"/>
        </w:rPr>
      </w:pPr>
      <w:r>
        <w:rPr>
          <w:rStyle w:val="ECCParagraph"/>
        </w:rPr>
        <w:t>73.0</w:t>
      </w:r>
      <w:r w:rsidR="00473846">
        <w:rPr>
          <w:rStyle w:val="ECCParagraph"/>
        </w:rPr>
        <w:t>-</w:t>
      </w:r>
      <w:r>
        <w:rPr>
          <w:rStyle w:val="ECCParagraph"/>
        </w:rPr>
        <w:t>74.6 MHz</w:t>
      </w:r>
    </w:p>
    <w:p w14:paraId="0558567C" w14:textId="58B520B1" w:rsidR="00094271" w:rsidRPr="00094271" w:rsidRDefault="00094271" w:rsidP="00F2011C">
      <w:pPr>
        <w:pStyle w:val="ECCBulletsLv1"/>
        <w:rPr>
          <w:rStyle w:val="ECCParagraph"/>
        </w:rPr>
      </w:pPr>
      <w:r>
        <w:rPr>
          <w:rStyle w:val="ECCParagraph"/>
        </w:rPr>
        <w:t>608</w:t>
      </w:r>
      <w:r w:rsidR="00473846">
        <w:rPr>
          <w:rStyle w:val="ECCParagraph"/>
        </w:rPr>
        <w:t>-</w:t>
      </w:r>
      <w:r>
        <w:rPr>
          <w:rStyle w:val="ECCParagraph"/>
        </w:rPr>
        <w:t>614 MHz</w:t>
      </w:r>
    </w:p>
    <w:p w14:paraId="28FA7A03" w14:textId="450E6F52" w:rsidR="00094271" w:rsidRPr="00235592" w:rsidRDefault="00094271" w:rsidP="00094271">
      <w:pPr>
        <w:rPr>
          <w:rStyle w:val="ECCParagraph"/>
        </w:rPr>
      </w:pPr>
      <w:r>
        <w:rPr>
          <w:rStyle w:val="ECCParagraph"/>
        </w:rPr>
        <w:t xml:space="preserve">without claiming protection from, or constraining the future development of, incumbent services in these frequency bands or adjacent bands; to study possible regulatory provisions of the </w:t>
      </w:r>
      <w:r w:rsidR="00681D50">
        <w:rPr>
          <w:rStyle w:val="ECCParagraph"/>
        </w:rPr>
        <w:t>RR</w:t>
      </w:r>
      <w:r>
        <w:rPr>
          <w:rStyle w:val="ECCParagraph"/>
        </w:rPr>
        <w:t xml:space="preserve"> to accommodate the possibility to notify space weather sensor stations in the Master International Frequency Register</w:t>
      </w:r>
      <w:r w:rsidR="00C30BD4">
        <w:rPr>
          <w:rStyle w:val="ECCParagraph"/>
        </w:rPr>
        <w:t xml:space="preserve"> (ITU-R MIFR)</w:t>
      </w:r>
      <w:r>
        <w:rPr>
          <w:rStyle w:val="ECCParagraph"/>
        </w:rPr>
        <w:t>.</w:t>
      </w:r>
    </w:p>
    <w:p w14:paraId="496A220A" w14:textId="77777777" w:rsidR="003771D5" w:rsidRPr="00167DE6" w:rsidRDefault="003771D5" w:rsidP="00BD4E12">
      <w:pPr>
        <w:pStyle w:val="Heading1"/>
        <w:rPr>
          <w:rStyle w:val="ECCParagraph"/>
        </w:rPr>
      </w:pPr>
      <w:r w:rsidRPr="00167DE6">
        <w:rPr>
          <w:rStyle w:val="ECCParagraph"/>
        </w:rPr>
        <w:t xml:space="preserve">Preliminary CEPT position </w:t>
      </w:r>
    </w:p>
    <w:p w14:paraId="644FC486" w14:textId="6B4D9CEC" w:rsidR="00287C0F" w:rsidRPr="00644E4D" w:rsidRDefault="00287C0F" w:rsidP="00644E4D">
      <w:pPr>
        <w:rPr>
          <w:rStyle w:val="ECCParagraph"/>
        </w:rPr>
      </w:pPr>
      <w:r w:rsidRPr="00644E4D">
        <w:rPr>
          <w:rStyle w:val="ECCParagraph"/>
        </w:rPr>
        <w:t xml:space="preserve">CEPT supports primary allocations to MetAids (space weather) for receive-only sensors in the 27.5-28.0 MHz, 29.7-30.2 MHz, 32.2-32.6 MHz, 37.5-38.325 MHz, 73.0-74.6 MHz, and 608-614 MHz frequency bands without imposing constraints on </w:t>
      </w:r>
      <w:r w:rsidR="00B1709A">
        <w:rPr>
          <w:rStyle w:val="ECCParagraph"/>
        </w:rPr>
        <w:t xml:space="preserve">the </w:t>
      </w:r>
      <w:r w:rsidR="007378F3">
        <w:rPr>
          <w:rStyle w:val="ECCParagraph"/>
        </w:rPr>
        <w:t xml:space="preserve">current </w:t>
      </w:r>
      <w:r w:rsidRPr="00644E4D">
        <w:rPr>
          <w:rStyle w:val="ECCParagraph"/>
        </w:rPr>
        <w:t>incumbent services</w:t>
      </w:r>
      <w:r w:rsidR="00CF6084" w:rsidRPr="00CF6084">
        <w:rPr>
          <w:rStyle w:val="ECCParagraph"/>
        </w:rPr>
        <w:t xml:space="preserve"> </w:t>
      </w:r>
      <w:r w:rsidR="00CF6084">
        <w:rPr>
          <w:rStyle w:val="ECCParagraph"/>
        </w:rPr>
        <w:t>up to WRC-23</w:t>
      </w:r>
      <w:r w:rsidRPr="00644E4D">
        <w:rPr>
          <w:rStyle w:val="ECCParagraph"/>
        </w:rPr>
        <w:t>.</w:t>
      </w:r>
      <w:r w:rsidR="00980AA1">
        <w:rPr>
          <w:rStyle w:val="ECCParagraph"/>
        </w:rPr>
        <w:t xml:space="preserve"> </w:t>
      </w:r>
    </w:p>
    <w:p w14:paraId="6E81148C" w14:textId="77777777" w:rsidR="003771D5" w:rsidRDefault="003771D5" w:rsidP="00A873B7">
      <w:pPr>
        <w:pStyle w:val="Heading1"/>
        <w:rPr>
          <w:lang w:val="en-GB"/>
        </w:rPr>
      </w:pPr>
      <w:r w:rsidRPr="00235592">
        <w:rPr>
          <w:lang w:val="en-GB"/>
        </w:rPr>
        <w:t xml:space="preserve">Background </w:t>
      </w:r>
    </w:p>
    <w:p w14:paraId="6424B473" w14:textId="5A123BC2" w:rsidR="005B0684" w:rsidRPr="005B0684" w:rsidRDefault="005B0684" w:rsidP="005B0684">
      <w:r w:rsidRPr="005B0684">
        <w:t xml:space="preserve">Within the past years, the technical and operational characteristics, frequency requirements and appropriate radio service designation for space weather sensors were studied within ITU-R Working Party </w:t>
      </w:r>
      <w:r w:rsidR="00681D50">
        <w:t xml:space="preserve">(WP) </w:t>
      </w:r>
      <w:r w:rsidRPr="005B0684">
        <w:t>7C under Study Question ITU-R 256/7 as w</w:t>
      </w:r>
      <w:r w:rsidR="00A154BE">
        <w:t>ell as under WRC-23 AI</w:t>
      </w:r>
      <w:r w:rsidR="00681D50">
        <w:t xml:space="preserve"> </w:t>
      </w:r>
      <w:r w:rsidRPr="005B0684">
        <w:t>9.1 topic A (Res</w:t>
      </w:r>
      <w:r w:rsidR="00BB1386">
        <w:t>olution</w:t>
      </w:r>
      <w:r w:rsidRPr="005B0684">
        <w:t xml:space="preserve"> </w:t>
      </w:r>
      <w:r w:rsidRPr="00644E4D">
        <w:rPr>
          <w:rStyle w:val="ECCHLbold"/>
        </w:rPr>
        <w:t>657 (Rev. WRC-19)</w:t>
      </w:r>
      <w:r w:rsidRPr="005B0684">
        <w:t xml:space="preserve">). WRC-23 designated space weather observations to the MetAids service, to operate under the subset MetAids (space weather), as per RR Article 29B. Additionally, WRC-23 adopted Resolution </w:t>
      </w:r>
      <w:r w:rsidRPr="00644E4D">
        <w:rPr>
          <w:rStyle w:val="ECCHLbold"/>
        </w:rPr>
        <w:t>675 (WRC-23)</w:t>
      </w:r>
      <w:r w:rsidRPr="005B0684">
        <w:t>, which highlights the importance of space weather observations and provides a definition for space weather as well as for active and receive-only space weather sensors.</w:t>
      </w:r>
    </w:p>
    <w:p w14:paraId="6F2B95DD" w14:textId="77777777" w:rsidR="005B0684" w:rsidRPr="005B0684" w:rsidRDefault="005B0684" w:rsidP="005B0684">
      <w:r w:rsidRPr="005B0684">
        <w:t>Space weather refers to the physical processes occurring in the space environment that ultimately affects human activities on Earth and in space. Space weather is influenced by the solar wind and the interplanetary magnetic field (IMF) carried by the solar wind plasma. A variety of physical phenomena are associated with space weather, including geomagnetic storms and substorms, energization of the Van Allen radiation belts, auroras, ionospheric disturbances and scintillation of satellite-to-ground radio signals and long-range radar signals, and geomagnetically induced currents at Earth՚s surface. Coronal mass ejections and their associated shock waves are also important drivers of space weather as they can distort the magnetosphere and trigger geomagnetic storms. Solar energetic particles (SEP), accelerated by coronal mass ejections or solar flares, are also an important driver of space weather.</w:t>
      </w:r>
    </w:p>
    <w:p w14:paraId="76212350" w14:textId="77777777" w:rsidR="005B0684" w:rsidRPr="005B0684" w:rsidRDefault="005B0684" w:rsidP="005B0684">
      <w:r w:rsidRPr="005B0684">
        <w:lastRenderedPageBreak/>
        <w:t>Space weather observations from ground-based and space-based systems are becoming more and more important for the detection of solar activity events that can harmfully affect national economies, human welfare and national security. Currently, these sensor systems are deployed on a world-wide basis with a strong involvement of a large number of countries and institutions within Europe, and they operate over a large spectral range without any protection from interferences. Since some of the sensors operate by receiving signals of opportunity, as e.g. low-level natural emission from the sun or Earth’s atmosphere, they can be sensitive to harmful interference at already low levels.</w:t>
      </w:r>
    </w:p>
    <w:p w14:paraId="7054A0C8" w14:textId="6D765A98" w:rsidR="005B0684" w:rsidRPr="005B0684" w:rsidRDefault="005B0684" w:rsidP="005B0684">
      <w:r w:rsidRPr="005B0684">
        <w:t xml:space="preserve">WRC-27 </w:t>
      </w:r>
      <w:r w:rsidR="00681D50">
        <w:t>AI</w:t>
      </w:r>
      <w:r w:rsidRPr="005B0684">
        <w:t xml:space="preserve"> 1.17 therefore considers new primary allocations for receive-only space weather sensors in specific frequency bands, which are important for space weather monitoring, nowcasts and forecasts, while not placing any constraints on, or constraining the future development of, incumbent services in these frequency bands or in adjacent bands. This would allow to establish regulatory provisions for receive-only space weather sensors, operating in the selected frequency bands, to be protected from new entrants in the future.</w:t>
      </w:r>
    </w:p>
    <w:p w14:paraId="79A90812" w14:textId="66D5AB9E" w:rsidR="005B0684" w:rsidRDefault="005B0684" w:rsidP="00F2011C">
      <w:pPr>
        <w:pStyle w:val="Heading2"/>
      </w:pPr>
      <w:r w:rsidRPr="005B0684">
        <w:t>Course of action</w:t>
      </w:r>
    </w:p>
    <w:p w14:paraId="26FE49AD" w14:textId="77777777" w:rsidR="00980AA1" w:rsidRDefault="005B0684" w:rsidP="005B0684">
      <w:r w:rsidRPr="005B0684">
        <w:t xml:space="preserve">WRC-27 </w:t>
      </w:r>
      <w:r w:rsidR="00A154BE">
        <w:t xml:space="preserve">AI </w:t>
      </w:r>
      <w:r w:rsidRPr="005B0684">
        <w:t xml:space="preserve">1.17 is considering primary frequency allocations to the MetAids (space weather) service, limited to receive-only sensors, such that there will be no interference by these sensors into other services in the same or in adjacent frequency bands. </w:t>
      </w:r>
    </w:p>
    <w:p w14:paraId="417C154C" w14:textId="2E9F2378" w:rsidR="00980AA1" w:rsidRDefault="005B0684" w:rsidP="005B0684">
      <w:r w:rsidRPr="005B0684">
        <w:t xml:space="preserve">Accordingly, sharing and compatibility studies to assess the impact of receive-only space weather sensors into other services are not required. Instead, studies conducted should focus on analysing the impact of </w:t>
      </w:r>
      <w:r w:rsidR="00D330F8">
        <w:t xml:space="preserve">current </w:t>
      </w:r>
      <w:r w:rsidRPr="005B0684">
        <w:t xml:space="preserve">incumbent services on receive-only space weather sensors in the frequency bands under WRC-27 AI 1.17 in order to </w:t>
      </w:r>
      <w:r w:rsidR="00EE241A">
        <w:t xml:space="preserve">provide </w:t>
      </w:r>
      <w:r w:rsidR="00371521">
        <w:t xml:space="preserve">guidance to Administrations on the conditions of any </w:t>
      </w:r>
      <w:r w:rsidR="00694E2E">
        <w:t xml:space="preserve">deployment of space weather sensor </w:t>
      </w:r>
      <w:r w:rsidR="00F51397">
        <w:t>under these</w:t>
      </w:r>
      <w:r w:rsidRPr="005B0684">
        <w:t xml:space="preserve"> new </w:t>
      </w:r>
      <w:r w:rsidR="00174A66">
        <w:t xml:space="preserve">possible </w:t>
      </w:r>
      <w:r w:rsidRPr="005B0684">
        <w:t>allocation</w:t>
      </w:r>
      <w:r w:rsidR="00174A66">
        <w:t>s</w:t>
      </w:r>
      <w:r w:rsidRPr="005B0684">
        <w:t xml:space="preserve"> for MetAids (space weather)</w:t>
      </w:r>
      <w:r w:rsidR="00980AA1">
        <w:t xml:space="preserve">. </w:t>
      </w:r>
    </w:p>
    <w:p w14:paraId="64A79EA3" w14:textId="67639BD9" w:rsidR="005B0684" w:rsidRPr="005B0684" w:rsidRDefault="00980AA1" w:rsidP="005B0684">
      <w:r>
        <w:t xml:space="preserve">Any allocation </w:t>
      </w:r>
      <w:r w:rsidR="004D0CFA">
        <w:t xml:space="preserve">will need to </w:t>
      </w:r>
      <w:r w:rsidR="00E927AA">
        <w:t xml:space="preserve">include specification of </w:t>
      </w:r>
      <w:r w:rsidR="004D0CFA">
        <w:t>which services are incumbent as of WRC-23</w:t>
      </w:r>
      <w:r w:rsidR="00E927AA">
        <w:t xml:space="preserve">, this is likely to be done via </w:t>
      </w:r>
      <w:r w:rsidR="00D330F8">
        <w:t>footnotes</w:t>
      </w:r>
      <w:r w:rsidR="005B0684" w:rsidRPr="005B0684">
        <w:t>.</w:t>
      </w:r>
    </w:p>
    <w:p w14:paraId="0D7DB60C" w14:textId="12EDC964" w:rsidR="005B0684" w:rsidRDefault="005B0684" w:rsidP="00630A2D">
      <w:bookmarkStart w:id="0" w:name="_Hlk190846344"/>
      <w:r w:rsidRPr="005B0684">
        <w:t>Usage of frequencies under study by receive-only space weather sensors</w:t>
      </w:r>
      <w:r w:rsidR="00CF48A6">
        <w:t xml:space="preserve"> </w:t>
      </w:r>
      <w:r w:rsidR="006535A0">
        <w:t>are shown in Annex 1</w:t>
      </w:r>
      <w:r w:rsidR="002017D6">
        <w:t>.</w:t>
      </w:r>
    </w:p>
    <w:bookmarkEnd w:id="0"/>
    <w:p w14:paraId="27C93A6F" w14:textId="0C9AD770" w:rsidR="005B0684" w:rsidRDefault="005B0684" w:rsidP="00630A2D">
      <w:r w:rsidRPr="005B0684">
        <w:t>Usage of frequencies under study</w:t>
      </w:r>
      <w:r w:rsidR="004D058E">
        <w:t xml:space="preserve"> </w:t>
      </w:r>
      <w:r w:rsidR="00630A2D">
        <w:t xml:space="preserve">are shown in Annex </w:t>
      </w:r>
      <w:r w:rsidR="00CF48A6">
        <w:t>2</w:t>
      </w:r>
      <w:r w:rsidR="00630A2D">
        <w:t>.</w:t>
      </w:r>
    </w:p>
    <w:p w14:paraId="144BB8BB" w14:textId="7ABA947C" w:rsidR="005B0684" w:rsidRDefault="005B0684" w:rsidP="00F2011C">
      <w:pPr>
        <w:pStyle w:val="Heading2"/>
      </w:pPr>
      <w:r w:rsidRPr="005B0684">
        <w:t>IT</w:t>
      </w:r>
      <w:r w:rsidR="00CA3B4E">
        <w:t>U</w:t>
      </w:r>
      <w:r w:rsidRPr="005B0684">
        <w:t>-R Studies</w:t>
      </w:r>
    </w:p>
    <w:p w14:paraId="37FA917C" w14:textId="2A208577" w:rsidR="005B0684" w:rsidRPr="005B0684" w:rsidRDefault="005B0684" w:rsidP="005B0684">
      <w:r w:rsidRPr="005B0684">
        <w:t xml:space="preserve">ITU-R </w:t>
      </w:r>
      <w:r w:rsidR="00A154BE">
        <w:t>WP</w:t>
      </w:r>
      <w:r w:rsidRPr="005B0684">
        <w:t xml:space="preserve"> 7C</w:t>
      </w:r>
      <w:r w:rsidR="0043198E">
        <w:t xml:space="preserve"> is responsible group for this agenda item</w:t>
      </w:r>
      <w:r w:rsidRPr="005B0684">
        <w:t>.</w:t>
      </w:r>
      <w:r w:rsidR="00CB2DFC">
        <w:t xml:space="preserve"> ITU-R</w:t>
      </w:r>
      <w:r w:rsidRPr="005B0684">
        <w:t xml:space="preserve"> WP 7C </w:t>
      </w:r>
      <w:r w:rsidR="00996286">
        <w:t>met during 18-27 Sept</w:t>
      </w:r>
      <w:r w:rsidR="009B0111">
        <w:t xml:space="preserve">ember 2024 in Almaty (Kazakhstan) and made further progress </w:t>
      </w:r>
      <w:r w:rsidRPr="005B0684">
        <w:t>on the following issues:</w:t>
      </w:r>
    </w:p>
    <w:p w14:paraId="3F88A735" w14:textId="0FC0E81A" w:rsidR="005B0684" w:rsidRPr="00666271" w:rsidRDefault="005B0684" w:rsidP="000935EC">
      <w:pPr>
        <w:pStyle w:val="ECCBulletsLv1"/>
        <w:rPr>
          <w:lang w:val="da-DK"/>
        </w:rPr>
      </w:pPr>
      <w:r w:rsidRPr="005B0684">
        <w:t xml:space="preserve">Development of a Draft New ITU-R </w:t>
      </w:r>
      <w:r w:rsidR="001B778A">
        <w:t>Recommendation</w:t>
      </w:r>
      <w:r w:rsidRPr="005B0684">
        <w:t xml:space="preserve"> on protection criteria for receive-only space weather sensors</w:t>
      </w:r>
      <w:r w:rsidR="001B58DA">
        <w:t xml:space="preserve"> operating in frequency bands listed under WRC-27 AI 1.17</w:t>
      </w:r>
      <w:r w:rsidR="00E319D1">
        <w:t>.</w:t>
      </w:r>
    </w:p>
    <w:p w14:paraId="14758276" w14:textId="4E8C2FD9" w:rsidR="00666271" w:rsidRDefault="00666271" w:rsidP="00666271">
      <w:pPr>
        <w:pStyle w:val="ECCBulletsLv1"/>
        <w:rPr>
          <w:lang w:val="da-DK"/>
        </w:rPr>
      </w:pPr>
      <w:r w:rsidRPr="00666271">
        <w:rPr>
          <w:lang w:val="da-DK"/>
        </w:rPr>
        <w:t>Development of an ITU-R Report which includes sharing and compatibility studies and regulatory provisions to be developed for notifying a receive-only space weather sensor and registering it in the Master International Frequency Register.</w:t>
      </w:r>
    </w:p>
    <w:p w14:paraId="1EF8B570" w14:textId="20E16108" w:rsidR="00666271" w:rsidRPr="005B0684" w:rsidRDefault="00666271" w:rsidP="00666271">
      <w:pPr>
        <w:pStyle w:val="ECCBulletsLv1"/>
        <w:rPr>
          <w:lang w:val="da-DK"/>
        </w:rPr>
      </w:pPr>
      <w:r w:rsidRPr="00666271">
        <w:rPr>
          <w:lang w:val="da-DK"/>
        </w:rPr>
        <w:t>Development of the draft CPM text</w:t>
      </w:r>
    </w:p>
    <w:p w14:paraId="7192DA76" w14:textId="42F44EEB" w:rsidR="00E319D1" w:rsidRPr="002F2902" w:rsidRDefault="003771D5" w:rsidP="00E319D1">
      <w:pPr>
        <w:pStyle w:val="Heading1"/>
        <w:rPr>
          <w:lang w:val="en-GB"/>
        </w:rPr>
      </w:pPr>
      <w:r w:rsidRPr="00235592">
        <w:rPr>
          <w:lang w:val="en-GB"/>
        </w:rPr>
        <w:t>List of relevant documents</w:t>
      </w:r>
    </w:p>
    <w:p w14:paraId="4C19B05E" w14:textId="77777777" w:rsidR="00220194" w:rsidRPr="00777344" w:rsidRDefault="003771D5" w:rsidP="000A29BC">
      <w:pPr>
        <w:pStyle w:val="ECCBreak"/>
        <w:rPr>
          <w:rStyle w:val="ECCParagraph"/>
          <w:lang w:val="fr-FR"/>
        </w:rPr>
      </w:pPr>
      <w:r w:rsidRPr="00777344">
        <w:rPr>
          <w:rStyle w:val="ECCParagraph"/>
          <w:lang w:val="fr-FR"/>
        </w:rPr>
        <w:t>ITU-Documentation (Recommendations, Reports, other)</w:t>
      </w:r>
    </w:p>
    <w:p w14:paraId="76468B27" w14:textId="7B818C2D" w:rsidR="005661B4" w:rsidRDefault="005D403C" w:rsidP="00A13B43">
      <w:pPr>
        <w:pStyle w:val="ECCBulletsLv1"/>
      </w:pPr>
      <w:r w:rsidRPr="005D403C">
        <w:t xml:space="preserve">Report </w:t>
      </w:r>
      <w:r w:rsidR="00285FBE">
        <w:t xml:space="preserve">ITU-R </w:t>
      </w:r>
      <w:r w:rsidR="00352669">
        <w:t>RS.2456</w:t>
      </w:r>
      <w:r w:rsidR="000A6C13">
        <w:t>-1</w:t>
      </w:r>
      <w:r w:rsidR="000046DE">
        <w:t xml:space="preserve"> (09/2023)</w:t>
      </w:r>
      <w:r w:rsidR="00E41CF0">
        <w:t>: “</w:t>
      </w:r>
      <w:r w:rsidR="00352669" w:rsidRPr="00352669">
        <w:t>Space weather sensor systems using radio spectrum</w:t>
      </w:r>
      <w:r w:rsidR="00E41CF0">
        <w:t>”</w:t>
      </w:r>
      <w:r w:rsidR="00352669" w:rsidRPr="00352669">
        <w:t xml:space="preserve">  </w:t>
      </w:r>
    </w:p>
    <w:p w14:paraId="74EC1143" w14:textId="22E44664" w:rsidR="0033782A" w:rsidRPr="0033782A" w:rsidRDefault="0033782A" w:rsidP="0033782A">
      <w:pPr>
        <w:pStyle w:val="ECCBulletsLv1"/>
        <w:rPr>
          <w:rStyle w:val="ECCParagraph"/>
        </w:rPr>
      </w:pPr>
      <w:r w:rsidRPr="0033782A">
        <w:rPr>
          <w:rStyle w:val="ECCParagraph"/>
        </w:rPr>
        <w:t xml:space="preserve">ITU-R Resolution </w:t>
      </w:r>
      <w:r w:rsidRPr="00FA164A">
        <w:rPr>
          <w:rStyle w:val="ECCHLbold"/>
        </w:rPr>
        <w:t>675 (WRC-23)</w:t>
      </w:r>
      <w:r w:rsidR="003309E6">
        <w:rPr>
          <w:rStyle w:val="ECCParagraph"/>
        </w:rPr>
        <w:t xml:space="preserve">: </w:t>
      </w:r>
      <w:r w:rsidR="00B173C0">
        <w:rPr>
          <w:rStyle w:val="ECCParagraph"/>
        </w:rPr>
        <w:t>“</w:t>
      </w:r>
      <w:r w:rsidR="00B173C0" w:rsidRPr="00B173C0">
        <w:t>Importance of meteorological aids service (space weather) applications</w:t>
      </w:r>
      <w:r w:rsidR="00B173C0">
        <w:rPr>
          <w:rStyle w:val="ECCParagraph"/>
        </w:rPr>
        <w:t>”</w:t>
      </w:r>
    </w:p>
    <w:p w14:paraId="3A4D5CF5" w14:textId="4FFA1DEC" w:rsidR="0033782A" w:rsidRPr="00352669" w:rsidRDefault="000A6C13" w:rsidP="000A6C13">
      <w:pPr>
        <w:pStyle w:val="ECCBulletsLv1"/>
      </w:pPr>
      <w:r w:rsidRPr="000A6C13">
        <w:rPr>
          <w:rStyle w:val="ECCParagraph"/>
        </w:rPr>
        <w:t>ITU-R Study Question 256/7</w:t>
      </w:r>
      <w:r w:rsidR="003F357C">
        <w:rPr>
          <w:rStyle w:val="ECCParagraph"/>
        </w:rPr>
        <w:t>: “</w:t>
      </w:r>
      <w:r w:rsidR="003F357C" w:rsidRPr="003F357C">
        <w:t>Space weather observations</w:t>
      </w:r>
      <w:r w:rsidR="003F357C">
        <w:rPr>
          <w:rStyle w:val="ECCParagraph"/>
        </w:rPr>
        <w:t>”</w:t>
      </w:r>
    </w:p>
    <w:p w14:paraId="0B554A1D" w14:textId="77777777" w:rsidR="00220194" w:rsidRDefault="003771D5" w:rsidP="000A29BC">
      <w:pPr>
        <w:pStyle w:val="ECCBreak"/>
        <w:rPr>
          <w:rStyle w:val="ECCParagraph"/>
        </w:rPr>
      </w:pPr>
      <w:r w:rsidRPr="00235592">
        <w:rPr>
          <w:rStyle w:val="ECCParagraph"/>
        </w:rPr>
        <w:t>CEPT and/or ECC Documentation (Decisions, Recommendations, Reports)</w:t>
      </w:r>
    </w:p>
    <w:p w14:paraId="6208E039" w14:textId="536E74C4" w:rsidR="000A29BC" w:rsidRPr="00235592" w:rsidRDefault="007B719C" w:rsidP="000A29BC">
      <w:pPr>
        <w:pStyle w:val="ECCBulletsLv1"/>
        <w:rPr>
          <w:rStyle w:val="ECCParagraph"/>
        </w:rPr>
      </w:pPr>
      <w:r>
        <w:rPr>
          <w:rStyle w:val="ECCParagraph"/>
        </w:rPr>
        <w:lastRenderedPageBreak/>
        <w:t xml:space="preserve">None </w:t>
      </w:r>
    </w:p>
    <w:p w14:paraId="098ED290"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47308859" w14:textId="280FADC0" w:rsidR="000A29BC" w:rsidRPr="00235592" w:rsidRDefault="00C90972" w:rsidP="000A29BC">
      <w:pPr>
        <w:pStyle w:val="ECCBulletsLv1"/>
        <w:rPr>
          <w:rStyle w:val="ECCParagraph"/>
        </w:rPr>
      </w:pPr>
      <w:r>
        <w:rPr>
          <w:rStyle w:val="ECCParagraph"/>
        </w:rPr>
        <w:t xml:space="preserve">None </w:t>
      </w:r>
    </w:p>
    <w:p w14:paraId="2BEB945A" w14:textId="77777777" w:rsidR="003771D5" w:rsidRDefault="003771D5" w:rsidP="00BD4E12">
      <w:pPr>
        <w:pStyle w:val="Heading1"/>
        <w:rPr>
          <w:lang w:val="en-GB"/>
        </w:rPr>
      </w:pPr>
      <w:r w:rsidRPr="00235592">
        <w:rPr>
          <w:lang w:val="en-GB"/>
        </w:rPr>
        <w:t>Actions to be taken</w:t>
      </w:r>
    </w:p>
    <w:p w14:paraId="07A70841" w14:textId="338B74D9" w:rsidR="004A511D" w:rsidRPr="00167DE6" w:rsidRDefault="0007336E" w:rsidP="004B796F">
      <w:pPr>
        <w:pStyle w:val="ECCBulletsLv1"/>
        <w:rPr>
          <w:rStyle w:val="ECCParagraph"/>
        </w:rPr>
      </w:pPr>
      <w:r w:rsidRPr="004B796F">
        <w:rPr>
          <w:rStyle w:val="ECCHLcyan"/>
          <w:shd w:val="clear" w:color="auto" w:fill="auto"/>
        </w:rPr>
        <w:t>Contribute to the d</w:t>
      </w:r>
      <w:r w:rsidR="00AC1F18" w:rsidRPr="00167DE6">
        <w:rPr>
          <w:rStyle w:val="ECCParagraph"/>
        </w:rPr>
        <w:t xml:space="preserve">evelopment of </w:t>
      </w:r>
      <w:r w:rsidR="00785B48">
        <w:rPr>
          <w:rStyle w:val="ECCParagraph"/>
        </w:rPr>
        <w:t xml:space="preserve">an </w:t>
      </w:r>
      <w:r w:rsidR="00320193">
        <w:rPr>
          <w:rStyle w:val="ECCParagraph"/>
        </w:rPr>
        <w:t>ITU-R Recommendation on protection criteria for receive-only space weather sensors</w:t>
      </w:r>
    </w:p>
    <w:p w14:paraId="7BB0AAB0" w14:textId="4139657A" w:rsidR="00B579B8" w:rsidRPr="00B579B8" w:rsidRDefault="00B579B8" w:rsidP="004B796F">
      <w:pPr>
        <w:pStyle w:val="ECCBulletsLv1"/>
        <w:rPr>
          <w:rStyle w:val="ECCParagraph"/>
        </w:rPr>
      </w:pPr>
      <w:r w:rsidRPr="00B579B8">
        <w:rPr>
          <w:rStyle w:val="ECCParagraph"/>
        </w:rPr>
        <w:t xml:space="preserve">Verification of </w:t>
      </w:r>
      <w:r w:rsidRPr="004B796F">
        <w:rPr>
          <w:rStyle w:val="ECCParagraph"/>
        </w:rPr>
        <w:t xml:space="preserve">Table 1 </w:t>
      </w:r>
      <w:r w:rsidR="00677168" w:rsidRPr="004B796F">
        <w:rPr>
          <w:rStyle w:val="ECCHLcyan"/>
          <w:shd w:val="clear" w:color="auto" w:fill="auto"/>
        </w:rPr>
        <w:t>in Annex 1</w:t>
      </w:r>
      <w:r w:rsidR="00677168" w:rsidRPr="004B796F">
        <w:rPr>
          <w:rStyle w:val="ECCParagraph"/>
        </w:rPr>
        <w:t xml:space="preserve"> </w:t>
      </w:r>
      <w:r w:rsidRPr="004B796F">
        <w:rPr>
          <w:rStyle w:val="ECCParagraph"/>
        </w:rPr>
        <w:t>of</w:t>
      </w:r>
      <w:r w:rsidRPr="00B579B8">
        <w:rPr>
          <w:rStyle w:val="ECCParagraph"/>
        </w:rPr>
        <w:t xml:space="preserve"> receive-only sensor types operated by CEPT member states in the frequencies under consideration</w:t>
      </w:r>
    </w:p>
    <w:p w14:paraId="43912C55" w14:textId="77777777" w:rsidR="00B579B8" w:rsidRPr="00B579B8" w:rsidRDefault="00B579B8" w:rsidP="0064104F">
      <w:pPr>
        <w:pStyle w:val="ECCBulletsLv1"/>
        <w:rPr>
          <w:rStyle w:val="ECCParagraph"/>
        </w:rPr>
      </w:pPr>
      <w:r w:rsidRPr="00B579B8">
        <w:rPr>
          <w:rStyle w:val="ECCParagraph"/>
        </w:rPr>
        <w:t xml:space="preserve">Identification of technical and operational characteristics of and protection criteria for these sensor types, in addition to the information provided in ITU-R Report RS.2456-1 </w:t>
      </w:r>
    </w:p>
    <w:p w14:paraId="33F6DCDA" w14:textId="24C768BA" w:rsidR="00B579B8" w:rsidRPr="004B796F" w:rsidRDefault="00B579B8" w:rsidP="004B796F">
      <w:pPr>
        <w:pStyle w:val="ECCBulletsLv1"/>
        <w:rPr>
          <w:rStyle w:val="ECCParagraph"/>
        </w:rPr>
      </w:pPr>
      <w:r w:rsidRPr="00B579B8">
        <w:rPr>
          <w:rStyle w:val="ECCParagraph"/>
        </w:rPr>
        <w:t>Development of proposals for regulatory</w:t>
      </w:r>
      <w:r w:rsidR="009C6339">
        <w:rPr>
          <w:rStyle w:val="ECCParagraph"/>
        </w:rPr>
        <w:t xml:space="preserve"> </w:t>
      </w:r>
      <w:r w:rsidR="00AF7204" w:rsidRPr="004B796F">
        <w:rPr>
          <w:rStyle w:val="ECCParagraph"/>
        </w:rPr>
        <w:t>provisions</w:t>
      </w:r>
      <w:r w:rsidR="00FF7613" w:rsidRPr="004B796F">
        <w:rPr>
          <w:rStyle w:val="ECCHLcyan"/>
          <w:shd w:val="clear" w:color="auto" w:fill="auto"/>
        </w:rPr>
        <w:t xml:space="preserve"> to accommodate possible recording of receive-only space weather sensors in the MIFR</w:t>
      </w:r>
      <w:r w:rsidR="00FF7613" w:rsidRPr="004B796F">
        <w:rPr>
          <w:rStyle w:val="ECCParagraph"/>
        </w:rPr>
        <w:t xml:space="preserve"> </w:t>
      </w:r>
      <w:r w:rsidR="00AF7204" w:rsidRPr="004B796F">
        <w:rPr>
          <w:rStyle w:val="ECCParagraph"/>
        </w:rPr>
        <w:t xml:space="preserve"> </w:t>
      </w:r>
    </w:p>
    <w:p w14:paraId="14B99A1F" w14:textId="579B0E4A" w:rsidR="003771D5" w:rsidRPr="00235592" w:rsidRDefault="003771D5" w:rsidP="00BD4E12">
      <w:pPr>
        <w:pStyle w:val="Heading1"/>
        <w:rPr>
          <w:lang w:val="en-GB"/>
        </w:rPr>
      </w:pPr>
      <w:r w:rsidRPr="00235592">
        <w:rPr>
          <w:lang w:val="en-GB"/>
        </w:rPr>
        <w:t>Relevan</w:t>
      </w:r>
      <w:r w:rsidR="000E6AE3">
        <w:t>T</w:t>
      </w:r>
      <w:r w:rsidRPr="00235592">
        <w:rPr>
          <w:lang w:val="en-GB"/>
        </w:rPr>
        <w:t xml:space="preserve"> information </w:t>
      </w:r>
      <w:r w:rsidR="008C14EA" w:rsidRPr="00A52B8E">
        <w:rPr>
          <w:lang w:val="en-GB"/>
        </w:rPr>
        <w:t xml:space="preserve">as contributed </w:t>
      </w:r>
      <w:r w:rsidRPr="00235592">
        <w:rPr>
          <w:lang w:val="en-GB"/>
        </w:rPr>
        <w:t>from outside CEPT (examples of these are below)</w:t>
      </w:r>
    </w:p>
    <w:p w14:paraId="2F5A56CD" w14:textId="77777777" w:rsidR="003771D5" w:rsidRPr="00235592" w:rsidRDefault="00652804" w:rsidP="00BD4E12">
      <w:pPr>
        <w:pStyle w:val="Heading2"/>
        <w:rPr>
          <w:lang w:val="en-GB"/>
        </w:rPr>
      </w:pPr>
      <w:r w:rsidRPr="00A52B8E">
        <w:rPr>
          <w:lang w:val="en-GB"/>
        </w:rPr>
        <w:t>European Commission</w:t>
      </w:r>
      <w:r w:rsidR="002132DB" w:rsidRPr="00A52B8E">
        <w:rPr>
          <w:lang w:val="en-GB"/>
        </w:rPr>
        <w:t xml:space="preserve"> (date o</w:t>
      </w:r>
      <w:r w:rsidR="00F8504F" w:rsidRPr="00A52B8E">
        <w:rPr>
          <w:lang w:val="en-GB"/>
        </w:rPr>
        <w:t>f proposal)</w:t>
      </w:r>
    </w:p>
    <w:p w14:paraId="37C0D183" w14:textId="7A85DF5F" w:rsidR="004F16F4" w:rsidRPr="00235592" w:rsidRDefault="004F16F4" w:rsidP="004F16F4">
      <w:pPr>
        <w:rPr>
          <w:rStyle w:val="ECCParagraph"/>
        </w:rPr>
      </w:pPr>
    </w:p>
    <w:p w14:paraId="7B325CA9" w14:textId="77777777" w:rsidR="003771D5" w:rsidRPr="00235592" w:rsidRDefault="003771D5" w:rsidP="00BD4E12">
      <w:pPr>
        <w:pStyle w:val="Heading2"/>
        <w:rPr>
          <w:lang w:val="en-GB"/>
        </w:rPr>
      </w:pPr>
      <w:r w:rsidRPr="00235592">
        <w:rPr>
          <w:lang w:val="en-GB"/>
        </w:rPr>
        <w:t xml:space="preserve">Regional </w:t>
      </w:r>
      <w:r w:rsidR="00B54B09">
        <w:t>T</w:t>
      </w:r>
      <w:r w:rsidR="0057797A" w:rsidRPr="00235592">
        <w:rPr>
          <w:lang w:val="en-GB"/>
        </w:rPr>
        <w:t xml:space="preserve">elecommunication </w:t>
      </w:r>
      <w:r w:rsidR="00B54B09">
        <w:t>O</w:t>
      </w:r>
      <w:r w:rsidR="0057797A" w:rsidRPr="00235592">
        <w:rPr>
          <w:lang w:val="en-GB"/>
        </w:rPr>
        <w:t>rganisations</w:t>
      </w:r>
    </w:p>
    <w:p w14:paraId="5619C9F0" w14:textId="77777777" w:rsidR="003771D5" w:rsidRPr="00235592" w:rsidRDefault="003771D5" w:rsidP="009B1F62">
      <w:pPr>
        <w:pStyle w:val="ECCBreak"/>
      </w:pPr>
      <w:r w:rsidRPr="00235592">
        <w:t>APT (date of proposal)</w:t>
      </w:r>
    </w:p>
    <w:p w14:paraId="3664D07C" w14:textId="77777777" w:rsidR="006C5C1C" w:rsidRPr="00235592" w:rsidRDefault="006C5C1C" w:rsidP="006C5C1C">
      <w:pPr>
        <w:rPr>
          <w:rStyle w:val="ECCParagraph"/>
        </w:rPr>
      </w:pPr>
    </w:p>
    <w:p w14:paraId="549EE5C9" w14:textId="77777777" w:rsidR="003771D5" w:rsidRPr="00235592" w:rsidRDefault="003771D5" w:rsidP="009B1F62">
      <w:pPr>
        <w:pStyle w:val="ECCBreak"/>
      </w:pPr>
      <w:r w:rsidRPr="00235592">
        <w:t>ATU (date of proposal)</w:t>
      </w:r>
    </w:p>
    <w:p w14:paraId="6EE22775" w14:textId="77777777" w:rsidR="003771D5" w:rsidRPr="00235592" w:rsidRDefault="003771D5" w:rsidP="00BD4E12">
      <w:pPr>
        <w:rPr>
          <w:rStyle w:val="ECCParagraph"/>
        </w:rPr>
      </w:pPr>
    </w:p>
    <w:p w14:paraId="7510B2BB" w14:textId="77777777" w:rsidR="003771D5" w:rsidRPr="00235592" w:rsidRDefault="00A87414" w:rsidP="009B1F62">
      <w:pPr>
        <w:pStyle w:val="ECCBreak"/>
      </w:pPr>
      <w:r>
        <w:t>ASMG</w:t>
      </w:r>
      <w:r w:rsidR="003771D5" w:rsidRPr="00235592">
        <w:t xml:space="preserve"> (date of proposal)</w:t>
      </w:r>
    </w:p>
    <w:p w14:paraId="1CA59A42" w14:textId="77777777" w:rsidR="003771D5" w:rsidRPr="00235592" w:rsidRDefault="003771D5" w:rsidP="00BD4E12">
      <w:pPr>
        <w:rPr>
          <w:rStyle w:val="ECCParagraph"/>
        </w:rPr>
      </w:pPr>
    </w:p>
    <w:p w14:paraId="181BA63A" w14:textId="15F9BCC1" w:rsidR="003771D5" w:rsidRPr="00235592" w:rsidRDefault="003771D5" w:rsidP="009B1F62">
      <w:pPr>
        <w:pStyle w:val="ECCBreak"/>
      </w:pPr>
      <w:r w:rsidRPr="00235592">
        <w:t>CITEL (</w:t>
      </w:r>
      <w:r w:rsidR="00B61A35">
        <w:t>June 2025</w:t>
      </w:r>
      <w:r w:rsidRPr="00235592">
        <w:t>)</w:t>
      </w:r>
    </w:p>
    <w:p w14:paraId="638E02A1" w14:textId="77777777" w:rsidR="003A0EDC" w:rsidRDefault="00A30FAA" w:rsidP="00BD4E12">
      <w:r w:rsidRPr="00A30FAA">
        <w:t xml:space="preserve">Preliminary Views (PV) </w:t>
      </w:r>
    </w:p>
    <w:p w14:paraId="4CA4A7EB" w14:textId="26097A57" w:rsidR="00C22358" w:rsidRDefault="00C22358" w:rsidP="00BD4E12">
      <w:r w:rsidRPr="00C22358">
        <w:t>Four administrations supports the consideration of a potential new primary allocations to MetAids (space weather) in the RR, taking into account the results of the studies under Resolution 682 (WRC-23). One of those support the review of the regulatory provisions for the protection of receive-only meteorological sensors used in space meteorology. The other three are of the view that any allocation to Met Aids (space weather) shall not claim protection from, nor constrain the future development of, incumbent services in these frequency bands or in adjacent bands.</w:t>
      </w:r>
    </w:p>
    <w:p w14:paraId="5318F2F7" w14:textId="64E87F69" w:rsidR="003771D5" w:rsidRPr="00235592" w:rsidRDefault="003771D5" w:rsidP="009B1F62">
      <w:pPr>
        <w:pStyle w:val="ECCBreak"/>
      </w:pPr>
      <w:r w:rsidRPr="00235592">
        <w:t>RCC (date of proposal)</w:t>
      </w:r>
    </w:p>
    <w:p w14:paraId="1CE31FF8" w14:textId="77777777" w:rsidR="003771D5" w:rsidRPr="00235592" w:rsidRDefault="003771D5" w:rsidP="00BD4E12">
      <w:pPr>
        <w:pStyle w:val="Heading2"/>
        <w:rPr>
          <w:lang w:val="en-GB"/>
        </w:rPr>
      </w:pPr>
      <w:r w:rsidRPr="00235592">
        <w:rPr>
          <w:lang w:val="en-GB"/>
        </w:rPr>
        <w:lastRenderedPageBreak/>
        <w:t>International organisations</w:t>
      </w:r>
      <w:r w:rsidR="00652804" w:rsidRPr="00A52B8E">
        <w:rPr>
          <w:lang w:val="en-GB"/>
        </w:rPr>
        <w:t xml:space="preserve"> members of the ITU</w:t>
      </w:r>
    </w:p>
    <w:p w14:paraId="504E2B5C" w14:textId="2CE372BF" w:rsidR="007F2AB2" w:rsidRDefault="007F2AB2" w:rsidP="009B1F62">
      <w:pPr>
        <w:pStyle w:val="ECCBreak"/>
      </w:pPr>
      <w:r w:rsidRPr="00A52B8E">
        <w:t>CRAF (</w:t>
      </w:r>
      <w:r w:rsidR="009F2714">
        <w:t>February 2025</w:t>
      </w:r>
      <w:r w:rsidRPr="00A52B8E">
        <w:t>)</w:t>
      </w:r>
    </w:p>
    <w:p w14:paraId="1508469D" w14:textId="77777777" w:rsidR="006F5811" w:rsidRPr="006F5811" w:rsidRDefault="006F5811" w:rsidP="006F5811">
      <w:r w:rsidRPr="006F5811">
        <w:t>CRAF supports new allocations for the receive-only space weather sensors in the frequency bands listed under resolves 2 in Resolution 682. CRAF also supports the development of appropriate protection criteria for the receive-only space weather sensors.</w:t>
      </w:r>
    </w:p>
    <w:p w14:paraId="238F0617" w14:textId="7E696B7E" w:rsidR="008A1078" w:rsidRPr="00630A2D" w:rsidRDefault="006F6228" w:rsidP="008A1078">
      <w:pPr>
        <w:rPr>
          <w:rStyle w:val="ECCHLbold"/>
        </w:rPr>
      </w:pPr>
      <w:r w:rsidRPr="00630A2D">
        <w:rPr>
          <w:rStyle w:val="ECCHLbold"/>
        </w:rPr>
        <w:t xml:space="preserve">EUMETSAT (February 2025) </w:t>
      </w:r>
    </w:p>
    <w:p w14:paraId="61E24016" w14:textId="601A5C5B" w:rsidR="00BC157A" w:rsidRPr="00235592" w:rsidRDefault="006F6228" w:rsidP="00BC157A">
      <w:pPr>
        <w:rPr>
          <w:rStyle w:val="ECCParagraph"/>
        </w:rPr>
      </w:pPr>
      <w:r w:rsidRPr="006F6228">
        <w:t>EUMETSAT, follows the preliminary WMO position and the objective of the SFCG and supports primary allocations to MetAids (space weather) being made for receive-only sensors in the 27.5-28.0 MHz, 29.7-30.2 MHz, 32.2-32.6 MHz, 37.5-38.325 MHz, 73.0-74.6 MHz, and 608-614 MHz frequency bands without imposing constraints on incumbent services.</w:t>
      </w:r>
    </w:p>
    <w:p w14:paraId="3FC179C3" w14:textId="77777777" w:rsidR="007F2AB2" w:rsidRDefault="007F2AB2" w:rsidP="009B1F62">
      <w:pPr>
        <w:pStyle w:val="ECCBreak"/>
      </w:pPr>
      <w:r w:rsidRPr="00A52B8E">
        <w:t>EBU (date of proposal)</w:t>
      </w:r>
    </w:p>
    <w:p w14:paraId="040339FA" w14:textId="04525393" w:rsidR="00B201EE" w:rsidRPr="00B201EE" w:rsidRDefault="00B201EE" w:rsidP="00B201EE">
      <w:pPr>
        <w:pStyle w:val="ECCBreak"/>
      </w:pPr>
      <w:r w:rsidRPr="00B201EE">
        <w:t>E</w:t>
      </w:r>
      <w:r>
        <w:t xml:space="preserve">SA </w:t>
      </w:r>
      <w:r w:rsidRPr="00B201EE">
        <w:t>(</w:t>
      </w:r>
      <w:r>
        <w:t>Ju</w:t>
      </w:r>
      <w:r w:rsidR="00FD7128">
        <w:t>ne</w:t>
      </w:r>
      <w:r>
        <w:t xml:space="preserve"> 2024) </w:t>
      </w:r>
    </w:p>
    <w:p w14:paraId="62FCEE0F" w14:textId="3E9371D8" w:rsidR="00A75347" w:rsidRDefault="00A75347" w:rsidP="00771FB0">
      <w:r w:rsidRPr="001C4836">
        <w:rPr>
          <w:rStyle w:val="ECCParagraph"/>
        </w:rPr>
        <w:t>ESA supports the SFCG objectives, as developed in June 2024, on WRC-27 agenda item 1.1</w:t>
      </w:r>
      <w:r w:rsidR="00304950">
        <w:rPr>
          <w:rStyle w:val="ECCParagraph"/>
        </w:rPr>
        <w:t>7</w:t>
      </w:r>
      <w:r w:rsidRPr="001C4836">
        <w:rPr>
          <w:rStyle w:val="ECCParagraph"/>
        </w:rPr>
        <w:t>, as shown below:</w:t>
      </w:r>
    </w:p>
    <w:p w14:paraId="4027085C" w14:textId="37A99F41" w:rsidR="00771FB0" w:rsidRPr="00771FB0" w:rsidRDefault="00557609" w:rsidP="00771FB0">
      <w:pPr>
        <w:rPr>
          <w:lang w:val="da-DK"/>
        </w:rPr>
      </w:pPr>
      <w:r>
        <w:t>“</w:t>
      </w:r>
      <w:r w:rsidR="00771FB0" w:rsidRPr="00771FB0">
        <w:t>SFCG supports primary allocations to MetAids (space weather) being made for receive-only sensors in the 27.5-28.0 MHz, 29.7-30.2 MHz, 32.2-32.6 MHz, 37.5-38.325 MHz, 73.0-74.6 MHz, and 608-614 MHz frequency bands without imposing constraints on incumbent services.</w:t>
      </w:r>
      <w:r>
        <w:t>”</w:t>
      </w:r>
    </w:p>
    <w:p w14:paraId="7D73CC9D" w14:textId="77777777" w:rsidR="006E59D4" w:rsidRPr="00A52B8E" w:rsidRDefault="006E59D4" w:rsidP="009B1F62">
      <w:pPr>
        <w:pStyle w:val="ECCBreak"/>
      </w:pPr>
      <w:r w:rsidRPr="00A52B8E">
        <w:t>GSMA (date of proposal)</w:t>
      </w:r>
    </w:p>
    <w:p w14:paraId="5E7D9633" w14:textId="77777777" w:rsidR="006E59D4" w:rsidRPr="00235592" w:rsidRDefault="006E59D4" w:rsidP="006E59D4">
      <w:pPr>
        <w:rPr>
          <w:rStyle w:val="ECCParagraph"/>
        </w:rPr>
      </w:pPr>
    </w:p>
    <w:p w14:paraId="12F8036A" w14:textId="77777777" w:rsidR="00F8504F" w:rsidRPr="00A52B8E" w:rsidRDefault="00F8504F" w:rsidP="009B1F62">
      <w:pPr>
        <w:pStyle w:val="ECCBreak"/>
      </w:pPr>
      <w:r w:rsidRPr="00A52B8E">
        <w:t>GSOA (date of proposal)</w:t>
      </w:r>
    </w:p>
    <w:p w14:paraId="4FA7A7AA" w14:textId="77777777" w:rsidR="00885BFF" w:rsidRPr="00235592" w:rsidRDefault="00885BFF" w:rsidP="00885BFF">
      <w:pPr>
        <w:rPr>
          <w:rStyle w:val="ECCParagraph"/>
        </w:rPr>
      </w:pPr>
    </w:p>
    <w:p w14:paraId="6DD7FA66" w14:textId="77777777" w:rsidR="00554C4C" w:rsidRPr="00A52B8E" w:rsidRDefault="00554C4C" w:rsidP="009B1F62">
      <w:pPr>
        <w:pStyle w:val="ECCBreak"/>
      </w:pPr>
      <w:r w:rsidRPr="00A52B8E">
        <w:t>IARU (date of proposal)</w:t>
      </w:r>
    </w:p>
    <w:p w14:paraId="11AE0C80" w14:textId="77777777" w:rsidR="00554C4C" w:rsidRPr="00235592" w:rsidRDefault="00554C4C" w:rsidP="00554C4C">
      <w:pPr>
        <w:rPr>
          <w:rStyle w:val="ECCParagraph"/>
        </w:rPr>
      </w:pPr>
    </w:p>
    <w:p w14:paraId="5D223E46" w14:textId="77777777" w:rsidR="00554C4C" w:rsidRPr="009701EC" w:rsidRDefault="00554C4C" w:rsidP="009B1F62">
      <w:pPr>
        <w:pStyle w:val="ECCBreak"/>
      </w:pPr>
      <w:r w:rsidRPr="009701EC">
        <w:t>IATA (date of proposal)</w:t>
      </w:r>
    </w:p>
    <w:p w14:paraId="05BBF0FB" w14:textId="77777777" w:rsidR="00554C4C" w:rsidRPr="009701EC" w:rsidRDefault="00554C4C" w:rsidP="009B1F62">
      <w:pPr>
        <w:rPr>
          <w:rStyle w:val="ECCParagraph"/>
          <w:b/>
          <w:bCs/>
          <w:iCs/>
          <w:szCs w:val="28"/>
        </w:rPr>
      </w:pPr>
    </w:p>
    <w:p w14:paraId="16186FBA" w14:textId="77777777" w:rsidR="009701EC" w:rsidRDefault="00D15FCC" w:rsidP="009701EC">
      <w:pPr>
        <w:pStyle w:val="Heading2"/>
      </w:pPr>
      <w:r>
        <w:t xml:space="preserve">UN </w:t>
      </w:r>
      <w:r w:rsidR="00B54B09">
        <w:t>l</w:t>
      </w:r>
      <w:r w:rsidR="00570BE1">
        <w:t xml:space="preserve">evel </w:t>
      </w:r>
      <w:r>
        <w:t>C</w:t>
      </w:r>
      <w:r w:rsidR="00D1280A">
        <w:t>o</w:t>
      </w:r>
      <w:r>
        <w:t>mmittees</w:t>
      </w:r>
    </w:p>
    <w:p w14:paraId="4283024B" w14:textId="77777777" w:rsidR="003771D5" w:rsidRPr="009701EC" w:rsidRDefault="003771D5" w:rsidP="009B1F62">
      <w:pPr>
        <w:pStyle w:val="ECCBreak"/>
      </w:pPr>
      <w:r w:rsidRPr="009701EC">
        <w:t>ICAO (date of proposal)</w:t>
      </w:r>
    </w:p>
    <w:p w14:paraId="36FBDB47" w14:textId="77777777" w:rsidR="003771D5" w:rsidRPr="009701EC" w:rsidRDefault="003771D5" w:rsidP="00BD4E12">
      <w:pPr>
        <w:rPr>
          <w:rStyle w:val="ECCParagraph"/>
        </w:rPr>
      </w:pPr>
    </w:p>
    <w:p w14:paraId="7717F913" w14:textId="55F28E8B" w:rsidR="003771D5" w:rsidRDefault="003771D5" w:rsidP="009B1F62">
      <w:pPr>
        <w:pStyle w:val="ECCBreak"/>
      </w:pPr>
      <w:r w:rsidRPr="009701EC">
        <w:t>IMO (date of proposal)</w:t>
      </w:r>
    </w:p>
    <w:p w14:paraId="555342D6" w14:textId="77777777" w:rsidR="00523446" w:rsidRPr="00523446" w:rsidRDefault="00523446" w:rsidP="00523446">
      <w:pPr>
        <w:rPr>
          <w:lang w:val="da-DK"/>
        </w:rPr>
      </w:pPr>
    </w:p>
    <w:p w14:paraId="421E1CAE" w14:textId="55C8136A" w:rsidR="003771D5" w:rsidRPr="00235592" w:rsidRDefault="003771D5" w:rsidP="009B1F62">
      <w:pPr>
        <w:pStyle w:val="ECCBreak"/>
      </w:pPr>
      <w:r w:rsidRPr="00235592">
        <w:t>WMO (</w:t>
      </w:r>
      <w:r w:rsidR="001F2B07">
        <w:rPr>
          <w:rFonts w:eastAsia="Arial"/>
        </w:rPr>
        <w:t>March</w:t>
      </w:r>
      <w:r w:rsidR="00523446">
        <w:rPr>
          <w:rFonts w:eastAsia="Arial"/>
        </w:rPr>
        <w:t xml:space="preserve"> </w:t>
      </w:r>
      <w:r w:rsidR="00523446" w:rsidRPr="00523446">
        <w:rPr>
          <w:rFonts w:eastAsia="Arial"/>
        </w:rPr>
        <w:t>2024</w:t>
      </w:r>
      <w:r w:rsidRPr="00235592">
        <w:t>)</w:t>
      </w:r>
    </w:p>
    <w:p w14:paraId="183F25CA" w14:textId="5138B407" w:rsidR="003771D5" w:rsidRPr="00235592" w:rsidRDefault="00523446" w:rsidP="00BD4E12">
      <w:pPr>
        <w:rPr>
          <w:rStyle w:val="ECCParagraph"/>
        </w:rPr>
      </w:pPr>
      <w:r w:rsidRPr="00523446">
        <w:lastRenderedPageBreak/>
        <w:t xml:space="preserve">WMO supports new primary allocations to MetAids (space weather) for receive-only sensors in all the frequency bands listed in, and in accordance with, Resolution </w:t>
      </w:r>
      <w:r w:rsidRPr="00523446">
        <w:rPr>
          <w:rStyle w:val="ECCHLbold"/>
        </w:rPr>
        <w:t>682 (WRC-23)</w:t>
      </w:r>
      <w:r w:rsidRPr="00523446">
        <w:t>.</w:t>
      </w:r>
    </w:p>
    <w:p w14:paraId="49998369" w14:textId="77777777" w:rsidR="003771D5" w:rsidRPr="00235592" w:rsidRDefault="00B54B09" w:rsidP="00BD4E12">
      <w:pPr>
        <w:pStyle w:val="Heading2"/>
        <w:rPr>
          <w:lang w:val="en-GB"/>
        </w:rPr>
      </w:pPr>
      <w:r>
        <w:t>Other</w:t>
      </w:r>
      <w:r w:rsidR="00485535">
        <w:t xml:space="preserve"> </w:t>
      </w:r>
      <w:r w:rsidR="00A23AFE">
        <w:t>ECC MoU/L</w:t>
      </w:r>
      <w:r w:rsidR="00D1280A">
        <w:t>o</w:t>
      </w:r>
      <w:r w:rsidR="00A23AFE">
        <w:t>U partners</w:t>
      </w:r>
    </w:p>
    <w:p w14:paraId="2153227F" w14:textId="38C2C0B9" w:rsidR="00485535" w:rsidRDefault="00485535" w:rsidP="009B1F62">
      <w:pPr>
        <w:pStyle w:val="ECCBreak"/>
      </w:pPr>
      <w:r>
        <w:t>EUMETNET (</w:t>
      </w:r>
      <w:r w:rsidR="00630A2D">
        <w:t xml:space="preserve">March </w:t>
      </w:r>
      <w:r w:rsidR="001F2B07">
        <w:t>202</w:t>
      </w:r>
      <w:r w:rsidR="006F6228">
        <w:t>4</w:t>
      </w:r>
      <w:r>
        <w:t>)</w:t>
      </w:r>
    </w:p>
    <w:p w14:paraId="2BD41886" w14:textId="2DE28246" w:rsidR="006F6228" w:rsidRPr="00235592" w:rsidRDefault="00EA5BF3" w:rsidP="00EF69A0">
      <w:pPr>
        <w:rPr>
          <w:rStyle w:val="ECCParagraph"/>
        </w:rPr>
      </w:pPr>
      <w:r>
        <w:rPr>
          <w:rStyle w:val="ECCParagraph"/>
        </w:rPr>
        <w:t>EUMETNET supports the WMO position.</w:t>
      </w:r>
    </w:p>
    <w:p w14:paraId="0DEA2023" w14:textId="307BDD87" w:rsidR="003771D5" w:rsidRPr="00925ACF" w:rsidRDefault="00890D52" w:rsidP="00925ACF">
      <w:pPr>
        <w:pStyle w:val="ECCBreak"/>
        <w:rPr>
          <w:rStyle w:val="ECCParagraph"/>
          <w:lang w:val="da-DK"/>
        </w:rPr>
      </w:pPr>
      <w:r>
        <w:t>EUROCONTROL</w:t>
      </w:r>
      <w:r w:rsidRPr="00235592">
        <w:t xml:space="preserve"> </w:t>
      </w:r>
      <w:r w:rsidR="003771D5" w:rsidRPr="00235592">
        <w:t>(date of proposal)</w:t>
      </w:r>
    </w:p>
    <w:p w14:paraId="43C11366" w14:textId="3500ABD3" w:rsidR="00EF69A0" w:rsidRDefault="00D91D39" w:rsidP="00B15AC4">
      <w:pPr>
        <w:pStyle w:val="ECCBreak"/>
      </w:pPr>
      <w:r w:rsidDel="003219F7">
        <w:rPr>
          <w:rStyle w:val="ECCParagraph"/>
        </w:rPr>
        <w:t xml:space="preserve">NATO </w:t>
      </w:r>
      <w:r w:rsidRPr="00C377C2" w:rsidDel="003219F7">
        <w:t>(</w:t>
      </w:r>
      <w:r w:rsidR="00917CFB">
        <w:t>April</w:t>
      </w:r>
      <w:r w:rsidR="00A30FAA">
        <w:t xml:space="preserve"> 202</w:t>
      </w:r>
      <w:r w:rsidR="00917CFB">
        <w:t>5</w:t>
      </w:r>
      <w:r w:rsidRPr="00C377C2" w:rsidDel="003219F7">
        <w:t>)</w:t>
      </w:r>
    </w:p>
    <w:p w14:paraId="5A992034" w14:textId="77777777" w:rsidR="00341DDC" w:rsidRPr="00341DDC" w:rsidRDefault="00341DDC" w:rsidP="00341DDC">
      <w:pPr>
        <w:rPr>
          <w:rStyle w:val="ECCHLunderlined"/>
          <w:lang w:val="da-DK"/>
        </w:rPr>
      </w:pPr>
      <w:r w:rsidRPr="00341DDC">
        <w:rPr>
          <w:rStyle w:val="ECCHLunderlined"/>
        </w:rPr>
        <w:t>Preliminary NATO Military Interest</w:t>
      </w:r>
    </w:p>
    <w:p w14:paraId="3F753E96" w14:textId="77777777" w:rsidR="00341DDC" w:rsidRPr="00341DDC" w:rsidRDefault="00341DDC" w:rsidP="00341DDC">
      <w:r w:rsidRPr="00341DDC">
        <w:t>NATO military systems utilise the essential NATO harmonised band 30 - 80 MHz which covers most of the bands under study for receive-only space weather sensors. Further, the bands 27.5 - 28 MHz and 29.7 - 30.2 MHz in the upper part of the essential NATO harmonised band 1 606.5 kHz - 30.005 MHz.</w:t>
      </w:r>
    </w:p>
    <w:p w14:paraId="0FEED637" w14:textId="77777777" w:rsidR="00341DDC" w:rsidRPr="00341DDC" w:rsidRDefault="00341DDC" w:rsidP="00341DDC">
      <w:r w:rsidRPr="00341DDC">
        <w:t xml:space="preserve">NATO CNR and HF systems might be negatively affected by these new allocations. Therefore, NATO has to follow the work under this agenda item to assure “further resolves 2” of Resolution </w:t>
      </w:r>
      <w:r w:rsidRPr="00126414">
        <w:rPr>
          <w:rStyle w:val="ECCHLbold"/>
        </w:rPr>
        <w:t>682 (WRC-23)</w:t>
      </w:r>
      <w:r w:rsidRPr="00341DDC">
        <w:t>.</w:t>
      </w:r>
    </w:p>
    <w:p w14:paraId="589CA7AA" w14:textId="77777777" w:rsidR="00341DDC" w:rsidRPr="00341DDC" w:rsidRDefault="00341DDC" w:rsidP="00341DDC">
      <w:pPr>
        <w:rPr>
          <w:rStyle w:val="ECCHLunderlined"/>
        </w:rPr>
      </w:pPr>
      <w:r w:rsidRPr="00341DDC">
        <w:rPr>
          <w:rStyle w:val="ECCHLunderlined"/>
        </w:rPr>
        <w:t>Preliminary NATO Position</w:t>
      </w:r>
    </w:p>
    <w:p w14:paraId="267B8208" w14:textId="7106F856" w:rsidR="00A30FAA" w:rsidRPr="00DB1603" w:rsidRDefault="00DB1603" w:rsidP="00A30FAA">
      <w:pPr>
        <w:rPr>
          <w:u w:val="single"/>
        </w:rPr>
      </w:pPr>
      <w:r w:rsidRPr="00DB1603">
        <w:t>NATO supports new allocation to the receive-only MetAids (space weather) in the following frequency bands 27.5 - 28.0 MHz, 29.7 - 30.2 MHz, 32.2 - 32.6 MHz, 37.5 - 38.325 MHz, 73.0 - 74.6 MHz, 608 - 614 MHz recognising that NATO systems are not constrained.</w:t>
      </w:r>
    </w:p>
    <w:p w14:paraId="144D1262" w14:textId="0D8B7F37" w:rsidR="003A2C69" w:rsidRDefault="000F4F15" w:rsidP="002F2902">
      <w:pPr>
        <w:pStyle w:val="ECCAnnexheading1"/>
      </w:pPr>
      <w:r w:rsidRPr="000F4F15">
        <w:lastRenderedPageBreak/>
        <w:t>Usage of frequencies under study by receive-only space weather sensors</w:t>
      </w:r>
    </w:p>
    <w:p w14:paraId="4DDB785C" w14:textId="4192CDFE" w:rsidR="005B44C6" w:rsidRPr="005B44C6" w:rsidRDefault="005B44C6" w:rsidP="005B44C6">
      <w:r w:rsidRPr="005B44C6">
        <w:t xml:space="preserve">The frequency ranges under consideration in WRC-27 AI 1.17 are currently used by the following receive-only space weather senor types within CEPT member states. </w:t>
      </w:r>
    </w:p>
    <w:p w14:paraId="1B604E2D" w14:textId="77777777" w:rsidR="005B44C6" w:rsidRPr="005B44C6" w:rsidRDefault="005B44C6" w:rsidP="005B44C6">
      <w:pPr>
        <w:pStyle w:val="Caption"/>
      </w:pPr>
      <w:r w:rsidRPr="005B44C6">
        <w:t>Table 1: Overview of receive-only space weather sensors types currently operated by CEPT member states in the frequency ranges under study by WRC-27 AI 1.17</w:t>
      </w:r>
    </w:p>
    <w:tbl>
      <w:tblPr>
        <w:tblStyle w:val="ECCTable-redheader"/>
        <w:tblW w:w="0" w:type="auto"/>
        <w:tblInd w:w="0" w:type="dxa"/>
        <w:tblLook w:val="04A0" w:firstRow="1" w:lastRow="0" w:firstColumn="1" w:lastColumn="0" w:noHBand="0" w:noVBand="1"/>
      </w:tblPr>
      <w:tblGrid>
        <w:gridCol w:w="1267"/>
        <w:gridCol w:w="2773"/>
        <w:gridCol w:w="2156"/>
        <w:gridCol w:w="1133"/>
        <w:gridCol w:w="1161"/>
        <w:gridCol w:w="1139"/>
      </w:tblGrid>
      <w:tr w:rsidR="004A7499" w:rsidRPr="005B0684" w14:paraId="25A3D755" w14:textId="77777777" w:rsidTr="004A7499">
        <w:trPr>
          <w:cnfStyle w:val="100000000000" w:firstRow="1" w:lastRow="0" w:firstColumn="0" w:lastColumn="0" w:oddVBand="0" w:evenVBand="0" w:oddHBand="0" w:evenHBand="0" w:firstRowFirstColumn="0" w:firstRowLastColumn="0" w:lastRowFirstColumn="0" w:lastRowLastColumn="0"/>
        </w:trPr>
        <w:tc>
          <w:tcPr>
            <w:tcW w:w="1267" w:type="dxa"/>
          </w:tcPr>
          <w:p w14:paraId="58A3C92C" w14:textId="77777777" w:rsidR="005B44C6" w:rsidRPr="005B44C6" w:rsidRDefault="005B44C6" w:rsidP="005B44C6">
            <w:pPr>
              <w:pStyle w:val="ECCTabletext"/>
            </w:pPr>
            <w:r w:rsidRPr="005B44C6">
              <w:t xml:space="preserve">Frequency </w:t>
            </w:r>
          </w:p>
          <w:p w14:paraId="1E697900" w14:textId="77777777" w:rsidR="005B44C6" w:rsidRPr="005B44C6" w:rsidRDefault="005B44C6" w:rsidP="005B44C6">
            <w:pPr>
              <w:pStyle w:val="ECCTabletext"/>
            </w:pPr>
            <w:r w:rsidRPr="005B44C6">
              <w:t>(MHz)</w:t>
            </w:r>
          </w:p>
        </w:tc>
        <w:tc>
          <w:tcPr>
            <w:tcW w:w="2773" w:type="dxa"/>
          </w:tcPr>
          <w:p w14:paraId="4F53AA93" w14:textId="77777777" w:rsidR="005B44C6" w:rsidRPr="005B44C6" w:rsidRDefault="005B44C6" w:rsidP="005B44C6">
            <w:pPr>
              <w:pStyle w:val="ECCTabletext"/>
            </w:pPr>
            <w:r w:rsidRPr="005B44C6">
              <w:t xml:space="preserve">Sensor types </w:t>
            </w:r>
          </w:p>
        </w:tc>
        <w:tc>
          <w:tcPr>
            <w:tcW w:w="2156" w:type="dxa"/>
          </w:tcPr>
          <w:p w14:paraId="57C39E5F" w14:textId="77777777" w:rsidR="005B44C6" w:rsidRPr="005B44C6" w:rsidRDefault="005B44C6" w:rsidP="005B44C6">
            <w:pPr>
              <w:pStyle w:val="ECCTabletext"/>
            </w:pPr>
            <w:r w:rsidRPr="005B44C6">
              <w:t>Location</w:t>
            </w:r>
          </w:p>
        </w:tc>
        <w:tc>
          <w:tcPr>
            <w:tcW w:w="1133" w:type="dxa"/>
          </w:tcPr>
          <w:p w14:paraId="069F7B9B" w14:textId="77777777" w:rsidR="005B44C6" w:rsidRPr="004C3BE6" w:rsidRDefault="005B44C6" w:rsidP="005B44C6">
            <w:pPr>
              <w:pStyle w:val="ECCTabletext"/>
              <w:rPr>
                <w:rStyle w:val="ECCHLpetrol"/>
              </w:rPr>
            </w:pPr>
            <w:r w:rsidRPr="004C3BE6">
              <w:rPr>
                <w:rStyle w:val="ECCHLpetrol"/>
              </w:rPr>
              <w:t>Height</w:t>
            </w:r>
          </w:p>
        </w:tc>
        <w:tc>
          <w:tcPr>
            <w:tcW w:w="1161" w:type="dxa"/>
          </w:tcPr>
          <w:p w14:paraId="2F559BA9" w14:textId="77777777" w:rsidR="005B44C6" w:rsidRPr="004C3BE6" w:rsidRDefault="005B44C6" w:rsidP="005B44C6">
            <w:pPr>
              <w:pStyle w:val="ECCTabletext"/>
              <w:rPr>
                <w:rStyle w:val="ECCHLpetrol"/>
              </w:rPr>
            </w:pPr>
            <w:r w:rsidRPr="004C3BE6">
              <w:rPr>
                <w:rStyle w:val="ECCHLpetrol"/>
              </w:rPr>
              <w:t>Antenna Type</w:t>
            </w:r>
          </w:p>
        </w:tc>
        <w:tc>
          <w:tcPr>
            <w:tcW w:w="1139" w:type="dxa"/>
          </w:tcPr>
          <w:p w14:paraId="02417EA3" w14:textId="77777777" w:rsidR="005B44C6" w:rsidRPr="004C3BE6" w:rsidRDefault="005B44C6" w:rsidP="005B44C6">
            <w:pPr>
              <w:pStyle w:val="ECCTabletext"/>
              <w:rPr>
                <w:rStyle w:val="ECCHLpetrol"/>
              </w:rPr>
            </w:pPr>
            <w:r w:rsidRPr="004C3BE6">
              <w:rPr>
                <w:rStyle w:val="ECCHLpetrol"/>
              </w:rPr>
              <w:t>Detection Floor</w:t>
            </w:r>
          </w:p>
        </w:tc>
      </w:tr>
      <w:tr w:rsidR="005B44C6" w:rsidRPr="005B0684" w14:paraId="5B6DFCDC" w14:textId="77777777" w:rsidTr="004A7499">
        <w:tc>
          <w:tcPr>
            <w:tcW w:w="1267" w:type="dxa"/>
            <w:vMerge w:val="restart"/>
          </w:tcPr>
          <w:p w14:paraId="1988A07D" w14:textId="77777777" w:rsidR="005B44C6" w:rsidRPr="005B44C6" w:rsidRDefault="005B44C6" w:rsidP="005B44C6">
            <w:pPr>
              <w:pStyle w:val="ECCTabletext"/>
            </w:pPr>
            <w:r w:rsidRPr="005B44C6">
              <w:t>27.5 – 28.0</w:t>
            </w:r>
          </w:p>
        </w:tc>
        <w:tc>
          <w:tcPr>
            <w:tcW w:w="2773" w:type="dxa"/>
          </w:tcPr>
          <w:p w14:paraId="2981A644" w14:textId="77777777" w:rsidR="005B44C6" w:rsidRPr="005B44C6" w:rsidRDefault="005B44C6" w:rsidP="005B44C6">
            <w:pPr>
              <w:pStyle w:val="ECCTabletext"/>
            </w:pPr>
            <w:r w:rsidRPr="005B44C6">
              <w:t>Solar flux monitors</w:t>
            </w:r>
          </w:p>
        </w:tc>
        <w:tc>
          <w:tcPr>
            <w:tcW w:w="2156" w:type="dxa"/>
            <w:vMerge w:val="restart"/>
          </w:tcPr>
          <w:p w14:paraId="6DD443C9" w14:textId="77777777" w:rsidR="005B44C6" w:rsidRPr="005B44C6" w:rsidRDefault="005B44C6" w:rsidP="005B44C6">
            <w:pPr>
              <w:pStyle w:val="ECCTabletext"/>
            </w:pPr>
            <w:r w:rsidRPr="005B44C6">
              <w:t>Europe (LOFAR*); France (NENUFAR)</w:t>
            </w:r>
          </w:p>
        </w:tc>
        <w:tc>
          <w:tcPr>
            <w:tcW w:w="1133" w:type="dxa"/>
          </w:tcPr>
          <w:p w14:paraId="033961FF" w14:textId="77777777" w:rsidR="005B44C6" w:rsidRPr="005B44C6" w:rsidRDefault="005B44C6" w:rsidP="005B44C6">
            <w:pPr>
              <w:pStyle w:val="ECCTabletext"/>
            </w:pPr>
          </w:p>
        </w:tc>
        <w:tc>
          <w:tcPr>
            <w:tcW w:w="1161" w:type="dxa"/>
          </w:tcPr>
          <w:p w14:paraId="4B711D5F" w14:textId="77777777" w:rsidR="005B44C6" w:rsidRPr="005B44C6" w:rsidRDefault="005B44C6" w:rsidP="005B44C6">
            <w:pPr>
              <w:pStyle w:val="ECCTabletext"/>
            </w:pPr>
          </w:p>
        </w:tc>
        <w:tc>
          <w:tcPr>
            <w:tcW w:w="1139" w:type="dxa"/>
          </w:tcPr>
          <w:p w14:paraId="4D80A605" w14:textId="77777777" w:rsidR="005B44C6" w:rsidRPr="005B44C6" w:rsidRDefault="005B44C6" w:rsidP="005B44C6">
            <w:pPr>
              <w:pStyle w:val="ECCTabletext"/>
            </w:pPr>
          </w:p>
        </w:tc>
      </w:tr>
      <w:tr w:rsidR="005B44C6" w:rsidRPr="005B0684" w14:paraId="57520335" w14:textId="77777777" w:rsidTr="004A7499">
        <w:tc>
          <w:tcPr>
            <w:tcW w:w="1267" w:type="dxa"/>
            <w:vMerge/>
          </w:tcPr>
          <w:p w14:paraId="258A651B" w14:textId="77777777" w:rsidR="005B44C6" w:rsidRPr="005B44C6" w:rsidRDefault="005B44C6" w:rsidP="005B44C6">
            <w:pPr>
              <w:pStyle w:val="ECCTabletext"/>
            </w:pPr>
          </w:p>
        </w:tc>
        <w:tc>
          <w:tcPr>
            <w:tcW w:w="2773" w:type="dxa"/>
          </w:tcPr>
          <w:p w14:paraId="495586D6" w14:textId="77777777" w:rsidR="005B44C6" w:rsidRPr="005B44C6" w:rsidRDefault="005B44C6" w:rsidP="005B44C6">
            <w:pPr>
              <w:pStyle w:val="ECCTabletext"/>
            </w:pPr>
            <w:r w:rsidRPr="005B44C6">
              <w:t>Inter-planetary scintillation monitors</w:t>
            </w:r>
          </w:p>
        </w:tc>
        <w:tc>
          <w:tcPr>
            <w:tcW w:w="2156" w:type="dxa"/>
            <w:vMerge/>
          </w:tcPr>
          <w:p w14:paraId="7122AB43" w14:textId="77777777" w:rsidR="005B44C6" w:rsidRPr="005B44C6" w:rsidRDefault="005B44C6" w:rsidP="005B44C6">
            <w:pPr>
              <w:pStyle w:val="ECCTabletext"/>
            </w:pPr>
          </w:p>
        </w:tc>
        <w:tc>
          <w:tcPr>
            <w:tcW w:w="1133" w:type="dxa"/>
          </w:tcPr>
          <w:p w14:paraId="5A111C47" w14:textId="77777777" w:rsidR="005B44C6" w:rsidRPr="005B44C6" w:rsidRDefault="005B44C6" w:rsidP="005B44C6">
            <w:pPr>
              <w:pStyle w:val="ECCTabletext"/>
            </w:pPr>
          </w:p>
        </w:tc>
        <w:tc>
          <w:tcPr>
            <w:tcW w:w="1161" w:type="dxa"/>
          </w:tcPr>
          <w:p w14:paraId="5D76C235" w14:textId="77777777" w:rsidR="005B44C6" w:rsidRPr="005B44C6" w:rsidRDefault="005B44C6" w:rsidP="005B44C6">
            <w:pPr>
              <w:pStyle w:val="ECCTabletext"/>
            </w:pPr>
          </w:p>
        </w:tc>
        <w:tc>
          <w:tcPr>
            <w:tcW w:w="1139" w:type="dxa"/>
          </w:tcPr>
          <w:p w14:paraId="3005531B" w14:textId="77777777" w:rsidR="005B44C6" w:rsidRPr="005B44C6" w:rsidRDefault="005B44C6" w:rsidP="005B44C6">
            <w:pPr>
              <w:pStyle w:val="ECCTabletext"/>
            </w:pPr>
          </w:p>
        </w:tc>
      </w:tr>
      <w:tr w:rsidR="005B44C6" w:rsidRPr="005B0684" w14:paraId="46177BA5" w14:textId="77777777" w:rsidTr="004A7499">
        <w:tc>
          <w:tcPr>
            <w:tcW w:w="1267" w:type="dxa"/>
            <w:vMerge/>
          </w:tcPr>
          <w:p w14:paraId="0051DE47" w14:textId="77777777" w:rsidR="005B44C6" w:rsidRPr="005B44C6" w:rsidRDefault="005B44C6" w:rsidP="005B44C6">
            <w:pPr>
              <w:pStyle w:val="ECCTabletext"/>
            </w:pPr>
          </w:p>
        </w:tc>
        <w:tc>
          <w:tcPr>
            <w:tcW w:w="2773" w:type="dxa"/>
          </w:tcPr>
          <w:p w14:paraId="5FC8EAFC" w14:textId="77777777" w:rsidR="005B44C6" w:rsidRPr="005B44C6" w:rsidRDefault="005B44C6" w:rsidP="005B44C6">
            <w:pPr>
              <w:pStyle w:val="ECCTabletext"/>
            </w:pPr>
          </w:p>
        </w:tc>
        <w:tc>
          <w:tcPr>
            <w:tcW w:w="2156" w:type="dxa"/>
          </w:tcPr>
          <w:p w14:paraId="39EBB14C" w14:textId="77777777" w:rsidR="005B44C6" w:rsidRPr="005B44C6" w:rsidRDefault="005B44C6" w:rsidP="005B44C6">
            <w:pPr>
              <w:pStyle w:val="ECCTabletext"/>
            </w:pPr>
          </w:p>
        </w:tc>
        <w:tc>
          <w:tcPr>
            <w:tcW w:w="1133" w:type="dxa"/>
          </w:tcPr>
          <w:p w14:paraId="21FD7A1E" w14:textId="77777777" w:rsidR="005B44C6" w:rsidRPr="005B44C6" w:rsidRDefault="005B44C6" w:rsidP="005B44C6">
            <w:pPr>
              <w:pStyle w:val="ECCTabletext"/>
            </w:pPr>
          </w:p>
        </w:tc>
        <w:tc>
          <w:tcPr>
            <w:tcW w:w="1161" w:type="dxa"/>
          </w:tcPr>
          <w:p w14:paraId="14428BA5" w14:textId="77777777" w:rsidR="005B44C6" w:rsidRPr="005B44C6" w:rsidRDefault="005B44C6" w:rsidP="005B44C6">
            <w:pPr>
              <w:pStyle w:val="ECCTabletext"/>
            </w:pPr>
          </w:p>
        </w:tc>
        <w:tc>
          <w:tcPr>
            <w:tcW w:w="1139" w:type="dxa"/>
          </w:tcPr>
          <w:p w14:paraId="57F3FC00" w14:textId="77777777" w:rsidR="005B44C6" w:rsidRPr="005B44C6" w:rsidRDefault="005B44C6" w:rsidP="005B44C6">
            <w:pPr>
              <w:pStyle w:val="ECCTabletext"/>
            </w:pPr>
          </w:p>
        </w:tc>
      </w:tr>
      <w:tr w:rsidR="005B44C6" w:rsidRPr="005B0684" w14:paraId="7F9A71A9" w14:textId="77777777" w:rsidTr="004A7499">
        <w:tc>
          <w:tcPr>
            <w:tcW w:w="1267" w:type="dxa"/>
            <w:vMerge/>
          </w:tcPr>
          <w:p w14:paraId="0DEF3526" w14:textId="77777777" w:rsidR="005B44C6" w:rsidRPr="005B44C6" w:rsidRDefault="005B44C6" w:rsidP="005B44C6">
            <w:pPr>
              <w:pStyle w:val="ECCTabletext"/>
            </w:pPr>
          </w:p>
        </w:tc>
        <w:tc>
          <w:tcPr>
            <w:tcW w:w="2773" w:type="dxa"/>
          </w:tcPr>
          <w:p w14:paraId="2CD69BDE" w14:textId="77777777" w:rsidR="005B44C6" w:rsidRPr="005B44C6" w:rsidRDefault="005B44C6" w:rsidP="005B44C6">
            <w:pPr>
              <w:pStyle w:val="ECCTabletext"/>
            </w:pPr>
            <w:r w:rsidRPr="005B44C6">
              <w:t>Solar spectrometer/spectrograph</w:t>
            </w:r>
          </w:p>
        </w:tc>
        <w:tc>
          <w:tcPr>
            <w:tcW w:w="2156" w:type="dxa"/>
          </w:tcPr>
          <w:p w14:paraId="40265BCE" w14:textId="77777777" w:rsidR="005B44C6" w:rsidRPr="005B44C6" w:rsidRDefault="005B44C6" w:rsidP="005B44C6">
            <w:pPr>
              <w:pStyle w:val="ECCTabletext"/>
            </w:pPr>
            <w:r w:rsidRPr="005B44C6">
              <w:t>France (Nancay Decameter Array); Belgium (SPADE); Greece (ARTEMIS)</w:t>
            </w:r>
          </w:p>
        </w:tc>
        <w:tc>
          <w:tcPr>
            <w:tcW w:w="1133" w:type="dxa"/>
          </w:tcPr>
          <w:p w14:paraId="1A9CC49B" w14:textId="77777777" w:rsidR="005B44C6" w:rsidRPr="005B44C6" w:rsidRDefault="005B44C6" w:rsidP="005B44C6">
            <w:pPr>
              <w:pStyle w:val="ECCTabletext"/>
            </w:pPr>
          </w:p>
        </w:tc>
        <w:tc>
          <w:tcPr>
            <w:tcW w:w="1161" w:type="dxa"/>
          </w:tcPr>
          <w:p w14:paraId="0B2F2ED3" w14:textId="77777777" w:rsidR="005B44C6" w:rsidRPr="005B44C6" w:rsidRDefault="005B44C6" w:rsidP="005B44C6">
            <w:pPr>
              <w:pStyle w:val="ECCTabletext"/>
            </w:pPr>
          </w:p>
        </w:tc>
        <w:tc>
          <w:tcPr>
            <w:tcW w:w="1139" w:type="dxa"/>
          </w:tcPr>
          <w:p w14:paraId="2C241731" w14:textId="77777777" w:rsidR="005B44C6" w:rsidRPr="005B44C6" w:rsidRDefault="005B44C6" w:rsidP="005B44C6">
            <w:pPr>
              <w:pStyle w:val="ECCTabletext"/>
            </w:pPr>
          </w:p>
        </w:tc>
      </w:tr>
      <w:tr w:rsidR="005B44C6" w:rsidRPr="005B0684" w14:paraId="1BC5AC6F" w14:textId="77777777" w:rsidTr="004A7499">
        <w:tc>
          <w:tcPr>
            <w:tcW w:w="1267" w:type="dxa"/>
            <w:vMerge w:val="restart"/>
          </w:tcPr>
          <w:p w14:paraId="63076FCE" w14:textId="77777777" w:rsidR="005B44C6" w:rsidRPr="005B44C6" w:rsidRDefault="005B44C6" w:rsidP="005B44C6">
            <w:pPr>
              <w:pStyle w:val="ECCTabletext"/>
            </w:pPr>
            <w:r w:rsidRPr="005B44C6">
              <w:t>29.7 – 30.2</w:t>
            </w:r>
          </w:p>
        </w:tc>
        <w:tc>
          <w:tcPr>
            <w:tcW w:w="2773" w:type="dxa"/>
          </w:tcPr>
          <w:p w14:paraId="2F592527" w14:textId="77777777" w:rsidR="005B44C6" w:rsidRPr="005B44C6" w:rsidRDefault="005B44C6" w:rsidP="005B44C6">
            <w:pPr>
              <w:pStyle w:val="ECCTabletext"/>
            </w:pPr>
            <w:r w:rsidRPr="005B44C6">
              <w:t>Solar flux monitors</w:t>
            </w:r>
          </w:p>
        </w:tc>
        <w:tc>
          <w:tcPr>
            <w:tcW w:w="2156" w:type="dxa"/>
            <w:vMerge w:val="restart"/>
          </w:tcPr>
          <w:p w14:paraId="09F3118D" w14:textId="77777777" w:rsidR="005B44C6" w:rsidRPr="005B44C6" w:rsidRDefault="005B44C6" w:rsidP="005B44C6">
            <w:pPr>
              <w:pStyle w:val="ECCTabletext"/>
            </w:pPr>
            <w:r w:rsidRPr="005B44C6">
              <w:t>Europe (LOFAR*); France (NENUFAR)</w:t>
            </w:r>
          </w:p>
        </w:tc>
        <w:tc>
          <w:tcPr>
            <w:tcW w:w="1133" w:type="dxa"/>
          </w:tcPr>
          <w:p w14:paraId="4CF51388" w14:textId="77777777" w:rsidR="005B44C6" w:rsidRPr="005B44C6" w:rsidRDefault="005B44C6" w:rsidP="005B44C6">
            <w:pPr>
              <w:pStyle w:val="ECCTabletext"/>
            </w:pPr>
          </w:p>
        </w:tc>
        <w:tc>
          <w:tcPr>
            <w:tcW w:w="1161" w:type="dxa"/>
          </w:tcPr>
          <w:p w14:paraId="70FB22EB" w14:textId="77777777" w:rsidR="005B44C6" w:rsidRPr="005B44C6" w:rsidRDefault="005B44C6" w:rsidP="005B44C6">
            <w:pPr>
              <w:pStyle w:val="ECCTabletext"/>
            </w:pPr>
          </w:p>
        </w:tc>
        <w:tc>
          <w:tcPr>
            <w:tcW w:w="1139" w:type="dxa"/>
          </w:tcPr>
          <w:p w14:paraId="6D777B64" w14:textId="77777777" w:rsidR="005B44C6" w:rsidRPr="005B44C6" w:rsidRDefault="005B44C6" w:rsidP="005B44C6">
            <w:pPr>
              <w:pStyle w:val="ECCTabletext"/>
            </w:pPr>
          </w:p>
        </w:tc>
      </w:tr>
      <w:tr w:rsidR="005B44C6" w:rsidRPr="005B0684" w14:paraId="2CE712CC" w14:textId="77777777" w:rsidTr="004A7499">
        <w:tc>
          <w:tcPr>
            <w:tcW w:w="1267" w:type="dxa"/>
            <w:vMerge/>
          </w:tcPr>
          <w:p w14:paraId="0974D09B" w14:textId="77777777" w:rsidR="005B44C6" w:rsidRPr="005B44C6" w:rsidRDefault="005B44C6" w:rsidP="005B44C6">
            <w:pPr>
              <w:pStyle w:val="ECCTabletext"/>
            </w:pPr>
          </w:p>
        </w:tc>
        <w:tc>
          <w:tcPr>
            <w:tcW w:w="2773" w:type="dxa"/>
          </w:tcPr>
          <w:p w14:paraId="61737936" w14:textId="77777777" w:rsidR="005B44C6" w:rsidRPr="005B44C6" w:rsidRDefault="005B44C6" w:rsidP="005B44C6">
            <w:pPr>
              <w:pStyle w:val="ECCTabletext"/>
            </w:pPr>
            <w:r w:rsidRPr="005B44C6">
              <w:t>Inter-planetary scintillation monitors</w:t>
            </w:r>
          </w:p>
        </w:tc>
        <w:tc>
          <w:tcPr>
            <w:tcW w:w="2156" w:type="dxa"/>
            <w:vMerge/>
          </w:tcPr>
          <w:p w14:paraId="25FE0195" w14:textId="77777777" w:rsidR="005B44C6" w:rsidRPr="005B44C6" w:rsidRDefault="005B44C6" w:rsidP="005B44C6">
            <w:pPr>
              <w:pStyle w:val="ECCTabletext"/>
            </w:pPr>
          </w:p>
        </w:tc>
        <w:tc>
          <w:tcPr>
            <w:tcW w:w="1133" w:type="dxa"/>
          </w:tcPr>
          <w:p w14:paraId="1C8F795D" w14:textId="77777777" w:rsidR="005B44C6" w:rsidRPr="005B44C6" w:rsidRDefault="005B44C6" w:rsidP="005B44C6">
            <w:pPr>
              <w:pStyle w:val="ECCTabletext"/>
            </w:pPr>
          </w:p>
        </w:tc>
        <w:tc>
          <w:tcPr>
            <w:tcW w:w="1161" w:type="dxa"/>
          </w:tcPr>
          <w:p w14:paraId="472F9C28" w14:textId="77777777" w:rsidR="005B44C6" w:rsidRPr="005B44C6" w:rsidRDefault="005B44C6" w:rsidP="005B44C6">
            <w:pPr>
              <w:pStyle w:val="ECCTabletext"/>
            </w:pPr>
          </w:p>
        </w:tc>
        <w:tc>
          <w:tcPr>
            <w:tcW w:w="1139" w:type="dxa"/>
          </w:tcPr>
          <w:p w14:paraId="08868D4A" w14:textId="77777777" w:rsidR="005B44C6" w:rsidRPr="005B44C6" w:rsidRDefault="005B44C6" w:rsidP="005B44C6">
            <w:pPr>
              <w:pStyle w:val="ECCTabletext"/>
            </w:pPr>
          </w:p>
        </w:tc>
      </w:tr>
      <w:tr w:rsidR="005B44C6" w:rsidRPr="005B0684" w14:paraId="11D06801" w14:textId="77777777" w:rsidTr="004A7499">
        <w:tc>
          <w:tcPr>
            <w:tcW w:w="1267" w:type="dxa"/>
            <w:vMerge/>
          </w:tcPr>
          <w:p w14:paraId="37C8D774" w14:textId="77777777" w:rsidR="005B44C6" w:rsidRPr="005B44C6" w:rsidRDefault="005B44C6" w:rsidP="005B44C6">
            <w:pPr>
              <w:pStyle w:val="ECCTabletext"/>
            </w:pPr>
          </w:p>
        </w:tc>
        <w:tc>
          <w:tcPr>
            <w:tcW w:w="2773" w:type="dxa"/>
          </w:tcPr>
          <w:p w14:paraId="2EFE5196" w14:textId="77777777" w:rsidR="005B44C6" w:rsidRPr="005B44C6" w:rsidRDefault="005B44C6" w:rsidP="005B44C6">
            <w:pPr>
              <w:pStyle w:val="ECCTabletext"/>
            </w:pPr>
          </w:p>
        </w:tc>
        <w:tc>
          <w:tcPr>
            <w:tcW w:w="2156" w:type="dxa"/>
          </w:tcPr>
          <w:p w14:paraId="6D8CB62A" w14:textId="77777777" w:rsidR="005B44C6" w:rsidRPr="005B44C6" w:rsidRDefault="005B44C6" w:rsidP="005B44C6">
            <w:pPr>
              <w:pStyle w:val="ECCTabletext"/>
            </w:pPr>
          </w:p>
        </w:tc>
        <w:tc>
          <w:tcPr>
            <w:tcW w:w="1133" w:type="dxa"/>
          </w:tcPr>
          <w:p w14:paraId="4A355ED2" w14:textId="77777777" w:rsidR="005B44C6" w:rsidRPr="005B44C6" w:rsidRDefault="005B44C6" w:rsidP="005B44C6">
            <w:pPr>
              <w:pStyle w:val="ECCTabletext"/>
            </w:pPr>
          </w:p>
        </w:tc>
        <w:tc>
          <w:tcPr>
            <w:tcW w:w="1161" w:type="dxa"/>
          </w:tcPr>
          <w:p w14:paraId="7C8377FA" w14:textId="77777777" w:rsidR="005B44C6" w:rsidRPr="005B44C6" w:rsidRDefault="005B44C6" w:rsidP="005B44C6">
            <w:pPr>
              <w:pStyle w:val="ECCTabletext"/>
            </w:pPr>
          </w:p>
        </w:tc>
        <w:tc>
          <w:tcPr>
            <w:tcW w:w="1139" w:type="dxa"/>
          </w:tcPr>
          <w:p w14:paraId="5A9E9BEB" w14:textId="77777777" w:rsidR="005B44C6" w:rsidRPr="005B44C6" w:rsidRDefault="005B44C6" w:rsidP="005B44C6">
            <w:pPr>
              <w:pStyle w:val="ECCTabletext"/>
            </w:pPr>
          </w:p>
        </w:tc>
      </w:tr>
      <w:tr w:rsidR="005B44C6" w:rsidRPr="005B0684" w14:paraId="519B2A16" w14:textId="77777777" w:rsidTr="004A7499">
        <w:tc>
          <w:tcPr>
            <w:tcW w:w="1267" w:type="dxa"/>
            <w:vMerge/>
          </w:tcPr>
          <w:p w14:paraId="0332BBD8" w14:textId="77777777" w:rsidR="005B44C6" w:rsidRPr="005B44C6" w:rsidRDefault="005B44C6" w:rsidP="005B44C6">
            <w:pPr>
              <w:pStyle w:val="ECCTabletext"/>
            </w:pPr>
          </w:p>
        </w:tc>
        <w:tc>
          <w:tcPr>
            <w:tcW w:w="2773" w:type="dxa"/>
          </w:tcPr>
          <w:p w14:paraId="4C5CF9E7" w14:textId="77777777" w:rsidR="005B44C6" w:rsidRPr="005B44C6" w:rsidRDefault="005B44C6" w:rsidP="005B44C6">
            <w:pPr>
              <w:pStyle w:val="ECCTabletext"/>
            </w:pPr>
            <w:r w:rsidRPr="005B44C6">
              <w:t>Riometers</w:t>
            </w:r>
          </w:p>
        </w:tc>
        <w:tc>
          <w:tcPr>
            <w:tcW w:w="2156" w:type="dxa"/>
          </w:tcPr>
          <w:p w14:paraId="25EBE1BF" w14:textId="7E0F4EB5" w:rsidR="005B44C6" w:rsidRPr="005B44C6" w:rsidRDefault="008370EE" w:rsidP="008370EE">
            <w:pPr>
              <w:pStyle w:val="ECCTabletext"/>
            </w:pPr>
            <w:r w:rsidRPr="008370EE">
              <w:t>Finland (Ivalo and Sodankylä), Iceland (Husafell),  Antarctica (2 locations, operated by UK) &amp;</w:t>
            </w:r>
            <w:r w:rsidR="005B44C6" w:rsidRPr="005B44C6">
              <w:t>various global locations</w:t>
            </w:r>
          </w:p>
        </w:tc>
        <w:tc>
          <w:tcPr>
            <w:tcW w:w="1133" w:type="dxa"/>
          </w:tcPr>
          <w:p w14:paraId="65402A29" w14:textId="77777777" w:rsidR="005B44C6" w:rsidRPr="005B44C6" w:rsidRDefault="005B44C6" w:rsidP="005B44C6">
            <w:pPr>
              <w:pStyle w:val="ECCTabletext"/>
            </w:pPr>
          </w:p>
        </w:tc>
        <w:tc>
          <w:tcPr>
            <w:tcW w:w="1161" w:type="dxa"/>
          </w:tcPr>
          <w:p w14:paraId="699E5590" w14:textId="1DAD9539" w:rsidR="005B44C6" w:rsidRPr="005B44C6" w:rsidRDefault="008370EE" w:rsidP="005B44C6">
            <w:pPr>
              <w:pStyle w:val="ECCTabletext"/>
            </w:pPr>
            <w:r w:rsidRPr="008370EE">
              <w:t>Twin Dipole Vertical (zenith pointing)</w:t>
            </w:r>
          </w:p>
        </w:tc>
        <w:tc>
          <w:tcPr>
            <w:tcW w:w="1139" w:type="dxa"/>
          </w:tcPr>
          <w:p w14:paraId="7A455A03" w14:textId="77777777" w:rsidR="005B44C6" w:rsidRPr="005B44C6" w:rsidRDefault="005B44C6" w:rsidP="005B44C6">
            <w:pPr>
              <w:pStyle w:val="ECCTabletext"/>
            </w:pPr>
          </w:p>
        </w:tc>
      </w:tr>
      <w:tr w:rsidR="005B44C6" w:rsidRPr="005B0684" w14:paraId="53AC5CCA" w14:textId="77777777" w:rsidTr="004A7499">
        <w:tc>
          <w:tcPr>
            <w:tcW w:w="1267" w:type="dxa"/>
            <w:vMerge/>
          </w:tcPr>
          <w:p w14:paraId="48AA77B7" w14:textId="77777777" w:rsidR="005B44C6" w:rsidRPr="005B44C6" w:rsidRDefault="005B44C6" w:rsidP="005B44C6">
            <w:pPr>
              <w:pStyle w:val="ECCTabletext"/>
            </w:pPr>
          </w:p>
        </w:tc>
        <w:tc>
          <w:tcPr>
            <w:tcW w:w="2773" w:type="dxa"/>
          </w:tcPr>
          <w:p w14:paraId="4EBF8CA2" w14:textId="77777777" w:rsidR="005B44C6" w:rsidRPr="005B44C6" w:rsidRDefault="005B44C6" w:rsidP="005B44C6">
            <w:pPr>
              <w:pStyle w:val="ECCTabletext"/>
            </w:pPr>
            <w:r w:rsidRPr="005B44C6">
              <w:t>Solar spectrometer/spectrograph</w:t>
            </w:r>
          </w:p>
        </w:tc>
        <w:tc>
          <w:tcPr>
            <w:tcW w:w="2156" w:type="dxa"/>
          </w:tcPr>
          <w:p w14:paraId="258304EF" w14:textId="77777777" w:rsidR="005B44C6" w:rsidRPr="005B44C6" w:rsidRDefault="005B44C6" w:rsidP="005B44C6">
            <w:pPr>
              <w:pStyle w:val="ECCTabletext"/>
            </w:pPr>
            <w:r w:rsidRPr="005B44C6">
              <w:t>France (Nancay Decameter Array); Belgium (SPADE); Greece (ARTEMIS)</w:t>
            </w:r>
          </w:p>
        </w:tc>
        <w:tc>
          <w:tcPr>
            <w:tcW w:w="1133" w:type="dxa"/>
          </w:tcPr>
          <w:p w14:paraId="2E6115C0" w14:textId="77777777" w:rsidR="005B44C6" w:rsidRPr="005B44C6" w:rsidRDefault="005B44C6" w:rsidP="005B44C6">
            <w:pPr>
              <w:pStyle w:val="ECCTabletext"/>
            </w:pPr>
          </w:p>
        </w:tc>
        <w:tc>
          <w:tcPr>
            <w:tcW w:w="1161" w:type="dxa"/>
          </w:tcPr>
          <w:p w14:paraId="5D8C20D1" w14:textId="77777777" w:rsidR="005B44C6" w:rsidRPr="005B44C6" w:rsidRDefault="005B44C6" w:rsidP="005B44C6">
            <w:pPr>
              <w:pStyle w:val="ECCTabletext"/>
            </w:pPr>
          </w:p>
        </w:tc>
        <w:tc>
          <w:tcPr>
            <w:tcW w:w="1139" w:type="dxa"/>
          </w:tcPr>
          <w:p w14:paraId="63D3E95C" w14:textId="77777777" w:rsidR="005B44C6" w:rsidRPr="005B44C6" w:rsidRDefault="005B44C6" w:rsidP="005B44C6">
            <w:pPr>
              <w:pStyle w:val="ECCTabletext"/>
            </w:pPr>
          </w:p>
        </w:tc>
      </w:tr>
      <w:tr w:rsidR="005B44C6" w:rsidRPr="005B0684" w14:paraId="1B3E7D51" w14:textId="77777777" w:rsidTr="004A7499">
        <w:tc>
          <w:tcPr>
            <w:tcW w:w="1267" w:type="dxa"/>
            <w:vMerge w:val="restart"/>
          </w:tcPr>
          <w:p w14:paraId="1670A094" w14:textId="77777777" w:rsidR="005B44C6" w:rsidRPr="005B44C6" w:rsidRDefault="005B44C6" w:rsidP="005B44C6">
            <w:pPr>
              <w:pStyle w:val="ECCTabletext"/>
            </w:pPr>
            <w:r w:rsidRPr="005B44C6">
              <w:t>32.2 – 32.6</w:t>
            </w:r>
          </w:p>
        </w:tc>
        <w:tc>
          <w:tcPr>
            <w:tcW w:w="2773" w:type="dxa"/>
          </w:tcPr>
          <w:p w14:paraId="79CD1685" w14:textId="77777777" w:rsidR="005B44C6" w:rsidRPr="005B44C6" w:rsidRDefault="005B44C6" w:rsidP="005B44C6">
            <w:pPr>
              <w:pStyle w:val="ECCTabletext"/>
            </w:pPr>
            <w:r w:rsidRPr="005B44C6">
              <w:t>Solar flux monitors</w:t>
            </w:r>
          </w:p>
        </w:tc>
        <w:tc>
          <w:tcPr>
            <w:tcW w:w="2156" w:type="dxa"/>
            <w:vMerge w:val="restart"/>
          </w:tcPr>
          <w:p w14:paraId="4BE5D477" w14:textId="77777777" w:rsidR="005B44C6" w:rsidRPr="005B44C6" w:rsidRDefault="005B44C6" w:rsidP="005B44C6">
            <w:pPr>
              <w:pStyle w:val="ECCTabletext"/>
            </w:pPr>
            <w:r w:rsidRPr="005B44C6">
              <w:t>Europe (LOFAR*); France (NENUFAR)</w:t>
            </w:r>
          </w:p>
        </w:tc>
        <w:tc>
          <w:tcPr>
            <w:tcW w:w="1133" w:type="dxa"/>
          </w:tcPr>
          <w:p w14:paraId="4B14C5A7" w14:textId="77777777" w:rsidR="005B44C6" w:rsidRPr="005B44C6" w:rsidRDefault="005B44C6" w:rsidP="005B44C6">
            <w:pPr>
              <w:pStyle w:val="ECCTabletext"/>
            </w:pPr>
          </w:p>
        </w:tc>
        <w:tc>
          <w:tcPr>
            <w:tcW w:w="1161" w:type="dxa"/>
          </w:tcPr>
          <w:p w14:paraId="76EF6B23" w14:textId="77777777" w:rsidR="005B44C6" w:rsidRPr="005B44C6" w:rsidRDefault="005B44C6" w:rsidP="005B44C6">
            <w:pPr>
              <w:pStyle w:val="ECCTabletext"/>
            </w:pPr>
          </w:p>
        </w:tc>
        <w:tc>
          <w:tcPr>
            <w:tcW w:w="1139" w:type="dxa"/>
          </w:tcPr>
          <w:p w14:paraId="59EE04E4" w14:textId="77777777" w:rsidR="005B44C6" w:rsidRPr="005B44C6" w:rsidRDefault="005B44C6" w:rsidP="005B44C6">
            <w:pPr>
              <w:pStyle w:val="ECCTabletext"/>
            </w:pPr>
          </w:p>
        </w:tc>
      </w:tr>
      <w:tr w:rsidR="005B44C6" w:rsidRPr="005B0684" w14:paraId="3877C41D" w14:textId="77777777" w:rsidTr="004A7499">
        <w:tc>
          <w:tcPr>
            <w:tcW w:w="1267" w:type="dxa"/>
            <w:vMerge/>
          </w:tcPr>
          <w:p w14:paraId="475A41C6" w14:textId="77777777" w:rsidR="005B44C6" w:rsidRPr="005B44C6" w:rsidRDefault="005B44C6" w:rsidP="005B44C6">
            <w:pPr>
              <w:pStyle w:val="ECCTabletext"/>
            </w:pPr>
          </w:p>
        </w:tc>
        <w:tc>
          <w:tcPr>
            <w:tcW w:w="2773" w:type="dxa"/>
          </w:tcPr>
          <w:p w14:paraId="6C9A2F5B" w14:textId="77777777" w:rsidR="005B44C6" w:rsidRPr="005B44C6" w:rsidRDefault="005B44C6" w:rsidP="005B44C6">
            <w:pPr>
              <w:pStyle w:val="ECCTabletext"/>
            </w:pPr>
            <w:r w:rsidRPr="005B44C6">
              <w:t>Inter-planetary scintillation monitors</w:t>
            </w:r>
          </w:p>
        </w:tc>
        <w:tc>
          <w:tcPr>
            <w:tcW w:w="2156" w:type="dxa"/>
            <w:vMerge/>
          </w:tcPr>
          <w:p w14:paraId="72179B82" w14:textId="77777777" w:rsidR="005B44C6" w:rsidRPr="005B44C6" w:rsidRDefault="005B44C6" w:rsidP="005B44C6">
            <w:pPr>
              <w:pStyle w:val="ECCTabletext"/>
            </w:pPr>
          </w:p>
        </w:tc>
        <w:tc>
          <w:tcPr>
            <w:tcW w:w="1133" w:type="dxa"/>
          </w:tcPr>
          <w:p w14:paraId="0EB5C856" w14:textId="77777777" w:rsidR="005B44C6" w:rsidRPr="005B44C6" w:rsidRDefault="005B44C6" w:rsidP="005B44C6">
            <w:pPr>
              <w:pStyle w:val="ECCTabletext"/>
            </w:pPr>
          </w:p>
        </w:tc>
        <w:tc>
          <w:tcPr>
            <w:tcW w:w="1161" w:type="dxa"/>
          </w:tcPr>
          <w:p w14:paraId="6ED33354" w14:textId="77777777" w:rsidR="005B44C6" w:rsidRPr="005B44C6" w:rsidRDefault="005B44C6" w:rsidP="005B44C6">
            <w:pPr>
              <w:pStyle w:val="ECCTabletext"/>
            </w:pPr>
          </w:p>
        </w:tc>
        <w:tc>
          <w:tcPr>
            <w:tcW w:w="1139" w:type="dxa"/>
          </w:tcPr>
          <w:p w14:paraId="3764FE2D" w14:textId="77777777" w:rsidR="005B44C6" w:rsidRPr="005B44C6" w:rsidRDefault="005B44C6" w:rsidP="005B44C6">
            <w:pPr>
              <w:pStyle w:val="ECCTabletext"/>
            </w:pPr>
          </w:p>
        </w:tc>
      </w:tr>
      <w:tr w:rsidR="005B44C6" w:rsidRPr="005B0684" w14:paraId="264D9025" w14:textId="77777777" w:rsidTr="004A7499">
        <w:tc>
          <w:tcPr>
            <w:tcW w:w="1267" w:type="dxa"/>
            <w:vMerge/>
          </w:tcPr>
          <w:p w14:paraId="65AB561D" w14:textId="77777777" w:rsidR="005B44C6" w:rsidRPr="005B44C6" w:rsidRDefault="005B44C6" w:rsidP="005B44C6">
            <w:pPr>
              <w:pStyle w:val="ECCTabletext"/>
            </w:pPr>
          </w:p>
        </w:tc>
        <w:tc>
          <w:tcPr>
            <w:tcW w:w="2773" w:type="dxa"/>
          </w:tcPr>
          <w:p w14:paraId="79137E9B" w14:textId="273BA5AE" w:rsidR="005B44C6" w:rsidRPr="005B44C6" w:rsidRDefault="00D42429" w:rsidP="005B44C6">
            <w:pPr>
              <w:pStyle w:val="ECCTabletext"/>
            </w:pPr>
            <w:r w:rsidRPr="00D42429">
              <w:t>Riometers</w:t>
            </w:r>
          </w:p>
        </w:tc>
        <w:tc>
          <w:tcPr>
            <w:tcW w:w="2156" w:type="dxa"/>
          </w:tcPr>
          <w:p w14:paraId="7BED0BF9" w14:textId="5BB7D1F4" w:rsidR="005B44C6" w:rsidRPr="005B44C6" w:rsidRDefault="00D42429" w:rsidP="005B44C6">
            <w:pPr>
              <w:pStyle w:val="ECCTabletext"/>
            </w:pPr>
            <w:r w:rsidRPr="00D42429">
              <w:t>Finland</w:t>
            </w:r>
          </w:p>
        </w:tc>
        <w:tc>
          <w:tcPr>
            <w:tcW w:w="1133" w:type="dxa"/>
          </w:tcPr>
          <w:p w14:paraId="4FF13F79" w14:textId="77777777" w:rsidR="005B44C6" w:rsidRPr="005B44C6" w:rsidRDefault="005B44C6" w:rsidP="005B44C6">
            <w:pPr>
              <w:pStyle w:val="ECCTabletext"/>
            </w:pPr>
          </w:p>
        </w:tc>
        <w:tc>
          <w:tcPr>
            <w:tcW w:w="1161" w:type="dxa"/>
          </w:tcPr>
          <w:p w14:paraId="751CF413" w14:textId="76EAB1F2" w:rsidR="005B44C6" w:rsidRPr="005B44C6" w:rsidRDefault="00D42429" w:rsidP="005B44C6">
            <w:pPr>
              <w:pStyle w:val="ECCTabletext"/>
            </w:pPr>
            <w:r w:rsidRPr="00D42429">
              <w:t>Twin Dipole Vertical (zenith pointing)</w:t>
            </w:r>
          </w:p>
        </w:tc>
        <w:tc>
          <w:tcPr>
            <w:tcW w:w="1139" w:type="dxa"/>
          </w:tcPr>
          <w:p w14:paraId="72CC650D" w14:textId="77777777" w:rsidR="005B44C6" w:rsidRPr="005B44C6" w:rsidRDefault="005B44C6" w:rsidP="005B44C6">
            <w:pPr>
              <w:pStyle w:val="ECCTabletext"/>
            </w:pPr>
          </w:p>
        </w:tc>
      </w:tr>
      <w:tr w:rsidR="005B44C6" w:rsidRPr="005B0684" w14:paraId="63E4C944" w14:textId="77777777" w:rsidTr="004A7499">
        <w:tc>
          <w:tcPr>
            <w:tcW w:w="1267" w:type="dxa"/>
            <w:vMerge/>
          </w:tcPr>
          <w:p w14:paraId="089FAEFD" w14:textId="77777777" w:rsidR="005B44C6" w:rsidRPr="005B44C6" w:rsidRDefault="005B44C6" w:rsidP="005B44C6">
            <w:pPr>
              <w:pStyle w:val="ECCTabletext"/>
            </w:pPr>
          </w:p>
        </w:tc>
        <w:tc>
          <w:tcPr>
            <w:tcW w:w="2773" w:type="dxa"/>
          </w:tcPr>
          <w:p w14:paraId="7108E7B0" w14:textId="77777777" w:rsidR="005B44C6" w:rsidRPr="005B44C6" w:rsidRDefault="005B44C6" w:rsidP="005B44C6">
            <w:pPr>
              <w:pStyle w:val="ECCTabletext"/>
            </w:pPr>
            <w:r w:rsidRPr="005B44C6">
              <w:t>Solar spectrometer/spectrograph</w:t>
            </w:r>
          </w:p>
        </w:tc>
        <w:tc>
          <w:tcPr>
            <w:tcW w:w="2156" w:type="dxa"/>
          </w:tcPr>
          <w:p w14:paraId="7DAD4B96" w14:textId="77777777" w:rsidR="005B44C6" w:rsidRPr="005B44C6" w:rsidRDefault="005B44C6" w:rsidP="005B44C6">
            <w:pPr>
              <w:pStyle w:val="ECCTabletext"/>
            </w:pPr>
            <w:r w:rsidRPr="005B44C6">
              <w:t>France (Nancay Decameter Array); Belgium (SPADE); Greece (ARTEMIS)</w:t>
            </w:r>
          </w:p>
        </w:tc>
        <w:tc>
          <w:tcPr>
            <w:tcW w:w="1133" w:type="dxa"/>
          </w:tcPr>
          <w:p w14:paraId="7C39B50C" w14:textId="77777777" w:rsidR="005B44C6" w:rsidRPr="005B44C6" w:rsidRDefault="005B44C6" w:rsidP="005B44C6">
            <w:pPr>
              <w:pStyle w:val="ECCTabletext"/>
            </w:pPr>
          </w:p>
        </w:tc>
        <w:tc>
          <w:tcPr>
            <w:tcW w:w="1161" w:type="dxa"/>
          </w:tcPr>
          <w:p w14:paraId="4CE37B6E" w14:textId="77777777" w:rsidR="005B44C6" w:rsidRPr="005B44C6" w:rsidRDefault="005B44C6" w:rsidP="005B44C6">
            <w:pPr>
              <w:pStyle w:val="ECCTabletext"/>
            </w:pPr>
          </w:p>
        </w:tc>
        <w:tc>
          <w:tcPr>
            <w:tcW w:w="1139" w:type="dxa"/>
          </w:tcPr>
          <w:p w14:paraId="4E02FE5B" w14:textId="77777777" w:rsidR="005B44C6" w:rsidRPr="005B44C6" w:rsidRDefault="005B44C6" w:rsidP="005B44C6">
            <w:pPr>
              <w:pStyle w:val="ECCTabletext"/>
            </w:pPr>
          </w:p>
        </w:tc>
      </w:tr>
      <w:tr w:rsidR="005B44C6" w:rsidRPr="005B0684" w14:paraId="590D8EBC" w14:textId="77777777" w:rsidTr="004A7499">
        <w:tc>
          <w:tcPr>
            <w:tcW w:w="1267" w:type="dxa"/>
            <w:vMerge w:val="restart"/>
          </w:tcPr>
          <w:p w14:paraId="5B0A183C" w14:textId="77777777" w:rsidR="005B44C6" w:rsidRPr="005B44C6" w:rsidRDefault="005B44C6" w:rsidP="005B44C6">
            <w:pPr>
              <w:pStyle w:val="ECCTabletext"/>
            </w:pPr>
            <w:r w:rsidRPr="005B44C6">
              <w:t>37.5 – 38.325</w:t>
            </w:r>
          </w:p>
        </w:tc>
        <w:tc>
          <w:tcPr>
            <w:tcW w:w="2773" w:type="dxa"/>
          </w:tcPr>
          <w:p w14:paraId="2D508A2B" w14:textId="77777777" w:rsidR="005B44C6" w:rsidRPr="005B44C6" w:rsidRDefault="005B44C6" w:rsidP="005B44C6">
            <w:pPr>
              <w:pStyle w:val="ECCTabletext"/>
            </w:pPr>
            <w:r w:rsidRPr="005B44C6">
              <w:t>Solar flux monitors</w:t>
            </w:r>
          </w:p>
        </w:tc>
        <w:tc>
          <w:tcPr>
            <w:tcW w:w="2156" w:type="dxa"/>
            <w:vMerge w:val="restart"/>
          </w:tcPr>
          <w:p w14:paraId="05D15B55" w14:textId="77777777" w:rsidR="005B44C6" w:rsidRPr="005B44C6" w:rsidRDefault="005B44C6" w:rsidP="005B44C6">
            <w:pPr>
              <w:pStyle w:val="ECCTabletext"/>
            </w:pPr>
            <w:r w:rsidRPr="005B44C6">
              <w:t>Europe (LOFAR*); France (NENUFAR)</w:t>
            </w:r>
          </w:p>
        </w:tc>
        <w:tc>
          <w:tcPr>
            <w:tcW w:w="1133" w:type="dxa"/>
          </w:tcPr>
          <w:p w14:paraId="4BA978D6" w14:textId="77777777" w:rsidR="005B44C6" w:rsidRPr="005B44C6" w:rsidRDefault="005B44C6" w:rsidP="005B44C6">
            <w:pPr>
              <w:pStyle w:val="ECCTabletext"/>
            </w:pPr>
          </w:p>
        </w:tc>
        <w:tc>
          <w:tcPr>
            <w:tcW w:w="1161" w:type="dxa"/>
          </w:tcPr>
          <w:p w14:paraId="3F8D82FB" w14:textId="77777777" w:rsidR="005B44C6" w:rsidRPr="005B44C6" w:rsidRDefault="005B44C6" w:rsidP="005B44C6">
            <w:pPr>
              <w:pStyle w:val="ECCTabletext"/>
            </w:pPr>
          </w:p>
        </w:tc>
        <w:tc>
          <w:tcPr>
            <w:tcW w:w="1139" w:type="dxa"/>
          </w:tcPr>
          <w:p w14:paraId="32E6BDD6" w14:textId="77777777" w:rsidR="005B44C6" w:rsidRPr="005B44C6" w:rsidRDefault="005B44C6" w:rsidP="005B44C6">
            <w:pPr>
              <w:pStyle w:val="ECCTabletext"/>
            </w:pPr>
          </w:p>
        </w:tc>
      </w:tr>
      <w:tr w:rsidR="005B44C6" w:rsidRPr="005B0684" w14:paraId="2B8DD046" w14:textId="77777777" w:rsidTr="004A7499">
        <w:tc>
          <w:tcPr>
            <w:tcW w:w="1267" w:type="dxa"/>
            <w:vMerge/>
          </w:tcPr>
          <w:p w14:paraId="7829B3E3" w14:textId="77777777" w:rsidR="005B44C6" w:rsidRPr="005B44C6" w:rsidRDefault="005B44C6" w:rsidP="005B44C6">
            <w:pPr>
              <w:pStyle w:val="ECCTabletext"/>
            </w:pPr>
          </w:p>
        </w:tc>
        <w:tc>
          <w:tcPr>
            <w:tcW w:w="2773" w:type="dxa"/>
          </w:tcPr>
          <w:p w14:paraId="72E6F363" w14:textId="77777777" w:rsidR="005B44C6" w:rsidRPr="005B44C6" w:rsidRDefault="005B44C6" w:rsidP="005B44C6">
            <w:pPr>
              <w:pStyle w:val="ECCTabletext"/>
            </w:pPr>
            <w:r w:rsidRPr="005B44C6">
              <w:t>Inter-planetary scintillation monitors</w:t>
            </w:r>
          </w:p>
        </w:tc>
        <w:tc>
          <w:tcPr>
            <w:tcW w:w="2156" w:type="dxa"/>
            <w:vMerge/>
          </w:tcPr>
          <w:p w14:paraId="21141AC6" w14:textId="77777777" w:rsidR="005B44C6" w:rsidRPr="005B44C6" w:rsidRDefault="005B44C6" w:rsidP="005B44C6">
            <w:pPr>
              <w:pStyle w:val="ECCTabletext"/>
            </w:pPr>
          </w:p>
        </w:tc>
        <w:tc>
          <w:tcPr>
            <w:tcW w:w="1133" w:type="dxa"/>
          </w:tcPr>
          <w:p w14:paraId="1B53D082" w14:textId="77777777" w:rsidR="005B44C6" w:rsidRPr="005B44C6" w:rsidRDefault="005B44C6" w:rsidP="005B44C6">
            <w:pPr>
              <w:pStyle w:val="ECCTabletext"/>
            </w:pPr>
          </w:p>
        </w:tc>
        <w:tc>
          <w:tcPr>
            <w:tcW w:w="1161" w:type="dxa"/>
          </w:tcPr>
          <w:p w14:paraId="7972D600" w14:textId="77777777" w:rsidR="005B44C6" w:rsidRPr="005B44C6" w:rsidRDefault="005B44C6" w:rsidP="005B44C6">
            <w:pPr>
              <w:pStyle w:val="ECCTabletext"/>
            </w:pPr>
          </w:p>
        </w:tc>
        <w:tc>
          <w:tcPr>
            <w:tcW w:w="1139" w:type="dxa"/>
          </w:tcPr>
          <w:p w14:paraId="4588C8D8" w14:textId="77777777" w:rsidR="005B44C6" w:rsidRPr="005B44C6" w:rsidRDefault="005B44C6" w:rsidP="005B44C6">
            <w:pPr>
              <w:pStyle w:val="ECCTabletext"/>
            </w:pPr>
          </w:p>
        </w:tc>
      </w:tr>
      <w:tr w:rsidR="005B44C6" w:rsidRPr="005B0684" w14:paraId="4E1E8EEA" w14:textId="77777777" w:rsidTr="004A7499">
        <w:tc>
          <w:tcPr>
            <w:tcW w:w="1267" w:type="dxa"/>
            <w:vMerge/>
          </w:tcPr>
          <w:p w14:paraId="7A7BE40B" w14:textId="77777777" w:rsidR="005B44C6" w:rsidRPr="005B44C6" w:rsidRDefault="005B44C6" w:rsidP="005B44C6">
            <w:pPr>
              <w:pStyle w:val="ECCTabletext"/>
            </w:pPr>
          </w:p>
        </w:tc>
        <w:tc>
          <w:tcPr>
            <w:tcW w:w="2773" w:type="dxa"/>
          </w:tcPr>
          <w:p w14:paraId="7DE8794C" w14:textId="77777777" w:rsidR="005B44C6" w:rsidRPr="005B44C6" w:rsidRDefault="005B44C6" w:rsidP="005B44C6">
            <w:pPr>
              <w:pStyle w:val="ECCTabletext"/>
            </w:pPr>
          </w:p>
        </w:tc>
        <w:tc>
          <w:tcPr>
            <w:tcW w:w="2156" w:type="dxa"/>
          </w:tcPr>
          <w:p w14:paraId="5A8249D3" w14:textId="77777777" w:rsidR="005B44C6" w:rsidRPr="005B44C6" w:rsidRDefault="005B44C6" w:rsidP="005B44C6">
            <w:pPr>
              <w:pStyle w:val="ECCTabletext"/>
            </w:pPr>
          </w:p>
        </w:tc>
        <w:tc>
          <w:tcPr>
            <w:tcW w:w="1133" w:type="dxa"/>
          </w:tcPr>
          <w:p w14:paraId="53570F2C" w14:textId="77777777" w:rsidR="005B44C6" w:rsidRPr="005B44C6" w:rsidRDefault="005B44C6" w:rsidP="005B44C6">
            <w:pPr>
              <w:pStyle w:val="ECCTabletext"/>
            </w:pPr>
          </w:p>
        </w:tc>
        <w:tc>
          <w:tcPr>
            <w:tcW w:w="1161" w:type="dxa"/>
          </w:tcPr>
          <w:p w14:paraId="4DEDFDED" w14:textId="77777777" w:rsidR="005B44C6" w:rsidRPr="005B44C6" w:rsidRDefault="005B44C6" w:rsidP="005B44C6">
            <w:pPr>
              <w:pStyle w:val="ECCTabletext"/>
            </w:pPr>
          </w:p>
        </w:tc>
        <w:tc>
          <w:tcPr>
            <w:tcW w:w="1139" w:type="dxa"/>
          </w:tcPr>
          <w:p w14:paraId="3E333900" w14:textId="77777777" w:rsidR="005B44C6" w:rsidRPr="005B44C6" w:rsidRDefault="005B44C6" w:rsidP="005B44C6">
            <w:pPr>
              <w:pStyle w:val="ECCTabletext"/>
            </w:pPr>
          </w:p>
        </w:tc>
      </w:tr>
      <w:tr w:rsidR="005B44C6" w:rsidRPr="005B0684" w14:paraId="2884BECF" w14:textId="77777777" w:rsidTr="004A7499">
        <w:tc>
          <w:tcPr>
            <w:tcW w:w="1267" w:type="dxa"/>
            <w:vMerge/>
          </w:tcPr>
          <w:p w14:paraId="055D7FA7" w14:textId="77777777" w:rsidR="005B44C6" w:rsidRPr="005B44C6" w:rsidRDefault="005B44C6" w:rsidP="005B44C6">
            <w:pPr>
              <w:pStyle w:val="ECCTabletext"/>
            </w:pPr>
          </w:p>
        </w:tc>
        <w:tc>
          <w:tcPr>
            <w:tcW w:w="2773" w:type="dxa"/>
          </w:tcPr>
          <w:p w14:paraId="6EF6D892" w14:textId="77777777" w:rsidR="005B44C6" w:rsidRPr="005B44C6" w:rsidRDefault="005B44C6" w:rsidP="005B44C6">
            <w:pPr>
              <w:pStyle w:val="ECCTabletext"/>
            </w:pPr>
            <w:r w:rsidRPr="005B44C6">
              <w:t>Riometers</w:t>
            </w:r>
          </w:p>
        </w:tc>
        <w:tc>
          <w:tcPr>
            <w:tcW w:w="2156" w:type="dxa"/>
          </w:tcPr>
          <w:p w14:paraId="0EDF4E01" w14:textId="7C052F0D" w:rsidR="005B44C6" w:rsidRPr="005B44C6" w:rsidRDefault="00115806" w:rsidP="00075062">
            <w:pPr>
              <w:pStyle w:val="ECCTabletext"/>
            </w:pPr>
            <w:r w:rsidRPr="00115806">
              <w:t>Finland (Kilpisjärvi), Iceland (Kárhóll, Laugar), Norway (Andøya) &amp;</w:t>
            </w:r>
            <w:r w:rsidR="00075062">
              <w:t xml:space="preserve"> </w:t>
            </w:r>
            <w:r w:rsidR="005B44C6" w:rsidRPr="005B44C6">
              <w:t>various global locations</w:t>
            </w:r>
          </w:p>
        </w:tc>
        <w:tc>
          <w:tcPr>
            <w:tcW w:w="1133" w:type="dxa"/>
          </w:tcPr>
          <w:p w14:paraId="27C044AC" w14:textId="77777777" w:rsidR="005B44C6" w:rsidRPr="005B44C6" w:rsidRDefault="005B44C6" w:rsidP="005B44C6">
            <w:pPr>
              <w:pStyle w:val="ECCTabletext"/>
            </w:pPr>
          </w:p>
        </w:tc>
        <w:tc>
          <w:tcPr>
            <w:tcW w:w="1161" w:type="dxa"/>
          </w:tcPr>
          <w:p w14:paraId="161738D4" w14:textId="3BD54446" w:rsidR="005B44C6" w:rsidRPr="005B44C6" w:rsidRDefault="00075062" w:rsidP="005B44C6">
            <w:pPr>
              <w:pStyle w:val="ECCTabletext"/>
            </w:pPr>
            <w:r w:rsidRPr="00075062">
              <w:t>Twin Dipole Vertical (zenith pointing)</w:t>
            </w:r>
          </w:p>
        </w:tc>
        <w:tc>
          <w:tcPr>
            <w:tcW w:w="1139" w:type="dxa"/>
          </w:tcPr>
          <w:p w14:paraId="49A9366C" w14:textId="77777777" w:rsidR="00075062" w:rsidRPr="00075062" w:rsidRDefault="005B44C6" w:rsidP="00075062">
            <w:pPr>
              <w:pStyle w:val="ECCTabletext"/>
            </w:pPr>
            <w:r w:rsidRPr="005B44C6">
              <w:t xml:space="preserve"> </w:t>
            </w:r>
            <w:r w:rsidR="00075062" w:rsidRPr="00075062">
              <w:t>Finland: TBC</w:t>
            </w:r>
          </w:p>
          <w:p w14:paraId="59623B2B" w14:textId="7B99B30F" w:rsidR="005B44C6" w:rsidRPr="005B44C6" w:rsidRDefault="00075062" w:rsidP="00075062">
            <w:pPr>
              <w:pStyle w:val="ECCTabletext"/>
            </w:pPr>
            <w:r w:rsidRPr="00075062">
              <w:t>Iceland &amp; Norway:  -125 dBm (system noise floor)</w:t>
            </w:r>
          </w:p>
        </w:tc>
      </w:tr>
      <w:tr w:rsidR="005B44C6" w:rsidRPr="005B0684" w14:paraId="44EB10B3" w14:textId="77777777" w:rsidTr="004A7499">
        <w:tc>
          <w:tcPr>
            <w:tcW w:w="1267" w:type="dxa"/>
            <w:vMerge/>
          </w:tcPr>
          <w:p w14:paraId="0798CB0B" w14:textId="77777777" w:rsidR="005B44C6" w:rsidRPr="005B44C6" w:rsidRDefault="005B44C6" w:rsidP="005B44C6">
            <w:pPr>
              <w:pStyle w:val="ECCTabletext"/>
            </w:pPr>
          </w:p>
        </w:tc>
        <w:tc>
          <w:tcPr>
            <w:tcW w:w="2773" w:type="dxa"/>
          </w:tcPr>
          <w:p w14:paraId="0BB20F2F" w14:textId="77777777" w:rsidR="005B44C6" w:rsidRPr="005B44C6" w:rsidRDefault="005B44C6" w:rsidP="005B44C6">
            <w:pPr>
              <w:pStyle w:val="ECCTabletext"/>
            </w:pPr>
            <w:r w:rsidRPr="005B44C6">
              <w:t>Solar spectrometer/spectrograph</w:t>
            </w:r>
          </w:p>
        </w:tc>
        <w:tc>
          <w:tcPr>
            <w:tcW w:w="2156" w:type="dxa"/>
          </w:tcPr>
          <w:p w14:paraId="48FD3BAA" w14:textId="77777777" w:rsidR="005B44C6" w:rsidRPr="005B44C6" w:rsidRDefault="005B44C6" w:rsidP="005B44C6">
            <w:pPr>
              <w:pStyle w:val="ECCTabletext"/>
            </w:pPr>
            <w:r w:rsidRPr="005B44C6">
              <w:t>France (Nancay Decameter Array); Belgium (SPADE); Greece (ARTEMIS); global (CALLISTO)</w:t>
            </w:r>
          </w:p>
        </w:tc>
        <w:tc>
          <w:tcPr>
            <w:tcW w:w="1133" w:type="dxa"/>
          </w:tcPr>
          <w:p w14:paraId="35E6CE70" w14:textId="77777777" w:rsidR="005B44C6" w:rsidRPr="005B44C6" w:rsidRDefault="005B44C6" w:rsidP="005B44C6">
            <w:pPr>
              <w:pStyle w:val="ECCTabletext"/>
            </w:pPr>
          </w:p>
        </w:tc>
        <w:tc>
          <w:tcPr>
            <w:tcW w:w="1161" w:type="dxa"/>
          </w:tcPr>
          <w:p w14:paraId="728A64D1" w14:textId="77777777" w:rsidR="005B44C6" w:rsidRPr="005B44C6" w:rsidRDefault="005B44C6" w:rsidP="005B44C6">
            <w:pPr>
              <w:pStyle w:val="ECCTabletext"/>
            </w:pPr>
          </w:p>
        </w:tc>
        <w:tc>
          <w:tcPr>
            <w:tcW w:w="1139" w:type="dxa"/>
          </w:tcPr>
          <w:p w14:paraId="424AA6BA" w14:textId="77777777" w:rsidR="005B44C6" w:rsidRPr="005B44C6" w:rsidRDefault="005B44C6" w:rsidP="005B44C6">
            <w:pPr>
              <w:pStyle w:val="ECCTabletext"/>
            </w:pPr>
          </w:p>
        </w:tc>
      </w:tr>
      <w:tr w:rsidR="005B44C6" w:rsidRPr="005B0684" w14:paraId="57DF5C60" w14:textId="77777777" w:rsidTr="004A7499">
        <w:tc>
          <w:tcPr>
            <w:tcW w:w="1267" w:type="dxa"/>
            <w:vMerge w:val="restart"/>
          </w:tcPr>
          <w:p w14:paraId="08EC88C9" w14:textId="77777777" w:rsidR="005B44C6" w:rsidRPr="005B44C6" w:rsidRDefault="005B44C6" w:rsidP="005B44C6">
            <w:pPr>
              <w:pStyle w:val="ECCTabletext"/>
            </w:pPr>
            <w:r w:rsidRPr="005B44C6">
              <w:t>73.0 – 74.6</w:t>
            </w:r>
          </w:p>
        </w:tc>
        <w:tc>
          <w:tcPr>
            <w:tcW w:w="2773" w:type="dxa"/>
          </w:tcPr>
          <w:p w14:paraId="75482DC1" w14:textId="77777777" w:rsidR="005B44C6" w:rsidRPr="005B44C6" w:rsidRDefault="005B44C6" w:rsidP="005B44C6">
            <w:pPr>
              <w:pStyle w:val="ECCTabletext"/>
            </w:pPr>
            <w:r w:rsidRPr="005B44C6">
              <w:t>Solar flux monitors</w:t>
            </w:r>
          </w:p>
        </w:tc>
        <w:tc>
          <w:tcPr>
            <w:tcW w:w="2156" w:type="dxa"/>
            <w:vMerge w:val="restart"/>
          </w:tcPr>
          <w:p w14:paraId="6D1041CB" w14:textId="77777777" w:rsidR="005B44C6" w:rsidRPr="005B44C6" w:rsidRDefault="005B44C6" w:rsidP="005B44C6">
            <w:pPr>
              <w:pStyle w:val="ECCTabletext"/>
            </w:pPr>
            <w:r w:rsidRPr="005B44C6">
              <w:t>Europe (LOFAR*); France (NENUFAR); Australia (SKA-LOW)</w:t>
            </w:r>
          </w:p>
        </w:tc>
        <w:tc>
          <w:tcPr>
            <w:tcW w:w="1133" w:type="dxa"/>
          </w:tcPr>
          <w:p w14:paraId="23B8EC2E" w14:textId="77777777" w:rsidR="005B44C6" w:rsidRPr="005B44C6" w:rsidRDefault="005B44C6" w:rsidP="005B44C6">
            <w:pPr>
              <w:pStyle w:val="ECCTabletext"/>
            </w:pPr>
          </w:p>
        </w:tc>
        <w:tc>
          <w:tcPr>
            <w:tcW w:w="1161" w:type="dxa"/>
          </w:tcPr>
          <w:p w14:paraId="084955B0" w14:textId="77777777" w:rsidR="005B44C6" w:rsidRPr="005B44C6" w:rsidRDefault="005B44C6" w:rsidP="005B44C6">
            <w:pPr>
              <w:pStyle w:val="ECCTabletext"/>
            </w:pPr>
          </w:p>
        </w:tc>
        <w:tc>
          <w:tcPr>
            <w:tcW w:w="1139" w:type="dxa"/>
          </w:tcPr>
          <w:p w14:paraId="00690487" w14:textId="77777777" w:rsidR="005B44C6" w:rsidRPr="005B44C6" w:rsidRDefault="005B44C6" w:rsidP="005B44C6">
            <w:pPr>
              <w:pStyle w:val="ECCTabletext"/>
            </w:pPr>
          </w:p>
        </w:tc>
      </w:tr>
      <w:tr w:rsidR="005B44C6" w:rsidRPr="005B0684" w14:paraId="3E1D818D" w14:textId="77777777" w:rsidTr="004A7499">
        <w:tc>
          <w:tcPr>
            <w:tcW w:w="1267" w:type="dxa"/>
            <w:vMerge/>
          </w:tcPr>
          <w:p w14:paraId="2EE7A499" w14:textId="77777777" w:rsidR="005B44C6" w:rsidRPr="005B44C6" w:rsidRDefault="005B44C6" w:rsidP="005B44C6">
            <w:pPr>
              <w:pStyle w:val="ECCTabletext"/>
            </w:pPr>
          </w:p>
        </w:tc>
        <w:tc>
          <w:tcPr>
            <w:tcW w:w="2773" w:type="dxa"/>
          </w:tcPr>
          <w:p w14:paraId="07A23BA8" w14:textId="77777777" w:rsidR="005B44C6" w:rsidRPr="005B44C6" w:rsidRDefault="005B44C6" w:rsidP="005B44C6">
            <w:pPr>
              <w:pStyle w:val="ECCTabletext"/>
            </w:pPr>
            <w:r w:rsidRPr="005B44C6">
              <w:t>Inter-planetary scintillation monitors</w:t>
            </w:r>
          </w:p>
        </w:tc>
        <w:tc>
          <w:tcPr>
            <w:tcW w:w="2156" w:type="dxa"/>
            <w:vMerge/>
          </w:tcPr>
          <w:p w14:paraId="75D746BD" w14:textId="77777777" w:rsidR="005B44C6" w:rsidRPr="005B44C6" w:rsidRDefault="005B44C6" w:rsidP="005B44C6">
            <w:pPr>
              <w:pStyle w:val="ECCTabletext"/>
            </w:pPr>
          </w:p>
        </w:tc>
        <w:tc>
          <w:tcPr>
            <w:tcW w:w="1133" w:type="dxa"/>
          </w:tcPr>
          <w:p w14:paraId="5EC1AF07" w14:textId="77777777" w:rsidR="005B44C6" w:rsidRPr="005B44C6" w:rsidRDefault="005B44C6" w:rsidP="005B44C6">
            <w:pPr>
              <w:pStyle w:val="ECCTabletext"/>
            </w:pPr>
          </w:p>
        </w:tc>
        <w:tc>
          <w:tcPr>
            <w:tcW w:w="1161" w:type="dxa"/>
          </w:tcPr>
          <w:p w14:paraId="47648ED0" w14:textId="77777777" w:rsidR="005B44C6" w:rsidRPr="005B44C6" w:rsidRDefault="005B44C6" w:rsidP="005B44C6">
            <w:pPr>
              <w:pStyle w:val="ECCTabletext"/>
            </w:pPr>
          </w:p>
        </w:tc>
        <w:tc>
          <w:tcPr>
            <w:tcW w:w="1139" w:type="dxa"/>
          </w:tcPr>
          <w:p w14:paraId="77C79148" w14:textId="77777777" w:rsidR="005B44C6" w:rsidRPr="005B44C6" w:rsidRDefault="005B44C6" w:rsidP="005B44C6">
            <w:pPr>
              <w:pStyle w:val="ECCTabletext"/>
            </w:pPr>
          </w:p>
        </w:tc>
      </w:tr>
      <w:tr w:rsidR="004A7499" w:rsidRPr="005B0684" w14:paraId="4F9BD998" w14:textId="77777777" w:rsidTr="004A7499">
        <w:trPr>
          <w:gridAfter w:val="1"/>
          <w:wAfter w:w="1139" w:type="dxa"/>
        </w:trPr>
        <w:tc>
          <w:tcPr>
            <w:tcW w:w="1267" w:type="dxa"/>
            <w:vMerge/>
          </w:tcPr>
          <w:p w14:paraId="0CFFC495" w14:textId="77777777" w:rsidR="004A7499" w:rsidRPr="005B44C6" w:rsidRDefault="004A7499" w:rsidP="005B44C6">
            <w:pPr>
              <w:pStyle w:val="ECCTabletext"/>
            </w:pPr>
          </w:p>
        </w:tc>
        <w:tc>
          <w:tcPr>
            <w:tcW w:w="2773" w:type="dxa"/>
          </w:tcPr>
          <w:p w14:paraId="4B25511C" w14:textId="77777777" w:rsidR="004A7499" w:rsidRPr="005B44C6" w:rsidRDefault="004A7499" w:rsidP="005B44C6">
            <w:pPr>
              <w:pStyle w:val="ECCTabletext"/>
            </w:pPr>
          </w:p>
        </w:tc>
        <w:tc>
          <w:tcPr>
            <w:tcW w:w="2156" w:type="dxa"/>
          </w:tcPr>
          <w:p w14:paraId="71A575DC" w14:textId="77777777" w:rsidR="004A7499" w:rsidRPr="005B44C6" w:rsidRDefault="004A7499" w:rsidP="005B44C6">
            <w:pPr>
              <w:pStyle w:val="ECCTabletext"/>
            </w:pPr>
          </w:p>
        </w:tc>
        <w:tc>
          <w:tcPr>
            <w:tcW w:w="1133" w:type="dxa"/>
          </w:tcPr>
          <w:p w14:paraId="73A77F31" w14:textId="77777777" w:rsidR="004A7499" w:rsidRPr="005B44C6" w:rsidRDefault="004A7499" w:rsidP="005B44C6">
            <w:pPr>
              <w:pStyle w:val="ECCTabletext"/>
            </w:pPr>
          </w:p>
        </w:tc>
        <w:tc>
          <w:tcPr>
            <w:tcW w:w="1161" w:type="dxa"/>
          </w:tcPr>
          <w:p w14:paraId="7BC767D1" w14:textId="77777777" w:rsidR="004A7499" w:rsidRPr="005B44C6" w:rsidRDefault="004A7499" w:rsidP="005B44C6">
            <w:pPr>
              <w:pStyle w:val="ECCTabletext"/>
            </w:pPr>
          </w:p>
        </w:tc>
      </w:tr>
      <w:tr w:rsidR="005B44C6" w:rsidRPr="005B0684" w14:paraId="483F7F38" w14:textId="77777777" w:rsidTr="004A7499">
        <w:tc>
          <w:tcPr>
            <w:tcW w:w="1267" w:type="dxa"/>
            <w:vMerge/>
          </w:tcPr>
          <w:p w14:paraId="28F78079" w14:textId="77777777" w:rsidR="005B44C6" w:rsidRPr="005B44C6" w:rsidRDefault="005B44C6" w:rsidP="005B44C6">
            <w:pPr>
              <w:pStyle w:val="ECCTabletext"/>
            </w:pPr>
          </w:p>
        </w:tc>
        <w:tc>
          <w:tcPr>
            <w:tcW w:w="2773" w:type="dxa"/>
          </w:tcPr>
          <w:p w14:paraId="3A087D25" w14:textId="77777777" w:rsidR="005B44C6" w:rsidRPr="005B44C6" w:rsidRDefault="005B44C6" w:rsidP="005B44C6">
            <w:pPr>
              <w:pStyle w:val="ECCTabletext"/>
            </w:pPr>
            <w:r w:rsidRPr="005B44C6">
              <w:t>Solar spectrometer/spectrograph</w:t>
            </w:r>
          </w:p>
        </w:tc>
        <w:tc>
          <w:tcPr>
            <w:tcW w:w="2156" w:type="dxa"/>
          </w:tcPr>
          <w:p w14:paraId="72B5D073" w14:textId="77777777" w:rsidR="005B44C6" w:rsidRPr="005B44C6" w:rsidRDefault="005B44C6" w:rsidP="005B44C6">
            <w:pPr>
              <w:pStyle w:val="ECCTabletext"/>
            </w:pPr>
            <w:r w:rsidRPr="005B44C6">
              <w:t>France (Nancay Decameter Array); Belgium (SPADE, ARCAS, HSRS); Greece (ARTEMIS); global (CALLISTO)</w:t>
            </w:r>
          </w:p>
        </w:tc>
        <w:tc>
          <w:tcPr>
            <w:tcW w:w="1133" w:type="dxa"/>
          </w:tcPr>
          <w:p w14:paraId="440ACE14" w14:textId="77777777" w:rsidR="005B44C6" w:rsidRPr="005B44C6" w:rsidRDefault="005B44C6" w:rsidP="005B44C6">
            <w:pPr>
              <w:pStyle w:val="ECCTabletext"/>
            </w:pPr>
          </w:p>
        </w:tc>
        <w:tc>
          <w:tcPr>
            <w:tcW w:w="1161" w:type="dxa"/>
          </w:tcPr>
          <w:p w14:paraId="6D90AA4F" w14:textId="77777777" w:rsidR="005B44C6" w:rsidRPr="005B44C6" w:rsidRDefault="005B44C6" w:rsidP="005B44C6">
            <w:pPr>
              <w:pStyle w:val="ECCTabletext"/>
            </w:pPr>
          </w:p>
        </w:tc>
        <w:tc>
          <w:tcPr>
            <w:tcW w:w="1139" w:type="dxa"/>
          </w:tcPr>
          <w:p w14:paraId="61E278C1" w14:textId="77777777" w:rsidR="005B44C6" w:rsidRPr="005B44C6" w:rsidRDefault="005B44C6" w:rsidP="005B44C6">
            <w:pPr>
              <w:pStyle w:val="ECCTabletext"/>
            </w:pPr>
          </w:p>
        </w:tc>
      </w:tr>
      <w:tr w:rsidR="005B44C6" w:rsidRPr="005B0684" w14:paraId="12511848" w14:textId="77777777" w:rsidTr="004A7499">
        <w:tc>
          <w:tcPr>
            <w:tcW w:w="1267" w:type="dxa"/>
            <w:vMerge w:val="restart"/>
          </w:tcPr>
          <w:p w14:paraId="470071E4" w14:textId="77777777" w:rsidR="005B44C6" w:rsidRPr="005B44C6" w:rsidRDefault="005B44C6" w:rsidP="005B44C6">
            <w:pPr>
              <w:pStyle w:val="ECCTabletext"/>
            </w:pPr>
            <w:r w:rsidRPr="005B44C6">
              <w:t>608 - 614</w:t>
            </w:r>
          </w:p>
        </w:tc>
        <w:tc>
          <w:tcPr>
            <w:tcW w:w="2773" w:type="dxa"/>
          </w:tcPr>
          <w:p w14:paraId="771E1CE7" w14:textId="77777777" w:rsidR="005B44C6" w:rsidRPr="005B44C6" w:rsidRDefault="005B44C6" w:rsidP="005B44C6">
            <w:pPr>
              <w:pStyle w:val="ECCTabletext"/>
            </w:pPr>
            <w:r w:rsidRPr="005B44C6">
              <w:t>Solar spectrometer/spectrograph</w:t>
            </w:r>
          </w:p>
        </w:tc>
        <w:tc>
          <w:tcPr>
            <w:tcW w:w="2156" w:type="dxa"/>
          </w:tcPr>
          <w:p w14:paraId="5947CB65" w14:textId="77777777" w:rsidR="005B44C6" w:rsidRPr="005B44C6" w:rsidRDefault="005B44C6" w:rsidP="005B44C6">
            <w:pPr>
              <w:pStyle w:val="ECCTabletext"/>
            </w:pPr>
            <w:r w:rsidRPr="005B44C6">
              <w:t>Greece (ARTEMIS); global (CALLISTO); Belgium (ARCAS, HSRS)</w:t>
            </w:r>
          </w:p>
        </w:tc>
        <w:tc>
          <w:tcPr>
            <w:tcW w:w="1133" w:type="dxa"/>
          </w:tcPr>
          <w:p w14:paraId="3252B6BC" w14:textId="77777777" w:rsidR="005B44C6" w:rsidRPr="005B44C6" w:rsidRDefault="005B44C6" w:rsidP="005B44C6">
            <w:pPr>
              <w:pStyle w:val="ECCTabletext"/>
            </w:pPr>
          </w:p>
        </w:tc>
        <w:tc>
          <w:tcPr>
            <w:tcW w:w="1161" w:type="dxa"/>
          </w:tcPr>
          <w:p w14:paraId="2A392A5B" w14:textId="77777777" w:rsidR="005B44C6" w:rsidRPr="005B44C6" w:rsidRDefault="005B44C6" w:rsidP="005B44C6">
            <w:pPr>
              <w:pStyle w:val="ECCTabletext"/>
            </w:pPr>
          </w:p>
        </w:tc>
        <w:tc>
          <w:tcPr>
            <w:tcW w:w="1139" w:type="dxa"/>
          </w:tcPr>
          <w:p w14:paraId="6E1AB9A6" w14:textId="77777777" w:rsidR="005B44C6" w:rsidRPr="005B44C6" w:rsidRDefault="005B44C6" w:rsidP="005B44C6">
            <w:pPr>
              <w:pStyle w:val="ECCTabletext"/>
            </w:pPr>
          </w:p>
        </w:tc>
      </w:tr>
      <w:tr w:rsidR="005B44C6" w:rsidRPr="005B0684" w14:paraId="4C7E0D60" w14:textId="77777777" w:rsidTr="004A7499">
        <w:tc>
          <w:tcPr>
            <w:tcW w:w="1267" w:type="dxa"/>
            <w:vMerge/>
          </w:tcPr>
          <w:p w14:paraId="4C1D491D" w14:textId="77777777" w:rsidR="005B44C6" w:rsidRPr="005B44C6" w:rsidRDefault="005B44C6" w:rsidP="005B44C6">
            <w:pPr>
              <w:pStyle w:val="ECCTabletext"/>
            </w:pPr>
          </w:p>
        </w:tc>
        <w:tc>
          <w:tcPr>
            <w:tcW w:w="2773" w:type="dxa"/>
          </w:tcPr>
          <w:p w14:paraId="1A8AB7E7" w14:textId="77777777" w:rsidR="005B44C6" w:rsidRPr="005B44C6" w:rsidRDefault="005B44C6" w:rsidP="005B44C6">
            <w:pPr>
              <w:pStyle w:val="ECCTabletext"/>
            </w:pPr>
            <w:r w:rsidRPr="005B44C6">
              <w:t>Solar flux monitors</w:t>
            </w:r>
          </w:p>
        </w:tc>
        <w:tc>
          <w:tcPr>
            <w:tcW w:w="2156" w:type="dxa"/>
          </w:tcPr>
          <w:p w14:paraId="56BDCEA4" w14:textId="77777777" w:rsidR="005B44C6" w:rsidRPr="005B44C6" w:rsidRDefault="005B44C6" w:rsidP="005B44C6">
            <w:pPr>
              <w:pStyle w:val="ECCTabletext"/>
            </w:pPr>
            <w:r w:rsidRPr="005B44C6">
              <w:t>Australia, Italy, USA (SEON/RIMS); France (ORFEES)</w:t>
            </w:r>
          </w:p>
        </w:tc>
        <w:tc>
          <w:tcPr>
            <w:tcW w:w="1133" w:type="dxa"/>
          </w:tcPr>
          <w:p w14:paraId="4AAD4C7C" w14:textId="77777777" w:rsidR="005B44C6" w:rsidRPr="005B44C6" w:rsidRDefault="005B44C6" w:rsidP="005B44C6">
            <w:pPr>
              <w:pStyle w:val="ECCTabletext"/>
            </w:pPr>
          </w:p>
        </w:tc>
        <w:tc>
          <w:tcPr>
            <w:tcW w:w="1161" w:type="dxa"/>
          </w:tcPr>
          <w:p w14:paraId="755C01E4" w14:textId="2522C37D" w:rsidR="005B44C6" w:rsidRPr="005B44C6" w:rsidRDefault="00005863" w:rsidP="005B44C6">
            <w:pPr>
              <w:pStyle w:val="ECCTabletext"/>
            </w:pPr>
            <w:r w:rsidRPr="00005863">
              <w:t>8.5 m diameter antenna (parabolic)</w:t>
            </w:r>
          </w:p>
        </w:tc>
        <w:tc>
          <w:tcPr>
            <w:tcW w:w="1139" w:type="dxa"/>
          </w:tcPr>
          <w:p w14:paraId="65C187A7" w14:textId="77777777" w:rsidR="005B44C6" w:rsidRPr="005B44C6" w:rsidRDefault="005B44C6" w:rsidP="005B44C6">
            <w:pPr>
              <w:pStyle w:val="ECCTabletext"/>
            </w:pPr>
          </w:p>
        </w:tc>
      </w:tr>
      <w:tr w:rsidR="005B44C6" w:rsidRPr="005B0684" w14:paraId="0FCC9612" w14:textId="77777777" w:rsidTr="004A7499">
        <w:tc>
          <w:tcPr>
            <w:tcW w:w="6196" w:type="dxa"/>
            <w:gridSpan w:val="3"/>
          </w:tcPr>
          <w:p w14:paraId="1AD3F172" w14:textId="42713D5A" w:rsidR="005B44C6" w:rsidRPr="005B44C6" w:rsidRDefault="005B44C6" w:rsidP="005B44C6">
            <w:pPr>
              <w:pStyle w:val="ECCTablenote"/>
            </w:pPr>
            <w:r w:rsidRPr="005B44C6">
              <w:t xml:space="preserve">* sensors located in Germany, UK, France, Sweden, Ireland, Latvia, Netherlands and Poland </w:t>
            </w:r>
            <w:r w:rsidR="00303F37" w:rsidRPr="00303F37">
              <w:t>(additional sensors planned in Italy and Bulgaria)</w:t>
            </w:r>
          </w:p>
        </w:tc>
        <w:tc>
          <w:tcPr>
            <w:tcW w:w="1133" w:type="dxa"/>
          </w:tcPr>
          <w:p w14:paraId="4FE26686" w14:textId="77777777" w:rsidR="005B44C6" w:rsidRPr="005B44C6" w:rsidRDefault="005B44C6" w:rsidP="005B44C6">
            <w:pPr>
              <w:pStyle w:val="ECCTablenote"/>
            </w:pPr>
          </w:p>
        </w:tc>
        <w:tc>
          <w:tcPr>
            <w:tcW w:w="1161" w:type="dxa"/>
          </w:tcPr>
          <w:p w14:paraId="3B8400CA" w14:textId="77777777" w:rsidR="005B44C6" w:rsidRPr="005B44C6" w:rsidRDefault="005B44C6" w:rsidP="005B44C6">
            <w:pPr>
              <w:pStyle w:val="ECCTablenote"/>
            </w:pPr>
          </w:p>
        </w:tc>
        <w:tc>
          <w:tcPr>
            <w:tcW w:w="1139" w:type="dxa"/>
          </w:tcPr>
          <w:p w14:paraId="521F249E" w14:textId="77777777" w:rsidR="005B44C6" w:rsidRPr="005B44C6" w:rsidRDefault="005B44C6" w:rsidP="005B44C6">
            <w:pPr>
              <w:pStyle w:val="ECCTablenote"/>
            </w:pPr>
          </w:p>
        </w:tc>
      </w:tr>
    </w:tbl>
    <w:p w14:paraId="55E027A7" w14:textId="77777777" w:rsidR="009C2362" w:rsidRPr="005B44C6" w:rsidRDefault="009C2362" w:rsidP="009C2362"/>
    <w:p w14:paraId="5D852AD3" w14:textId="77777777" w:rsidR="00AB12FB" w:rsidRDefault="00AB12FB">
      <w:pPr>
        <w:rPr>
          <w:rFonts w:cs="Arial"/>
          <w:b/>
          <w:bCs/>
          <w:caps/>
          <w:color w:val="D2232A"/>
          <w:kern w:val="32"/>
          <w:szCs w:val="32"/>
          <w:lang w:val="da-DK"/>
        </w:rPr>
      </w:pPr>
      <w:r>
        <w:br w:type="page"/>
      </w:r>
    </w:p>
    <w:p w14:paraId="3E47D770" w14:textId="388CC41E" w:rsidR="00A30FAA" w:rsidRDefault="00066116" w:rsidP="002F2902">
      <w:pPr>
        <w:pStyle w:val="ECCAnnexheading1"/>
      </w:pPr>
      <w:r>
        <w:lastRenderedPageBreak/>
        <w:t xml:space="preserve">current </w:t>
      </w:r>
      <w:r w:rsidR="008F79E3" w:rsidRPr="008F79E3">
        <w:t>USAGE OF FREQUENCIES UNDER STUDY</w:t>
      </w:r>
    </w:p>
    <w:p w14:paraId="2E317DF7" w14:textId="593135DC" w:rsidR="00066116" w:rsidRPr="00B15AC4" w:rsidRDefault="00066116" w:rsidP="00066116">
      <w:pPr>
        <w:pStyle w:val="Caption"/>
      </w:pPr>
      <w:r w:rsidRPr="00B15AC4">
        <w:t xml:space="preserve">Table </w:t>
      </w:r>
      <w:r w:rsidR="00677168">
        <w:t>1</w:t>
      </w:r>
      <w:r w:rsidRPr="00B15AC4">
        <w:t>: Overview of the ITU-R table of frequency allocations for the frequency ranges 27.5 – 28.0 MHz, 29.7 – 30.2 MHz, 32.2 – 32.6 MHz, 37.5 – 38.25 MHz and adjacent bands</w:t>
      </w:r>
    </w:p>
    <w:tbl>
      <w:tblPr>
        <w:tblStyle w:val="ECCTable-redheader"/>
        <w:tblW w:w="0" w:type="auto"/>
        <w:tblInd w:w="0" w:type="dxa"/>
        <w:tblLook w:val="0020" w:firstRow="1" w:lastRow="0" w:firstColumn="0" w:lastColumn="0" w:noHBand="0" w:noVBand="0"/>
      </w:tblPr>
      <w:tblGrid>
        <w:gridCol w:w="3209"/>
        <w:gridCol w:w="3210"/>
        <w:gridCol w:w="3210"/>
      </w:tblGrid>
      <w:tr w:rsidR="00066116" w:rsidRPr="005B0684" w14:paraId="7437E073" w14:textId="77777777" w:rsidTr="0007336E">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3BBA46B8" w14:textId="77777777" w:rsidR="00066116" w:rsidRPr="00066116" w:rsidRDefault="00066116" w:rsidP="00066116">
            <w:r w:rsidRPr="00066116">
              <w:t>Allocation of Services</w:t>
            </w:r>
          </w:p>
        </w:tc>
      </w:tr>
      <w:tr w:rsidR="00066116" w:rsidRPr="005B0684" w14:paraId="7CF171DE" w14:textId="77777777" w:rsidTr="0007336E">
        <w:tc>
          <w:tcPr>
            <w:tcW w:w="3209" w:type="dxa"/>
          </w:tcPr>
          <w:p w14:paraId="1EAA934A" w14:textId="77777777" w:rsidR="00066116" w:rsidRPr="00066116" w:rsidRDefault="00066116" w:rsidP="00066116">
            <w:r w:rsidRPr="00066116">
              <w:t>Region 1</w:t>
            </w:r>
          </w:p>
        </w:tc>
        <w:tc>
          <w:tcPr>
            <w:tcW w:w="3210" w:type="dxa"/>
          </w:tcPr>
          <w:p w14:paraId="10E14CEF" w14:textId="77777777" w:rsidR="00066116" w:rsidRPr="00066116" w:rsidRDefault="00066116" w:rsidP="00066116">
            <w:r w:rsidRPr="00066116">
              <w:t>Region 2</w:t>
            </w:r>
          </w:p>
        </w:tc>
        <w:tc>
          <w:tcPr>
            <w:tcW w:w="3210" w:type="dxa"/>
          </w:tcPr>
          <w:p w14:paraId="2E513881" w14:textId="77777777" w:rsidR="00066116" w:rsidRPr="00066116" w:rsidRDefault="00066116" w:rsidP="00066116">
            <w:r w:rsidRPr="00066116">
              <w:t>Region 3</w:t>
            </w:r>
          </w:p>
        </w:tc>
      </w:tr>
      <w:tr w:rsidR="00066116" w:rsidRPr="005B0684" w14:paraId="3CB55417" w14:textId="77777777" w:rsidTr="0007336E">
        <w:tc>
          <w:tcPr>
            <w:tcW w:w="3209" w:type="dxa"/>
          </w:tcPr>
          <w:p w14:paraId="55AA5D04" w14:textId="77777777" w:rsidR="00066116" w:rsidRPr="00066116" w:rsidRDefault="00066116" w:rsidP="00066116">
            <w:r w:rsidRPr="00066116">
              <w:t>26 350 – 27 500 kHz</w:t>
            </w:r>
          </w:p>
          <w:p w14:paraId="03BF369A" w14:textId="77777777" w:rsidR="00066116" w:rsidRPr="00066116" w:rsidRDefault="00066116" w:rsidP="00066116">
            <w:r w:rsidRPr="00066116">
              <w:t>FIXED</w:t>
            </w:r>
          </w:p>
          <w:p w14:paraId="599E64BF" w14:textId="77777777" w:rsidR="00066116" w:rsidRPr="00066116" w:rsidRDefault="00066116" w:rsidP="00066116">
            <w:r w:rsidRPr="00066116">
              <w:t>MOBILE except aeronautical mobile</w:t>
            </w:r>
          </w:p>
          <w:p w14:paraId="2C8BD312" w14:textId="77777777" w:rsidR="00066116" w:rsidRPr="00066116" w:rsidRDefault="00066116" w:rsidP="00066116"/>
          <w:p w14:paraId="0B2D31A9" w14:textId="77777777" w:rsidR="00066116" w:rsidRPr="00066116" w:rsidRDefault="00066116" w:rsidP="00066116">
            <w:r w:rsidRPr="00066116">
              <w:t>5.150</w:t>
            </w:r>
          </w:p>
        </w:tc>
        <w:tc>
          <w:tcPr>
            <w:tcW w:w="3210" w:type="dxa"/>
          </w:tcPr>
          <w:p w14:paraId="5FD6C4E2" w14:textId="77777777" w:rsidR="00066116" w:rsidRPr="00066116" w:rsidRDefault="00066116" w:rsidP="00066116">
            <w:r w:rsidRPr="00066116">
              <w:t>26 420 – 27 500 kHz</w:t>
            </w:r>
          </w:p>
          <w:p w14:paraId="4D4BFD8C" w14:textId="77777777" w:rsidR="00066116" w:rsidRPr="00066116" w:rsidRDefault="00066116" w:rsidP="00066116">
            <w:r w:rsidRPr="00066116">
              <w:t>FIXED</w:t>
            </w:r>
          </w:p>
          <w:p w14:paraId="774ACFD4" w14:textId="77777777" w:rsidR="00066116" w:rsidRPr="00066116" w:rsidRDefault="00066116" w:rsidP="00066116">
            <w:r w:rsidRPr="00066116">
              <w:t>MOBILE except aeronautical mobile</w:t>
            </w:r>
          </w:p>
          <w:p w14:paraId="0C13EE68" w14:textId="77777777" w:rsidR="00066116" w:rsidRPr="00066116" w:rsidRDefault="00066116" w:rsidP="00066116"/>
          <w:p w14:paraId="73ADBEF4" w14:textId="77777777" w:rsidR="00066116" w:rsidRPr="00066116" w:rsidRDefault="00066116" w:rsidP="00066116">
            <w:r w:rsidRPr="00066116">
              <w:t>5.150</w:t>
            </w:r>
          </w:p>
        </w:tc>
        <w:tc>
          <w:tcPr>
            <w:tcW w:w="3210" w:type="dxa"/>
          </w:tcPr>
          <w:p w14:paraId="6B83992A" w14:textId="77777777" w:rsidR="00066116" w:rsidRPr="00066116" w:rsidRDefault="00066116" w:rsidP="00066116">
            <w:r w:rsidRPr="00066116">
              <w:t>26 350 – 27 500 kHz</w:t>
            </w:r>
          </w:p>
          <w:p w14:paraId="3297CA48" w14:textId="77777777" w:rsidR="00066116" w:rsidRPr="00066116" w:rsidRDefault="00066116" w:rsidP="00066116">
            <w:r w:rsidRPr="00066116">
              <w:t>FIXED</w:t>
            </w:r>
          </w:p>
          <w:p w14:paraId="043806E6" w14:textId="77777777" w:rsidR="00066116" w:rsidRPr="00066116" w:rsidRDefault="00066116" w:rsidP="00066116">
            <w:r w:rsidRPr="00066116">
              <w:t>MOBILE except aeronautical mobile</w:t>
            </w:r>
          </w:p>
          <w:p w14:paraId="746D57C1" w14:textId="77777777" w:rsidR="00066116" w:rsidRPr="00066116" w:rsidRDefault="00066116" w:rsidP="00066116"/>
          <w:p w14:paraId="21CC7BC7" w14:textId="77777777" w:rsidR="00066116" w:rsidRPr="00066116" w:rsidRDefault="00066116" w:rsidP="00066116">
            <w:r w:rsidRPr="00066116">
              <w:t>5.150</w:t>
            </w:r>
          </w:p>
        </w:tc>
      </w:tr>
      <w:tr w:rsidR="00066116" w:rsidRPr="005B0684" w14:paraId="5E3F4EC5" w14:textId="77777777" w:rsidTr="0007336E">
        <w:tc>
          <w:tcPr>
            <w:tcW w:w="9629" w:type="dxa"/>
            <w:gridSpan w:val="3"/>
          </w:tcPr>
          <w:p w14:paraId="1367C52F" w14:textId="77777777" w:rsidR="00066116" w:rsidRPr="00066116" w:rsidRDefault="00066116" w:rsidP="00066116">
            <w:r w:rsidRPr="00066116">
              <w:t xml:space="preserve">27.5 – 28 MHz                           </w:t>
            </w:r>
            <w:r w:rsidRPr="00066116">
              <w:tab/>
              <w:t>METEOROLOGICAL AIDS</w:t>
            </w:r>
          </w:p>
          <w:p w14:paraId="0F0452DA" w14:textId="77777777" w:rsidR="00066116" w:rsidRPr="00066116" w:rsidRDefault="00066116" w:rsidP="00066116">
            <w:r w:rsidRPr="00066116">
              <w:t xml:space="preserve">                                                   FIXED</w:t>
            </w:r>
          </w:p>
          <w:p w14:paraId="33EB2035" w14:textId="77777777" w:rsidR="00066116" w:rsidRPr="00066116" w:rsidRDefault="00066116" w:rsidP="00066116">
            <w:r w:rsidRPr="00066116">
              <w:t xml:space="preserve">                                                   MOBILE</w:t>
            </w:r>
          </w:p>
        </w:tc>
      </w:tr>
      <w:tr w:rsidR="00066116" w:rsidRPr="005B0684" w14:paraId="3F2EA66C" w14:textId="77777777" w:rsidTr="0007336E">
        <w:tc>
          <w:tcPr>
            <w:tcW w:w="9629" w:type="dxa"/>
            <w:gridSpan w:val="3"/>
          </w:tcPr>
          <w:p w14:paraId="3DBDBA47" w14:textId="77777777" w:rsidR="00066116" w:rsidRPr="00066116" w:rsidRDefault="00066116" w:rsidP="00066116">
            <w:r w:rsidRPr="00066116">
              <w:t>28 – 29.7 MHz                           AMATEUR</w:t>
            </w:r>
          </w:p>
          <w:p w14:paraId="32A0000C" w14:textId="77777777" w:rsidR="00066116" w:rsidRPr="00066116" w:rsidRDefault="00066116" w:rsidP="00066116">
            <w:r w:rsidRPr="00066116">
              <w:t xml:space="preserve">                                                  AMATEUR-SATELLITE</w:t>
            </w:r>
          </w:p>
        </w:tc>
      </w:tr>
      <w:tr w:rsidR="00066116" w:rsidRPr="005B0684" w14:paraId="6DDC4334" w14:textId="77777777" w:rsidTr="0007336E">
        <w:tc>
          <w:tcPr>
            <w:tcW w:w="9629" w:type="dxa"/>
            <w:gridSpan w:val="3"/>
          </w:tcPr>
          <w:p w14:paraId="7BB363CF" w14:textId="77777777" w:rsidR="00066116" w:rsidRPr="00066116" w:rsidRDefault="00066116" w:rsidP="00066116">
            <w:r w:rsidRPr="00066116">
              <w:t>29.7 – 30.005 MHz                    FIXED</w:t>
            </w:r>
          </w:p>
          <w:p w14:paraId="2C08EF97" w14:textId="77777777" w:rsidR="00066116" w:rsidRPr="00066116" w:rsidRDefault="00066116" w:rsidP="00066116">
            <w:r w:rsidRPr="00066116">
              <w:t xml:space="preserve">                                                   MOBILE</w:t>
            </w:r>
          </w:p>
        </w:tc>
      </w:tr>
      <w:tr w:rsidR="00066116" w:rsidRPr="005B0684" w14:paraId="4B06A44C" w14:textId="77777777" w:rsidTr="0007336E">
        <w:tc>
          <w:tcPr>
            <w:tcW w:w="9629" w:type="dxa"/>
            <w:gridSpan w:val="3"/>
          </w:tcPr>
          <w:p w14:paraId="360B0971" w14:textId="77777777" w:rsidR="00066116" w:rsidRPr="00066116" w:rsidRDefault="00066116" w:rsidP="00066116">
            <w:r w:rsidRPr="00066116">
              <w:t>30.005 – 30.01 MHz                  SPACE OPERATION (satellite identification)</w:t>
            </w:r>
          </w:p>
          <w:p w14:paraId="60760F16" w14:textId="77777777" w:rsidR="00066116" w:rsidRPr="00066116" w:rsidRDefault="00066116" w:rsidP="00066116">
            <w:r w:rsidRPr="00066116">
              <w:t xml:space="preserve">                                                   FIXED</w:t>
            </w:r>
          </w:p>
          <w:p w14:paraId="2C2DB36F" w14:textId="77777777" w:rsidR="00066116" w:rsidRPr="00066116" w:rsidRDefault="00066116" w:rsidP="00066116">
            <w:r w:rsidRPr="00066116">
              <w:t xml:space="preserve">                                                   MOBILE</w:t>
            </w:r>
          </w:p>
          <w:p w14:paraId="70496723" w14:textId="77777777" w:rsidR="00066116" w:rsidRPr="00066116" w:rsidRDefault="00066116" w:rsidP="00066116">
            <w:r w:rsidRPr="00066116">
              <w:t xml:space="preserve">                                                   SPACE RESEARCH</w:t>
            </w:r>
          </w:p>
        </w:tc>
      </w:tr>
      <w:tr w:rsidR="00066116" w:rsidRPr="005B0684" w14:paraId="1B63A5FC" w14:textId="77777777" w:rsidTr="0007336E">
        <w:tc>
          <w:tcPr>
            <w:tcW w:w="9629" w:type="dxa"/>
            <w:gridSpan w:val="3"/>
          </w:tcPr>
          <w:p w14:paraId="58D9D7BE" w14:textId="77777777" w:rsidR="00066116" w:rsidRPr="00066116" w:rsidRDefault="00066116" w:rsidP="00066116">
            <w:r w:rsidRPr="00066116">
              <w:t>30.01 – 37.5 MHz                       FIXED</w:t>
            </w:r>
          </w:p>
          <w:p w14:paraId="38366F96" w14:textId="77777777" w:rsidR="00066116" w:rsidRPr="00066116" w:rsidRDefault="00066116" w:rsidP="00066116">
            <w:r w:rsidRPr="00066116">
              <w:t xml:space="preserve">                                                   MOBILE</w:t>
            </w:r>
          </w:p>
        </w:tc>
      </w:tr>
      <w:tr w:rsidR="00066116" w:rsidRPr="005B0684" w14:paraId="21159662" w14:textId="77777777" w:rsidTr="0007336E">
        <w:tc>
          <w:tcPr>
            <w:tcW w:w="9629" w:type="dxa"/>
            <w:gridSpan w:val="3"/>
          </w:tcPr>
          <w:p w14:paraId="58E37BE1" w14:textId="77777777" w:rsidR="00066116" w:rsidRPr="00066116" w:rsidRDefault="00066116" w:rsidP="00066116">
            <w:r w:rsidRPr="00066116">
              <w:t>37.5 – 38.25 MHz                       FIXED</w:t>
            </w:r>
          </w:p>
          <w:p w14:paraId="2A143D95" w14:textId="77777777" w:rsidR="00066116" w:rsidRPr="00066116" w:rsidRDefault="00066116" w:rsidP="00066116">
            <w:r w:rsidRPr="00066116">
              <w:t xml:space="preserve">                                                   MOBILE</w:t>
            </w:r>
          </w:p>
          <w:p w14:paraId="658B449C" w14:textId="77777777" w:rsidR="00066116" w:rsidRPr="00066116" w:rsidRDefault="00066116" w:rsidP="00066116">
            <w:r w:rsidRPr="00066116">
              <w:t xml:space="preserve">                                                   Radio astronomy</w:t>
            </w:r>
          </w:p>
          <w:p w14:paraId="2AD3F974" w14:textId="77777777" w:rsidR="00066116" w:rsidRPr="00066116" w:rsidRDefault="00066116" w:rsidP="00066116">
            <w:r w:rsidRPr="00066116">
              <w:t xml:space="preserve">                                                   5.149</w:t>
            </w:r>
          </w:p>
        </w:tc>
      </w:tr>
      <w:tr w:rsidR="00066116" w:rsidRPr="005B0684" w14:paraId="2B5AB59B" w14:textId="77777777" w:rsidTr="0007336E">
        <w:tc>
          <w:tcPr>
            <w:tcW w:w="3209" w:type="dxa"/>
          </w:tcPr>
          <w:p w14:paraId="5436ECC4" w14:textId="77777777" w:rsidR="00066116" w:rsidRPr="00066116" w:rsidRDefault="00066116" w:rsidP="00066116">
            <w:r w:rsidRPr="00066116">
              <w:t>38.25 – 39 MHz</w:t>
            </w:r>
          </w:p>
          <w:p w14:paraId="5A25F9C3" w14:textId="77777777" w:rsidR="00066116" w:rsidRPr="00066116" w:rsidRDefault="00066116" w:rsidP="00066116">
            <w:r w:rsidRPr="00066116">
              <w:t>FIXED</w:t>
            </w:r>
          </w:p>
          <w:p w14:paraId="7DEB9084" w14:textId="77777777" w:rsidR="00066116" w:rsidRPr="00066116" w:rsidRDefault="00066116" w:rsidP="00066116">
            <w:r w:rsidRPr="00066116">
              <w:t>MOBILE</w:t>
            </w:r>
          </w:p>
        </w:tc>
        <w:tc>
          <w:tcPr>
            <w:tcW w:w="3210" w:type="dxa"/>
          </w:tcPr>
          <w:p w14:paraId="5114209F" w14:textId="77777777" w:rsidR="00066116" w:rsidRPr="00066116" w:rsidRDefault="00066116" w:rsidP="00066116">
            <w:r w:rsidRPr="00066116">
              <w:t>38.25 – 39.986 MHz</w:t>
            </w:r>
          </w:p>
          <w:p w14:paraId="0C345998" w14:textId="77777777" w:rsidR="00066116" w:rsidRPr="00066116" w:rsidRDefault="00066116" w:rsidP="00066116">
            <w:r w:rsidRPr="00066116">
              <w:t>FIXED</w:t>
            </w:r>
          </w:p>
          <w:p w14:paraId="4F5DC9ED" w14:textId="77777777" w:rsidR="00066116" w:rsidRPr="00066116" w:rsidRDefault="00066116" w:rsidP="00066116">
            <w:r w:rsidRPr="00066116">
              <w:t>MOBILE</w:t>
            </w:r>
          </w:p>
        </w:tc>
        <w:tc>
          <w:tcPr>
            <w:tcW w:w="3210" w:type="dxa"/>
          </w:tcPr>
          <w:p w14:paraId="5C185B4B" w14:textId="77777777" w:rsidR="00066116" w:rsidRPr="00066116" w:rsidRDefault="00066116" w:rsidP="00066116">
            <w:r w:rsidRPr="00066116">
              <w:t>38.25 – 39.5 MHz</w:t>
            </w:r>
          </w:p>
          <w:p w14:paraId="2D73300D" w14:textId="77777777" w:rsidR="00066116" w:rsidRPr="00066116" w:rsidRDefault="00066116" w:rsidP="00066116">
            <w:r w:rsidRPr="00066116">
              <w:t xml:space="preserve">FIXED </w:t>
            </w:r>
          </w:p>
          <w:p w14:paraId="37073A77" w14:textId="77777777" w:rsidR="00066116" w:rsidRPr="00066116" w:rsidRDefault="00066116" w:rsidP="00066116">
            <w:r w:rsidRPr="00066116">
              <w:t>MOBILE</w:t>
            </w:r>
          </w:p>
        </w:tc>
      </w:tr>
    </w:tbl>
    <w:p w14:paraId="51F5D4FF" w14:textId="77777777" w:rsidR="00066116" w:rsidRPr="00B15AC4" w:rsidRDefault="00066116" w:rsidP="00066116">
      <w:pPr>
        <w:pStyle w:val="Caption"/>
      </w:pPr>
      <w:r w:rsidRPr="00B15AC4">
        <w:t>Table 3: Overview of the ITU-R table of frequency allocations for the frequency ranges 73.0 – 74.6 MHz and adjacent bands</w:t>
      </w:r>
    </w:p>
    <w:tbl>
      <w:tblPr>
        <w:tblStyle w:val="ECCTable-redheader"/>
        <w:tblW w:w="0" w:type="auto"/>
        <w:tblInd w:w="0" w:type="dxa"/>
        <w:tblLook w:val="0020" w:firstRow="1" w:lastRow="0" w:firstColumn="0" w:lastColumn="0" w:noHBand="0" w:noVBand="0"/>
      </w:tblPr>
      <w:tblGrid>
        <w:gridCol w:w="3209"/>
        <w:gridCol w:w="3210"/>
        <w:gridCol w:w="3210"/>
      </w:tblGrid>
      <w:tr w:rsidR="00066116" w:rsidRPr="005B0684" w14:paraId="170321EE" w14:textId="77777777" w:rsidTr="0007336E">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5EF924BC" w14:textId="77777777" w:rsidR="00066116" w:rsidRPr="00066116" w:rsidRDefault="00066116" w:rsidP="00066116">
            <w:r w:rsidRPr="00066116">
              <w:t>Allocation of Services</w:t>
            </w:r>
          </w:p>
        </w:tc>
      </w:tr>
      <w:tr w:rsidR="00066116" w:rsidRPr="005B0684" w14:paraId="789B1884" w14:textId="77777777" w:rsidTr="0007336E">
        <w:tc>
          <w:tcPr>
            <w:tcW w:w="3209" w:type="dxa"/>
          </w:tcPr>
          <w:p w14:paraId="6E3974EF" w14:textId="77777777" w:rsidR="00066116" w:rsidRPr="00066116" w:rsidRDefault="00066116" w:rsidP="00066116">
            <w:r w:rsidRPr="00066116">
              <w:t>Region 1</w:t>
            </w:r>
          </w:p>
        </w:tc>
        <w:tc>
          <w:tcPr>
            <w:tcW w:w="3210" w:type="dxa"/>
          </w:tcPr>
          <w:p w14:paraId="2D47EDFC" w14:textId="77777777" w:rsidR="00066116" w:rsidRPr="00066116" w:rsidRDefault="00066116" w:rsidP="00066116">
            <w:r w:rsidRPr="00066116">
              <w:t>Region 2</w:t>
            </w:r>
          </w:p>
        </w:tc>
        <w:tc>
          <w:tcPr>
            <w:tcW w:w="3210" w:type="dxa"/>
          </w:tcPr>
          <w:p w14:paraId="3B81AB72" w14:textId="77777777" w:rsidR="00066116" w:rsidRPr="00066116" w:rsidRDefault="00066116" w:rsidP="00066116">
            <w:r w:rsidRPr="00066116">
              <w:t>Region 3</w:t>
            </w:r>
          </w:p>
        </w:tc>
      </w:tr>
      <w:tr w:rsidR="00066116" w:rsidRPr="005B0684" w14:paraId="598B5513" w14:textId="77777777" w:rsidTr="0007336E">
        <w:tc>
          <w:tcPr>
            <w:tcW w:w="3209" w:type="dxa"/>
            <w:vMerge w:val="restart"/>
          </w:tcPr>
          <w:p w14:paraId="71087391" w14:textId="77777777" w:rsidR="00066116" w:rsidRPr="00066116" w:rsidRDefault="00066116" w:rsidP="00066116">
            <w:r w:rsidRPr="00066116">
              <w:t>68 – 74.8 MHz</w:t>
            </w:r>
          </w:p>
          <w:p w14:paraId="6C466601" w14:textId="77777777" w:rsidR="00066116" w:rsidRPr="00066116" w:rsidRDefault="00066116" w:rsidP="00066116">
            <w:r w:rsidRPr="00066116">
              <w:t>FIXED</w:t>
            </w:r>
          </w:p>
          <w:p w14:paraId="63C41698" w14:textId="77777777" w:rsidR="00066116" w:rsidRPr="00066116" w:rsidRDefault="00066116" w:rsidP="00066116">
            <w:r w:rsidRPr="00066116">
              <w:t>MOBILE except aeronautical mobile</w:t>
            </w:r>
          </w:p>
          <w:p w14:paraId="74A3A426" w14:textId="77777777" w:rsidR="00066116" w:rsidRPr="00066116" w:rsidRDefault="00066116" w:rsidP="00066116"/>
          <w:p w14:paraId="44DD4B54" w14:textId="77777777" w:rsidR="00066116" w:rsidRPr="00066116" w:rsidRDefault="00066116" w:rsidP="00066116"/>
          <w:p w14:paraId="789FA35D" w14:textId="77777777" w:rsidR="00066116" w:rsidRPr="00066116" w:rsidRDefault="00066116" w:rsidP="00066116"/>
          <w:p w14:paraId="1F4B1C6D" w14:textId="77777777" w:rsidR="00066116" w:rsidRPr="00066116" w:rsidRDefault="00066116" w:rsidP="00066116"/>
          <w:p w14:paraId="1F8E3BF8" w14:textId="77777777" w:rsidR="00066116" w:rsidRPr="00066116" w:rsidRDefault="00066116" w:rsidP="00066116"/>
          <w:p w14:paraId="2E9F5FAD" w14:textId="77777777" w:rsidR="00066116" w:rsidRPr="00066116" w:rsidRDefault="00066116" w:rsidP="00066116"/>
          <w:p w14:paraId="33264DBC" w14:textId="77777777" w:rsidR="00066116" w:rsidRPr="00066116" w:rsidRDefault="00066116" w:rsidP="00066116"/>
          <w:p w14:paraId="5F80EFA0" w14:textId="77777777" w:rsidR="00066116" w:rsidRPr="00066116" w:rsidRDefault="00066116" w:rsidP="00066116">
            <w:r w:rsidRPr="00066116">
              <w:t>5.149 5.175 5.177 5.179</w:t>
            </w:r>
          </w:p>
        </w:tc>
        <w:tc>
          <w:tcPr>
            <w:tcW w:w="3210" w:type="dxa"/>
          </w:tcPr>
          <w:p w14:paraId="7075AE28" w14:textId="77777777" w:rsidR="00066116" w:rsidRPr="00066116" w:rsidRDefault="00066116" w:rsidP="00066116"/>
        </w:tc>
        <w:tc>
          <w:tcPr>
            <w:tcW w:w="3210" w:type="dxa"/>
            <w:vMerge w:val="restart"/>
          </w:tcPr>
          <w:p w14:paraId="6DA716FC" w14:textId="77777777" w:rsidR="00066116" w:rsidRPr="00066116" w:rsidRDefault="00066116" w:rsidP="00066116">
            <w:r w:rsidRPr="00066116">
              <w:t>68 – 74.8 MHz</w:t>
            </w:r>
          </w:p>
          <w:p w14:paraId="3E29B576" w14:textId="77777777" w:rsidR="00066116" w:rsidRPr="00066116" w:rsidRDefault="00066116" w:rsidP="00066116">
            <w:r w:rsidRPr="00066116">
              <w:t>FIXED</w:t>
            </w:r>
          </w:p>
          <w:p w14:paraId="612349B4" w14:textId="77777777" w:rsidR="00066116" w:rsidRPr="00066116" w:rsidRDefault="00066116" w:rsidP="00066116">
            <w:r w:rsidRPr="00066116">
              <w:t xml:space="preserve">MOBILE </w:t>
            </w:r>
          </w:p>
          <w:p w14:paraId="21CF766E" w14:textId="77777777" w:rsidR="00066116" w:rsidRPr="00066116" w:rsidRDefault="00066116" w:rsidP="00066116"/>
          <w:p w14:paraId="2EFF0CFD" w14:textId="77777777" w:rsidR="00066116" w:rsidRPr="00066116" w:rsidRDefault="00066116" w:rsidP="00066116"/>
          <w:p w14:paraId="09A21424" w14:textId="77777777" w:rsidR="00066116" w:rsidRPr="00066116" w:rsidRDefault="00066116" w:rsidP="00066116"/>
          <w:p w14:paraId="29EB4E78" w14:textId="77777777" w:rsidR="00066116" w:rsidRPr="00066116" w:rsidRDefault="00066116" w:rsidP="00066116"/>
          <w:p w14:paraId="432E1D92" w14:textId="77777777" w:rsidR="00066116" w:rsidRPr="00066116" w:rsidRDefault="00066116" w:rsidP="00066116"/>
          <w:p w14:paraId="5B314AEC" w14:textId="77777777" w:rsidR="00066116" w:rsidRPr="00066116" w:rsidRDefault="00066116" w:rsidP="00066116"/>
          <w:p w14:paraId="0D141442" w14:textId="77777777" w:rsidR="00066116" w:rsidRPr="00066116" w:rsidRDefault="00066116" w:rsidP="00066116"/>
          <w:p w14:paraId="5659D741" w14:textId="77777777" w:rsidR="00066116" w:rsidRPr="00066116" w:rsidRDefault="00066116" w:rsidP="00066116"/>
          <w:p w14:paraId="4FA3CA0E" w14:textId="77777777" w:rsidR="00066116" w:rsidRPr="00066116" w:rsidRDefault="00066116" w:rsidP="00066116">
            <w:r w:rsidRPr="00066116">
              <w:t>5.149 5.176 5.179</w:t>
            </w:r>
          </w:p>
        </w:tc>
      </w:tr>
      <w:tr w:rsidR="00066116" w:rsidRPr="005B0684" w14:paraId="10B963B4" w14:textId="77777777" w:rsidTr="0007336E">
        <w:tc>
          <w:tcPr>
            <w:tcW w:w="3209" w:type="dxa"/>
            <w:vMerge/>
          </w:tcPr>
          <w:p w14:paraId="514B9983" w14:textId="77777777" w:rsidR="00066116" w:rsidRPr="00066116" w:rsidRDefault="00066116" w:rsidP="00066116"/>
        </w:tc>
        <w:tc>
          <w:tcPr>
            <w:tcW w:w="3210" w:type="dxa"/>
          </w:tcPr>
          <w:p w14:paraId="5C4D07BC" w14:textId="77777777" w:rsidR="00066116" w:rsidRPr="00066116" w:rsidRDefault="00066116" w:rsidP="00066116">
            <w:r w:rsidRPr="00066116">
              <w:t>72 – 73 MHz</w:t>
            </w:r>
          </w:p>
          <w:p w14:paraId="122EACA3" w14:textId="77777777" w:rsidR="00066116" w:rsidRPr="00066116" w:rsidRDefault="00066116" w:rsidP="00066116">
            <w:r w:rsidRPr="00066116">
              <w:t>FIXED</w:t>
            </w:r>
          </w:p>
          <w:p w14:paraId="23A1ADED" w14:textId="77777777" w:rsidR="00066116" w:rsidRPr="00066116" w:rsidRDefault="00066116" w:rsidP="00066116">
            <w:r w:rsidRPr="00066116">
              <w:t>MOBILE</w:t>
            </w:r>
          </w:p>
        </w:tc>
        <w:tc>
          <w:tcPr>
            <w:tcW w:w="3210" w:type="dxa"/>
            <w:vMerge/>
          </w:tcPr>
          <w:p w14:paraId="0C9A263B" w14:textId="77777777" w:rsidR="00066116" w:rsidRPr="00066116" w:rsidRDefault="00066116" w:rsidP="00066116"/>
        </w:tc>
      </w:tr>
      <w:tr w:rsidR="00066116" w:rsidRPr="005B0684" w14:paraId="7EE31D63" w14:textId="77777777" w:rsidTr="0007336E">
        <w:tc>
          <w:tcPr>
            <w:tcW w:w="3209" w:type="dxa"/>
            <w:vMerge/>
          </w:tcPr>
          <w:p w14:paraId="3332A1B2" w14:textId="77777777" w:rsidR="00066116" w:rsidRPr="00066116" w:rsidRDefault="00066116" w:rsidP="00066116"/>
        </w:tc>
        <w:tc>
          <w:tcPr>
            <w:tcW w:w="3210" w:type="dxa"/>
          </w:tcPr>
          <w:p w14:paraId="3871F112" w14:textId="77777777" w:rsidR="00066116" w:rsidRPr="00066116" w:rsidRDefault="00066116" w:rsidP="00066116">
            <w:r w:rsidRPr="00066116">
              <w:t>73 – 74.6 MHz</w:t>
            </w:r>
          </w:p>
          <w:p w14:paraId="063A1D5A" w14:textId="77777777" w:rsidR="00066116" w:rsidRPr="00066116" w:rsidRDefault="00066116" w:rsidP="00066116">
            <w:r w:rsidRPr="00066116">
              <w:t>RADIO ASTRONOMY</w:t>
            </w:r>
          </w:p>
          <w:p w14:paraId="7E84C90D" w14:textId="77777777" w:rsidR="00066116" w:rsidRPr="00066116" w:rsidRDefault="00066116" w:rsidP="00066116">
            <w:r w:rsidRPr="00066116">
              <w:t>5.178</w:t>
            </w:r>
          </w:p>
        </w:tc>
        <w:tc>
          <w:tcPr>
            <w:tcW w:w="3210" w:type="dxa"/>
            <w:vMerge/>
          </w:tcPr>
          <w:p w14:paraId="4722033D" w14:textId="77777777" w:rsidR="00066116" w:rsidRPr="00066116" w:rsidRDefault="00066116" w:rsidP="00066116"/>
        </w:tc>
      </w:tr>
      <w:tr w:rsidR="00066116" w:rsidRPr="005B0684" w14:paraId="6068B53A" w14:textId="77777777" w:rsidTr="0007336E">
        <w:tc>
          <w:tcPr>
            <w:tcW w:w="3209" w:type="dxa"/>
            <w:vMerge/>
          </w:tcPr>
          <w:p w14:paraId="69EB642F" w14:textId="77777777" w:rsidR="00066116" w:rsidRPr="00066116" w:rsidRDefault="00066116" w:rsidP="00066116"/>
        </w:tc>
        <w:tc>
          <w:tcPr>
            <w:tcW w:w="3210" w:type="dxa"/>
          </w:tcPr>
          <w:p w14:paraId="066F5DC8" w14:textId="77777777" w:rsidR="00066116" w:rsidRPr="00066116" w:rsidRDefault="00066116" w:rsidP="00066116">
            <w:r w:rsidRPr="00066116">
              <w:t>74.6 – 74.8 MHz</w:t>
            </w:r>
          </w:p>
          <w:p w14:paraId="796D7B0C" w14:textId="77777777" w:rsidR="00066116" w:rsidRPr="00066116" w:rsidRDefault="00066116" w:rsidP="00066116">
            <w:r w:rsidRPr="00066116">
              <w:t xml:space="preserve">FIXED </w:t>
            </w:r>
          </w:p>
          <w:p w14:paraId="781680CE" w14:textId="77777777" w:rsidR="00066116" w:rsidRPr="00066116" w:rsidRDefault="00066116" w:rsidP="00066116">
            <w:r w:rsidRPr="00066116">
              <w:t>MOBILE</w:t>
            </w:r>
          </w:p>
        </w:tc>
        <w:tc>
          <w:tcPr>
            <w:tcW w:w="3210" w:type="dxa"/>
            <w:vMerge/>
          </w:tcPr>
          <w:p w14:paraId="12584C02" w14:textId="77777777" w:rsidR="00066116" w:rsidRPr="00066116" w:rsidRDefault="00066116" w:rsidP="00066116"/>
        </w:tc>
      </w:tr>
    </w:tbl>
    <w:p w14:paraId="2BFD5D5F" w14:textId="77777777" w:rsidR="00066116" w:rsidRPr="00B15AC4" w:rsidRDefault="00066116" w:rsidP="00066116">
      <w:pPr>
        <w:pStyle w:val="Caption"/>
      </w:pPr>
      <w:r w:rsidRPr="00B15AC4">
        <w:t>Table 4: Overview of the ITU-R table of frequency allocations for the frequency ranges 608 - 614 MHz and adjacent bands</w:t>
      </w:r>
    </w:p>
    <w:tbl>
      <w:tblPr>
        <w:tblStyle w:val="ECCTable-redheader"/>
        <w:tblW w:w="0" w:type="auto"/>
        <w:tblInd w:w="0" w:type="dxa"/>
        <w:tblLook w:val="0020" w:firstRow="1" w:lastRow="0" w:firstColumn="0" w:lastColumn="0" w:noHBand="0" w:noVBand="0"/>
      </w:tblPr>
      <w:tblGrid>
        <w:gridCol w:w="3209"/>
        <w:gridCol w:w="3210"/>
        <w:gridCol w:w="3210"/>
      </w:tblGrid>
      <w:tr w:rsidR="00066116" w:rsidRPr="005B0684" w14:paraId="6EAD8C56" w14:textId="77777777" w:rsidTr="0007336E">
        <w:trPr>
          <w:cnfStyle w:val="100000000000" w:firstRow="1" w:lastRow="0" w:firstColumn="0" w:lastColumn="0" w:oddVBand="0" w:evenVBand="0" w:oddHBand="0" w:evenHBand="0" w:firstRowFirstColumn="0" w:firstRowLastColumn="0" w:lastRowFirstColumn="0" w:lastRowLastColumn="0"/>
        </w:trPr>
        <w:tc>
          <w:tcPr>
            <w:tcW w:w="9629" w:type="dxa"/>
            <w:gridSpan w:val="3"/>
          </w:tcPr>
          <w:p w14:paraId="31F3BD2F" w14:textId="77777777" w:rsidR="00066116" w:rsidRPr="00066116" w:rsidRDefault="00066116" w:rsidP="00066116">
            <w:r w:rsidRPr="00066116">
              <w:t>Allocation of Services</w:t>
            </w:r>
          </w:p>
        </w:tc>
      </w:tr>
      <w:tr w:rsidR="00066116" w:rsidRPr="005B0684" w14:paraId="55730FE1" w14:textId="77777777" w:rsidTr="0007336E">
        <w:tc>
          <w:tcPr>
            <w:tcW w:w="3209" w:type="dxa"/>
          </w:tcPr>
          <w:p w14:paraId="12EDBE66" w14:textId="77777777" w:rsidR="00066116" w:rsidRPr="00066116" w:rsidRDefault="00066116" w:rsidP="00066116">
            <w:r w:rsidRPr="00066116">
              <w:t>Region 1</w:t>
            </w:r>
          </w:p>
        </w:tc>
        <w:tc>
          <w:tcPr>
            <w:tcW w:w="3210" w:type="dxa"/>
          </w:tcPr>
          <w:p w14:paraId="45AE0BF9" w14:textId="77777777" w:rsidR="00066116" w:rsidRPr="00066116" w:rsidRDefault="00066116" w:rsidP="00066116">
            <w:r w:rsidRPr="00066116">
              <w:t>Region 2</w:t>
            </w:r>
          </w:p>
        </w:tc>
        <w:tc>
          <w:tcPr>
            <w:tcW w:w="3210" w:type="dxa"/>
          </w:tcPr>
          <w:p w14:paraId="410E1CC9" w14:textId="77777777" w:rsidR="00066116" w:rsidRPr="00066116" w:rsidRDefault="00066116" w:rsidP="00066116">
            <w:r w:rsidRPr="00066116">
              <w:t>Region 3</w:t>
            </w:r>
          </w:p>
        </w:tc>
      </w:tr>
      <w:tr w:rsidR="00066116" w:rsidRPr="005B0684" w14:paraId="52442CDC" w14:textId="77777777" w:rsidTr="0007336E">
        <w:trPr>
          <w:trHeight w:val="1246"/>
        </w:trPr>
        <w:tc>
          <w:tcPr>
            <w:tcW w:w="3209" w:type="dxa"/>
            <w:vMerge w:val="restart"/>
          </w:tcPr>
          <w:p w14:paraId="3A3501CE" w14:textId="77777777" w:rsidR="00066116" w:rsidRPr="00066116" w:rsidRDefault="00066116" w:rsidP="00066116">
            <w:r w:rsidRPr="00066116">
              <w:t>470 - 694 MHz</w:t>
            </w:r>
          </w:p>
          <w:p w14:paraId="1E93183A" w14:textId="77777777" w:rsidR="00066116" w:rsidRPr="00066116" w:rsidRDefault="00066116" w:rsidP="00066116">
            <w:r w:rsidRPr="00066116">
              <w:t>BROADCASTING</w:t>
            </w:r>
          </w:p>
          <w:p w14:paraId="0C151B20" w14:textId="77777777" w:rsidR="00066116" w:rsidRPr="00066116" w:rsidRDefault="00066116" w:rsidP="00066116"/>
          <w:p w14:paraId="20BE5AFE" w14:textId="77777777" w:rsidR="00066116" w:rsidRPr="00066116" w:rsidRDefault="00066116" w:rsidP="00066116"/>
          <w:p w14:paraId="41B576E0" w14:textId="77777777" w:rsidR="00066116" w:rsidRPr="00066116" w:rsidRDefault="00066116" w:rsidP="00066116"/>
          <w:p w14:paraId="699E367B" w14:textId="77777777" w:rsidR="00066116" w:rsidRPr="00066116" w:rsidRDefault="00066116" w:rsidP="00066116"/>
          <w:p w14:paraId="759CF4FB" w14:textId="77777777" w:rsidR="00066116" w:rsidRPr="00066116" w:rsidRDefault="00066116" w:rsidP="00066116"/>
          <w:p w14:paraId="216F3B65" w14:textId="77777777" w:rsidR="00066116" w:rsidRPr="00066116" w:rsidRDefault="00066116" w:rsidP="00066116"/>
          <w:p w14:paraId="43464F0F" w14:textId="77777777" w:rsidR="00066116" w:rsidRPr="00066116" w:rsidRDefault="00066116" w:rsidP="00066116"/>
          <w:p w14:paraId="7B53C338" w14:textId="77777777" w:rsidR="00066116" w:rsidRPr="00066116" w:rsidRDefault="00066116" w:rsidP="00066116"/>
          <w:p w14:paraId="57753434" w14:textId="77777777" w:rsidR="00066116" w:rsidRPr="00066116" w:rsidRDefault="00066116" w:rsidP="00066116"/>
          <w:p w14:paraId="46608848" w14:textId="77777777" w:rsidR="00066116" w:rsidRPr="00066116" w:rsidRDefault="00066116" w:rsidP="00066116"/>
          <w:p w14:paraId="00590063" w14:textId="77777777" w:rsidR="00066116" w:rsidRPr="00066116" w:rsidRDefault="00066116" w:rsidP="00066116"/>
          <w:p w14:paraId="71707B5A" w14:textId="77777777" w:rsidR="00066116" w:rsidRPr="00066116" w:rsidRDefault="00066116" w:rsidP="00066116">
            <w:r w:rsidRPr="00066116">
              <w:t>5.149 5.291A 5.294 5.295A</w:t>
            </w:r>
          </w:p>
          <w:p w14:paraId="03391E0B" w14:textId="77777777" w:rsidR="00066116" w:rsidRPr="00066116" w:rsidRDefault="00066116" w:rsidP="00066116">
            <w:r w:rsidRPr="00066116">
              <w:t>5.296 5.300 5.304 5.306 5.307A 5.307 5.312</w:t>
            </w:r>
          </w:p>
        </w:tc>
        <w:tc>
          <w:tcPr>
            <w:tcW w:w="3210" w:type="dxa"/>
          </w:tcPr>
          <w:p w14:paraId="41422E8A" w14:textId="77777777" w:rsidR="00066116" w:rsidRPr="00066116" w:rsidRDefault="00066116" w:rsidP="00066116"/>
        </w:tc>
        <w:tc>
          <w:tcPr>
            <w:tcW w:w="3210" w:type="dxa"/>
            <w:vMerge w:val="restart"/>
          </w:tcPr>
          <w:p w14:paraId="230033DC" w14:textId="77777777" w:rsidR="00066116" w:rsidRPr="00066116" w:rsidRDefault="00066116" w:rsidP="00066116">
            <w:r w:rsidRPr="00066116">
              <w:t>470 – 585 MHz</w:t>
            </w:r>
          </w:p>
          <w:p w14:paraId="59D25397" w14:textId="77777777" w:rsidR="00066116" w:rsidRPr="00066116" w:rsidRDefault="00066116" w:rsidP="00066116">
            <w:r w:rsidRPr="00066116">
              <w:t>FIXED</w:t>
            </w:r>
          </w:p>
          <w:p w14:paraId="74DDAB6F" w14:textId="77777777" w:rsidR="00066116" w:rsidRPr="00066116" w:rsidRDefault="00066116" w:rsidP="00066116">
            <w:r w:rsidRPr="00066116">
              <w:t>MOBILE 5.296A</w:t>
            </w:r>
          </w:p>
          <w:p w14:paraId="7706AA85" w14:textId="77777777" w:rsidR="00066116" w:rsidRPr="00066116" w:rsidRDefault="00066116" w:rsidP="00066116">
            <w:r w:rsidRPr="00066116">
              <w:t>BROADCASTING</w:t>
            </w:r>
          </w:p>
          <w:p w14:paraId="55C8B16B" w14:textId="77777777" w:rsidR="00066116" w:rsidRPr="00066116" w:rsidRDefault="00066116" w:rsidP="00066116"/>
          <w:p w14:paraId="0F4B2E84" w14:textId="77777777" w:rsidR="00066116" w:rsidRPr="00066116" w:rsidRDefault="00066116" w:rsidP="00066116">
            <w:r w:rsidRPr="00066116">
              <w:t>5.291 5.298</w:t>
            </w:r>
          </w:p>
        </w:tc>
      </w:tr>
      <w:tr w:rsidR="00066116" w:rsidRPr="005B0684" w14:paraId="170CF91F" w14:textId="77777777" w:rsidTr="0007336E">
        <w:trPr>
          <w:trHeight w:val="350"/>
        </w:trPr>
        <w:tc>
          <w:tcPr>
            <w:tcW w:w="3209" w:type="dxa"/>
            <w:vMerge/>
          </w:tcPr>
          <w:p w14:paraId="1C79C286" w14:textId="77777777" w:rsidR="00066116" w:rsidRPr="00066116" w:rsidRDefault="00066116" w:rsidP="00066116"/>
        </w:tc>
        <w:tc>
          <w:tcPr>
            <w:tcW w:w="3210" w:type="dxa"/>
            <w:vMerge w:val="restart"/>
          </w:tcPr>
          <w:p w14:paraId="062856EA" w14:textId="77777777" w:rsidR="00066116" w:rsidRPr="00066116" w:rsidRDefault="00066116" w:rsidP="00066116">
            <w:r w:rsidRPr="00066116">
              <w:t>512 – 608 MHz</w:t>
            </w:r>
          </w:p>
          <w:p w14:paraId="549B0661" w14:textId="77777777" w:rsidR="00066116" w:rsidRPr="00066116" w:rsidRDefault="00066116" w:rsidP="00066116">
            <w:r w:rsidRPr="00066116">
              <w:t>BROADCASTING</w:t>
            </w:r>
          </w:p>
          <w:p w14:paraId="5A5099FE" w14:textId="77777777" w:rsidR="00066116" w:rsidRPr="00066116" w:rsidRDefault="00066116" w:rsidP="00066116"/>
          <w:p w14:paraId="61308E8C" w14:textId="77777777" w:rsidR="00066116" w:rsidRPr="00066116" w:rsidRDefault="00066116" w:rsidP="00066116">
            <w:r w:rsidRPr="00066116">
              <w:t>5.292 5.297</w:t>
            </w:r>
          </w:p>
        </w:tc>
        <w:tc>
          <w:tcPr>
            <w:tcW w:w="3210" w:type="dxa"/>
            <w:vMerge/>
          </w:tcPr>
          <w:p w14:paraId="1ED97291" w14:textId="77777777" w:rsidR="00066116" w:rsidRPr="00066116" w:rsidRDefault="00066116" w:rsidP="00066116"/>
        </w:tc>
      </w:tr>
      <w:tr w:rsidR="00066116" w:rsidRPr="005B0684" w14:paraId="4E105045" w14:textId="77777777" w:rsidTr="0007336E">
        <w:trPr>
          <w:trHeight w:val="350"/>
        </w:trPr>
        <w:tc>
          <w:tcPr>
            <w:tcW w:w="3209" w:type="dxa"/>
            <w:vMerge/>
          </w:tcPr>
          <w:p w14:paraId="67BDE8EF" w14:textId="77777777" w:rsidR="00066116" w:rsidRPr="00066116" w:rsidRDefault="00066116" w:rsidP="00066116"/>
        </w:tc>
        <w:tc>
          <w:tcPr>
            <w:tcW w:w="3210" w:type="dxa"/>
            <w:vMerge/>
          </w:tcPr>
          <w:p w14:paraId="7B9E0E62" w14:textId="77777777" w:rsidR="00066116" w:rsidRPr="00066116" w:rsidRDefault="00066116" w:rsidP="00066116"/>
        </w:tc>
        <w:tc>
          <w:tcPr>
            <w:tcW w:w="3210" w:type="dxa"/>
            <w:vMerge w:val="restart"/>
          </w:tcPr>
          <w:p w14:paraId="799AC593" w14:textId="77777777" w:rsidR="00066116" w:rsidRPr="00066116" w:rsidRDefault="00066116" w:rsidP="00066116">
            <w:r w:rsidRPr="00066116">
              <w:t>585 – 610 MHz</w:t>
            </w:r>
          </w:p>
          <w:p w14:paraId="419AA1E5" w14:textId="77777777" w:rsidR="00066116" w:rsidRPr="00066116" w:rsidRDefault="00066116" w:rsidP="00066116">
            <w:r w:rsidRPr="00066116">
              <w:t>FIXED</w:t>
            </w:r>
          </w:p>
          <w:p w14:paraId="6441B404" w14:textId="77777777" w:rsidR="00066116" w:rsidRPr="00066116" w:rsidRDefault="00066116" w:rsidP="00066116">
            <w:r w:rsidRPr="00066116">
              <w:t>MOBILE 5.296A</w:t>
            </w:r>
          </w:p>
          <w:p w14:paraId="47A3F7E3" w14:textId="77777777" w:rsidR="00066116" w:rsidRPr="00066116" w:rsidRDefault="00066116" w:rsidP="00066116">
            <w:r w:rsidRPr="00066116">
              <w:t>BROADCASTING</w:t>
            </w:r>
          </w:p>
          <w:p w14:paraId="786991A8" w14:textId="77777777" w:rsidR="00066116" w:rsidRPr="00066116" w:rsidRDefault="00066116" w:rsidP="00066116">
            <w:r w:rsidRPr="00066116">
              <w:t>RADIONAVIGATION</w:t>
            </w:r>
          </w:p>
          <w:p w14:paraId="0505E434" w14:textId="77777777" w:rsidR="00066116" w:rsidRPr="00066116" w:rsidRDefault="00066116" w:rsidP="00066116">
            <w:r w:rsidRPr="00066116">
              <w:t>5.149 5.305 5.306 5.307</w:t>
            </w:r>
          </w:p>
        </w:tc>
      </w:tr>
      <w:tr w:rsidR="00066116" w:rsidRPr="005B0684" w14:paraId="02DF92FD" w14:textId="77777777" w:rsidTr="0007336E">
        <w:trPr>
          <w:trHeight w:val="350"/>
        </w:trPr>
        <w:tc>
          <w:tcPr>
            <w:tcW w:w="3209" w:type="dxa"/>
            <w:vMerge/>
          </w:tcPr>
          <w:p w14:paraId="62E43571" w14:textId="77777777" w:rsidR="00066116" w:rsidRPr="00066116" w:rsidRDefault="00066116" w:rsidP="00066116"/>
        </w:tc>
        <w:tc>
          <w:tcPr>
            <w:tcW w:w="3210" w:type="dxa"/>
            <w:vMerge w:val="restart"/>
          </w:tcPr>
          <w:p w14:paraId="67E309BD" w14:textId="77777777" w:rsidR="00066116" w:rsidRPr="00E65FD7" w:rsidRDefault="00066116" w:rsidP="00066116">
            <w:pPr>
              <w:rPr>
                <w:lang w:val="fr-FR"/>
              </w:rPr>
            </w:pPr>
            <w:r w:rsidRPr="00E65FD7">
              <w:rPr>
                <w:lang w:val="fr-FR"/>
              </w:rPr>
              <w:t>608 - 614 MHz</w:t>
            </w:r>
          </w:p>
          <w:p w14:paraId="0BF981C3" w14:textId="77777777" w:rsidR="00066116" w:rsidRPr="00E65FD7" w:rsidRDefault="00066116" w:rsidP="00066116">
            <w:pPr>
              <w:rPr>
                <w:lang w:val="fr-FR"/>
              </w:rPr>
            </w:pPr>
            <w:r w:rsidRPr="00E65FD7">
              <w:rPr>
                <w:lang w:val="fr-FR"/>
              </w:rPr>
              <w:t>RADIO ASTRONOMY</w:t>
            </w:r>
          </w:p>
          <w:p w14:paraId="7DF3D11B" w14:textId="77777777" w:rsidR="00066116" w:rsidRPr="00E65FD7" w:rsidRDefault="00066116" w:rsidP="00066116">
            <w:pPr>
              <w:rPr>
                <w:lang w:val="fr-FR"/>
              </w:rPr>
            </w:pPr>
            <w:r w:rsidRPr="00E65FD7">
              <w:rPr>
                <w:lang w:val="fr-FR"/>
              </w:rPr>
              <w:t>Mobile satellite except</w:t>
            </w:r>
          </w:p>
          <w:p w14:paraId="0DA9ECA7" w14:textId="77777777" w:rsidR="00066116" w:rsidRPr="00E65FD7" w:rsidRDefault="00066116" w:rsidP="00066116">
            <w:pPr>
              <w:rPr>
                <w:lang w:val="fr-FR"/>
              </w:rPr>
            </w:pPr>
            <w:r w:rsidRPr="00E65FD7">
              <w:rPr>
                <w:lang w:val="fr-FR"/>
              </w:rPr>
              <w:t xml:space="preserve">    aeronautical mobile-satellite</w:t>
            </w:r>
          </w:p>
          <w:p w14:paraId="4AE86F40" w14:textId="77777777" w:rsidR="00066116" w:rsidRPr="00066116" w:rsidRDefault="00066116" w:rsidP="00066116">
            <w:r w:rsidRPr="00E65FD7">
              <w:rPr>
                <w:lang w:val="fr-FR"/>
              </w:rPr>
              <w:t xml:space="preserve">    </w:t>
            </w:r>
            <w:r w:rsidRPr="00066116">
              <w:t>(Earth-to-space)</w:t>
            </w:r>
          </w:p>
        </w:tc>
        <w:tc>
          <w:tcPr>
            <w:tcW w:w="3210" w:type="dxa"/>
            <w:vMerge/>
          </w:tcPr>
          <w:p w14:paraId="5200C703" w14:textId="77777777" w:rsidR="00066116" w:rsidRPr="00066116" w:rsidRDefault="00066116" w:rsidP="00066116"/>
        </w:tc>
      </w:tr>
      <w:tr w:rsidR="00066116" w:rsidRPr="005B0684" w14:paraId="43271D99" w14:textId="77777777" w:rsidTr="0007336E">
        <w:trPr>
          <w:trHeight w:val="350"/>
        </w:trPr>
        <w:tc>
          <w:tcPr>
            <w:tcW w:w="3209" w:type="dxa"/>
            <w:vMerge/>
          </w:tcPr>
          <w:p w14:paraId="56169FAB" w14:textId="77777777" w:rsidR="00066116" w:rsidRPr="00066116" w:rsidRDefault="00066116" w:rsidP="00066116"/>
        </w:tc>
        <w:tc>
          <w:tcPr>
            <w:tcW w:w="3210" w:type="dxa"/>
            <w:vMerge/>
          </w:tcPr>
          <w:p w14:paraId="3CF83FF6" w14:textId="77777777" w:rsidR="00066116" w:rsidRPr="00066116" w:rsidRDefault="00066116" w:rsidP="00066116"/>
        </w:tc>
        <w:tc>
          <w:tcPr>
            <w:tcW w:w="3210" w:type="dxa"/>
            <w:vMerge w:val="restart"/>
          </w:tcPr>
          <w:p w14:paraId="1ABA8CDF" w14:textId="77777777" w:rsidR="00066116" w:rsidRPr="00066116" w:rsidRDefault="00066116" w:rsidP="00066116">
            <w:r w:rsidRPr="00066116">
              <w:t>610 – 890 MHz</w:t>
            </w:r>
          </w:p>
          <w:p w14:paraId="01BB0BF3" w14:textId="77777777" w:rsidR="00066116" w:rsidRPr="00066116" w:rsidRDefault="00066116" w:rsidP="00066116">
            <w:r w:rsidRPr="00066116">
              <w:t>FIXED</w:t>
            </w:r>
          </w:p>
          <w:p w14:paraId="7FC620F2" w14:textId="77777777" w:rsidR="00066116" w:rsidRPr="00066116" w:rsidRDefault="00066116" w:rsidP="00066116">
            <w:r w:rsidRPr="00066116">
              <w:t>MOBILE 5.296A 5.313A</w:t>
            </w:r>
          </w:p>
          <w:p w14:paraId="6EEAE28B" w14:textId="77777777" w:rsidR="00066116" w:rsidRPr="00066116" w:rsidRDefault="00066116" w:rsidP="00066116">
            <w:r w:rsidRPr="00066116">
              <w:t xml:space="preserve">    5.317A</w:t>
            </w:r>
          </w:p>
          <w:p w14:paraId="4401DE5D" w14:textId="77777777" w:rsidR="00066116" w:rsidRPr="00066116" w:rsidRDefault="00066116" w:rsidP="00066116">
            <w:r w:rsidRPr="00066116">
              <w:t>BROADCASTING</w:t>
            </w:r>
          </w:p>
          <w:p w14:paraId="16BC76F8" w14:textId="77777777" w:rsidR="00066116" w:rsidRPr="00066116" w:rsidRDefault="00066116" w:rsidP="00066116"/>
          <w:p w14:paraId="572CD21F" w14:textId="77777777" w:rsidR="00066116" w:rsidRPr="00066116" w:rsidRDefault="00066116" w:rsidP="00066116">
            <w:r w:rsidRPr="00066116">
              <w:t>5.149 5.305 5.306 5.307</w:t>
            </w:r>
          </w:p>
          <w:p w14:paraId="6D85DAC8" w14:textId="77777777" w:rsidR="00066116" w:rsidRPr="00066116" w:rsidRDefault="00066116" w:rsidP="00066116">
            <w:r w:rsidRPr="00066116">
              <w:t>5.320</w:t>
            </w:r>
          </w:p>
        </w:tc>
      </w:tr>
      <w:tr w:rsidR="00066116" w:rsidRPr="005B0684" w14:paraId="76074EDD" w14:textId="77777777" w:rsidTr="0007336E">
        <w:trPr>
          <w:trHeight w:val="350"/>
        </w:trPr>
        <w:tc>
          <w:tcPr>
            <w:tcW w:w="3209" w:type="dxa"/>
            <w:vMerge/>
          </w:tcPr>
          <w:p w14:paraId="4EA742A2" w14:textId="77777777" w:rsidR="00066116" w:rsidRPr="00066116" w:rsidRDefault="00066116" w:rsidP="00066116"/>
        </w:tc>
        <w:tc>
          <w:tcPr>
            <w:tcW w:w="3210" w:type="dxa"/>
            <w:vMerge w:val="restart"/>
          </w:tcPr>
          <w:p w14:paraId="01B428B5" w14:textId="77777777" w:rsidR="00066116" w:rsidRPr="00066116" w:rsidRDefault="00066116" w:rsidP="00066116">
            <w:r w:rsidRPr="00066116">
              <w:t>614 - 698 MHz</w:t>
            </w:r>
          </w:p>
          <w:p w14:paraId="778A51C9" w14:textId="77777777" w:rsidR="00066116" w:rsidRPr="00066116" w:rsidRDefault="00066116" w:rsidP="00066116">
            <w:r w:rsidRPr="00066116">
              <w:t>BROADCASTING</w:t>
            </w:r>
          </w:p>
          <w:p w14:paraId="10708868" w14:textId="77777777" w:rsidR="00066116" w:rsidRPr="00066116" w:rsidRDefault="00066116" w:rsidP="00066116">
            <w:r w:rsidRPr="00066116">
              <w:t>Fixed</w:t>
            </w:r>
          </w:p>
          <w:p w14:paraId="482DB60D" w14:textId="77777777" w:rsidR="00066116" w:rsidRPr="00066116" w:rsidRDefault="00066116" w:rsidP="00066116">
            <w:r w:rsidRPr="00066116">
              <w:t>Mobile</w:t>
            </w:r>
          </w:p>
          <w:p w14:paraId="1CADFA60" w14:textId="77777777" w:rsidR="00066116" w:rsidRPr="00066116" w:rsidRDefault="00066116" w:rsidP="00066116">
            <w:r w:rsidRPr="00066116">
              <w:t>5.293 5.308 5.308A 5.309</w:t>
            </w:r>
          </w:p>
        </w:tc>
        <w:tc>
          <w:tcPr>
            <w:tcW w:w="3210" w:type="dxa"/>
            <w:vMerge/>
          </w:tcPr>
          <w:p w14:paraId="596AECB2" w14:textId="77777777" w:rsidR="00066116" w:rsidRPr="00066116" w:rsidRDefault="00066116" w:rsidP="00066116"/>
        </w:tc>
      </w:tr>
      <w:tr w:rsidR="00066116" w:rsidRPr="005B0684" w14:paraId="4494BACA" w14:textId="77777777" w:rsidTr="0007336E">
        <w:trPr>
          <w:trHeight w:val="350"/>
        </w:trPr>
        <w:tc>
          <w:tcPr>
            <w:tcW w:w="3209" w:type="dxa"/>
          </w:tcPr>
          <w:p w14:paraId="11696B33" w14:textId="77777777" w:rsidR="00066116" w:rsidRPr="00066116" w:rsidRDefault="00066116" w:rsidP="00066116"/>
        </w:tc>
        <w:tc>
          <w:tcPr>
            <w:tcW w:w="3210" w:type="dxa"/>
            <w:vMerge/>
          </w:tcPr>
          <w:p w14:paraId="14424132" w14:textId="77777777" w:rsidR="00066116" w:rsidRPr="00066116" w:rsidRDefault="00066116" w:rsidP="00066116"/>
        </w:tc>
        <w:tc>
          <w:tcPr>
            <w:tcW w:w="3210" w:type="dxa"/>
            <w:vMerge/>
          </w:tcPr>
          <w:p w14:paraId="4CCBE172" w14:textId="77777777" w:rsidR="00066116" w:rsidRPr="00066116" w:rsidRDefault="00066116" w:rsidP="00066116"/>
        </w:tc>
      </w:tr>
    </w:tbl>
    <w:p w14:paraId="2B68B382" w14:textId="77777777" w:rsidR="00066116" w:rsidRPr="00066116" w:rsidRDefault="00066116" w:rsidP="00066116">
      <w:pPr>
        <w:rPr>
          <w:lang w:val="da-DK"/>
        </w:rPr>
      </w:pPr>
    </w:p>
    <w:sectPr w:rsidR="00066116" w:rsidRPr="00066116" w:rsidSect="00482679">
      <w:headerReference w:type="even" r:id="rId12"/>
      <w:headerReference w:type="default" r:id="rId13"/>
      <w:footerReference w:type="even"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BF44" w14:textId="77777777" w:rsidR="000373B6" w:rsidRDefault="000373B6" w:rsidP="00D0121B">
      <w:r>
        <w:separator/>
      </w:r>
    </w:p>
    <w:p w14:paraId="5FF67256" w14:textId="77777777" w:rsidR="000373B6" w:rsidRDefault="000373B6"/>
    <w:p w14:paraId="0C8D36E5" w14:textId="77777777" w:rsidR="000373B6" w:rsidRDefault="000373B6"/>
  </w:endnote>
  <w:endnote w:type="continuationSeparator" w:id="0">
    <w:p w14:paraId="5C37044A" w14:textId="77777777" w:rsidR="000373B6" w:rsidRDefault="000373B6" w:rsidP="00D0121B">
      <w:r>
        <w:continuationSeparator/>
      </w:r>
    </w:p>
    <w:p w14:paraId="45AC81CB" w14:textId="77777777" w:rsidR="000373B6" w:rsidRDefault="000373B6"/>
    <w:p w14:paraId="05FC2CB4" w14:textId="77777777" w:rsidR="000373B6" w:rsidRDefault="00037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84C0" w14:textId="77777777" w:rsidR="0007336E" w:rsidRDefault="0007336E">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179" w14:textId="77777777" w:rsidR="0007336E" w:rsidRDefault="0007336E">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A73C" w14:textId="77777777" w:rsidR="0007336E" w:rsidRDefault="0007336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89BD" w14:textId="77777777" w:rsidR="000373B6" w:rsidRPr="00C77ABB" w:rsidRDefault="000373B6" w:rsidP="00C77ABB">
      <w:pPr>
        <w:pStyle w:val="FootnoteText"/>
      </w:pPr>
      <w:r w:rsidRPr="00C77ABB">
        <w:separator/>
      </w:r>
    </w:p>
  </w:footnote>
  <w:footnote w:type="continuationSeparator" w:id="0">
    <w:p w14:paraId="1FEA056A" w14:textId="77777777" w:rsidR="000373B6" w:rsidRPr="00C77ABB" w:rsidRDefault="000373B6"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07E" w14:textId="0D91F4D9" w:rsidR="0007336E" w:rsidRPr="00CF2EC7" w:rsidRDefault="0007336E" w:rsidP="003A68D5">
    <w:pPr>
      <w:pStyle w:val="ECCpageHeader"/>
      <w:rPr>
        <w:lang w:val="en-US"/>
      </w:rPr>
    </w:pPr>
    <w:r w:rsidRPr="00CF2EC7">
      <w:rPr>
        <w:lang w:val="en-US"/>
      </w:rPr>
      <w:t xml:space="preserve">Draft CEPT Brief on AI </w:t>
    </w:r>
    <w:r>
      <w:t>1.17</w:t>
    </w:r>
    <w:r w:rsidRPr="00CF2EC7">
      <w:rPr>
        <w:lang w:val="en-US"/>
      </w:rPr>
      <w:t xml:space="preserve"> - Page </w:t>
    </w:r>
    <w:r w:rsidRPr="005611D0">
      <w:fldChar w:fldCharType="begin"/>
    </w:r>
    <w:r w:rsidRPr="00CF2EC7">
      <w:rPr>
        <w:lang w:val="en-US"/>
      </w:rPr>
      <w:instrText xml:space="preserve"> PAGE  \* Arabic  \* MERGEFORMAT </w:instrText>
    </w:r>
    <w:r w:rsidRPr="005611D0">
      <w:fldChar w:fldCharType="separate"/>
    </w:r>
    <w:r w:rsidR="002F2902">
      <w:rPr>
        <w:noProof/>
        <w:lang w:val="en-US"/>
      </w:rPr>
      <w:t>10</w:t>
    </w:r>
    <w:r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8D66" w14:textId="053261CD" w:rsidR="0007336E" w:rsidRPr="00CF2EC7" w:rsidRDefault="0007336E" w:rsidP="003A68D5">
    <w:pPr>
      <w:pStyle w:val="ECCpageHeader"/>
      <w:rPr>
        <w:lang w:val="en-US"/>
      </w:rPr>
    </w:pPr>
    <w:r>
      <w:tab/>
    </w:r>
    <w:r>
      <w:tab/>
    </w:r>
    <w:r w:rsidRPr="00CF2EC7">
      <w:rPr>
        <w:lang w:val="en-US"/>
      </w:rPr>
      <w:t xml:space="preserve">Draft CEPT Brief on AI </w:t>
    </w:r>
    <w:r>
      <w:t>1.17</w:t>
    </w:r>
    <w:r w:rsidRPr="00CF2EC7">
      <w:rPr>
        <w:lang w:val="en-US"/>
      </w:rPr>
      <w:t xml:space="preserve"> - Page </w:t>
    </w:r>
    <w:r w:rsidRPr="005611D0">
      <w:fldChar w:fldCharType="begin"/>
    </w:r>
    <w:r w:rsidRPr="00CF2EC7">
      <w:rPr>
        <w:lang w:val="en-US"/>
      </w:rPr>
      <w:instrText xml:space="preserve"> PAGE  \* Arabic  \* MERGEFORMAT </w:instrText>
    </w:r>
    <w:r w:rsidRPr="005611D0">
      <w:fldChar w:fldCharType="separate"/>
    </w:r>
    <w:r w:rsidR="002F2902">
      <w:rPr>
        <w:noProof/>
        <w:lang w:val="en-US"/>
      </w:rPr>
      <w:t>9</w:t>
    </w:r>
    <w:r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F93C" w14:textId="2A734078" w:rsidR="0007336E" w:rsidRDefault="0007336E" w:rsidP="00B02C2F">
    <w:pPr>
      <w:pStyle w:val="ECCpageHeader"/>
    </w:pPr>
    <w:r w:rsidRPr="008742E3">
      <w:rPr>
        <w:noProof/>
        <w:lang w:val="de-DE" w:eastAsia="de-DE"/>
      </w:rPr>
      <w:drawing>
        <wp:inline distT="0" distB="0" distL="0" distR="0" wp14:anchorId="5915B276" wp14:editId="306C4E0E">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val="de-DE" w:eastAsia="de-DE"/>
      </w:rPr>
      <w:drawing>
        <wp:inline distT="0" distB="0" distL="0" distR="0" wp14:anchorId="45FB4C39" wp14:editId="54A7F814">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227CF7C3" w14:textId="77777777" w:rsidR="002F2902" w:rsidRDefault="002F2902" w:rsidP="00B02C2F">
    <w:pPr>
      <w:pStyle w:val="ECCpageHeader"/>
    </w:pPr>
  </w:p>
  <w:p w14:paraId="3506B82D" w14:textId="77777777" w:rsidR="0007336E" w:rsidRPr="005611D0" w:rsidRDefault="0007336E" w:rsidP="00B02C2F">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4ED923F8"/>
    <w:multiLevelType w:val="hybridMultilevel"/>
    <w:tmpl w:val="3F725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225A21"/>
    <w:multiLevelType w:val="hybridMultilevel"/>
    <w:tmpl w:val="23888AA2"/>
    <w:lvl w:ilvl="0" w:tplc="DFE60CAA">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3006197">
    <w:abstractNumId w:val="11"/>
  </w:num>
  <w:num w:numId="2" w16cid:durableId="129174649">
    <w:abstractNumId w:val="12"/>
  </w:num>
  <w:num w:numId="3" w16cid:durableId="2077165351">
    <w:abstractNumId w:val="11"/>
  </w:num>
  <w:num w:numId="4" w16cid:durableId="372583303">
    <w:abstractNumId w:val="17"/>
  </w:num>
  <w:num w:numId="5" w16cid:durableId="122431722">
    <w:abstractNumId w:val="14"/>
  </w:num>
  <w:num w:numId="6" w16cid:durableId="997269565">
    <w:abstractNumId w:val="16"/>
  </w:num>
  <w:num w:numId="7" w16cid:durableId="1933587974">
    <w:abstractNumId w:val="15"/>
  </w:num>
  <w:num w:numId="8" w16cid:durableId="841699122">
    <w:abstractNumId w:val="10"/>
  </w:num>
  <w:num w:numId="9" w16cid:durableId="1929070516">
    <w:abstractNumId w:val="9"/>
  </w:num>
  <w:num w:numId="10" w16cid:durableId="425032542">
    <w:abstractNumId w:val="7"/>
  </w:num>
  <w:num w:numId="11" w16cid:durableId="89937372">
    <w:abstractNumId w:val="6"/>
  </w:num>
  <w:num w:numId="12" w16cid:durableId="1879049512">
    <w:abstractNumId w:val="5"/>
  </w:num>
  <w:num w:numId="13" w16cid:durableId="97798602">
    <w:abstractNumId w:val="4"/>
  </w:num>
  <w:num w:numId="14" w16cid:durableId="1768035018">
    <w:abstractNumId w:val="8"/>
  </w:num>
  <w:num w:numId="15" w16cid:durableId="2141875653">
    <w:abstractNumId w:val="3"/>
  </w:num>
  <w:num w:numId="16" w16cid:durableId="1508641972">
    <w:abstractNumId w:val="2"/>
  </w:num>
  <w:num w:numId="17" w16cid:durableId="1400248705">
    <w:abstractNumId w:val="1"/>
  </w:num>
  <w:num w:numId="18" w16cid:durableId="172764736">
    <w:abstractNumId w:val="0"/>
  </w:num>
  <w:num w:numId="19" w16cid:durableId="1030300377">
    <w:abstractNumId w:val="13"/>
  </w:num>
  <w:num w:numId="20" w16cid:durableId="527834185">
    <w:abstractNumId w:val="13"/>
  </w:num>
  <w:num w:numId="21" w16cid:durableId="1110860697">
    <w:abstractNumId w:val="10"/>
  </w:num>
  <w:num w:numId="22" w16cid:durableId="134808644">
    <w:abstractNumId w:val="12"/>
  </w:num>
  <w:num w:numId="23" w16cid:durableId="1132598989">
    <w:abstractNumId w:val="12"/>
  </w:num>
  <w:num w:numId="24" w16cid:durableId="257491138">
    <w:abstractNumId w:val="12"/>
  </w:num>
  <w:num w:numId="25" w16cid:durableId="509103125">
    <w:abstractNumId w:val="12"/>
  </w:num>
  <w:num w:numId="26" w16cid:durableId="973608670">
    <w:abstractNumId w:val="10"/>
  </w:num>
  <w:num w:numId="27" w16cid:durableId="283927601">
    <w:abstractNumId w:val="10"/>
  </w:num>
  <w:num w:numId="28" w16cid:durableId="345207800">
    <w:abstractNumId w:val="10"/>
  </w:num>
  <w:num w:numId="29" w16cid:durableId="991449311">
    <w:abstractNumId w:val="13"/>
  </w:num>
  <w:num w:numId="30" w16cid:durableId="661474133">
    <w:abstractNumId w:val="15"/>
  </w:num>
  <w:num w:numId="31" w16cid:durableId="1098018114">
    <w:abstractNumId w:val="17"/>
  </w:num>
  <w:num w:numId="32" w16cid:durableId="2055420464">
    <w:abstractNumId w:val="14"/>
  </w:num>
  <w:num w:numId="33" w16cid:durableId="475344660">
    <w:abstractNumId w:val="16"/>
  </w:num>
  <w:num w:numId="34" w16cid:durableId="611278056">
    <w:abstractNumId w:val="15"/>
  </w:num>
  <w:num w:numId="35" w16cid:durableId="74977206">
    <w:abstractNumId w:val="15"/>
  </w:num>
  <w:num w:numId="36" w16cid:durableId="610166379">
    <w:abstractNumId w:val="15"/>
  </w:num>
  <w:num w:numId="37" w16cid:durableId="928734562">
    <w:abstractNumId w:val="18"/>
  </w:num>
  <w:num w:numId="38" w16cid:durableId="431053266">
    <w:abstractNumId w:val="10"/>
  </w:num>
  <w:num w:numId="39" w16cid:durableId="647393064">
    <w:abstractNumId w:val="19"/>
  </w:num>
  <w:num w:numId="40" w16cid:durableId="895815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ocumentProtection w:formatting="1" w:enforcement="1" w:spinCount="100000" w:hashValue="kGPriJzZ2NeTQbLhCJkpHE8Adb6PXQ8fJpzHrkD7uEcz4POHT1ZNTpNWz0DGuO7W/a1ZaKpHyqG1cpE/F1ULtQ==" w:saltValue="+iOKmdLsYjqiyaO9OuoMVg==" w:algorithmName="SHA-512"/>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2E"/>
    <w:rsid w:val="00002180"/>
    <w:rsid w:val="000042BF"/>
    <w:rsid w:val="000046DE"/>
    <w:rsid w:val="00005863"/>
    <w:rsid w:val="00010CA8"/>
    <w:rsid w:val="0001519F"/>
    <w:rsid w:val="00016069"/>
    <w:rsid w:val="00017A6F"/>
    <w:rsid w:val="00023AE6"/>
    <w:rsid w:val="00024227"/>
    <w:rsid w:val="00030AB1"/>
    <w:rsid w:val="000315D9"/>
    <w:rsid w:val="000354CD"/>
    <w:rsid w:val="00036EB7"/>
    <w:rsid w:val="000373B6"/>
    <w:rsid w:val="00037D93"/>
    <w:rsid w:val="00041A18"/>
    <w:rsid w:val="00052CAE"/>
    <w:rsid w:val="000611F2"/>
    <w:rsid w:val="00061762"/>
    <w:rsid w:val="00061E44"/>
    <w:rsid w:val="00062CB1"/>
    <w:rsid w:val="000660F5"/>
    <w:rsid w:val="00066116"/>
    <w:rsid w:val="00067793"/>
    <w:rsid w:val="000701A5"/>
    <w:rsid w:val="0007336E"/>
    <w:rsid w:val="00073604"/>
    <w:rsid w:val="00075062"/>
    <w:rsid w:val="00080D4D"/>
    <w:rsid w:val="00082DD7"/>
    <w:rsid w:val="000935EC"/>
    <w:rsid w:val="00094271"/>
    <w:rsid w:val="00095620"/>
    <w:rsid w:val="00095D45"/>
    <w:rsid w:val="000978E0"/>
    <w:rsid w:val="00097D7A"/>
    <w:rsid w:val="000A2444"/>
    <w:rsid w:val="000A29BC"/>
    <w:rsid w:val="000A3703"/>
    <w:rsid w:val="000A3940"/>
    <w:rsid w:val="000A3F8A"/>
    <w:rsid w:val="000A6285"/>
    <w:rsid w:val="000A6C13"/>
    <w:rsid w:val="000B2156"/>
    <w:rsid w:val="000B381F"/>
    <w:rsid w:val="000B5026"/>
    <w:rsid w:val="000C028F"/>
    <w:rsid w:val="000C395C"/>
    <w:rsid w:val="000C40C0"/>
    <w:rsid w:val="000C5CB6"/>
    <w:rsid w:val="000D1710"/>
    <w:rsid w:val="000D1811"/>
    <w:rsid w:val="000D635F"/>
    <w:rsid w:val="000D7A37"/>
    <w:rsid w:val="000E42F5"/>
    <w:rsid w:val="000E4820"/>
    <w:rsid w:val="000E52DF"/>
    <w:rsid w:val="000E6AE3"/>
    <w:rsid w:val="000F0594"/>
    <w:rsid w:val="000F1620"/>
    <w:rsid w:val="000F24F5"/>
    <w:rsid w:val="000F3F0B"/>
    <w:rsid w:val="000F41FF"/>
    <w:rsid w:val="000F4F15"/>
    <w:rsid w:val="000F7408"/>
    <w:rsid w:val="001006CA"/>
    <w:rsid w:val="00100F8B"/>
    <w:rsid w:val="0011449C"/>
    <w:rsid w:val="00115806"/>
    <w:rsid w:val="0012291A"/>
    <w:rsid w:val="0012530A"/>
    <w:rsid w:val="00126414"/>
    <w:rsid w:val="00127422"/>
    <w:rsid w:val="0013265D"/>
    <w:rsid w:val="00146276"/>
    <w:rsid w:val="001463FB"/>
    <w:rsid w:val="00147CC6"/>
    <w:rsid w:val="0016611C"/>
    <w:rsid w:val="0016647F"/>
    <w:rsid w:val="00167DE6"/>
    <w:rsid w:val="0017456E"/>
    <w:rsid w:val="00174A66"/>
    <w:rsid w:val="00175EBC"/>
    <w:rsid w:val="00183FE0"/>
    <w:rsid w:val="001848B6"/>
    <w:rsid w:val="0018553F"/>
    <w:rsid w:val="001A0BEC"/>
    <w:rsid w:val="001A5DAD"/>
    <w:rsid w:val="001B0CD5"/>
    <w:rsid w:val="001B31B9"/>
    <w:rsid w:val="001B58DA"/>
    <w:rsid w:val="001B778A"/>
    <w:rsid w:val="001C0A97"/>
    <w:rsid w:val="001C200F"/>
    <w:rsid w:val="001C4815"/>
    <w:rsid w:val="001D15AA"/>
    <w:rsid w:val="001D1CC6"/>
    <w:rsid w:val="001D334F"/>
    <w:rsid w:val="001D4247"/>
    <w:rsid w:val="001D5C34"/>
    <w:rsid w:val="001E337B"/>
    <w:rsid w:val="001E46AA"/>
    <w:rsid w:val="001F2B07"/>
    <w:rsid w:val="001F4E0E"/>
    <w:rsid w:val="0020079A"/>
    <w:rsid w:val="002017D6"/>
    <w:rsid w:val="0020250F"/>
    <w:rsid w:val="00202F78"/>
    <w:rsid w:val="0020324D"/>
    <w:rsid w:val="002132DB"/>
    <w:rsid w:val="0021363B"/>
    <w:rsid w:val="00220194"/>
    <w:rsid w:val="00226070"/>
    <w:rsid w:val="002330B7"/>
    <w:rsid w:val="00235592"/>
    <w:rsid w:val="00236978"/>
    <w:rsid w:val="00241D35"/>
    <w:rsid w:val="002432E9"/>
    <w:rsid w:val="00247F1B"/>
    <w:rsid w:val="00251F87"/>
    <w:rsid w:val="00254FA2"/>
    <w:rsid w:val="00257E0A"/>
    <w:rsid w:val="0026140C"/>
    <w:rsid w:val="002620A2"/>
    <w:rsid w:val="0026229A"/>
    <w:rsid w:val="002715C9"/>
    <w:rsid w:val="00271881"/>
    <w:rsid w:val="0027241D"/>
    <w:rsid w:val="00273354"/>
    <w:rsid w:val="00274F84"/>
    <w:rsid w:val="0028060B"/>
    <w:rsid w:val="00280AD6"/>
    <w:rsid w:val="0028120C"/>
    <w:rsid w:val="00285FBE"/>
    <w:rsid w:val="0028727E"/>
    <w:rsid w:val="00287C0F"/>
    <w:rsid w:val="00290915"/>
    <w:rsid w:val="002914AF"/>
    <w:rsid w:val="00292527"/>
    <w:rsid w:val="00293920"/>
    <w:rsid w:val="00293EF7"/>
    <w:rsid w:val="00295827"/>
    <w:rsid w:val="00295EA3"/>
    <w:rsid w:val="00295F16"/>
    <w:rsid w:val="00296C65"/>
    <w:rsid w:val="002A0813"/>
    <w:rsid w:val="002A7BE3"/>
    <w:rsid w:val="002B1EBE"/>
    <w:rsid w:val="002B45D4"/>
    <w:rsid w:val="002B4D93"/>
    <w:rsid w:val="002C0CE1"/>
    <w:rsid w:val="002C5C63"/>
    <w:rsid w:val="002C6AE3"/>
    <w:rsid w:val="002D1FA9"/>
    <w:rsid w:val="002D50A3"/>
    <w:rsid w:val="002D6680"/>
    <w:rsid w:val="002E19E2"/>
    <w:rsid w:val="002E4EA1"/>
    <w:rsid w:val="002E786C"/>
    <w:rsid w:val="002F1E6A"/>
    <w:rsid w:val="002F2902"/>
    <w:rsid w:val="002F469C"/>
    <w:rsid w:val="003031DA"/>
    <w:rsid w:val="00303F37"/>
    <w:rsid w:val="00304950"/>
    <w:rsid w:val="00307A79"/>
    <w:rsid w:val="00312E94"/>
    <w:rsid w:val="00316324"/>
    <w:rsid w:val="00317636"/>
    <w:rsid w:val="00320193"/>
    <w:rsid w:val="003219F7"/>
    <w:rsid w:val="00321F1E"/>
    <w:rsid w:val="00322E6A"/>
    <w:rsid w:val="0032496D"/>
    <w:rsid w:val="00326F17"/>
    <w:rsid w:val="0033015E"/>
    <w:rsid w:val="003309E6"/>
    <w:rsid w:val="003313F7"/>
    <w:rsid w:val="003314A0"/>
    <w:rsid w:val="0033782A"/>
    <w:rsid w:val="00341614"/>
    <w:rsid w:val="003419EF"/>
    <w:rsid w:val="00341DDC"/>
    <w:rsid w:val="003436B5"/>
    <w:rsid w:val="00352669"/>
    <w:rsid w:val="00352C13"/>
    <w:rsid w:val="00361E54"/>
    <w:rsid w:val="0036268F"/>
    <w:rsid w:val="00362FAE"/>
    <w:rsid w:val="003630AE"/>
    <w:rsid w:val="00364E86"/>
    <w:rsid w:val="00370A0C"/>
    <w:rsid w:val="00371521"/>
    <w:rsid w:val="00376BB1"/>
    <w:rsid w:val="003771D5"/>
    <w:rsid w:val="00382000"/>
    <w:rsid w:val="0038358E"/>
    <w:rsid w:val="00386D12"/>
    <w:rsid w:val="00391A01"/>
    <w:rsid w:val="003A0EDC"/>
    <w:rsid w:val="003A2C69"/>
    <w:rsid w:val="003A465E"/>
    <w:rsid w:val="003A5711"/>
    <w:rsid w:val="003A68D5"/>
    <w:rsid w:val="003B096D"/>
    <w:rsid w:val="003B2B64"/>
    <w:rsid w:val="003B37A6"/>
    <w:rsid w:val="003B7070"/>
    <w:rsid w:val="003C417A"/>
    <w:rsid w:val="003C64D9"/>
    <w:rsid w:val="003D4728"/>
    <w:rsid w:val="003D78DA"/>
    <w:rsid w:val="003E4248"/>
    <w:rsid w:val="003E70E0"/>
    <w:rsid w:val="003F02D0"/>
    <w:rsid w:val="003F12D5"/>
    <w:rsid w:val="003F357C"/>
    <w:rsid w:val="003F5254"/>
    <w:rsid w:val="003F68D3"/>
    <w:rsid w:val="00403CE6"/>
    <w:rsid w:val="004070A7"/>
    <w:rsid w:val="00407336"/>
    <w:rsid w:val="004074CC"/>
    <w:rsid w:val="004110CA"/>
    <w:rsid w:val="00411472"/>
    <w:rsid w:val="004206CC"/>
    <w:rsid w:val="004232E3"/>
    <w:rsid w:val="00424203"/>
    <w:rsid w:val="0042509E"/>
    <w:rsid w:val="0043198E"/>
    <w:rsid w:val="00440CF2"/>
    <w:rsid w:val="00443482"/>
    <w:rsid w:val="00443912"/>
    <w:rsid w:val="0044446F"/>
    <w:rsid w:val="00446E3E"/>
    <w:rsid w:val="0044763F"/>
    <w:rsid w:val="00450308"/>
    <w:rsid w:val="0045040C"/>
    <w:rsid w:val="00450B55"/>
    <w:rsid w:val="00457AD1"/>
    <w:rsid w:val="0046427F"/>
    <w:rsid w:val="0046451E"/>
    <w:rsid w:val="00465185"/>
    <w:rsid w:val="00470D4B"/>
    <w:rsid w:val="0047129F"/>
    <w:rsid w:val="00473268"/>
    <w:rsid w:val="00473469"/>
    <w:rsid w:val="00473846"/>
    <w:rsid w:val="00473B9D"/>
    <w:rsid w:val="00474DC4"/>
    <w:rsid w:val="00475168"/>
    <w:rsid w:val="00476B3A"/>
    <w:rsid w:val="00482679"/>
    <w:rsid w:val="00485307"/>
    <w:rsid w:val="00485535"/>
    <w:rsid w:val="00491977"/>
    <w:rsid w:val="0049425A"/>
    <w:rsid w:val="0049491B"/>
    <w:rsid w:val="00494A07"/>
    <w:rsid w:val="00497D4B"/>
    <w:rsid w:val="004A1155"/>
    <w:rsid w:val="004A1329"/>
    <w:rsid w:val="004A50FF"/>
    <w:rsid w:val="004A511D"/>
    <w:rsid w:val="004A7499"/>
    <w:rsid w:val="004B0770"/>
    <w:rsid w:val="004B18B6"/>
    <w:rsid w:val="004B43DE"/>
    <w:rsid w:val="004B796F"/>
    <w:rsid w:val="004C3BE6"/>
    <w:rsid w:val="004C4A2E"/>
    <w:rsid w:val="004C5CA2"/>
    <w:rsid w:val="004C70B3"/>
    <w:rsid w:val="004D058E"/>
    <w:rsid w:val="004D0CFA"/>
    <w:rsid w:val="004D2028"/>
    <w:rsid w:val="004D40E4"/>
    <w:rsid w:val="004D5EA3"/>
    <w:rsid w:val="004D7F5F"/>
    <w:rsid w:val="004E2DE5"/>
    <w:rsid w:val="004E44C8"/>
    <w:rsid w:val="004E53BE"/>
    <w:rsid w:val="004F16F4"/>
    <w:rsid w:val="004F3F81"/>
    <w:rsid w:val="004F5B8E"/>
    <w:rsid w:val="004F6CA7"/>
    <w:rsid w:val="0050086E"/>
    <w:rsid w:val="005014E9"/>
    <w:rsid w:val="005028D4"/>
    <w:rsid w:val="00514C25"/>
    <w:rsid w:val="0051787C"/>
    <w:rsid w:val="00521A95"/>
    <w:rsid w:val="00523446"/>
    <w:rsid w:val="005255A0"/>
    <w:rsid w:val="00527B39"/>
    <w:rsid w:val="005306FF"/>
    <w:rsid w:val="005338C9"/>
    <w:rsid w:val="00535050"/>
    <w:rsid w:val="00536F3C"/>
    <w:rsid w:val="0054260E"/>
    <w:rsid w:val="00550D79"/>
    <w:rsid w:val="00553A22"/>
    <w:rsid w:val="00554C4C"/>
    <w:rsid w:val="005559AC"/>
    <w:rsid w:val="005569B8"/>
    <w:rsid w:val="00557609"/>
    <w:rsid w:val="00557B5A"/>
    <w:rsid w:val="005611D0"/>
    <w:rsid w:val="005661B4"/>
    <w:rsid w:val="0056659A"/>
    <w:rsid w:val="00570BE1"/>
    <w:rsid w:val="00571A40"/>
    <w:rsid w:val="0057228C"/>
    <w:rsid w:val="005736B2"/>
    <w:rsid w:val="00576A03"/>
    <w:rsid w:val="0057797A"/>
    <w:rsid w:val="005817E4"/>
    <w:rsid w:val="00581810"/>
    <w:rsid w:val="00583072"/>
    <w:rsid w:val="00594186"/>
    <w:rsid w:val="00595B5F"/>
    <w:rsid w:val="00596E1D"/>
    <w:rsid w:val="00597548"/>
    <w:rsid w:val="005A0FC6"/>
    <w:rsid w:val="005A1214"/>
    <w:rsid w:val="005A18CA"/>
    <w:rsid w:val="005A1935"/>
    <w:rsid w:val="005A456C"/>
    <w:rsid w:val="005A4978"/>
    <w:rsid w:val="005A4DD0"/>
    <w:rsid w:val="005A53B8"/>
    <w:rsid w:val="005A7C4C"/>
    <w:rsid w:val="005B0684"/>
    <w:rsid w:val="005B12CB"/>
    <w:rsid w:val="005B17AC"/>
    <w:rsid w:val="005B29A7"/>
    <w:rsid w:val="005B44C6"/>
    <w:rsid w:val="005B531F"/>
    <w:rsid w:val="005B5E6A"/>
    <w:rsid w:val="005B6B88"/>
    <w:rsid w:val="005C10EB"/>
    <w:rsid w:val="005C3D99"/>
    <w:rsid w:val="005D371D"/>
    <w:rsid w:val="005D403C"/>
    <w:rsid w:val="005D43BE"/>
    <w:rsid w:val="005D5C60"/>
    <w:rsid w:val="005E58BE"/>
    <w:rsid w:val="005E7495"/>
    <w:rsid w:val="005F1896"/>
    <w:rsid w:val="005F19C5"/>
    <w:rsid w:val="005F40BD"/>
    <w:rsid w:val="005F4C7D"/>
    <w:rsid w:val="005F686C"/>
    <w:rsid w:val="00600321"/>
    <w:rsid w:val="006037A5"/>
    <w:rsid w:val="00605E77"/>
    <w:rsid w:val="00616428"/>
    <w:rsid w:val="00621C12"/>
    <w:rsid w:val="00627E95"/>
    <w:rsid w:val="00630A2D"/>
    <w:rsid w:val="00634701"/>
    <w:rsid w:val="0063507D"/>
    <w:rsid w:val="00635A22"/>
    <w:rsid w:val="00635FE5"/>
    <w:rsid w:val="0064035C"/>
    <w:rsid w:val="0064104F"/>
    <w:rsid w:val="00642083"/>
    <w:rsid w:val="006420F2"/>
    <w:rsid w:val="00643FA9"/>
    <w:rsid w:val="00644E4D"/>
    <w:rsid w:val="0064560A"/>
    <w:rsid w:val="00647D4E"/>
    <w:rsid w:val="00651044"/>
    <w:rsid w:val="00652804"/>
    <w:rsid w:val="006535A0"/>
    <w:rsid w:val="006548B6"/>
    <w:rsid w:val="0065550D"/>
    <w:rsid w:val="006560E7"/>
    <w:rsid w:val="00657AD4"/>
    <w:rsid w:val="00665364"/>
    <w:rsid w:val="00666271"/>
    <w:rsid w:val="0066773D"/>
    <w:rsid w:val="00677168"/>
    <w:rsid w:val="0068085F"/>
    <w:rsid w:val="00681D50"/>
    <w:rsid w:val="006876A8"/>
    <w:rsid w:val="00687B43"/>
    <w:rsid w:val="0069444B"/>
    <w:rsid w:val="00694E2E"/>
    <w:rsid w:val="006A49E3"/>
    <w:rsid w:val="006B0585"/>
    <w:rsid w:val="006B1EFD"/>
    <w:rsid w:val="006B2301"/>
    <w:rsid w:val="006C454C"/>
    <w:rsid w:val="006C5C1C"/>
    <w:rsid w:val="006E2819"/>
    <w:rsid w:val="006E3F4F"/>
    <w:rsid w:val="006E4888"/>
    <w:rsid w:val="006E59D4"/>
    <w:rsid w:val="006F0442"/>
    <w:rsid w:val="006F1E96"/>
    <w:rsid w:val="006F5811"/>
    <w:rsid w:val="006F6228"/>
    <w:rsid w:val="00701873"/>
    <w:rsid w:val="0070209A"/>
    <w:rsid w:val="007023A3"/>
    <w:rsid w:val="00703FC0"/>
    <w:rsid w:val="007160BE"/>
    <w:rsid w:val="007163C6"/>
    <w:rsid w:val="00721539"/>
    <w:rsid w:val="00722F65"/>
    <w:rsid w:val="0072577F"/>
    <w:rsid w:val="0072609F"/>
    <w:rsid w:val="00726836"/>
    <w:rsid w:val="00727F8C"/>
    <w:rsid w:val="00734A4F"/>
    <w:rsid w:val="00735D05"/>
    <w:rsid w:val="0073740D"/>
    <w:rsid w:val="007378F3"/>
    <w:rsid w:val="007461FE"/>
    <w:rsid w:val="007544D1"/>
    <w:rsid w:val="00762BCC"/>
    <w:rsid w:val="00763BA3"/>
    <w:rsid w:val="007657C8"/>
    <w:rsid w:val="00765B66"/>
    <w:rsid w:val="00767BB2"/>
    <w:rsid w:val="00770621"/>
    <w:rsid w:val="00771969"/>
    <w:rsid w:val="00771FB0"/>
    <w:rsid w:val="00777344"/>
    <w:rsid w:val="00777419"/>
    <w:rsid w:val="007775A9"/>
    <w:rsid w:val="00780376"/>
    <w:rsid w:val="00785B48"/>
    <w:rsid w:val="00787341"/>
    <w:rsid w:val="00791AAC"/>
    <w:rsid w:val="0079410C"/>
    <w:rsid w:val="00797D4C"/>
    <w:rsid w:val="007B0D9D"/>
    <w:rsid w:val="007B52C8"/>
    <w:rsid w:val="007B719C"/>
    <w:rsid w:val="007C0E7E"/>
    <w:rsid w:val="007C4AAD"/>
    <w:rsid w:val="007C5A3B"/>
    <w:rsid w:val="007D0452"/>
    <w:rsid w:val="007D17C5"/>
    <w:rsid w:val="007D2418"/>
    <w:rsid w:val="007D52EC"/>
    <w:rsid w:val="007D6F63"/>
    <w:rsid w:val="007E5631"/>
    <w:rsid w:val="007E5F62"/>
    <w:rsid w:val="007F1CEE"/>
    <w:rsid w:val="007F2AB2"/>
    <w:rsid w:val="007F4FB1"/>
    <w:rsid w:val="0080128A"/>
    <w:rsid w:val="008018F0"/>
    <w:rsid w:val="008062AC"/>
    <w:rsid w:val="00817826"/>
    <w:rsid w:val="008221CB"/>
    <w:rsid w:val="008269BE"/>
    <w:rsid w:val="008370EE"/>
    <w:rsid w:val="00837537"/>
    <w:rsid w:val="0084137F"/>
    <w:rsid w:val="008559EB"/>
    <w:rsid w:val="0086094D"/>
    <w:rsid w:val="00871EF1"/>
    <w:rsid w:val="00872382"/>
    <w:rsid w:val="00872A9D"/>
    <w:rsid w:val="008742E3"/>
    <w:rsid w:val="00883AD0"/>
    <w:rsid w:val="00885BFF"/>
    <w:rsid w:val="00887767"/>
    <w:rsid w:val="00890D52"/>
    <w:rsid w:val="00893BD9"/>
    <w:rsid w:val="00893D50"/>
    <w:rsid w:val="008A1078"/>
    <w:rsid w:val="008A1315"/>
    <w:rsid w:val="008A38A9"/>
    <w:rsid w:val="008A54FC"/>
    <w:rsid w:val="008B4F65"/>
    <w:rsid w:val="008B70CD"/>
    <w:rsid w:val="008B7CE5"/>
    <w:rsid w:val="008C14EA"/>
    <w:rsid w:val="008C4F46"/>
    <w:rsid w:val="008D218A"/>
    <w:rsid w:val="008D4314"/>
    <w:rsid w:val="008E117A"/>
    <w:rsid w:val="008E1DC7"/>
    <w:rsid w:val="008E41ED"/>
    <w:rsid w:val="008E422B"/>
    <w:rsid w:val="008E6109"/>
    <w:rsid w:val="008F440C"/>
    <w:rsid w:val="008F79E3"/>
    <w:rsid w:val="009006DF"/>
    <w:rsid w:val="009033CD"/>
    <w:rsid w:val="00911236"/>
    <w:rsid w:val="009170EA"/>
    <w:rsid w:val="00917CFB"/>
    <w:rsid w:val="00917D1C"/>
    <w:rsid w:val="0092076F"/>
    <w:rsid w:val="009239AA"/>
    <w:rsid w:val="00925ACF"/>
    <w:rsid w:val="00927833"/>
    <w:rsid w:val="00930439"/>
    <w:rsid w:val="00930BDF"/>
    <w:rsid w:val="00934799"/>
    <w:rsid w:val="00937664"/>
    <w:rsid w:val="00937FE5"/>
    <w:rsid w:val="009434C3"/>
    <w:rsid w:val="0094498D"/>
    <w:rsid w:val="009453F8"/>
    <w:rsid w:val="00947A5A"/>
    <w:rsid w:val="00954947"/>
    <w:rsid w:val="00962FB3"/>
    <w:rsid w:val="00965880"/>
    <w:rsid w:val="009701EC"/>
    <w:rsid w:val="009739D2"/>
    <w:rsid w:val="0097569A"/>
    <w:rsid w:val="009770CA"/>
    <w:rsid w:val="00980AA1"/>
    <w:rsid w:val="00981B6D"/>
    <w:rsid w:val="0098207C"/>
    <w:rsid w:val="009823FC"/>
    <w:rsid w:val="009847A4"/>
    <w:rsid w:val="00986677"/>
    <w:rsid w:val="00987F85"/>
    <w:rsid w:val="0099239E"/>
    <w:rsid w:val="00992B84"/>
    <w:rsid w:val="0099421C"/>
    <w:rsid w:val="009950D6"/>
    <w:rsid w:val="00996286"/>
    <w:rsid w:val="009A0EA9"/>
    <w:rsid w:val="009A13BE"/>
    <w:rsid w:val="009A2C20"/>
    <w:rsid w:val="009A4649"/>
    <w:rsid w:val="009A75D4"/>
    <w:rsid w:val="009B0111"/>
    <w:rsid w:val="009B0A78"/>
    <w:rsid w:val="009B1F62"/>
    <w:rsid w:val="009C2362"/>
    <w:rsid w:val="009C5FDD"/>
    <w:rsid w:val="009C6339"/>
    <w:rsid w:val="009D345E"/>
    <w:rsid w:val="009D3496"/>
    <w:rsid w:val="009D4BA1"/>
    <w:rsid w:val="009D4EE5"/>
    <w:rsid w:val="009D7D5A"/>
    <w:rsid w:val="009E08EB"/>
    <w:rsid w:val="009E47EB"/>
    <w:rsid w:val="009E6DC3"/>
    <w:rsid w:val="009F0B56"/>
    <w:rsid w:val="009F2714"/>
    <w:rsid w:val="009F3A37"/>
    <w:rsid w:val="00A02090"/>
    <w:rsid w:val="00A076B5"/>
    <w:rsid w:val="00A13B43"/>
    <w:rsid w:val="00A154BE"/>
    <w:rsid w:val="00A173CE"/>
    <w:rsid w:val="00A211BF"/>
    <w:rsid w:val="00A23870"/>
    <w:rsid w:val="00A23AFE"/>
    <w:rsid w:val="00A27CA6"/>
    <w:rsid w:val="00A30FAA"/>
    <w:rsid w:val="00A31525"/>
    <w:rsid w:val="00A31781"/>
    <w:rsid w:val="00A32C4F"/>
    <w:rsid w:val="00A33409"/>
    <w:rsid w:val="00A3523D"/>
    <w:rsid w:val="00A37CC0"/>
    <w:rsid w:val="00A43BD3"/>
    <w:rsid w:val="00A43FF4"/>
    <w:rsid w:val="00A4743C"/>
    <w:rsid w:val="00A52B8E"/>
    <w:rsid w:val="00A57359"/>
    <w:rsid w:val="00A57992"/>
    <w:rsid w:val="00A62C53"/>
    <w:rsid w:val="00A660DC"/>
    <w:rsid w:val="00A71E4E"/>
    <w:rsid w:val="00A73298"/>
    <w:rsid w:val="00A75347"/>
    <w:rsid w:val="00A825B8"/>
    <w:rsid w:val="00A873B7"/>
    <w:rsid w:val="00A87414"/>
    <w:rsid w:val="00A93843"/>
    <w:rsid w:val="00A95ACB"/>
    <w:rsid w:val="00A95DD6"/>
    <w:rsid w:val="00A9606D"/>
    <w:rsid w:val="00A969BC"/>
    <w:rsid w:val="00A97942"/>
    <w:rsid w:val="00AA079B"/>
    <w:rsid w:val="00AA086A"/>
    <w:rsid w:val="00AA6991"/>
    <w:rsid w:val="00AA7CCE"/>
    <w:rsid w:val="00AB12FB"/>
    <w:rsid w:val="00AB1356"/>
    <w:rsid w:val="00AB190E"/>
    <w:rsid w:val="00AB1C16"/>
    <w:rsid w:val="00AB2EA8"/>
    <w:rsid w:val="00AB3C46"/>
    <w:rsid w:val="00AB636C"/>
    <w:rsid w:val="00AC1F18"/>
    <w:rsid w:val="00AC40CD"/>
    <w:rsid w:val="00AC4632"/>
    <w:rsid w:val="00AD4FAB"/>
    <w:rsid w:val="00AD7257"/>
    <w:rsid w:val="00AE372A"/>
    <w:rsid w:val="00AF13BB"/>
    <w:rsid w:val="00AF1845"/>
    <w:rsid w:val="00AF2D0C"/>
    <w:rsid w:val="00AF7204"/>
    <w:rsid w:val="00B02C2F"/>
    <w:rsid w:val="00B03AA1"/>
    <w:rsid w:val="00B07BD9"/>
    <w:rsid w:val="00B10227"/>
    <w:rsid w:val="00B104B4"/>
    <w:rsid w:val="00B1473C"/>
    <w:rsid w:val="00B15AC4"/>
    <w:rsid w:val="00B1709A"/>
    <w:rsid w:val="00B173C0"/>
    <w:rsid w:val="00B201EE"/>
    <w:rsid w:val="00B2142E"/>
    <w:rsid w:val="00B22528"/>
    <w:rsid w:val="00B230E1"/>
    <w:rsid w:val="00B2563E"/>
    <w:rsid w:val="00B3042F"/>
    <w:rsid w:val="00B30D3B"/>
    <w:rsid w:val="00B3771C"/>
    <w:rsid w:val="00B432D4"/>
    <w:rsid w:val="00B453ED"/>
    <w:rsid w:val="00B460E4"/>
    <w:rsid w:val="00B51F5C"/>
    <w:rsid w:val="00B542AA"/>
    <w:rsid w:val="00B54B09"/>
    <w:rsid w:val="00B55CF9"/>
    <w:rsid w:val="00B5658C"/>
    <w:rsid w:val="00B56F91"/>
    <w:rsid w:val="00B576D7"/>
    <w:rsid w:val="00B579B8"/>
    <w:rsid w:val="00B61A35"/>
    <w:rsid w:val="00B65F40"/>
    <w:rsid w:val="00B779F3"/>
    <w:rsid w:val="00B80414"/>
    <w:rsid w:val="00B80892"/>
    <w:rsid w:val="00B82735"/>
    <w:rsid w:val="00B92861"/>
    <w:rsid w:val="00B9554A"/>
    <w:rsid w:val="00BA2E30"/>
    <w:rsid w:val="00BA313B"/>
    <w:rsid w:val="00BA391A"/>
    <w:rsid w:val="00BA524C"/>
    <w:rsid w:val="00BA7A69"/>
    <w:rsid w:val="00BB0FC7"/>
    <w:rsid w:val="00BB1386"/>
    <w:rsid w:val="00BB19F5"/>
    <w:rsid w:val="00BC157A"/>
    <w:rsid w:val="00BC3CA5"/>
    <w:rsid w:val="00BC537A"/>
    <w:rsid w:val="00BD28DF"/>
    <w:rsid w:val="00BD328B"/>
    <w:rsid w:val="00BD4E12"/>
    <w:rsid w:val="00BD7669"/>
    <w:rsid w:val="00BE2864"/>
    <w:rsid w:val="00BF3831"/>
    <w:rsid w:val="00BF4013"/>
    <w:rsid w:val="00BF6799"/>
    <w:rsid w:val="00C03469"/>
    <w:rsid w:val="00C0561A"/>
    <w:rsid w:val="00C0633F"/>
    <w:rsid w:val="00C076BF"/>
    <w:rsid w:val="00C077F2"/>
    <w:rsid w:val="00C10C10"/>
    <w:rsid w:val="00C21C4D"/>
    <w:rsid w:val="00C22358"/>
    <w:rsid w:val="00C23233"/>
    <w:rsid w:val="00C27F02"/>
    <w:rsid w:val="00C30BD4"/>
    <w:rsid w:val="00C3200F"/>
    <w:rsid w:val="00C3238F"/>
    <w:rsid w:val="00C32BE9"/>
    <w:rsid w:val="00C336C0"/>
    <w:rsid w:val="00C33A7C"/>
    <w:rsid w:val="00C35603"/>
    <w:rsid w:val="00C377C2"/>
    <w:rsid w:val="00C44519"/>
    <w:rsid w:val="00C504F4"/>
    <w:rsid w:val="00C5713D"/>
    <w:rsid w:val="00C57E85"/>
    <w:rsid w:val="00C65BB4"/>
    <w:rsid w:val="00C666E5"/>
    <w:rsid w:val="00C7268E"/>
    <w:rsid w:val="00C77ABB"/>
    <w:rsid w:val="00C8071C"/>
    <w:rsid w:val="00C816CB"/>
    <w:rsid w:val="00C82461"/>
    <w:rsid w:val="00C90972"/>
    <w:rsid w:val="00CA07CC"/>
    <w:rsid w:val="00CA3B4E"/>
    <w:rsid w:val="00CA4FCE"/>
    <w:rsid w:val="00CA5F8F"/>
    <w:rsid w:val="00CA62A4"/>
    <w:rsid w:val="00CB2DFC"/>
    <w:rsid w:val="00CC5A6F"/>
    <w:rsid w:val="00CC6181"/>
    <w:rsid w:val="00CC77FD"/>
    <w:rsid w:val="00CD2623"/>
    <w:rsid w:val="00CD29B4"/>
    <w:rsid w:val="00CD39C1"/>
    <w:rsid w:val="00CD50DA"/>
    <w:rsid w:val="00CE271A"/>
    <w:rsid w:val="00CE557F"/>
    <w:rsid w:val="00CE6FF5"/>
    <w:rsid w:val="00CF2EC7"/>
    <w:rsid w:val="00CF48A6"/>
    <w:rsid w:val="00CF4FFB"/>
    <w:rsid w:val="00CF5245"/>
    <w:rsid w:val="00CF6084"/>
    <w:rsid w:val="00D0121B"/>
    <w:rsid w:val="00D04BA8"/>
    <w:rsid w:val="00D06479"/>
    <w:rsid w:val="00D06CA9"/>
    <w:rsid w:val="00D076EE"/>
    <w:rsid w:val="00D07B1A"/>
    <w:rsid w:val="00D1280A"/>
    <w:rsid w:val="00D14354"/>
    <w:rsid w:val="00D15FCC"/>
    <w:rsid w:val="00D20725"/>
    <w:rsid w:val="00D24CD0"/>
    <w:rsid w:val="00D30E46"/>
    <w:rsid w:val="00D330F8"/>
    <w:rsid w:val="00D40890"/>
    <w:rsid w:val="00D42429"/>
    <w:rsid w:val="00D50AC8"/>
    <w:rsid w:val="00D50EC1"/>
    <w:rsid w:val="00D53ED2"/>
    <w:rsid w:val="00D53EEF"/>
    <w:rsid w:val="00D55802"/>
    <w:rsid w:val="00D602C4"/>
    <w:rsid w:val="00D6482D"/>
    <w:rsid w:val="00D6545C"/>
    <w:rsid w:val="00D66CCF"/>
    <w:rsid w:val="00D709AA"/>
    <w:rsid w:val="00D70B19"/>
    <w:rsid w:val="00D71EA9"/>
    <w:rsid w:val="00D72FC5"/>
    <w:rsid w:val="00D7754D"/>
    <w:rsid w:val="00D84ED3"/>
    <w:rsid w:val="00D8570A"/>
    <w:rsid w:val="00D871CA"/>
    <w:rsid w:val="00D87402"/>
    <w:rsid w:val="00D904D5"/>
    <w:rsid w:val="00D91D39"/>
    <w:rsid w:val="00D95A2B"/>
    <w:rsid w:val="00DA0026"/>
    <w:rsid w:val="00DA43A9"/>
    <w:rsid w:val="00DA444C"/>
    <w:rsid w:val="00DA66BC"/>
    <w:rsid w:val="00DB1603"/>
    <w:rsid w:val="00DC5931"/>
    <w:rsid w:val="00DC5CF9"/>
    <w:rsid w:val="00DD6CE9"/>
    <w:rsid w:val="00DE0694"/>
    <w:rsid w:val="00DE3411"/>
    <w:rsid w:val="00DE6663"/>
    <w:rsid w:val="00DF1E2E"/>
    <w:rsid w:val="00DF2420"/>
    <w:rsid w:val="00DF2C67"/>
    <w:rsid w:val="00DF3AE2"/>
    <w:rsid w:val="00DF4605"/>
    <w:rsid w:val="00DF7D21"/>
    <w:rsid w:val="00E059C5"/>
    <w:rsid w:val="00E06102"/>
    <w:rsid w:val="00E066A4"/>
    <w:rsid w:val="00E06B29"/>
    <w:rsid w:val="00E06C22"/>
    <w:rsid w:val="00E07CBB"/>
    <w:rsid w:val="00E10117"/>
    <w:rsid w:val="00E14EE8"/>
    <w:rsid w:val="00E150A9"/>
    <w:rsid w:val="00E17ADB"/>
    <w:rsid w:val="00E20647"/>
    <w:rsid w:val="00E26BAC"/>
    <w:rsid w:val="00E319D1"/>
    <w:rsid w:val="00E404B9"/>
    <w:rsid w:val="00E41CF0"/>
    <w:rsid w:val="00E448A7"/>
    <w:rsid w:val="00E4781B"/>
    <w:rsid w:val="00E51F8B"/>
    <w:rsid w:val="00E60351"/>
    <w:rsid w:val="00E63D02"/>
    <w:rsid w:val="00E63F9D"/>
    <w:rsid w:val="00E65FD7"/>
    <w:rsid w:val="00E71AE7"/>
    <w:rsid w:val="00E752E6"/>
    <w:rsid w:val="00E8339D"/>
    <w:rsid w:val="00E83777"/>
    <w:rsid w:val="00E85B28"/>
    <w:rsid w:val="00E91565"/>
    <w:rsid w:val="00E927AA"/>
    <w:rsid w:val="00E97060"/>
    <w:rsid w:val="00E97911"/>
    <w:rsid w:val="00EA0841"/>
    <w:rsid w:val="00EA3042"/>
    <w:rsid w:val="00EA5BF3"/>
    <w:rsid w:val="00EA6088"/>
    <w:rsid w:val="00EB5A67"/>
    <w:rsid w:val="00EB7E6E"/>
    <w:rsid w:val="00EC1A2C"/>
    <w:rsid w:val="00ED7CAD"/>
    <w:rsid w:val="00EE241A"/>
    <w:rsid w:val="00EF19F5"/>
    <w:rsid w:val="00EF69A0"/>
    <w:rsid w:val="00EF7140"/>
    <w:rsid w:val="00F06C85"/>
    <w:rsid w:val="00F10E1F"/>
    <w:rsid w:val="00F114D1"/>
    <w:rsid w:val="00F2011C"/>
    <w:rsid w:val="00F212EB"/>
    <w:rsid w:val="00F21D1D"/>
    <w:rsid w:val="00F268C0"/>
    <w:rsid w:val="00F34875"/>
    <w:rsid w:val="00F3690D"/>
    <w:rsid w:val="00F4139C"/>
    <w:rsid w:val="00F41DA8"/>
    <w:rsid w:val="00F4218D"/>
    <w:rsid w:val="00F465D3"/>
    <w:rsid w:val="00F51397"/>
    <w:rsid w:val="00F569C9"/>
    <w:rsid w:val="00F56F06"/>
    <w:rsid w:val="00F66674"/>
    <w:rsid w:val="00F7212C"/>
    <w:rsid w:val="00F73815"/>
    <w:rsid w:val="00F7770D"/>
    <w:rsid w:val="00F8504F"/>
    <w:rsid w:val="00F85984"/>
    <w:rsid w:val="00F85CBC"/>
    <w:rsid w:val="00F868C9"/>
    <w:rsid w:val="00F9153C"/>
    <w:rsid w:val="00F93115"/>
    <w:rsid w:val="00F96BB4"/>
    <w:rsid w:val="00F97DAD"/>
    <w:rsid w:val="00FA152C"/>
    <w:rsid w:val="00FA164A"/>
    <w:rsid w:val="00FA425B"/>
    <w:rsid w:val="00FA5058"/>
    <w:rsid w:val="00FA5792"/>
    <w:rsid w:val="00FA5B5D"/>
    <w:rsid w:val="00FA63DC"/>
    <w:rsid w:val="00FA687C"/>
    <w:rsid w:val="00FB200D"/>
    <w:rsid w:val="00FB3240"/>
    <w:rsid w:val="00FB3968"/>
    <w:rsid w:val="00FB7719"/>
    <w:rsid w:val="00FD4B29"/>
    <w:rsid w:val="00FD5C27"/>
    <w:rsid w:val="00FD7128"/>
    <w:rsid w:val="00FE47C4"/>
    <w:rsid w:val="00FE538A"/>
    <w:rsid w:val="00FE5D5D"/>
    <w:rsid w:val="00FE7EEC"/>
    <w:rsid w:val="00FF0184"/>
    <w:rsid w:val="00FF2740"/>
    <w:rsid w:val="00FF761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D839926"/>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6037A5"/>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V-FT Char,DN Char"/>
    <w:basedOn w:val="DefaultParagraphFont"/>
    <w:link w:val="FootnoteText"/>
    <w:rsid w:val="009F0B56"/>
    <w:rPr>
      <w:rFonts w:eastAsia="Calibri"/>
      <w:sz w:val="16"/>
      <w:szCs w:val="16"/>
      <w14:cntxtAlts/>
    </w:rPr>
  </w:style>
  <w:style w:type="character" w:styleId="FootnoteReference">
    <w:name w:val="footnote reference"/>
    <w:aliases w:val="ECC Footnote number,Appel note de bas de p,Footnote Reference/,Footnote symbol,Style 12,(NECG) Footnote Reference,Style 124,o,fr,Style 13,FR,Style 17,Appel note de bas de p + 11 pt,Italic,Footnote,Appel note de bas de p1,Ref"/>
    <w:basedOn w:val="DefaultParagraphFont"/>
    <w:qForma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
    <w:basedOn w:val="DefaultParagraphFont"/>
    <w:uiPriority w:val="99"/>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C3200F"/>
    <w:pPr>
      <w:tabs>
        <w:tab w:val="center" w:pos="4513"/>
        <w:tab w:val="right" w:pos="9026"/>
      </w:tabs>
      <w:spacing w:before="0" w:after="0"/>
    </w:pPr>
  </w:style>
  <w:style w:type="character" w:customStyle="1" w:styleId="FooterChar">
    <w:name w:val="Footer Char"/>
    <w:basedOn w:val="DefaultParagraphFont"/>
    <w:link w:val="Footer"/>
    <w:uiPriority w:val="99"/>
    <w:semiHidden/>
    <w:rsid w:val="00C3200F"/>
    <w:rPr>
      <w:rFonts w:eastAsia="Calibri"/>
      <w:szCs w:val="22"/>
      <w:lang w:val="en-GB"/>
    </w:rPr>
  </w:style>
  <w:style w:type="paragraph" w:styleId="ListParagraph">
    <w:name w:val="List Paragraph"/>
    <w:basedOn w:val="Normal"/>
    <w:uiPriority w:val="34"/>
    <w:qFormat/>
    <w:locked/>
    <w:rsid w:val="00A873B7"/>
    <w:pPr>
      <w:ind w:left="720"/>
      <w:contextualSpacing/>
    </w:pPr>
  </w:style>
  <w:style w:type="character" w:styleId="Strong">
    <w:name w:val="Strong"/>
    <w:basedOn w:val="DefaultParagraphFont"/>
    <w:qFormat/>
    <w:locked/>
    <w:rsid w:val="00566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8677">
      <w:bodyDiv w:val="1"/>
      <w:marLeft w:val="0"/>
      <w:marRight w:val="0"/>
      <w:marTop w:val="0"/>
      <w:marBottom w:val="0"/>
      <w:divBdr>
        <w:top w:val="none" w:sz="0" w:space="0" w:color="auto"/>
        <w:left w:val="none" w:sz="0" w:space="0" w:color="auto"/>
        <w:bottom w:val="none" w:sz="0" w:space="0" w:color="auto"/>
        <w:right w:val="none" w:sz="0" w:space="0" w:color="auto"/>
      </w:divBdr>
    </w:div>
    <w:div w:id="342705531">
      <w:bodyDiv w:val="1"/>
      <w:marLeft w:val="0"/>
      <w:marRight w:val="0"/>
      <w:marTop w:val="0"/>
      <w:marBottom w:val="0"/>
      <w:divBdr>
        <w:top w:val="none" w:sz="0" w:space="0" w:color="auto"/>
        <w:left w:val="none" w:sz="0" w:space="0" w:color="auto"/>
        <w:bottom w:val="none" w:sz="0" w:space="0" w:color="auto"/>
        <w:right w:val="none" w:sz="0" w:space="0" w:color="auto"/>
      </w:divBdr>
    </w:div>
    <w:div w:id="857932432">
      <w:bodyDiv w:val="1"/>
      <w:marLeft w:val="0"/>
      <w:marRight w:val="0"/>
      <w:marTop w:val="0"/>
      <w:marBottom w:val="0"/>
      <w:divBdr>
        <w:top w:val="none" w:sz="0" w:space="0" w:color="auto"/>
        <w:left w:val="none" w:sz="0" w:space="0" w:color="auto"/>
        <w:bottom w:val="none" w:sz="0" w:space="0" w:color="auto"/>
        <w:right w:val="none" w:sz="0" w:space="0" w:color="auto"/>
      </w:divBdr>
    </w:div>
    <w:div w:id="1114861159">
      <w:bodyDiv w:val="1"/>
      <w:marLeft w:val="0"/>
      <w:marRight w:val="0"/>
      <w:marTop w:val="0"/>
      <w:marBottom w:val="0"/>
      <w:divBdr>
        <w:top w:val="none" w:sz="0" w:space="0" w:color="auto"/>
        <w:left w:val="none" w:sz="0" w:space="0" w:color="auto"/>
        <w:bottom w:val="none" w:sz="0" w:space="0" w:color="auto"/>
        <w:right w:val="none" w:sz="0" w:space="0" w:color="auto"/>
      </w:divBdr>
    </w:div>
    <w:div w:id="1235165713">
      <w:bodyDiv w:val="1"/>
      <w:marLeft w:val="0"/>
      <w:marRight w:val="0"/>
      <w:marTop w:val="0"/>
      <w:marBottom w:val="0"/>
      <w:divBdr>
        <w:top w:val="none" w:sz="0" w:space="0" w:color="auto"/>
        <w:left w:val="none" w:sz="0" w:space="0" w:color="auto"/>
        <w:bottom w:val="none" w:sz="0" w:space="0" w:color="auto"/>
        <w:right w:val="none" w:sz="0" w:space="0" w:color="auto"/>
      </w:divBdr>
    </w:div>
    <w:div w:id="1563516211">
      <w:bodyDiv w:val="1"/>
      <w:marLeft w:val="0"/>
      <w:marRight w:val="0"/>
      <w:marTop w:val="0"/>
      <w:marBottom w:val="0"/>
      <w:divBdr>
        <w:top w:val="none" w:sz="0" w:space="0" w:color="auto"/>
        <w:left w:val="none" w:sz="0" w:space="0" w:color="auto"/>
        <w:bottom w:val="none" w:sz="0" w:space="0" w:color="auto"/>
        <w:right w:val="none" w:sz="0" w:space="0" w:color="auto"/>
      </w:divBdr>
    </w:div>
    <w:div w:id="1660117715">
      <w:bodyDiv w:val="1"/>
      <w:marLeft w:val="0"/>
      <w:marRight w:val="0"/>
      <w:marTop w:val="0"/>
      <w:marBottom w:val="0"/>
      <w:divBdr>
        <w:top w:val="none" w:sz="0" w:space="0" w:color="auto"/>
        <w:left w:val="none" w:sz="0" w:space="0" w:color="auto"/>
        <w:bottom w:val="none" w:sz="0" w:space="0" w:color="auto"/>
        <w:right w:val="none" w:sz="0" w:space="0" w:color="auto"/>
      </w:divBdr>
    </w:div>
    <w:div w:id="1738698320">
      <w:bodyDiv w:val="1"/>
      <w:marLeft w:val="0"/>
      <w:marRight w:val="0"/>
      <w:marTop w:val="0"/>
      <w:marBottom w:val="0"/>
      <w:divBdr>
        <w:top w:val="none" w:sz="0" w:space="0" w:color="auto"/>
        <w:left w:val="none" w:sz="0" w:space="0" w:color="auto"/>
        <w:bottom w:val="none" w:sz="0" w:space="0" w:color="auto"/>
        <w:right w:val="none" w:sz="0" w:space="0" w:color="auto"/>
      </w:divBdr>
    </w:div>
    <w:div w:id="1747877568">
      <w:bodyDiv w:val="1"/>
      <w:marLeft w:val="0"/>
      <w:marRight w:val="0"/>
      <w:marTop w:val="0"/>
      <w:marBottom w:val="0"/>
      <w:divBdr>
        <w:top w:val="none" w:sz="0" w:space="0" w:color="auto"/>
        <w:left w:val="none" w:sz="0" w:space="0" w:color="auto"/>
        <w:bottom w:val="none" w:sz="0" w:space="0" w:color="auto"/>
        <w:right w:val="none" w:sz="0" w:space="0" w:color="auto"/>
      </w:divBdr>
    </w:div>
    <w:div w:id="1845240388">
      <w:bodyDiv w:val="1"/>
      <w:marLeft w:val="0"/>
      <w:marRight w:val="0"/>
      <w:marTop w:val="0"/>
      <w:marBottom w:val="0"/>
      <w:divBdr>
        <w:top w:val="none" w:sz="0" w:space="0" w:color="auto"/>
        <w:left w:val="none" w:sz="0" w:space="0" w:color="auto"/>
        <w:bottom w:val="none" w:sz="0" w:space="0" w:color="auto"/>
        <w:right w:val="none" w:sz="0" w:space="0" w:color="auto"/>
      </w:divBdr>
    </w:div>
    <w:div w:id="1879854332">
      <w:bodyDiv w:val="1"/>
      <w:marLeft w:val="0"/>
      <w:marRight w:val="0"/>
      <w:marTop w:val="0"/>
      <w:marBottom w:val="0"/>
      <w:divBdr>
        <w:top w:val="none" w:sz="0" w:space="0" w:color="auto"/>
        <w:left w:val="none" w:sz="0" w:space="0" w:color="auto"/>
        <w:bottom w:val="none" w:sz="0" w:space="0" w:color="auto"/>
        <w:right w:val="none" w:sz="0" w:space="0" w:color="auto"/>
      </w:divBdr>
    </w:div>
    <w:div w:id="1962564695">
      <w:bodyDiv w:val="1"/>
      <w:marLeft w:val="0"/>
      <w:marRight w:val="0"/>
      <w:marTop w:val="0"/>
      <w:marBottom w:val="0"/>
      <w:divBdr>
        <w:top w:val="none" w:sz="0" w:space="0" w:color="auto"/>
        <w:left w:val="none" w:sz="0" w:space="0" w:color="auto"/>
        <w:bottom w:val="none" w:sz="0" w:space="0" w:color="auto"/>
        <w:right w:val="none" w:sz="0" w:space="0" w:color="auto"/>
      </w:divBdr>
    </w:div>
    <w:div w:id="21098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Uploaded xmlns="ba712082-ff81-49c1-a241-94c9f69f8dde">false</Upload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69ab6e-cbb1-4306-ad7e-01a48c91ef8b" ContentTypeId="0x010100CAA12C5105342047A1E5FE66CBFB41077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4" ma:contentTypeDescription="stakeholder communications relating to team or project&#10;" ma:contentTypeScope="" ma:versionID="a97ef94215465c625bcbd76b809bf527">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0ba9b9644a531dd8188ff5f3d074413b"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element ref="ns4: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ploaded" ma:index="33"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2.xml><?xml version="1.0" encoding="utf-8"?>
<ds:datastoreItem xmlns:ds="http://schemas.openxmlformats.org/officeDocument/2006/customXml" ds:itemID="{C945C157-B6A4-45D6-8DCB-3EFF7D4A3100}">
  <ds:schemaRefs>
    <ds:schemaRef ds:uri="http://schemas.openxmlformats.org/officeDocument/2006/bibliography"/>
  </ds:schemaRefs>
</ds:datastoreItem>
</file>

<file path=customXml/itemProps3.xml><?xml version="1.0" encoding="utf-8"?>
<ds:datastoreItem xmlns:ds="http://schemas.openxmlformats.org/officeDocument/2006/customXml" ds:itemID="{D75B3A34-C99B-46E3-9F17-25649E003980}">
  <ds:schemaRefs>
    <ds:schemaRef ds:uri="Microsoft.SharePoint.Taxonomy.ContentTypeSync"/>
  </ds:schemaRefs>
</ds:datastoreItem>
</file>

<file path=customXml/itemProps4.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5.xml><?xml version="1.0" encoding="utf-8"?>
<ds:datastoreItem xmlns:ds="http://schemas.openxmlformats.org/officeDocument/2006/customXml" ds:itemID="{72883B0A-8B02-4C3E-9D99-8A8B008A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2360</Words>
  <Characters>13452</Characters>
  <Application>Microsoft Office Word</Application>
  <DocSecurity>0</DocSecurity>
  <Lines>112</Lines>
  <Paragraphs>31</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Draft CEPT Brief on AI XX</vt:lpstr>
      <vt:lpstr>Draft CEPT Brief on AI XX</vt:lpstr>
      <vt:lpstr>Draft CEPT Brief on AI XX</vt:lpstr>
    </vt:vector>
  </TitlesOfParts>
  <Manager>stella.lyubchenko@eco.cept.org</Manager>
  <Company>ECO</Company>
  <LinksUpToDate>false</LinksUpToDate>
  <CharactersWithSpaces>15781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Lauren Galloway</cp:lastModifiedBy>
  <cp:revision>3</cp:revision>
  <cp:lastPrinted>1901-01-01T00:00:00Z</cp:lastPrinted>
  <dcterms:created xsi:type="dcterms:W3CDTF">2025-06-30T20:37:00Z</dcterms:created>
  <dcterms:modified xsi:type="dcterms:W3CDTF">2025-06-30T20:38:00Z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y fmtid="{D5CDD505-2E9C-101B-9397-08002B2CF9AE}" pid="13" name="p8802d33397b4f1688b4565458159d1a">
    <vt:lpwstr/>
  </property>
  <property fmtid="{D5CDD505-2E9C-101B-9397-08002B2CF9AE}" pid="14" name="ISO_x0020_Standard">
    <vt:lpwstr/>
  </property>
  <property fmtid="{D5CDD505-2E9C-101B-9397-08002B2CF9AE}" pid="15" name="ISO Standard">
    <vt:lpwstr/>
  </property>
</Properties>
</file>