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694"/>
        <w:gridCol w:w="3091"/>
        <w:gridCol w:w="4958"/>
        <w:gridCol w:w="38"/>
      </w:tblGrid>
      <w:tr w:rsidR="009033CD" w:rsidRPr="00235592" w14:paraId="69A880EF" w14:textId="77777777" w:rsidTr="005B531F">
        <w:trPr>
          <w:cantSplit/>
          <w:trHeight w:val="1240"/>
        </w:trPr>
        <w:tc>
          <w:tcPr>
            <w:tcW w:w="4785" w:type="dxa"/>
            <w:gridSpan w:val="2"/>
            <w:tcBorders>
              <w:top w:val="nil"/>
              <w:left w:val="nil"/>
              <w:bottom w:val="nil"/>
              <w:right w:val="nil"/>
            </w:tcBorders>
          </w:tcPr>
          <w:p w14:paraId="6DF81B97" w14:textId="7E2D72BA" w:rsidR="009033CD" w:rsidRPr="00235592" w:rsidRDefault="009033CD" w:rsidP="000F38FA">
            <w:pPr>
              <w:pStyle w:val="ECCAnnexheading3"/>
              <w:numPr>
                <w:ilvl w:val="0"/>
                <w:numId w:val="0"/>
              </w:numPr>
              <w:ind w:left="720" w:hanging="720"/>
            </w:pPr>
          </w:p>
        </w:tc>
        <w:tc>
          <w:tcPr>
            <w:tcW w:w="4996" w:type="dxa"/>
            <w:gridSpan w:val="2"/>
            <w:tcBorders>
              <w:top w:val="nil"/>
              <w:left w:val="nil"/>
              <w:bottom w:val="nil"/>
              <w:right w:val="nil"/>
            </w:tcBorders>
          </w:tcPr>
          <w:p w14:paraId="62477035" w14:textId="5FCD9AF9" w:rsidR="009033CD" w:rsidRPr="009033CD" w:rsidRDefault="009033CD" w:rsidP="009033CD">
            <w:pPr>
              <w:pStyle w:val="ECCLetterHead"/>
            </w:pPr>
            <w:r w:rsidRPr="00235592">
              <w:tab/>
            </w:r>
            <w:r w:rsidR="00B75BA7">
              <w:t xml:space="preserve">Doc. </w:t>
            </w:r>
            <w:r w:rsidR="00B75BA7" w:rsidRPr="00B75BA7">
              <w:t>CPG(25)0</w:t>
            </w:r>
            <w:r w:rsidR="00C20538">
              <w:t>16</w:t>
            </w:r>
            <w:r w:rsidR="00B75BA7">
              <w:t xml:space="preserve"> </w:t>
            </w:r>
            <w:r w:rsidR="00241FC5" w:rsidRPr="00241FC5">
              <w:t>ANNEX IV-1</w:t>
            </w:r>
            <w:r w:rsidR="00241FC5">
              <w:t>3</w:t>
            </w:r>
          </w:p>
        </w:tc>
      </w:tr>
      <w:tr w:rsidR="009033CD" w:rsidRPr="00235592" w14:paraId="1CAAD2E3" w14:textId="77777777" w:rsidTr="005B531F">
        <w:tblPrEx>
          <w:tblCellMar>
            <w:left w:w="108" w:type="dxa"/>
            <w:right w:w="108" w:type="dxa"/>
          </w:tblCellMar>
        </w:tblPrEx>
        <w:trPr>
          <w:gridAfter w:val="1"/>
          <w:wAfter w:w="38" w:type="dxa"/>
          <w:cantSplit/>
          <w:trHeight w:val="405"/>
        </w:trPr>
        <w:tc>
          <w:tcPr>
            <w:tcW w:w="4785" w:type="dxa"/>
            <w:gridSpan w:val="2"/>
            <w:tcBorders>
              <w:top w:val="nil"/>
              <w:left w:val="nil"/>
              <w:bottom w:val="nil"/>
              <w:right w:val="nil"/>
            </w:tcBorders>
            <w:shd w:val="clear" w:color="auto" w:fill="auto"/>
            <w:vAlign w:val="center"/>
          </w:tcPr>
          <w:p w14:paraId="00674F4F" w14:textId="0C988139" w:rsidR="009033CD" w:rsidRPr="009033CD" w:rsidRDefault="00B75BA7" w:rsidP="009033CD">
            <w:pPr>
              <w:pStyle w:val="ECCLetterHead"/>
              <w:rPr>
                <w:rStyle w:val="ECCHLyellow"/>
              </w:rPr>
            </w:pPr>
            <w:r>
              <w:t>CPG2</w:t>
            </w:r>
            <w:r w:rsidRPr="00B75BA7">
              <w:t>7-3</w:t>
            </w:r>
          </w:p>
        </w:tc>
        <w:tc>
          <w:tcPr>
            <w:tcW w:w="4958" w:type="dxa"/>
            <w:tcBorders>
              <w:top w:val="nil"/>
              <w:left w:val="nil"/>
              <w:bottom w:val="nil"/>
              <w:right w:val="nil"/>
            </w:tcBorders>
            <w:vAlign w:val="center"/>
          </w:tcPr>
          <w:p w14:paraId="165A2E31" w14:textId="77777777" w:rsidR="009033CD" w:rsidRPr="00235592" w:rsidRDefault="009033CD" w:rsidP="009033CD">
            <w:pPr>
              <w:pStyle w:val="ECCLetterHead"/>
            </w:pPr>
          </w:p>
        </w:tc>
      </w:tr>
      <w:tr w:rsidR="009033CD" w:rsidRPr="00235592" w14:paraId="0E53A225" w14:textId="77777777" w:rsidTr="005B531F">
        <w:tblPrEx>
          <w:tblCellMar>
            <w:left w:w="108" w:type="dxa"/>
            <w:right w:w="108" w:type="dxa"/>
          </w:tblCellMar>
        </w:tblPrEx>
        <w:trPr>
          <w:gridAfter w:val="1"/>
          <w:wAfter w:w="38" w:type="dxa"/>
          <w:cantSplit/>
          <w:trHeight w:val="405"/>
        </w:trPr>
        <w:tc>
          <w:tcPr>
            <w:tcW w:w="4785" w:type="dxa"/>
            <w:gridSpan w:val="2"/>
            <w:tcBorders>
              <w:top w:val="nil"/>
              <w:left w:val="nil"/>
              <w:bottom w:val="nil"/>
              <w:right w:val="nil"/>
            </w:tcBorders>
            <w:vAlign w:val="center"/>
          </w:tcPr>
          <w:p w14:paraId="60692270" w14:textId="16C7B1AC" w:rsidR="009033CD" w:rsidRPr="009033CD" w:rsidRDefault="00B75BA7" w:rsidP="009033CD">
            <w:pPr>
              <w:pStyle w:val="ECCLetterHead"/>
            </w:pPr>
            <w:r w:rsidRPr="00BC024A">
              <w:t>Groningen, The Netherlands (Hybrid), 10</w:t>
            </w:r>
            <w:r w:rsidRPr="00B75BA7">
              <w:t>th – 13th June 2025</w:t>
            </w:r>
          </w:p>
        </w:tc>
        <w:tc>
          <w:tcPr>
            <w:tcW w:w="4958" w:type="dxa"/>
            <w:tcBorders>
              <w:top w:val="nil"/>
              <w:left w:val="nil"/>
              <w:bottom w:val="nil"/>
              <w:right w:val="nil"/>
            </w:tcBorders>
            <w:vAlign w:val="center"/>
          </w:tcPr>
          <w:p w14:paraId="3C5B1C26" w14:textId="77777777" w:rsidR="009033CD" w:rsidRPr="00235592" w:rsidRDefault="009033CD" w:rsidP="009033CD">
            <w:pPr>
              <w:pStyle w:val="ECCTabletext"/>
            </w:pPr>
          </w:p>
        </w:tc>
      </w:tr>
      <w:tr w:rsidR="009033CD" w:rsidRPr="00235592" w14:paraId="6BB9CFA0" w14:textId="77777777" w:rsidTr="005B531F">
        <w:tblPrEx>
          <w:tblCellMar>
            <w:left w:w="108" w:type="dxa"/>
            <w:right w:w="108" w:type="dxa"/>
          </w:tblCellMar>
        </w:tblPrEx>
        <w:trPr>
          <w:gridAfter w:val="1"/>
          <w:wAfter w:w="38" w:type="dxa"/>
          <w:cantSplit/>
          <w:trHeight w:hRule="exact" w:val="79"/>
        </w:trPr>
        <w:tc>
          <w:tcPr>
            <w:tcW w:w="4785" w:type="dxa"/>
            <w:gridSpan w:val="2"/>
            <w:tcBorders>
              <w:top w:val="nil"/>
              <w:left w:val="nil"/>
              <w:bottom w:val="nil"/>
              <w:right w:val="nil"/>
            </w:tcBorders>
            <w:vAlign w:val="center"/>
          </w:tcPr>
          <w:p w14:paraId="39800BBB" w14:textId="77777777" w:rsidR="009033CD" w:rsidRPr="00235592" w:rsidRDefault="009033CD" w:rsidP="009033CD">
            <w:pPr>
              <w:pStyle w:val="ECCLetterHead"/>
            </w:pPr>
          </w:p>
        </w:tc>
        <w:tc>
          <w:tcPr>
            <w:tcW w:w="4958" w:type="dxa"/>
            <w:tcBorders>
              <w:top w:val="nil"/>
              <w:left w:val="nil"/>
              <w:bottom w:val="nil"/>
              <w:right w:val="nil"/>
            </w:tcBorders>
            <w:vAlign w:val="center"/>
          </w:tcPr>
          <w:p w14:paraId="004ED7CF" w14:textId="77777777" w:rsidR="009033CD" w:rsidRPr="00235592" w:rsidRDefault="009033CD" w:rsidP="009033CD">
            <w:pPr>
              <w:pStyle w:val="ECCLetterHead"/>
            </w:pPr>
          </w:p>
        </w:tc>
      </w:tr>
      <w:tr w:rsidR="009033CD" w:rsidRPr="00235592" w14:paraId="01D38234"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525F2C81" w14:textId="77777777" w:rsidR="009033CD" w:rsidRPr="009033CD" w:rsidRDefault="009033CD" w:rsidP="009033CD">
            <w:pPr>
              <w:pStyle w:val="ECCLetterHead"/>
            </w:pPr>
            <w:r w:rsidRPr="00235592">
              <w:t xml:space="preserve">Date issued: </w:t>
            </w:r>
          </w:p>
        </w:tc>
        <w:tc>
          <w:tcPr>
            <w:tcW w:w="8049" w:type="dxa"/>
            <w:gridSpan w:val="2"/>
            <w:tcBorders>
              <w:top w:val="nil"/>
              <w:left w:val="nil"/>
              <w:bottom w:val="nil"/>
              <w:right w:val="nil"/>
            </w:tcBorders>
            <w:vAlign w:val="center"/>
          </w:tcPr>
          <w:p w14:paraId="283B3100" w14:textId="24089DAF" w:rsidR="009033CD" w:rsidRPr="00235592" w:rsidRDefault="00DA530F" w:rsidP="009033CD">
            <w:pPr>
              <w:pStyle w:val="ECCLetterHead"/>
            </w:pPr>
            <w:r>
              <w:t>2</w:t>
            </w:r>
            <w:r w:rsidR="00A17F24" w:rsidRPr="00A17F24">
              <w:rPr>
                <w:vertAlign w:val="superscript"/>
              </w:rPr>
              <w:t>nd</w:t>
            </w:r>
            <w:r w:rsidR="00A17F24">
              <w:t xml:space="preserve"> </w:t>
            </w:r>
            <w:r w:rsidR="00F162E8">
              <w:t xml:space="preserve"> July</w:t>
            </w:r>
            <w:r w:rsidR="00B75BA7" w:rsidRPr="00B75BA7">
              <w:t xml:space="preserve"> 2025</w:t>
            </w:r>
          </w:p>
        </w:tc>
      </w:tr>
      <w:tr w:rsidR="009033CD" w:rsidRPr="00235592" w14:paraId="041759A7"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2A36B705" w14:textId="77777777" w:rsidR="009033CD" w:rsidRPr="009033CD" w:rsidRDefault="009033CD" w:rsidP="009033CD">
            <w:pPr>
              <w:pStyle w:val="ECCLetterHead"/>
            </w:pPr>
            <w:r w:rsidRPr="00235592">
              <w:t xml:space="preserve">Source: </w:t>
            </w:r>
          </w:p>
        </w:tc>
        <w:tc>
          <w:tcPr>
            <w:tcW w:w="8049" w:type="dxa"/>
            <w:gridSpan w:val="2"/>
            <w:tcBorders>
              <w:top w:val="nil"/>
              <w:left w:val="nil"/>
              <w:bottom w:val="nil"/>
              <w:right w:val="nil"/>
            </w:tcBorders>
            <w:vAlign w:val="center"/>
          </w:tcPr>
          <w:p w14:paraId="10180227" w14:textId="23802C0F" w:rsidR="009033CD" w:rsidRPr="00235592" w:rsidRDefault="00F162E8" w:rsidP="009033CD">
            <w:pPr>
              <w:pStyle w:val="ECCLetterHead"/>
            </w:pPr>
            <w:r>
              <w:t>CPG2</w:t>
            </w:r>
            <w:r w:rsidRPr="00F162E8">
              <w:t>7-3</w:t>
            </w:r>
          </w:p>
        </w:tc>
      </w:tr>
      <w:tr w:rsidR="009033CD" w:rsidRPr="00235592" w14:paraId="2CA125F7"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0ED71A16" w14:textId="77777777" w:rsidR="009033CD" w:rsidRPr="009033CD" w:rsidRDefault="009033CD" w:rsidP="009033CD">
            <w:pPr>
              <w:pStyle w:val="ECCLetterHead"/>
            </w:pPr>
            <w:r w:rsidRPr="00235592">
              <w:t xml:space="preserve">Subject: </w:t>
            </w:r>
          </w:p>
        </w:tc>
        <w:tc>
          <w:tcPr>
            <w:tcW w:w="8049" w:type="dxa"/>
            <w:gridSpan w:val="2"/>
            <w:tcBorders>
              <w:top w:val="nil"/>
              <w:left w:val="nil"/>
              <w:bottom w:val="nil"/>
              <w:right w:val="nil"/>
            </w:tcBorders>
            <w:vAlign w:val="center"/>
          </w:tcPr>
          <w:p w14:paraId="6D107D3B" w14:textId="28241BB4" w:rsidR="009033CD" w:rsidRPr="009033CD" w:rsidRDefault="000A6D6C" w:rsidP="009033CD">
            <w:pPr>
              <w:pStyle w:val="ECCLetterHead"/>
            </w:pPr>
            <w:r w:rsidRPr="00D86872">
              <w:t>Draft CEPT Brief on WRC-27 agenda item 1.13</w:t>
            </w:r>
          </w:p>
        </w:tc>
      </w:tr>
      <w:tr w:rsidR="009033CD" w:rsidRPr="00235592" w14:paraId="7252B87D" w14:textId="77777777" w:rsidTr="005B531F">
        <w:tblPrEx>
          <w:tblCellMar>
            <w:left w:w="108" w:type="dxa"/>
            <w:right w:w="108" w:type="dxa"/>
          </w:tblCellMar>
        </w:tblPrEx>
        <w:trPr>
          <w:gridAfter w:val="1"/>
          <w:wAfter w:w="38" w:type="dxa"/>
          <w:cantSplit/>
          <w:trHeight w:hRule="exact" w:val="74"/>
        </w:trPr>
        <w:tc>
          <w:tcPr>
            <w:tcW w:w="9743" w:type="dxa"/>
            <w:gridSpan w:val="3"/>
            <w:tcBorders>
              <w:top w:val="nil"/>
              <w:left w:val="nil"/>
              <w:bottom w:val="single" w:sz="6" w:space="0" w:color="C00000"/>
              <w:right w:val="nil"/>
            </w:tcBorders>
            <w:vAlign w:val="center"/>
          </w:tcPr>
          <w:p w14:paraId="3D3A2D01" w14:textId="77777777" w:rsidR="009033CD" w:rsidRPr="00235592" w:rsidRDefault="009033CD" w:rsidP="009033CD">
            <w:pPr>
              <w:rPr>
                <w:rStyle w:val="ECCParagraph"/>
              </w:rPr>
            </w:pPr>
          </w:p>
          <w:p w14:paraId="7BDD42A5" w14:textId="77777777" w:rsidR="009033CD" w:rsidRPr="00235592" w:rsidRDefault="009033CD" w:rsidP="009033CD">
            <w:pPr>
              <w:pStyle w:val="ECCLetterHead"/>
            </w:pPr>
          </w:p>
        </w:tc>
      </w:tr>
      <w:tr w:rsidR="009033CD" w:rsidRPr="00235592" w14:paraId="44552C87"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6A7C79AF" w14:textId="77777777" w:rsidR="009033CD" w:rsidRPr="009033CD" w:rsidRDefault="009033CD" w:rsidP="009033CD">
            <w:pPr>
              <w:pStyle w:val="ECCLetterHead"/>
            </w:pPr>
            <w:r w:rsidRPr="00235592">
              <w:t xml:space="preserve">Summary: </w:t>
            </w:r>
          </w:p>
        </w:tc>
      </w:tr>
      <w:tr w:rsidR="009033CD" w:rsidRPr="00235592" w14:paraId="3D77C967"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4"/>
            <w:tcBorders>
              <w:top w:val="nil"/>
              <w:left w:val="single" w:sz="6" w:space="0" w:color="C00000"/>
              <w:bottom w:val="single" w:sz="6" w:space="0" w:color="C00000"/>
              <w:right w:val="single" w:sz="6" w:space="0" w:color="C00000"/>
            </w:tcBorders>
          </w:tcPr>
          <w:p w14:paraId="129A1DD9" w14:textId="4022B2BB" w:rsidR="008E117A" w:rsidRPr="008E117A" w:rsidRDefault="008E117A" w:rsidP="008E117A">
            <w:pPr>
              <w:pStyle w:val="NormalWeb"/>
              <w:rPr>
                <w:rStyle w:val="ECCHLunderlined"/>
              </w:rPr>
            </w:pPr>
          </w:p>
        </w:tc>
      </w:tr>
      <w:tr w:rsidR="009033CD" w:rsidRPr="00235592" w14:paraId="4D385318"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37763768" w14:textId="77777777" w:rsidR="009033CD" w:rsidRPr="009033CD" w:rsidRDefault="009033CD" w:rsidP="009033CD">
            <w:pPr>
              <w:pStyle w:val="ECCLetterHead"/>
            </w:pPr>
            <w:r w:rsidRPr="00235592">
              <w:t>Proposal:</w:t>
            </w:r>
          </w:p>
        </w:tc>
      </w:tr>
      <w:tr w:rsidR="009033CD" w:rsidRPr="00235592" w14:paraId="031AC50D"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781" w:type="dxa"/>
            <w:gridSpan w:val="4"/>
            <w:tcBorders>
              <w:top w:val="nil"/>
              <w:left w:val="single" w:sz="6" w:space="0" w:color="C00000"/>
              <w:bottom w:val="single" w:sz="6" w:space="0" w:color="C00000"/>
              <w:right w:val="single" w:sz="6" w:space="0" w:color="C00000"/>
            </w:tcBorders>
          </w:tcPr>
          <w:p w14:paraId="04D8900C" w14:textId="36FFF159" w:rsidR="009033CD" w:rsidRPr="00235592" w:rsidRDefault="009033CD" w:rsidP="009033CD">
            <w:pPr>
              <w:pStyle w:val="ECCTabletext"/>
            </w:pPr>
          </w:p>
        </w:tc>
      </w:tr>
    </w:tbl>
    <w:p w14:paraId="3506290A" w14:textId="487242F1" w:rsidR="009033CD" w:rsidRDefault="009033CD" w:rsidP="009033CD">
      <w:pPr>
        <w:rPr>
          <w:rStyle w:val="ECCParagraph"/>
        </w:rPr>
      </w:pPr>
      <w:r w:rsidRPr="00235592">
        <w:rPr>
          <w:rStyle w:val="ECCParagraph"/>
        </w:rPr>
        <w:br w:type="page"/>
      </w:r>
    </w:p>
    <w:p w14:paraId="60497D30" w14:textId="69CEAACB" w:rsidR="003771D5" w:rsidRPr="00235592" w:rsidRDefault="003771D5" w:rsidP="003A68D5">
      <w:pPr>
        <w:pStyle w:val="ECCHeadingnonumbering"/>
      </w:pPr>
      <w:r w:rsidRPr="00235592">
        <w:lastRenderedPageBreak/>
        <w:t xml:space="preserve">DRAFT CEPT BRIEF ON AGENDA ITEM </w:t>
      </w:r>
      <w:r w:rsidR="000A6D6C">
        <w:t>1.13</w:t>
      </w:r>
    </w:p>
    <w:p w14:paraId="65D195A2" w14:textId="77777777" w:rsidR="000A6D6C" w:rsidRPr="00D86872" w:rsidRDefault="000A6D6C" w:rsidP="000A6D6C">
      <w:pPr>
        <w:rPr>
          <w:rStyle w:val="ECCParagraph"/>
        </w:rPr>
      </w:pPr>
      <w:r w:rsidRPr="00D86872">
        <w:rPr>
          <w:rStyle w:val="ECCParagraph"/>
        </w:rPr>
        <w:t xml:space="preserve">1.13 to consider studies on possible new allocations to the mobile-satellite service for direct connectivity between space stations and International Mobile Telecommunications (IMT) user equipment to complement terrestrial IMT network coverage, in accordance with Resolution </w:t>
      </w:r>
      <w:r w:rsidRPr="00D86872">
        <w:rPr>
          <w:rStyle w:val="ECCHLbold"/>
        </w:rPr>
        <w:t>253 (WRC-23)</w:t>
      </w:r>
      <w:r w:rsidRPr="00B80EAB">
        <w:rPr>
          <w:rStyle w:val="ECCHLbold"/>
        </w:rPr>
        <w:t>;</w:t>
      </w:r>
    </w:p>
    <w:p w14:paraId="0B399FBC" w14:textId="19194AEA" w:rsidR="003771D5" w:rsidRPr="00235592" w:rsidRDefault="003771D5" w:rsidP="00BD4E12">
      <w:pPr>
        <w:pStyle w:val="Heading1"/>
        <w:rPr>
          <w:lang w:val="en-GB"/>
        </w:rPr>
      </w:pPr>
      <w:r w:rsidRPr="00235592">
        <w:rPr>
          <w:lang w:val="en-GB"/>
        </w:rPr>
        <w:t>I</w:t>
      </w:r>
      <w:r w:rsidR="000F41FF">
        <w:t>ssue</w:t>
      </w:r>
    </w:p>
    <w:p w14:paraId="0C622393" w14:textId="77777777" w:rsidR="000A6D6C" w:rsidRPr="00D86872" w:rsidRDefault="000A6D6C" w:rsidP="000A6D6C">
      <w:r w:rsidRPr="00D86872">
        <w:rPr>
          <w:rStyle w:val="ECCParagraph"/>
        </w:rPr>
        <w:t xml:space="preserve">Resolution </w:t>
      </w:r>
      <w:r w:rsidRPr="00D86872">
        <w:rPr>
          <w:rStyle w:val="ECCHLbold"/>
        </w:rPr>
        <w:t xml:space="preserve">253 (WRC-23) </w:t>
      </w:r>
      <w:r w:rsidRPr="00D86872">
        <w:rPr>
          <w:rStyle w:val="ECCParagraph"/>
        </w:rPr>
        <w:t>invites WRC-27 to consider, based on the results of studies, the appropriate regulatory actions, including possible new allocations to the MSS for direct connectivity between space stations and IMT user equipment to complement terrestrial IMT network coverage.</w:t>
      </w:r>
    </w:p>
    <w:p w14:paraId="2BFB82AA" w14:textId="77777777" w:rsidR="000A6D6C" w:rsidRPr="00D86872" w:rsidRDefault="000A6D6C" w:rsidP="000A6D6C">
      <w:r w:rsidRPr="00D86872">
        <w:t>ITU has identified the following elements, relevant for this agenda item:</w:t>
      </w:r>
    </w:p>
    <w:p w14:paraId="6AD07970" w14:textId="77777777" w:rsidR="000A6D6C" w:rsidRPr="000A6D6C" w:rsidRDefault="000A6D6C" w:rsidP="000A6D6C">
      <w:pPr>
        <w:pStyle w:val="ECCBulletsLv1"/>
      </w:pPr>
      <w:r w:rsidRPr="00D86872">
        <w:t>studies on possible allocations to the MSS in the frequency range between 694/698 MHz and 2.7 GHz, taking into account the IMT frequency arrangements addressed in the most recent version of Recommendation ITU-R M.1036;</w:t>
      </w:r>
    </w:p>
    <w:p w14:paraId="5ACFBB0B" w14:textId="77777777" w:rsidR="000A6D6C" w:rsidRPr="000A6D6C" w:rsidRDefault="000A6D6C" w:rsidP="000A6D6C">
      <w:pPr>
        <w:pStyle w:val="ECCBulletsLv1"/>
      </w:pPr>
      <w:r w:rsidRPr="00D86872">
        <w:t>studies on spectrum requirements and on technical, operational and regulatory matters related to the implementation of the mobile-satellite service for direct connectivity to the IMT user equipment to complement the terrestrial IMT network coverage.</w:t>
      </w:r>
    </w:p>
    <w:p w14:paraId="03853136" w14:textId="77777777" w:rsidR="003771D5" w:rsidRPr="00235592" w:rsidRDefault="003771D5" w:rsidP="00BD4E12">
      <w:pPr>
        <w:pStyle w:val="Heading1"/>
        <w:rPr>
          <w:lang w:val="en-GB"/>
        </w:rPr>
      </w:pPr>
      <w:r w:rsidRPr="00235592">
        <w:rPr>
          <w:lang w:val="en-GB"/>
        </w:rPr>
        <w:t xml:space="preserve">Preliminary CEPT position </w:t>
      </w:r>
    </w:p>
    <w:p w14:paraId="0A760F74" w14:textId="1404008D" w:rsidR="009A1127" w:rsidRPr="009A1127" w:rsidRDefault="009A1127" w:rsidP="009A1127">
      <w:r w:rsidRPr="009A1127">
        <w:t>CEPT is considering possible new MSS allocations for direct connectivity between space stations and IMT UEs to complement the terrestrial IMT network coverage and supports the development of an international regulatory framework that enables such usage in agreed IMT identified bands, in the frequency range 694-2700 MHz, with frequency arrangements in accordance with Recommendation ITU-R M.1036, while ensuring the protection of existing services both in band and in the adjacent band.</w:t>
      </w:r>
    </w:p>
    <w:p w14:paraId="0933C1A4" w14:textId="076D4860" w:rsidR="00906284" w:rsidRPr="00736FD2" w:rsidRDefault="007F588B" w:rsidP="007F588B">
      <w:r w:rsidRPr="00370164">
        <w:t xml:space="preserve">CEPT is further of the view that terrestrial IMT operations shall be protected both within the countries as well as in </w:t>
      </w:r>
      <w:r w:rsidRPr="007F588B">
        <w:t>cross-border situations, including in the territorial waters. The protection of stations on fixed installations in Exclusive Economic Zones (EEZ) or onboard ships in international waters (Mobile Communications onboard Vessels, MCV) also need to be addressed.</w:t>
      </w:r>
    </w:p>
    <w:p w14:paraId="143E2F01" w14:textId="77777777" w:rsidR="003771D5" w:rsidRDefault="003771D5" w:rsidP="003A68D5">
      <w:pPr>
        <w:pStyle w:val="Heading1"/>
        <w:rPr>
          <w:lang w:val="en-GB"/>
        </w:rPr>
      </w:pPr>
      <w:r w:rsidRPr="00235592">
        <w:rPr>
          <w:lang w:val="en-GB"/>
        </w:rPr>
        <w:t xml:space="preserve">Background </w:t>
      </w:r>
    </w:p>
    <w:p w14:paraId="042C050B" w14:textId="77777777" w:rsidR="000A6D6C" w:rsidRPr="00D86872" w:rsidRDefault="000A6D6C" w:rsidP="000A6D6C">
      <w:pPr>
        <w:rPr>
          <w:rStyle w:val="ECCParagraph"/>
        </w:rPr>
      </w:pPr>
      <w:r w:rsidRPr="00D86872">
        <w:rPr>
          <w:rStyle w:val="ECCParagraph"/>
        </w:rPr>
        <w:t>T</w:t>
      </w:r>
      <w:r w:rsidRPr="00B80EAB">
        <w:rPr>
          <w:rStyle w:val="ECCParagraph"/>
        </w:rPr>
        <w:t>h</w:t>
      </w:r>
      <w:r w:rsidRPr="00D86872">
        <w:rPr>
          <w:rStyle w:val="ECCParagraph"/>
        </w:rPr>
        <w:t>e</w:t>
      </w:r>
      <w:r w:rsidRPr="00B80EAB">
        <w:rPr>
          <w:rStyle w:val="ECCParagraph"/>
        </w:rPr>
        <w:t xml:space="preserve"> International Mobile Telecommunications (IMT) systems support terrestrial and satellite components, including the capability to enable direct communication to IMT user equipment</w:t>
      </w:r>
      <w:r w:rsidRPr="00D86872">
        <w:rPr>
          <w:rStyle w:val="ECCParagraph"/>
        </w:rPr>
        <w:t xml:space="preserve">. </w:t>
      </w:r>
      <w:r w:rsidRPr="00AB22F0">
        <w:t>The terrestrial component of IMT is well-developed and provides daily life connectivity to billions of people around the world.</w:t>
      </w:r>
      <w:r>
        <w:t xml:space="preserve"> </w:t>
      </w:r>
      <w:r w:rsidRPr="00D86872">
        <w:rPr>
          <w:rStyle w:val="ECCParagraph"/>
        </w:rPr>
        <w:t>Furthermore, t</w:t>
      </w:r>
      <w:r w:rsidRPr="00736FD2">
        <w:rPr>
          <w:rStyle w:val="ECCParagraph"/>
        </w:rPr>
        <w:t>he mobile-satellite system may provide alternative network resilience and mobile</w:t>
      </w:r>
      <w:r w:rsidRPr="00D86872">
        <w:rPr>
          <w:rStyle w:val="ECCParagraph"/>
        </w:rPr>
        <w:t xml:space="preserve"> </w:t>
      </w:r>
      <w:r w:rsidRPr="00736FD2">
        <w:rPr>
          <w:rStyle w:val="ECCParagraph"/>
        </w:rPr>
        <w:t>connectivity to underserved communities and in rural and remote areas, in particular in the event of network failures of terrestrial IMT and natural disasters</w:t>
      </w:r>
      <w:r w:rsidRPr="00D86872">
        <w:rPr>
          <w:rStyle w:val="ECCParagraph"/>
        </w:rPr>
        <w:t xml:space="preserve">. </w:t>
      </w:r>
    </w:p>
    <w:p w14:paraId="27CA174B" w14:textId="77777777" w:rsidR="000A6D6C" w:rsidRPr="000A6D6C" w:rsidRDefault="000A6D6C" w:rsidP="000A6D6C">
      <w:pPr>
        <w:pStyle w:val="ECCEditorsNote"/>
        <w:rPr>
          <w:rStyle w:val="ECCParagraph"/>
        </w:rPr>
      </w:pPr>
      <w:r w:rsidRPr="00D86872">
        <w:rPr>
          <w:rStyle w:val="ECCParagraph"/>
        </w:rPr>
        <w:t>Contributions to be provided</w:t>
      </w:r>
    </w:p>
    <w:p w14:paraId="0EEC56BD" w14:textId="2E2C6B3C" w:rsidR="000A6D6C" w:rsidRPr="000A6D6C" w:rsidRDefault="000A6D6C" w:rsidP="000A6D6C">
      <w:r w:rsidRPr="000A6D6C">
        <w:t>In many costal states mobile coverage from land based base stations provides voice and data services to vessels sailing along the coast as far out as 70-120 km. This mobile coverage also provides an important safety service, in addition to the recognized safety services at sea. A degradation of the coverage area provided by land based base stations at sea will have an impact on the availability of cost-efficient non-satellite</w:t>
      </w:r>
      <w:r w:rsidR="00B30207">
        <w:t>-</w:t>
      </w:r>
      <w:r w:rsidRPr="000A6D6C">
        <w:t>based data service for vessels sailing along the coast.</w:t>
      </w:r>
    </w:p>
    <w:p w14:paraId="1BC856DF" w14:textId="77777777" w:rsidR="000A6D6C" w:rsidRPr="000A6D6C" w:rsidRDefault="000A6D6C" w:rsidP="000A6D6C">
      <w:r w:rsidRPr="000A6D6C">
        <w:t xml:space="preserve">Over decades the mobile operators have provided mobile services to the oil rigs and fast-growing wind farms operators within the territorial waters (12 nm) and Exclusive Economic Zone (EEZ) (up to 200 nm). They have developed advanced telecommunications solutions in cooperation with and as a response to the requirements these verticals. </w:t>
      </w:r>
    </w:p>
    <w:p w14:paraId="6FB9640D" w14:textId="77777777" w:rsidR="000A6D6C" w:rsidRPr="000A6D6C" w:rsidRDefault="000A6D6C" w:rsidP="000A6D6C">
      <w:r w:rsidRPr="000A6D6C">
        <w:lastRenderedPageBreak/>
        <w:t>These services are possible due to authorisations given by the coastal administrations. It is not clear if mobile services offshore can achieve an international recognition in ITU, and no current studies related to the implementation of the mobile-satellite service for direct connectivity to the IMT user equipment takes into consideration the impact it may have on the existing and planned mobile networks in EEZ.</w:t>
      </w:r>
    </w:p>
    <w:p w14:paraId="36404C05" w14:textId="3234F0E6" w:rsidR="000A6D6C" w:rsidRPr="000A6D6C" w:rsidRDefault="000A6D6C" w:rsidP="000A6D6C">
      <w:r w:rsidRPr="000A6D6C">
        <w:t>Also, CEPT and EU have harmoni</w:t>
      </w:r>
      <w:r w:rsidR="00AA0BD0">
        <w:t>s</w:t>
      </w:r>
      <w:r w:rsidRPr="000A6D6C">
        <w:t>ed the use of IMT in various bands onboard vessels (ECC Decision (08)08 and Decision (EU) 2024/340). Even though these harmoni</w:t>
      </w:r>
      <w:r w:rsidR="00AA0BD0">
        <w:t>s</w:t>
      </w:r>
      <w:r w:rsidRPr="000A6D6C">
        <w:t>ations only covers the use within the territorial waters (within 12 nm) of the member states, IMT onboard vessels are widely used onboard ships within EEZ and international waters under the flag state principle.</w:t>
      </w:r>
    </w:p>
    <w:p w14:paraId="39333664" w14:textId="77777777" w:rsidR="000A6D6C" w:rsidRPr="000A6D6C" w:rsidRDefault="000A6D6C" w:rsidP="003B4445">
      <w:pPr>
        <w:jc w:val="center"/>
      </w:pPr>
      <w:r w:rsidRPr="000A6D6C">
        <w:rPr>
          <w:noProof/>
        </w:rPr>
        <mc:AlternateContent>
          <mc:Choice Requires="wps">
            <w:drawing>
              <wp:anchor distT="0" distB="0" distL="114300" distR="114300" simplePos="0" relativeHeight="251659264" behindDoc="0" locked="0" layoutInCell="1" allowOverlap="1" wp14:anchorId="197D167C" wp14:editId="6ED4476B">
                <wp:simplePos x="0" y="0"/>
                <wp:positionH relativeFrom="column">
                  <wp:posOffset>70312</wp:posOffset>
                </wp:positionH>
                <wp:positionV relativeFrom="paragraph">
                  <wp:posOffset>1469390</wp:posOffset>
                </wp:positionV>
                <wp:extent cx="914400" cy="443175"/>
                <wp:effectExtent l="0" t="0" r="0" b="0"/>
                <wp:wrapNone/>
                <wp:docPr id="296272179" name="Tekstboks 3"/>
                <wp:cNvGraphicFramePr/>
                <a:graphic xmlns:a="http://schemas.openxmlformats.org/drawingml/2006/main">
                  <a:graphicData uri="http://schemas.microsoft.com/office/word/2010/wordprocessingShape">
                    <wps:wsp>
                      <wps:cNvSpPr txBox="1"/>
                      <wps:spPr>
                        <a:xfrm>
                          <a:off x="0" y="0"/>
                          <a:ext cx="914400" cy="443175"/>
                        </a:xfrm>
                        <a:prstGeom prst="rect">
                          <a:avLst/>
                        </a:prstGeom>
                        <a:noFill/>
                        <a:ln w="6350">
                          <a:noFill/>
                        </a:ln>
                      </wps:spPr>
                      <wps:txbx>
                        <w:txbxContent>
                          <w:p w14:paraId="1087B4DD" w14:textId="77777777" w:rsidR="000A6D6C" w:rsidRPr="00883330" w:rsidRDefault="000A6D6C" w:rsidP="000A6D6C">
                            <w:pPr>
                              <w:rPr>
                                <w:b/>
                                <w:bCs/>
                              </w:rPr>
                            </w:pPr>
                            <w:r w:rsidRPr="00883330">
                              <w:rPr>
                                <w:b/>
                                <w:bCs/>
                              </w:rPr>
                              <w:t>EEZ / Offshore</w:t>
                            </w:r>
                            <w:r>
                              <w:rPr>
                                <w:b/>
                                <w:bCs/>
                              </w:rPr>
                              <w:t xml:space="preserve"> / International Waters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197D167C" id="_x0000_t202" coordsize="21600,21600" o:spt="202" path="m,l,21600r21600,l21600,xe">
                <v:stroke joinstyle="miter"/>
                <v:path gradientshapeok="t" o:connecttype="rect"/>
              </v:shapetype>
              <v:shape id="Tekstboks 3" o:spid="_x0000_s1026" type="#_x0000_t202" style="position:absolute;left:0;text-align:left;margin-left:5.55pt;margin-top:115.7pt;width:1in;height:34.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" filled="f" stroked="f" strokeweight=".5pt">
                <v:textbox>
                  <w:txbxContent>
                    <w:p w14:paraId="1087B4DD" w14:textId="77777777" w:rsidR="000A6D6C" w:rsidRPr="00883330" w:rsidRDefault="000A6D6C" w:rsidP="000A6D6C">
                      <w:pPr>
                        <w:rPr>
                          <w:b/>
                          <w:bCs/>
                        </w:rPr>
                      </w:pPr>
                      <w:r w:rsidRPr="00883330">
                        <w:rPr>
                          <w:b/>
                          <w:bCs/>
                        </w:rPr>
                        <w:t>EEZ / Offshore</w:t>
                      </w:r>
                      <w:r>
                        <w:rPr>
                          <w:b/>
                          <w:bCs/>
                        </w:rPr>
                        <w:t xml:space="preserve"> / International Waters</w:t>
                      </w:r>
                    </w:p>
                  </w:txbxContent>
                </v:textbox>
              </v:shape>
            </w:pict>
          </mc:Fallback>
        </mc:AlternateContent>
      </w:r>
      <w:r w:rsidRPr="000A6D6C">
        <w:rPr>
          <w:noProof/>
        </w:rPr>
        <mc:AlternateContent>
          <mc:Choice Requires="wps">
            <w:drawing>
              <wp:anchor distT="0" distB="0" distL="114300" distR="114300" simplePos="0" relativeHeight="251662336" behindDoc="0" locked="0" layoutInCell="1" allowOverlap="1" wp14:anchorId="60C4D2CC" wp14:editId="79D7D0EB">
                <wp:simplePos x="0" y="0"/>
                <wp:positionH relativeFrom="column">
                  <wp:posOffset>2235115</wp:posOffset>
                </wp:positionH>
                <wp:positionV relativeFrom="paragraph">
                  <wp:posOffset>661261</wp:posOffset>
                </wp:positionV>
                <wp:extent cx="914400" cy="443175"/>
                <wp:effectExtent l="0" t="0" r="0" b="0"/>
                <wp:wrapNone/>
                <wp:docPr id="1965433950" name="Tekstboks 3"/>
                <wp:cNvGraphicFramePr/>
                <a:graphic xmlns:a="http://schemas.openxmlformats.org/drawingml/2006/main">
                  <a:graphicData uri="http://schemas.microsoft.com/office/word/2010/wordprocessingShape">
                    <wps:wsp>
                      <wps:cNvSpPr txBox="1"/>
                      <wps:spPr>
                        <a:xfrm>
                          <a:off x="0" y="0"/>
                          <a:ext cx="914400" cy="443175"/>
                        </a:xfrm>
                        <a:prstGeom prst="rect">
                          <a:avLst/>
                        </a:prstGeom>
                        <a:noFill/>
                        <a:ln w="6350">
                          <a:noFill/>
                        </a:ln>
                      </wps:spPr>
                      <wps:txbx>
                        <w:txbxContent>
                          <w:p w14:paraId="3DCC90F2" w14:textId="77777777" w:rsidR="000A6D6C" w:rsidRPr="00883330" w:rsidRDefault="000A6D6C" w:rsidP="000A6D6C">
                            <w:pPr>
                              <w:rPr>
                                <w:b/>
                                <w:bCs/>
                              </w:rPr>
                            </w:pPr>
                            <w:r>
                              <w:rPr>
                                <w:b/>
                                <w:bCs/>
                              </w:rPr>
                              <w:t>12 nm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0C4D2CC" id="_x0000_s1027" type="#_x0000_t202" style="position:absolute;left:0;text-align:left;margin-left:176pt;margin-top:52.05pt;width:1in;height:34.9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" filled="f" stroked="f" strokeweight=".5pt">
                <v:textbox>
                  <w:txbxContent>
                    <w:p w14:paraId="3DCC90F2" w14:textId="77777777" w:rsidR="000A6D6C" w:rsidRPr="00883330" w:rsidRDefault="000A6D6C" w:rsidP="000A6D6C">
                      <w:pPr>
                        <w:rPr>
                          <w:b/>
                          <w:bCs/>
                        </w:rPr>
                      </w:pPr>
                      <w:r>
                        <w:rPr>
                          <w:b/>
                          <w:bCs/>
                        </w:rPr>
                        <w:t>12 nm</w:t>
                      </w:r>
                    </w:p>
                  </w:txbxContent>
                </v:textbox>
              </v:shape>
            </w:pict>
          </mc:Fallback>
        </mc:AlternateContent>
      </w:r>
      <w:r w:rsidRPr="000A6D6C">
        <w:rPr>
          <w:noProof/>
        </w:rPr>
        <mc:AlternateContent>
          <mc:Choice Requires="wps">
            <w:drawing>
              <wp:anchor distT="0" distB="0" distL="114300" distR="114300" simplePos="0" relativeHeight="251661312" behindDoc="0" locked="0" layoutInCell="1" allowOverlap="1" wp14:anchorId="6776CE64" wp14:editId="53D8B874">
                <wp:simplePos x="0" y="0"/>
                <wp:positionH relativeFrom="column">
                  <wp:posOffset>4463509</wp:posOffset>
                </wp:positionH>
                <wp:positionV relativeFrom="paragraph">
                  <wp:posOffset>1200501</wp:posOffset>
                </wp:positionV>
                <wp:extent cx="914400" cy="443175"/>
                <wp:effectExtent l="0" t="0" r="0" b="0"/>
                <wp:wrapNone/>
                <wp:docPr id="2097129433" name="Tekstboks 3"/>
                <wp:cNvGraphicFramePr/>
                <a:graphic xmlns:a="http://schemas.openxmlformats.org/drawingml/2006/main">
                  <a:graphicData uri="http://schemas.microsoft.com/office/word/2010/wordprocessingShape">
                    <wps:wsp>
                      <wps:cNvSpPr txBox="1"/>
                      <wps:spPr>
                        <a:xfrm>
                          <a:off x="0" y="0"/>
                          <a:ext cx="914400" cy="443175"/>
                        </a:xfrm>
                        <a:prstGeom prst="rect">
                          <a:avLst/>
                        </a:prstGeom>
                        <a:noFill/>
                        <a:ln w="6350">
                          <a:noFill/>
                        </a:ln>
                      </wps:spPr>
                      <wps:txbx>
                        <w:txbxContent>
                          <w:p w14:paraId="3F5C77E5" w14:textId="77777777" w:rsidR="000A6D6C" w:rsidRPr="00883330" w:rsidRDefault="000A6D6C" w:rsidP="000A6D6C">
                            <w:pPr>
                              <w:rPr>
                                <w:b/>
                                <w:bCs/>
                              </w:rPr>
                            </w:pPr>
                            <w:r>
                              <w:rPr>
                                <w:b/>
                                <w:bCs/>
                              </w:rPr>
                              <w:t>Land area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776CE64" id="_x0000_s1028" type="#_x0000_t202" style="position:absolute;left:0;text-align:left;margin-left:351.45pt;margin-top:94.55pt;width:1in;height:34.9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" filled="f" stroked="f" strokeweight=".5pt">
                <v:textbox>
                  <w:txbxContent>
                    <w:p w14:paraId="3F5C77E5" w14:textId="77777777" w:rsidR="000A6D6C" w:rsidRPr="00883330" w:rsidRDefault="000A6D6C" w:rsidP="000A6D6C">
                      <w:pPr>
                        <w:rPr>
                          <w:b/>
                          <w:bCs/>
                        </w:rPr>
                      </w:pPr>
                      <w:r>
                        <w:rPr>
                          <w:b/>
                          <w:bCs/>
                        </w:rPr>
                        <w:t>Land area</w:t>
                      </w:r>
                    </w:p>
                  </w:txbxContent>
                </v:textbox>
              </v:shape>
            </w:pict>
          </mc:Fallback>
        </mc:AlternateContent>
      </w:r>
      <w:r w:rsidRPr="000A6D6C">
        <w:rPr>
          <w:noProof/>
        </w:rPr>
        <mc:AlternateContent>
          <mc:Choice Requires="wps">
            <w:drawing>
              <wp:anchor distT="0" distB="0" distL="114300" distR="114300" simplePos="0" relativeHeight="251660288" behindDoc="0" locked="0" layoutInCell="1" allowOverlap="1" wp14:anchorId="3C292A16" wp14:editId="12404FB5">
                <wp:simplePos x="0" y="0"/>
                <wp:positionH relativeFrom="margin">
                  <wp:align>center</wp:align>
                </wp:positionH>
                <wp:positionV relativeFrom="paragraph">
                  <wp:posOffset>1256217</wp:posOffset>
                </wp:positionV>
                <wp:extent cx="914400" cy="443175"/>
                <wp:effectExtent l="0" t="0" r="0" b="0"/>
                <wp:wrapNone/>
                <wp:docPr id="1040393368" name="Tekstboks 3"/>
                <wp:cNvGraphicFramePr/>
                <a:graphic xmlns:a="http://schemas.openxmlformats.org/drawingml/2006/main">
                  <a:graphicData uri="http://schemas.microsoft.com/office/word/2010/wordprocessingShape">
                    <wps:wsp>
                      <wps:cNvSpPr txBox="1"/>
                      <wps:spPr>
                        <a:xfrm>
                          <a:off x="0" y="0"/>
                          <a:ext cx="914400" cy="443175"/>
                        </a:xfrm>
                        <a:prstGeom prst="rect">
                          <a:avLst/>
                        </a:prstGeom>
                        <a:noFill/>
                        <a:ln w="6350">
                          <a:noFill/>
                        </a:ln>
                      </wps:spPr>
                      <wps:txbx>
                        <w:txbxContent>
                          <w:p w14:paraId="451BB434" w14:textId="77777777" w:rsidR="000A6D6C" w:rsidRPr="00883330" w:rsidRDefault="000A6D6C" w:rsidP="000A6D6C">
                            <w:pPr>
                              <w:rPr>
                                <w:b/>
                                <w:bCs/>
                              </w:rPr>
                            </w:pPr>
                            <w:r>
                              <w:rPr>
                                <w:b/>
                                <w:bCs/>
                              </w:rPr>
                              <w:t>Territorial waters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C292A16" id="_x0000_s1029" type="#_x0000_t202" style="position:absolute;left:0;text-align:left;margin-left:0;margin-top:98.9pt;width:1in;height:34.9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" filled="f" stroked="f" strokeweight=".5pt">
                <v:textbox>
                  <w:txbxContent>
                    <w:p w14:paraId="451BB434" w14:textId="77777777" w:rsidR="000A6D6C" w:rsidRPr="00883330" w:rsidRDefault="000A6D6C" w:rsidP="000A6D6C">
                      <w:pPr>
                        <w:rPr>
                          <w:b/>
                          <w:bCs/>
                        </w:rPr>
                      </w:pPr>
                      <w:r>
                        <w:rPr>
                          <w:b/>
                          <w:bCs/>
                        </w:rPr>
                        <w:t>Territorial waters</w:t>
                      </w:r>
                    </w:p>
                  </w:txbxContent>
                </v:textbox>
                <w10:wrap anchorx="margin"/>
              </v:shape>
            </w:pict>
          </mc:Fallback>
        </mc:AlternateContent>
      </w:r>
      <w:r w:rsidRPr="000A6D6C">
        <w:rPr>
          <w:noProof/>
        </w:rPr>
        <w:drawing>
          <wp:inline distT="0" distB="0" distL="0" distR="0" wp14:anchorId="483E91B2" wp14:editId="409E374D">
            <wp:extent cx="6107445" cy="3287210"/>
            <wp:effectExtent l="0" t="0" r="7620" b="8890"/>
            <wp:docPr id="1301942189" name="Bilde 1" descr="A map of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42189" name="Bilde 1" descr="A map of a body of water&#10;&#10;AI-generated content may be incorrect."/>
                    <pic:cNvPicPr/>
                  </pic:nvPicPr>
                  <pic:blipFill>
                    <a:blip r:embed="rId12"/>
                    <a:stretch>
                      <a:fillRect/>
                    </a:stretch>
                  </pic:blipFill>
                  <pic:spPr>
                    <a:xfrm>
                      <a:off x="0" y="0"/>
                      <a:ext cx="6137893" cy="3303598"/>
                    </a:xfrm>
                    <a:prstGeom prst="rect">
                      <a:avLst/>
                    </a:prstGeom>
                  </pic:spPr>
                </pic:pic>
              </a:graphicData>
            </a:graphic>
          </wp:inline>
        </w:drawing>
      </w:r>
    </w:p>
    <w:p w14:paraId="7CBA7DE8" w14:textId="77777777" w:rsidR="000A6D6C" w:rsidRDefault="000A6D6C" w:rsidP="000A6D6C">
      <w:pPr>
        <w:pStyle w:val="Caption"/>
      </w:pPr>
      <w:r w:rsidRPr="000A6D6C">
        <w:t xml:space="preserve">Figure </w:t>
      </w:r>
      <w:r w:rsidRPr="000A6D6C">
        <w:fldChar w:fldCharType="begin"/>
      </w:r>
      <w:r w:rsidRPr="000A6D6C">
        <w:instrText xml:space="preserve"> SEQ Figure \* ARABIC </w:instrText>
      </w:r>
      <w:r w:rsidRPr="000A6D6C">
        <w:fldChar w:fldCharType="separate"/>
      </w:r>
      <w:r w:rsidRPr="000A6D6C">
        <w:t>1</w:t>
      </w:r>
      <w:r w:rsidRPr="000A6D6C">
        <w:fldChar w:fldCharType="end"/>
      </w:r>
      <w:r w:rsidRPr="000A6D6C">
        <w:t>: Overview of IMT deployment areas</w:t>
      </w:r>
    </w:p>
    <w:p w14:paraId="6B8E8BCB" w14:textId="77777777" w:rsidR="000A6D6C" w:rsidRPr="00D86872" w:rsidRDefault="000A6D6C" w:rsidP="000A6D6C">
      <w:pPr>
        <w:pStyle w:val="Heading2"/>
        <w:rPr>
          <w:rStyle w:val="ECCParagraph"/>
        </w:rPr>
      </w:pPr>
      <w:r w:rsidRPr="00D86872">
        <w:rPr>
          <w:rStyle w:val="ECCParagraph"/>
        </w:rPr>
        <w:t xml:space="preserve">STATUS of the Agenda item in ECC PT1 </w:t>
      </w:r>
    </w:p>
    <w:p w14:paraId="5695E0E8" w14:textId="77777777" w:rsidR="000A6D6C" w:rsidRPr="000A6D6C" w:rsidRDefault="000A6D6C" w:rsidP="000A6D6C">
      <w:pPr>
        <w:pStyle w:val="ECCEditorsNote"/>
        <w:rPr>
          <w:rStyle w:val="ECCParagraph"/>
        </w:rPr>
      </w:pPr>
      <w:r w:rsidRPr="001471CB">
        <w:rPr>
          <w:rStyle w:val="ECCParagraph"/>
          <w:lang w:val="da-DK"/>
        </w:rPr>
        <w:t>Feedback</w:t>
      </w:r>
      <w:r w:rsidRPr="000A6D6C">
        <w:rPr>
          <w:rStyle w:val="ECCParagraph"/>
        </w:rPr>
        <w:t xml:space="preserve"> from ECC PT1</w:t>
      </w:r>
    </w:p>
    <w:p w14:paraId="4EE20F5A" w14:textId="77777777" w:rsidR="000A6D6C" w:rsidRPr="001471CB" w:rsidRDefault="000A6D6C" w:rsidP="000A6D6C">
      <w:pPr>
        <w:pStyle w:val="ECCEditorsNote"/>
        <w:rPr>
          <w:rStyle w:val="ECCHLbold"/>
          <w:lang w:eastAsia="en-US"/>
        </w:rPr>
      </w:pPr>
      <w:r w:rsidRPr="00D86872">
        <w:rPr>
          <w:rStyle w:val="ECCParagraph"/>
        </w:rPr>
        <w:t>Explanation of the reason of this relevant paragraph</w:t>
      </w:r>
      <w:r w:rsidRPr="000A6D6C">
        <w:t xml:space="preserve"> </w:t>
      </w:r>
    </w:p>
    <w:p w14:paraId="5173DF30" w14:textId="4C4BD2BD" w:rsidR="000A6D6C" w:rsidRPr="001471CB" w:rsidRDefault="000A6D6C" w:rsidP="000A6D6C">
      <w:r w:rsidRPr="001471CB">
        <w:t xml:space="preserve">ECC PT1 is tasked by CPG to address technical studies under WRC-27 </w:t>
      </w:r>
      <w:r w:rsidRPr="000A6D6C">
        <w:t>agenda item</w:t>
      </w:r>
      <w:r w:rsidRPr="001471CB">
        <w:t xml:space="preserve"> 1.13, on the protection of the terrestrial component of IMT.</w:t>
      </w:r>
    </w:p>
    <w:p w14:paraId="23F4BDE1" w14:textId="4FBC6E42" w:rsidR="000A6D6C" w:rsidRDefault="000A6D6C" w:rsidP="000A6D6C">
      <w:r w:rsidRPr="000A6D6C">
        <w:t xml:space="preserve">This document recalls that CPG requested </w:t>
      </w:r>
      <w:r>
        <w:t xml:space="preserve">that CPG PTC is kept informed of the results of these technical studies in the ECC/PT1 work, where CPG PTC has overall responsibility for the CEPT Brief and ECP for </w:t>
      </w:r>
      <w:r w:rsidR="00B60C16">
        <w:t>a</w:t>
      </w:r>
      <w:r>
        <w:t xml:space="preserve">genda </w:t>
      </w:r>
      <w:r w:rsidR="00B60C16">
        <w:t>i</w:t>
      </w:r>
      <w:r>
        <w:t>tem 1.13.</w:t>
      </w:r>
      <w:r w:rsidRPr="004550CF">
        <w:t xml:space="preserve"> </w:t>
      </w:r>
      <w:r>
        <w:t xml:space="preserve">This is where the </w:t>
      </w:r>
      <w:r w:rsidRPr="004550CF">
        <w:t xml:space="preserve">material on the protection of the terrestrial component of IMT </w:t>
      </w:r>
      <w:r>
        <w:t xml:space="preserve">will be required in the </w:t>
      </w:r>
      <w:r w:rsidRPr="004550CF">
        <w:t>prepara</w:t>
      </w:r>
      <w:r>
        <w:t xml:space="preserve">tion </w:t>
      </w:r>
      <w:r w:rsidRPr="004550CF">
        <w:t xml:space="preserve">the draft CEPT Brief and ECP on WRC-27 </w:t>
      </w:r>
      <w:r w:rsidR="008B26AC">
        <w:t>a</w:t>
      </w:r>
      <w:r w:rsidRPr="004550CF">
        <w:t>genda item 1.13</w:t>
      </w:r>
      <w:r>
        <w:t>.</w:t>
      </w:r>
    </w:p>
    <w:p w14:paraId="7F25182F" w14:textId="77777777" w:rsidR="000A6D6C" w:rsidRDefault="000A6D6C" w:rsidP="000A6D6C">
      <w:r w:rsidRPr="00D86872">
        <w:t>In accordance with the guidance from the CPG, the approach of provisional application of pfd limits, as appropriate, until WRC-27 within CEPT has not been discussed under WRC-27 AI 1.13 as it is not a WRC issue.</w:t>
      </w:r>
    </w:p>
    <w:p w14:paraId="4D1DACCC" w14:textId="77777777" w:rsidR="000A6D6C" w:rsidRPr="00F2798C" w:rsidRDefault="000A6D6C" w:rsidP="000A6D6C">
      <w:r w:rsidRPr="00F2798C">
        <w:rPr>
          <w:rStyle w:val="ECCHLbold"/>
        </w:rPr>
        <w:t xml:space="preserve">PTC(25) INFO01 </w:t>
      </w:r>
      <w:r w:rsidRPr="00F2798C">
        <w:rPr>
          <w:rStyle w:val="ECCParagraph"/>
        </w:rPr>
        <w:t>the chair from ECC PT1 provides information relevant to PTC activities.</w:t>
      </w:r>
    </w:p>
    <w:p w14:paraId="067AF357" w14:textId="77777777" w:rsidR="000A6D6C" w:rsidRPr="00D86872" w:rsidRDefault="000A6D6C" w:rsidP="000A6D6C">
      <w:r w:rsidRPr="00D86872">
        <w:t xml:space="preserve">At the ECC PT1 #80 meeting, discussions focused on the technical protection of the terrestrial component of IMT. Input documents were reviewed, and common assumptions, such as the formula for calculating the pfd limit mask, were identified, though there was no consensus on whether it should represent a single-entry or aggregated pfd. Further discussions are needed on parameters like body loss and gain. The group debated the appropriate pfd limit for IMT protection and whether aerial UE protection should be considered for WRC preparations in Europe. No liaison statement (LS) was sent to FM22. </w:t>
      </w:r>
    </w:p>
    <w:p w14:paraId="35D6134B" w14:textId="1C6BAAFF" w:rsidR="000A6D6C" w:rsidRPr="00D86872" w:rsidRDefault="000A6D6C" w:rsidP="000A6D6C">
      <w:r w:rsidRPr="00D86872">
        <w:t>The group worked on a draft CEPT contribution</w:t>
      </w:r>
      <w:r w:rsidR="00453F47">
        <w:t xml:space="preserve"> to ITU-R WP 5D</w:t>
      </w:r>
      <w:r w:rsidRPr="00D86872">
        <w:t>, including IMT frequency bands and pfd limit mask calculation methods. Issues like MFCN protection and unwanted emissions were raised, but the decision was made not to send a CEPT contribution to WP 5D at this time.</w:t>
      </w:r>
    </w:p>
    <w:p w14:paraId="70AEF10C" w14:textId="77777777" w:rsidR="000A6D6C" w:rsidRPr="00D86872" w:rsidRDefault="000A6D6C" w:rsidP="000A6D6C">
      <w:pPr>
        <w:pStyle w:val="Heading2"/>
        <w:rPr>
          <w:rStyle w:val="ECCParagraph"/>
        </w:rPr>
      </w:pPr>
      <w:r w:rsidRPr="00D86872">
        <w:rPr>
          <w:rStyle w:val="ECCParagraph"/>
        </w:rPr>
        <w:t xml:space="preserve">BASIC CONCEPT OF MSS to be used as </w:t>
      </w:r>
      <w:r w:rsidRPr="000A6D6C">
        <w:t>satellite component of IMT networks</w:t>
      </w:r>
    </w:p>
    <w:p w14:paraId="02623A2C" w14:textId="77777777" w:rsidR="000A6D6C" w:rsidRPr="00D86872" w:rsidRDefault="000A6D6C" w:rsidP="000A6D6C">
      <w:r w:rsidRPr="00D86872">
        <w:t>To develop examples of systems implementation for MSS supplement into terrestrial IMT (i.e. spectrum bandwidth requirements, technical characteristics, MSS parameters in various bands: UHF, L, S, Operational requirements, etc.</w:t>
      </w:r>
    </w:p>
    <w:p w14:paraId="0D5E512D" w14:textId="77777777" w:rsidR="000A6D6C" w:rsidRPr="00D86872" w:rsidRDefault="000A6D6C" w:rsidP="000A6D6C">
      <w:pPr>
        <w:pStyle w:val="Heading2"/>
        <w:rPr>
          <w:rStyle w:val="ECCParagraph"/>
        </w:rPr>
      </w:pPr>
      <w:r w:rsidRPr="00D86872">
        <w:rPr>
          <w:rStyle w:val="ECCParagraph"/>
        </w:rPr>
        <w:t>Status of the agenda item in ITU-R</w:t>
      </w:r>
    </w:p>
    <w:p w14:paraId="765CDEBF" w14:textId="4AE9AA74" w:rsidR="000A6D6C" w:rsidRPr="000A6D6C" w:rsidRDefault="000A6D6C" w:rsidP="000A6D6C">
      <w:pPr>
        <w:pStyle w:val="ECCEditorsNote"/>
      </w:pPr>
      <w:r w:rsidRPr="00416B32">
        <w:t>Summary</w:t>
      </w:r>
      <w:r w:rsidRPr="000A6D6C">
        <w:t xml:space="preserve"> of results on WRC-27 agenda item 1.13 from Chairman’s Report of ITU-R WP 4C (10-18 October 2024) </w:t>
      </w:r>
    </w:p>
    <w:p w14:paraId="66365B85" w14:textId="01B3D2D2" w:rsidR="00873CE9" w:rsidRDefault="000A6D6C" w:rsidP="007D1902">
      <w:r w:rsidRPr="00D86872">
        <w:t xml:space="preserve">WP 4C finalized a list of potential frequency bands for study under this agenda item, based on contributions from WP 5D. WP 4C also sent a liaison statement to multiple working parties, informing them of the frequency band list (see below), noting that the directionality may not fully align with </w:t>
      </w:r>
      <w:r w:rsidR="00272190" w:rsidRPr="00965486">
        <w:rPr>
          <w:rStyle w:val="ECCParagraph"/>
        </w:rPr>
        <w:t>Recommendation</w:t>
      </w:r>
      <w:r w:rsidR="00272190" w:rsidRPr="00D86872">
        <w:t xml:space="preserve"> </w:t>
      </w:r>
      <w:r w:rsidRPr="00D86872">
        <w:t xml:space="preserve">ITU-R M.1036.  </w:t>
      </w:r>
    </w:p>
    <w:p w14:paraId="7B2019F3" w14:textId="30A1BA4B" w:rsidR="000A6D6C" w:rsidRPr="000A6D6C" w:rsidRDefault="008D5799" w:rsidP="00AF6917">
      <w:pPr>
        <w:pStyle w:val="Caption"/>
        <w:keepNext/>
      </w:pPr>
      <w:r w:rsidRPr="008D5799">
        <w:t xml:space="preserve">Table </w:t>
      </w:r>
      <w:r w:rsidRPr="008D5799">
        <w:fldChar w:fldCharType="begin"/>
      </w:r>
      <w:r w:rsidRPr="008D5799">
        <w:instrText xml:space="preserve"> SEQ Table \* ARABIC </w:instrText>
      </w:r>
      <w:r w:rsidRPr="008D5799">
        <w:fldChar w:fldCharType="separate"/>
      </w:r>
      <w:r w:rsidRPr="008D5799">
        <w:t>1</w:t>
      </w:r>
      <w:r w:rsidRPr="008D5799">
        <w:fldChar w:fldCharType="end"/>
      </w:r>
      <w:r w:rsidR="000A6D6C" w:rsidRPr="000A6D6C">
        <w:t xml:space="preserve">: List of the possible IMT frequency arrangements for MSS </w:t>
      </w:r>
      <w:r w:rsidR="000A6D6C" w:rsidRPr="00D14C40">
        <w:t>direct</w:t>
      </w:r>
      <w:r w:rsidR="000A6D6C" w:rsidRPr="000A6D6C">
        <w:t xml:space="preserve"> </w:t>
      </w:r>
      <w:r w:rsidR="000A6D6C" w:rsidRPr="00D14C40">
        <w:t>communication</w:t>
      </w:r>
      <w:r w:rsidR="000A6D6C" w:rsidRPr="000A6D6C">
        <w:t xml:space="preserve"> with IMT UE</w:t>
      </w:r>
    </w:p>
    <w:tbl>
      <w:tblPr>
        <w:tblStyle w:val="ECCTable-redheader"/>
        <w:tblW w:w="5670" w:type="dxa"/>
        <w:tblInd w:w="0" w:type="dxa"/>
        <w:tblLook w:val="04A0" w:firstRow="1" w:lastRow="0" w:firstColumn="1" w:lastColumn="0" w:noHBand="0" w:noVBand="1"/>
      </w:tblPr>
      <w:tblGrid>
        <w:gridCol w:w="2707"/>
        <w:gridCol w:w="2963"/>
      </w:tblGrid>
      <w:tr w:rsidR="000A6D6C" w:rsidRPr="0031324C" w14:paraId="6F1F96D8" w14:textId="77777777" w:rsidTr="000003E2">
        <w:trPr>
          <w:cnfStyle w:val="100000000000" w:firstRow="1" w:lastRow="0" w:firstColumn="0" w:lastColumn="0" w:oddVBand="0" w:evenVBand="0" w:oddHBand="0" w:evenHBand="0" w:firstRowFirstColumn="0" w:firstRowLastColumn="0" w:lastRowFirstColumn="0" w:lastRowLastColumn="0"/>
          <w:trHeight w:val="20"/>
        </w:trPr>
        <w:tc>
          <w:tcPr>
            <w:tcW w:w="50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5DF35CB" w14:textId="77777777" w:rsidR="000A6D6C" w:rsidRPr="000A6D6C" w:rsidRDefault="000A6D6C" w:rsidP="00D14C40">
            <w:r w:rsidRPr="0031324C">
              <w:t>Directionality</w:t>
            </w:r>
          </w:p>
        </w:tc>
      </w:tr>
      <w:tr w:rsidR="000A6D6C" w:rsidRPr="0031324C" w14:paraId="6444E866" w14:textId="77777777" w:rsidTr="000003E2">
        <w:trPr>
          <w:trHeight w:val="20"/>
        </w:trPr>
        <w:tc>
          <w:tcPr>
            <w:tcW w:w="2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9EABE1A" w14:textId="77777777" w:rsidR="000A6D6C" w:rsidRPr="000A6D6C" w:rsidRDefault="000A6D6C" w:rsidP="00D14C40">
            <w:pPr>
              <w:jc w:val="center"/>
            </w:pPr>
            <w:r w:rsidRPr="0031324C">
              <w:t>Uplink</w:t>
            </w:r>
            <w:r w:rsidRPr="0031324C">
              <w:br/>
              <w:t>(MHz)</w:t>
            </w:r>
          </w:p>
        </w:tc>
        <w:tc>
          <w:tcPr>
            <w:tcW w:w="26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D8BB8FF" w14:textId="77777777" w:rsidR="000A6D6C" w:rsidRPr="000A6D6C" w:rsidRDefault="000A6D6C" w:rsidP="00D14C40">
            <w:pPr>
              <w:jc w:val="center"/>
            </w:pPr>
            <w:r w:rsidRPr="0031324C">
              <w:t>Downlink</w:t>
            </w:r>
            <w:r w:rsidRPr="0031324C">
              <w:br/>
              <w:t xml:space="preserve"> (MHz)</w:t>
            </w:r>
          </w:p>
        </w:tc>
      </w:tr>
      <w:tr w:rsidR="000A6D6C" w:rsidRPr="0031324C" w14:paraId="7266C5C7" w14:textId="77777777" w:rsidTr="000003E2">
        <w:trPr>
          <w:trHeight w:val="20"/>
        </w:trPr>
        <w:tc>
          <w:tcPr>
            <w:tcW w:w="2387" w:type="pct"/>
            <w:tcBorders>
              <w:top w:val="single" w:sz="4" w:space="0" w:color="FFFFFF" w:themeColor="background1"/>
            </w:tcBorders>
          </w:tcPr>
          <w:p w14:paraId="4294821F" w14:textId="77777777" w:rsidR="000A6D6C" w:rsidRPr="000A6D6C" w:rsidRDefault="000A6D6C" w:rsidP="00D14C40">
            <w:r w:rsidRPr="0031324C">
              <w:t>807-849</w:t>
            </w:r>
          </w:p>
        </w:tc>
        <w:tc>
          <w:tcPr>
            <w:tcW w:w="2613" w:type="pct"/>
            <w:tcBorders>
              <w:top w:val="single" w:sz="4" w:space="0" w:color="FFFFFF" w:themeColor="background1"/>
            </w:tcBorders>
          </w:tcPr>
          <w:p w14:paraId="5650BCC5" w14:textId="77777777" w:rsidR="000A6D6C" w:rsidRPr="000A6D6C" w:rsidRDefault="000A6D6C" w:rsidP="00D14C40">
            <w:r w:rsidRPr="0031324C">
              <w:t>852-894</w:t>
            </w:r>
          </w:p>
        </w:tc>
      </w:tr>
      <w:tr w:rsidR="000A6D6C" w:rsidRPr="0031324C" w14:paraId="77C3DBD2" w14:textId="77777777" w:rsidTr="000003E2">
        <w:trPr>
          <w:trHeight w:val="20"/>
        </w:trPr>
        <w:tc>
          <w:tcPr>
            <w:tcW w:w="2387" w:type="pct"/>
          </w:tcPr>
          <w:p w14:paraId="6BBE58EE" w14:textId="77777777" w:rsidR="000A6D6C" w:rsidRPr="00D14C40" w:rsidRDefault="000A6D6C" w:rsidP="00D14C40">
            <w:r w:rsidRPr="0031324C">
              <w:t>880-915</w:t>
            </w:r>
          </w:p>
        </w:tc>
        <w:tc>
          <w:tcPr>
            <w:tcW w:w="2613" w:type="pct"/>
          </w:tcPr>
          <w:p w14:paraId="00668333" w14:textId="77777777" w:rsidR="000A6D6C" w:rsidRPr="00116130" w:rsidRDefault="000A6D6C" w:rsidP="00D14C40">
            <w:r w:rsidRPr="0031324C">
              <w:t>925-960</w:t>
            </w:r>
          </w:p>
        </w:tc>
      </w:tr>
      <w:tr w:rsidR="000A6D6C" w:rsidRPr="0031324C" w14:paraId="7F6461E1" w14:textId="77777777" w:rsidTr="000003E2">
        <w:trPr>
          <w:trHeight w:val="20"/>
        </w:trPr>
        <w:tc>
          <w:tcPr>
            <w:tcW w:w="2387" w:type="pct"/>
          </w:tcPr>
          <w:p w14:paraId="2FD4EC25" w14:textId="77777777" w:rsidR="000A6D6C" w:rsidRPr="000A6D6C" w:rsidRDefault="000A6D6C" w:rsidP="00D14C40">
            <w:r w:rsidRPr="0031324C">
              <w:t>832-862</w:t>
            </w:r>
          </w:p>
        </w:tc>
        <w:tc>
          <w:tcPr>
            <w:tcW w:w="2613" w:type="pct"/>
          </w:tcPr>
          <w:p w14:paraId="16741C0A" w14:textId="77777777" w:rsidR="000A6D6C" w:rsidRPr="000A6D6C" w:rsidRDefault="000A6D6C" w:rsidP="00D14C40">
            <w:r w:rsidRPr="0031324C">
              <w:t>791-821</w:t>
            </w:r>
          </w:p>
        </w:tc>
      </w:tr>
      <w:tr w:rsidR="000A6D6C" w:rsidRPr="0031324C" w14:paraId="3E3C8DBE" w14:textId="77777777" w:rsidTr="000003E2">
        <w:trPr>
          <w:trHeight w:val="20"/>
        </w:trPr>
        <w:tc>
          <w:tcPr>
            <w:tcW w:w="2387" w:type="pct"/>
          </w:tcPr>
          <w:p w14:paraId="490BE20F" w14:textId="77777777" w:rsidR="000A6D6C" w:rsidRPr="00D14C40" w:rsidRDefault="000A6D6C" w:rsidP="00D14C40">
            <w:r w:rsidRPr="00D14C40">
              <w:rPr>
                <w:lang w:eastAsia="en-US"/>
              </w:rPr>
              <w:t>698-716</w:t>
            </w:r>
          </w:p>
          <w:p w14:paraId="67EC33E3" w14:textId="77777777" w:rsidR="000A6D6C" w:rsidRPr="00116130" w:rsidRDefault="000A6D6C" w:rsidP="00D14C40">
            <w:r w:rsidRPr="00D14C40">
              <w:rPr>
                <w:lang w:eastAsia="en-US"/>
              </w:rPr>
              <w:t>776-798</w:t>
            </w:r>
          </w:p>
        </w:tc>
        <w:tc>
          <w:tcPr>
            <w:tcW w:w="2613" w:type="pct"/>
          </w:tcPr>
          <w:p w14:paraId="6B8F6E85" w14:textId="77777777" w:rsidR="000A6D6C" w:rsidRPr="00D14C40" w:rsidRDefault="000A6D6C" w:rsidP="00D14C40">
            <w:r w:rsidRPr="00D14C40">
              <w:rPr>
                <w:lang w:eastAsia="en-US"/>
              </w:rPr>
              <w:t>716-746</w:t>
            </w:r>
          </w:p>
          <w:p w14:paraId="788FC319" w14:textId="77777777" w:rsidR="000A6D6C" w:rsidRPr="00D14C40" w:rsidRDefault="000A6D6C" w:rsidP="00D14C40">
            <w:r w:rsidRPr="00D14C40">
              <w:rPr>
                <w:lang w:eastAsia="en-US"/>
              </w:rPr>
              <w:t>746-768</w:t>
            </w:r>
          </w:p>
        </w:tc>
      </w:tr>
      <w:tr w:rsidR="000A6D6C" w:rsidRPr="0031324C" w14:paraId="233AE5CE" w14:textId="77777777" w:rsidTr="000003E2">
        <w:trPr>
          <w:trHeight w:val="20"/>
        </w:trPr>
        <w:tc>
          <w:tcPr>
            <w:tcW w:w="2387" w:type="pct"/>
          </w:tcPr>
          <w:p w14:paraId="34168F03" w14:textId="77777777" w:rsidR="000A6D6C" w:rsidRPr="000A6D6C" w:rsidRDefault="000A6D6C" w:rsidP="00116130">
            <w:r w:rsidRPr="0031324C">
              <w:t>698-748</w:t>
            </w:r>
          </w:p>
        </w:tc>
        <w:tc>
          <w:tcPr>
            <w:tcW w:w="2613" w:type="pct"/>
          </w:tcPr>
          <w:p w14:paraId="60792986" w14:textId="77777777" w:rsidR="000A6D6C" w:rsidRPr="000A6D6C" w:rsidRDefault="000A6D6C" w:rsidP="00116130">
            <w:r w:rsidRPr="0031324C">
              <w:t>753-803</w:t>
            </w:r>
          </w:p>
        </w:tc>
      </w:tr>
      <w:tr w:rsidR="000A6D6C" w:rsidRPr="0031324C" w14:paraId="32EEB6AD" w14:textId="77777777" w:rsidTr="000003E2">
        <w:trPr>
          <w:trHeight w:val="20"/>
        </w:trPr>
        <w:tc>
          <w:tcPr>
            <w:tcW w:w="2387" w:type="pct"/>
          </w:tcPr>
          <w:p w14:paraId="258EC76F" w14:textId="0FAD1A6B" w:rsidR="000A6D6C" w:rsidRPr="000A6D6C" w:rsidRDefault="000A6D6C" w:rsidP="00116130">
            <w:r w:rsidRPr="0031324C">
              <w:t>1427-1470</w:t>
            </w:r>
          </w:p>
        </w:tc>
        <w:tc>
          <w:tcPr>
            <w:tcW w:w="2613" w:type="pct"/>
          </w:tcPr>
          <w:p w14:paraId="7185BE9E" w14:textId="30B3DA6A" w:rsidR="000A6D6C" w:rsidRPr="000A6D6C" w:rsidRDefault="000A6D6C" w:rsidP="00116130">
            <w:r w:rsidRPr="0031324C">
              <w:t>1475-1518</w:t>
            </w:r>
          </w:p>
        </w:tc>
      </w:tr>
      <w:tr w:rsidR="000A6D6C" w:rsidRPr="0031324C" w14:paraId="184DE5ED" w14:textId="77777777" w:rsidTr="000003E2">
        <w:trPr>
          <w:trHeight w:val="20"/>
        </w:trPr>
        <w:tc>
          <w:tcPr>
            <w:tcW w:w="2387" w:type="pct"/>
          </w:tcPr>
          <w:p w14:paraId="0AE2C751" w14:textId="69599192" w:rsidR="000A6D6C" w:rsidRPr="000A6D6C" w:rsidRDefault="000A6D6C" w:rsidP="00116130">
            <w:r w:rsidRPr="0031324C">
              <w:t>1920-1980</w:t>
            </w:r>
          </w:p>
        </w:tc>
        <w:tc>
          <w:tcPr>
            <w:tcW w:w="2613" w:type="pct"/>
          </w:tcPr>
          <w:p w14:paraId="3905384E" w14:textId="6B48FF41" w:rsidR="000A6D6C" w:rsidRPr="000A6D6C" w:rsidRDefault="000A6D6C" w:rsidP="00116130">
            <w:r w:rsidRPr="0031324C">
              <w:t>2110-2170</w:t>
            </w:r>
          </w:p>
        </w:tc>
      </w:tr>
      <w:tr w:rsidR="000A6D6C" w:rsidRPr="0031324C" w14:paraId="546478B1" w14:textId="77777777" w:rsidTr="000003E2">
        <w:trPr>
          <w:trHeight w:val="20"/>
        </w:trPr>
        <w:tc>
          <w:tcPr>
            <w:tcW w:w="2387" w:type="pct"/>
          </w:tcPr>
          <w:p w14:paraId="7F7A638D" w14:textId="488CFD3B" w:rsidR="000A6D6C" w:rsidRPr="000A6D6C" w:rsidRDefault="000A6D6C" w:rsidP="00116130">
            <w:r w:rsidRPr="0031324C">
              <w:t>1710-1785</w:t>
            </w:r>
          </w:p>
        </w:tc>
        <w:tc>
          <w:tcPr>
            <w:tcW w:w="2613" w:type="pct"/>
          </w:tcPr>
          <w:p w14:paraId="154A09BE" w14:textId="148F022A" w:rsidR="000A6D6C" w:rsidRPr="000A6D6C" w:rsidRDefault="000A6D6C" w:rsidP="00116130">
            <w:r w:rsidRPr="0031324C">
              <w:t>1805-1880</w:t>
            </w:r>
          </w:p>
        </w:tc>
      </w:tr>
      <w:tr w:rsidR="000A6D6C" w:rsidRPr="0031324C" w14:paraId="3DED8691" w14:textId="77777777" w:rsidTr="000003E2">
        <w:trPr>
          <w:trHeight w:val="20"/>
        </w:trPr>
        <w:tc>
          <w:tcPr>
            <w:tcW w:w="2387" w:type="pct"/>
          </w:tcPr>
          <w:p w14:paraId="2D7700C2" w14:textId="3EE9234C" w:rsidR="000A6D6C" w:rsidRPr="000A6D6C" w:rsidRDefault="000A6D6C" w:rsidP="00116130">
            <w:r w:rsidRPr="0031324C">
              <w:t>1850-1920</w:t>
            </w:r>
          </w:p>
        </w:tc>
        <w:tc>
          <w:tcPr>
            <w:tcW w:w="2613" w:type="pct"/>
          </w:tcPr>
          <w:p w14:paraId="4964DFE1" w14:textId="70017D40" w:rsidR="000A6D6C" w:rsidRPr="000A6D6C" w:rsidRDefault="000A6D6C" w:rsidP="00116130">
            <w:r w:rsidRPr="0031324C">
              <w:t>1930-2000</w:t>
            </w:r>
          </w:p>
        </w:tc>
      </w:tr>
      <w:tr w:rsidR="000A6D6C" w:rsidRPr="0031324C" w14:paraId="25222C93" w14:textId="77777777" w:rsidTr="000003E2">
        <w:trPr>
          <w:trHeight w:val="20"/>
        </w:trPr>
        <w:tc>
          <w:tcPr>
            <w:tcW w:w="2387" w:type="pct"/>
          </w:tcPr>
          <w:p w14:paraId="5C503B9F" w14:textId="28E1C526" w:rsidR="000A6D6C" w:rsidRPr="000A6D6C" w:rsidRDefault="000A6D6C" w:rsidP="00116130">
            <w:r w:rsidRPr="0031324C">
              <w:t>1710-1780</w:t>
            </w:r>
          </w:p>
        </w:tc>
        <w:tc>
          <w:tcPr>
            <w:tcW w:w="2613" w:type="pct"/>
          </w:tcPr>
          <w:p w14:paraId="0D0C1F87" w14:textId="439821A3" w:rsidR="000A6D6C" w:rsidRPr="000A6D6C" w:rsidRDefault="000A6D6C" w:rsidP="00116130">
            <w:r w:rsidRPr="0031324C">
              <w:t>2110-2180</w:t>
            </w:r>
          </w:p>
        </w:tc>
      </w:tr>
      <w:tr w:rsidR="000A6D6C" w:rsidRPr="0031324C" w14:paraId="797A6DD0" w14:textId="77777777" w:rsidTr="000003E2">
        <w:trPr>
          <w:trHeight w:val="20"/>
        </w:trPr>
        <w:tc>
          <w:tcPr>
            <w:tcW w:w="2387" w:type="pct"/>
          </w:tcPr>
          <w:p w14:paraId="2B14D586" w14:textId="70B87821" w:rsidR="000A6D6C" w:rsidRPr="000A6D6C" w:rsidRDefault="000A6D6C" w:rsidP="00116130">
            <w:r w:rsidRPr="0031324C">
              <w:t>2000-2020</w:t>
            </w:r>
          </w:p>
        </w:tc>
        <w:tc>
          <w:tcPr>
            <w:tcW w:w="2613" w:type="pct"/>
          </w:tcPr>
          <w:p w14:paraId="59505284" w14:textId="69005957" w:rsidR="000A6D6C" w:rsidRPr="000A6D6C" w:rsidRDefault="000A6D6C" w:rsidP="00116130">
            <w:r w:rsidRPr="0031324C">
              <w:t>2180-2200</w:t>
            </w:r>
          </w:p>
        </w:tc>
      </w:tr>
      <w:tr w:rsidR="000A6D6C" w:rsidRPr="0031324C" w14:paraId="0F2843EA" w14:textId="77777777" w:rsidTr="000003E2">
        <w:trPr>
          <w:trHeight w:val="20"/>
        </w:trPr>
        <w:tc>
          <w:tcPr>
            <w:tcW w:w="2387" w:type="pct"/>
          </w:tcPr>
          <w:p w14:paraId="68D3B8ED" w14:textId="0ED13B31" w:rsidR="000A6D6C" w:rsidRPr="000A6D6C" w:rsidRDefault="000A6D6C" w:rsidP="000003E2">
            <w:r w:rsidRPr="0031324C">
              <w:t>2010-2</w:t>
            </w:r>
            <w:r w:rsidRPr="000A6D6C">
              <w:t>025</w:t>
            </w:r>
          </w:p>
        </w:tc>
        <w:tc>
          <w:tcPr>
            <w:tcW w:w="2613" w:type="pct"/>
          </w:tcPr>
          <w:p w14:paraId="1D6A3963" w14:textId="2EDD2648" w:rsidR="000A6D6C" w:rsidRPr="000A6D6C" w:rsidRDefault="000A6D6C" w:rsidP="000003E2">
            <w:r w:rsidRPr="000003E2">
              <w:rPr>
                <w:lang w:eastAsia="en-US"/>
              </w:rPr>
              <w:t>1880-1920</w:t>
            </w:r>
          </w:p>
        </w:tc>
      </w:tr>
      <w:tr w:rsidR="000A6D6C" w:rsidRPr="0031324C" w14:paraId="46A49A9C" w14:textId="77777777" w:rsidTr="000003E2">
        <w:trPr>
          <w:trHeight w:val="20"/>
        </w:trPr>
        <w:tc>
          <w:tcPr>
            <w:tcW w:w="2387" w:type="pct"/>
          </w:tcPr>
          <w:p w14:paraId="16C21D49" w14:textId="08E4A9A5" w:rsidR="000A6D6C" w:rsidRPr="000A6D6C" w:rsidRDefault="000A6D6C" w:rsidP="000003E2">
            <w:r w:rsidRPr="0031324C">
              <w:t>2305-2320</w:t>
            </w:r>
          </w:p>
        </w:tc>
        <w:tc>
          <w:tcPr>
            <w:tcW w:w="2613" w:type="pct"/>
          </w:tcPr>
          <w:p w14:paraId="2FEA329E" w14:textId="0166F782" w:rsidR="000A6D6C" w:rsidRPr="000A6D6C" w:rsidRDefault="000A6D6C" w:rsidP="000003E2">
            <w:r w:rsidRPr="0031324C">
              <w:t>2345-2360</w:t>
            </w:r>
          </w:p>
        </w:tc>
      </w:tr>
      <w:tr w:rsidR="000A6D6C" w:rsidRPr="0031324C" w14:paraId="6F1CBC8E" w14:textId="77777777" w:rsidTr="000003E2">
        <w:trPr>
          <w:trHeight w:val="20"/>
        </w:trPr>
        <w:tc>
          <w:tcPr>
            <w:tcW w:w="2387" w:type="pct"/>
          </w:tcPr>
          <w:p w14:paraId="33CC29E4" w14:textId="3B87AAC5" w:rsidR="000A6D6C" w:rsidRPr="000003E2" w:rsidRDefault="000A6D6C" w:rsidP="000003E2">
            <w:r w:rsidRPr="0031324C">
              <w:t>2500-2570</w:t>
            </w:r>
          </w:p>
        </w:tc>
        <w:tc>
          <w:tcPr>
            <w:tcW w:w="2613" w:type="pct"/>
          </w:tcPr>
          <w:p w14:paraId="3A6FD3CA" w14:textId="17617E8D" w:rsidR="000A6D6C" w:rsidRPr="000003E2" w:rsidRDefault="000A6D6C" w:rsidP="000003E2">
            <w:r w:rsidRPr="0031324C">
              <w:t>2620-2690</w:t>
            </w:r>
          </w:p>
        </w:tc>
      </w:tr>
    </w:tbl>
    <w:p w14:paraId="3C7A7B10" w14:textId="77777777" w:rsidR="000A6D6C" w:rsidRPr="00D86872" w:rsidRDefault="000A6D6C" w:rsidP="000A6D6C">
      <w:r w:rsidRPr="00D86872">
        <w:t>WP 4C developed:</w:t>
      </w:r>
    </w:p>
    <w:p w14:paraId="41CFE8CF" w14:textId="658260F9" w:rsidR="000A6D6C" w:rsidRPr="000A6D6C" w:rsidRDefault="000A6D6C" w:rsidP="000A6D6C">
      <w:pPr>
        <w:pStyle w:val="ECCBulletsLv1"/>
      </w:pPr>
      <w:r w:rsidRPr="00D86872">
        <w:t xml:space="preserve">A working document on technical and operational characteristics of MSS for direct communication with IMT </w:t>
      </w:r>
      <w:r w:rsidRPr="000A6D6C">
        <w:t>UE.</w:t>
      </w:r>
    </w:p>
    <w:p w14:paraId="6023186D" w14:textId="77777777" w:rsidR="000A6D6C" w:rsidRPr="000A6D6C" w:rsidRDefault="000A6D6C" w:rsidP="000A6D6C">
      <w:pPr>
        <w:pStyle w:val="ECCBulletsLv1"/>
      </w:pPr>
      <w:r w:rsidRPr="00D86872">
        <w:t xml:space="preserve">An initial consideration on the MSS systems' description and functionality for direct connectivity. To facilitate further </w:t>
      </w:r>
      <w:r w:rsidRPr="000A6D6C">
        <w:t>discussion, a Correspondence Group has been established, which will hold two online meetings.</w:t>
      </w:r>
    </w:p>
    <w:p w14:paraId="3D6CF586" w14:textId="77777777" w:rsidR="000A6D6C" w:rsidRPr="00D86872" w:rsidRDefault="000A6D6C" w:rsidP="000A6D6C">
      <w:r w:rsidRPr="00D86872">
        <w:t>The frequency bands overlap between the agenda items (work in progress in ITU-R WP 4C).</w:t>
      </w:r>
    </w:p>
    <w:p w14:paraId="1813ED0D" w14:textId="6D9F89BC" w:rsidR="000A6D6C" w:rsidRPr="000A6D6C" w:rsidRDefault="000A6D6C" w:rsidP="000003E2">
      <w:pPr>
        <w:pStyle w:val="ECCBulletsLv1"/>
      </w:pPr>
      <w:r w:rsidRPr="00986A88">
        <w:t>MSS↓ = space-to-Earth</w:t>
      </w:r>
    </w:p>
    <w:p w14:paraId="4F79B741" w14:textId="79A52186" w:rsidR="000A6D6C" w:rsidRPr="000A6D6C" w:rsidRDefault="000A6D6C" w:rsidP="000003E2">
      <w:pPr>
        <w:pStyle w:val="ECCBulletsLv1"/>
      </w:pPr>
      <w:r w:rsidRPr="00986A88">
        <w:t>MSS↑ = Earth-to-space</w:t>
      </w:r>
    </w:p>
    <w:p w14:paraId="0B7826E9" w14:textId="1552A2EB" w:rsidR="000A6D6C" w:rsidRPr="000A6D6C" w:rsidRDefault="000A6D6C" w:rsidP="000003E2">
      <w:pPr>
        <w:pStyle w:val="ECCBulletsLv1"/>
      </w:pPr>
      <w:r w:rsidRPr="00D635C7">
        <w:t>R1 = Region 1</w:t>
      </w:r>
    </w:p>
    <w:p w14:paraId="1B797A82" w14:textId="47B7DCA0" w:rsidR="000A6D6C" w:rsidRPr="000A6D6C" w:rsidRDefault="000A6D6C" w:rsidP="000003E2">
      <w:pPr>
        <w:pStyle w:val="ECCBulletsLv1"/>
      </w:pPr>
      <w:r w:rsidRPr="00D86872">
        <w:t>R3 = Region 3</w:t>
      </w:r>
    </w:p>
    <w:p w14:paraId="1E5D9A1B" w14:textId="306AD0C5" w:rsidR="000A6D6C" w:rsidRPr="00D86872" w:rsidRDefault="00AF6917" w:rsidP="000003E2">
      <w:pPr>
        <w:pStyle w:val="Caption"/>
      </w:pPr>
      <w:r>
        <w:t xml:space="preserve">Table </w:t>
      </w:r>
      <w:r>
        <w:fldChar w:fldCharType="begin"/>
      </w:r>
      <w:r>
        <w:instrText xml:space="preserve"> SEQ Table \* ARABIC </w:instrText>
      </w:r>
      <w:r>
        <w:fldChar w:fldCharType="separate"/>
      </w:r>
      <w:r>
        <w:rPr>
          <w:noProof/>
        </w:rPr>
        <w:t>2</w:t>
      </w:r>
      <w:r>
        <w:fldChar w:fldCharType="end"/>
      </w:r>
      <w:r w:rsidR="00A8150A">
        <w:t>:</w:t>
      </w:r>
      <w:r w:rsidR="00874AAD">
        <w:t xml:space="preserve"> </w:t>
      </w:r>
      <w:r w:rsidR="00874AAD" w:rsidRPr="00874AAD">
        <w:t>Overlap of the frequency bands considered under agenda items AI 1.12, 1.13 and 1.14</w:t>
      </w:r>
    </w:p>
    <w:tbl>
      <w:tblPr>
        <w:tblStyle w:val="ECCTable-redheader"/>
        <w:tblW w:w="7797" w:type="dxa"/>
        <w:tblInd w:w="0" w:type="dxa"/>
        <w:tblLook w:val="04A0" w:firstRow="1" w:lastRow="0" w:firstColumn="1" w:lastColumn="0" w:noHBand="0" w:noVBand="1"/>
      </w:tblPr>
      <w:tblGrid>
        <w:gridCol w:w="2404"/>
        <w:gridCol w:w="1111"/>
        <w:gridCol w:w="1503"/>
        <w:gridCol w:w="2779"/>
      </w:tblGrid>
      <w:tr w:rsidR="000A6D6C" w:rsidRPr="00D86872" w14:paraId="3232E4EE" w14:textId="77777777" w:rsidTr="00A94140">
        <w:trPr>
          <w:cnfStyle w:val="100000000000" w:firstRow="1" w:lastRow="0" w:firstColumn="0" w:lastColumn="0" w:oddVBand="0" w:evenVBand="0" w:oddHBand="0" w:evenHBand="0" w:firstRowFirstColumn="0" w:firstRowLastColumn="0" w:lastRowFirstColumn="0" w:lastRowLastColumn="0"/>
          <w:trHeight w:val="257"/>
        </w:trPr>
        <w:tc>
          <w:tcPr>
            <w:tcW w:w="2404" w:type="dxa"/>
            <w:noWrap/>
            <w:hideMark/>
          </w:tcPr>
          <w:p w14:paraId="07EDBF3A" w14:textId="77777777" w:rsidR="000A6D6C" w:rsidRPr="000A6D6C" w:rsidRDefault="000A6D6C" w:rsidP="000A6D6C">
            <w:r w:rsidRPr="00986A88">
              <w:t>Band</w:t>
            </w:r>
          </w:p>
        </w:tc>
        <w:tc>
          <w:tcPr>
            <w:tcW w:w="1111" w:type="dxa"/>
            <w:noWrap/>
            <w:hideMark/>
          </w:tcPr>
          <w:p w14:paraId="46CDB723" w14:textId="77777777" w:rsidR="000A6D6C" w:rsidRPr="000A6D6C" w:rsidRDefault="000A6D6C" w:rsidP="000A6D6C">
            <w:r w:rsidRPr="00986A88">
              <w:t>AI 1.12</w:t>
            </w:r>
          </w:p>
        </w:tc>
        <w:tc>
          <w:tcPr>
            <w:tcW w:w="1503" w:type="dxa"/>
            <w:noWrap/>
            <w:hideMark/>
          </w:tcPr>
          <w:p w14:paraId="5CF793DA" w14:textId="77777777" w:rsidR="000A6D6C" w:rsidRPr="000A6D6C" w:rsidRDefault="000A6D6C" w:rsidP="000A6D6C">
            <w:r w:rsidRPr="00986A88">
              <w:t>AI 1.13</w:t>
            </w:r>
          </w:p>
        </w:tc>
        <w:tc>
          <w:tcPr>
            <w:tcW w:w="2779" w:type="dxa"/>
            <w:noWrap/>
            <w:hideMark/>
          </w:tcPr>
          <w:p w14:paraId="20EFFFBE" w14:textId="77777777" w:rsidR="000A6D6C" w:rsidRPr="000A6D6C" w:rsidRDefault="000A6D6C" w:rsidP="000A6D6C">
            <w:r w:rsidRPr="00986A88">
              <w:t>AI 1.14</w:t>
            </w:r>
          </w:p>
        </w:tc>
      </w:tr>
      <w:tr w:rsidR="000A6D6C" w:rsidRPr="00D86872" w14:paraId="1206CDC0" w14:textId="77777777" w:rsidTr="00A94140">
        <w:trPr>
          <w:trHeight w:val="257"/>
        </w:trPr>
        <w:tc>
          <w:tcPr>
            <w:tcW w:w="2404" w:type="dxa"/>
            <w:noWrap/>
            <w:hideMark/>
          </w:tcPr>
          <w:p w14:paraId="65854E2F" w14:textId="6B1BCB8B" w:rsidR="000A6D6C" w:rsidRPr="000A6D6C" w:rsidRDefault="000A6D6C" w:rsidP="000A6D6C">
            <w:r w:rsidRPr="00986A88">
              <w:t>1427-1432 MHz</w:t>
            </w:r>
          </w:p>
        </w:tc>
        <w:tc>
          <w:tcPr>
            <w:tcW w:w="1111" w:type="dxa"/>
            <w:noWrap/>
            <w:hideMark/>
          </w:tcPr>
          <w:p w14:paraId="4615451A" w14:textId="77777777" w:rsidR="000A6D6C" w:rsidRPr="000A6D6C" w:rsidRDefault="000A6D6C" w:rsidP="000A6D6C">
            <w:r w:rsidRPr="00986A88">
              <w:t>MSS↓</w:t>
            </w:r>
          </w:p>
        </w:tc>
        <w:tc>
          <w:tcPr>
            <w:tcW w:w="1503" w:type="dxa"/>
            <w:noWrap/>
            <w:hideMark/>
          </w:tcPr>
          <w:p w14:paraId="3908E318" w14:textId="77777777" w:rsidR="000A6D6C" w:rsidRPr="000A6D6C" w:rsidRDefault="000A6D6C" w:rsidP="000A6D6C">
            <w:r w:rsidRPr="00986A88">
              <w:t>MSS↑</w:t>
            </w:r>
          </w:p>
        </w:tc>
        <w:tc>
          <w:tcPr>
            <w:tcW w:w="2779" w:type="dxa"/>
            <w:noWrap/>
            <w:hideMark/>
          </w:tcPr>
          <w:p w14:paraId="24FCD1BC" w14:textId="77777777" w:rsidR="000A6D6C" w:rsidRPr="000A6D6C" w:rsidRDefault="000A6D6C" w:rsidP="000A6D6C">
            <w:r w:rsidRPr="00986A88">
              <w:t> </w:t>
            </w:r>
          </w:p>
        </w:tc>
      </w:tr>
      <w:tr w:rsidR="000A6D6C" w:rsidRPr="00D86872" w14:paraId="2DCE5618" w14:textId="77777777" w:rsidTr="00A94140">
        <w:trPr>
          <w:trHeight w:val="257"/>
        </w:trPr>
        <w:tc>
          <w:tcPr>
            <w:tcW w:w="2404" w:type="dxa"/>
            <w:noWrap/>
            <w:hideMark/>
          </w:tcPr>
          <w:p w14:paraId="2A0FF7EC" w14:textId="7E1E7DFC" w:rsidR="000A6D6C" w:rsidRPr="000A6D6C" w:rsidRDefault="000A6D6C" w:rsidP="000A6D6C">
            <w:r w:rsidRPr="00986A88">
              <w:t>1880-1920 MHz</w:t>
            </w:r>
          </w:p>
        </w:tc>
        <w:tc>
          <w:tcPr>
            <w:tcW w:w="1111" w:type="dxa"/>
            <w:noWrap/>
            <w:hideMark/>
          </w:tcPr>
          <w:p w14:paraId="41A6E2EA" w14:textId="77777777" w:rsidR="000A6D6C" w:rsidRPr="000A6D6C" w:rsidRDefault="000A6D6C" w:rsidP="000A6D6C">
            <w:r w:rsidRPr="00986A88">
              <w:t>MSS↓↑</w:t>
            </w:r>
          </w:p>
        </w:tc>
        <w:tc>
          <w:tcPr>
            <w:tcW w:w="1503" w:type="dxa"/>
            <w:noWrap/>
            <w:hideMark/>
          </w:tcPr>
          <w:p w14:paraId="3A5BFE1B" w14:textId="77777777" w:rsidR="000A6D6C" w:rsidRPr="000A6D6C" w:rsidRDefault="000A6D6C" w:rsidP="000A6D6C">
            <w:r w:rsidRPr="00986A88">
              <w:t>MSS↑</w:t>
            </w:r>
          </w:p>
        </w:tc>
        <w:tc>
          <w:tcPr>
            <w:tcW w:w="2779" w:type="dxa"/>
            <w:noWrap/>
            <w:hideMark/>
          </w:tcPr>
          <w:p w14:paraId="76301624" w14:textId="77777777" w:rsidR="000A6D6C" w:rsidRPr="000A6D6C" w:rsidRDefault="000A6D6C" w:rsidP="000A6D6C">
            <w:r w:rsidRPr="00986A88">
              <w:t> </w:t>
            </w:r>
          </w:p>
        </w:tc>
      </w:tr>
      <w:tr w:rsidR="000A6D6C" w:rsidRPr="00D86872" w14:paraId="5999967F" w14:textId="77777777" w:rsidTr="00A94140">
        <w:trPr>
          <w:trHeight w:val="257"/>
        </w:trPr>
        <w:tc>
          <w:tcPr>
            <w:tcW w:w="2404" w:type="dxa"/>
            <w:noWrap/>
            <w:hideMark/>
          </w:tcPr>
          <w:p w14:paraId="5FC9A9AA" w14:textId="027AB7AF" w:rsidR="000A6D6C" w:rsidRPr="000A6D6C" w:rsidRDefault="000A6D6C" w:rsidP="000A6D6C">
            <w:r w:rsidRPr="00986A88">
              <w:t>2010-2025 MHz</w:t>
            </w:r>
          </w:p>
        </w:tc>
        <w:tc>
          <w:tcPr>
            <w:tcW w:w="1111" w:type="dxa"/>
            <w:noWrap/>
            <w:hideMark/>
          </w:tcPr>
          <w:p w14:paraId="567EBB85" w14:textId="77777777" w:rsidR="000A6D6C" w:rsidRPr="000A6D6C" w:rsidRDefault="000A6D6C" w:rsidP="000A6D6C">
            <w:r w:rsidRPr="00986A88">
              <w:t>MSS↓↑</w:t>
            </w:r>
          </w:p>
        </w:tc>
        <w:tc>
          <w:tcPr>
            <w:tcW w:w="1503" w:type="dxa"/>
            <w:noWrap/>
            <w:hideMark/>
          </w:tcPr>
          <w:p w14:paraId="56ECB236" w14:textId="77777777" w:rsidR="000A6D6C" w:rsidRPr="000A6D6C" w:rsidRDefault="000A6D6C" w:rsidP="000A6D6C">
            <w:r w:rsidRPr="00986A88">
              <w:t>MSS↑</w:t>
            </w:r>
          </w:p>
        </w:tc>
        <w:tc>
          <w:tcPr>
            <w:tcW w:w="2779" w:type="dxa"/>
            <w:noWrap/>
            <w:hideMark/>
          </w:tcPr>
          <w:p w14:paraId="517D93BD" w14:textId="77777777" w:rsidR="000A6D6C" w:rsidRPr="000A6D6C" w:rsidRDefault="000A6D6C" w:rsidP="000A6D6C">
            <w:r w:rsidRPr="00986A88">
              <w:t>MSS↑, R1 R3</w:t>
            </w:r>
          </w:p>
        </w:tc>
      </w:tr>
      <w:tr w:rsidR="000A6D6C" w:rsidRPr="00D86872" w14:paraId="181C60A8" w14:textId="77777777" w:rsidTr="00A94140">
        <w:trPr>
          <w:trHeight w:val="257"/>
        </w:trPr>
        <w:tc>
          <w:tcPr>
            <w:tcW w:w="2404" w:type="dxa"/>
            <w:noWrap/>
            <w:hideMark/>
          </w:tcPr>
          <w:p w14:paraId="742F61FF" w14:textId="5E687E52" w:rsidR="000A6D6C" w:rsidRPr="000A6D6C" w:rsidRDefault="000A6D6C" w:rsidP="000A6D6C">
            <w:r w:rsidRPr="00986A88">
              <w:t>2120-2160 MHz</w:t>
            </w:r>
          </w:p>
        </w:tc>
        <w:tc>
          <w:tcPr>
            <w:tcW w:w="1111" w:type="dxa"/>
            <w:noWrap/>
            <w:hideMark/>
          </w:tcPr>
          <w:p w14:paraId="58CF6800" w14:textId="77777777" w:rsidR="000A6D6C" w:rsidRPr="000A6D6C" w:rsidRDefault="000A6D6C" w:rsidP="000A6D6C">
            <w:r w:rsidRPr="00986A88">
              <w:t> </w:t>
            </w:r>
          </w:p>
        </w:tc>
        <w:tc>
          <w:tcPr>
            <w:tcW w:w="1503" w:type="dxa"/>
            <w:noWrap/>
            <w:hideMark/>
          </w:tcPr>
          <w:p w14:paraId="27D5A54A" w14:textId="77777777" w:rsidR="000A6D6C" w:rsidRPr="000A6D6C" w:rsidRDefault="000A6D6C" w:rsidP="000A6D6C">
            <w:r w:rsidRPr="00986A88">
              <w:t>MSS↓</w:t>
            </w:r>
          </w:p>
        </w:tc>
        <w:tc>
          <w:tcPr>
            <w:tcW w:w="2779" w:type="dxa"/>
            <w:noWrap/>
            <w:hideMark/>
          </w:tcPr>
          <w:p w14:paraId="4A32C0D4" w14:textId="77777777" w:rsidR="000A6D6C" w:rsidRPr="000A6D6C" w:rsidRDefault="000A6D6C" w:rsidP="000A6D6C">
            <w:r w:rsidRPr="00986A88">
              <w:t>MSS↓</w:t>
            </w:r>
          </w:p>
        </w:tc>
      </w:tr>
      <w:tr w:rsidR="000A6D6C" w:rsidRPr="00D86872" w14:paraId="62B8DF81" w14:textId="77777777" w:rsidTr="00A94140">
        <w:trPr>
          <w:trHeight w:val="257"/>
        </w:trPr>
        <w:tc>
          <w:tcPr>
            <w:tcW w:w="2404" w:type="dxa"/>
            <w:noWrap/>
            <w:hideMark/>
          </w:tcPr>
          <w:p w14:paraId="13B4C621" w14:textId="7D0E205E" w:rsidR="000A6D6C" w:rsidRPr="000A6D6C" w:rsidRDefault="000A6D6C" w:rsidP="000A6D6C">
            <w:r w:rsidRPr="00986A88">
              <w:t>2160-2170 MHz</w:t>
            </w:r>
          </w:p>
        </w:tc>
        <w:tc>
          <w:tcPr>
            <w:tcW w:w="1111" w:type="dxa"/>
            <w:noWrap/>
            <w:hideMark/>
          </w:tcPr>
          <w:p w14:paraId="1921A334" w14:textId="77777777" w:rsidR="000A6D6C" w:rsidRPr="000A6D6C" w:rsidRDefault="000A6D6C" w:rsidP="000A6D6C">
            <w:r w:rsidRPr="00986A88">
              <w:t> </w:t>
            </w:r>
          </w:p>
        </w:tc>
        <w:tc>
          <w:tcPr>
            <w:tcW w:w="1503" w:type="dxa"/>
            <w:noWrap/>
            <w:hideMark/>
          </w:tcPr>
          <w:p w14:paraId="3A7EB2BF" w14:textId="77777777" w:rsidR="000A6D6C" w:rsidRPr="000A6D6C" w:rsidRDefault="000A6D6C" w:rsidP="000A6D6C">
            <w:r w:rsidRPr="00986A88">
              <w:t>MSS↓</w:t>
            </w:r>
          </w:p>
        </w:tc>
        <w:tc>
          <w:tcPr>
            <w:tcW w:w="2779" w:type="dxa"/>
            <w:noWrap/>
            <w:hideMark/>
          </w:tcPr>
          <w:p w14:paraId="299C0D59" w14:textId="77777777" w:rsidR="000A6D6C" w:rsidRPr="000A6D6C" w:rsidRDefault="000A6D6C" w:rsidP="000A6D6C">
            <w:r w:rsidRPr="00986A88">
              <w:t>MSS↓, R1 R3</w:t>
            </w:r>
          </w:p>
        </w:tc>
      </w:tr>
    </w:tbl>
    <w:p w14:paraId="69633F56" w14:textId="77777777" w:rsidR="000A6D6C" w:rsidRPr="00D86872" w:rsidRDefault="000A6D6C" w:rsidP="000A6D6C">
      <w:pPr>
        <w:rPr>
          <w:rStyle w:val="ECCParagraph"/>
        </w:rPr>
      </w:pPr>
      <w:r w:rsidRPr="00D86872">
        <w:rPr>
          <w:rStyle w:val="ECCParagraph"/>
        </w:rPr>
        <w:t xml:space="preserve">The contributing WPs </w:t>
      </w:r>
      <w:r w:rsidRPr="00986A88">
        <w:rPr>
          <w:rStyle w:val="ECCParagraph"/>
        </w:rPr>
        <w:t>(WP 3L; WP 3M; WP 4A; WP 4B; WP 5A; WP 5B; WP 5C; WP 5D*; WP 6A; WP 7B; WP 7C; WP 7D</w:t>
      </w:r>
      <w:r w:rsidRPr="006B3D33">
        <w:rPr>
          <w:rStyle w:val="ECCParagraph"/>
        </w:rPr>
        <w:t>)</w:t>
      </w:r>
      <w:r w:rsidRPr="00D86872">
        <w:rPr>
          <w:rStyle w:val="ECCParagraph"/>
        </w:rPr>
        <w:t xml:space="preserve"> have received a liaison statement with the request for relevant information necessary for the work of WP 4C.</w:t>
      </w:r>
    </w:p>
    <w:p w14:paraId="1F81C087" w14:textId="54E77CBA" w:rsidR="000A6D6C" w:rsidRPr="005D2E55" w:rsidRDefault="000A6D6C" w:rsidP="000A6D6C">
      <w:r w:rsidRPr="00D86872">
        <w:rPr>
          <w:rStyle w:val="ECCParagraph"/>
        </w:rPr>
        <w:t>A joint meeting WP 4C and WP 5D was scheduled in 10th of October 2024</w:t>
      </w:r>
      <w:r w:rsidR="00BF0B60">
        <w:rPr>
          <w:rStyle w:val="ECCParagraph"/>
        </w:rPr>
        <w:t xml:space="preserve"> </w:t>
      </w:r>
      <w:r w:rsidRPr="00D86872">
        <w:rPr>
          <w:rStyle w:val="ECCParagraph"/>
        </w:rPr>
        <w:t>on agenda item 1.13.</w:t>
      </w:r>
      <w:r w:rsidR="00BF0B60">
        <w:rPr>
          <w:rStyle w:val="ECCParagraph"/>
        </w:rPr>
        <w:t xml:space="preserve"> </w:t>
      </w:r>
      <w:r w:rsidRPr="00D86872">
        <w:t xml:space="preserve">As a </w:t>
      </w:r>
      <w:r w:rsidRPr="00416B32">
        <w:t>result</w:t>
      </w:r>
      <w:r w:rsidRPr="00D86872">
        <w:t xml:space="preserve"> of the sessions, WP 4C and WP 5D agreed on roles, responsibilities, and a collaborative timeline. These agreements have been recorded in the output document: Annex 6 to </w:t>
      </w:r>
      <w:hyperlink r:id="rId13" w:history="1">
        <w:r w:rsidRPr="00D86872">
          <w:rPr>
            <w:rStyle w:val="Hyperlink"/>
          </w:rPr>
          <w:t>4C/204</w:t>
        </w:r>
      </w:hyperlink>
      <w:r w:rsidRPr="00D86872">
        <w:t>.</w:t>
      </w:r>
    </w:p>
    <w:p w14:paraId="238ED905" w14:textId="7D337B5F" w:rsidR="000A6D6C" w:rsidRDefault="000A6D6C" w:rsidP="00A94140">
      <w:bookmarkStart w:id="0" w:name="_Hlk194659659"/>
      <w:r w:rsidRPr="00D86872">
        <w:t>The next Working Party 4C meeting is scheduled from 23 April to 2 May 2025</w:t>
      </w:r>
      <w:bookmarkEnd w:id="0"/>
      <w:r w:rsidRPr="00D86872">
        <w:t>.</w:t>
      </w:r>
    </w:p>
    <w:p w14:paraId="3A286BCF" w14:textId="77777777" w:rsidR="000A6D6C" w:rsidRPr="000A6D6C" w:rsidRDefault="000A6D6C" w:rsidP="00A94140">
      <w:pPr>
        <w:pStyle w:val="Heading2"/>
      </w:pPr>
      <w:r w:rsidRPr="000A6D6C">
        <w:t xml:space="preserve">CEPT’s considerations on the preliminary list of </w:t>
      </w:r>
      <w:r w:rsidRPr="00A94140">
        <w:t>FREQUENCY</w:t>
      </w:r>
      <w:r w:rsidRPr="000A6D6C">
        <w:t xml:space="preserve"> BANDS UNDER STUDY</w:t>
      </w:r>
    </w:p>
    <w:p w14:paraId="3BBCB99E" w14:textId="020FA512" w:rsidR="000A6D6C" w:rsidRPr="000A6D6C" w:rsidRDefault="000A6D6C" w:rsidP="000A6D6C">
      <w:pPr>
        <w:pStyle w:val="ECCEditorsNote"/>
      </w:pPr>
      <w:r>
        <w:t xml:space="preserve">the bands under this section are not the full </w:t>
      </w:r>
      <w:r w:rsidR="003C20F1">
        <w:t>reflection</w:t>
      </w:r>
      <w:r>
        <w:t xml:space="preserve"> of the bands to be studied and represent only parts of the work head. </w:t>
      </w:r>
    </w:p>
    <w:p w14:paraId="5229BEEF" w14:textId="470EA48F" w:rsidR="000A6D6C" w:rsidRPr="000A6D6C" w:rsidRDefault="000A6D6C" w:rsidP="00A94140">
      <w:pPr>
        <w:pStyle w:val="ECCBulletsLv1"/>
      </w:pPr>
      <w:r w:rsidRPr="00D85F7E">
        <w:t>The frequency bands 2000-2020 MHz, 2010-2025 MHz, 2305-2320 MHz and 2345-2360 MHz are allocated to the fixed and mobile services on a primary basis.</w:t>
      </w:r>
    </w:p>
    <w:p w14:paraId="268EBD2E" w14:textId="1DE95541" w:rsidR="000A6D6C" w:rsidRPr="000A6D6C" w:rsidRDefault="000A6D6C" w:rsidP="00A94140">
      <w:pPr>
        <w:pStyle w:val="ECCBulletsLv1"/>
      </w:pPr>
      <w:r w:rsidRPr="00D85F7E">
        <w:t>Cordless cameras are operated by broadcasters for PMSE purposes in the frequency bands 2010</w:t>
      </w:r>
      <w:r w:rsidR="002D4D91">
        <w:t>-</w:t>
      </w:r>
      <w:r w:rsidRPr="00D85F7E">
        <w:t>2025 MHz, 2025</w:t>
      </w:r>
      <w:r w:rsidR="002D4D91">
        <w:t>-</w:t>
      </w:r>
      <w:r w:rsidRPr="00D85F7E">
        <w:t>2110 MHz, 2200</w:t>
      </w:r>
      <w:r w:rsidR="002D4D91">
        <w:t>-</w:t>
      </w:r>
      <w:r w:rsidRPr="00D85F7E">
        <w:t>2300 MHz, and 2300</w:t>
      </w:r>
      <w:r w:rsidR="002D4D91">
        <w:t>-</w:t>
      </w:r>
      <w:r w:rsidRPr="00D85F7E">
        <w:t>2400 MHz, noting that 2300-2400 MHz is harmoni</w:t>
      </w:r>
      <w:r w:rsidR="002D4D91">
        <w:t>s</w:t>
      </w:r>
      <w:r w:rsidRPr="00D85F7E">
        <w:t>ed also for IMT operating in TDD mode within CEPT.</w:t>
      </w:r>
    </w:p>
    <w:p w14:paraId="4CFC45D5" w14:textId="2235157E" w:rsidR="000A6D6C" w:rsidRPr="000A6D6C" w:rsidRDefault="000A6D6C" w:rsidP="000A6D6C">
      <w:pPr>
        <w:pStyle w:val="ECCBulletsLv1"/>
      </w:pPr>
      <w:r w:rsidRPr="00D85F7E">
        <w:t>In Europe, the bands 2010-2025 MHz, 2025-2110 MHz, 2200-2300 MHz and 2300-2400 MHz are identified for harmonised use by wireless cameras (PMSE) in accordance with ERC Recommendation 25-10 (revised June 2023) and Decision (EU) 2016/339 applying in EU countries to the 2010-2025 MHz range.</w:t>
      </w:r>
    </w:p>
    <w:p w14:paraId="4BE1D0C8" w14:textId="0957FEFF" w:rsidR="000A6D6C" w:rsidRPr="000A6D6C" w:rsidRDefault="000A6D6C" w:rsidP="00A94140">
      <w:pPr>
        <w:pStyle w:val="ECCBulletsLv1"/>
      </w:pPr>
      <w:r>
        <w:rPr>
          <w:rStyle w:val="ECCParagraph"/>
        </w:rPr>
        <w:t xml:space="preserve">Considering that Resolution </w:t>
      </w:r>
      <w:r w:rsidRPr="0050539E">
        <w:rPr>
          <w:rStyle w:val="ECCHLbold"/>
        </w:rPr>
        <w:t>253 (WRC-23)</w:t>
      </w:r>
      <w:r>
        <w:rPr>
          <w:rStyle w:val="ECCParagraph"/>
        </w:rPr>
        <w:t xml:space="preserve"> calls on possible </w:t>
      </w:r>
      <w:r w:rsidRPr="000A6D6C">
        <w:rPr>
          <w:rStyle w:val="ECCParagraph"/>
        </w:rPr>
        <w:t>new allocations to the MSS for direct connectivity to IMT UE, there is no need to include bands when there is already an existing MSS allocation in Article 5 of the ITU Radio Regulations (RR) for the same direction of transmission</w:t>
      </w:r>
      <w:r w:rsidRPr="000A6D6C">
        <w:t xml:space="preserve">. This use case is covered under existing regulations and is reflected by the historical deployment of handheld terminals under existing MSS allocations. Hence, the following bands should be considered for removal from the above </w:t>
      </w:r>
      <w:r w:rsidRPr="00A94140">
        <w:t>bands</w:t>
      </w:r>
      <w:r w:rsidRPr="000A6D6C">
        <w:t xml:space="preserve"> listed in </w:t>
      </w:r>
      <w:r w:rsidR="004B434B">
        <w:t>T</w:t>
      </w:r>
      <w:r w:rsidRPr="000A6D6C">
        <w:t>able 1</w:t>
      </w:r>
      <w:r w:rsidR="009F6DC1">
        <w:t>:</w:t>
      </w:r>
    </w:p>
    <w:p w14:paraId="31136E1C" w14:textId="726F95D6" w:rsidR="000A6D6C" w:rsidRPr="000A6D6C" w:rsidRDefault="000A6D6C" w:rsidP="00A94140">
      <w:pPr>
        <w:pStyle w:val="ECCBulletsLv2"/>
      </w:pPr>
      <w:r w:rsidRPr="0015707B">
        <w:t xml:space="preserve">sub band 2000-2010 MHz of the </w:t>
      </w:r>
      <w:r w:rsidRPr="000A6D6C">
        <w:t>2000-2020 MHz band in the uplink</w:t>
      </w:r>
    </w:p>
    <w:p w14:paraId="5173FFC3" w14:textId="78DD9635" w:rsidR="000A6D6C" w:rsidRPr="000A6D6C" w:rsidRDefault="000A6D6C" w:rsidP="00A94140">
      <w:pPr>
        <w:pStyle w:val="ECCBulletsLv2"/>
      </w:pPr>
      <w:r w:rsidRPr="00B9736A">
        <w:t xml:space="preserve">2010-2025 MHz </w:t>
      </w:r>
      <w:r w:rsidRPr="000A6D6C">
        <w:t>in ITU RR Region 2 in the uplink</w:t>
      </w:r>
    </w:p>
    <w:p w14:paraId="6A27C2A4" w14:textId="1682C120" w:rsidR="000A6D6C" w:rsidRPr="000A6D6C" w:rsidRDefault="000A6D6C" w:rsidP="00A94140">
      <w:pPr>
        <w:pStyle w:val="ECCBulletsLv2"/>
      </w:pPr>
      <w:r w:rsidRPr="0015707B">
        <w:t xml:space="preserve">sub band 2160-2170 MHz in ITU RR Region 2 of the 2110-2170 MHz band </w:t>
      </w:r>
      <w:r w:rsidRPr="000A6D6C">
        <w:t>in the downlink</w:t>
      </w:r>
    </w:p>
    <w:p w14:paraId="1262EF83" w14:textId="06AED593" w:rsidR="000A6D6C" w:rsidRPr="000A6D6C" w:rsidRDefault="000A6D6C" w:rsidP="00A94140">
      <w:pPr>
        <w:pStyle w:val="ECCBulletsLv2"/>
      </w:pPr>
      <w:r>
        <w:t>2170-2180 MHz in the downlink</w:t>
      </w:r>
    </w:p>
    <w:p w14:paraId="788B3793" w14:textId="3929A769" w:rsidR="000A6D6C" w:rsidRPr="000A6D6C" w:rsidRDefault="000A6D6C" w:rsidP="00A94140">
      <w:pPr>
        <w:pStyle w:val="ECCBulletsLv2"/>
      </w:pPr>
      <w:r>
        <w:t xml:space="preserve">2180-2200 MHz in the downlink </w:t>
      </w:r>
    </w:p>
    <w:p w14:paraId="1C4A2EAB" w14:textId="2E697856" w:rsidR="000A6D6C" w:rsidRPr="000A6D6C" w:rsidRDefault="000A6D6C" w:rsidP="00A94140">
      <w:pPr>
        <w:pStyle w:val="ECCBulletsLv1"/>
      </w:pPr>
      <w:r>
        <w:t xml:space="preserve">A portion of the downlink band 1930-2000 MHz is already allocated to the MSS </w:t>
      </w:r>
      <w:r w:rsidRPr="000A6D6C">
        <w:rPr>
          <w:rStyle w:val="ECCParagraph"/>
        </w:rPr>
        <w:t>in Article 5 of ITU RR</w:t>
      </w:r>
      <w:r w:rsidRPr="000A6D6C">
        <w:t xml:space="preserve"> and has been proposed for studies under WRC-27 AI 1.13 in the opposite direction of transmission. It is proposed that the band 1980-2000 MHz should not be included in the list of potential additional allocations as this use case has the potential to interfere with existing MSS services / allocations.</w:t>
      </w:r>
    </w:p>
    <w:p w14:paraId="64ED05C6" w14:textId="77777777" w:rsidR="000A6D6C" w:rsidRPr="000A6D6C" w:rsidRDefault="000A6D6C" w:rsidP="000A6D6C">
      <w:pPr>
        <w:pStyle w:val="ECCBulletsLv1"/>
      </w:pPr>
      <w:r>
        <w:t xml:space="preserve">If bands as described </w:t>
      </w:r>
      <w:r w:rsidRPr="000A6D6C">
        <w:t xml:space="preserve">in the above bullet point are proposed for new MSS allocation for </w:t>
      </w:r>
      <w:r w:rsidRPr="000A6D6C">
        <w:rPr>
          <w:rStyle w:val="ECCParagraph"/>
        </w:rPr>
        <w:t>direct connectivity to IMT UE</w:t>
      </w:r>
      <w:r w:rsidRPr="000A6D6C">
        <w:t>, sharing studies to ensure compatibility with existing MSS allocations in the opposite direction must be carried out.</w:t>
      </w:r>
    </w:p>
    <w:p w14:paraId="74036AD9" w14:textId="77777777" w:rsidR="000A6D6C" w:rsidRPr="00D86872" w:rsidRDefault="000A6D6C" w:rsidP="000A6D6C">
      <w:r w:rsidRPr="00D86872">
        <w:t>In response to agenda item 1.15, WP 4C and WP 7B are discussing potential overlaps in frequency bands, with the results to be shared between the two working parties.</w:t>
      </w:r>
    </w:p>
    <w:p w14:paraId="4226F294" w14:textId="24B0CB4D" w:rsidR="000A6D6C" w:rsidRPr="00D86872" w:rsidRDefault="000A6D6C" w:rsidP="000A6D6C">
      <w:r w:rsidRPr="00D86872">
        <w:t>The following documents were produced:</w:t>
      </w:r>
    </w:p>
    <w:p w14:paraId="0A873D67" w14:textId="0A96295C" w:rsidR="000A6D6C" w:rsidRPr="000A6D6C" w:rsidRDefault="000A6D6C" w:rsidP="000A6D6C">
      <w:pPr>
        <w:pStyle w:val="ECCBulletsLv1"/>
      </w:pPr>
      <w:r w:rsidRPr="00D86872">
        <w:t>Initial consideration on MSS systems' functionality and description</w:t>
      </w:r>
      <w:r w:rsidRPr="000A6D6C">
        <w:t xml:space="preserve"> (Annex 3 to </w:t>
      </w:r>
      <w:hyperlink r:id="rId14" w:history="1">
        <w:r w:rsidRPr="000A6D6C">
          <w:rPr>
            <w:rStyle w:val="Hyperlink"/>
          </w:rPr>
          <w:t>4C/204</w:t>
        </w:r>
      </w:hyperlink>
      <w:r w:rsidRPr="000A6D6C">
        <w:rPr>
          <w:rStyle w:val="Hyperlink"/>
        </w:rPr>
        <w:t>)</w:t>
      </w:r>
      <w:r w:rsidR="007A1E14">
        <w:rPr>
          <w:rStyle w:val="Hyperlink"/>
        </w:rPr>
        <w:t>;</w:t>
      </w:r>
    </w:p>
    <w:p w14:paraId="014B442E" w14:textId="0A294008" w:rsidR="000A6D6C" w:rsidRPr="000A6D6C" w:rsidRDefault="000A6D6C" w:rsidP="000A6D6C">
      <w:pPr>
        <w:pStyle w:val="ECCBulletsLv1"/>
      </w:pPr>
      <w:r w:rsidRPr="00D86872">
        <w:t>Working document on sharing and compatibility studies</w:t>
      </w:r>
      <w:r w:rsidRPr="000A6D6C">
        <w:t xml:space="preserve"> (Annex 4 to </w:t>
      </w:r>
      <w:hyperlink r:id="rId15" w:history="1">
        <w:r w:rsidRPr="000A6D6C">
          <w:rPr>
            <w:rStyle w:val="Hyperlink"/>
          </w:rPr>
          <w:t>4C/204</w:t>
        </w:r>
      </w:hyperlink>
      <w:r w:rsidRPr="000A6D6C">
        <w:t>)</w:t>
      </w:r>
      <w:r w:rsidR="007A1E14">
        <w:t>;</w:t>
      </w:r>
    </w:p>
    <w:p w14:paraId="3F834F2F" w14:textId="1122DF64" w:rsidR="000A6D6C" w:rsidRPr="000A6D6C" w:rsidRDefault="000A6D6C" w:rsidP="000A6D6C">
      <w:pPr>
        <w:pStyle w:val="ECCBulletsLv1"/>
      </w:pPr>
      <w:r w:rsidRPr="00D86872">
        <w:t>Working document on technical and operational characteristics of MSS</w:t>
      </w:r>
      <w:r w:rsidRPr="000A6D6C">
        <w:t xml:space="preserve"> (Annex 5 to </w:t>
      </w:r>
      <w:hyperlink r:id="rId16" w:history="1">
        <w:r w:rsidRPr="000A6D6C">
          <w:rPr>
            <w:rStyle w:val="Hyperlink"/>
          </w:rPr>
          <w:t>4C/204</w:t>
        </w:r>
      </w:hyperlink>
      <w:r w:rsidRPr="000A6D6C">
        <w:t>)</w:t>
      </w:r>
      <w:r w:rsidR="007A1E14">
        <w:t>;</w:t>
      </w:r>
    </w:p>
    <w:p w14:paraId="2B8199F0" w14:textId="57DCB63A" w:rsidR="000A6D6C" w:rsidRPr="000A6D6C" w:rsidRDefault="000A6D6C" w:rsidP="000A6D6C">
      <w:pPr>
        <w:pStyle w:val="ECCBulletsLv1"/>
      </w:pPr>
      <w:r w:rsidRPr="00D86872">
        <w:t>Work plan for agenda item 1.13</w:t>
      </w:r>
      <w:r w:rsidRPr="000A6D6C">
        <w:t xml:space="preserve"> (Annex 7 to </w:t>
      </w:r>
      <w:hyperlink r:id="rId17" w:history="1">
        <w:r w:rsidRPr="000A6D6C">
          <w:rPr>
            <w:rStyle w:val="Hyperlink"/>
          </w:rPr>
          <w:t>4C/204</w:t>
        </w:r>
      </w:hyperlink>
      <w:r w:rsidRPr="000A6D6C">
        <w:t>)</w:t>
      </w:r>
      <w:r w:rsidR="007A1E14">
        <w:t>;</w:t>
      </w:r>
    </w:p>
    <w:p w14:paraId="25FB65A7" w14:textId="753FA140" w:rsidR="000A6D6C" w:rsidRPr="000A6D6C" w:rsidRDefault="000A6D6C" w:rsidP="000A6D6C">
      <w:pPr>
        <w:pStyle w:val="ECCBulletsLv1"/>
      </w:pPr>
      <w:r w:rsidRPr="00D86872">
        <w:t>Terms of Reference for the Correspondence Group</w:t>
      </w:r>
      <w:r w:rsidRPr="000A6D6C">
        <w:t xml:space="preserve"> (Annex 8 to </w:t>
      </w:r>
      <w:hyperlink r:id="rId18" w:history="1">
        <w:r w:rsidRPr="000A6D6C">
          <w:rPr>
            <w:rStyle w:val="Hyperlink"/>
          </w:rPr>
          <w:t>4C/204</w:t>
        </w:r>
      </w:hyperlink>
      <w:r w:rsidRPr="000A6D6C">
        <w:t>)</w:t>
      </w:r>
      <w:r w:rsidR="007A1E14">
        <w:t>;</w:t>
      </w:r>
    </w:p>
    <w:p w14:paraId="38778CDD" w14:textId="5971B290" w:rsidR="000A6D6C" w:rsidRPr="007A1E14" w:rsidRDefault="000A6D6C" w:rsidP="000A6D6C">
      <w:pPr>
        <w:pStyle w:val="ECCBulletsLv1"/>
        <w:rPr>
          <w:rStyle w:val="Hyperlink"/>
          <w:color w:val="auto"/>
          <w:u w:val="none"/>
        </w:rPr>
      </w:pPr>
      <w:r w:rsidRPr="00D86872">
        <w:t>Liaison statements to WP 5D and other relevant WPs</w:t>
      </w:r>
      <w:r w:rsidRPr="000A6D6C">
        <w:t xml:space="preserve"> (see Doc. </w:t>
      </w:r>
      <w:hyperlink r:id="rId19" w:history="1">
        <w:r w:rsidRPr="000A6D6C">
          <w:rPr>
            <w:rStyle w:val="Hyperlink"/>
          </w:rPr>
          <w:t>5D/419</w:t>
        </w:r>
      </w:hyperlink>
      <w:r w:rsidRPr="000A6D6C">
        <w:t xml:space="preserve"> &amp; Doc. </w:t>
      </w:r>
      <w:hyperlink r:id="rId20" w:history="1">
        <w:r w:rsidRPr="000A6D6C">
          <w:rPr>
            <w:rStyle w:val="Hyperlink"/>
          </w:rPr>
          <w:t>4B/89</w:t>
        </w:r>
      </w:hyperlink>
      <w:r w:rsidRPr="000A6D6C">
        <w:rPr>
          <w:rStyle w:val="Hyperlink"/>
        </w:rPr>
        <w:t>)</w:t>
      </w:r>
      <w:r w:rsidR="00575734">
        <w:rPr>
          <w:rStyle w:val="Hyperlink"/>
        </w:rPr>
        <w:t>.</w:t>
      </w:r>
    </w:p>
    <w:p w14:paraId="2B93CD5E" w14:textId="77777777" w:rsidR="00575734" w:rsidRPr="000A6D6C" w:rsidRDefault="00575734">
      <w:pPr>
        <w:pStyle w:val="ECCBulletsLv1"/>
        <w:numPr>
          <w:ilvl w:val="0"/>
          <w:numId w:val="0"/>
        </w:numPr>
      </w:pPr>
    </w:p>
    <w:p w14:paraId="571320B9" w14:textId="74FE7093" w:rsidR="000A6D6C" w:rsidRPr="000A6D6C" w:rsidRDefault="000A6D6C" w:rsidP="00167611">
      <w:pPr>
        <w:pStyle w:val="ECCBulletsLv1"/>
        <w:numPr>
          <w:ilvl w:val="0"/>
          <w:numId w:val="0"/>
        </w:numPr>
        <w:tabs>
          <w:tab w:val="clear" w:pos="340"/>
        </w:tabs>
      </w:pPr>
      <w:r w:rsidRPr="00D86872">
        <w:t xml:space="preserve">Key points for further discussion include MSS functionality and description, with a focus on </w:t>
      </w:r>
      <w:r w:rsidRPr="000A6D6C">
        <w:t>authorisation issues, as well as technical and operational parameters, particularly Earth-to-space link parameters. Additionally, protection criteria for sharing studies, operations across national boundaries including territorial waters, and the inclusion of B6/B7 frequency arrangements in the band list should be addressed.</w:t>
      </w:r>
    </w:p>
    <w:p w14:paraId="06EA8BED" w14:textId="712A8341" w:rsidR="000A6D6C" w:rsidRPr="000A6D6C" w:rsidRDefault="000A6D6C" w:rsidP="000A6D6C">
      <w:r w:rsidRPr="00D86872">
        <w:t>Considering the need for further discussion on the structure of the Working Document regarding sharing and compatibility studies, as well as the technical and operational characteristics of MSS, the meeting decided to establish a Correspondence Group and held two online meetings.</w:t>
      </w:r>
    </w:p>
    <w:p w14:paraId="341856D9" w14:textId="77777777" w:rsidR="003771D5" w:rsidRPr="00235592" w:rsidRDefault="003771D5" w:rsidP="00BD4E12">
      <w:pPr>
        <w:pStyle w:val="Heading1"/>
        <w:rPr>
          <w:lang w:val="en-GB"/>
        </w:rPr>
      </w:pPr>
      <w:r w:rsidRPr="00235592">
        <w:rPr>
          <w:lang w:val="en-GB"/>
        </w:rPr>
        <w:t>List of relevant documents</w:t>
      </w:r>
    </w:p>
    <w:p w14:paraId="51A93E54" w14:textId="77777777" w:rsidR="000A6D6C" w:rsidRPr="00D86872" w:rsidRDefault="000A6D6C" w:rsidP="000A6D6C">
      <w:pPr>
        <w:pStyle w:val="ECCBreak"/>
        <w:rPr>
          <w:rStyle w:val="ECCParagraph"/>
        </w:rPr>
      </w:pPr>
      <w:r w:rsidRPr="00D86872">
        <w:rPr>
          <w:rStyle w:val="ECCParagraph"/>
        </w:rPr>
        <w:t>ITU-Documentation (Recommendations, Reports, other)</w:t>
      </w:r>
    </w:p>
    <w:p w14:paraId="64C8FA8C" w14:textId="6F6DB4F9" w:rsidR="000A6D6C" w:rsidRPr="00965486" w:rsidRDefault="000A6D6C" w:rsidP="000A6D6C">
      <w:pPr>
        <w:pStyle w:val="ECCBulletsLv1"/>
        <w:rPr>
          <w:rStyle w:val="ECCParagraph"/>
        </w:rPr>
      </w:pPr>
      <w:r w:rsidRPr="00965486">
        <w:rPr>
          <w:rStyle w:val="ECCParagraph"/>
        </w:rPr>
        <w:t>Report ITU-R M.2077-0</w:t>
      </w:r>
      <w:r w:rsidR="00927551">
        <w:rPr>
          <w:rStyle w:val="ECCParagraph"/>
        </w:rPr>
        <w:t xml:space="preserve"> (</w:t>
      </w:r>
      <w:r w:rsidR="00CA743C">
        <w:rPr>
          <w:rStyle w:val="ECCParagraph"/>
        </w:rPr>
        <w:t>2006</w:t>
      </w:r>
      <w:r w:rsidR="00927551">
        <w:rPr>
          <w:rStyle w:val="ECCParagraph"/>
        </w:rPr>
        <w:t>)</w:t>
      </w:r>
      <w:r w:rsidR="00726043">
        <w:rPr>
          <w:rStyle w:val="ECCParagraph"/>
        </w:rPr>
        <w:t>:</w:t>
      </w:r>
      <w:r w:rsidRPr="00965486">
        <w:rPr>
          <w:rStyle w:val="ECCParagraph"/>
        </w:rPr>
        <w:t xml:space="preserve"> “Traffic forecasts and estimated spectrum requirements for the satellite component of IMT 2000 and systems beyond IMT-2000 for the period 2010 to 2020</w:t>
      </w:r>
      <w:r w:rsidRPr="000A6D6C">
        <w:rPr>
          <w:rStyle w:val="ECCParagraph"/>
        </w:rPr>
        <w:t>”;</w:t>
      </w:r>
    </w:p>
    <w:p w14:paraId="0D40CB7E" w14:textId="0DD2C25B" w:rsidR="000A6D6C" w:rsidRPr="00965486" w:rsidRDefault="000A6D6C" w:rsidP="000A6D6C">
      <w:pPr>
        <w:pStyle w:val="ECCBulletsLv1"/>
        <w:rPr>
          <w:rStyle w:val="ECCParagraph"/>
        </w:rPr>
      </w:pPr>
      <w:r>
        <w:rPr>
          <w:rStyle w:val="ECCParagraph"/>
        </w:rPr>
        <w:t>[</w:t>
      </w:r>
      <w:r w:rsidRPr="00965486">
        <w:rPr>
          <w:rStyle w:val="ECCParagraph"/>
        </w:rPr>
        <w:t>Report ITU-R M.2218-0</w:t>
      </w:r>
      <w:r w:rsidR="009E336C">
        <w:rPr>
          <w:rStyle w:val="ECCParagraph"/>
        </w:rPr>
        <w:t xml:space="preserve"> (2011)</w:t>
      </w:r>
      <w:r w:rsidR="00726043">
        <w:rPr>
          <w:rStyle w:val="ECCParagraph"/>
        </w:rPr>
        <w:t>:</w:t>
      </w:r>
      <w:r w:rsidRPr="000A6D6C">
        <w:rPr>
          <w:rStyle w:val="ECCParagraph"/>
        </w:rPr>
        <w:t xml:space="preserve"> “Traffic forecasts and estimated spectrum requirements for future development of the mobile-satellite service in the range 4-16 GHz”];</w:t>
      </w:r>
    </w:p>
    <w:p w14:paraId="09CB5334" w14:textId="187A2AE2" w:rsidR="000A6D6C" w:rsidRPr="00965486" w:rsidRDefault="000A6D6C" w:rsidP="000A6D6C">
      <w:pPr>
        <w:pStyle w:val="ECCBulletsLv1"/>
        <w:rPr>
          <w:rStyle w:val="ECCParagraph"/>
        </w:rPr>
      </w:pPr>
      <w:r w:rsidRPr="00D86872">
        <w:rPr>
          <w:rStyle w:val="ECCParagraph"/>
        </w:rPr>
        <w:t>Report ITU-R M.2514-0</w:t>
      </w:r>
      <w:r w:rsidR="00AF1CFE" w:rsidRPr="00AF1CFE">
        <w:t xml:space="preserve"> </w:t>
      </w:r>
      <w:r w:rsidR="00AF1CFE" w:rsidRPr="00AF1CFE">
        <w:rPr>
          <w:rStyle w:val="ECCParagraph"/>
        </w:rPr>
        <w:t>(09/2022)</w:t>
      </w:r>
      <w:r w:rsidR="00726043">
        <w:rPr>
          <w:rStyle w:val="ECCParagraph"/>
        </w:rPr>
        <w:t>:</w:t>
      </w:r>
      <w:r w:rsidRPr="00D86872">
        <w:rPr>
          <w:rStyle w:val="ECCParagraph"/>
        </w:rPr>
        <w:t xml:space="preserve"> “Vision, requirements and evaluation guidelines for satellite radio interface(s) of IMT-2020</w:t>
      </w:r>
      <w:r w:rsidRPr="000A6D6C">
        <w:rPr>
          <w:rStyle w:val="ECCParagraph"/>
        </w:rPr>
        <w:t>”;</w:t>
      </w:r>
    </w:p>
    <w:p w14:paraId="5843AEBB" w14:textId="74D0BD5B" w:rsidR="000A6D6C" w:rsidRPr="00965486" w:rsidRDefault="000A6D6C" w:rsidP="000A6D6C">
      <w:pPr>
        <w:pStyle w:val="ECCBulletsLv1"/>
        <w:rPr>
          <w:rStyle w:val="ECCParagraph"/>
        </w:rPr>
      </w:pPr>
      <w:r w:rsidRPr="00965486">
        <w:rPr>
          <w:rStyle w:val="ECCParagraph"/>
        </w:rPr>
        <w:t>Report ITU-R M.2041-0</w:t>
      </w:r>
      <w:r w:rsidR="00772A19" w:rsidRPr="00772A19">
        <w:t xml:space="preserve"> </w:t>
      </w:r>
      <w:r w:rsidR="00772A19" w:rsidRPr="00772A19">
        <w:rPr>
          <w:rStyle w:val="ECCParagraph"/>
        </w:rPr>
        <w:t>(2003)</w:t>
      </w:r>
      <w:r w:rsidR="00726043">
        <w:rPr>
          <w:rStyle w:val="ECCParagraph"/>
        </w:rPr>
        <w:t>:</w:t>
      </w:r>
      <w:r w:rsidRPr="00965486">
        <w:rPr>
          <w:rStyle w:val="ECCParagraph"/>
        </w:rPr>
        <w:t xml:space="preserve"> </w:t>
      </w:r>
      <w:r w:rsidRPr="000A6D6C">
        <w:rPr>
          <w:rStyle w:val="ECCParagraph"/>
        </w:rPr>
        <w:t>“Sharing and adjacent band compatibility in the 2.5 GHz band between the terrestrial and satellite components of IMT-2000”;</w:t>
      </w:r>
    </w:p>
    <w:p w14:paraId="379328A8" w14:textId="3B38AB6B" w:rsidR="000A6D6C" w:rsidRPr="00965486" w:rsidRDefault="000A6D6C" w:rsidP="000A6D6C">
      <w:pPr>
        <w:pStyle w:val="ECCBulletsLv1"/>
        <w:rPr>
          <w:rStyle w:val="ECCParagraph"/>
        </w:rPr>
      </w:pPr>
      <w:r w:rsidRPr="00D86872">
        <w:rPr>
          <w:rStyle w:val="ECCParagraph"/>
        </w:rPr>
        <w:t>Recommendation ITU-R M.1182-1</w:t>
      </w:r>
      <w:r w:rsidR="00741DBC" w:rsidRPr="00741DBC">
        <w:t xml:space="preserve"> </w:t>
      </w:r>
      <w:r w:rsidR="00741DBC" w:rsidRPr="00741DBC">
        <w:rPr>
          <w:rStyle w:val="ECCParagraph"/>
        </w:rPr>
        <w:t>(06/</w:t>
      </w:r>
      <w:r w:rsidR="00741DBC">
        <w:rPr>
          <w:rStyle w:val="ECCParagraph"/>
        </w:rPr>
        <w:t>20</w:t>
      </w:r>
      <w:r w:rsidR="00741DBC" w:rsidRPr="00741DBC">
        <w:rPr>
          <w:rStyle w:val="ECCParagraph"/>
        </w:rPr>
        <w:t>03)</w:t>
      </w:r>
      <w:r w:rsidR="00726043">
        <w:rPr>
          <w:rStyle w:val="ECCParagraph"/>
        </w:rPr>
        <w:t>:</w:t>
      </w:r>
      <w:r w:rsidRPr="00D86872">
        <w:rPr>
          <w:rStyle w:val="ECCParagraph"/>
        </w:rPr>
        <w:t xml:space="preserve"> “</w:t>
      </w:r>
      <w:r w:rsidRPr="00965486">
        <w:rPr>
          <w:rStyle w:val="ECCParagraph"/>
        </w:rPr>
        <w:t>Integration of terrestrial and satellite mobile communication systems</w:t>
      </w:r>
      <w:r w:rsidRPr="000A6D6C">
        <w:rPr>
          <w:rStyle w:val="ECCParagraph"/>
        </w:rPr>
        <w:t>”;</w:t>
      </w:r>
    </w:p>
    <w:p w14:paraId="238B7E03" w14:textId="4F783C4A" w:rsidR="000A6D6C" w:rsidRPr="00965486" w:rsidRDefault="000A6D6C" w:rsidP="000A6D6C">
      <w:pPr>
        <w:pStyle w:val="ECCBulletsLv1"/>
        <w:rPr>
          <w:rStyle w:val="ECCParagraph"/>
        </w:rPr>
      </w:pPr>
      <w:r w:rsidRPr="00965486">
        <w:rPr>
          <w:rStyle w:val="ECCParagraph"/>
        </w:rPr>
        <w:t>Recommendation ITU-R M.1036-6</w:t>
      </w:r>
      <w:r w:rsidR="00DA38C5">
        <w:rPr>
          <w:rStyle w:val="ECCParagraph"/>
        </w:rPr>
        <w:t xml:space="preserve"> (10/2019)</w:t>
      </w:r>
      <w:r w:rsidR="00726043">
        <w:rPr>
          <w:rStyle w:val="ECCParagraph"/>
        </w:rPr>
        <w:t>:</w:t>
      </w:r>
      <w:r w:rsidRPr="000A6D6C">
        <w:rPr>
          <w:rStyle w:val="ECCParagraph"/>
        </w:rPr>
        <w:t xml:space="preserve"> “Frequency arrangements for implementation of the terrestrial component of International Mobile Telecommunications in the bands identified for IMT in the Radio Regulations”;</w:t>
      </w:r>
    </w:p>
    <w:p w14:paraId="396E0FC8" w14:textId="4C6766EF" w:rsidR="000A6D6C" w:rsidRPr="00965486" w:rsidRDefault="000A6D6C" w:rsidP="000A6D6C">
      <w:pPr>
        <w:pStyle w:val="ECCBulletsLv1"/>
        <w:rPr>
          <w:rStyle w:val="ECCParagraph"/>
        </w:rPr>
      </w:pPr>
      <w:r w:rsidRPr="00965486">
        <w:rPr>
          <w:rStyle w:val="ECCParagraph"/>
        </w:rPr>
        <w:t>Recommendation ITU-R RA.769-2</w:t>
      </w:r>
      <w:r w:rsidR="009A5A93">
        <w:rPr>
          <w:rStyle w:val="ECCParagraph"/>
        </w:rPr>
        <w:t xml:space="preserve"> </w:t>
      </w:r>
      <w:r w:rsidR="009A5A93" w:rsidRPr="009A5A93">
        <w:rPr>
          <w:rStyle w:val="ECCParagraph"/>
        </w:rPr>
        <w:t>(05/2003)</w:t>
      </w:r>
      <w:r w:rsidR="00726043">
        <w:rPr>
          <w:rStyle w:val="ECCParagraph"/>
        </w:rPr>
        <w:t>:</w:t>
      </w:r>
      <w:r w:rsidRPr="000A6D6C">
        <w:rPr>
          <w:rStyle w:val="ECCParagraph"/>
        </w:rPr>
        <w:t xml:space="preserve"> “Protection criteria used for radio astronomical measurements”;</w:t>
      </w:r>
    </w:p>
    <w:p w14:paraId="4E604B90" w14:textId="13F0C885" w:rsidR="000A6D6C" w:rsidRPr="00965486" w:rsidRDefault="000A6D6C" w:rsidP="000A6D6C">
      <w:pPr>
        <w:pStyle w:val="ECCBulletsLv1"/>
        <w:rPr>
          <w:rStyle w:val="ECCParagraph"/>
        </w:rPr>
      </w:pPr>
      <w:r w:rsidRPr="00965486">
        <w:rPr>
          <w:rStyle w:val="ECCParagraph"/>
        </w:rPr>
        <w:t>Recommendation ITU-R RA.1513-2</w:t>
      </w:r>
      <w:r w:rsidR="009A5A93">
        <w:rPr>
          <w:rStyle w:val="ECCParagraph"/>
        </w:rPr>
        <w:t xml:space="preserve"> </w:t>
      </w:r>
      <w:r w:rsidR="000853F5" w:rsidRPr="000853F5">
        <w:rPr>
          <w:rStyle w:val="ECCParagraph"/>
        </w:rPr>
        <w:t>(03/2015)</w:t>
      </w:r>
      <w:r w:rsidR="00726043">
        <w:rPr>
          <w:rStyle w:val="ECCParagraph"/>
        </w:rPr>
        <w:t>:</w:t>
      </w:r>
      <w:r w:rsidRPr="00965486">
        <w:rPr>
          <w:rStyle w:val="ECCParagraph"/>
        </w:rPr>
        <w:t xml:space="preserve"> </w:t>
      </w:r>
      <w:r w:rsidRPr="000A6D6C">
        <w:rPr>
          <w:rStyle w:val="ECCParagraph"/>
        </w:rPr>
        <w:t>“</w:t>
      </w:r>
      <w:r w:rsidRPr="00965486">
        <w:rPr>
          <w:rStyle w:val="ECCParagraph"/>
        </w:rPr>
        <w:t>Levels of data loss to radio astronomy observations and percentage-of-time criteria resulting from degradation by interference for frequency bands allocated to the radio astronomy service on a primary basis</w:t>
      </w:r>
      <w:r w:rsidRPr="000A6D6C">
        <w:rPr>
          <w:rStyle w:val="ECCParagraph"/>
        </w:rPr>
        <w:t>”;</w:t>
      </w:r>
    </w:p>
    <w:p w14:paraId="5F3FC055" w14:textId="18284C77" w:rsidR="000A6D6C" w:rsidRPr="00965486" w:rsidRDefault="000A6D6C" w:rsidP="000A6D6C">
      <w:pPr>
        <w:pStyle w:val="ECCBulletsLv1"/>
        <w:rPr>
          <w:rStyle w:val="ECCParagraph"/>
        </w:rPr>
      </w:pPr>
      <w:r w:rsidRPr="00965486">
        <w:rPr>
          <w:rStyle w:val="ECCParagraph"/>
        </w:rPr>
        <w:t>Recommendation ITU-R M.1808-1</w:t>
      </w:r>
      <w:r w:rsidR="00C428B5">
        <w:rPr>
          <w:rStyle w:val="ECCParagraph"/>
        </w:rPr>
        <w:t xml:space="preserve"> </w:t>
      </w:r>
      <w:r w:rsidR="00C428B5" w:rsidRPr="00C428B5">
        <w:rPr>
          <w:rStyle w:val="ECCParagraph"/>
        </w:rPr>
        <w:t>(11/2019)</w:t>
      </w:r>
      <w:r w:rsidR="00726043">
        <w:rPr>
          <w:rStyle w:val="ECCParagraph"/>
        </w:rPr>
        <w:t>:</w:t>
      </w:r>
      <w:r w:rsidRPr="000A6D6C">
        <w:rPr>
          <w:rStyle w:val="ECCParagraph"/>
        </w:rPr>
        <w:t xml:space="preserve"> “Technical and operational characteristics of conventional and trunked land mobile systems operating in the mobile service allocations below 869 MHz to be used in sharing studies in bands below 960 MHz”;</w:t>
      </w:r>
    </w:p>
    <w:p w14:paraId="2BC261BC" w14:textId="7481C523" w:rsidR="000A6D6C" w:rsidRPr="00965486" w:rsidRDefault="000A6D6C" w:rsidP="000A6D6C">
      <w:pPr>
        <w:pStyle w:val="ECCBulletsLv1"/>
        <w:rPr>
          <w:rStyle w:val="ECCParagraph"/>
        </w:rPr>
      </w:pPr>
      <w:r w:rsidRPr="00965486">
        <w:rPr>
          <w:rStyle w:val="ECCParagraph"/>
        </w:rPr>
        <w:t xml:space="preserve">Resolution </w:t>
      </w:r>
      <w:r w:rsidRPr="00965486">
        <w:rPr>
          <w:rStyle w:val="ECCHLbold"/>
        </w:rPr>
        <w:t>646 (Rev.WRC-19)</w:t>
      </w:r>
      <w:r w:rsidRPr="000A6D6C">
        <w:rPr>
          <w:rStyle w:val="ECCHLbold"/>
        </w:rPr>
        <w:t xml:space="preserve"> </w:t>
      </w:r>
      <w:r w:rsidRPr="000A6D6C">
        <w:rPr>
          <w:rStyle w:val="ECCParagraph"/>
        </w:rPr>
        <w:t>“Public protection and disaster relief”;</w:t>
      </w:r>
    </w:p>
    <w:p w14:paraId="5B2C2F81" w14:textId="261A8A0D" w:rsidR="000A6D6C" w:rsidRPr="00965486" w:rsidRDefault="000A6D6C" w:rsidP="000A6D6C">
      <w:pPr>
        <w:pStyle w:val="ECCBulletsLv1"/>
        <w:rPr>
          <w:rStyle w:val="ECCParagraph"/>
        </w:rPr>
      </w:pPr>
      <w:r w:rsidRPr="00965486">
        <w:rPr>
          <w:rStyle w:val="ECCParagraph"/>
        </w:rPr>
        <w:t>GE06 Agreement</w:t>
      </w:r>
      <w:r w:rsidRPr="000A6D6C">
        <w:rPr>
          <w:rStyle w:val="ECCParagraph"/>
        </w:rPr>
        <w:t xml:space="preserve"> “relating to the planning of the digital terrestrial broadcasting service in Region 1 and in the Islamic Republic of Iran, in the frequency bands 174-230 MHz and 470-862 MHz, governs the use of these bands by all primary terrestrial services including non broadcasting ones”.</w:t>
      </w:r>
    </w:p>
    <w:p w14:paraId="49274945" w14:textId="77777777" w:rsidR="000A6D6C" w:rsidRPr="00D86872" w:rsidRDefault="000A6D6C" w:rsidP="000A6D6C">
      <w:pPr>
        <w:pStyle w:val="ECCBreak"/>
        <w:rPr>
          <w:rStyle w:val="ECCParagraph"/>
        </w:rPr>
      </w:pPr>
      <w:r w:rsidRPr="00D86872">
        <w:rPr>
          <w:rStyle w:val="ECCParagraph"/>
        </w:rPr>
        <w:t>CEPT and/or ECC Documentation (Decisions, Recommendations, Reports)</w:t>
      </w:r>
    </w:p>
    <w:p w14:paraId="754BF4DF" w14:textId="5E837D42" w:rsidR="00212A1F" w:rsidRDefault="00A17F24" w:rsidP="000B5B2E">
      <w:pPr>
        <w:pStyle w:val="ECCBulletsLv1"/>
        <w:rPr>
          <w:rStyle w:val="ECCParagraph"/>
        </w:rPr>
      </w:pPr>
      <w:hyperlink r:id="rId21" w:history="1">
        <w:r w:rsidR="00212A1F">
          <w:rPr>
            <w:rStyle w:val="Hyperlink"/>
          </w:rPr>
          <w:t>ECC Decision (08)08</w:t>
        </w:r>
      </w:hyperlink>
      <w:r w:rsidR="00932626">
        <w:t>:</w:t>
      </w:r>
      <w:r w:rsidR="007D2F1E">
        <w:t xml:space="preserve"> “</w:t>
      </w:r>
      <w:r w:rsidR="007D2F1E" w:rsidRPr="007D2F1E">
        <w:t>The harmonised use of GSM systems in the 900 MHz and 1800 MHz bands, UMTS systems in the 2 GHz band and LTE and 5G NR non-AAS systems in the 1800 MHz and 2.6 GHz (FDD) bands on board vessels</w:t>
      </w:r>
      <w:r w:rsidR="007D2F1E">
        <w:t>”</w:t>
      </w:r>
      <w:r w:rsidR="00F950C0" w:rsidRPr="00F950C0">
        <w:t xml:space="preserve">, approved </w:t>
      </w:r>
      <w:r w:rsidR="00AE0E69">
        <w:t>October</w:t>
      </w:r>
      <w:r w:rsidR="00F950C0" w:rsidRPr="00F950C0">
        <w:t xml:space="preserve"> 200</w:t>
      </w:r>
      <w:r w:rsidR="00AE0E69">
        <w:t>8</w:t>
      </w:r>
      <w:r w:rsidR="00F950C0" w:rsidRPr="00F950C0">
        <w:t>, latest amendment March 202</w:t>
      </w:r>
      <w:r w:rsidR="000C7531">
        <w:t>2</w:t>
      </w:r>
      <w:r w:rsidR="007D2F1E">
        <w:t xml:space="preserve"> </w:t>
      </w:r>
    </w:p>
    <w:p w14:paraId="0332BB01" w14:textId="5EB5CF1A" w:rsidR="000A6D6C" w:rsidRPr="00D86872" w:rsidRDefault="00A17F24" w:rsidP="001E722A">
      <w:pPr>
        <w:pStyle w:val="ECCBulletsLv1"/>
      </w:pPr>
      <w:hyperlink r:id="rId22" w:history="1">
        <w:r w:rsidR="00212A1F">
          <w:rPr>
            <w:rStyle w:val="Hyperlink"/>
          </w:rPr>
          <w:t>ERC Recommendation 25-10</w:t>
        </w:r>
      </w:hyperlink>
      <w:r w:rsidR="0031377E">
        <w:rPr>
          <w:rStyle w:val="ECCParagraph"/>
        </w:rPr>
        <w:t xml:space="preserve">: </w:t>
      </w:r>
      <w:r w:rsidR="001E722A">
        <w:rPr>
          <w:rStyle w:val="ECCParagraph"/>
        </w:rPr>
        <w:t>“</w:t>
      </w:r>
      <w:r w:rsidR="001E722A" w:rsidRPr="001E722A">
        <w:rPr>
          <w:rStyle w:val="ECCParagraph"/>
        </w:rPr>
        <w:t>Frequency Ranges for the Use of Terrestrial Audio and Video</w:t>
      </w:r>
      <w:r w:rsidR="001E722A">
        <w:rPr>
          <w:rStyle w:val="ECCParagraph"/>
        </w:rPr>
        <w:t xml:space="preserve"> </w:t>
      </w:r>
      <w:r w:rsidR="001E722A" w:rsidRPr="001E722A">
        <w:rPr>
          <w:rStyle w:val="ECCParagraph"/>
        </w:rPr>
        <w:t>Programme Making and Special Events (PMSE) applications</w:t>
      </w:r>
      <w:r w:rsidR="001E722A">
        <w:rPr>
          <w:rStyle w:val="ECCParagraph"/>
        </w:rPr>
        <w:t xml:space="preserve">”, </w:t>
      </w:r>
      <w:r w:rsidR="001E722A" w:rsidRPr="001E722A">
        <w:rPr>
          <w:rStyle w:val="ECCParagraph"/>
        </w:rPr>
        <w:t xml:space="preserve">approved </w:t>
      </w:r>
      <w:r w:rsidR="00B152E3">
        <w:rPr>
          <w:rStyle w:val="ECCParagraph"/>
        </w:rPr>
        <w:t>May</w:t>
      </w:r>
      <w:r w:rsidR="001E722A" w:rsidRPr="001E722A">
        <w:rPr>
          <w:rStyle w:val="ECCParagraph"/>
        </w:rPr>
        <w:t xml:space="preserve"> </w:t>
      </w:r>
      <w:r w:rsidR="00B152E3">
        <w:rPr>
          <w:rStyle w:val="ECCParagraph"/>
        </w:rPr>
        <w:t>1995</w:t>
      </w:r>
      <w:r w:rsidR="001E722A" w:rsidRPr="001E722A">
        <w:rPr>
          <w:rStyle w:val="ECCParagraph"/>
        </w:rPr>
        <w:t xml:space="preserve">, latest amendment </w:t>
      </w:r>
      <w:r w:rsidR="00B152E3">
        <w:rPr>
          <w:rStyle w:val="ECCParagraph"/>
        </w:rPr>
        <w:t>June</w:t>
      </w:r>
      <w:r w:rsidR="001E722A" w:rsidRPr="001E722A">
        <w:rPr>
          <w:rStyle w:val="ECCParagraph"/>
        </w:rPr>
        <w:t xml:space="preserve"> 202</w:t>
      </w:r>
      <w:r w:rsidR="00B152E3">
        <w:rPr>
          <w:rStyle w:val="ECCParagraph"/>
        </w:rPr>
        <w:t>3</w:t>
      </w:r>
    </w:p>
    <w:p w14:paraId="4C3CCE29" w14:textId="77777777" w:rsidR="000A6D6C" w:rsidRPr="00D86872" w:rsidRDefault="000A6D6C" w:rsidP="000A6D6C">
      <w:pPr>
        <w:pStyle w:val="ECCBreak"/>
        <w:rPr>
          <w:rStyle w:val="ECCParagraph"/>
        </w:rPr>
      </w:pPr>
      <w:r w:rsidRPr="00D86872">
        <w:rPr>
          <w:rStyle w:val="ECCParagraph"/>
        </w:rPr>
        <w:t>EU Documentation (Directives, Decisions, Recommendations, other), if applicable</w:t>
      </w:r>
    </w:p>
    <w:p w14:paraId="58F5C989" w14:textId="77777777" w:rsidR="00996B12" w:rsidRDefault="0026072C" w:rsidP="00996B12">
      <w:pPr>
        <w:pStyle w:val="ECCBulletsLv1"/>
        <w:rPr>
          <w:rStyle w:val="ECCParagraph"/>
        </w:rPr>
      </w:pPr>
      <w:r w:rsidRPr="0026072C">
        <w:t>Commission Implementing Decision (EU) 2016/339 of 8 March 2016 on the harmonisation of the 2 010-2 025 MHz frequency band for portable or mobile wireless video links and cordless cameras used for programme making and special events</w:t>
      </w:r>
      <w:r w:rsidR="00996B12" w:rsidRPr="00996B12">
        <w:rPr>
          <w:rStyle w:val="ECCParagraph"/>
        </w:rPr>
        <w:t xml:space="preserve"> </w:t>
      </w:r>
    </w:p>
    <w:p w14:paraId="24D31838" w14:textId="1568ACDB" w:rsidR="00D64B06" w:rsidRPr="000A6D6C" w:rsidRDefault="00996B12" w:rsidP="00996B12">
      <w:pPr>
        <w:pStyle w:val="ECCBulletsLv1"/>
        <w:rPr>
          <w:rStyle w:val="ECCParagraph"/>
        </w:rPr>
      </w:pPr>
      <w:r w:rsidRPr="00996B12">
        <w:rPr>
          <w:rStyle w:val="ECCParagraph"/>
        </w:rPr>
        <w:t>Commission Implementing Decision (EU) 2024/340 of 22 January 2024 on harmonised conditions for the use of radio spectrum for mobile communication services on board vessels in the Union</w:t>
      </w:r>
    </w:p>
    <w:p w14:paraId="110AA254" w14:textId="77777777" w:rsidR="003771D5" w:rsidRDefault="003771D5" w:rsidP="00BD4E12">
      <w:pPr>
        <w:pStyle w:val="Heading1"/>
        <w:rPr>
          <w:lang w:val="en-GB"/>
        </w:rPr>
      </w:pPr>
      <w:r w:rsidRPr="00235592">
        <w:rPr>
          <w:lang w:val="en-GB"/>
        </w:rPr>
        <w:t>Actions to be taken</w:t>
      </w:r>
    </w:p>
    <w:p w14:paraId="1FD8AFBE" w14:textId="77777777" w:rsidR="00467766" w:rsidRDefault="001D486C" w:rsidP="00467766">
      <w:pPr>
        <w:pStyle w:val="ECCBulletsLv1"/>
        <w:numPr>
          <w:ilvl w:val="0"/>
          <w:numId w:val="8"/>
        </w:numPr>
        <w:rPr>
          <w:lang w:eastAsia="zh-CN"/>
        </w:rPr>
      </w:pPr>
      <w:r w:rsidRPr="00D86872">
        <w:t xml:space="preserve">To develop examples of systems implementation for MSS supplement into terrestrial IMT (i.e. spectrum bandwidth requirements, technical characteristics, MSS parameters in various bands: </w:t>
      </w:r>
      <w:r w:rsidRPr="00D86872">
        <w:rPr>
          <w:lang w:eastAsia="zh-CN"/>
        </w:rPr>
        <w:t>between 694/698 MHz and 2.7 GHz</w:t>
      </w:r>
      <w:r w:rsidRPr="00D86872">
        <w:t>, Operational requirements, etc.)</w:t>
      </w:r>
    </w:p>
    <w:p w14:paraId="0B469BF1" w14:textId="7509D41E" w:rsidR="001D486C" w:rsidRPr="001D486C" w:rsidRDefault="001D486C" w:rsidP="00467766">
      <w:pPr>
        <w:pStyle w:val="ECCBulletsLv1"/>
        <w:numPr>
          <w:ilvl w:val="0"/>
          <w:numId w:val="8"/>
        </w:numPr>
        <w:rPr>
          <w:lang w:eastAsia="zh-CN"/>
        </w:rPr>
      </w:pPr>
      <w:r>
        <w:t>Continue further discussions on CEPT views on the related list of frequency bands (see section 3.4) with a view for a contribution to ITU-R WP</w:t>
      </w:r>
      <w:r w:rsidR="00883C4C">
        <w:t xml:space="preserve"> </w:t>
      </w:r>
      <w:r>
        <w:t xml:space="preserve">4C. </w:t>
      </w:r>
    </w:p>
    <w:p w14:paraId="6273D382" w14:textId="5818827E" w:rsidR="003771D5" w:rsidRPr="00235592" w:rsidRDefault="003771D5" w:rsidP="00BD4E12">
      <w:pPr>
        <w:pStyle w:val="Heading1"/>
        <w:rPr>
          <w:lang w:val="en-GB"/>
        </w:rPr>
      </w:pPr>
      <w:r w:rsidRPr="00235592">
        <w:rPr>
          <w:lang w:val="en-GB"/>
        </w:rPr>
        <w:t xml:space="preserve">Relevant information </w:t>
      </w:r>
      <w:r w:rsidR="008C14EA" w:rsidRPr="00A52B8E">
        <w:rPr>
          <w:lang w:val="en-GB"/>
        </w:rPr>
        <w:t xml:space="preserve">as contributed </w:t>
      </w:r>
      <w:r w:rsidRPr="00235592">
        <w:rPr>
          <w:lang w:val="en-GB"/>
        </w:rPr>
        <w:t>from outside CEPT (examples of these are below)</w:t>
      </w:r>
    </w:p>
    <w:p w14:paraId="108611CC" w14:textId="380F2A23" w:rsidR="003771D5" w:rsidRPr="00235592" w:rsidRDefault="00652804" w:rsidP="00BD4E12">
      <w:pPr>
        <w:pStyle w:val="Heading2"/>
      </w:pPr>
      <w:r w:rsidRPr="00A52B8E">
        <w:t>European Commission</w:t>
      </w:r>
      <w:r w:rsidR="002132DB" w:rsidRPr="00A52B8E">
        <w:t xml:space="preserve"> (date o</w:t>
      </w:r>
      <w:r w:rsidR="00F8504F" w:rsidRPr="00A52B8E">
        <w:t>f proposal)</w:t>
      </w:r>
    </w:p>
    <w:p w14:paraId="02658459" w14:textId="77777777" w:rsidR="004F16F4" w:rsidRPr="00235592" w:rsidRDefault="004F16F4" w:rsidP="004F16F4">
      <w:pPr>
        <w:rPr>
          <w:rStyle w:val="ECCParagraph"/>
        </w:rPr>
      </w:pPr>
    </w:p>
    <w:p w14:paraId="0B92F784" w14:textId="4FDF6BEE" w:rsidR="003771D5" w:rsidRPr="00235592" w:rsidRDefault="003771D5" w:rsidP="00BD4E12">
      <w:pPr>
        <w:pStyle w:val="Heading2"/>
      </w:pPr>
      <w:r w:rsidRPr="00235592">
        <w:t xml:space="preserve">Regional </w:t>
      </w:r>
      <w:r w:rsidR="00B54B09">
        <w:t>T</w:t>
      </w:r>
      <w:r w:rsidR="0057797A" w:rsidRPr="00235592">
        <w:t xml:space="preserve">elecommunication </w:t>
      </w:r>
      <w:r w:rsidR="00B54B09">
        <w:t>O</w:t>
      </w:r>
      <w:r w:rsidR="0057797A" w:rsidRPr="00235592">
        <w:t>rganisations</w:t>
      </w:r>
    </w:p>
    <w:p w14:paraId="202E4ABD" w14:textId="77777777" w:rsidR="003771D5" w:rsidRPr="00235592" w:rsidRDefault="003771D5" w:rsidP="009B1F62">
      <w:pPr>
        <w:pStyle w:val="ECCBreak"/>
      </w:pPr>
      <w:r w:rsidRPr="00235592">
        <w:t>APT (date of proposal)</w:t>
      </w:r>
    </w:p>
    <w:p w14:paraId="2AF5FF95" w14:textId="77777777" w:rsidR="006C5C1C" w:rsidRPr="00235592" w:rsidRDefault="006C5C1C" w:rsidP="006C5C1C">
      <w:pPr>
        <w:rPr>
          <w:rStyle w:val="ECCParagraph"/>
        </w:rPr>
      </w:pPr>
    </w:p>
    <w:p w14:paraId="3A5AB3EF" w14:textId="77777777" w:rsidR="003771D5" w:rsidRPr="00235592" w:rsidRDefault="003771D5" w:rsidP="009B1F62">
      <w:pPr>
        <w:pStyle w:val="ECCBreak"/>
      </w:pPr>
      <w:r w:rsidRPr="00235592">
        <w:t>ATU (date of proposal)</w:t>
      </w:r>
    </w:p>
    <w:p w14:paraId="44B5ADE1" w14:textId="77777777" w:rsidR="003771D5" w:rsidRPr="00235592" w:rsidRDefault="003771D5" w:rsidP="00BD4E12">
      <w:pPr>
        <w:rPr>
          <w:rStyle w:val="ECCParagraph"/>
        </w:rPr>
      </w:pPr>
    </w:p>
    <w:p w14:paraId="08DC6F00" w14:textId="4E4A0648" w:rsidR="003771D5" w:rsidRPr="00235592" w:rsidRDefault="00A87414" w:rsidP="009B1F62">
      <w:pPr>
        <w:pStyle w:val="ECCBreak"/>
      </w:pPr>
      <w:r>
        <w:t>ASMG</w:t>
      </w:r>
      <w:r w:rsidR="003771D5" w:rsidRPr="00235592">
        <w:t xml:space="preserve"> (date of proposal)</w:t>
      </w:r>
    </w:p>
    <w:p w14:paraId="0B9B19D0" w14:textId="77777777" w:rsidR="003771D5" w:rsidRPr="00235592" w:rsidRDefault="003771D5" w:rsidP="00BD4E12">
      <w:pPr>
        <w:rPr>
          <w:rStyle w:val="ECCParagraph"/>
        </w:rPr>
      </w:pPr>
    </w:p>
    <w:p w14:paraId="1AC75D1E" w14:textId="4DCD5341" w:rsidR="00DC7382" w:rsidRPr="0031324C" w:rsidRDefault="00DC7382" w:rsidP="00DC7382">
      <w:pPr>
        <w:pStyle w:val="ECCBreak"/>
      </w:pPr>
      <w:r w:rsidRPr="0031324C">
        <w:t>CITEL (</w:t>
      </w:r>
      <w:r w:rsidR="00C175F9">
        <w:t>June 2025</w:t>
      </w:r>
      <w:r w:rsidRPr="0031324C">
        <w:t>)</w:t>
      </w:r>
    </w:p>
    <w:p w14:paraId="6D4C05B6" w14:textId="77777777" w:rsidR="00DC7382" w:rsidRPr="00DC7382" w:rsidRDefault="00DC7382" w:rsidP="00DC7382">
      <w:pPr>
        <w:rPr>
          <w:rStyle w:val="ECCParagraph"/>
        </w:rPr>
      </w:pPr>
      <w:r w:rsidRPr="00DC7382">
        <w:rPr>
          <w:rStyle w:val="ECCParagraph"/>
        </w:rPr>
        <w:t xml:space="preserve">Preliminary View (PV) </w:t>
      </w:r>
    </w:p>
    <w:p w14:paraId="042050C6" w14:textId="571AF65A" w:rsidR="00CE730B" w:rsidRDefault="00CE730B" w:rsidP="00CE730B">
      <w:pPr>
        <w:pStyle w:val="Default"/>
        <w:rPr>
          <w:rStyle w:val="ECCParagraph"/>
        </w:rPr>
      </w:pPr>
      <w:r w:rsidRPr="00CE730B">
        <w:rPr>
          <w:rStyle w:val="ECCParagraph"/>
        </w:rPr>
        <w:t xml:space="preserve">Five administrations support studies under the terms of Resolution </w:t>
      </w:r>
      <w:r w:rsidRPr="000C2757">
        <w:rPr>
          <w:rStyle w:val="ECCHLbold"/>
        </w:rPr>
        <w:t>253 (WRC-23)</w:t>
      </w:r>
      <w:r w:rsidRPr="00CE730B">
        <w:rPr>
          <w:rStyle w:val="ECCParagraph"/>
        </w:rPr>
        <w:t xml:space="preserve"> on a possible new allocation to</w:t>
      </w:r>
      <w:r>
        <w:rPr>
          <w:rStyle w:val="ECCParagraph"/>
        </w:rPr>
        <w:t xml:space="preserve"> </w:t>
      </w:r>
      <w:r w:rsidRPr="00CE730B">
        <w:rPr>
          <w:rStyle w:val="ECCParagraph"/>
        </w:rPr>
        <w:t>the MSS in existing frequency bands used or identified for the terrestrial component of IMT in the frequency range</w:t>
      </w:r>
      <w:r>
        <w:rPr>
          <w:rStyle w:val="ECCParagraph"/>
        </w:rPr>
        <w:t xml:space="preserve"> </w:t>
      </w:r>
      <w:r w:rsidRPr="00CE730B">
        <w:rPr>
          <w:rStyle w:val="ECCParagraph"/>
        </w:rPr>
        <w:t>between 694/698 MHz and 2.7 GHz for direct connectivity between space stations and IMT user equipment to</w:t>
      </w:r>
      <w:r>
        <w:rPr>
          <w:rStyle w:val="ECCParagraph"/>
        </w:rPr>
        <w:t xml:space="preserve"> </w:t>
      </w:r>
      <w:r w:rsidRPr="00CE730B">
        <w:rPr>
          <w:rStyle w:val="ECCParagraph"/>
        </w:rPr>
        <w:t>complement terrestrial IMT network coverage. These administrations support the aforementioned studies</w:t>
      </w:r>
      <w:r>
        <w:rPr>
          <w:rStyle w:val="ECCParagraph"/>
        </w:rPr>
        <w:t xml:space="preserve"> </w:t>
      </w:r>
      <w:r w:rsidRPr="00CE730B">
        <w:rPr>
          <w:rStyle w:val="ECCParagraph"/>
        </w:rPr>
        <w:t>ensuring the protection of incumbent services, including those in adjacent frequency bands, in accordance with</w:t>
      </w:r>
      <w:r>
        <w:rPr>
          <w:rStyle w:val="ECCParagraph"/>
        </w:rPr>
        <w:t xml:space="preserve"> </w:t>
      </w:r>
      <w:r w:rsidRPr="00CE730B">
        <w:rPr>
          <w:rStyle w:val="ECCParagraph"/>
        </w:rPr>
        <w:t>the Radio Regulations, and are of the view that possible allocations to the MSS for DC-MSS-IMT systems take into</w:t>
      </w:r>
      <w:r>
        <w:rPr>
          <w:rStyle w:val="ECCParagraph"/>
        </w:rPr>
        <w:t xml:space="preserve"> </w:t>
      </w:r>
      <w:r w:rsidRPr="00CE730B">
        <w:rPr>
          <w:rStyle w:val="ECCParagraph"/>
        </w:rPr>
        <w:t>account the arrangements and directionality of frequencies established in the latest version of Recommendation</w:t>
      </w:r>
      <w:r>
        <w:rPr>
          <w:rStyle w:val="ECCParagraph"/>
        </w:rPr>
        <w:t xml:space="preserve"> </w:t>
      </w:r>
      <w:r w:rsidRPr="00CE730B">
        <w:rPr>
          <w:rStyle w:val="ECCParagraph"/>
        </w:rPr>
        <w:t>ITU-R M.1036, consistent with resolves 1) of Resolution 253 (WRC-23), with the aim of promoting access to</w:t>
      </w:r>
      <w:r>
        <w:rPr>
          <w:rStyle w:val="ECCParagraph"/>
        </w:rPr>
        <w:t xml:space="preserve"> </w:t>
      </w:r>
      <w:r w:rsidRPr="00CE730B">
        <w:rPr>
          <w:rStyle w:val="ECCParagraph"/>
        </w:rPr>
        <w:t>telecommunications services in underserved and unserved areas,</w:t>
      </w:r>
      <w:r>
        <w:rPr>
          <w:rStyle w:val="ECCParagraph"/>
        </w:rPr>
        <w:t xml:space="preserve"> </w:t>
      </w:r>
      <w:r w:rsidRPr="00CE730B">
        <w:rPr>
          <w:rStyle w:val="ECCParagraph"/>
        </w:rPr>
        <w:t>as well as in the search to provide forms of</w:t>
      </w:r>
      <w:r>
        <w:rPr>
          <w:rStyle w:val="ECCParagraph"/>
        </w:rPr>
        <w:t xml:space="preserve"> </w:t>
      </w:r>
      <w:r w:rsidRPr="00CE730B">
        <w:rPr>
          <w:rStyle w:val="ECCParagraph"/>
        </w:rPr>
        <w:t>access to communities.</w:t>
      </w:r>
    </w:p>
    <w:p w14:paraId="54608592" w14:textId="77777777" w:rsidR="00CE730B" w:rsidRPr="00CE730B" w:rsidRDefault="00CE730B" w:rsidP="00CE730B">
      <w:pPr>
        <w:pStyle w:val="Default"/>
        <w:rPr>
          <w:rStyle w:val="ECCParagraph"/>
        </w:rPr>
      </w:pPr>
    </w:p>
    <w:p w14:paraId="4D6941EB" w14:textId="255AC66A" w:rsidR="00CE730B" w:rsidRDefault="00CE730B">
      <w:pPr>
        <w:pStyle w:val="Default"/>
        <w:rPr>
          <w:rStyle w:val="ECCParagraph"/>
        </w:rPr>
      </w:pPr>
      <w:r w:rsidRPr="00CE730B">
        <w:rPr>
          <w:rStyle w:val="ECCParagraph"/>
        </w:rPr>
        <w:t>Furthermore, noting the overlapping frequency bands between Agenda Items 1.12, 1.13, and 1.14, any regulatory</w:t>
      </w:r>
      <w:r>
        <w:rPr>
          <w:rStyle w:val="ECCParagraph"/>
        </w:rPr>
        <w:t xml:space="preserve"> </w:t>
      </w:r>
      <w:r w:rsidRPr="00CE730B">
        <w:rPr>
          <w:rStyle w:val="ECCParagraph"/>
        </w:rPr>
        <w:t>proposals for these overlapping frequency bands should be consistent among all these agenda items and aligned</w:t>
      </w:r>
      <w:r>
        <w:rPr>
          <w:rStyle w:val="ECCParagraph"/>
        </w:rPr>
        <w:t xml:space="preserve"> </w:t>
      </w:r>
      <w:r w:rsidRPr="00CE730B">
        <w:rPr>
          <w:rStyle w:val="ECCParagraph"/>
        </w:rPr>
        <w:t>with their associated WRC-23 Resolutions. Moreover, existing terrestrial mobile operations using frequency bands</w:t>
      </w:r>
      <w:r>
        <w:rPr>
          <w:rStyle w:val="ECCParagraph"/>
        </w:rPr>
        <w:t xml:space="preserve"> </w:t>
      </w:r>
      <w:r w:rsidRPr="00CE730B">
        <w:rPr>
          <w:rStyle w:val="ECCParagraph"/>
        </w:rPr>
        <w:t>identified for IMT should be protected from harmful interference, while new MSS operations are incorporated to</w:t>
      </w:r>
      <w:r>
        <w:rPr>
          <w:rStyle w:val="ECCParagraph"/>
        </w:rPr>
        <w:t xml:space="preserve"> </w:t>
      </w:r>
      <w:r w:rsidRPr="00CE730B">
        <w:rPr>
          <w:rStyle w:val="ECCParagraph"/>
        </w:rPr>
        <w:t>extend existing terrestrial mobile broadband coverage. Furthermore, no</w:t>
      </w:r>
      <w:r>
        <w:rPr>
          <w:rStyle w:val="ECCParagraph"/>
        </w:rPr>
        <w:t xml:space="preserve"> </w:t>
      </w:r>
      <w:r w:rsidRPr="00CE730B">
        <w:rPr>
          <w:rStyle w:val="ECCParagraph"/>
        </w:rPr>
        <w:t>additional regulatory measures are</w:t>
      </w:r>
      <w:r>
        <w:rPr>
          <w:rStyle w:val="ECCParagraph"/>
        </w:rPr>
        <w:t xml:space="preserve"> </w:t>
      </w:r>
      <w:r w:rsidRPr="00CE730B">
        <w:rPr>
          <w:rStyle w:val="ECCParagraph"/>
        </w:rPr>
        <w:t>needed to the IMT user equipment transmitting in the MSS uplink, provided they operate under the same</w:t>
      </w:r>
      <w:r>
        <w:rPr>
          <w:rStyle w:val="ECCParagraph"/>
        </w:rPr>
        <w:t xml:space="preserve"> </w:t>
      </w:r>
      <w:r w:rsidRPr="00CE730B">
        <w:rPr>
          <w:rStyle w:val="ECCParagraph"/>
        </w:rPr>
        <w:t>technical conditions as the terrestrial IMT.</w:t>
      </w:r>
    </w:p>
    <w:p w14:paraId="19269C31" w14:textId="77777777" w:rsidR="00B712A9" w:rsidRDefault="00B712A9" w:rsidP="00B712A9">
      <w:pPr>
        <w:pStyle w:val="Default"/>
        <w:rPr>
          <w:rStyle w:val="ECCParagraph"/>
        </w:rPr>
      </w:pPr>
    </w:p>
    <w:p w14:paraId="2B40F508" w14:textId="463277B1" w:rsidR="00B712A9" w:rsidRPr="00B712A9" w:rsidRDefault="00B712A9" w:rsidP="00B712A9">
      <w:pPr>
        <w:pStyle w:val="Default"/>
        <w:rPr>
          <w:rStyle w:val="ECCParagraph"/>
        </w:rPr>
      </w:pPr>
      <w:r w:rsidRPr="00B712A9">
        <w:rPr>
          <w:rStyle w:val="ECCParagraph"/>
        </w:rPr>
        <w:t>Following views are expressed by some of the administrations referred to earlier:</w:t>
      </w:r>
    </w:p>
    <w:p w14:paraId="7604FF0E" w14:textId="0995C9A9" w:rsidR="00B712A9" w:rsidRPr="00B712A9" w:rsidRDefault="00B712A9" w:rsidP="000C2757">
      <w:pPr>
        <w:pStyle w:val="ECCNumberedList"/>
        <w:rPr>
          <w:rStyle w:val="ECCParagraph"/>
        </w:rPr>
      </w:pPr>
      <w:r w:rsidRPr="00B712A9">
        <w:rPr>
          <w:rStyle w:val="ECCParagraph"/>
        </w:rPr>
        <w:t>Any possible new allocations to the MSS for DC-MSS-IMT under WRC-27 AI 1.13 should be allocated on a secondary basis given the complementary nature of the application and the need for continued terrestrial IMT deployment under the mobile service to which the bands are already allocated on a primary basis.</w:t>
      </w:r>
    </w:p>
    <w:p w14:paraId="38B9C368" w14:textId="71B12A03" w:rsidR="00B712A9" w:rsidRPr="00B712A9" w:rsidRDefault="00B712A9" w:rsidP="000C2757">
      <w:pPr>
        <w:pStyle w:val="ECCNumberedList"/>
        <w:rPr>
          <w:rStyle w:val="ECCParagraph"/>
        </w:rPr>
      </w:pPr>
      <w:r w:rsidRPr="00B712A9">
        <w:rPr>
          <w:rStyle w:val="ECCParagraph"/>
        </w:rPr>
        <w:t>it is not necessary to conduct additional sharing and compatibility studies in those frequency bands, or parts thereof, that already benefit from existing co-primary MS and MSS allocations for which the MSS directionality matches the directionality of the IMT frequency arrangements.</w:t>
      </w:r>
    </w:p>
    <w:p w14:paraId="1383F225" w14:textId="08E09805" w:rsidR="00B712A9" w:rsidRPr="000C2757" w:rsidRDefault="00B712A9" w:rsidP="00071814">
      <w:pPr>
        <w:pStyle w:val="ECCNumberedList"/>
        <w:rPr>
          <w:rStyle w:val="ECCParagraph"/>
          <w:rFonts w:eastAsia="Times New Roman"/>
        </w:rPr>
      </w:pPr>
      <w:r w:rsidRPr="00B712A9">
        <w:rPr>
          <w:rStyle w:val="ECCParagraph"/>
        </w:rPr>
        <w:t>Any individual administration has its own needs and that there may be scenarios in which different frequency arrangements have been adopted for the rollout of IMT systems, even between neighbouring countries. Therefore, these administrations believe it is relevant to keep in mind these scenarios in the sharing and compatibility studies, especially those relative to the use of different duplex schemes (FDD or TDD) and propagation directions, in order to support informed decisions by CITEL Administrations.</w:t>
      </w:r>
    </w:p>
    <w:p w14:paraId="37D6F1F1" w14:textId="0D686F8B" w:rsidR="007471E1" w:rsidRPr="007471E1" w:rsidRDefault="007471E1" w:rsidP="007471E1">
      <w:pPr>
        <w:pStyle w:val="ECCNumberedList"/>
        <w:rPr>
          <w:rStyle w:val="ECCParagraph"/>
        </w:rPr>
      </w:pPr>
      <w:r w:rsidRPr="007471E1">
        <w:rPr>
          <w:rStyle w:val="ECCParagraph"/>
        </w:rPr>
        <w:t>It is crucial that any consideration about possible allocations to the MSS for DC-MSS-IMT systems in the frequency bands being examined, or parts thereof, as well as in adjacent frequency bands, must guarantee the protection of incumbent services. It would be advisable to identify the technical, operational, and/or regulatory measures needed to guarantee the priority operation, free from any harmful interferences, of stations that operate in the MS, as well as other services, so that they continue to develop.</w:t>
      </w:r>
    </w:p>
    <w:p w14:paraId="4C0C7A20" w14:textId="5B5E8C36" w:rsidR="007471E1" w:rsidRPr="007471E1" w:rsidRDefault="007471E1" w:rsidP="007471E1">
      <w:pPr>
        <w:pStyle w:val="ECCNumberedList"/>
        <w:rPr>
          <w:rStyle w:val="ECCParagraph"/>
        </w:rPr>
      </w:pPr>
      <w:r w:rsidRPr="007471E1">
        <w:rPr>
          <w:rStyle w:val="ECCParagraph"/>
        </w:rPr>
        <w:t>It is deemed that the list of frequency arrangements developed at WP 4C takes into account the needs of diverse interested parties in Agenda Item 1.13 for WRC-27. However, it is a very broad list, and adding additional frequency arrangements might complicate timely completion of the sharing and compatibility studies, as well as undermine the analysis and follow-up of some administrations, as a result of which any proposal for inclusion should benefit from an allocation to the MS, be identified for IMT in the RR, and be consistent with the latest version in force of Recommendation ITU-R M.1036.</w:t>
      </w:r>
    </w:p>
    <w:p w14:paraId="5EEC4705" w14:textId="7B1D032F" w:rsidR="00071814" w:rsidRPr="007471E1" w:rsidRDefault="007471E1" w:rsidP="000C2757">
      <w:pPr>
        <w:pStyle w:val="ECCNumberedList"/>
        <w:rPr>
          <w:rStyle w:val="ECCParagraph"/>
        </w:rPr>
      </w:pPr>
      <w:r w:rsidRPr="007471E1">
        <w:rPr>
          <w:rStyle w:val="ECCParagraph"/>
        </w:rPr>
        <w:t>It is not necessary to include new frequency bands and that the reduction of frequency bands, or parts therefore, could be explored, to optimize the efforts and work in the ITU-R. For example, discarding the bands with TDD arrangements owing to latency issues or bands that do not match with the latest version of Recommendation ITU-R M.1036.</w:t>
      </w:r>
    </w:p>
    <w:p w14:paraId="068C29F1" w14:textId="77777777" w:rsidR="00DC7382" w:rsidRPr="0031324C" w:rsidRDefault="00DC7382" w:rsidP="00DC7382">
      <w:pPr>
        <w:pStyle w:val="ECCBreak"/>
      </w:pPr>
      <w:r w:rsidRPr="00DC7382">
        <w:t>RCC (</w:t>
      </w:r>
      <w:r>
        <w:t>December 2024</w:t>
      </w:r>
      <w:r w:rsidRPr="00DC7382">
        <w:t>)</w:t>
      </w:r>
    </w:p>
    <w:p w14:paraId="4A31A3AB" w14:textId="77777777" w:rsidR="00DC7382" w:rsidRDefault="00DC7382" w:rsidP="00DC7382">
      <w:pPr>
        <w:rPr>
          <w:rFonts w:cs="Arial"/>
          <w:szCs w:val="20"/>
        </w:rPr>
      </w:pPr>
      <w:r w:rsidRPr="00AD0CED">
        <w:rPr>
          <w:rFonts w:cs="Arial"/>
          <w:szCs w:val="20"/>
        </w:rPr>
        <w:t xml:space="preserve">The RCC Administrations support studies on potential new MSS allocations in the frequency range between 694/698 MHz to 2.7 GHz, taking into account the IMT frequency arrangements and transmission directions addressed in the most recent version of Recommendation ITU-R M.1036. </w:t>
      </w:r>
    </w:p>
    <w:p w14:paraId="6D60BBE6" w14:textId="09DB1AED" w:rsidR="00DC7382" w:rsidRDefault="00DC7382" w:rsidP="00DC7382">
      <w:pPr>
        <w:rPr>
          <w:rFonts w:cs="Arial"/>
          <w:szCs w:val="20"/>
        </w:rPr>
      </w:pPr>
      <w:r w:rsidRPr="00AD0CED">
        <w:rPr>
          <w:rFonts w:cs="Arial"/>
          <w:szCs w:val="20"/>
        </w:rPr>
        <w:t>Additionally, the RCC Administrations support ensuring the protection of services/applications, to which the frequency bands under consideration are allocated/identified in Region</w:t>
      </w:r>
      <w:r>
        <w:rPr>
          <w:rFonts w:cs="Arial"/>
          <w:szCs w:val="20"/>
        </w:rPr>
        <w:t xml:space="preserve"> </w:t>
      </w:r>
      <w:r w:rsidRPr="00AD0CED">
        <w:rPr>
          <w:rFonts w:cs="Arial"/>
          <w:szCs w:val="20"/>
        </w:rPr>
        <w:t xml:space="preserve">1, including terrestrial IMT systems, from any new MSS allocations. When conducting studies, it is necessary to take into account the possibility of ensuring compatibility between MSS and the terrestrial component of IMT, particularly in cases where IMT frequency arrangements are different in </w:t>
      </w:r>
      <w:r w:rsidRPr="00731BFF">
        <w:t>neighboring</w:t>
      </w:r>
      <w:r w:rsidRPr="00AD0CED">
        <w:rPr>
          <w:rFonts w:cs="Arial"/>
          <w:szCs w:val="20"/>
        </w:rPr>
        <w:t xml:space="preserve"> countries. </w:t>
      </w:r>
    </w:p>
    <w:p w14:paraId="23D8BB81" w14:textId="51EDC387" w:rsidR="003771D5" w:rsidRPr="00235592" w:rsidRDefault="00DC7382" w:rsidP="00BD4E12">
      <w:pPr>
        <w:rPr>
          <w:rStyle w:val="ECCParagraph"/>
        </w:rPr>
      </w:pPr>
      <w:r w:rsidRPr="00AD0CED">
        <w:rPr>
          <w:rFonts w:cs="Arial"/>
          <w:szCs w:val="20"/>
        </w:rPr>
        <w:t>The RCC Administrations believe that, when determining regulatory conditions for the compatibility of satellite and terrestrial components of IMT within the same territory, it is essential to consider noting further a) of Resolution 212 (Rev. WRC-23). Moreover, attention should be given to the fact that the frequency bands in question have already been allocated to land mobile operators.</w:t>
      </w:r>
    </w:p>
    <w:p w14:paraId="4C9DF9D0" w14:textId="491B03A9" w:rsidR="003771D5" w:rsidRPr="00235592" w:rsidRDefault="003771D5" w:rsidP="00BD4E12">
      <w:pPr>
        <w:pStyle w:val="Heading2"/>
      </w:pPr>
      <w:r w:rsidRPr="00235592">
        <w:t>International organisations</w:t>
      </w:r>
      <w:r w:rsidR="00652804" w:rsidRPr="00A52B8E">
        <w:t xml:space="preserve"> members of the ITU</w:t>
      </w:r>
    </w:p>
    <w:p w14:paraId="354B4C78" w14:textId="77777777" w:rsidR="007F2AB2" w:rsidRPr="006F36A5" w:rsidRDefault="007F2AB2" w:rsidP="009B1F62">
      <w:pPr>
        <w:pStyle w:val="ECCBreak"/>
      </w:pPr>
      <w:r w:rsidRPr="006F36A5">
        <w:t>CRAF (date of proposal)</w:t>
      </w:r>
    </w:p>
    <w:p w14:paraId="680BC6AC" w14:textId="77777777" w:rsidR="00BC157A" w:rsidRPr="00235592" w:rsidRDefault="00BC157A" w:rsidP="00BC157A">
      <w:pPr>
        <w:rPr>
          <w:rStyle w:val="ECCParagraph"/>
        </w:rPr>
      </w:pPr>
    </w:p>
    <w:p w14:paraId="241D27FF" w14:textId="391C101B" w:rsidR="00FD5DD0" w:rsidRPr="00FD5DD0" w:rsidRDefault="00FD5DD0" w:rsidP="00FD5DD0">
      <w:pPr>
        <w:pStyle w:val="ECCBreak"/>
      </w:pPr>
      <w:r w:rsidRPr="00FD5DD0">
        <w:t>EBU (</w:t>
      </w:r>
      <w:r>
        <w:t>April 2025</w:t>
      </w:r>
      <w:r w:rsidRPr="00FD5DD0">
        <w:t>)</w:t>
      </w:r>
    </w:p>
    <w:p w14:paraId="0D943389" w14:textId="77777777" w:rsidR="00FD5DD0" w:rsidRPr="0009354E" w:rsidRDefault="00FD5DD0" w:rsidP="00FD5DD0">
      <w:r w:rsidRPr="00FD5DD0">
        <w:t>Several different services used by EBU members might be impacted by WRC-27 Agenda Item 1.13:</w:t>
      </w:r>
    </w:p>
    <w:p w14:paraId="0989D6B4" w14:textId="77777777" w:rsidR="00FD5DD0" w:rsidRPr="00FD5DD0" w:rsidRDefault="00FD5DD0" w:rsidP="00FD5DD0">
      <w:pPr>
        <w:pStyle w:val="ECCBulletsLv1"/>
      </w:pPr>
      <w:r w:rsidRPr="00FD5DD0">
        <w:t>large-scale terrestrial broadcasting networks operating on a primary basis in the immediate spectral neighbourhood below 694 MHz, which could potentially be interfered by the new MSS services operating above 694/698 MHz.</w:t>
      </w:r>
    </w:p>
    <w:p w14:paraId="07FE7942" w14:textId="77777777" w:rsidR="00FD5DD0" w:rsidRPr="00FD5DD0" w:rsidRDefault="00FD5DD0" w:rsidP="00FD5DD0">
      <w:pPr>
        <w:pStyle w:val="ECCBulletsLv1"/>
      </w:pPr>
      <w:r w:rsidRPr="00FD5DD0">
        <w:t>Cordless cameras are operated by broadcasters for PMSE purposes in the frequency bands 2010 – 2025 MHz, 2025 – 2110 MHz, 2200 – 2300 MHz, 2300 – 2400 MHz and 2483.5 – 2500 MHz. Additionally, in the range 1880 – 1900 MHz EBU members are using Audio PMSE (DECT) applications. These PMSE applications could potentially be interfered by the new MSS services operating in IMT bands 1710 – 2200 MHz, 2300 – 2400 MHz and 2500- 2690 MHz.</w:t>
      </w:r>
    </w:p>
    <w:p w14:paraId="487E7F7D" w14:textId="77777777" w:rsidR="00FD5DD0" w:rsidRPr="00FD5DD0" w:rsidRDefault="00FD5DD0" w:rsidP="00FD5DD0">
      <w:pPr>
        <w:pStyle w:val="ECCBulletsLv1"/>
      </w:pPr>
      <w:r w:rsidRPr="00FD5DD0">
        <w:t>terrestrial mobile video links licensed to work in the frequency band 2290-2330 MHz.</w:t>
      </w:r>
    </w:p>
    <w:p w14:paraId="37EDC630" w14:textId="77777777" w:rsidR="00FD5DD0" w:rsidRPr="0009354E" w:rsidRDefault="00FD5DD0" w:rsidP="00FD5DD0">
      <w:r w:rsidRPr="00FD5DD0">
        <w:t>While EBU members are interested in exploring the new ‘direct to device’ applications, their existing uses of frequencies under this agenda item must be protected.</w:t>
      </w:r>
    </w:p>
    <w:p w14:paraId="476688FF" w14:textId="0BB76145" w:rsidR="000A6D6C" w:rsidRPr="0009354E" w:rsidRDefault="00FD5DD0" w:rsidP="000A6D6C">
      <w:r w:rsidRPr="00FD5DD0">
        <w:t>Therefore, sharing studies are needed to determine if new allocations for MSS D2D would ensure the necessary continued availability for PMSE and protection of DTT and mobile video links.</w:t>
      </w:r>
    </w:p>
    <w:p w14:paraId="152FB248" w14:textId="77777777" w:rsidR="000A6D6C" w:rsidRPr="0031324C" w:rsidRDefault="000A6D6C" w:rsidP="000A6D6C">
      <w:pPr>
        <w:pStyle w:val="ECCBreak"/>
      </w:pPr>
      <w:r w:rsidRPr="000A6D6C">
        <w:t>ESA (</w:t>
      </w:r>
      <w:r w:rsidRPr="0031324C">
        <w:t>June 2024)</w:t>
      </w:r>
    </w:p>
    <w:p w14:paraId="61D74022" w14:textId="77777777" w:rsidR="000A6D6C" w:rsidRPr="00D86872" w:rsidRDefault="000A6D6C" w:rsidP="000A6D6C">
      <w:r w:rsidRPr="00D86872">
        <w:t>ESA supports the SFCG objectives, as developed in June 2024, on WRC-27 agenda item 1.13, as shown below:</w:t>
      </w:r>
    </w:p>
    <w:p w14:paraId="19C4393D" w14:textId="29E0AE69" w:rsidR="000A6D6C" w:rsidRPr="0031324C" w:rsidRDefault="006D054B" w:rsidP="000A6D6C">
      <w:r>
        <w:t>“</w:t>
      </w:r>
      <w:r w:rsidR="000A6D6C" w:rsidRPr="0031324C">
        <w:t xml:space="preserve">SFCG supports adhering to the intended scope of Agenda Item 1.13 and Resolution 253 (WRC-23) by only considering new allocations to the MSS for supplemental IMT terrestrial coverage in frequency bands identified for IMT as documented in Recommendation ITU-R M.1036. </w:t>
      </w:r>
    </w:p>
    <w:p w14:paraId="17D48752" w14:textId="77777777" w:rsidR="000A6D6C" w:rsidRPr="0031324C" w:rsidRDefault="000A6D6C" w:rsidP="000A6D6C">
      <w:r w:rsidRPr="0031324C">
        <w:t xml:space="preserve">SFCG is not opposed to the consideration of possible new MSS allocations for direct connectivity between space stations and IMT user equipment provided that: </w:t>
      </w:r>
    </w:p>
    <w:p w14:paraId="4F580411" w14:textId="77777777" w:rsidR="000A6D6C" w:rsidRPr="000A6D6C" w:rsidRDefault="000A6D6C" w:rsidP="000A6D6C">
      <w:pPr>
        <w:pStyle w:val="ECCBulletsLv1"/>
      </w:pPr>
      <w:r w:rsidRPr="0031324C">
        <w:t xml:space="preserve">The protection of EESS (passive) in the frequency band 1400-1427 MHz is ensured, through mandatory unwanted emission limits in Resolution 750 (Rev. WRC-19), </w:t>
      </w:r>
    </w:p>
    <w:p w14:paraId="7EA0F19D" w14:textId="77777777" w:rsidR="000A6D6C" w:rsidRPr="000A6D6C" w:rsidRDefault="000A6D6C" w:rsidP="000A6D6C">
      <w:pPr>
        <w:pStyle w:val="ECCBulletsLv1"/>
      </w:pPr>
      <w:r w:rsidRPr="0031324C">
        <w:t xml:space="preserve">There is no negative impact on the MetSat service in the 1675-1710 MHz band, </w:t>
      </w:r>
    </w:p>
    <w:p w14:paraId="7F621462" w14:textId="77777777" w:rsidR="000A6D6C" w:rsidRPr="000A6D6C" w:rsidRDefault="000A6D6C" w:rsidP="000A6D6C">
      <w:pPr>
        <w:pStyle w:val="ECCBulletsLv1"/>
      </w:pPr>
      <w:r w:rsidRPr="0031324C">
        <w:t xml:space="preserve">There is no negative impact on the EESS/SOS/SRS in the 2025-2110 MHz and 2200-2290 frequency bands, </w:t>
      </w:r>
    </w:p>
    <w:p w14:paraId="6AC21B72" w14:textId="35AE0CED" w:rsidR="00BC157A" w:rsidRPr="006D054B" w:rsidRDefault="000A6D6C" w:rsidP="00BC157A">
      <w:pPr>
        <w:pStyle w:val="ECCBulletsLv1"/>
        <w:rPr>
          <w:rStyle w:val="ECCParagraph"/>
          <w:lang w:val="en-US"/>
        </w:rPr>
      </w:pPr>
      <w:r w:rsidRPr="0031324C">
        <w:t>There is no negative impact on SRS (deep space) in the 2110-2120 and 2290-2300 MHz bands</w:t>
      </w:r>
      <w:r w:rsidRPr="000A6D6C">
        <w:t>.”</w:t>
      </w:r>
      <w:r w:rsidRPr="004D4B38">
        <w:rPr>
          <w:lang w:val="en-US"/>
        </w:rPr>
        <w:t xml:space="preserve"> </w:t>
      </w:r>
    </w:p>
    <w:p w14:paraId="05FDC36A" w14:textId="1B485475" w:rsidR="006E59D4" w:rsidRDefault="006E59D4" w:rsidP="009B1F62">
      <w:pPr>
        <w:pStyle w:val="ECCBreak"/>
      </w:pPr>
      <w:r w:rsidRPr="006F36A5">
        <w:t>GSMA (date of proposal)</w:t>
      </w:r>
    </w:p>
    <w:p w14:paraId="2886B004" w14:textId="77777777" w:rsidR="0094241A" w:rsidRPr="0094241A" w:rsidRDefault="0094241A" w:rsidP="006D054B"/>
    <w:p w14:paraId="44F59240" w14:textId="6941DCBC" w:rsidR="00DB1E61" w:rsidRPr="006D054B" w:rsidRDefault="00DB1E61" w:rsidP="006D054B">
      <w:pPr>
        <w:pStyle w:val="ECCLetterHead"/>
        <w:rPr>
          <w:rStyle w:val="ECCParagraph"/>
        </w:rPr>
      </w:pPr>
      <w:r w:rsidRPr="006D054B">
        <w:rPr>
          <w:rStyle w:val="ECCParagraph"/>
        </w:rPr>
        <w:t xml:space="preserve">GSA </w:t>
      </w:r>
      <w:r w:rsidRPr="00DB1E61">
        <w:t>(April 2025)</w:t>
      </w:r>
    </w:p>
    <w:p w14:paraId="1BF88D73" w14:textId="77777777" w:rsidR="00DB1E61" w:rsidRPr="00DB1E61" w:rsidRDefault="00DB1E61" w:rsidP="00DB1E61">
      <w:r w:rsidRPr="00426274">
        <w:t>GSA welcomes the development of technical studies between MSS and IMT for satellite direct communication to IMT user equipment in the frequency range 694/8 MHz to 2.7 GHz noting that studies should:</w:t>
      </w:r>
    </w:p>
    <w:p w14:paraId="29573358" w14:textId="77777777" w:rsidR="00DB1E61" w:rsidRPr="00DB1E61" w:rsidRDefault="00DB1E61" w:rsidP="00DB1E61">
      <w:r w:rsidRPr="00426274">
        <w:t>Take into account that this direct connectivity between satellites and IMT UEs should be considered for complementing the IMT terrestrial network coverage</w:t>
      </w:r>
    </w:p>
    <w:p w14:paraId="11598426" w14:textId="77777777" w:rsidR="00DB1E61" w:rsidRPr="00DB1E61" w:rsidRDefault="00DB1E61" w:rsidP="00DB1E61">
      <w:r w:rsidRPr="00426274">
        <w:t>Ensure the protection of the IMT terrestrial services, including those in neighbouring countries with different UL/DL arrangements, taking into account the aggregate interference from multiple MSS satellites from the same MSS system and possible aggregate interference from multiple MSS systems</w:t>
      </w:r>
    </w:p>
    <w:p w14:paraId="322F5CBA" w14:textId="77777777" w:rsidR="00DB1E61" w:rsidRPr="00DB1E61" w:rsidRDefault="00DB1E61" w:rsidP="00DB1E61">
      <w:r w:rsidRPr="00426274">
        <w:t xml:space="preserve">Be based on the frequencies agreed in WP4C </w:t>
      </w:r>
    </w:p>
    <w:p w14:paraId="733E6EC7" w14:textId="572EC658" w:rsidR="006E59D4" w:rsidRPr="00235592" w:rsidRDefault="00DB1E61" w:rsidP="00DB1E61">
      <w:pPr>
        <w:rPr>
          <w:rStyle w:val="ECCParagraph"/>
        </w:rPr>
      </w:pPr>
      <w:r w:rsidRPr="00426274">
        <w:t>GSA also highlights that the development of regulatory measures for the protection of IMT should be based on methodologies whose compliance can be validated through the relevant ITU-R regulatory processes.</w:t>
      </w:r>
    </w:p>
    <w:p w14:paraId="7F29EA15" w14:textId="04A531BB" w:rsidR="00F8504F" w:rsidRPr="006F36A5" w:rsidRDefault="00F8504F" w:rsidP="009B1F62">
      <w:pPr>
        <w:pStyle w:val="ECCBreak"/>
      </w:pPr>
      <w:r w:rsidRPr="006F36A5">
        <w:t>GSOA (</w:t>
      </w:r>
      <w:r w:rsidR="00D95E7A">
        <w:t>June 2025</w:t>
      </w:r>
      <w:r w:rsidRPr="006F36A5">
        <w:t>)</w:t>
      </w:r>
    </w:p>
    <w:p w14:paraId="4543E5C1" w14:textId="77777777" w:rsidR="00D95E7A" w:rsidRPr="00D95E7A" w:rsidRDefault="00D95E7A" w:rsidP="00D95E7A">
      <w:r w:rsidRPr="00D95E7A">
        <w:rPr>
          <w:lang w:val="en-US"/>
        </w:rPr>
        <w:t>GSOA supports studies for a possible new allocation to MSS in existing frequency bands identified for terrestrial IMT in the frequency ranges 694-960 MHz, 1427-1518 MHz, 1710-1980 MHz, 2010-2025 MHz (except Region 2 that has already been allocated with MSS in Earth-to-space direction), 2110-2170 MHz, 2300-2400 MHz and 2500-2690 MHz to complement terrestrial IMT network coverage.</w:t>
      </w:r>
      <w:r w:rsidRPr="00D95E7A">
        <w:t> </w:t>
      </w:r>
    </w:p>
    <w:p w14:paraId="58D1EB6A" w14:textId="77777777" w:rsidR="00D95E7A" w:rsidRPr="00D95E7A" w:rsidRDefault="00D95E7A" w:rsidP="00D95E7A">
      <w:r w:rsidRPr="00D95E7A">
        <w:rPr>
          <w:lang w:val="en-US"/>
        </w:rPr>
        <w:t>DC-MSS-IMT systems should not constrain the development of incumbent services and systems operating under those service allocations in co-channel or adjacent channel spectrum in one single region or across multiple regions. GSOA is of the view that the DC-MSS-IMT system should follow the same transmission directionality of the terrestrial IMT in the frequency range as deployed within the national territory where such DC-MSS-IMT is authorized to operate. </w:t>
      </w:r>
      <w:r w:rsidRPr="00D95E7A">
        <w:t> </w:t>
      </w:r>
    </w:p>
    <w:p w14:paraId="0841143B" w14:textId="77777777" w:rsidR="00D95E7A" w:rsidRPr="00D95E7A" w:rsidRDefault="00D95E7A" w:rsidP="00D95E7A">
      <w:r w:rsidRPr="00D95E7A">
        <w:rPr>
          <w:lang w:val="en-US"/>
        </w:rPr>
        <w:t>GSOA is of the view that the studies must confirm the protection of incumbent services, particularly the protection of current MSS allocations from new potential MSS allocations proposing operations in opposite directions (an example of this is the protection of current uplink MSS allocations in 1980-2010 MHz from new potential downlink MSS allocations in 1930-2000 MHz, among others).</w:t>
      </w:r>
      <w:r w:rsidRPr="00D95E7A">
        <w:t> </w:t>
      </w:r>
    </w:p>
    <w:p w14:paraId="58BEBC97" w14:textId="63A2BBFA" w:rsidR="00885BFF" w:rsidRPr="00235592" w:rsidRDefault="00D95E7A" w:rsidP="00885BFF">
      <w:pPr>
        <w:rPr>
          <w:rStyle w:val="ECCParagraph"/>
        </w:rPr>
      </w:pPr>
      <w:r w:rsidRPr="00D95E7A">
        <w:rPr>
          <w:lang w:val="en-US"/>
        </w:rPr>
        <w:t>GSOA also supports the notion that for IMT user equipment that is currently allowed to transmit within an IMT frequency arrangement to a terrestrial IMT base station, will continue to operate within the current framework, and therefore no additional regulatory measure would be needed for IMT user equipment in the MSS uplink direction when operating under the same technical characteristics as terrestrial IMT uplink. </w:t>
      </w:r>
      <w:r w:rsidRPr="00D95E7A">
        <w:t> </w:t>
      </w:r>
    </w:p>
    <w:p w14:paraId="417F5D3F" w14:textId="77777777" w:rsidR="00554C4C" w:rsidRPr="006F36A5" w:rsidRDefault="00554C4C" w:rsidP="009B1F62">
      <w:pPr>
        <w:pStyle w:val="ECCBreak"/>
      </w:pPr>
      <w:r w:rsidRPr="006F36A5">
        <w:t>IARU (date of proposal)</w:t>
      </w:r>
    </w:p>
    <w:p w14:paraId="4E2922B6" w14:textId="77777777" w:rsidR="00554C4C" w:rsidRPr="00235592" w:rsidRDefault="00554C4C" w:rsidP="00554C4C">
      <w:pPr>
        <w:rPr>
          <w:rStyle w:val="ECCParagraph"/>
        </w:rPr>
      </w:pPr>
    </w:p>
    <w:p w14:paraId="1B257E61" w14:textId="77777777" w:rsidR="00554C4C" w:rsidRPr="009701EC" w:rsidRDefault="00554C4C" w:rsidP="009B1F62">
      <w:pPr>
        <w:pStyle w:val="ECCBreak"/>
      </w:pPr>
      <w:r w:rsidRPr="009701EC">
        <w:t>IATA (date of proposal)</w:t>
      </w:r>
    </w:p>
    <w:p w14:paraId="086E160D" w14:textId="77777777" w:rsidR="00554C4C" w:rsidRPr="009701EC" w:rsidRDefault="00554C4C" w:rsidP="009B1F62">
      <w:pPr>
        <w:rPr>
          <w:rStyle w:val="ECCParagraph"/>
          <w:b/>
          <w:bCs/>
          <w:iCs/>
          <w:szCs w:val="28"/>
        </w:rPr>
      </w:pPr>
    </w:p>
    <w:p w14:paraId="66F485B0" w14:textId="3029EB12" w:rsidR="009701EC" w:rsidRDefault="00D15FCC" w:rsidP="009701EC">
      <w:pPr>
        <w:pStyle w:val="Heading2"/>
      </w:pPr>
      <w:r>
        <w:t xml:space="preserve">UN </w:t>
      </w:r>
      <w:r w:rsidR="00B54B09">
        <w:t>l</w:t>
      </w:r>
      <w:r w:rsidR="00570BE1">
        <w:t xml:space="preserve">evel </w:t>
      </w:r>
      <w:r>
        <w:t>C</w:t>
      </w:r>
      <w:r w:rsidR="00D1280A">
        <w:t>o</w:t>
      </w:r>
      <w:r>
        <w:t>mmittees</w:t>
      </w:r>
    </w:p>
    <w:p w14:paraId="1C0A5EFE" w14:textId="77777777" w:rsidR="003771D5" w:rsidRPr="009701EC" w:rsidRDefault="003771D5" w:rsidP="009B1F62">
      <w:pPr>
        <w:pStyle w:val="ECCBreak"/>
      </w:pPr>
      <w:r w:rsidRPr="009701EC">
        <w:t>ICAO (date of proposal)</w:t>
      </w:r>
    </w:p>
    <w:p w14:paraId="54EB00E7" w14:textId="77777777" w:rsidR="003771D5" w:rsidRPr="009701EC" w:rsidRDefault="003771D5" w:rsidP="00BD4E12">
      <w:pPr>
        <w:rPr>
          <w:rStyle w:val="ECCParagraph"/>
        </w:rPr>
      </w:pPr>
    </w:p>
    <w:p w14:paraId="568E7476" w14:textId="77777777" w:rsidR="003771D5" w:rsidRPr="009701EC" w:rsidRDefault="003771D5" w:rsidP="009B1F62">
      <w:pPr>
        <w:pStyle w:val="ECCBreak"/>
      </w:pPr>
      <w:r w:rsidRPr="009701EC">
        <w:t>IMO (date of proposal)</w:t>
      </w:r>
    </w:p>
    <w:p w14:paraId="3216A4D7" w14:textId="106FC05B" w:rsidR="003771D5" w:rsidRDefault="003771D5" w:rsidP="00BD4E12">
      <w:pPr>
        <w:rPr>
          <w:rStyle w:val="ECCParagraph"/>
        </w:rPr>
      </w:pPr>
    </w:p>
    <w:p w14:paraId="5A891395" w14:textId="77777777" w:rsidR="0094241A" w:rsidRPr="0009354E" w:rsidRDefault="003771D5" w:rsidP="0094241A">
      <w:pPr>
        <w:pStyle w:val="ECCBreak"/>
      </w:pPr>
      <w:r w:rsidRPr="00235592">
        <w:t xml:space="preserve">WMO </w:t>
      </w:r>
      <w:r w:rsidR="0094241A" w:rsidRPr="0009354E">
        <w:t>(</w:t>
      </w:r>
      <w:r w:rsidR="0094241A">
        <w:t>March</w:t>
      </w:r>
      <w:r w:rsidR="0094241A" w:rsidRPr="0009354E">
        <w:t xml:space="preserve"> 2024)</w:t>
      </w:r>
    </w:p>
    <w:p w14:paraId="57C12719" w14:textId="77777777" w:rsidR="0094241A" w:rsidRPr="0094241A" w:rsidRDefault="0094241A" w:rsidP="0094241A">
      <w:r w:rsidRPr="0094241A">
        <w:t>Under the understanding that activities under agenda item 1.13 are limited to frequency bands with mobile allocations already identified for IMT in the frequency range between 694 MHz and 2.7 GHz, WMO is not opposed to possible new allocations to the MSS for direct connectivity between space stations and IMT user equipment provided that there is no adjacent band negative impact on the interference environment of the following:</w:t>
      </w:r>
    </w:p>
    <w:p w14:paraId="2805E078" w14:textId="77777777" w:rsidR="0094241A" w:rsidRPr="0094241A" w:rsidRDefault="0094241A" w:rsidP="0094241A">
      <w:pPr>
        <w:pStyle w:val="ECCBulletsLv1"/>
      </w:pPr>
      <w:r w:rsidRPr="0094241A">
        <w:t>MetSat systems in the 1 675–1 710 MHz band,</w:t>
      </w:r>
    </w:p>
    <w:p w14:paraId="04813523" w14:textId="77777777" w:rsidR="0094241A" w:rsidRPr="0094241A" w:rsidRDefault="0094241A" w:rsidP="0094241A">
      <w:pPr>
        <w:pStyle w:val="ECCBulletsLv1"/>
      </w:pPr>
      <w:r w:rsidRPr="0094241A">
        <w:t>EESS and SOS systems in the 2 025–2 110 MHz band, and</w:t>
      </w:r>
    </w:p>
    <w:p w14:paraId="6BE03583" w14:textId="77777777" w:rsidR="0094241A" w:rsidRPr="0094241A" w:rsidRDefault="0094241A" w:rsidP="0094241A">
      <w:pPr>
        <w:pStyle w:val="ECCBulletsLv1"/>
      </w:pPr>
      <w:r w:rsidRPr="0094241A">
        <w:t>meteorological radar systems in the 2 700-2 900 MHz band.</w:t>
      </w:r>
    </w:p>
    <w:p w14:paraId="557BCBB9" w14:textId="090FDDA6" w:rsidR="003771D5" w:rsidRPr="00235592" w:rsidRDefault="0094241A" w:rsidP="00BD4E12">
      <w:pPr>
        <w:rPr>
          <w:rStyle w:val="ECCParagraph"/>
        </w:rPr>
      </w:pPr>
      <w:r w:rsidRPr="0094241A">
        <w:t>WMO opposes the study of other frequency bands not currently identified for IMT. However, if considered, the protection of meteorological systems in the 694-2 700 MHz range must be ensured.</w:t>
      </w:r>
    </w:p>
    <w:p w14:paraId="09435367" w14:textId="32C5C831" w:rsidR="003771D5" w:rsidRPr="00235592" w:rsidRDefault="00B54B09" w:rsidP="00BD4E12">
      <w:pPr>
        <w:pStyle w:val="Heading2"/>
      </w:pPr>
      <w:r>
        <w:t>Other</w:t>
      </w:r>
      <w:r w:rsidR="00485535">
        <w:t xml:space="preserve"> </w:t>
      </w:r>
      <w:r w:rsidR="00A23AFE">
        <w:t>ECC MoU/L</w:t>
      </w:r>
      <w:r w:rsidR="00D1280A">
        <w:t>o</w:t>
      </w:r>
      <w:r w:rsidR="00A23AFE">
        <w:t>U partners</w:t>
      </w:r>
    </w:p>
    <w:p w14:paraId="42DE53A1" w14:textId="77777777" w:rsidR="001506B9" w:rsidRPr="001506B9" w:rsidRDefault="001506B9" w:rsidP="001506B9">
      <w:pPr>
        <w:pStyle w:val="ECCBreak"/>
        <w:rPr>
          <w:lang w:val="da-DK"/>
        </w:rPr>
      </w:pPr>
      <w:r w:rsidRPr="001506B9">
        <w:t>EUMETNET (March 2024)</w:t>
      </w:r>
    </w:p>
    <w:p w14:paraId="663B21ED" w14:textId="77777777" w:rsidR="001506B9" w:rsidRPr="001506B9" w:rsidRDefault="001506B9" w:rsidP="001506B9">
      <w:pPr>
        <w:rPr>
          <w:rStyle w:val="ECCParagraph"/>
        </w:rPr>
      </w:pPr>
      <w:r w:rsidRPr="001506B9">
        <w:rPr>
          <w:rStyle w:val="ECCParagraph"/>
        </w:rPr>
        <w:t>EUMETNET supports the WMO position.</w:t>
      </w:r>
    </w:p>
    <w:p w14:paraId="4649D611" w14:textId="33C26FF7" w:rsidR="003771D5" w:rsidRPr="00235592" w:rsidRDefault="00890D52" w:rsidP="009B1F62">
      <w:pPr>
        <w:pStyle w:val="ECCBreak"/>
      </w:pPr>
      <w:r>
        <w:t>EUROCONTROL</w:t>
      </w:r>
      <w:r w:rsidRPr="00235592">
        <w:t xml:space="preserve"> </w:t>
      </w:r>
      <w:r w:rsidR="003771D5" w:rsidRPr="00235592">
        <w:t>(date of proposal)</w:t>
      </w:r>
    </w:p>
    <w:p w14:paraId="19A63121" w14:textId="77777777" w:rsidR="003771D5" w:rsidRPr="00235592" w:rsidRDefault="003771D5" w:rsidP="00BD4E12">
      <w:pPr>
        <w:rPr>
          <w:rStyle w:val="ECCParagraph"/>
        </w:rPr>
      </w:pPr>
    </w:p>
    <w:p w14:paraId="1E7D7F76" w14:textId="481555E2" w:rsidR="0094241A" w:rsidRDefault="00D91D39" w:rsidP="0094241A">
      <w:pPr>
        <w:pStyle w:val="ECCBreak"/>
      </w:pPr>
      <w:r w:rsidDel="003219F7">
        <w:rPr>
          <w:rStyle w:val="ECCParagraph"/>
        </w:rPr>
        <w:t xml:space="preserve">NATO </w:t>
      </w:r>
      <w:r w:rsidR="0094241A" w:rsidRPr="0094241A" w:rsidDel="003219F7">
        <w:t>(</w:t>
      </w:r>
      <w:r w:rsidR="000C2757">
        <w:t>April</w:t>
      </w:r>
      <w:r w:rsidR="00E65BD7">
        <w:t xml:space="preserve"> 2025</w:t>
      </w:r>
      <w:r w:rsidR="0094241A" w:rsidRPr="0094241A" w:rsidDel="003219F7">
        <w:t>)</w:t>
      </w:r>
    </w:p>
    <w:p w14:paraId="264854D8" w14:textId="5C7682E0" w:rsidR="00FB238D" w:rsidRPr="000C2757" w:rsidRDefault="00FB238D" w:rsidP="00FB238D">
      <w:pPr>
        <w:rPr>
          <w:rStyle w:val="ECCHLunderlined"/>
        </w:rPr>
      </w:pPr>
      <w:r w:rsidRPr="000C2757">
        <w:rPr>
          <w:rStyle w:val="ECCHLunderlined"/>
        </w:rPr>
        <w:t>Preliminary NATO Military Interest</w:t>
      </w:r>
    </w:p>
    <w:p w14:paraId="3FEBBB8F" w14:textId="77777777" w:rsidR="00FB238D" w:rsidRPr="00FB238D" w:rsidRDefault="00FB238D" w:rsidP="00FB238D">
      <w:pPr>
        <w:rPr>
          <w:lang w:val="da-DK"/>
        </w:rPr>
      </w:pPr>
      <w:r w:rsidRPr="00FB238D">
        <w:rPr>
          <w:lang w:val="da-DK"/>
        </w:rPr>
        <w:t>NATO military systems intensively utilise the NATO harmonised bands within the range 694/698 MHz to 2.7 GHz. NATO systems might be affected by these IMT transmissions from space. However, this new utilisation might be able to provide an opportunity for NATO (e.g. NATO 5G-Strategy).</w:t>
      </w:r>
    </w:p>
    <w:p w14:paraId="14A3E72C" w14:textId="518735AA" w:rsidR="0093295E" w:rsidRDefault="00FB238D" w:rsidP="00FB238D">
      <w:pPr>
        <w:rPr>
          <w:lang w:val="da-DK"/>
        </w:rPr>
      </w:pPr>
      <w:r w:rsidRPr="00FB238D">
        <w:rPr>
          <w:lang w:val="da-DK"/>
        </w:rPr>
        <w:t>Therefore, NATO has to monitor the evolvement in the study cycle to sustain the continuous access of the systems to the spectrum and exploit opportunities for NATO.</w:t>
      </w:r>
    </w:p>
    <w:p w14:paraId="012E8F30" w14:textId="67B48D76" w:rsidR="00E65BD7" w:rsidRPr="000C2757" w:rsidRDefault="00E65BD7" w:rsidP="00E65BD7">
      <w:pPr>
        <w:rPr>
          <w:rStyle w:val="ECCHLunderlined"/>
        </w:rPr>
      </w:pPr>
      <w:r w:rsidRPr="000C2757">
        <w:rPr>
          <w:rStyle w:val="ECCHLunderlined"/>
        </w:rPr>
        <w:t>Preliminary NATO Position</w:t>
      </w:r>
    </w:p>
    <w:p w14:paraId="66C726EB" w14:textId="77777777" w:rsidR="00E65BD7" w:rsidRPr="00EA7634" w:rsidRDefault="00E65BD7" w:rsidP="00E65BD7">
      <w:r w:rsidRPr="00EA7634">
        <w:t>NATO will monitor and further assess the work under this agenda item, in order to safeguard the operation of military systems in adjacent bands.</w:t>
      </w:r>
    </w:p>
    <w:p w14:paraId="3F2EBB62" w14:textId="77777777" w:rsidR="00EF69A0" w:rsidRPr="00235592" w:rsidRDefault="00EF69A0" w:rsidP="00EF69A0">
      <w:pPr>
        <w:rPr>
          <w:rStyle w:val="ECCParagraph"/>
        </w:rPr>
      </w:pPr>
    </w:p>
    <w:sectPr w:rsidR="00EF69A0" w:rsidRPr="00235592" w:rsidSect="00482679">
      <w:headerReference w:type="even" r:id="rId23"/>
      <w:headerReference w:type="default" r:id="rId24"/>
      <w:footerReference w:type="even" r:id="rId25"/>
      <w:footerReference w:type="default" r:id="rId26"/>
      <w:headerReference w:type="first" r:id="rId27"/>
      <w:footerReference w:type="first" r:id="rId28"/>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4EE05" w14:textId="77777777" w:rsidR="00FE3731" w:rsidRDefault="00FE3731" w:rsidP="00D0121B">
      <w:r>
        <w:separator/>
      </w:r>
    </w:p>
    <w:p w14:paraId="2B9BF26F" w14:textId="77777777" w:rsidR="00FE3731" w:rsidRDefault="00FE3731"/>
    <w:p w14:paraId="18B06425" w14:textId="77777777" w:rsidR="00FE3731" w:rsidRDefault="00FE3731"/>
  </w:endnote>
  <w:endnote w:type="continuationSeparator" w:id="0">
    <w:p w14:paraId="5DAA9ACD" w14:textId="77777777" w:rsidR="00FE3731" w:rsidRDefault="00FE3731" w:rsidP="00D0121B">
      <w:r>
        <w:continuationSeparator/>
      </w:r>
    </w:p>
    <w:p w14:paraId="750194F1" w14:textId="77777777" w:rsidR="00FE3731" w:rsidRDefault="00FE3731"/>
    <w:p w14:paraId="58BBE606" w14:textId="77777777" w:rsidR="00FE3731" w:rsidRDefault="00FE3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BE64" w14:textId="77777777" w:rsidR="000A6D6C" w:rsidRDefault="000A6D6C">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DA57" w14:textId="77777777" w:rsidR="000A6D6C" w:rsidRDefault="000A6D6C">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E15C" w14:textId="77777777" w:rsidR="000A6D6C" w:rsidRDefault="000A6D6C">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9CB0" w14:textId="77777777" w:rsidR="00FE3731" w:rsidRPr="00C77ABB" w:rsidRDefault="00FE3731" w:rsidP="00C77ABB">
      <w:pPr>
        <w:pStyle w:val="FootnoteText"/>
      </w:pPr>
      <w:r w:rsidRPr="00C77ABB">
        <w:separator/>
      </w:r>
    </w:p>
  </w:footnote>
  <w:footnote w:type="continuationSeparator" w:id="0">
    <w:p w14:paraId="587B2AF3" w14:textId="77777777" w:rsidR="00FE3731" w:rsidRPr="00C77ABB" w:rsidRDefault="00FE3731" w:rsidP="00C77ABB">
      <w:pPr>
        <w:pStyle w:val="FootnoteText"/>
      </w:pPr>
      <w:r w:rsidRPr="00C77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1D2F" w14:textId="2C47EF68" w:rsidR="00E06B29" w:rsidRPr="00CF2EC7" w:rsidRDefault="003771D5" w:rsidP="003A68D5">
    <w:pPr>
      <w:pStyle w:val="ECCpageHeader"/>
      <w:rPr>
        <w:lang w:val="en-US"/>
      </w:rPr>
    </w:pPr>
    <w:r w:rsidRPr="00CF2EC7">
      <w:rPr>
        <w:lang w:val="en-US"/>
      </w:rPr>
      <w:t xml:space="preserve">Draft CEPT Brief on AI </w:t>
    </w:r>
    <w:r w:rsidR="000A6D6C">
      <w:t>1.13</w:t>
    </w:r>
    <w:r w:rsidRPr="00CF2EC7">
      <w:rPr>
        <w:lang w:val="en-US"/>
      </w:rPr>
      <w:t xml:space="preserve"> </w:t>
    </w:r>
    <w:r w:rsidR="002D6680" w:rsidRPr="00CF2EC7">
      <w:rPr>
        <w:lang w:val="en-US"/>
      </w:rPr>
      <w:t xml:space="preserve">-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4</w:t>
    </w:r>
    <w:r w:rsidR="005C10EB"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F73B" w14:textId="16E2A983" w:rsidR="00E06B29" w:rsidRPr="00CF2EC7" w:rsidRDefault="00D904D5" w:rsidP="003A68D5">
    <w:pPr>
      <w:pStyle w:val="ECCpageHeader"/>
      <w:rPr>
        <w:lang w:val="en-US"/>
      </w:rPr>
    </w:pPr>
    <w:r>
      <w:tab/>
    </w:r>
    <w:r>
      <w:tab/>
    </w:r>
    <w:r w:rsidR="002D6680" w:rsidRPr="00CF2EC7">
      <w:rPr>
        <w:lang w:val="en-US"/>
      </w:rPr>
      <w:t xml:space="preserve">Draft CEPT Brief on AI </w:t>
    </w:r>
    <w:r w:rsidR="000A6D6C">
      <w:t>1.13</w:t>
    </w:r>
    <w:r w:rsidR="002D6680" w:rsidRPr="00CF2EC7">
      <w:rPr>
        <w:lang w:val="en-US"/>
      </w:rPr>
      <w:t xml:space="preserve"> -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3</w:t>
    </w:r>
    <w:r w:rsidR="005C10EB"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AE56" w14:textId="77777777" w:rsidR="005C10EB" w:rsidRDefault="003771D5" w:rsidP="003A68D5">
    <w:pPr>
      <w:pStyle w:val="ECCpageHeader"/>
    </w:pPr>
    <w:r w:rsidRPr="008742E3">
      <w:rPr>
        <w:noProof/>
        <w:lang w:eastAsia="da-DK"/>
      </w:rPr>
      <w:drawing>
        <wp:inline distT="0" distB="0" distL="0" distR="0" wp14:anchorId="5F0E6159" wp14:editId="45B98E97">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8742E3">
      <w:rPr>
        <w:noProof/>
        <w:lang w:eastAsia="da-DK"/>
      </w:rPr>
      <w:drawing>
        <wp:inline distT="0" distB="0" distL="0" distR="0" wp14:anchorId="7AA008F9" wp14:editId="68853BA8">
          <wp:extent cx="1461770" cy="546100"/>
          <wp:effectExtent l="0" t="0" r="5080" b="635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166DE6A5" w14:textId="77777777" w:rsidR="003771D5" w:rsidRPr="005611D0" w:rsidRDefault="003771D5" w:rsidP="00377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05FC3"/>
    <w:multiLevelType w:val="hybridMultilevel"/>
    <w:tmpl w:val="F3825532"/>
    <w:lvl w:ilvl="0" w:tplc="C666D4D4">
      <w:start w:val="1"/>
      <w:numFmt w:val="bullet"/>
      <w:lvlText w:val="-"/>
      <w:lvlJc w:val="left"/>
      <w:pPr>
        <w:tabs>
          <w:tab w:val="num" w:pos="720"/>
        </w:tabs>
        <w:ind w:left="720" w:hanging="360"/>
      </w:pPr>
      <w:rPr>
        <w:rFonts w:ascii="Times New Roman" w:hAnsi="Times New Roman" w:hint="default"/>
      </w:rPr>
    </w:lvl>
    <w:lvl w:ilvl="1" w:tplc="85106146" w:tentative="1">
      <w:start w:val="1"/>
      <w:numFmt w:val="bullet"/>
      <w:lvlText w:val="-"/>
      <w:lvlJc w:val="left"/>
      <w:pPr>
        <w:tabs>
          <w:tab w:val="num" w:pos="1440"/>
        </w:tabs>
        <w:ind w:left="1440" w:hanging="360"/>
      </w:pPr>
      <w:rPr>
        <w:rFonts w:ascii="Times New Roman" w:hAnsi="Times New Roman" w:hint="default"/>
      </w:rPr>
    </w:lvl>
    <w:lvl w:ilvl="2" w:tplc="2E54C59E" w:tentative="1">
      <w:start w:val="1"/>
      <w:numFmt w:val="bullet"/>
      <w:lvlText w:val="-"/>
      <w:lvlJc w:val="left"/>
      <w:pPr>
        <w:tabs>
          <w:tab w:val="num" w:pos="2160"/>
        </w:tabs>
        <w:ind w:left="2160" w:hanging="360"/>
      </w:pPr>
      <w:rPr>
        <w:rFonts w:ascii="Times New Roman" w:hAnsi="Times New Roman" w:hint="default"/>
      </w:rPr>
    </w:lvl>
    <w:lvl w:ilvl="3" w:tplc="D30E7A82" w:tentative="1">
      <w:start w:val="1"/>
      <w:numFmt w:val="bullet"/>
      <w:lvlText w:val="-"/>
      <w:lvlJc w:val="left"/>
      <w:pPr>
        <w:tabs>
          <w:tab w:val="num" w:pos="2880"/>
        </w:tabs>
        <w:ind w:left="2880" w:hanging="360"/>
      </w:pPr>
      <w:rPr>
        <w:rFonts w:ascii="Times New Roman" w:hAnsi="Times New Roman" w:hint="default"/>
      </w:rPr>
    </w:lvl>
    <w:lvl w:ilvl="4" w:tplc="6FDE232C" w:tentative="1">
      <w:start w:val="1"/>
      <w:numFmt w:val="bullet"/>
      <w:lvlText w:val="-"/>
      <w:lvlJc w:val="left"/>
      <w:pPr>
        <w:tabs>
          <w:tab w:val="num" w:pos="3600"/>
        </w:tabs>
        <w:ind w:left="3600" w:hanging="360"/>
      </w:pPr>
      <w:rPr>
        <w:rFonts w:ascii="Times New Roman" w:hAnsi="Times New Roman" w:hint="default"/>
      </w:rPr>
    </w:lvl>
    <w:lvl w:ilvl="5" w:tplc="B9E2AA6C" w:tentative="1">
      <w:start w:val="1"/>
      <w:numFmt w:val="bullet"/>
      <w:lvlText w:val="-"/>
      <w:lvlJc w:val="left"/>
      <w:pPr>
        <w:tabs>
          <w:tab w:val="num" w:pos="4320"/>
        </w:tabs>
        <w:ind w:left="4320" w:hanging="360"/>
      </w:pPr>
      <w:rPr>
        <w:rFonts w:ascii="Times New Roman" w:hAnsi="Times New Roman" w:hint="default"/>
      </w:rPr>
    </w:lvl>
    <w:lvl w:ilvl="6" w:tplc="7F846B58" w:tentative="1">
      <w:start w:val="1"/>
      <w:numFmt w:val="bullet"/>
      <w:lvlText w:val="-"/>
      <w:lvlJc w:val="left"/>
      <w:pPr>
        <w:tabs>
          <w:tab w:val="num" w:pos="5040"/>
        </w:tabs>
        <w:ind w:left="5040" w:hanging="360"/>
      </w:pPr>
      <w:rPr>
        <w:rFonts w:ascii="Times New Roman" w:hAnsi="Times New Roman" w:hint="default"/>
      </w:rPr>
    </w:lvl>
    <w:lvl w:ilvl="7" w:tplc="AF20EA12" w:tentative="1">
      <w:start w:val="1"/>
      <w:numFmt w:val="bullet"/>
      <w:lvlText w:val="-"/>
      <w:lvlJc w:val="left"/>
      <w:pPr>
        <w:tabs>
          <w:tab w:val="num" w:pos="5760"/>
        </w:tabs>
        <w:ind w:left="5760" w:hanging="360"/>
      </w:pPr>
      <w:rPr>
        <w:rFonts w:ascii="Times New Roman" w:hAnsi="Times New Roman" w:hint="default"/>
      </w:rPr>
    </w:lvl>
    <w:lvl w:ilvl="8" w:tplc="753AA92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267CF8"/>
    <w:multiLevelType w:val="hybridMultilevel"/>
    <w:tmpl w:val="78086BB2"/>
    <w:lvl w:ilvl="0" w:tplc="02A00DA6">
      <w:start w:val="1"/>
      <w:numFmt w:val="lowerRoman"/>
      <w:lvlText w:val="%1)"/>
      <w:lvlJc w:val="left"/>
      <w:pPr>
        <w:ind w:left="720" w:hanging="360"/>
      </w:pPr>
      <w:rPr>
        <w:rFonts w:ascii="Arial" w:eastAsia="Calibri" w:hAnsi="Arial"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4"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7"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15:restartNumberingAfterBreak="0">
    <w:nsid w:val="4FD847A3"/>
    <w:multiLevelType w:val="hybridMultilevel"/>
    <w:tmpl w:val="E812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063850">
    <w:abstractNumId w:val="13"/>
  </w:num>
  <w:num w:numId="2" w16cid:durableId="1040059275">
    <w:abstractNumId w:val="14"/>
  </w:num>
  <w:num w:numId="3" w16cid:durableId="285046041">
    <w:abstractNumId w:val="13"/>
  </w:num>
  <w:num w:numId="4" w16cid:durableId="1594628083">
    <w:abstractNumId w:val="19"/>
  </w:num>
  <w:num w:numId="5" w16cid:durableId="1080760600">
    <w:abstractNumId w:val="16"/>
  </w:num>
  <w:num w:numId="6" w16cid:durableId="57554597">
    <w:abstractNumId w:val="18"/>
  </w:num>
  <w:num w:numId="7" w16cid:durableId="532546936">
    <w:abstractNumId w:val="17"/>
  </w:num>
  <w:num w:numId="8" w16cid:durableId="1154907048">
    <w:abstractNumId w:val="11"/>
  </w:num>
  <w:num w:numId="9" w16cid:durableId="2141458624">
    <w:abstractNumId w:val="9"/>
  </w:num>
  <w:num w:numId="10" w16cid:durableId="2028871668">
    <w:abstractNumId w:val="7"/>
  </w:num>
  <w:num w:numId="11" w16cid:durableId="835536711">
    <w:abstractNumId w:val="6"/>
  </w:num>
  <w:num w:numId="12" w16cid:durableId="315302125">
    <w:abstractNumId w:val="5"/>
  </w:num>
  <w:num w:numId="13" w16cid:durableId="1720473841">
    <w:abstractNumId w:val="4"/>
  </w:num>
  <w:num w:numId="14" w16cid:durableId="358776571">
    <w:abstractNumId w:val="8"/>
  </w:num>
  <w:num w:numId="15" w16cid:durableId="1398016475">
    <w:abstractNumId w:val="3"/>
  </w:num>
  <w:num w:numId="16" w16cid:durableId="1637176216">
    <w:abstractNumId w:val="2"/>
  </w:num>
  <w:num w:numId="17" w16cid:durableId="1846550489">
    <w:abstractNumId w:val="1"/>
  </w:num>
  <w:num w:numId="18" w16cid:durableId="1183395267">
    <w:abstractNumId w:val="0"/>
  </w:num>
  <w:num w:numId="19" w16cid:durableId="1369187379">
    <w:abstractNumId w:val="15"/>
  </w:num>
  <w:num w:numId="20" w16cid:durableId="1908807115">
    <w:abstractNumId w:val="15"/>
  </w:num>
  <w:num w:numId="21" w16cid:durableId="1229918740">
    <w:abstractNumId w:val="11"/>
  </w:num>
  <w:num w:numId="22" w16cid:durableId="285043224">
    <w:abstractNumId w:val="14"/>
  </w:num>
  <w:num w:numId="23" w16cid:durableId="107361671">
    <w:abstractNumId w:val="14"/>
  </w:num>
  <w:num w:numId="24" w16cid:durableId="571239747">
    <w:abstractNumId w:val="14"/>
  </w:num>
  <w:num w:numId="25" w16cid:durableId="638346966">
    <w:abstractNumId w:val="14"/>
  </w:num>
  <w:num w:numId="26" w16cid:durableId="1661231036">
    <w:abstractNumId w:val="11"/>
  </w:num>
  <w:num w:numId="27" w16cid:durableId="1163742080">
    <w:abstractNumId w:val="11"/>
  </w:num>
  <w:num w:numId="28" w16cid:durableId="972104861">
    <w:abstractNumId w:val="11"/>
  </w:num>
  <w:num w:numId="29" w16cid:durableId="487020917">
    <w:abstractNumId w:val="15"/>
  </w:num>
  <w:num w:numId="30" w16cid:durableId="703864623">
    <w:abstractNumId w:val="17"/>
  </w:num>
  <w:num w:numId="31" w16cid:durableId="1439907693">
    <w:abstractNumId w:val="19"/>
  </w:num>
  <w:num w:numId="32" w16cid:durableId="613482564">
    <w:abstractNumId w:val="16"/>
  </w:num>
  <w:num w:numId="33" w16cid:durableId="1366170907">
    <w:abstractNumId w:val="18"/>
  </w:num>
  <w:num w:numId="34" w16cid:durableId="1378551136">
    <w:abstractNumId w:val="17"/>
  </w:num>
  <w:num w:numId="35" w16cid:durableId="73404725">
    <w:abstractNumId w:val="17"/>
  </w:num>
  <w:num w:numId="36" w16cid:durableId="1387099147">
    <w:abstractNumId w:val="17"/>
  </w:num>
  <w:num w:numId="37" w16cid:durableId="1432316753">
    <w:abstractNumId w:val="20"/>
  </w:num>
  <w:num w:numId="38" w16cid:durableId="655381822">
    <w:abstractNumId w:val="12"/>
  </w:num>
  <w:num w:numId="39" w16cid:durableId="5887198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AES" w:cryptAlgorithmClass="hash" w:cryptAlgorithmType="typeAny" w:cryptAlgorithmSid="14" w:cryptSpinCount="100000" w:hash="hQixBkQLBhOHQBP6wyt7G/h5VVs/c7krzqFZPLHL984ibDfD6jv8ECuZHVWoLG3R2ajYEpC2Kye8rqdN/Hjy+Q==" w:salt="31ywxINrW/5Y6vofoJDNQA=="/>
  <w:autoFormatOverride/>
  <w:styleLockTheme/>
  <w:styleLockQFSet/>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E"/>
    <w:rsid w:val="000003E2"/>
    <w:rsid w:val="0000683F"/>
    <w:rsid w:val="000238F1"/>
    <w:rsid w:val="00041A18"/>
    <w:rsid w:val="00052CAE"/>
    <w:rsid w:val="000611F2"/>
    <w:rsid w:val="00061762"/>
    <w:rsid w:val="00062CB1"/>
    <w:rsid w:val="000660F5"/>
    <w:rsid w:val="00067793"/>
    <w:rsid w:val="000701A5"/>
    <w:rsid w:val="00071814"/>
    <w:rsid w:val="00080D4D"/>
    <w:rsid w:val="00081262"/>
    <w:rsid w:val="00082DD7"/>
    <w:rsid w:val="000853F5"/>
    <w:rsid w:val="00095620"/>
    <w:rsid w:val="00097D7A"/>
    <w:rsid w:val="000A29BC"/>
    <w:rsid w:val="000A3940"/>
    <w:rsid w:val="000A3F8A"/>
    <w:rsid w:val="000A6285"/>
    <w:rsid w:val="000A6D6C"/>
    <w:rsid w:val="000B176F"/>
    <w:rsid w:val="000B2156"/>
    <w:rsid w:val="000B5026"/>
    <w:rsid w:val="000C028F"/>
    <w:rsid w:val="000C2757"/>
    <w:rsid w:val="000C5CB6"/>
    <w:rsid w:val="000C7531"/>
    <w:rsid w:val="000D1710"/>
    <w:rsid w:val="000D7A37"/>
    <w:rsid w:val="000E42F5"/>
    <w:rsid w:val="000E4820"/>
    <w:rsid w:val="000F0594"/>
    <w:rsid w:val="000F1620"/>
    <w:rsid w:val="000F24F5"/>
    <w:rsid w:val="000F38FA"/>
    <w:rsid w:val="000F3F0B"/>
    <w:rsid w:val="000F41FF"/>
    <w:rsid w:val="001006CA"/>
    <w:rsid w:val="00100F0E"/>
    <w:rsid w:val="00100F8B"/>
    <w:rsid w:val="00107787"/>
    <w:rsid w:val="00116130"/>
    <w:rsid w:val="001471CB"/>
    <w:rsid w:val="001506B9"/>
    <w:rsid w:val="00153DE5"/>
    <w:rsid w:val="00167611"/>
    <w:rsid w:val="0017456E"/>
    <w:rsid w:val="00183FE0"/>
    <w:rsid w:val="0018553F"/>
    <w:rsid w:val="00187940"/>
    <w:rsid w:val="00190EE9"/>
    <w:rsid w:val="001A3C3B"/>
    <w:rsid w:val="001D15AA"/>
    <w:rsid w:val="001D334F"/>
    <w:rsid w:val="001D4247"/>
    <w:rsid w:val="001D486C"/>
    <w:rsid w:val="001E140C"/>
    <w:rsid w:val="001E337B"/>
    <w:rsid w:val="001E722A"/>
    <w:rsid w:val="0020079A"/>
    <w:rsid w:val="0020250F"/>
    <w:rsid w:val="00212A1F"/>
    <w:rsid w:val="00212B11"/>
    <w:rsid w:val="002132DB"/>
    <w:rsid w:val="00220194"/>
    <w:rsid w:val="00226070"/>
    <w:rsid w:val="00235592"/>
    <w:rsid w:val="00236978"/>
    <w:rsid w:val="00241FC5"/>
    <w:rsid w:val="00251F87"/>
    <w:rsid w:val="0026072C"/>
    <w:rsid w:val="002620A2"/>
    <w:rsid w:val="00271881"/>
    <w:rsid w:val="00272190"/>
    <w:rsid w:val="0027241D"/>
    <w:rsid w:val="00273354"/>
    <w:rsid w:val="00274F84"/>
    <w:rsid w:val="0028060B"/>
    <w:rsid w:val="0028120C"/>
    <w:rsid w:val="0028526E"/>
    <w:rsid w:val="00292527"/>
    <w:rsid w:val="00293607"/>
    <w:rsid w:val="00293920"/>
    <w:rsid w:val="00295827"/>
    <w:rsid w:val="00295F16"/>
    <w:rsid w:val="002A0813"/>
    <w:rsid w:val="002A1EEA"/>
    <w:rsid w:val="002A45AF"/>
    <w:rsid w:val="002C5C63"/>
    <w:rsid w:val="002D1FA9"/>
    <w:rsid w:val="002D4D91"/>
    <w:rsid w:val="002D50A3"/>
    <w:rsid w:val="002D6680"/>
    <w:rsid w:val="002E29F7"/>
    <w:rsid w:val="002E786C"/>
    <w:rsid w:val="002F1E6A"/>
    <w:rsid w:val="003031DA"/>
    <w:rsid w:val="00305033"/>
    <w:rsid w:val="00307311"/>
    <w:rsid w:val="00307A79"/>
    <w:rsid w:val="003121C1"/>
    <w:rsid w:val="00312E94"/>
    <w:rsid w:val="0031377E"/>
    <w:rsid w:val="003219F7"/>
    <w:rsid w:val="00322E6A"/>
    <w:rsid w:val="0032496D"/>
    <w:rsid w:val="003314A0"/>
    <w:rsid w:val="003419EF"/>
    <w:rsid w:val="00361E54"/>
    <w:rsid w:val="0036268F"/>
    <w:rsid w:val="003630AE"/>
    <w:rsid w:val="00370A0C"/>
    <w:rsid w:val="003726EC"/>
    <w:rsid w:val="003771D5"/>
    <w:rsid w:val="0038358E"/>
    <w:rsid w:val="00391A01"/>
    <w:rsid w:val="003A2829"/>
    <w:rsid w:val="003A465E"/>
    <w:rsid w:val="003A5711"/>
    <w:rsid w:val="003A68D5"/>
    <w:rsid w:val="003B3519"/>
    <w:rsid w:val="003B4445"/>
    <w:rsid w:val="003B7070"/>
    <w:rsid w:val="003C20F1"/>
    <w:rsid w:val="003C64D9"/>
    <w:rsid w:val="003D1C6F"/>
    <w:rsid w:val="003E70E0"/>
    <w:rsid w:val="00400649"/>
    <w:rsid w:val="00403CE6"/>
    <w:rsid w:val="00407336"/>
    <w:rsid w:val="004074CC"/>
    <w:rsid w:val="004110CA"/>
    <w:rsid w:val="004205E6"/>
    <w:rsid w:val="0042509E"/>
    <w:rsid w:val="00441188"/>
    <w:rsid w:val="00443482"/>
    <w:rsid w:val="00443912"/>
    <w:rsid w:val="00446E3E"/>
    <w:rsid w:val="00450308"/>
    <w:rsid w:val="00451B7E"/>
    <w:rsid w:val="00453F47"/>
    <w:rsid w:val="00456026"/>
    <w:rsid w:val="00457AD1"/>
    <w:rsid w:val="00461B53"/>
    <w:rsid w:val="004629B9"/>
    <w:rsid w:val="0046427F"/>
    <w:rsid w:val="00467766"/>
    <w:rsid w:val="00470D4B"/>
    <w:rsid w:val="00473469"/>
    <w:rsid w:val="00474DC4"/>
    <w:rsid w:val="00482679"/>
    <w:rsid w:val="0048353E"/>
    <w:rsid w:val="00485307"/>
    <w:rsid w:val="00485535"/>
    <w:rsid w:val="00491977"/>
    <w:rsid w:val="0049491B"/>
    <w:rsid w:val="004A1329"/>
    <w:rsid w:val="004A511D"/>
    <w:rsid w:val="004B18B6"/>
    <w:rsid w:val="004B434B"/>
    <w:rsid w:val="004C4A2E"/>
    <w:rsid w:val="004D4B38"/>
    <w:rsid w:val="004D5EA3"/>
    <w:rsid w:val="004E2963"/>
    <w:rsid w:val="004E44C8"/>
    <w:rsid w:val="004E53BE"/>
    <w:rsid w:val="004F16F4"/>
    <w:rsid w:val="004F3F81"/>
    <w:rsid w:val="004F6CA7"/>
    <w:rsid w:val="005028D4"/>
    <w:rsid w:val="0050539E"/>
    <w:rsid w:val="005332D2"/>
    <w:rsid w:val="00534F53"/>
    <w:rsid w:val="00535050"/>
    <w:rsid w:val="00536F3C"/>
    <w:rsid w:val="0054260E"/>
    <w:rsid w:val="00550D79"/>
    <w:rsid w:val="00554C4C"/>
    <w:rsid w:val="005559AC"/>
    <w:rsid w:val="00557B5A"/>
    <w:rsid w:val="00557ECA"/>
    <w:rsid w:val="005611D0"/>
    <w:rsid w:val="00570BE1"/>
    <w:rsid w:val="00571A40"/>
    <w:rsid w:val="005736B2"/>
    <w:rsid w:val="00575734"/>
    <w:rsid w:val="0057797A"/>
    <w:rsid w:val="005817E4"/>
    <w:rsid w:val="00583072"/>
    <w:rsid w:val="005876DB"/>
    <w:rsid w:val="00594186"/>
    <w:rsid w:val="00595B5F"/>
    <w:rsid w:val="005A4978"/>
    <w:rsid w:val="005A4DD0"/>
    <w:rsid w:val="005A53B8"/>
    <w:rsid w:val="005B12CB"/>
    <w:rsid w:val="005B17AC"/>
    <w:rsid w:val="005B531F"/>
    <w:rsid w:val="005C10EB"/>
    <w:rsid w:val="005C4D5F"/>
    <w:rsid w:val="005D371D"/>
    <w:rsid w:val="005D5C60"/>
    <w:rsid w:val="005D7552"/>
    <w:rsid w:val="005E5E3F"/>
    <w:rsid w:val="005E6FFD"/>
    <w:rsid w:val="005E7495"/>
    <w:rsid w:val="005F4C7D"/>
    <w:rsid w:val="00621C12"/>
    <w:rsid w:val="00635A22"/>
    <w:rsid w:val="00642083"/>
    <w:rsid w:val="00643946"/>
    <w:rsid w:val="00643FA9"/>
    <w:rsid w:val="00647D4E"/>
    <w:rsid w:val="00652804"/>
    <w:rsid w:val="0065550D"/>
    <w:rsid w:val="00657AD4"/>
    <w:rsid w:val="00665364"/>
    <w:rsid w:val="00676B09"/>
    <w:rsid w:val="0068085F"/>
    <w:rsid w:val="006876A8"/>
    <w:rsid w:val="00687B43"/>
    <w:rsid w:val="00693D7A"/>
    <w:rsid w:val="006A49E3"/>
    <w:rsid w:val="006A62C2"/>
    <w:rsid w:val="006B1EFD"/>
    <w:rsid w:val="006C454C"/>
    <w:rsid w:val="006C5C1C"/>
    <w:rsid w:val="006D013E"/>
    <w:rsid w:val="006D054B"/>
    <w:rsid w:val="006D4076"/>
    <w:rsid w:val="006E4888"/>
    <w:rsid w:val="006E59D4"/>
    <w:rsid w:val="006F0442"/>
    <w:rsid w:val="006F1E96"/>
    <w:rsid w:val="006F36A5"/>
    <w:rsid w:val="006F5599"/>
    <w:rsid w:val="007023A3"/>
    <w:rsid w:val="00702716"/>
    <w:rsid w:val="00703FC0"/>
    <w:rsid w:val="007160BE"/>
    <w:rsid w:val="00716FF0"/>
    <w:rsid w:val="00721539"/>
    <w:rsid w:val="00721857"/>
    <w:rsid w:val="00722F65"/>
    <w:rsid w:val="00726043"/>
    <w:rsid w:val="0072609F"/>
    <w:rsid w:val="00726836"/>
    <w:rsid w:val="00727CC5"/>
    <w:rsid w:val="00727F8C"/>
    <w:rsid w:val="00732E84"/>
    <w:rsid w:val="00734A4F"/>
    <w:rsid w:val="00736FD2"/>
    <w:rsid w:val="00741DBC"/>
    <w:rsid w:val="007471E1"/>
    <w:rsid w:val="0076077F"/>
    <w:rsid w:val="00762BCC"/>
    <w:rsid w:val="00763BA3"/>
    <w:rsid w:val="00765B66"/>
    <w:rsid w:val="00767BB2"/>
    <w:rsid w:val="00770ED1"/>
    <w:rsid w:val="0077161A"/>
    <w:rsid w:val="00771969"/>
    <w:rsid w:val="00772A19"/>
    <w:rsid w:val="00780376"/>
    <w:rsid w:val="00791AAC"/>
    <w:rsid w:val="0079410C"/>
    <w:rsid w:val="00797D4C"/>
    <w:rsid w:val="007A1E14"/>
    <w:rsid w:val="007B0D9D"/>
    <w:rsid w:val="007B1CC6"/>
    <w:rsid w:val="007B52C8"/>
    <w:rsid w:val="007C0E7E"/>
    <w:rsid w:val="007C4AAD"/>
    <w:rsid w:val="007C5A3B"/>
    <w:rsid w:val="007C7920"/>
    <w:rsid w:val="007D17C5"/>
    <w:rsid w:val="007D1902"/>
    <w:rsid w:val="007D2F1E"/>
    <w:rsid w:val="007D52EC"/>
    <w:rsid w:val="007D6F63"/>
    <w:rsid w:val="007F1CBF"/>
    <w:rsid w:val="007F1CEE"/>
    <w:rsid w:val="007F2AB2"/>
    <w:rsid w:val="007F588B"/>
    <w:rsid w:val="008018F0"/>
    <w:rsid w:val="008062AC"/>
    <w:rsid w:val="00817826"/>
    <w:rsid w:val="008221CB"/>
    <w:rsid w:val="00835D62"/>
    <w:rsid w:val="00837537"/>
    <w:rsid w:val="008576A3"/>
    <w:rsid w:val="0086094D"/>
    <w:rsid w:val="00872382"/>
    <w:rsid w:val="00873CE9"/>
    <w:rsid w:val="008742E3"/>
    <w:rsid w:val="00874AAD"/>
    <w:rsid w:val="00883C4C"/>
    <w:rsid w:val="00885BFF"/>
    <w:rsid w:val="00890D52"/>
    <w:rsid w:val="008A1315"/>
    <w:rsid w:val="008A38A9"/>
    <w:rsid w:val="008A54FC"/>
    <w:rsid w:val="008B26AC"/>
    <w:rsid w:val="008B70CD"/>
    <w:rsid w:val="008B7CE5"/>
    <w:rsid w:val="008C106A"/>
    <w:rsid w:val="008C14EA"/>
    <w:rsid w:val="008D218A"/>
    <w:rsid w:val="008D5799"/>
    <w:rsid w:val="008E117A"/>
    <w:rsid w:val="008E6109"/>
    <w:rsid w:val="009033CD"/>
    <w:rsid w:val="00906284"/>
    <w:rsid w:val="00912D26"/>
    <w:rsid w:val="009170EA"/>
    <w:rsid w:val="00917D1C"/>
    <w:rsid w:val="0092076F"/>
    <w:rsid w:val="00927551"/>
    <w:rsid w:val="00927833"/>
    <w:rsid w:val="00930439"/>
    <w:rsid w:val="00930BDF"/>
    <w:rsid w:val="00932626"/>
    <w:rsid w:val="0093295E"/>
    <w:rsid w:val="00937FE5"/>
    <w:rsid w:val="0094241A"/>
    <w:rsid w:val="009434C3"/>
    <w:rsid w:val="00945BBD"/>
    <w:rsid w:val="00947A5A"/>
    <w:rsid w:val="00962FB5"/>
    <w:rsid w:val="00963896"/>
    <w:rsid w:val="00965486"/>
    <w:rsid w:val="00967613"/>
    <w:rsid w:val="009701EC"/>
    <w:rsid w:val="009770CA"/>
    <w:rsid w:val="00986677"/>
    <w:rsid w:val="0099421C"/>
    <w:rsid w:val="0099659A"/>
    <w:rsid w:val="00996B12"/>
    <w:rsid w:val="009A1127"/>
    <w:rsid w:val="009A5A93"/>
    <w:rsid w:val="009B0A78"/>
    <w:rsid w:val="009B1F62"/>
    <w:rsid w:val="009B4B32"/>
    <w:rsid w:val="009C7C91"/>
    <w:rsid w:val="009D3496"/>
    <w:rsid w:val="009D4BA1"/>
    <w:rsid w:val="009D7D5A"/>
    <w:rsid w:val="009E336C"/>
    <w:rsid w:val="009E47EB"/>
    <w:rsid w:val="009E6DC3"/>
    <w:rsid w:val="009F0B56"/>
    <w:rsid w:val="009F3A37"/>
    <w:rsid w:val="009F6DC1"/>
    <w:rsid w:val="00A02090"/>
    <w:rsid w:val="00A0232B"/>
    <w:rsid w:val="00A076B5"/>
    <w:rsid w:val="00A100F7"/>
    <w:rsid w:val="00A173CE"/>
    <w:rsid w:val="00A17F24"/>
    <w:rsid w:val="00A20853"/>
    <w:rsid w:val="00A20FC4"/>
    <w:rsid w:val="00A211BF"/>
    <w:rsid w:val="00A23870"/>
    <w:rsid w:val="00A23AFE"/>
    <w:rsid w:val="00A24592"/>
    <w:rsid w:val="00A31525"/>
    <w:rsid w:val="00A33409"/>
    <w:rsid w:val="00A4231F"/>
    <w:rsid w:val="00A43BD3"/>
    <w:rsid w:val="00A4743C"/>
    <w:rsid w:val="00A52B8E"/>
    <w:rsid w:val="00A566A1"/>
    <w:rsid w:val="00A575A2"/>
    <w:rsid w:val="00A57992"/>
    <w:rsid w:val="00A70802"/>
    <w:rsid w:val="00A73298"/>
    <w:rsid w:val="00A754BE"/>
    <w:rsid w:val="00A8037C"/>
    <w:rsid w:val="00A8150A"/>
    <w:rsid w:val="00A87414"/>
    <w:rsid w:val="00A94140"/>
    <w:rsid w:val="00A95ACB"/>
    <w:rsid w:val="00A95B2D"/>
    <w:rsid w:val="00A95DD6"/>
    <w:rsid w:val="00A97942"/>
    <w:rsid w:val="00AA079B"/>
    <w:rsid w:val="00AA086A"/>
    <w:rsid w:val="00AA0BD0"/>
    <w:rsid w:val="00AA7CCE"/>
    <w:rsid w:val="00AA7E22"/>
    <w:rsid w:val="00AB1C16"/>
    <w:rsid w:val="00AB2EA8"/>
    <w:rsid w:val="00AB3C46"/>
    <w:rsid w:val="00AC40CD"/>
    <w:rsid w:val="00AC4632"/>
    <w:rsid w:val="00AD7257"/>
    <w:rsid w:val="00AE0E69"/>
    <w:rsid w:val="00AE372A"/>
    <w:rsid w:val="00AE68B7"/>
    <w:rsid w:val="00AF1845"/>
    <w:rsid w:val="00AF1CFE"/>
    <w:rsid w:val="00AF2D0C"/>
    <w:rsid w:val="00AF6917"/>
    <w:rsid w:val="00B152E3"/>
    <w:rsid w:val="00B230E1"/>
    <w:rsid w:val="00B2563E"/>
    <w:rsid w:val="00B30207"/>
    <w:rsid w:val="00B3042F"/>
    <w:rsid w:val="00B30D3B"/>
    <w:rsid w:val="00B36B68"/>
    <w:rsid w:val="00B4134A"/>
    <w:rsid w:val="00B432D4"/>
    <w:rsid w:val="00B453ED"/>
    <w:rsid w:val="00B460E4"/>
    <w:rsid w:val="00B54B09"/>
    <w:rsid w:val="00B576D7"/>
    <w:rsid w:val="00B60C16"/>
    <w:rsid w:val="00B712A9"/>
    <w:rsid w:val="00B75BA7"/>
    <w:rsid w:val="00B779F3"/>
    <w:rsid w:val="00B80892"/>
    <w:rsid w:val="00B82735"/>
    <w:rsid w:val="00B92861"/>
    <w:rsid w:val="00BA2E30"/>
    <w:rsid w:val="00BA524C"/>
    <w:rsid w:val="00BA7A69"/>
    <w:rsid w:val="00BB6776"/>
    <w:rsid w:val="00BC157A"/>
    <w:rsid w:val="00BC3CA5"/>
    <w:rsid w:val="00BD28DF"/>
    <w:rsid w:val="00BD2DF7"/>
    <w:rsid w:val="00BD4E12"/>
    <w:rsid w:val="00BD7669"/>
    <w:rsid w:val="00BE2864"/>
    <w:rsid w:val="00BF0B60"/>
    <w:rsid w:val="00BF3831"/>
    <w:rsid w:val="00BF6072"/>
    <w:rsid w:val="00C0561A"/>
    <w:rsid w:val="00C076BF"/>
    <w:rsid w:val="00C10C10"/>
    <w:rsid w:val="00C13E63"/>
    <w:rsid w:val="00C175F9"/>
    <w:rsid w:val="00C20538"/>
    <w:rsid w:val="00C23F3C"/>
    <w:rsid w:val="00C27F02"/>
    <w:rsid w:val="00C33A7C"/>
    <w:rsid w:val="00C377C2"/>
    <w:rsid w:val="00C428B5"/>
    <w:rsid w:val="00C44519"/>
    <w:rsid w:val="00C504F4"/>
    <w:rsid w:val="00C5079F"/>
    <w:rsid w:val="00C52F7C"/>
    <w:rsid w:val="00C57E85"/>
    <w:rsid w:val="00C65BB4"/>
    <w:rsid w:val="00C666E5"/>
    <w:rsid w:val="00C733FF"/>
    <w:rsid w:val="00C75958"/>
    <w:rsid w:val="00C77ABB"/>
    <w:rsid w:val="00C8071C"/>
    <w:rsid w:val="00C816CB"/>
    <w:rsid w:val="00C82461"/>
    <w:rsid w:val="00C844E7"/>
    <w:rsid w:val="00C84502"/>
    <w:rsid w:val="00CA07CC"/>
    <w:rsid w:val="00CA4FCE"/>
    <w:rsid w:val="00CA5F8F"/>
    <w:rsid w:val="00CA743C"/>
    <w:rsid w:val="00CB3CC0"/>
    <w:rsid w:val="00CC35E8"/>
    <w:rsid w:val="00CC5A6F"/>
    <w:rsid w:val="00CE0F10"/>
    <w:rsid w:val="00CE271A"/>
    <w:rsid w:val="00CE6FF5"/>
    <w:rsid w:val="00CE730B"/>
    <w:rsid w:val="00CF2EC7"/>
    <w:rsid w:val="00CF4FFB"/>
    <w:rsid w:val="00CF5245"/>
    <w:rsid w:val="00D0121B"/>
    <w:rsid w:val="00D04BA8"/>
    <w:rsid w:val="00D06479"/>
    <w:rsid w:val="00D06CA9"/>
    <w:rsid w:val="00D076EE"/>
    <w:rsid w:val="00D07B1A"/>
    <w:rsid w:val="00D1280A"/>
    <w:rsid w:val="00D14C40"/>
    <w:rsid w:val="00D15FCC"/>
    <w:rsid w:val="00D2136F"/>
    <w:rsid w:val="00D24CD0"/>
    <w:rsid w:val="00D30E46"/>
    <w:rsid w:val="00D50AC8"/>
    <w:rsid w:val="00D5348A"/>
    <w:rsid w:val="00D53EEF"/>
    <w:rsid w:val="00D602C4"/>
    <w:rsid w:val="00D64B06"/>
    <w:rsid w:val="00D73FA1"/>
    <w:rsid w:val="00D871CA"/>
    <w:rsid w:val="00D904D5"/>
    <w:rsid w:val="00D91D39"/>
    <w:rsid w:val="00D931D6"/>
    <w:rsid w:val="00D95E7A"/>
    <w:rsid w:val="00DA0026"/>
    <w:rsid w:val="00DA0DC9"/>
    <w:rsid w:val="00DA38C5"/>
    <w:rsid w:val="00DA444C"/>
    <w:rsid w:val="00DA530F"/>
    <w:rsid w:val="00DA66BC"/>
    <w:rsid w:val="00DB1E61"/>
    <w:rsid w:val="00DB50EC"/>
    <w:rsid w:val="00DB6203"/>
    <w:rsid w:val="00DC7382"/>
    <w:rsid w:val="00DD6CE9"/>
    <w:rsid w:val="00DF1E2E"/>
    <w:rsid w:val="00DF2C67"/>
    <w:rsid w:val="00DF3AE2"/>
    <w:rsid w:val="00DF489C"/>
    <w:rsid w:val="00DF7D21"/>
    <w:rsid w:val="00E059C5"/>
    <w:rsid w:val="00E06B29"/>
    <w:rsid w:val="00E06C22"/>
    <w:rsid w:val="00E07CBB"/>
    <w:rsid w:val="00E16CB4"/>
    <w:rsid w:val="00E17ADB"/>
    <w:rsid w:val="00E20647"/>
    <w:rsid w:val="00E210CC"/>
    <w:rsid w:val="00E26384"/>
    <w:rsid w:val="00E26BAC"/>
    <w:rsid w:val="00E3461B"/>
    <w:rsid w:val="00E448A7"/>
    <w:rsid w:val="00E4781B"/>
    <w:rsid w:val="00E51F8B"/>
    <w:rsid w:val="00E53EC1"/>
    <w:rsid w:val="00E54063"/>
    <w:rsid w:val="00E60351"/>
    <w:rsid w:val="00E637C9"/>
    <w:rsid w:val="00E65BD7"/>
    <w:rsid w:val="00E71AE7"/>
    <w:rsid w:val="00E752E6"/>
    <w:rsid w:val="00E83777"/>
    <w:rsid w:val="00E845DE"/>
    <w:rsid w:val="00E97060"/>
    <w:rsid w:val="00EA3083"/>
    <w:rsid w:val="00EA6088"/>
    <w:rsid w:val="00EA76CC"/>
    <w:rsid w:val="00EB05A6"/>
    <w:rsid w:val="00EB5A67"/>
    <w:rsid w:val="00EC1A2C"/>
    <w:rsid w:val="00EC3E93"/>
    <w:rsid w:val="00ED6BB9"/>
    <w:rsid w:val="00ED7CAD"/>
    <w:rsid w:val="00EF19F5"/>
    <w:rsid w:val="00EF68B4"/>
    <w:rsid w:val="00EF69A0"/>
    <w:rsid w:val="00F10E1F"/>
    <w:rsid w:val="00F162E8"/>
    <w:rsid w:val="00F17B85"/>
    <w:rsid w:val="00F212EB"/>
    <w:rsid w:val="00F268C0"/>
    <w:rsid w:val="00F3690D"/>
    <w:rsid w:val="00F45307"/>
    <w:rsid w:val="00F465D3"/>
    <w:rsid w:val="00F569C9"/>
    <w:rsid w:val="00F56F06"/>
    <w:rsid w:val="00F5739A"/>
    <w:rsid w:val="00F73815"/>
    <w:rsid w:val="00F7770D"/>
    <w:rsid w:val="00F81407"/>
    <w:rsid w:val="00F8504F"/>
    <w:rsid w:val="00F85984"/>
    <w:rsid w:val="00F868C9"/>
    <w:rsid w:val="00F90F88"/>
    <w:rsid w:val="00F9153C"/>
    <w:rsid w:val="00F93115"/>
    <w:rsid w:val="00F950C0"/>
    <w:rsid w:val="00F97DAD"/>
    <w:rsid w:val="00FA5792"/>
    <w:rsid w:val="00FA5B5D"/>
    <w:rsid w:val="00FA63DC"/>
    <w:rsid w:val="00FB200D"/>
    <w:rsid w:val="00FB238D"/>
    <w:rsid w:val="00FB5FDF"/>
    <w:rsid w:val="00FD5C27"/>
    <w:rsid w:val="00FD5DD0"/>
    <w:rsid w:val="00FE3731"/>
    <w:rsid w:val="00FE538A"/>
    <w:rsid w:val="00FE7EEC"/>
    <w:rsid w:val="00FF1B9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186A2"/>
  <w15:docId w15:val="{970C781E-5CB9-49E5-8F0B-65B91E6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EF69A0"/>
    <w:rPr>
      <w:rFonts w:eastAsia="Calibri"/>
      <w:szCs w:val="22"/>
      <w:lang w:val="en-GB"/>
    </w:rPr>
  </w:style>
  <w:style w:type="paragraph" w:styleId="Heading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Heading2">
    <w:name w:val="heading 2"/>
    <w:aliases w:val="ECC Heading 2"/>
    <w:next w:val="Normal"/>
    <w:qFormat/>
    <w:rsid w:val="00E54063"/>
    <w:pPr>
      <w:keepNext/>
      <w:numPr>
        <w:ilvl w:val="1"/>
        <w:numId w:val="36"/>
      </w:numPr>
      <w:spacing w:before="480"/>
      <w:jc w:val="left"/>
      <w:outlineLvl w:val="1"/>
    </w:pPr>
    <w:rPr>
      <w:rFonts w:eastAsia="Calibri" w:cs="Arial"/>
      <w:b/>
      <w:bCs/>
      <w:iCs/>
      <w:caps/>
      <w:szCs w:val="28"/>
      <w:lang w:val="en-GB"/>
    </w:rPr>
  </w:style>
  <w:style w:type="paragraph" w:styleId="Heading3">
    <w:name w:val="heading 3"/>
    <w:aliases w:val="ECC Heading 3"/>
    <w:next w:val="Normal"/>
    <w:qFormat/>
    <w:rsid w:val="00E54063"/>
    <w:pPr>
      <w:keepNext/>
      <w:numPr>
        <w:ilvl w:val="2"/>
        <w:numId w:val="36"/>
      </w:numPr>
      <w:spacing w:before="360"/>
      <w:jc w:val="left"/>
      <w:outlineLvl w:val="2"/>
    </w:pPr>
    <w:rPr>
      <w:rFonts w:eastAsia="Calibri" w:cs="Arial"/>
      <w:b/>
      <w:bCs/>
      <w:szCs w:val="26"/>
      <w:lang w:val="en-GB"/>
    </w:rPr>
  </w:style>
  <w:style w:type="paragraph" w:styleId="Heading4">
    <w:name w:val="heading 4"/>
    <w:aliases w:val="ECC Heading 4"/>
    <w:next w:val="Normal"/>
    <w:qFormat/>
    <w:rsid w:val="00E54063"/>
    <w:pPr>
      <w:numPr>
        <w:ilvl w:val="3"/>
        <w:numId w:val="36"/>
      </w:numPr>
      <w:spacing w:before="360"/>
      <w:jc w:val="left"/>
      <w:outlineLvl w:val="3"/>
    </w:pPr>
    <w:rPr>
      <w:rFonts w:eastAsia="Calibri" w:cs="Arial"/>
      <w:bCs/>
      <w:i/>
      <w:color w:val="D2232A"/>
      <w:szCs w:val="26"/>
      <w:lang w:val="en-GB"/>
    </w:rPr>
  </w:style>
  <w:style w:type="paragraph" w:styleId="Heading5">
    <w:name w:val="heading 5"/>
    <w:basedOn w:val="Normal"/>
    <w:next w:val="Normal"/>
    <w:semiHidden/>
    <w:qFormat/>
    <w:locked/>
    <w:rsid w:val="009E47EB"/>
    <w:pPr>
      <w:numPr>
        <w:ilvl w:val="4"/>
        <w:numId w:val="36"/>
      </w:numPr>
      <w:outlineLvl w:val="4"/>
    </w:pPr>
    <w:rPr>
      <w:b/>
      <w:bCs/>
      <w:i/>
      <w:iCs/>
      <w:sz w:val="26"/>
      <w:szCs w:val="26"/>
    </w:rPr>
  </w:style>
  <w:style w:type="paragraph" w:styleId="Heading6">
    <w:name w:val="heading 6"/>
    <w:basedOn w:val="Normal"/>
    <w:next w:val="Normal"/>
    <w:semiHidden/>
    <w:qFormat/>
    <w:locked/>
    <w:rsid w:val="009E47EB"/>
    <w:pPr>
      <w:numPr>
        <w:ilvl w:val="5"/>
        <w:numId w:val="36"/>
      </w:numPr>
      <w:outlineLvl w:val="5"/>
    </w:pPr>
    <w:rPr>
      <w:b/>
      <w:bCs/>
      <w:sz w:val="22"/>
    </w:rPr>
  </w:style>
  <w:style w:type="paragraph" w:styleId="Heading7">
    <w:name w:val="heading 7"/>
    <w:basedOn w:val="Normal"/>
    <w:next w:val="Normal"/>
    <w:semiHidden/>
    <w:qFormat/>
    <w:locked/>
    <w:rsid w:val="009E47EB"/>
    <w:pPr>
      <w:numPr>
        <w:ilvl w:val="6"/>
        <w:numId w:val="36"/>
      </w:numPr>
      <w:outlineLvl w:val="6"/>
    </w:pPr>
    <w:rPr>
      <w:sz w:val="24"/>
    </w:rPr>
  </w:style>
  <w:style w:type="paragraph" w:styleId="Heading8">
    <w:name w:val="heading 8"/>
    <w:basedOn w:val="Normal"/>
    <w:next w:val="Normal"/>
    <w:semiHidden/>
    <w:qFormat/>
    <w:locked/>
    <w:rsid w:val="009E47EB"/>
    <w:pPr>
      <w:numPr>
        <w:ilvl w:val="7"/>
        <w:numId w:val="36"/>
      </w:numPr>
      <w:outlineLvl w:val="7"/>
    </w:pPr>
    <w:rPr>
      <w:i/>
      <w:iCs/>
      <w:sz w:val="24"/>
    </w:rPr>
  </w:style>
  <w:style w:type="paragraph" w:styleId="Heading9">
    <w:name w:val="heading 9"/>
    <w:basedOn w:val="Normal"/>
    <w:next w:val="Normal"/>
    <w:semiHidden/>
    <w:qFormat/>
    <w:locked/>
    <w:rsid w:val="009E47EB"/>
    <w:pPr>
      <w:numPr>
        <w:ilvl w:val="8"/>
        <w:numId w:val="3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Heading1"/>
    <w:rsid w:val="000F38FA"/>
    <w:pPr>
      <w:numPr>
        <w:numId w:val="0"/>
      </w:numPr>
      <w:tabs>
        <w:tab w:val="left" w:pos="0"/>
        <w:tab w:val="center" w:pos="4820"/>
        <w:tab w:val="right" w:pos="9639"/>
      </w:tabs>
    </w:pPr>
    <w:rPr>
      <w:lang w:val="en-GB"/>
    </w:rPr>
  </w:style>
  <w:style w:type="paragraph" w:styleId="BalloonText">
    <w:name w:val="Balloon Text"/>
    <w:basedOn w:val="Normal"/>
    <w:link w:val="BalloonTextCh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6F36A5"/>
    <w:pPr>
      <w:keepNext/>
      <w:pageBreakBefore/>
      <w:numPr>
        <w:numId w:val="25"/>
      </w:numPr>
      <w:jc w:val="left"/>
    </w:pPr>
    <w:rPr>
      <w:rFonts w:eastAsia="Calibri"/>
      <w:b/>
      <w:caps/>
      <w:color w:val="D2232A"/>
      <w:lang w:val="en-GB"/>
    </w:rPr>
  </w:style>
  <w:style w:type="paragraph" w:styleId="TOC1">
    <w:name w:val="toc 1"/>
    <w:aliases w:val="ECC Index 1"/>
    <w:basedOn w:val="Normal"/>
    <w:link w:val="TOC1Char"/>
    <w:uiPriority w:val="39"/>
    <w:semiHidden/>
    <w:qFormat/>
    <w:locked/>
    <w:rsid w:val="009F0B56"/>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6F36A5"/>
    <w:pPr>
      <w:widowControl w:val="0"/>
      <w:tabs>
        <w:tab w:val="left" w:pos="284"/>
      </w:tabs>
      <w:spacing w:after="0"/>
      <w:ind w:left="284" w:hanging="284"/>
    </w:pPr>
    <w:rPr>
      <w:sz w:val="16"/>
      <w:szCs w:val="16"/>
      <w14:cntxtAlts/>
    </w:rPr>
  </w:style>
  <w:style w:type="paragraph" w:styleId="TOC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9F0B56"/>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6F36A5"/>
    <w:rPr>
      <w:rFonts w:eastAsia="Calibri"/>
      <w:sz w:val="16"/>
      <w:szCs w:val="16"/>
      <w:lang w:val="en-GB"/>
      <w14:cntxtAlts/>
    </w:rPr>
  </w:style>
  <w:style w:type="character" w:styleId="FootnoteReference">
    <w:name w:val="footnote reference"/>
    <w:aliases w:val="ECC Footnote number"/>
    <w:basedOn w:val="DefaultParagraphFon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6F36A5"/>
    <w:pPr>
      <w:numPr>
        <w:ilvl w:val="1"/>
        <w:numId w:val="25"/>
      </w:numPr>
      <w:overflowPunct w:val="0"/>
      <w:autoSpaceDE w:val="0"/>
      <w:autoSpaceDN w:val="0"/>
      <w:adjustRightInd w:val="0"/>
      <w:spacing w:before="480" w:after="240"/>
      <w:jc w:val="left"/>
      <w:textAlignment w:val="baseline"/>
    </w:pPr>
    <w:rPr>
      <w:rFonts w:eastAsia="Calibri"/>
      <w:b/>
      <w:caps/>
      <w:lang w:val="en-GB"/>
    </w:rPr>
  </w:style>
  <w:style w:type="paragraph" w:customStyle="1" w:styleId="ECCAnnexheading3">
    <w:name w:val="ECC Annex heading3"/>
    <w:next w:val="Normal"/>
    <w:rsid w:val="006F36A5"/>
    <w:pPr>
      <w:numPr>
        <w:ilvl w:val="2"/>
        <w:numId w:val="25"/>
      </w:numPr>
      <w:overflowPunct w:val="0"/>
      <w:autoSpaceDE w:val="0"/>
      <w:autoSpaceDN w:val="0"/>
      <w:adjustRightInd w:val="0"/>
      <w:spacing w:before="360"/>
      <w:jc w:val="left"/>
      <w:textAlignment w:val="baseline"/>
    </w:pPr>
    <w:rPr>
      <w:rFonts w:eastAsia="Calibri"/>
      <w:b/>
      <w:lang w:val="en-GB"/>
    </w:rPr>
  </w:style>
  <w:style w:type="paragraph" w:customStyle="1" w:styleId="ECCAnnexheading4">
    <w:name w:val="ECC Annex heading4"/>
    <w:next w:val="Normal"/>
    <w:rsid w:val="006F36A5"/>
    <w:pPr>
      <w:numPr>
        <w:ilvl w:val="3"/>
        <w:numId w:val="25"/>
      </w:numPr>
      <w:overflowPunct w:val="0"/>
      <w:autoSpaceDE w:val="0"/>
      <w:autoSpaceDN w:val="0"/>
      <w:adjustRightInd w:val="0"/>
      <w:spacing w:before="360"/>
      <w:jc w:val="left"/>
      <w:textAlignment w:val="baseline"/>
    </w:pPr>
    <w:rPr>
      <w:rFonts w:eastAsia="Calibri"/>
      <w:i/>
      <w:color w:val="D2232A"/>
      <w:lang w:val="en-GB"/>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spacing w:before="0" w:after="0"/>
    </w:pPr>
    <w:rPr>
      <w:lang w:eastAsia="ja-JP"/>
    </w:rPr>
  </w:style>
  <w:style w:type="character" w:customStyle="1" w:styleId="BalloonTextChar">
    <w:name w:val="Balloon Text Char"/>
    <w:basedOn w:val="DefaultParagraphFont"/>
    <w:link w:val="BalloonText"/>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E54063"/>
    <w:pPr>
      <w:numPr>
        <w:numId w:val="29"/>
      </w:numPr>
      <w:shd w:val="solid" w:color="FFFF00" w:fill="auto"/>
      <w:spacing w:before="120"/>
    </w:pPr>
    <w:rPr>
      <w:rFonts w:eastAsia="Calibri"/>
      <w:szCs w:val="22"/>
      <w:lang w:val="en-GB"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DefaultParagraphFon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0F38FA"/>
    <w:rPr>
      <w:b/>
      <w:bCs/>
      <w:lang w:val="en-GB"/>
    </w:rPr>
  </w:style>
  <w:style w:type="paragraph" w:customStyle="1" w:styleId="ECCTabletext">
    <w:name w:val="ECC Table text"/>
    <w:basedOn w:val="Normal"/>
    <w:link w:val="ECCTabletextChar"/>
    <w:qFormat/>
    <w:rsid w:val="009F0B56"/>
    <w:pPr>
      <w:spacing w:before="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character" w:styleId="Emphasis">
    <w:name w:val="Emphasis"/>
    <w:aliases w:val="ECC HL italics"/>
    <w:uiPriority w:val="1"/>
    <w:qFormat/>
    <w:rsid w:val="00DB6203"/>
    <w:rPr>
      <w:i/>
      <w:lang w:val="en-GB"/>
    </w:rPr>
  </w:style>
  <w:style w:type="character" w:customStyle="1" w:styleId="ECCHLunderlined">
    <w:name w:val="ECC HL underlined"/>
    <w:uiPriority w:val="1"/>
    <w:qFormat/>
    <w:rsid w:val="00E54063"/>
    <w:rPr>
      <w:u w:val="single"/>
      <w:lang w:val="en-GB"/>
    </w:rPr>
  </w:style>
  <w:style w:type="character" w:customStyle="1" w:styleId="TOC1Char">
    <w:name w:val="TOC 1 Char"/>
    <w:aliases w:val="ECC Index 1 Char"/>
    <w:basedOn w:val="DefaultParagraphFont"/>
    <w:link w:val="TOC1"/>
    <w:uiPriority w:val="39"/>
    <w:semiHidden/>
    <w:rsid w:val="000E4820"/>
    <w:rPr>
      <w:rFonts w:eastAsia="Calibri"/>
      <w:b/>
      <w:noProof/>
    </w:rPr>
  </w:style>
  <w:style w:type="character" w:customStyle="1" w:styleId="ECCHLcyan">
    <w:name w:val="ECC HL cyan"/>
    <w:basedOn w:val="DefaultParagraphFont"/>
    <w:uiPriority w:val="1"/>
    <w:qFormat/>
    <w:rsid w:val="009F0B56"/>
    <w:rPr>
      <w:iCs w:val="0"/>
      <w:bdr w:val="none" w:sz="0" w:space="0" w:color="auto"/>
      <w:shd w:val="solid" w:color="00FFFF" w:fill="auto"/>
      <w:lang w:val="en-GB"/>
    </w:rPr>
  </w:style>
  <w:style w:type="character" w:customStyle="1" w:styleId="ECCHLorange">
    <w:name w:val="ECC HL orange"/>
    <w:basedOn w:val="DefaultParagraphFont"/>
    <w:uiPriority w:val="1"/>
    <w:qFormat/>
    <w:rsid w:val="00DB6203"/>
    <w:rPr>
      <w:bdr w:val="none" w:sz="0" w:space="0" w:color="auto"/>
      <w:shd w:val="solid" w:color="FFC000" w:fill="auto"/>
      <w:lang w:val="en-GB"/>
    </w:rPr>
  </w:style>
  <w:style w:type="character" w:customStyle="1" w:styleId="ECCHLblue">
    <w:name w:val="ECC HL blue"/>
    <w:basedOn w:val="DefaultParagraphFon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E54063"/>
    <w:rPr>
      <w:iCs w:val="0"/>
      <w:color w:val="FFFFFF" w:themeColor="background1"/>
      <w:bdr w:val="none" w:sz="0" w:space="0" w:color="auto"/>
      <w:shd w:val="solid" w:color="008080" w:fill="auto"/>
      <w:lang w:val="en-GB"/>
    </w:rPr>
  </w:style>
  <w:style w:type="character" w:customStyle="1" w:styleId="ECCParagraph">
    <w:name w:val="ECC Paragraph"/>
    <w:basedOn w:val="DefaultParagraphFon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9F0B56"/>
    <w:rPr>
      <w:rFonts w:eastAsia="Calibri"/>
      <w:b/>
      <w:sz w:val="22"/>
      <w:lang w:val="en-GB"/>
    </w:rPr>
  </w:style>
  <w:style w:type="character" w:customStyle="1" w:styleId="ECCHLmagenta">
    <w:name w:val="ECC HL magenta"/>
    <w:basedOn w:val="DefaultParagraphFont"/>
    <w:uiPriority w:val="1"/>
    <w:qFormat/>
    <w:rsid w:val="009F0B56"/>
    <w:rPr>
      <w:color w:val="auto"/>
      <w:bdr w:val="none" w:sz="0" w:space="0" w:color="auto"/>
      <w:shd w:val="solid" w:color="FF3399" w:fill="auto"/>
      <w:lang w:val="en-GB"/>
    </w:rPr>
  </w:style>
  <w:style w:type="character" w:customStyle="1" w:styleId="ECCHLbrown">
    <w:name w:val="ECC HL brown"/>
    <w:basedOn w:val="DefaultParagraphFont"/>
    <w:uiPriority w:val="1"/>
    <w:qFormat/>
    <w:rsid w:val="00DB6203"/>
    <w:rPr>
      <w:color w:val="D9D9D9" w:themeColor="background1" w:themeShade="D9"/>
      <w:bdr w:val="none" w:sz="0" w:space="0" w:color="auto"/>
      <w:shd w:val="solid" w:color="B95807" w:fill="auto"/>
      <w:lang w:val="en-GB"/>
    </w:rPr>
  </w:style>
  <w:style w:type="paragraph" w:customStyle="1" w:styleId="ECCBreak">
    <w:name w:val="ECC Break"/>
    <w:next w:val="Normal"/>
    <w:link w:val="ECCBreakZchn"/>
    <w:rsid w:val="006F36A5"/>
    <w:pPr>
      <w:spacing w:before="360"/>
      <w:jc w:val="left"/>
    </w:pPr>
    <w:rPr>
      <w:b/>
      <w:bCs/>
      <w:iCs/>
      <w:szCs w:val="28"/>
      <w:lang w:val="en-GB"/>
    </w:rPr>
  </w:style>
  <w:style w:type="character" w:customStyle="1" w:styleId="ECCBreakZchn">
    <w:name w:val="ECC Break Zchn"/>
    <w:basedOn w:val="DefaultParagraphFont"/>
    <w:link w:val="ECCBreak"/>
    <w:rsid w:val="006F36A5"/>
    <w:rPr>
      <w:b/>
      <w:bCs/>
      <w:iCs/>
      <w:szCs w:val="28"/>
      <w:lang w:val="en-GB"/>
    </w:rPr>
  </w:style>
  <w:style w:type="character" w:styleId="Hyperlink">
    <w:name w:val="Hyperlink"/>
    <w:aliases w:val="ECC Hyperlink"/>
    <w:basedOn w:val="DefaultParagraphFont"/>
    <w:uiPriority w:val="99"/>
    <w:rsid w:val="00E54063"/>
    <w:rPr>
      <w:color w:val="0000FF" w:themeColor="hyperlink"/>
      <w:u w:val="single"/>
      <w:lang w:val="en-GB"/>
    </w:rPr>
  </w:style>
  <w:style w:type="paragraph" w:styleId="Caption">
    <w:name w:val="caption"/>
    <w:aliases w:val="ECC Caption"/>
    <w:next w:val="Normal"/>
    <w:qFormat/>
    <w:rsid w:val="000F38FA"/>
    <w:pPr>
      <w:keepLines/>
      <w:tabs>
        <w:tab w:val="left" w:pos="0"/>
        <w:tab w:val="center" w:pos="4820"/>
        <w:tab w:val="right" w:pos="9639"/>
      </w:tabs>
      <w:spacing w:after="240"/>
      <w:contextualSpacing/>
      <w:jc w:val="center"/>
    </w:pPr>
    <w:rPr>
      <w:rFonts w:eastAsia="Calibri"/>
      <w:b/>
      <w:bCs/>
      <w:color w:val="D2232A"/>
      <w:lang w:val="en-GB"/>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6F36A5"/>
    <w:pPr>
      <w:tabs>
        <w:tab w:val="left" w:pos="0"/>
        <w:tab w:val="center" w:pos="4820"/>
        <w:tab w:val="right" w:pos="9639"/>
      </w:tabs>
      <w:spacing w:before="0" w:after="0"/>
    </w:pPr>
    <w:rPr>
      <w:rFonts w:eastAsia="Calibri"/>
      <w:b/>
      <w:sz w:val="16"/>
      <w:szCs w:val="22"/>
      <w:lang w:val="en-GB" w:eastAsia="de-DE"/>
    </w:rPr>
  </w:style>
  <w:style w:type="paragraph" w:customStyle="1" w:styleId="ECCpageHeader">
    <w:name w:val="ECC page Header"/>
    <w:rsid w:val="00E54063"/>
    <w:pPr>
      <w:tabs>
        <w:tab w:val="left" w:pos="0"/>
        <w:tab w:val="center" w:pos="4820"/>
        <w:tab w:val="right" w:pos="9639"/>
      </w:tabs>
      <w:spacing w:before="0" w:after="0"/>
      <w:jc w:val="left"/>
    </w:pPr>
    <w:rPr>
      <w:b/>
      <w:sz w:val="16"/>
      <w:lang w:val="en-GB"/>
    </w:rPr>
  </w:style>
  <w:style w:type="character" w:styleId="PlaceholderText">
    <w:name w:val="Placeholder Text"/>
    <w:basedOn w:val="DefaultParagraphFont"/>
    <w:uiPriority w:val="99"/>
    <w:semiHidden/>
    <w:locked/>
    <w:rsid w:val="00FE538A"/>
    <w:rPr>
      <w:color w:val="808080"/>
    </w:rPr>
  </w:style>
  <w:style w:type="character" w:customStyle="1" w:styleId="ECCHLgrey">
    <w:name w:val="ECC HL grey"/>
    <w:uiPriority w:val="1"/>
    <w:qFormat/>
    <w:rsid w:val="00E54063"/>
    <w:rPr>
      <w:bdr w:val="none" w:sz="0" w:space="0" w:color="auto"/>
      <w:shd w:val="solid" w:color="BFBFBF" w:themeColor="background1" w:themeShade="BF" w:fill="auto"/>
      <w:lang w:val="en-GB"/>
    </w:rPr>
  </w:style>
  <w:style w:type="character" w:customStyle="1" w:styleId="ECCHLsubscript">
    <w:name w:val="ECC HL subscript"/>
    <w:uiPriority w:val="1"/>
    <w:rsid w:val="00E54063"/>
    <w:rPr>
      <w:vertAlign w:val="subscript"/>
      <w:lang w:val="en-GB"/>
    </w:rPr>
  </w:style>
  <w:style w:type="character" w:customStyle="1" w:styleId="ECCHLsuperscript">
    <w:name w:val="ECC HL superscript"/>
    <w:uiPriority w:val="1"/>
    <w:rsid w:val="00E54063"/>
    <w:rPr>
      <w:vertAlign w:val="superscript"/>
      <w:lang w:val="en-GB"/>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TableGrid">
    <w:name w:val="Table Grid"/>
    <w:basedOn w:val="Table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6F36A5"/>
    <w:pPr>
      <w:spacing w:after="240"/>
      <w:jc w:val="center"/>
    </w:pPr>
    <w:rPr>
      <w:rFonts w:eastAsia="Calibri"/>
      <w:noProof/>
      <w:lang w:val="en-GB" w:eastAsia="de-DE"/>
      <w14:cntxtAlts/>
    </w:rPr>
  </w:style>
  <w:style w:type="character" w:styleId="CommentReference">
    <w:name w:val="annotation reference"/>
    <w:basedOn w:val="DefaultParagraphFont"/>
    <w:uiPriority w:val="99"/>
    <w:semiHidden/>
    <w:unhideWhenUsed/>
    <w:locked/>
    <w:rsid w:val="003630AE"/>
    <w:rPr>
      <w:sz w:val="16"/>
      <w:szCs w:val="16"/>
    </w:rPr>
  </w:style>
  <w:style w:type="paragraph" w:styleId="CommentText">
    <w:name w:val="annotation text"/>
    <w:basedOn w:val="Normal"/>
    <w:link w:val="CommentTextChar"/>
    <w:uiPriority w:val="99"/>
    <w:unhideWhenUsed/>
    <w:locked/>
    <w:rsid w:val="003630AE"/>
    <w:rPr>
      <w:szCs w:val="20"/>
    </w:rPr>
  </w:style>
  <w:style w:type="character" w:customStyle="1" w:styleId="CommentTextChar">
    <w:name w:val="Comment Text Char"/>
    <w:basedOn w:val="DefaultParagraphFont"/>
    <w:link w:val="CommentText"/>
    <w:uiPriority w:val="99"/>
    <w:rsid w:val="003630AE"/>
    <w:rPr>
      <w:rFonts w:eastAsia="Calibri"/>
      <w:lang w:val="en-GB"/>
    </w:rPr>
  </w:style>
  <w:style w:type="paragraph" w:styleId="CommentSubject">
    <w:name w:val="annotation subject"/>
    <w:basedOn w:val="CommentText"/>
    <w:next w:val="CommentText"/>
    <w:link w:val="CommentSubjectChar"/>
    <w:uiPriority w:val="99"/>
    <w:semiHidden/>
    <w:unhideWhenUsed/>
    <w:locked/>
    <w:rsid w:val="003630AE"/>
    <w:rPr>
      <w:b/>
      <w:bCs/>
    </w:rPr>
  </w:style>
  <w:style w:type="character" w:customStyle="1" w:styleId="CommentSubjectChar">
    <w:name w:val="Comment Subject Char"/>
    <w:basedOn w:val="CommentTextChar"/>
    <w:link w:val="CommentSubject"/>
    <w:uiPriority w:val="99"/>
    <w:semiHidden/>
    <w:rsid w:val="003630AE"/>
    <w:rPr>
      <w:rFonts w:eastAsia="Calibri"/>
      <w:b/>
      <w:bCs/>
      <w:lang w:val="en-GB"/>
    </w:rPr>
  </w:style>
  <w:style w:type="character" w:customStyle="1" w:styleId="ECCHLstrikethrough">
    <w:name w:val="ECC HL strikethrough"/>
    <w:basedOn w:val="DefaultParagraphFont"/>
    <w:uiPriority w:val="1"/>
    <w:qFormat/>
    <w:rsid w:val="00E54063"/>
    <w:rPr>
      <w:rFonts w:ascii="Arial" w:hAnsi="Arial"/>
      <w:strike/>
      <w:dstrike w:val="0"/>
      <w:sz w:val="20"/>
      <w:lang w:val="en-GB"/>
    </w:rPr>
  </w:style>
  <w:style w:type="character" w:customStyle="1" w:styleId="ECCTabletextChar">
    <w:name w:val="ECC Table text Char"/>
    <w:basedOn w:val="DefaultParagraphFont"/>
    <w:link w:val="ECCTabletext"/>
    <w:rsid w:val="00271881"/>
    <w:rPr>
      <w:rFonts w:eastAsia="Calibri"/>
      <w:szCs w:val="22"/>
      <w:lang w:val="en-GB"/>
    </w:rPr>
  </w:style>
  <w:style w:type="paragraph" w:styleId="NormalWeb">
    <w:name w:val="Normal (Web)"/>
    <w:basedOn w:val="Normal"/>
    <w:uiPriority w:val="99"/>
    <w:semiHidden/>
    <w:unhideWhenUsed/>
    <w:locked/>
    <w:rsid w:val="00E07CBB"/>
    <w:rPr>
      <w:rFonts w:ascii="Times New Roman" w:hAnsi="Times New Roman"/>
      <w:sz w:val="24"/>
      <w:szCs w:val="24"/>
    </w:rPr>
  </w:style>
  <w:style w:type="paragraph" w:styleId="Revision">
    <w:name w:val="Revision"/>
    <w:hidden/>
    <w:uiPriority w:val="99"/>
    <w:semiHidden/>
    <w:rsid w:val="00C377C2"/>
    <w:pPr>
      <w:spacing w:before="0" w:after="0"/>
      <w:jc w:val="left"/>
    </w:pPr>
    <w:rPr>
      <w:rFonts w:eastAsia="Calibri"/>
      <w:szCs w:val="22"/>
      <w:lang w:val="en-GB"/>
    </w:rPr>
  </w:style>
  <w:style w:type="paragraph" w:styleId="Footer">
    <w:name w:val="footer"/>
    <w:basedOn w:val="Normal"/>
    <w:link w:val="FooterChar"/>
    <w:uiPriority w:val="99"/>
    <w:semiHidden/>
    <w:unhideWhenUsed/>
    <w:locked/>
    <w:rsid w:val="000A6D6C"/>
    <w:pPr>
      <w:tabs>
        <w:tab w:val="center" w:pos="4513"/>
        <w:tab w:val="right" w:pos="9026"/>
      </w:tabs>
      <w:spacing w:before="0" w:after="0"/>
    </w:pPr>
  </w:style>
  <w:style w:type="character" w:customStyle="1" w:styleId="FooterChar">
    <w:name w:val="Footer Char"/>
    <w:basedOn w:val="DefaultParagraphFont"/>
    <w:link w:val="Footer"/>
    <w:uiPriority w:val="99"/>
    <w:semiHidden/>
    <w:rsid w:val="000A6D6C"/>
    <w:rPr>
      <w:rFonts w:eastAsia="Calibri"/>
      <w:szCs w:val="22"/>
      <w:lang w:val="en-GB"/>
    </w:rPr>
  </w:style>
  <w:style w:type="paragraph" w:styleId="ListParagraph">
    <w:name w:val="List Paragraph"/>
    <w:basedOn w:val="Normal"/>
    <w:uiPriority w:val="34"/>
    <w:qFormat/>
    <w:locked/>
    <w:rsid w:val="000A6D6C"/>
    <w:pPr>
      <w:ind w:left="720"/>
      <w:contextualSpacing/>
    </w:pPr>
  </w:style>
  <w:style w:type="paragraph" w:customStyle="1" w:styleId="Default">
    <w:name w:val="Default"/>
    <w:rsid w:val="00DC7382"/>
    <w:pPr>
      <w:autoSpaceDE w:val="0"/>
      <w:autoSpaceDN w:val="0"/>
      <w:adjustRightInd w:val="0"/>
      <w:spacing w:before="0" w:after="0"/>
      <w:jc w:val="left"/>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9B4B32"/>
    <w:rPr>
      <w:color w:val="605E5C"/>
      <w:shd w:val="clear" w:color="auto" w:fill="E1DFDD"/>
    </w:rPr>
  </w:style>
  <w:style w:type="character" w:styleId="FollowedHyperlink">
    <w:name w:val="FollowedHyperlink"/>
    <w:basedOn w:val="DefaultParagraphFont"/>
    <w:uiPriority w:val="99"/>
    <w:semiHidden/>
    <w:unhideWhenUsed/>
    <w:locked/>
    <w:rsid w:val="007716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2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23-WP4C-C-0204/en" TargetMode="External"/><Relationship Id="rId18" Type="http://schemas.openxmlformats.org/officeDocument/2006/relationships/hyperlink" Target="https://www.itu.int/md/R23-WP4C-C-0204/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ocdb.cept.org/document/41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md/R23-WP4C-C-0204/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md/R23-WP4C-C-0204/en" TargetMode="External"/><Relationship Id="rId20" Type="http://schemas.openxmlformats.org/officeDocument/2006/relationships/hyperlink" Target="https://www.itu.int/md/R23-WP4B-C-0089/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itu.int/md/R23-WP4C-C-0204/e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itu.int/md/R23-WP5D-C-0419/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23-WP4C-C-0204/en" TargetMode="External"/><Relationship Id="rId22" Type="http://schemas.openxmlformats.org/officeDocument/2006/relationships/hyperlink" Target="https://docdb.cept.org/document/838"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TaxCatchAll xmlns="c5f543e3-8063-4253-bd42-47ca496057f8" xsi:nil="true"/>
    <Organisation xmlns="c5f543e3-8063-4253-bd42-47ca496057f8" xsi:nil="true"/>
    <Classification xmlns="c5f543e3-8063-4253-bd42-47ca496057f8">PROTECTED</Classification>
    <SentOn xmlns="c5f543e3-8063-4253-bd42-47ca496057f8" xsi:nil="true"/>
    <ReceivedTime xmlns="c5f543e3-8063-4253-bd42-47ca496057f8" xsi:nil="true"/>
    <mvFrom xmlns="c5f543e3-8063-4253-bd42-47ca496057f8" xsi:nil="true"/>
    <Hyperlink xmlns="ba712082-ff81-49c1-a241-94c9f69f8dde">
      <Url xsi:nil="true"/>
      <Description xsi:nil="true"/>
    </Hyperlink>
    <lcf76f155ced4ddcb4097134ff3c332f xmlns="ba712082-ff81-49c1-a241-94c9f69f8dde">
      <Terms xmlns="http://schemas.microsoft.com/office/infopath/2007/PartnerControls"/>
    </lcf76f155ced4ddcb4097134ff3c332f>
    <Uploaded xmlns="ba712082-ff81-49c1-a241-94c9f69f8dde">false</Uploaded>
  </documentManagement>
</p:properties>
</file>

<file path=customXml/item3.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24" ma:contentTypeDescription="stakeholder communications relating to team or project&#10;" ma:contentTypeScope="" ma:versionID="a97ef94215465c625bcbd76b809bf527">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0ba9b9644a531dd8188ff5f3d074413b"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element ref="ns4:Hyperlink" minOccurs="0"/>
                <xsd:element ref="ns4:MediaServiceObjectDetectorVersions" minOccurs="0"/>
                <xsd:element ref="ns4:MediaServiceLocation" minOccurs="0"/>
                <xsd:element ref="ns4:MediaServiceSearchProperties" minOccurs="0"/>
                <xsd:element ref="ns4: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Hyperlink" ma:index="2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Uploaded" ma:index="33" nillable="true" ma:displayName="Uploaded" ma:default="0" ma:format="Dropdown" ma:internalName="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069ab6e-cbb1-4306-ad7e-01a48c91ef8b" ContentTypeId="0x010100CAA12C5105342047A1E5FE66CBFB41077D" PreviousValue="false"/>
</file>

<file path=customXml/itemProps1.xml><?xml version="1.0" encoding="utf-8"?>
<ds:datastoreItem xmlns:ds="http://schemas.openxmlformats.org/officeDocument/2006/customXml" ds:itemID="{B13013B7-E029-402D-BF7A-C54F6A2F443C}">
  <ds:schemaRefs>
    <ds:schemaRef ds:uri="http://schemas.openxmlformats.org/officeDocument/2006/bibliography"/>
  </ds:schemaRefs>
</ds:datastoreItem>
</file>

<file path=customXml/itemProps2.xml><?xml version="1.0" encoding="utf-8"?>
<ds:datastoreItem xmlns:ds="http://schemas.openxmlformats.org/officeDocument/2006/customXml" ds:itemID="{0D3018F4-AE28-4AD0-B1A3-032401A9F7B5}">
  <ds:schemaRefs>
    <ds:schemaRef ds:uri="http://schemas.microsoft.com/office/2006/metadata/properties"/>
    <ds:schemaRef ds:uri="http://schemas.microsoft.com/office/infopath/2007/PartnerControls"/>
    <ds:schemaRef ds:uri="c5f543e3-8063-4253-bd42-47ca496057f8"/>
    <ds:schemaRef ds:uri="ba712082-ff81-49c1-a241-94c9f69f8dde"/>
  </ds:schemaRefs>
</ds:datastoreItem>
</file>

<file path=customXml/itemProps3.xml><?xml version="1.0" encoding="utf-8"?>
<ds:datastoreItem xmlns:ds="http://schemas.openxmlformats.org/officeDocument/2006/customXml" ds:itemID="{9FE99C3D-BBC0-4A31-85AF-BB99D0BE6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ba712082-ff81-49c1-a241-94c9f69f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8774F-D464-4816-99BF-5C3B23073E53}">
  <ds:schemaRefs>
    <ds:schemaRef ds:uri="http://schemas.microsoft.com/sharepoint/v3/contenttype/forms"/>
  </ds:schemaRefs>
</ds:datastoreItem>
</file>

<file path=customXml/itemProps5.xml><?xml version="1.0" encoding="utf-8"?>
<ds:datastoreItem xmlns:ds="http://schemas.openxmlformats.org/officeDocument/2006/customXml" ds:itemID="{2655AF47-0272-4BB2-956C-F5E94F9B3C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4338</Words>
  <Characters>24731</Characters>
  <Application>Microsoft Office Word</Application>
  <DocSecurity>0</DocSecurity>
  <Lines>206</Lines>
  <Paragraphs>58</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Draft CEPT Brief on AI XX</vt:lpstr>
      <vt:lpstr>Draft CEPT Brief on AI XX</vt:lpstr>
      <vt:lpstr>Draft CEPT Brief on AI XX</vt:lpstr>
    </vt:vector>
  </TitlesOfParts>
  <Manager>stella.lyubchenko@eco.cept.org</Manager>
  <Company>ECO</Company>
  <LinksUpToDate>false</LinksUpToDate>
  <CharactersWithSpaces>29011</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1.13</dc:title>
  <dc:creator>eco</dc:creator>
  <cp:keywords>CEPT Brief</cp:keywords>
  <cp:lastModifiedBy>Lauren Galloway</cp:lastModifiedBy>
  <cp:revision>5</cp:revision>
  <cp:lastPrinted>1901-01-01T00:00:00Z</cp:lastPrinted>
  <dcterms:created xsi:type="dcterms:W3CDTF">2025-07-01T12:57:00Z</dcterms:created>
  <dcterms:modified xsi:type="dcterms:W3CDTF">2025-07-02T22:05:00Z</dcterms:modified>
  <cp:category>protected templates</cp:category>
  <cp:contentStatus>Revision 11 Aug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0x010100CAA12C5105342047A1E5FE66CBFB41077D0077CF2320134F6146BF6CC804A6E36883</vt:lpwstr>
  </property>
  <property fmtid="{D5CDD505-2E9C-101B-9397-08002B2CF9AE}" pid="3" name="MSIP_Label_5a50d26f-5c2c-4137-8396-1b24eb24286c_Enabled">
    <vt:lpwstr>true</vt:lpwstr>
  </property>
  <property fmtid="{D5CDD505-2E9C-101B-9397-08002B2CF9AE}" pid="4" name="MSIP_Label_5a50d26f-5c2c-4137-8396-1b24eb24286c_SetDate">
    <vt:lpwstr>2024-03-14T13:09:18Z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f33ee487-19e3-4960-9dc1-10933ed7a644</vt:lpwstr>
  </property>
  <property fmtid="{D5CDD505-2E9C-101B-9397-08002B2CF9AE}" pid="9" name="MSIP_Label_5a50d26f-5c2c-4137-8396-1b24eb24286c_ContentBits">
    <vt:lpwstr>0</vt:lpwstr>
  </property>
  <property fmtid="{D5CDD505-2E9C-101B-9397-08002B2CF9AE}" pid="10" name="MediaServiceImageTags">
    <vt:lpwstr/>
  </property>
  <property fmtid="{D5CDD505-2E9C-101B-9397-08002B2CF9AE}" pid="11" name="MSIP_Label_245c3252-146d-46f3-8062-82cd8c8d7e7d_Enabled">
    <vt:lpwstr>true</vt:lpwstr>
  </property>
  <property fmtid="{D5CDD505-2E9C-101B-9397-08002B2CF9AE}" pid="12" name="MSIP_Label_245c3252-146d-46f3-8062-82cd8c8d7e7d_SetDate">
    <vt:lpwstr>2025-05-15T12:24:35Z</vt:lpwstr>
  </property>
  <property fmtid="{D5CDD505-2E9C-101B-9397-08002B2CF9AE}" pid="13" name="MSIP_Label_245c3252-146d-46f3-8062-82cd8c8d7e7d_Method">
    <vt:lpwstr>Privileged</vt:lpwstr>
  </property>
  <property fmtid="{D5CDD505-2E9C-101B-9397-08002B2CF9AE}" pid="14" name="MSIP_Label_245c3252-146d-46f3-8062-82cd8c8d7e7d_Name">
    <vt:lpwstr>L1</vt:lpwstr>
  </property>
  <property fmtid="{D5CDD505-2E9C-101B-9397-08002B2CF9AE}" pid="15" name="MSIP_Label_245c3252-146d-46f3-8062-82cd8c8d7e7d_SiteId">
    <vt:lpwstr>6ae27add-8276-4a38-88c1-3a9c1f973767</vt:lpwstr>
  </property>
  <property fmtid="{D5CDD505-2E9C-101B-9397-08002B2CF9AE}" pid="16" name="MSIP_Label_245c3252-146d-46f3-8062-82cd8c8d7e7d_ActionId">
    <vt:lpwstr>4b69fd73-841b-4c80-92d1-6c9337e3d71e</vt:lpwstr>
  </property>
  <property fmtid="{D5CDD505-2E9C-101B-9397-08002B2CF9AE}" pid="17" name="MSIP_Label_245c3252-146d-46f3-8062-82cd8c8d7e7d_ContentBits">
    <vt:lpwstr>0</vt:lpwstr>
  </property>
  <property fmtid="{D5CDD505-2E9C-101B-9397-08002B2CF9AE}" pid="18" name="MSIP_Label_245c3252-146d-46f3-8062-82cd8c8d7e7d_Tag">
    <vt:lpwstr>10, 0, 1, 1</vt:lpwstr>
  </property>
  <property fmtid="{D5CDD505-2E9C-101B-9397-08002B2CF9AE}" pid="19" name="_AdHocReviewCycleID">
    <vt:i4>-406490710</vt:i4>
  </property>
  <property fmtid="{D5CDD505-2E9C-101B-9397-08002B2CF9AE}" pid="20" name="_NewReviewCycle">
    <vt:lpwstr/>
  </property>
  <property fmtid="{D5CDD505-2E9C-101B-9397-08002B2CF9AE}" pid="21" name="_EmailSubject">
    <vt:lpwstr>EXTERNAL:Re: AI 1.13</vt:lpwstr>
  </property>
  <property fmtid="{D5CDD505-2E9C-101B-9397-08002B2CF9AE}" pid="22" name="_AuthorEmail">
    <vt:lpwstr>Stephen.Talbot@ofcom.org.uk</vt:lpwstr>
  </property>
  <property fmtid="{D5CDD505-2E9C-101B-9397-08002B2CF9AE}" pid="23" name="_AuthorEmailDisplayName">
    <vt:lpwstr>Stephen Talbot</vt:lpwstr>
  </property>
  <property fmtid="{D5CDD505-2E9C-101B-9397-08002B2CF9AE}" pid="24" name="_PreviousAdHocReviewCycleID">
    <vt:i4>468834059</vt:i4>
  </property>
  <property fmtid="{D5CDD505-2E9C-101B-9397-08002B2CF9AE}" pid="25" name="_ReviewingToolsShownOnce">
    <vt:lpwstr/>
  </property>
</Properties>
</file>