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D0299" w14:textId="77777777" w:rsidR="0048090B" w:rsidRDefault="0048090B" w:rsidP="00D21B5A">
      <w:pPr>
        <w:pStyle w:val="ECCHeadingnonumbering"/>
        <w:rPr>
          <w:lang w:val="en-GB"/>
        </w:rPr>
      </w:pPr>
    </w:p>
    <w:tbl>
      <w:tblPr>
        <w:tblW w:w="9781" w:type="dxa"/>
        <w:tblInd w:w="-72" w:type="dxa"/>
        <w:tblLayout w:type="fixed"/>
        <w:tblCellMar>
          <w:left w:w="70" w:type="dxa"/>
          <w:right w:w="70" w:type="dxa"/>
        </w:tblCellMar>
        <w:tblLook w:val="0000" w:firstRow="0" w:lastRow="0" w:firstColumn="0" w:lastColumn="0" w:noHBand="0" w:noVBand="0"/>
      </w:tblPr>
      <w:tblGrid>
        <w:gridCol w:w="1694"/>
        <w:gridCol w:w="4757"/>
        <w:gridCol w:w="3292"/>
        <w:gridCol w:w="38"/>
      </w:tblGrid>
      <w:tr w:rsidR="0048090B" w:rsidRPr="00235592" w14:paraId="2DAE89F9" w14:textId="77777777" w:rsidTr="009B2B35">
        <w:trPr>
          <w:cantSplit/>
          <w:trHeight w:val="1240"/>
        </w:trPr>
        <w:tc>
          <w:tcPr>
            <w:tcW w:w="6451" w:type="dxa"/>
            <w:gridSpan w:val="2"/>
            <w:tcBorders>
              <w:top w:val="nil"/>
              <w:left w:val="nil"/>
              <w:bottom w:val="nil"/>
              <w:right w:val="nil"/>
            </w:tcBorders>
          </w:tcPr>
          <w:p w14:paraId="2349DE85" w14:textId="77777777" w:rsidR="0048090B" w:rsidRPr="00235592" w:rsidRDefault="0048090B" w:rsidP="0048090B">
            <w:pPr>
              <w:pStyle w:val="ECCLetterHead"/>
            </w:pPr>
          </w:p>
        </w:tc>
        <w:tc>
          <w:tcPr>
            <w:tcW w:w="3330" w:type="dxa"/>
            <w:gridSpan w:val="2"/>
            <w:tcBorders>
              <w:top w:val="nil"/>
              <w:left w:val="nil"/>
              <w:bottom w:val="nil"/>
              <w:right w:val="nil"/>
            </w:tcBorders>
          </w:tcPr>
          <w:p w14:paraId="63EA46E4" w14:textId="01C15E52" w:rsidR="0048090B" w:rsidRPr="0048090B" w:rsidRDefault="0048090B" w:rsidP="0048090B">
            <w:pPr>
              <w:pStyle w:val="ECCLetterHead"/>
            </w:pPr>
            <w:r w:rsidRPr="00235592">
              <w:tab/>
            </w:r>
            <w:r w:rsidRPr="0048090B">
              <w:t>Doc. CPG(25)0</w:t>
            </w:r>
            <w:r w:rsidR="00CE1643">
              <w:t>16</w:t>
            </w:r>
            <w:r w:rsidRPr="0048090B">
              <w:t xml:space="preserve"> ANNEX IV-</w:t>
            </w:r>
            <w:r w:rsidR="00C073A2">
              <w:t>07</w:t>
            </w:r>
          </w:p>
        </w:tc>
      </w:tr>
      <w:tr w:rsidR="0048090B" w:rsidRPr="00235592" w14:paraId="0CD18001" w14:textId="77777777" w:rsidTr="009B2B35">
        <w:tblPrEx>
          <w:tblCellMar>
            <w:left w:w="108" w:type="dxa"/>
            <w:right w:w="108" w:type="dxa"/>
          </w:tblCellMar>
        </w:tblPrEx>
        <w:trPr>
          <w:gridAfter w:val="1"/>
          <w:wAfter w:w="38" w:type="dxa"/>
          <w:cantSplit/>
          <w:trHeight w:val="405"/>
        </w:trPr>
        <w:tc>
          <w:tcPr>
            <w:tcW w:w="6451" w:type="dxa"/>
            <w:gridSpan w:val="2"/>
            <w:tcBorders>
              <w:top w:val="nil"/>
              <w:left w:val="nil"/>
              <w:bottom w:val="nil"/>
              <w:right w:val="nil"/>
            </w:tcBorders>
            <w:shd w:val="clear" w:color="auto" w:fill="auto"/>
            <w:vAlign w:val="center"/>
          </w:tcPr>
          <w:p w14:paraId="1BEFD393" w14:textId="77777777" w:rsidR="0048090B" w:rsidRPr="0048090B" w:rsidRDefault="0048090B" w:rsidP="0048090B">
            <w:pPr>
              <w:pStyle w:val="ECCLetterHead"/>
              <w:rPr>
                <w:rStyle w:val="ECCHLyellow"/>
              </w:rPr>
            </w:pPr>
            <w:r w:rsidRPr="00CD3F9A">
              <w:t>CPG</w:t>
            </w:r>
            <w:r w:rsidRPr="0048090B">
              <w:t>27-3</w:t>
            </w:r>
          </w:p>
        </w:tc>
        <w:tc>
          <w:tcPr>
            <w:tcW w:w="3292" w:type="dxa"/>
            <w:tcBorders>
              <w:top w:val="nil"/>
              <w:left w:val="nil"/>
              <w:bottom w:val="nil"/>
              <w:right w:val="nil"/>
            </w:tcBorders>
            <w:vAlign w:val="center"/>
          </w:tcPr>
          <w:p w14:paraId="5A947821" w14:textId="77777777" w:rsidR="0048090B" w:rsidRPr="00235592" w:rsidRDefault="0048090B" w:rsidP="0048090B">
            <w:pPr>
              <w:pStyle w:val="ECCLetterHead"/>
            </w:pPr>
          </w:p>
        </w:tc>
      </w:tr>
      <w:tr w:rsidR="0048090B" w:rsidRPr="00235592" w14:paraId="3C139AFB" w14:textId="77777777" w:rsidTr="009B2B35">
        <w:tblPrEx>
          <w:tblCellMar>
            <w:left w:w="108" w:type="dxa"/>
            <w:right w:w="108" w:type="dxa"/>
          </w:tblCellMar>
        </w:tblPrEx>
        <w:trPr>
          <w:gridAfter w:val="1"/>
          <w:wAfter w:w="38" w:type="dxa"/>
          <w:cantSplit/>
          <w:trHeight w:val="405"/>
        </w:trPr>
        <w:tc>
          <w:tcPr>
            <w:tcW w:w="6451" w:type="dxa"/>
            <w:gridSpan w:val="2"/>
            <w:tcBorders>
              <w:top w:val="nil"/>
              <w:left w:val="nil"/>
              <w:bottom w:val="nil"/>
              <w:right w:val="nil"/>
            </w:tcBorders>
            <w:vAlign w:val="center"/>
          </w:tcPr>
          <w:p w14:paraId="5C285D0F" w14:textId="77777777" w:rsidR="0048090B" w:rsidRPr="0048090B" w:rsidRDefault="0048090B" w:rsidP="0048090B">
            <w:pPr>
              <w:pStyle w:val="ECCLetterHead"/>
            </w:pPr>
            <w:r w:rsidRPr="00011473">
              <w:t>Groningen, The Netherlands (Hybrid), 10</w:t>
            </w:r>
            <w:r w:rsidRPr="0048090B">
              <w:t>th – 13th June 2025</w:t>
            </w:r>
          </w:p>
        </w:tc>
        <w:tc>
          <w:tcPr>
            <w:tcW w:w="3292" w:type="dxa"/>
            <w:tcBorders>
              <w:top w:val="nil"/>
              <w:left w:val="nil"/>
              <w:bottom w:val="nil"/>
              <w:right w:val="nil"/>
            </w:tcBorders>
            <w:vAlign w:val="center"/>
          </w:tcPr>
          <w:p w14:paraId="1386F938" w14:textId="77777777" w:rsidR="0048090B" w:rsidRPr="00235592" w:rsidRDefault="0048090B" w:rsidP="0048090B">
            <w:pPr>
              <w:pStyle w:val="ECCTabletext"/>
            </w:pPr>
          </w:p>
        </w:tc>
      </w:tr>
      <w:tr w:rsidR="0048090B" w:rsidRPr="00235592" w14:paraId="21004207" w14:textId="77777777" w:rsidTr="009B2B35">
        <w:tblPrEx>
          <w:tblCellMar>
            <w:left w:w="108" w:type="dxa"/>
            <w:right w:w="108" w:type="dxa"/>
          </w:tblCellMar>
        </w:tblPrEx>
        <w:trPr>
          <w:gridAfter w:val="1"/>
          <w:wAfter w:w="38" w:type="dxa"/>
          <w:cantSplit/>
          <w:trHeight w:hRule="exact" w:val="79"/>
        </w:trPr>
        <w:tc>
          <w:tcPr>
            <w:tcW w:w="6451" w:type="dxa"/>
            <w:gridSpan w:val="2"/>
            <w:tcBorders>
              <w:top w:val="nil"/>
              <w:left w:val="nil"/>
              <w:bottom w:val="nil"/>
              <w:right w:val="nil"/>
            </w:tcBorders>
            <w:vAlign w:val="center"/>
          </w:tcPr>
          <w:p w14:paraId="572D6D84" w14:textId="77777777" w:rsidR="0048090B" w:rsidRPr="00235592" w:rsidRDefault="0048090B" w:rsidP="0048090B">
            <w:pPr>
              <w:pStyle w:val="ECCLetterHead"/>
            </w:pPr>
          </w:p>
        </w:tc>
        <w:tc>
          <w:tcPr>
            <w:tcW w:w="3292" w:type="dxa"/>
            <w:tcBorders>
              <w:top w:val="nil"/>
              <w:left w:val="nil"/>
              <w:bottom w:val="nil"/>
              <w:right w:val="nil"/>
            </w:tcBorders>
            <w:vAlign w:val="center"/>
          </w:tcPr>
          <w:p w14:paraId="04CF5519" w14:textId="77777777" w:rsidR="0048090B" w:rsidRPr="00235592" w:rsidRDefault="0048090B" w:rsidP="0048090B">
            <w:pPr>
              <w:pStyle w:val="ECCLetterHead"/>
            </w:pPr>
          </w:p>
        </w:tc>
      </w:tr>
      <w:tr w:rsidR="0048090B" w:rsidRPr="00235592" w14:paraId="4B9245F2" w14:textId="77777777" w:rsidTr="009B2B35">
        <w:tblPrEx>
          <w:tblCellMar>
            <w:left w:w="108" w:type="dxa"/>
            <w:right w:w="108" w:type="dxa"/>
          </w:tblCellMar>
        </w:tblPrEx>
        <w:trPr>
          <w:gridAfter w:val="1"/>
          <w:wAfter w:w="38" w:type="dxa"/>
          <w:cantSplit/>
          <w:trHeight w:val="405"/>
        </w:trPr>
        <w:tc>
          <w:tcPr>
            <w:tcW w:w="1694" w:type="dxa"/>
            <w:tcBorders>
              <w:top w:val="nil"/>
              <w:left w:val="nil"/>
              <w:bottom w:val="nil"/>
              <w:right w:val="nil"/>
            </w:tcBorders>
            <w:vAlign w:val="center"/>
          </w:tcPr>
          <w:p w14:paraId="21F1C4E3" w14:textId="77777777" w:rsidR="0048090B" w:rsidRPr="0048090B" w:rsidRDefault="0048090B" w:rsidP="0048090B">
            <w:pPr>
              <w:pStyle w:val="ECCLetterHead"/>
            </w:pPr>
            <w:r w:rsidRPr="00235592">
              <w:t xml:space="preserve">Date issued: </w:t>
            </w:r>
          </w:p>
        </w:tc>
        <w:tc>
          <w:tcPr>
            <w:tcW w:w="8049" w:type="dxa"/>
            <w:gridSpan w:val="2"/>
            <w:tcBorders>
              <w:top w:val="nil"/>
              <w:left w:val="nil"/>
              <w:bottom w:val="nil"/>
              <w:right w:val="nil"/>
            </w:tcBorders>
            <w:vAlign w:val="center"/>
          </w:tcPr>
          <w:p w14:paraId="531AF0BC" w14:textId="516196D7" w:rsidR="0048090B" w:rsidRPr="0048090B" w:rsidRDefault="00D77B65" w:rsidP="0048090B">
            <w:pPr>
              <w:pStyle w:val="ECCLetterHead"/>
            </w:pPr>
            <w:r>
              <w:t>3</w:t>
            </w:r>
            <w:r w:rsidRPr="00D77B65">
              <w:rPr>
                <w:vertAlign w:val="superscript"/>
              </w:rPr>
              <w:t>rd</w:t>
            </w:r>
            <w:r>
              <w:t xml:space="preserve"> July</w:t>
            </w:r>
            <w:r w:rsidR="0048090B" w:rsidRPr="0048090B">
              <w:t xml:space="preserve"> 2025</w:t>
            </w:r>
          </w:p>
        </w:tc>
      </w:tr>
      <w:tr w:rsidR="0048090B" w:rsidRPr="00235592" w14:paraId="0512BD12" w14:textId="77777777" w:rsidTr="009B2B35">
        <w:tblPrEx>
          <w:tblCellMar>
            <w:left w:w="108" w:type="dxa"/>
            <w:right w:w="108" w:type="dxa"/>
          </w:tblCellMar>
        </w:tblPrEx>
        <w:trPr>
          <w:gridAfter w:val="1"/>
          <w:wAfter w:w="38" w:type="dxa"/>
          <w:cantSplit/>
          <w:trHeight w:val="405"/>
        </w:trPr>
        <w:tc>
          <w:tcPr>
            <w:tcW w:w="1694" w:type="dxa"/>
            <w:tcBorders>
              <w:top w:val="nil"/>
              <w:left w:val="nil"/>
              <w:bottom w:val="nil"/>
              <w:right w:val="nil"/>
            </w:tcBorders>
            <w:vAlign w:val="center"/>
          </w:tcPr>
          <w:p w14:paraId="45923319" w14:textId="77777777" w:rsidR="0048090B" w:rsidRPr="0048090B" w:rsidRDefault="0048090B" w:rsidP="0048090B">
            <w:pPr>
              <w:pStyle w:val="ECCLetterHead"/>
            </w:pPr>
            <w:r w:rsidRPr="00235592">
              <w:t xml:space="preserve">Source: </w:t>
            </w:r>
          </w:p>
        </w:tc>
        <w:tc>
          <w:tcPr>
            <w:tcW w:w="8049" w:type="dxa"/>
            <w:gridSpan w:val="2"/>
            <w:tcBorders>
              <w:top w:val="nil"/>
              <w:left w:val="nil"/>
              <w:bottom w:val="nil"/>
              <w:right w:val="nil"/>
            </w:tcBorders>
            <w:vAlign w:val="center"/>
          </w:tcPr>
          <w:p w14:paraId="14BF2C4A" w14:textId="231E3BC3" w:rsidR="0048090B" w:rsidRPr="0048090B" w:rsidRDefault="003D42D7" w:rsidP="0048090B">
            <w:pPr>
              <w:pStyle w:val="ECCLetterHead"/>
            </w:pPr>
            <w:r w:rsidRPr="00CD3F9A">
              <w:t>CPG</w:t>
            </w:r>
            <w:r w:rsidRPr="003D42D7">
              <w:t>27-3</w:t>
            </w:r>
          </w:p>
        </w:tc>
      </w:tr>
      <w:tr w:rsidR="0048090B" w:rsidRPr="00235592" w14:paraId="4F602241" w14:textId="77777777" w:rsidTr="009B2B35">
        <w:tblPrEx>
          <w:tblCellMar>
            <w:left w:w="108" w:type="dxa"/>
            <w:right w:w="108" w:type="dxa"/>
          </w:tblCellMar>
        </w:tblPrEx>
        <w:trPr>
          <w:gridAfter w:val="1"/>
          <w:wAfter w:w="38" w:type="dxa"/>
          <w:cantSplit/>
          <w:trHeight w:val="405"/>
        </w:trPr>
        <w:tc>
          <w:tcPr>
            <w:tcW w:w="1694" w:type="dxa"/>
            <w:tcBorders>
              <w:top w:val="nil"/>
              <w:left w:val="nil"/>
              <w:bottom w:val="nil"/>
              <w:right w:val="nil"/>
            </w:tcBorders>
            <w:vAlign w:val="center"/>
          </w:tcPr>
          <w:p w14:paraId="3AEC1921" w14:textId="77777777" w:rsidR="0048090B" w:rsidRPr="0048090B" w:rsidRDefault="0048090B" w:rsidP="0048090B">
            <w:pPr>
              <w:pStyle w:val="ECCLetterHead"/>
            </w:pPr>
            <w:r w:rsidRPr="00235592">
              <w:t xml:space="preserve">Subject: </w:t>
            </w:r>
          </w:p>
        </w:tc>
        <w:tc>
          <w:tcPr>
            <w:tcW w:w="8049" w:type="dxa"/>
            <w:gridSpan w:val="2"/>
            <w:tcBorders>
              <w:top w:val="nil"/>
              <w:left w:val="nil"/>
              <w:bottom w:val="nil"/>
              <w:right w:val="nil"/>
            </w:tcBorders>
            <w:vAlign w:val="center"/>
          </w:tcPr>
          <w:p w14:paraId="0E8CECAB" w14:textId="2A06D8F7" w:rsidR="0048090B" w:rsidRPr="0048090B" w:rsidRDefault="0048090B" w:rsidP="0048090B">
            <w:pPr>
              <w:pStyle w:val="ECCLetterHead"/>
            </w:pPr>
            <w:r w:rsidRPr="00235592">
              <w:t>Draft CEPT Brief on WRC-</w:t>
            </w:r>
            <w:r w:rsidRPr="0048090B">
              <w:t>27 agenda item 1.</w:t>
            </w:r>
            <w:r>
              <w:t>7</w:t>
            </w:r>
          </w:p>
        </w:tc>
      </w:tr>
      <w:tr w:rsidR="0048090B" w:rsidRPr="00235592" w14:paraId="2B921414" w14:textId="77777777" w:rsidTr="009B2B35">
        <w:tblPrEx>
          <w:tblCellMar>
            <w:left w:w="108" w:type="dxa"/>
            <w:right w:w="108" w:type="dxa"/>
          </w:tblCellMar>
        </w:tblPrEx>
        <w:trPr>
          <w:gridAfter w:val="1"/>
          <w:wAfter w:w="38" w:type="dxa"/>
          <w:cantSplit/>
          <w:trHeight w:hRule="exact" w:val="74"/>
        </w:trPr>
        <w:tc>
          <w:tcPr>
            <w:tcW w:w="9743" w:type="dxa"/>
            <w:gridSpan w:val="3"/>
            <w:tcBorders>
              <w:top w:val="nil"/>
              <w:left w:val="nil"/>
              <w:bottom w:val="single" w:sz="6" w:space="0" w:color="C00000"/>
              <w:right w:val="nil"/>
            </w:tcBorders>
            <w:vAlign w:val="center"/>
          </w:tcPr>
          <w:p w14:paraId="360EF20D" w14:textId="77777777" w:rsidR="0048090B" w:rsidRPr="00235592" w:rsidRDefault="0048090B" w:rsidP="0048090B">
            <w:pPr>
              <w:rPr>
                <w:rStyle w:val="ECCParagraph"/>
              </w:rPr>
            </w:pPr>
          </w:p>
          <w:p w14:paraId="7668BFC6" w14:textId="77777777" w:rsidR="0048090B" w:rsidRPr="00235592" w:rsidRDefault="0048090B" w:rsidP="0048090B">
            <w:pPr>
              <w:pStyle w:val="ECCLetterHead"/>
            </w:pPr>
          </w:p>
        </w:tc>
      </w:tr>
      <w:tr w:rsidR="0048090B" w:rsidRPr="00235592" w14:paraId="4336B539" w14:textId="77777777" w:rsidTr="009B2B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4"/>
            <w:tcBorders>
              <w:top w:val="single" w:sz="6" w:space="0" w:color="C00000"/>
              <w:left w:val="single" w:sz="6" w:space="0" w:color="C00000"/>
              <w:bottom w:val="nil"/>
              <w:right w:val="single" w:sz="6" w:space="0" w:color="C00000"/>
            </w:tcBorders>
            <w:vAlign w:val="center"/>
          </w:tcPr>
          <w:p w14:paraId="1E191491" w14:textId="77777777" w:rsidR="0048090B" w:rsidRPr="0048090B" w:rsidRDefault="0048090B" w:rsidP="0048090B">
            <w:pPr>
              <w:pStyle w:val="ECCLetterHead"/>
            </w:pPr>
            <w:r w:rsidRPr="00235592">
              <w:t xml:space="preserve">Summary: </w:t>
            </w:r>
          </w:p>
        </w:tc>
      </w:tr>
      <w:tr w:rsidR="0048090B" w:rsidRPr="00235592" w14:paraId="54AD2E03" w14:textId="77777777" w:rsidTr="009B2B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781" w:type="dxa"/>
            <w:gridSpan w:val="4"/>
            <w:tcBorders>
              <w:top w:val="nil"/>
              <w:left w:val="single" w:sz="6" w:space="0" w:color="C00000"/>
              <w:bottom w:val="single" w:sz="6" w:space="0" w:color="C00000"/>
              <w:right w:val="single" w:sz="6" w:space="0" w:color="C00000"/>
            </w:tcBorders>
          </w:tcPr>
          <w:p w14:paraId="24D32E8A" w14:textId="77777777" w:rsidR="0048090B" w:rsidRPr="008E117A" w:rsidRDefault="0048090B" w:rsidP="0048090B">
            <w:pPr>
              <w:rPr>
                <w:rStyle w:val="ECCHLunderlined"/>
              </w:rPr>
            </w:pPr>
          </w:p>
        </w:tc>
      </w:tr>
      <w:tr w:rsidR="0048090B" w:rsidRPr="00235592" w14:paraId="11CBEFAB" w14:textId="77777777" w:rsidTr="009B2B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4"/>
            <w:tcBorders>
              <w:top w:val="single" w:sz="6" w:space="0" w:color="C00000"/>
              <w:left w:val="single" w:sz="6" w:space="0" w:color="C00000"/>
              <w:bottom w:val="nil"/>
              <w:right w:val="single" w:sz="6" w:space="0" w:color="C00000"/>
            </w:tcBorders>
            <w:vAlign w:val="center"/>
          </w:tcPr>
          <w:p w14:paraId="12CB06AE" w14:textId="77777777" w:rsidR="0048090B" w:rsidRPr="0048090B" w:rsidRDefault="0048090B" w:rsidP="0048090B">
            <w:pPr>
              <w:pStyle w:val="ECCLetterHead"/>
            </w:pPr>
            <w:r w:rsidRPr="00235592">
              <w:t>Proposal:</w:t>
            </w:r>
          </w:p>
        </w:tc>
      </w:tr>
      <w:tr w:rsidR="0048090B" w:rsidRPr="00235592" w14:paraId="057FE464" w14:textId="77777777" w:rsidTr="009B2B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45"/>
        </w:trPr>
        <w:tc>
          <w:tcPr>
            <w:tcW w:w="9781" w:type="dxa"/>
            <w:gridSpan w:val="4"/>
            <w:tcBorders>
              <w:top w:val="nil"/>
              <w:left w:val="single" w:sz="6" w:space="0" w:color="C00000"/>
              <w:bottom w:val="single" w:sz="6" w:space="0" w:color="C00000"/>
              <w:right w:val="single" w:sz="6" w:space="0" w:color="C00000"/>
            </w:tcBorders>
          </w:tcPr>
          <w:p w14:paraId="57B63E46" w14:textId="77777777" w:rsidR="0048090B" w:rsidRPr="00235592" w:rsidRDefault="0048090B" w:rsidP="0048090B">
            <w:pPr>
              <w:pStyle w:val="ECCTabletext"/>
            </w:pPr>
          </w:p>
        </w:tc>
      </w:tr>
    </w:tbl>
    <w:p w14:paraId="16698575" w14:textId="77777777" w:rsidR="0048090B" w:rsidRPr="00235592" w:rsidRDefault="0048090B" w:rsidP="0048090B">
      <w:pPr>
        <w:rPr>
          <w:rStyle w:val="ECCParagraph"/>
        </w:rPr>
      </w:pPr>
      <w:r w:rsidRPr="00235592">
        <w:rPr>
          <w:rStyle w:val="ECCParagraph"/>
        </w:rPr>
        <w:br w:type="page"/>
      </w:r>
    </w:p>
    <w:p w14:paraId="77146722" w14:textId="6E6D4D2A" w:rsidR="00D21B5A" w:rsidRPr="00521878" w:rsidRDefault="00D21B5A" w:rsidP="00D21B5A">
      <w:pPr>
        <w:pStyle w:val="ECCHeadingnonumbering"/>
        <w:rPr>
          <w:lang w:val="en-GB"/>
        </w:rPr>
      </w:pPr>
      <w:r w:rsidRPr="00521878">
        <w:rPr>
          <w:lang w:val="en-GB"/>
        </w:rPr>
        <w:lastRenderedPageBreak/>
        <w:t>DRAFT CEPT BRIEF ON AGENDA ITEM 1.7</w:t>
      </w:r>
    </w:p>
    <w:p w14:paraId="64C587E6" w14:textId="77777777" w:rsidR="00D21B5A" w:rsidRPr="00521878" w:rsidRDefault="00D21B5A" w:rsidP="00D21B5A">
      <w:bookmarkStart w:id="0" w:name="_Toc94813623"/>
      <w:r w:rsidRPr="00521878">
        <w:t>1.7</w:t>
      </w:r>
      <w:r w:rsidRPr="00521878">
        <w:tab/>
        <w:t xml:space="preserve">to consider studies on sharing and compatibility and develop technical conditions for the use of International Mobile Telecommunications (IMT) in the frequency bands 4400-4800 MHz and 7125-8400 MHz (or parts thereof), and 14.8-15.35 GHz taking into account existing primary services operating in these, and adjacent, frequency bands, in accordance with Resolution </w:t>
      </w:r>
      <w:r w:rsidRPr="00521878">
        <w:rPr>
          <w:rStyle w:val="ECCHLbold"/>
        </w:rPr>
        <w:t>256 (WRC-23)</w:t>
      </w:r>
      <w:r w:rsidRPr="00521878">
        <w:t>;</w:t>
      </w:r>
    </w:p>
    <w:bookmarkEnd w:id="0"/>
    <w:p w14:paraId="2FF18AE5" w14:textId="77777777" w:rsidR="00D21B5A" w:rsidRPr="00521878" w:rsidRDefault="00D21B5A" w:rsidP="00D21B5A">
      <w:pPr>
        <w:pStyle w:val="Heading1"/>
        <w:rPr>
          <w:lang w:val="en-GB"/>
        </w:rPr>
      </w:pPr>
      <w:r w:rsidRPr="00521878">
        <w:rPr>
          <w:lang w:val="en-GB"/>
        </w:rPr>
        <w:t>Issue</w:t>
      </w:r>
    </w:p>
    <w:p w14:paraId="606A5306" w14:textId="77777777" w:rsidR="00D21B5A" w:rsidRPr="00521878" w:rsidRDefault="00D21B5A" w:rsidP="00D21B5A">
      <w:pPr>
        <w:rPr>
          <w:rStyle w:val="ECCHLbold"/>
        </w:rPr>
      </w:pPr>
      <w:bookmarkStart w:id="1" w:name="_Toc94813624"/>
      <w:r w:rsidRPr="00521878">
        <w:t xml:space="preserve">This agenda item </w:t>
      </w:r>
      <w:r w:rsidRPr="00521878">
        <w:rPr>
          <w:rStyle w:val="ECCParagraph"/>
        </w:rPr>
        <w:t>intends</w:t>
      </w:r>
      <w:r w:rsidRPr="00521878">
        <w:t xml:space="preserve">, in accordance with Resolution </w:t>
      </w:r>
      <w:r w:rsidRPr="00521878">
        <w:rPr>
          <w:rStyle w:val="ECCHLbold"/>
        </w:rPr>
        <w:t>256 (WRC-23)</w:t>
      </w:r>
      <w:r w:rsidRPr="00521878">
        <w:t xml:space="preserve"> to </w:t>
      </w:r>
      <w:r w:rsidRPr="00521878">
        <w:rPr>
          <w:rStyle w:val="ECCParagraph"/>
        </w:rPr>
        <w:t xml:space="preserve">invite the ITU Radiocommunication Sector to </w:t>
      </w:r>
      <w:r w:rsidRPr="00521878">
        <w:t>complete</w:t>
      </w:r>
      <w:r w:rsidRPr="00521878">
        <w:rPr>
          <w:rStyle w:val="ECCParagraph"/>
        </w:rPr>
        <w:t xml:space="preserve"> in time for WRC-27:</w:t>
      </w:r>
      <w:r w:rsidRPr="00521878">
        <w:t xml:space="preserve"> </w:t>
      </w:r>
    </w:p>
    <w:p w14:paraId="69FFF33B" w14:textId="18D916D9" w:rsidR="00D21B5A" w:rsidRPr="00521878" w:rsidRDefault="00D21B5A" w:rsidP="00D21B5A">
      <w:pPr>
        <w:pStyle w:val="ECCNumberedList"/>
      </w:pPr>
      <w:r w:rsidRPr="00521878">
        <w:rPr>
          <w:rStyle w:val="ECCParagraph"/>
        </w:rPr>
        <w:t>the appropriate studies</w:t>
      </w:r>
      <w:r w:rsidRPr="00521878">
        <w:t xml:space="preserve"> of technical</w:t>
      </w:r>
      <w:r w:rsidRPr="00521878">
        <w:rPr>
          <w:rStyle w:val="ECCParagraph"/>
        </w:rPr>
        <w:t>,</w:t>
      </w:r>
      <w:r w:rsidRPr="00521878">
        <w:t xml:space="preserve"> operational and regulatory issues pertaining to the possible use of the terrestrial component of IMT in the frequency bands listed </w:t>
      </w:r>
      <w:r w:rsidRPr="00521878">
        <w:rPr>
          <w:rStyle w:val="ECCParagraph"/>
        </w:rPr>
        <w:t>in resolves to invite the ITU Radiocommunication Sector</w:t>
      </w:r>
      <w:r w:rsidR="00B15687" w:rsidRPr="00521878">
        <w:rPr>
          <w:rStyle w:val="ECCParagraph"/>
        </w:rPr>
        <w:t xml:space="preserve"> 2</w:t>
      </w:r>
      <w:r w:rsidRPr="00521878">
        <w:rPr>
          <w:rStyle w:val="ECCParagraph"/>
        </w:rPr>
        <w:t xml:space="preserve">, taking into account </w:t>
      </w:r>
      <w:r w:rsidR="00C4559A">
        <w:rPr>
          <w:rStyle w:val="ECCParagraph"/>
        </w:rPr>
        <w:t>the results of CPM27-1</w:t>
      </w:r>
      <w:r w:rsidRPr="00521878">
        <w:t>:</w:t>
      </w:r>
    </w:p>
    <w:p w14:paraId="1B230769" w14:textId="77777777" w:rsidR="00D21B5A" w:rsidRPr="00521878" w:rsidRDefault="00D21B5A" w:rsidP="00D21B5A">
      <w:pPr>
        <w:pStyle w:val="ECCLetteredList"/>
        <w:rPr>
          <w:rStyle w:val="ECCParagraph"/>
        </w:rPr>
      </w:pPr>
      <w:r w:rsidRPr="00521878">
        <w:rPr>
          <w:rStyle w:val="ECCParagraph"/>
        </w:rPr>
        <w:t>evolving needs to meet emerging demand for IMT;</w:t>
      </w:r>
    </w:p>
    <w:p w14:paraId="29E00CFB" w14:textId="77777777" w:rsidR="00D21B5A" w:rsidRPr="00521878" w:rsidRDefault="00D21B5A" w:rsidP="00D21B5A">
      <w:pPr>
        <w:pStyle w:val="ECCLetteredList"/>
        <w:rPr>
          <w:rStyle w:val="ECCParagraph"/>
        </w:rPr>
      </w:pPr>
      <w:r w:rsidRPr="00521878">
        <w:rPr>
          <w:rStyle w:val="ECCParagraph"/>
        </w:rPr>
        <w:t>technical and operational characteristics of terrestrial IMT systems that would operate in these specific frequency bands, including the evolution of IMT through advances in technology and spectrally efficient techniques;</w:t>
      </w:r>
    </w:p>
    <w:p w14:paraId="135EB7C0" w14:textId="77777777" w:rsidR="00D21B5A" w:rsidRPr="00521878" w:rsidRDefault="00D21B5A" w:rsidP="00D21B5A">
      <w:pPr>
        <w:pStyle w:val="ECCLetteredList"/>
        <w:rPr>
          <w:rStyle w:val="ECCParagraph"/>
        </w:rPr>
      </w:pPr>
      <w:r w:rsidRPr="00521878">
        <w:rPr>
          <w:rStyle w:val="ECCParagraph"/>
        </w:rPr>
        <w:t>the deployment scenarios envisaged for IMT systems and the related requirements of balanced coverage and capacity;</w:t>
      </w:r>
    </w:p>
    <w:p w14:paraId="33BC0DED" w14:textId="77777777" w:rsidR="00D21B5A" w:rsidRPr="00521878" w:rsidRDefault="00D21B5A" w:rsidP="00D21B5A">
      <w:pPr>
        <w:pStyle w:val="ECCLetteredList"/>
        <w:rPr>
          <w:rStyle w:val="ECCParagraph"/>
        </w:rPr>
      </w:pPr>
      <w:r w:rsidRPr="00521878">
        <w:rPr>
          <w:rStyle w:val="ECCParagraph"/>
        </w:rPr>
        <w:t>the needs of developing countries; and</w:t>
      </w:r>
    </w:p>
    <w:p w14:paraId="506F1A62" w14:textId="77777777" w:rsidR="00D21B5A" w:rsidRPr="00521878" w:rsidRDefault="00D21B5A" w:rsidP="00D21B5A">
      <w:pPr>
        <w:pStyle w:val="ECCLetteredList"/>
        <w:rPr>
          <w:rStyle w:val="ECCParagraph"/>
        </w:rPr>
      </w:pPr>
      <w:r w:rsidRPr="00521878">
        <w:rPr>
          <w:rStyle w:val="ECCParagraph"/>
        </w:rPr>
        <w:t>the time-frame in which spectrum would be needed;</w:t>
      </w:r>
    </w:p>
    <w:p w14:paraId="515400E9" w14:textId="5147AF03" w:rsidR="00D21B5A" w:rsidRPr="00521878" w:rsidRDefault="00B15687" w:rsidP="00D21B5A">
      <w:pPr>
        <w:pStyle w:val="ECCNumberedList"/>
      </w:pPr>
      <w:r w:rsidRPr="00521878">
        <w:t>s</w:t>
      </w:r>
      <w:r w:rsidR="00D21B5A" w:rsidRPr="00521878">
        <w:t xml:space="preserve">haring and compatibility studies, with a view to ensuring the protection of services to which the frequency band is allocated on a primary basis, including protection of stations operating in international waters or airspace which cannot be registered in the MIFR, without imposing additional regulatory or technical constraints on those services, and also on services in adjacent bands, for the frequency bands: </w:t>
      </w:r>
    </w:p>
    <w:p w14:paraId="1EB3C649" w14:textId="77777777" w:rsidR="00D21B5A" w:rsidRPr="00521878" w:rsidRDefault="00D21B5A" w:rsidP="00D21B5A">
      <w:pPr>
        <w:pStyle w:val="ECCBulletsLv2"/>
      </w:pPr>
      <w:r w:rsidRPr="00521878">
        <w:t>4400-4800 MHz;</w:t>
      </w:r>
    </w:p>
    <w:p w14:paraId="71CA979D" w14:textId="77777777" w:rsidR="00D21B5A" w:rsidRPr="00521878" w:rsidRDefault="00D21B5A" w:rsidP="00D21B5A">
      <w:pPr>
        <w:pStyle w:val="ECCBulletsLv2"/>
      </w:pPr>
      <w:r w:rsidRPr="00521878">
        <w:t>7125-8400 MHz; and</w:t>
      </w:r>
    </w:p>
    <w:p w14:paraId="04274B9D" w14:textId="77777777" w:rsidR="00D21B5A" w:rsidRPr="00521878" w:rsidRDefault="00D21B5A" w:rsidP="00D21B5A">
      <w:pPr>
        <w:pStyle w:val="ECCBulletsLv2"/>
      </w:pPr>
      <w:r w:rsidRPr="00521878">
        <w:t>14.8-15.35 GHz.</w:t>
      </w:r>
    </w:p>
    <w:p w14:paraId="728C76F6" w14:textId="77777777" w:rsidR="00D21B5A" w:rsidRPr="00521878" w:rsidRDefault="00D21B5A" w:rsidP="00D21B5A">
      <w:pPr>
        <w:rPr>
          <w:rStyle w:val="ECCHLbold"/>
        </w:rPr>
      </w:pPr>
      <w:r w:rsidRPr="00521878">
        <w:t>Based on results of sharing and compatibility studies, this agenda item invites WRC-27 to consider a possible identification for the terrestrial component of International Mobile Telecommunications (IMT) of the following frequency bands</w:t>
      </w:r>
      <w:r w:rsidRPr="00521878">
        <w:rPr>
          <w:rStyle w:val="ECCHLbold"/>
        </w:rPr>
        <w:t>:</w:t>
      </w:r>
    </w:p>
    <w:p w14:paraId="11BCACA9" w14:textId="77777777" w:rsidR="00D21B5A" w:rsidRPr="00521878" w:rsidRDefault="00D21B5A" w:rsidP="00D21B5A">
      <w:pPr>
        <w:pStyle w:val="ECCBulletsLv2"/>
      </w:pPr>
      <w:r w:rsidRPr="00521878">
        <w:t xml:space="preserve">4400-4800 MHz, or parts thereof, in Region 1 and Region 3; </w:t>
      </w:r>
    </w:p>
    <w:p w14:paraId="0E389B73" w14:textId="77777777" w:rsidR="00D21B5A" w:rsidRPr="00521878" w:rsidRDefault="00D21B5A" w:rsidP="00D21B5A">
      <w:pPr>
        <w:pStyle w:val="ECCBulletsLv2"/>
      </w:pPr>
      <w:r w:rsidRPr="00521878">
        <w:t>7125-8400 MHz, or parts thereof, in Region 2 and Region 3;</w:t>
      </w:r>
    </w:p>
    <w:p w14:paraId="2CB04C44" w14:textId="77777777" w:rsidR="00D21B5A" w:rsidRPr="00521878" w:rsidRDefault="00D21B5A" w:rsidP="00D21B5A">
      <w:pPr>
        <w:pStyle w:val="ECCBulletsLv2"/>
      </w:pPr>
      <w:r w:rsidRPr="00521878">
        <w:t>7125-7250 MHz and 7750-8400 MHz, or parts thereof, in Region 1;</w:t>
      </w:r>
    </w:p>
    <w:p w14:paraId="026A9D1B" w14:textId="1AE91FED" w:rsidR="00D21B5A" w:rsidRPr="00521878" w:rsidRDefault="00D21B5A" w:rsidP="00D21B5A">
      <w:pPr>
        <w:pStyle w:val="ECCBulletsLv2"/>
      </w:pPr>
      <w:r w:rsidRPr="00521878">
        <w:t>14.8-15.35 GHz (globally).</w:t>
      </w:r>
    </w:p>
    <w:p w14:paraId="4F19C476" w14:textId="77777777" w:rsidR="00D21B5A" w:rsidRPr="00521878" w:rsidRDefault="00D21B5A" w:rsidP="00D21B5A">
      <w:pPr>
        <w:pStyle w:val="Heading1"/>
        <w:rPr>
          <w:lang w:val="en-GB"/>
        </w:rPr>
      </w:pPr>
      <w:r w:rsidRPr="00521878">
        <w:rPr>
          <w:lang w:val="en-GB"/>
        </w:rPr>
        <w:t>Preliminary CEPT position</w:t>
      </w:r>
      <w:bookmarkEnd w:id="1"/>
      <w:r w:rsidRPr="00521878">
        <w:rPr>
          <w:lang w:val="en-GB"/>
        </w:rPr>
        <w:t xml:space="preserve"> </w:t>
      </w:r>
    </w:p>
    <w:p w14:paraId="5D60B1C5" w14:textId="77777777" w:rsidR="00D21B5A" w:rsidRPr="00521878" w:rsidRDefault="00D21B5A" w:rsidP="00D21B5A">
      <w:r w:rsidRPr="00521878">
        <w:t>In all the frequency bands considered under this Agenda item, CEPT will contribute to the ITU-R studies to ensure the protection of existing services from IMT.</w:t>
      </w:r>
    </w:p>
    <w:p w14:paraId="05FC45EA" w14:textId="77777777" w:rsidR="00D21B5A" w:rsidRPr="00521878" w:rsidRDefault="00D21B5A" w:rsidP="007907C1">
      <w:pPr>
        <w:rPr>
          <w:rStyle w:val="ECCHLbold"/>
          <w:b w:val="0"/>
          <w:bCs w:val="0"/>
        </w:rPr>
      </w:pPr>
      <w:r w:rsidRPr="00521878">
        <w:rPr>
          <w:rStyle w:val="ECCHLbold"/>
          <w:bCs w:val="0"/>
        </w:rPr>
        <w:t>4400-4800 MHz</w:t>
      </w:r>
    </w:p>
    <w:p w14:paraId="3A12D69C" w14:textId="287D4A01" w:rsidR="00D21B5A" w:rsidRPr="00521878" w:rsidRDefault="00075C78" w:rsidP="00D21B5A">
      <w:r w:rsidRPr="00521878">
        <w:t xml:space="preserve">CEPT supports the protection of incumbent services from </w:t>
      </w:r>
      <w:r>
        <w:t xml:space="preserve">any future potential </w:t>
      </w:r>
      <w:r w:rsidRPr="00521878">
        <w:t>IMT deployment and recognises the existing use</w:t>
      </w:r>
      <w:r>
        <w:t xml:space="preserve">, both </w:t>
      </w:r>
      <w:r w:rsidRPr="00521878">
        <w:t>in t</w:t>
      </w:r>
      <w:r>
        <w:t>his</w:t>
      </w:r>
      <w:r w:rsidRPr="00521878">
        <w:t xml:space="preserve"> frequency band and in adjacent bands. CEPT is oppos</w:t>
      </w:r>
      <w:r>
        <w:t>ed</w:t>
      </w:r>
      <w:r w:rsidRPr="00521878">
        <w:t xml:space="preserve"> to an IMT identification </w:t>
      </w:r>
      <w:r w:rsidRPr="00521878">
        <w:lastRenderedPageBreak/>
        <w:t xml:space="preserve">of the 4400-4800 MHz frequency band </w:t>
      </w:r>
      <w:r>
        <w:t>i</w:t>
      </w:r>
      <w:r w:rsidR="00D21B5A" w:rsidRPr="00521878">
        <w:t>n case deployment scenarios and parameters of IMT have not changed with respect to WRC-15, WRC-19 and WRC-23 studies</w:t>
      </w:r>
      <w:r w:rsidR="00F41320">
        <w:t>.</w:t>
      </w:r>
    </w:p>
    <w:p w14:paraId="13A8D9F5" w14:textId="4A64DB48" w:rsidR="00075C78" w:rsidRPr="00521878" w:rsidRDefault="00075C78" w:rsidP="00D21B5A">
      <w:r w:rsidRPr="00075C78">
        <w:t>CEPT also supports the need for measures to protect possible new primary EESS (passive) allocation in the frequency band 4.2-4.4 GHz under WRC-27 AI 1.19 in case of IMT identification</w:t>
      </w:r>
      <w:r>
        <w:t>.</w:t>
      </w:r>
    </w:p>
    <w:p w14:paraId="7FDEEB97" w14:textId="0EBBE089" w:rsidR="00D21B5A" w:rsidRPr="00521878" w:rsidRDefault="00D21B5A" w:rsidP="007907C1">
      <w:pPr>
        <w:rPr>
          <w:rStyle w:val="ECCHLbold"/>
        </w:rPr>
      </w:pPr>
      <w:r w:rsidRPr="00521878">
        <w:rPr>
          <w:rStyle w:val="ECCHLbold"/>
        </w:rPr>
        <w:t>7125-8400 MHz</w:t>
      </w:r>
    </w:p>
    <w:p w14:paraId="5EE6329F" w14:textId="14128E5C" w:rsidR="00C70453" w:rsidRPr="00521878" w:rsidRDefault="00D21B5A" w:rsidP="00C70453">
      <w:pPr>
        <w:rPr>
          <w:rStyle w:val="ECCParagraph"/>
        </w:rPr>
      </w:pPr>
      <w:r w:rsidRPr="00521878">
        <w:t xml:space="preserve">CEPT could consider an IMT identification of the frequency band 7125-7250 MHz if, and will oppose an IMT identification in the frequency range 7250-8400 MHz or parts thereof unless, </w:t>
      </w:r>
      <w:r w:rsidRPr="00521878">
        <w:rPr>
          <w:rStyle w:val="ECCParagraph"/>
        </w:rPr>
        <w:t>t</w:t>
      </w:r>
      <w:r w:rsidR="00C70453" w:rsidRPr="00521878">
        <w:rPr>
          <w:rStyle w:val="ECCParagraph"/>
        </w:rPr>
        <w:t xml:space="preserve">he current and future operations of all existing primary allocated radiocommunication services  in the frequency range 7125-8400 MHz and adjacent frequency bands  shall be protected from harmful interference caused by IMT networks </w:t>
      </w:r>
      <w:r w:rsidR="00262DB9">
        <w:rPr>
          <w:rStyle w:val="ECCParagraph"/>
        </w:rPr>
        <w:t xml:space="preserve">provided </w:t>
      </w:r>
      <w:r w:rsidR="00C70453" w:rsidRPr="00521878">
        <w:rPr>
          <w:rStyle w:val="ECCParagraph"/>
        </w:rPr>
        <w:t>that:</w:t>
      </w:r>
    </w:p>
    <w:p w14:paraId="4030D6DA" w14:textId="00480A41" w:rsidR="00C70453" w:rsidRPr="00521878" w:rsidRDefault="00C70453" w:rsidP="00C70453">
      <w:pPr>
        <w:pStyle w:val="ECCBulletsLv1"/>
        <w:rPr>
          <w:rStyle w:val="ECCParagraph"/>
        </w:rPr>
      </w:pPr>
      <w:r w:rsidRPr="00521878">
        <w:rPr>
          <w:rStyle w:val="ECCParagraph"/>
        </w:rPr>
        <w:t xml:space="preserve">the continued operation of the incumbent’s usage is guaranteed, especially taking into account the deployment of transportable stations in the FSS, MSS/MMSS on short notice and in any locations, within national relevant territories or in international spaces; </w:t>
      </w:r>
    </w:p>
    <w:p w14:paraId="2CAF41E9" w14:textId="77777777" w:rsidR="00C70453" w:rsidRPr="00521878" w:rsidRDefault="00C70453" w:rsidP="00C70453">
      <w:pPr>
        <w:pStyle w:val="ECCBulletsLv1"/>
        <w:rPr>
          <w:rStyle w:val="ECCParagraph"/>
        </w:rPr>
      </w:pPr>
      <w:r w:rsidRPr="00521878">
        <w:rPr>
          <w:rStyle w:val="ECCParagraph"/>
        </w:rPr>
        <w:t>communications from space stations to Earth stations of EESS (including transportable stations), SRS and METSAT can be protected globally, as this band is the main band used for collecting data from satellites;</w:t>
      </w:r>
    </w:p>
    <w:p w14:paraId="5A8063E1" w14:textId="668B166A" w:rsidR="00C70453" w:rsidRPr="00521878" w:rsidRDefault="00C70453" w:rsidP="00C70453">
      <w:pPr>
        <w:pStyle w:val="ECCBulletsLv1"/>
        <w:rPr>
          <w:rStyle w:val="ECCParagraph"/>
        </w:rPr>
      </w:pPr>
      <w:r w:rsidRPr="00521878">
        <w:rPr>
          <w:rStyle w:val="ECCParagraph"/>
        </w:rPr>
        <w:t>no additional regulatory, technical or operational restrictions are imposed on existing primary services, with special regards to those that  are ensuring the implementation of space strategies and policies;</w:t>
      </w:r>
    </w:p>
    <w:p w14:paraId="0A849F95" w14:textId="77777777" w:rsidR="00C70453" w:rsidRPr="00521878" w:rsidRDefault="00C70453" w:rsidP="00C70453">
      <w:pPr>
        <w:pStyle w:val="ECCBulletsLv1"/>
        <w:rPr>
          <w:rStyle w:val="ECCParagraph"/>
        </w:rPr>
      </w:pPr>
      <w:r w:rsidRPr="00521878">
        <w:rPr>
          <w:rStyle w:val="ECCParagraph"/>
        </w:rPr>
        <w:t>the continued operations of FS deployed extensively in CEPT countries is guaranteed.</w:t>
      </w:r>
    </w:p>
    <w:p w14:paraId="0F0D8E36" w14:textId="1CEADFBD" w:rsidR="00DD664A" w:rsidRDefault="00DD664A" w:rsidP="00C70453">
      <w:r w:rsidRPr="00075C78">
        <w:t xml:space="preserve">CEPT also supports the need for measures to protect possible new primary EESS (passive) allocation in the frequency band </w:t>
      </w:r>
      <w:r>
        <w:t>8.4</w:t>
      </w:r>
      <w:r w:rsidRPr="00075C78">
        <w:t>-</w:t>
      </w:r>
      <w:r>
        <w:t>8.5</w:t>
      </w:r>
      <w:r w:rsidRPr="00075C78">
        <w:t xml:space="preserve"> GHz under WRC-27 AI 1.19 in case of IMT identification</w:t>
      </w:r>
      <w:r>
        <w:t>.</w:t>
      </w:r>
    </w:p>
    <w:p w14:paraId="0831F5C0" w14:textId="77777777" w:rsidR="00D21B5A" w:rsidRPr="00521878" w:rsidRDefault="00D21B5A" w:rsidP="007907C1">
      <w:pPr>
        <w:rPr>
          <w:rStyle w:val="ECCHLbold"/>
        </w:rPr>
      </w:pPr>
      <w:r w:rsidRPr="00521878">
        <w:rPr>
          <w:rStyle w:val="ECCHLbold"/>
        </w:rPr>
        <w:t xml:space="preserve">14.8-15.35 GHz </w:t>
      </w:r>
    </w:p>
    <w:p w14:paraId="7FAD8742" w14:textId="7653B9A3" w:rsidR="00D21B5A" w:rsidRPr="00521878" w:rsidRDefault="00D21B5A" w:rsidP="00D21B5A">
      <w:r w:rsidRPr="00521878">
        <w:t xml:space="preserve">CEPT is of the view that existing users, including stations of the aeronautical mobile service that need to be deployed on short notice, on any locations within national relevant territories or in international spaces, must be protected and which is not expected to be practical/feasible </w:t>
      </w:r>
      <w:r w:rsidR="00D03BD1" w:rsidRPr="00521878">
        <w:t xml:space="preserve">with an IMT identification </w:t>
      </w:r>
      <w:r w:rsidRPr="00521878">
        <w:t xml:space="preserve">unless otherwise demonstrated. </w:t>
      </w:r>
    </w:p>
    <w:p w14:paraId="3F2AFE3D" w14:textId="77777777" w:rsidR="00D21B5A" w:rsidRPr="00521878" w:rsidRDefault="00D21B5A" w:rsidP="00D21B5A">
      <w:pPr>
        <w:pStyle w:val="Heading1"/>
        <w:rPr>
          <w:lang w:val="en-GB"/>
        </w:rPr>
      </w:pPr>
      <w:bookmarkStart w:id="2" w:name="_pcul405irrrc" w:colFirst="0" w:colLast="0"/>
      <w:bookmarkStart w:id="3" w:name="_Toc94813625"/>
      <w:bookmarkEnd w:id="2"/>
      <w:r w:rsidRPr="00521878">
        <w:rPr>
          <w:lang w:val="en-GB"/>
        </w:rPr>
        <w:t>Background</w:t>
      </w:r>
      <w:bookmarkEnd w:id="3"/>
      <w:r w:rsidRPr="00521878">
        <w:rPr>
          <w:lang w:val="en-GB"/>
        </w:rPr>
        <w:t xml:space="preserve"> </w:t>
      </w:r>
    </w:p>
    <w:p w14:paraId="6A6EB290" w14:textId="77777777" w:rsidR="009D30B8" w:rsidRPr="00521878" w:rsidRDefault="009D30B8" w:rsidP="009D30B8">
      <w:pPr>
        <w:pStyle w:val="ECCEditorsNote"/>
        <w:rPr>
          <w:lang w:val="en-GB"/>
        </w:rPr>
      </w:pPr>
      <w:bookmarkStart w:id="4" w:name="_Toc94813636"/>
      <w:r w:rsidRPr="00521878">
        <w:rPr>
          <w:lang w:val="en-GB"/>
        </w:rPr>
        <w:t>There are elements in this draft CEPT Brief related to the outcome of the studies that draws on the experience of previous work. Submission of studies at future meetings are to be taken into account to verify and/or revise these elements.</w:t>
      </w:r>
    </w:p>
    <w:p w14:paraId="6F684F63" w14:textId="4C560DFD" w:rsidR="00D21B5A" w:rsidRPr="00521878" w:rsidRDefault="00D21B5A" w:rsidP="00D21B5A">
      <w:r w:rsidRPr="00521878">
        <w:t xml:space="preserve">During the WRC-23 preparation, under agenda item 10, CEPT discussed extensively its position concerning possible new WRC-27 agenda item. One of the proposed items was to consider potential IMT Identifications. The conclusion of these discussions was summarized in the CEPT Brief on AI 10 (document </w:t>
      </w:r>
      <w:bookmarkStart w:id="5" w:name="OLE_LINK1"/>
      <w:r w:rsidRPr="00521878">
        <w:fldChar w:fldCharType="begin"/>
      </w:r>
      <w:r w:rsidRPr="00521878">
        <w:instrText>HYPERLINK "https://cept.org/Documents/cpg/80168/cpg-23-060-annex-iv-27_cept-brief-on-wrc-23-agenda-item-10"</w:instrText>
      </w:r>
      <w:r w:rsidRPr="00521878">
        <w:fldChar w:fldCharType="separate"/>
      </w:r>
      <w:r w:rsidRPr="00521878">
        <w:rPr>
          <w:rStyle w:val="Hyperlink"/>
        </w:rPr>
        <w:t>CPG(23)060</w:t>
      </w:r>
      <w:bookmarkEnd w:id="5"/>
      <w:r w:rsidRPr="00521878">
        <w:fldChar w:fldCharType="end"/>
      </w:r>
      <w:r w:rsidRPr="00521878">
        <w:t>), in which CEPT did not support the consideration of the frequency range 7.125-24 GHz</w:t>
      </w:r>
      <w:r w:rsidR="007D1B4E">
        <w:t xml:space="preserve">. </w:t>
      </w:r>
      <w:r w:rsidRPr="00521878">
        <w:t>Taken into account results of WRC-15, strategic and extensive use including AMS MMS services located in international airspace or waters (see CEPT position WRC-23 AI 1.1), CEPT opposed the frequency band 4.4</w:t>
      </w:r>
      <w:r w:rsidR="00E062B8" w:rsidRPr="00521878">
        <w:t>-</w:t>
      </w:r>
      <w:r w:rsidRPr="00521878">
        <w:t>4.8 GHz at WRC-23.</w:t>
      </w:r>
    </w:p>
    <w:p w14:paraId="0FBA7205" w14:textId="77777777" w:rsidR="00D21B5A" w:rsidRPr="00521878" w:rsidRDefault="00D21B5A" w:rsidP="00D21B5A">
      <w:pPr>
        <w:rPr>
          <w:rStyle w:val="ECCParagraph"/>
        </w:rPr>
      </w:pPr>
      <w:r w:rsidRPr="00521878">
        <w:rPr>
          <w:rStyle w:val="ECCParagraph"/>
        </w:rPr>
        <w:t xml:space="preserve">Despite CEPT opposition, WRC-23 decided to invite WRC-27 to conduct sharing and compatibility studies, and based on their results, to consider a possible identification for the terrestrial component of IMT, in frequency bands listed in Resolution </w:t>
      </w:r>
      <w:r w:rsidRPr="001202CF">
        <w:rPr>
          <w:rStyle w:val="ECCHLbold"/>
        </w:rPr>
        <w:t>256 (WRC-23)</w:t>
      </w:r>
      <w:r w:rsidRPr="00521878">
        <w:rPr>
          <w:rStyle w:val="ECCParagraph"/>
        </w:rPr>
        <w:t>.</w:t>
      </w:r>
    </w:p>
    <w:p w14:paraId="7EB4D067" w14:textId="77777777" w:rsidR="00D21B5A" w:rsidRPr="00521878" w:rsidRDefault="00D21B5A" w:rsidP="00D21B5A">
      <w:pPr>
        <w:rPr>
          <w:rStyle w:val="ECCParagraph"/>
        </w:rPr>
      </w:pPr>
      <w:r w:rsidRPr="00521878">
        <w:rPr>
          <w:rStyle w:val="ECCParagraph"/>
        </w:rPr>
        <w:t>The following sections list the incumbent services and include a summary of the sharing studies between those services and IMT in each of the frequency bands. Sharing studies in adjacent bands with IMT could be proposed as appropriate.</w:t>
      </w:r>
    </w:p>
    <w:p w14:paraId="53DC86B7" w14:textId="77777777" w:rsidR="00D21B5A" w:rsidRPr="00521878" w:rsidRDefault="00D21B5A" w:rsidP="00D21B5A">
      <w:pPr>
        <w:pStyle w:val="Heading2"/>
        <w:rPr>
          <w:rStyle w:val="ECCParagraph"/>
        </w:rPr>
      </w:pPr>
      <w:r w:rsidRPr="00521878">
        <w:rPr>
          <w:rStyle w:val="ECCParagraph"/>
        </w:rPr>
        <w:t xml:space="preserve">Spectrum Allocations (ITU-R) in the bands </w:t>
      </w:r>
      <w:bookmarkEnd w:id="4"/>
      <w:r w:rsidRPr="00521878">
        <w:rPr>
          <w:rStyle w:val="ECCParagraph"/>
        </w:rPr>
        <w:t>(OR PARTS THEREOF)</w:t>
      </w:r>
    </w:p>
    <w:p w14:paraId="4E290301" w14:textId="77777777" w:rsidR="00D21B5A" w:rsidRPr="00521878" w:rsidRDefault="00D21B5A" w:rsidP="00D21B5A">
      <w:pPr>
        <w:rPr>
          <w:rStyle w:val="ECCParagraph"/>
        </w:rPr>
      </w:pPr>
      <w:r w:rsidRPr="00521878">
        <w:rPr>
          <w:rStyle w:val="ECCParagraph"/>
        </w:rPr>
        <w:t xml:space="preserve">There are a number of services to which the band has already been allocated in the Radio Regulations. In this regard, and of particular relevance, the following </w:t>
      </w:r>
      <w:r w:rsidRPr="00521878">
        <w:rPr>
          <w:rStyle w:val="ECCParagraph"/>
        </w:rPr>
        <w:fldChar w:fldCharType="begin"/>
      </w:r>
      <w:r w:rsidRPr="00521878">
        <w:rPr>
          <w:rStyle w:val="ECCParagraph"/>
        </w:rPr>
        <w:instrText xml:space="preserve"> REF _Ref167883536 \h </w:instrText>
      </w:r>
      <w:r w:rsidRPr="00521878">
        <w:rPr>
          <w:rStyle w:val="ECCParagraph"/>
        </w:rPr>
      </w:r>
      <w:r w:rsidRPr="00521878">
        <w:rPr>
          <w:rStyle w:val="ECCParagraph"/>
        </w:rPr>
        <w:fldChar w:fldCharType="separate"/>
      </w:r>
      <w:r w:rsidRPr="00521878">
        <w:t>Table 1</w:t>
      </w:r>
      <w:r w:rsidRPr="00521878">
        <w:rPr>
          <w:rStyle w:val="ECCParagraph"/>
        </w:rPr>
        <w:fldChar w:fldCharType="end"/>
      </w:r>
      <w:r w:rsidRPr="00521878">
        <w:rPr>
          <w:rStyle w:val="ECCParagraph"/>
        </w:rPr>
        <w:t xml:space="preserve"> is noted. </w:t>
      </w:r>
      <w:bookmarkStart w:id="6" w:name="_Toc94813637"/>
    </w:p>
    <w:p w14:paraId="1665261E" w14:textId="77777777" w:rsidR="00D21B5A" w:rsidRPr="00521878" w:rsidRDefault="00D21B5A" w:rsidP="00D21B5A">
      <w:pPr>
        <w:pStyle w:val="Caption"/>
        <w:rPr>
          <w:lang w:val="en-GB"/>
        </w:rPr>
      </w:pPr>
      <w:bookmarkStart w:id="7" w:name="_Ref167883536"/>
      <w:r w:rsidRPr="00521878">
        <w:rPr>
          <w:lang w:val="en-GB"/>
        </w:rPr>
        <w:lastRenderedPageBreak/>
        <w:t xml:space="preserve">Table </w:t>
      </w:r>
      <w:r w:rsidRPr="00521878">
        <w:rPr>
          <w:lang w:val="en-GB"/>
        </w:rPr>
        <w:fldChar w:fldCharType="begin"/>
      </w:r>
      <w:r w:rsidRPr="00521878">
        <w:rPr>
          <w:lang w:val="en-GB"/>
        </w:rPr>
        <w:instrText xml:space="preserve"> SEQ Table \* ARABIC </w:instrText>
      </w:r>
      <w:r w:rsidRPr="00521878">
        <w:rPr>
          <w:lang w:val="en-GB"/>
        </w:rPr>
        <w:fldChar w:fldCharType="separate"/>
      </w:r>
      <w:r w:rsidRPr="00521878">
        <w:rPr>
          <w:lang w:val="en-GB"/>
        </w:rPr>
        <w:t>1</w:t>
      </w:r>
      <w:r w:rsidRPr="00521878">
        <w:rPr>
          <w:lang w:val="en-GB"/>
        </w:rPr>
        <w:fldChar w:fldCharType="end"/>
      </w:r>
      <w:bookmarkEnd w:id="7"/>
      <w:r w:rsidRPr="00521878">
        <w:rPr>
          <w:lang w:val="en-GB"/>
        </w:rPr>
        <w:t>: Allocations to radiocommunications services</w:t>
      </w:r>
    </w:p>
    <w:tbl>
      <w:tblPr>
        <w:tblStyle w:val="ECCTable-redheader"/>
        <w:tblW w:w="9360" w:type="dxa"/>
        <w:tblInd w:w="0" w:type="dxa"/>
        <w:tblLayout w:type="fixed"/>
        <w:tblLook w:val="04A0" w:firstRow="1" w:lastRow="0" w:firstColumn="1" w:lastColumn="0" w:noHBand="0" w:noVBand="1"/>
      </w:tblPr>
      <w:tblGrid>
        <w:gridCol w:w="9360"/>
      </w:tblGrid>
      <w:tr w:rsidR="00E27609" w:rsidRPr="00521878" w14:paraId="5A1817A5" w14:textId="77777777" w:rsidTr="00E27609">
        <w:trPr>
          <w:cnfStyle w:val="100000000000" w:firstRow="1" w:lastRow="0" w:firstColumn="0" w:lastColumn="0" w:oddVBand="0" w:evenVBand="0" w:oddHBand="0" w:evenHBand="0" w:firstRowFirstColumn="0" w:firstRowLastColumn="0" w:lastRowFirstColumn="0" w:lastRowLastColumn="0"/>
        </w:trPr>
        <w:tc>
          <w:tcPr>
            <w:tcW w:w="9360" w:type="dxa"/>
            <w:hideMark/>
          </w:tcPr>
          <w:p w14:paraId="28C9A051" w14:textId="303299B6" w:rsidR="00E27609" w:rsidRPr="00521878" w:rsidRDefault="00E27609" w:rsidP="00E27609">
            <w:pPr>
              <w:pStyle w:val="ECCTablenote"/>
            </w:pPr>
            <w:r w:rsidRPr="00521878">
              <w:t>for the 4.4 to 4.8 GHz and adjacent bands</w:t>
            </w:r>
          </w:p>
        </w:tc>
      </w:tr>
      <w:tr w:rsidR="00E27609" w:rsidRPr="00521878" w14:paraId="2F051D87" w14:textId="77777777" w:rsidTr="00E27609">
        <w:tc>
          <w:tcPr>
            <w:tcW w:w="9360" w:type="dxa"/>
            <w:hideMark/>
          </w:tcPr>
          <w:p w14:paraId="61289929" w14:textId="77777777" w:rsidR="00E27609" w:rsidRPr="00521878" w:rsidRDefault="00E27609" w:rsidP="001202CF">
            <w:pPr>
              <w:pStyle w:val="ECCTabletext"/>
              <w:rPr>
                <w:rStyle w:val="ECCHLgreen"/>
                <w:shd w:val="clear" w:color="auto" w:fill="auto"/>
                <w:lang w:eastAsia="en-US"/>
              </w:rPr>
            </w:pPr>
            <w:r w:rsidRPr="00521878">
              <w:rPr>
                <w:rStyle w:val="ECCHLgreen"/>
                <w:shd w:val="clear" w:color="auto" w:fill="auto"/>
              </w:rPr>
              <w:t xml:space="preserve">4 200-4 400 </w:t>
            </w:r>
            <w:r w:rsidRPr="00521878">
              <w:rPr>
                <w:rStyle w:val="ECCHLgreen"/>
                <w:shd w:val="clear" w:color="auto" w:fill="auto"/>
              </w:rPr>
              <w:tab/>
              <w:t>AERONAUTICAL MOBILE (R) 5.436</w:t>
            </w:r>
          </w:p>
          <w:p w14:paraId="6D88AA96" w14:textId="77777777" w:rsidR="00E27609" w:rsidRPr="00521878" w:rsidRDefault="00E27609" w:rsidP="001202CF">
            <w:pPr>
              <w:pStyle w:val="ECCTabletext"/>
              <w:rPr>
                <w:rStyle w:val="ECCHLgreen"/>
                <w:shd w:val="clear" w:color="auto" w:fill="auto"/>
                <w:lang w:eastAsia="en-US"/>
              </w:rPr>
            </w:pPr>
            <w:r w:rsidRPr="00521878">
              <w:rPr>
                <w:rStyle w:val="ECCHLgreen"/>
                <w:shd w:val="clear" w:color="auto" w:fill="auto"/>
              </w:rPr>
              <w:tab/>
            </w:r>
            <w:r w:rsidRPr="00521878">
              <w:rPr>
                <w:rStyle w:val="ECCHLgreen"/>
                <w:shd w:val="clear" w:color="auto" w:fill="auto"/>
              </w:rPr>
              <w:tab/>
              <w:t>AERONAUTICAL RADIONAVIGATION 5.438  5.437  5.439  5.440</w:t>
            </w:r>
          </w:p>
        </w:tc>
      </w:tr>
      <w:tr w:rsidR="00E27609" w:rsidRPr="00521878" w14:paraId="4BCCCC9F" w14:textId="77777777" w:rsidTr="00E27609">
        <w:tc>
          <w:tcPr>
            <w:tcW w:w="9360" w:type="dxa"/>
          </w:tcPr>
          <w:p w14:paraId="419C25CB" w14:textId="77777777" w:rsidR="00E27609" w:rsidRPr="00521878" w:rsidRDefault="00E27609" w:rsidP="001202CF">
            <w:pPr>
              <w:pStyle w:val="ECCTabletext"/>
              <w:rPr>
                <w:rStyle w:val="ECCHLgreen"/>
                <w:shd w:val="clear" w:color="auto" w:fill="auto"/>
                <w:lang w:eastAsia="en-US"/>
              </w:rPr>
            </w:pPr>
            <w:r w:rsidRPr="00521878">
              <w:rPr>
                <w:rStyle w:val="ECCHLgreen"/>
                <w:shd w:val="clear" w:color="auto" w:fill="auto"/>
              </w:rPr>
              <w:t xml:space="preserve">4 400-4 500 </w:t>
            </w:r>
            <w:r w:rsidRPr="00521878">
              <w:rPr>
                <w:rStyle w:val="ECCHLgreen"/>
                <w:shd w:val="clear" w:color="auto" w:fill="auto"/>
              </w:rPr>
              <w:tab/>
              <w:t>FIXED</w:t>
            </w:r>
          </w:p>
          <w:p w14:paraId="1E62B52A" w14:textId="77777777" w:rsidR="00E27609" w:rsidRPr="00521878" w:rsidRDefault="00E27609" w:rsidP="001202CF">
            <w:pPr>
              <w:pStyle w:val="ECCTabletext"/>
              <w:rPr>
                <w:rStyle w:val="ECCHLgreen"/>
                <w:shd w:val="clear" w:color="auto" w:fill="auto"/>
                <w:lang w:eastAsia="en-US"/>
              </w:rPr>
            </w:pPr>
            <w:r w:rsidRPr="00521878">
              <w:rPr>
                <w:rStyle w:val="ECCHLgreen"/>
                <w:shd w:val="clear" w:color="auto" w:fill="auto"/>
              </w:rPr>
              <w:tab/>
            </w:r>
            <w:r w:rsidRPr="00521878">
              <w:rPr>
                <w:rStyle w:val="ECCHLgreen"/>
                <w:shd w:val="clear" w:color="auto" w:fill="auto"/>
              </w:rPr>
              <w:tab/>
              <w:t>MOBILE  5.440A</w:t>
            </w:r>
          </w:p>
        </w:tc>
      </w:tr>
      <w:tr w:rsidR="00E27609" w:rsidRPr="00521878" w14:paraId="4D322EA6" w14:textId="77777777" w:rsidTr="00E27609">
        <w:tc>
          <w:tcPr>
            <w:tcW w:w="9360" w:type="dxa"/>
          </w:tcPr>
          <w:p w14:paraId="0AD2CABA" w14:textId="77777777" w:rsidR="00E27609" w:rsidRPr="00521878" w:rsidRDefault="00E27609" w:rsidP="001202CF">
            <w:pPr>
              <w:pStyle w:val="ECCTabletext"/>
              <w:rPr>
                <w:rStyle w:val="ECCHLgreen"/>
                <w:shd w:val="clear" w:color="auto" w:fill="auto"/>
                <w:lang w:eastAsia="en-US"/>
              </w:rPr>
            </w:pPr>
            <w:r w:rsidRPr="00521878">
              <w:rPr>
                <w:rStyle w:val="ECCHLgreen"/>
                <w:shd w:val="clear" w:color="auto" w:fill="auto"/>
              </w:rPr>
              <w:t>4 500-4 800</w:t>
            </w:r>
            <w:r w:rsidRPr="00521878">
              <w:rPr>
                <w:rStyle w:val="ECCHLgreen"/>
                <w:shd w:val="clear" w:color="auto" w:fill="auto"/>
              </w:rPr>
              <w:tab/>
              <w:t>FIXED</w:t>
            </w:r>
          </w:p>
          <w:p w14:paraId="53B808AD" w14:textId="77777777" w:rsidR="00E27609" w:rsidRPr="00521878" w:rsidRDefault="00E27609" w:rsidP="001202CF">
            <w:pPr>
              <w:pStyle w:val="ECCTabletext"/>
              <w:rPr>
                <w:rStyle w:val="ECCHLgreen"/>
                <w:shd w:val="clear" w:color="auto" w:fill="auto"/>
                <w:lang w:eastAsia="en-US"/>
              </w:rPr>
            </w:pPr>
            <w:r w:rsidRPr="00521878">
              <w:rPr>
                <w:rStyle w:val="ECCHLgreen"/>
                <w:shd w:val="clear" w:color="auto" w:fill="auto"/>
              </w:rPr>
              <w:tab/>
            </w:r>
            <w:r w:rsidRPr="00521878">
              <w:rPr>
                <w:rStyle w:val="ECCHLgreen"/>
                <w:shd w:val="clear" w:color="auto" w:fill="auto"/>
              </w:rPr>
              <w:tab/>
              <w:t>FIXED-SATELLITE (space-to-Earth) 5.441</w:t>
            </w:r>
          </w:p>
          <w:p w14:paraId="5631BD26" w14:textId="77777777" w:rsidR="00E27609" w:rsidRPr="00521878" w:rsidRDefault="00E27609" w:rsidP="001202CF">
            <w:pPr>
              <w:pStyle w:val="ECCTabletext"/>
              <w:rPr>
                <w:rStyle w:val="ECCHLgreen"/>
                <w:shd w:val="clear" w:color="auto" w:fill="auto"/>
                <w:lang w:eastAsia="en-US"/>
              </w:rPr>
            </w:pPr>
            <w:r w:rsidRPr="00521878">
              <w:rPr>
                <w:rStyle w:val="ECCHLgreen"/>
                <w:shd w:val="clear" w:color="auto" w:fill="auto"/>
              </w:rPr>
              <w:tab/>
            </w:r>
            <w:r w:rsidRPr="00521878">
              <w:rPr>
                <w:rStyle w:val="ECCHLgreen"/>
                <w:shd w:val="clear" w:color="auto" w:fill="auto"/>
              </w:rPr>
              <w:tab/>
              <w:t>MOBILE  5.441A</w:t>
            </w:r>
          </w:p>
        </w:tc>
      </w:tr>
      <w:tr w:rsidR="00E27609" w:rsidRPr="00521878" w14:paraId="265C5EE3" w14:textId="77777777" w:rsidTr="00E27609">
        <w:tc>
          <w:tcPr>
            <w:tcW w:w="9360" w:type="dxa"/>
          </w:tcPr>
          <w:p w14:paraId="193479F6" w14:textId="77777777" w:rsidR="00E27609" w:rsidRPr="00521878" w:rsidRDefault="00E27609" w:rsidP="001202CF">
            <w:pPr>
              <w:pStyle w:val="ECCTabletext"/>
              <w:rPr>
                <w:rStyle w:val="ECCHLgreen"/>
                <w:shd w:val="clear" w:color="auto" w:fill="auto"/>
                <w:lang w:eastAsia="en-US"/>
              </w:rPr>
            </w:pPr>
            <w:r w:rsidRPr="00521878">
              <w:rPr>
                <w:rStyle w:val="ECCHLgreen"/>
                <w:shd w:val="clear" w:color="auto" w:fill="auto"/>
              </w:rPr>
              <w:t>4 800-4 990</w:t>
            </w:r>
            <w:r w:rsidRPr="00521878">
              <w:rPr>
                <w:rStyle w:val="ECCHLgreen"/>
                <w:shd w:val="clear" w:color="auto" w:fill="auto"/>
              </w:rPr>
              <w:tab/>
              <w:t>FIXED</w:t>
            </w:r>
          </w:p>
          <w:p w14:paraId="0D379C2D" w14:textId="77777777" w:rsidR="00E27609" w:rsidRPr="00521878" w:rsidRDefault="00E27609" w:rsidP="001202CF">
            <w:pPr>
              <w:pStyle w:val="ECCTabletext"/>
              <w:rPr>
                <w:rStyle w:val="ECCHLgreen"/>
                <w:shd w:val="clear" w:color="auto" w:fill="auto"/>
                <w:lang w:eastAsia="en-US"/>
              </w:rPr>
            </w:pPr>
            <w:r w:rsidRPr="00521878">
              <w:rPr>
                <w:rStyle w:val="ECCHLgreen"/>
                <w:shd w:val="clear" w:color="auto" w:fill="auto"/>
              </w:rPr>
              <w:tab/>
            </w:r>
            <w:r w:rsidRPr="00521878">
              <w:rPr>
                <w:rStyle w:val="ECCHLgreen"/>
                <w:shd w:val="clear" w:color="auto" w:fill="auto"/>
              </w:rPr>
              <w:tab/>
              <w:t>MOBILE 5.440A  5.441A  5.441B  5.442</w:t>
            </w:r>
          </w:p>
          <w:p w14:paraId="296F1A9A" w14:textId="77777777" w:rsidR="00E27609" w:rsidRPr="00521878" w:rsidRDefault="00E27609" w:rsidP="001202CF">
            <w:pPr>
              <w:pStyle w:val="ECCTabletext"/>
              <w:rPr>
                <w:rStyle w:val="ECCHLgreen"/>
                <w:shd w:val="clear" w:color="auto" w:fill="auto"/>
                <w:lang w:eastAsia="en-US"/>
              </w:rPr>
            </w:pPr>
            <w:r w:rsidRPr="00521878">
              <w:rPr>
                <w:rStyle w:val="ECCHLgreen"/>
                <w:shd w:val="clear" w:color="auto" w:fill="auto"/>
              </w:rPr>
              <w:tab/>
            </w:r>
            <w:r w:rsidRPr="00521878">
              <w:rPr>
                <w:rStyle w:val="ECCHLgreen"/>
                <w:shd w:val="clear" w:color="auto" w:fill="auto"/>
              </w:rPr>
              <w:tab/>
              <w:t>Radio astronomy 5.149  5.339  5.443</w:t>
            </w:r>
          </w:p>
        </w:tc>
      </w:tr>
      <w:tr w:rsidR="00E27609" w:rsidRPr="00521878" w14:paraId="208B0729" w14:textId="77777777" w:rsidTr="00E27609">
        <w:tc>
          <w:tcPr>
            <w:tcW w:w="9360" w:type="dxa"/>
          </w:tcPr>
          <w:p w14:paraId="5C5EA5AE" w14:textId="77777777" w:rsidR="00E27609" w:rsidRPr="00521878" w:rsidRDefault="00E27609" w:rsidP="001202CF">
            <w:pPr>
              <w:pStyle w:val="ECCTabletext"/>
              <w:rPr>
                <w:rStyle w:val="ECCHLgreen"/>
                <w:shd w:val="clear" w:color="auto" w:fill="auto"/>
                <w:lang w:eastAsia="en-US"/>
              </w:rPr>
            </w:pPr>
            <w:r w:rsidRPr="00521878">
              <w:rPr>
                <w:rStyle w:val="ECCHLgreen"/>
                <w:shd w:val="clear" w:color="auto" w:fill="auto"/>
              </w:rPr>
              <w:t>4 990-5 000</w:t>
            </w:r>
            <w:r w:rsidRPr="00521878">
              <w:rPr>
                <w:rStyle w:val="ECCHLgreen"/>
                <w:shd w:val="clear" w:color="auto" w:fill="auto"/>
              </w:rPr>
              <w:tab/>
              <w:t>FIXED</w:t>
            </w:r>
          </w:p>
          <w:p w14:paraId="3606DE6D" w14:textId="77777777" w:rsidR="00E27609" w:rsidRPr="00521878" w:rsidRDefault="00E27609" w:rsidP="001202CF">
            <w:pPr>
              <w:pStyle w:val="ECCTabletext"/>
              <w:rPr>
                <w:rStyle w:val="ECCHLgreen"/>
                <w:shd w:val="clear" w:color="auto" w:fill="auto"/>
                <w:lang w:eastAsia="en-US"/>
              </w:rPr>
            </w:pPr>
            <w:r w:rsidRPr="00521878">
              <w:rPr>
                <w:rStyle w:val="ECCHLgreen"/>
                <w:shd w:val="clear" w:color="auto" w:fill="auto"/>
              </w:rPr>
              <w:tab/>
            </w:r>
            <w:r w:rsidRPr="00521878">
              <w:rPr>
                <w:rStyle w:val="ECCHLgreen"/>
                <w:shd w:val="clear" w:color="auto" w:fill="auto"/>
              </w:rPr>
              <w:tab/>
              <w:t>MOBILE except aeronautical mobile</w:t>
            </w:r>
          </w:p>
          <w:p w14:paraId="408FC9C0" w14:textId="77777777" w:rsidR="00E27609" w:rsidRPr="00521878" w:rsidRDefault="00E27609" w:rsidP="001202CF">
            <w:pPr>
              <w:pStyle w:val="ECCTabletext"/>
              <w:rPr>
                <w:rStyle w:val="ECCHLgreen"/>
                <w:shd w:val="clear" w:color="auto" w:fill="auto"/>
                <w:lang w:eastAsia="en-US"/>
              </w:rPr>
            </w:pPr>
            <w:r w:rsidRPr="00521878">
              <w:rPr>
                <w:rStyle w:val="ECCHLgreen"/>
                <w:shd w:val="clear" w:color="auto" w:fill="auto"/>
              </w:rPr>
              <w:tab/>
            </w:r>
            <w:r w:rsidRPr="00521878">
              <w:rPr>
                <w:rStyle w:val="ECCHLgreen"/>
                <w:shd w:val="clear" w:color="auto" w:fill="auto"/>
              </w:rPr>
              <w:tab/>
              <w:t>RADIO ASTRONOMY</w:t>
            </w:r>
          </w:p>
          <w:p w14:paraId="673B8F88" w14:textId="77777777" w:rsidR="00E27609" w:rsidRPr="00521878" w:rsidRDefault="00E27609" w:rsidP="001202CF">
            <w:pPr>
              <w:pStyle w:val="ECCTabletext"/>
              <w:rPr>
                <w:rStyle w:val="ECCHLgreen"/>
                <w:shd w:val="clear" w:color="auto" w:fill="auto"/>
                <w:lang w:eastAsia="en-US"/>
              </w:rPr>
            </w:pPr>
            <w:r w:rsidRPr="00521878">
              <w:rPr>
                <w:rStyle w:val="ECCHLgreen"/>
                <w:shd w:val="clear" w:color="auto" w:fill="auto"/>
              </w:rPr>
              <w:tab/>
            </w:r>
            <w:r w:rsidRPr="00521878">
              <w:rPr>
                <w:rStyle w:val="ECCHLgreen"/>
                <w:shd w:val="clear" w:color="auto" w:fill="auto"/>
              </w:rPr>
              <w:tab/>
              <w:t>Space research (passive)</w:t>
            </w:r>
          </w:p>
          <w:p w14:paraId="72FE4ADD" w14:textId="77777777" w:rsidR="00E27609" w:rsidRPr="00521878" w:rsidRDefault="00E27609" w:rsidP="001202CF">
            <w:pPr>
              <w:pStyle w:val="ECCTabletext"/>
              <w:rPr>
                <w:rStyle w:val="ECCHLgreen"/>
                <w:shd w:val="clear" w:color="auto" w:fill="auto"/>
                <w:lang w:eastAsia="en-US"/>
              </w:rPr>
            </w:pPr>
            <w:r w:rsidRPr="00521878">
              <w:rPr>
                <w:rStyle w:val="ECCHLgreen"/>
                <w:shd w:val="clear" w:color="auto" w:fill="auto"/>
              </w:rPr>
              <w:tab/>
            </w:r>
            <w:r w:rsidRPr="00521878">
              <w:rPr>
                <w:rStyle w:val="ECCHLgreen"/>
                <w:shd w:val="clear" w:color="auto" w:fill="auto"/>
              </w:rPr>
              <w:tab/>
              <w:t>5.149</w:t>
            </w:r>
          </w:p>
        </w:tc>
      </w:tr>
    </w:tbl>
    <w:p w14:paraId="3BD806BF" w14:textId="77777777" w:rsidR="00D21B5A" w:rsidRPr="00521878" w:rsidRDefault="00D21B5A" w:rsidP="00D21B5A">
      <w:r w:rsidRPr="00521878">
        <w:t>It needs to be noted that Satellite systems and networks operating in the Fixed-Satellite, Mobile-Satellite and Meteorological-Satellite Services of Region 1 operate on a global basis. Therefore, their operations may be impacted if IMT is introduced in this frequency range outside of Region 1.</w:t>
      </w:r>
    </w:p>
    <w:p w14:paraId="13527751" w14:textId="77777777" w:rsidR="00D21B5A" w:rsidRPr="00521878" w:rsidRDefault="00D21B5A" w:rsidP="00D21B5A">
      <w:pPr>
        <w:pStyle w:val="Heading2"/>
        <w:rPr>
          <w:lang w:val="en-GB"/>
        </w:rPr>
      </w:pPr>
      <w:r w:rsidRPr="00521878">
        <w:rPr>
          <w:lang w:val="en-GB"/>
        </w:rPr>
        <w:t>Allocations and usage as per ECA Table</w:t>
      </w:r>
      <w:bookmarkEnd w:id="6"/>
    </w:p>
    <w:p w14:paraId="7937A0BA" w14:textId="05483237" w:rsidR="00D21B5A" w:rsidRPr="00521878" w:rsidRDefault="00D21B5A" w:rsidP="006C386F">
      <w:pPr>
        <w:pStyle w:val="ECCEditorsNote"/>
        <w:rPr>
          <w:lang w:val="en-GB"/>
        </w:rPr>
      </w:pPr>
      <w:r w:rsidRPr="00521878">
        <w:t>The European Common Allocations (ECA) Table provides the current common allocations and usage within CEPT Member countries. The ECA Table provides multiple information relating to both allocations and application availability within CEPT Members.</w:t>
      </w:r>
    </w:p>
    <w:p w14:paraId="661DE9BE" w14:textId="77777777" w:rsidR="00D21B5A" w:rsidRPr="00521878" w:rsidRDefault="00D21B5A" w:rsidP="00E27609">
      <w:pPr>
        <w:pStyle w:val="Heading2"/>
        <w:rPr>
          <w:lang w:val="en-GB"/>
        </w:rPr>
      </w:pPr>
      <w:r w:rsidRPr="00521878">
        <w:rPr>
          <w:lang w:val="en-GB"/>
        </w:rPr>
        <w:t>European Space Strategy for Security and Defence (EU SSSD)</w:t>
      </w:r>
    </w:p>
    <w:p w14:paraId="249D06B3" w14:textId="77777777" w:rsidR="00D21B5A" w:rsidRPr="00521878" w:rsidRDefault="00D21B5A" w:rsidP="00D21B5A">
      <w:r w:rsidRPr="00521878">
        <w:t>The EU has classified its European Space Strategy for Security and Defense (EU SSSD) as critical for society and the economy. The term space includes all elements that are relevant to the operation of the space system. These include, among others, earth stations and the radio frequencies themselves.</w:t>
      </w:r>
    </w:p>
    <w:p w14:paraId="3716D15A" w14:textId="77777777" w:rsidR="00D21B5A" w:rsidRPr="00521878" w:rsidRDefault="00D21B5A" w:rsidP="00D21B5A">
      <w:r w:rsidRPr="00521878">
        <w:t>Another important component identified was the strengthening of the use of EU space systems and services, such as Copernicus, EUSPA and IRIS2.</w:t>
      </w:r>
    </w:p>
    <w:p w14:paraId="016A38C0" w14:textId="77777777" w:rsidR="00D21B5A" w:rsidRPr="00521878" w:rsidRDefault="00D21B5A" w:rsidP="00E47B67">
      <w:pPr>
        <w:pStyle w:val="Heading2"/>
        <w:rPr>
          <w:rStyle w:val="ECCHLorange"/>
          <w:shd w:val="clear" w:color="auto" w:fill="auto"/>
          <w:lang w:val="en-GB"/>
        </w:rPr>
      </w:pPr>
      <w:r w:rsidRPr="00521878">
        <w:rPr>
          <w:rStyle w:val="ECCHLorange"/>
          <w:shd w:val="clear" w:color="auto" w:fill="auto"/>
          <w:lang w:val="en-GB"/>
        </w:rPr>
        <w:t>Consideration on IMT-2030 spectrum needs</w:t>
      </w:r>
    </w:p>
    <w:p w14:paraId="630FC310" w14:textId="4A8EA343" w:rsidR="00D21B5A" w:rsidRPr="00521878" w:rsidRDefault="00D21B5A" w:rsidP="00D21B5A">
      <w:pPr>
        <w:pStyle w:val="ECCEditorsNote"/>
        <w:rPr>
          <w:lang w:val="en-GB"/>
        </w:rPr>
      </w:pPr>
      <w:r w:rsidRPr="00521878">
        <w:rPr>
          <w:lang w:val="en-GB"/>
        </w:rPr>
        <w:t xml:space="preserve">This section will be developed at future PT1 meetings. CEPT is developing a 6G Roadmap which may be </w:t>
      </w:r>
      <w:r w:rsidR="001202CF">
        <w:t>relevant</w:t>
      </w:r>
      <w:r w:rsidR="001202CF" w:rsidRPr="00521878">
        <w:rPr>
          <w:lang w:val="en-GB"/>
        </w:rPr>
        <w:t xml:space="preserve"> </w:t>
      </w:r>
      <w:r w:rsidRPr="00521878">
        <w:rPr>
          <w:lang w:val="en-GB"/>
        </w:rPr>
        <w:t xml:space="preserve">to this Brief and particularly this section. </w:t>
      </w:r>
    </w:p>
    <w:p w14:paraId="6EBB282F" w14:textId="078098A7" w:rsidR="00D21B5A" w:rsidRPr="00521878" w:rsidRDefault="00D21B5A" w:rsidP="00D21B5A">
      <w:pPr>
        <w:rPr>
          <w:rStyle w:val="ECCParagraph"/>
        </w:rPr>
      </w:pPr>
      <w:r w:rsidRPr="00521878">
        <w:rPr>
          <w:rStyle w:val="ECCParagraph"/>
        </w:rPr>
        <w:t>In Recommendation ITU-R M.2160 capabilities, usage scenarios and envisaged frequency bands that can satisfy the demand for IMT-2030 are described. European 6G research project Hexa-X contributed to the development of the Recommendation ITU-R M.2160.</w:t>
      </w:r>
      <w:r w:rsidR="009271A3" w:rsidRPr="00521878">
        <w:rPr>
          <w:rStyle w:val="ECCParagraph"/>
        </w:rPr>
        <w:t xml:space="preserve"> The objective of this Recommendation is to provide guidelines on the framework and overall objectives of the future development of IMT-2030 and is not directly addressing spectrum needs for IMT 2030.</w:t>
      </w:r>
      <w:r w:rsidR="009271A3" w:rsidRPr="00521878">
        <w:t xml:space="preserve"> </w:t>
      </w:r>
      <w:r w:rsidR="009271A3" w:rsidRPr="00521878">
        <w:rPr>
          <w:rStyle w:val="ECCParagraph"/>
        </w:rPr>
        <w:t xml:space="preserve">RSPG published a report on </w:t>
      </w:r>
      <w:r w:rsidR="009271A3" w:rsidRPr="00521878">
        <w:t>6G Strategic vision”</w:t>
      </w:r>
      <w:r w:rsidR="009271A3" w:rsidRPr="00521878">
        <w:rPr>
          <w:rStyle w:val="FootnoteReference"/>
        </w:rPr>
        <w:footnoteReference w:id="1"/>
      </w:r>
      <w:r w:rsidR="009271A3" w:rsidRPr="00521878">
        <w:rPr>
          <w:rStyle w:val="ECCParagraph"/>
        </w:rPr>
        <w:t xml:space="preserve">highlighting the </w:t>
      </w:r>
      <w:r w:rsidR="009271A3" w:rsidRPr="00521878">
        <w:rPr>
          <w:rStyle w:val="ECCParagraph"/>
        </w:rPr>
        <w:lastRenderedPageBreak/>
        <w:t>early spectrum implications that might be expected based on the IMT-2030 usage scenarios described in the Recommendation ITU-R M.2160. Furthermore, it is noted that GSMAi</w:t>
      </w:r>
      <w:bookmarkStart w:id="8" w:name="_Ref198482616"/>
      <w:r w:rsidR="009271A3" w:rsidRPr="00521878">
        <w:rPr>
          <w:rStyle w:val="FootnoteReference"/>
        </w:rPr>
        <w:footnoteReference w:id="2"/>
      </w:r>
      <w:bookmarkEnd w:id="8"/>
      <w:r w:rsidR="009271A3" w:rsidRPr="00521878">
        <w:rPr>
          <w:rStyle w:val="ECCParagraph"/>
        </w:rPr>
        <w:t xml:space="preserve"> has provided traffic growth forecasts [and needs to be taken into account]. </w:t>
      </w:r>
      <w:r w:rsidR="009271A3" w:rsidRPr="00521878" w:rsidDel="00D11395">
        <w:rPr>
          <w:rStyle w:val="ECCParagraph"/>
        </w:rPr>
        <w:t xml:space="preserve"> </w:t>
      </w:r>
    </w:p>
    <w:p w14:paraId="493F15C7" w14:textId="660ADD00" w:rsidR="00865EB4" w:rsidRPr="00521878" w:rsidRDefault="00865EB4" w:rsidP="00865EB4">
      <w:pPr>
        <w:pStyle w:val="ECCEditorsNote"/>
        <w:rPr>
          <w:rStyle w:val="ECCParagraph"/>
        </w:rPr>
      </w:pPr>
      <w:r w:rsidRPr="00521878">
        <w:rPr>
          <w:rStyle w:val="ECCParagraph"/>
        </w:rPr>
        <w:t>There was a comment that the following paragraphs are already addressed by the 1st Paragraph. However, others believe that it is important to retain these.  This issue will be discussed further at the next PT1 meeting]</w:t>
      </w:r>
    </w:p>
    <w:p w14:paraId="1D01838B" w14:textId="44427FBB" w:rsidR="00D21B5A" w:rsidRPr="00521878" w:rsidRDefault="00960B27" w:rsidP="00D21B5A">
      <w:pPr>
        <w:rPr>
          <w:rStyle w:val="ECCParagraph"/>
        </w:rPr>
      </w:pPr>
      <w:r w:rsidRPr="00521878">
        <w:rPr>
          <w:rStyle w:val="ECCParagraph"/>
        </w:rPr>
        <w:t>[</w:t>
      </w:r>
      <w:r w:rsidR="00D21B5A" w:rsidRPr="00521878">
        <w:rPr>
          <w:rStyle w:val="ECCParagraph"/>
        </w:rPr>
        <w:t>In accordance to this Recommendation the demand for a high-quality mobile connectivity is expected to increase continuously worldwide in the foreseeable future. Further GSMAi</w:t>
      </w:r>
      <w:r w:rsidR="00FE1E00" w:rsidRPr="00D16792">
        <w:rPr>
          <w:rStyle w:val="ECCHLsuperscript"/>
        </w:rPr>
        <w:fldChar w:fldCharType="begin"/>
      </w:r>
      <w:r w:rsidR="00FE1E00" w:rsidRPr="00D16792">
        <w:rPr>
          <w:rStyle w:val="ECCHLsuperscript"/>
        </w:rPr>
        <w:instrText xml:space="preserve"> NOTEREF _Ref198482616 \h </w:instrText>
      </w:r>
      <w:r w:rsidR="00D16792">
        <w:rPr>
          <w:rStyle w:val="ECCHLsuperscript"/>
        </w:rPr>
        <w:instrText xml:space="preserve"> \* MERGEFORMAT </w:instrText>
      </w:r>
      <w:r w:rsidR="00FE1E00" w:rsidRPr="00D16792">
        <w:rPr>
          <w:rStyle w:val="ECCHLsuperscript"/>
        </w:rPr>
      </w:r>
      <w:r w:rsidR="00FE1E00" w:rsidRPr="00D16792">
        <w:rPr>
          <w:rStyle w:val="ECCHLsuperscript"/>
        </w:rPr>
        <w:fldChar w:fldCharType="separate"/>
      </w:r>
      <w:r w:rsidR="00FE1E00" w:rsidRPr="00D16792">
        <w:rPr>
          <w:rStyle w:val="ECCHLsuperscript"/>
        </w:rPr>
        <w:t>2</w:t>
      </w:r>
      <w:r w:rsidR="00FE1E00" w:rsidRPr="00D16792">
        <w:rPr>
          <w:rStyle w:val="ECCHLsuperscript"/>
        </w:rPr>
        <w:fldChar w:fldCharType="end"/>
      </w:r>
      <w:r w:rsidR="00D21B5A" w:rsidRPr="00521878">
        <w:rPr>
          <w:rStyle w:val="ECCParagraph"/>
        </w:rPr>
        <w:t xml:space="preserve"> forecasts indicate that mobile traffic in Europe will grow to 71 GB per user and month in 2030, up from 17 GB in 2023, a CAGR of 22 %. The increasing demands cannot be met without additional spectrum resources as other measures for capacity management will be limited. With the introduction of 5G NR, system capacity has already been increased. 6G will enhance efficient spectrum use even further – but demand will substantially outgrow the technological efficiency improvement potential. Therefore, the availability of additional spectrum resources is crucial to meet digital goals</w:t>
      </w:r>
      <w:r w:rsidRPr="00521878">
        <w:rPr>
          <w:rStyle w:val="ECCParagraph"/>
        </w:rPr>
        <w:t>]</w:t>
      </w:r>
      <w:r w:rsidR="00D21B5A" w:rsidRPr="00521878">
        <w:rPr>
          <w:rStyle w:val="ECCParagraph"/>
        </w:rPr>
        <w:t xml:space="preserve">. </w:t>
      </w:r>
    </w:p>
    <w:p w14:paraId="5E2037B2" w14:textId="053687C8" w:rsidR="00D21B5A" w:rsidRPr="00521878" w:rsidRDefault="00960B27" w:rsidP="00D21B5A">
      <w:pPr>
        <w:rPr>
          <w:rStyle w:val="ECCParagraph"/>
        </w:rPr>
      </w:pPr>
      <w:r w:rsidRPr="00521878">
        <w:rPr>
          <w:rStyle w:val="ECCParagraph"/>
        </w:rPr>
        <w:t>[</w:t>
      </w:r>
      <w:r w:rsidR="00D21B5A" w:rsidRPr="00521878">
        <w:rPr>
          <w:rStyle w:val="ECCParagraph"/>
        </w:rPr>
        <w:t>While 5G and eventually 6G can be deployed across a variety of spectrum resources from sub-1-GHz to mmWave bands, wide-area spectrum is especially crucial to unleash the full potential of IMT as it offers a good balance of capacity and coverage that enables mobile networks to offer reliable performance and sufficient capacity.</w:t>
      </w:r>
      <w:r w:rsidR="00664782" w:rsidRPr="00521878">
        <w:rPr>
          <w:rStyle w:val="ECCParagraph"/>
        </w:rPr>
        <w:t>]</w:t>
      </w:r>
    </w:p>
    <w:p w14:paraId="15059D74" w14:textId="3726454B" w:rsidR="00D21B5A" w:rsidRPr="00521878" w:rsidRDefault="00664782" w:rsidP="00D21B5A">
      <w:r w:rsidRPr="00521878">
        <w:rPr>
          <w:rStyle w:val="ECCParagraph"/>
        </w:rPr>
        <w:t>[</w:t>
      </w:r>
      <w:r w:rsidR="00D21B5A" w:rsidRPr="00521878">
        <w:rPr>
          <w:rStyle w:val="ECCParagraph"/>
        </w:rPr>
        <w:t>Wide-area spectrum will continue playing a key role in future IMT-connectivity and the respective spectrum needs should be taken into consideration when analysing future use of the bands under AI 1.7 for WRC-27.</w:t>
      </w:r>
      <w:r w:rsidRPr="00521878">
        <w:rPr>
          <w:rStyle w:val="ECCParagraph"/>
        </w:rPr>
        <w:t>]</w:t>
      </w:r>
      <w:r w:rsidR="00D21B5A" w:rsidRPr="00521878">
        <w:rPr>
          <w:rStyle w:val="ECCParagraph"/>
        </w:rPr>
        <w:t xml:space="preserve"> </w:t>
      </w:r>
    </w:p>
    <w:p w14:paraId="1376334D" w14:textId="77777777" w:rsidR="00D21B5A" w:rsidRPr="00521878" w:rsidRDefault="00D21B5A" w:rsidP="00D21B5A">
      <w:pPr>
        <w:pStyle w:val="Heading2"/>
        <w:rPr>
          <w:lang w:val="en-GB"/>
        </w:rPr>
      </w:pPr>
      <w:r w:rsidRPr="00521878">
        <w:rPr>
          <w:lang w:val="en-GB"/>
        </w:rPr>
        <w:t>4400-4800 MHz or parts thereof, in Region 1 and Region 3</w:t>
      </w:r>
    </w:p>
    <w:p w14:paraId="389AC161" w14:textId="77777777" w:rsidR="00D21B5A" w:rsidRPr="00521878" w:rsidRDefault="00D21B5A" w:rsidP="00D21B5A">
      <w:r w:rsidRPr="00521878">
        <w:t xml:space="preserve">This band was studied at WRC-15 where CEPT opposed an IMT identification and no IMT Identification was made at WRC-15. </w:t>
      </w:r>
    </w:p>
    <w:p w14:paraId="23F966C1" w14:textId="17A00415" w:rsidR="00D21B5A" w:rsidRPr="00521878" w:rsidRDefault="00D21B5A" w:rsidP="00D21B5A">
      <w:r w:rsidRPr="00521878">
        <w:t xml:space="preserve">This band is intensively used by aeronautical and maritime mobile systems in CEPT and worldwide on a 24/7 basis to support national security, law enforcement, and humanitarian assistance efforts. These systems are similar those studied under WRC-23 AI 1.1 (Review of RR No. </w:t>
      </w:r>
      <w:r w:rsidRPr="00521878">
        <w:rPr>
          <w:rStyle w:val="ECCHLbold"/>
        </w:rPr>
        <w:t>5.441B</w:t>
      </w:r>
      <w:r w:rsidRPr="00521878">
        <w:t>). Similar coexistence and international issues as those addressed in WRC-23 AI 1.1 should be carefully considered for WRC-27 AI 1.7.</w:t>
      </w:r>
    </w:p>
    <w:p w14:paraId="31E7BCA7" w14:textId="77777777" w:rsidR="00D21B5A" w:rsidRPr="00521878" w:rsidRDefault="00D21B5A" w:rsidP="00D21B5A">
      <w:r w:rsidRPr="00521878">
        <w:t>In addition, this band is subject to adjacent coexistence issues with radio altimeters in 4200-4400 MHz, in band coexistence with FSS (s-E) in 4500-4800 MHz and FS (see Report ITU-R F.2327) in 4400-4800 MHz.</w:t>
      </w:r>
    </w:p>
    <w:p w14:paraId="223D1189" w14:textId="77777777" w:rsidR="00D21B5A" w:rsidRPr="00521878" w:rsidRDefault="00D21B5A" w:rsidP="00D21B5A">
      <w:pPr>
        <w:pStyle w:val="Heading3"/>
        <w:rPr>
          <w:lang w:val="en-GB"/>
        </w:rPr>
      </w:pPr>
      <w:r w:rsidRPr="00521878">
        <w:rPr>
          <w:lang w:val="en-GB"/>
        </w:rPr>
        <w:t>STUDIES IN FORMER WRC STUDY CYCLES</w:t>
      </w:r>
    </w:p>
    <w:p w14:paraId="1BD67775" w14:textId="77777777" w:rsidR="00D21B5A" w:rsidRPr="00521878" w:rsidRDefault="00D21B5A" w:rsidP="00D21B5A">
      <w:r w:rsidRPr="00521878">
        <w:t>At WRC-15, the frequency range was already a candidate for IMT and was being studied. The studies were carried out in JTG4567, which produced the following documents on CPM:</w:t>
      </w:r>
    </w:p>
    <w:p w14:paraId="0DB1904F" w14:textId="77777777" w:rsidR="00D21B5A" w:rsidRPr="00521878" w:rsidRDefault="00D21B5A" w:rsidP="00D21B5A">
      <w:pPr>
        <w:pStyle w:val="ECCBulletsLv1"/>
      </w:pPr>
      <w:r w:rsidRPr="00521878">
        <w:t xml:space="preserve">R12-JTG4567-C-0715!N33!MSW-E (PRELIMINARY DRAFT NEW REPORT ITU-R M.[AERO-IMT.SHARING.C-BAND]).docx, </w:t>
      </w:r>
    </w:p>
    <w:p w14:paraId="6FF9E124" w14:textId="77777777" w:rsidR="00D21B5A" w:rsidRPr="00521878" w:rsidRDefault="00D21B5A" w:rsidP="00D21B5A">
      <w:pPr>
        <w:pStyle w:val="ECCBulletsLv1"/>
      </w:pPr>
      <w:r w:rsidRPr="00521878">
        <w:t>R12-JTG4567-C-0715!N18!MSW-E (Report ITU-R F.[IMT-FS 4 400-4 990 MHZ SHARING AND COMPATIBILITY]).docx“ which was approved within SG5 to „R-REP-F.2327-2014-MSW-E</w:t>
      </w:r>
    </w:p>
    <w:p w14:paraId="603F15FE" w14:textId="77777777" w:rsidR="00D21B5A" w:rsidRPr="00521878" w:rsidRDefault="00D21B5A" w:rsidP="00D21B5A">
      <w:pPr>
        <w:pStyle w:val="ECCBulletsLv1"/>
      </w:pPr>
      <w:r w:rsidRPr="00521878">
        <w:t>R12-JTG4567-C-0715!N17!MSW-E.docx [DRAFT NEW REPORT ITU-R [FSS-IMT C-BAND DOWNLINK], which was planned to update R-REP-M.2109-2007-MSW-E.</w:t>
      </w:r>
    </w:p>
    <w:p w14:paraId="6F3B8B1C" w14:textId="77777777" w:rsidR="00D21B5A" w:rsidRPr="00521878" w:rsidRDefault="00D21B5A" w:rsidP="00D21B5A">
      <w:r w:rsidRPr="00521878">
        <w:t xml:space="preserve">Based on the results of these studies, no consensus could be reached in JTG4567. As a result, the band was removed as a candidate during CPM15-2. However, it has generally been shown that Fixed Service (FS), </w:t>
      </w:r>
      <w:r w:rsidRPr="00521878">
        <w:lastRenderedPageBreak/>
        <w:t>Mobile Service (MS) and Fixed-Satellite Service (FSS) require partially high distances from IMT base stations (BSs) to achieve adequate protection.</w:t>
      </w:r>
    </w:p>
    <w:p w14:paraId="6235FF49" w14:textId="4AEF3671" w:rsidR="00DF6B52" w:rsidRPr="00521878" w:rsidRDefault="00DF6B52" w:rsidP="00D21B5A">
      <w:r w:rsidRPr="00521878">
        <w:t>Taken into consideration the WRC-23 study cycle, AI 1.1 confirmed the regulatory limits established at WRC-15 in order to protect AMS and MMS operation located in international airspace and waters. These usages operate also in 4.4-4.8 GHz. Similar coexistence and international issues as those addressed in WRC-23 AI 1.1 should be carefully considered.</w:t>
      </w:r>
    </w:p>
    <w:p w14:paraId="0BF25AE9" w14:textId="77777777" w:rsidR="00D21B5A" w:rsidRPr="00521878" w:rsidRDefault="00D21B5A" w:rsidP="00D21B5A">
      <w:pPr>
        <w:pStyle w:val="Heading3"/>
        <w:rPr>
          <w:lang w:val="en-GB"/>
        </w:rPr>
      </w:pPr>
      <w:r w:rsidRPr="00521878">
        <w:rPr>
          <w:lang w:val="en-GB"/>
        </w:rPr>
        <w:t>Fixed Service</w:t>
      </w:r>
    </w:p>
    <w:p w14:paraId="6B96604D" w14:textId="77777777" w:rsidR="00D21B5A" w:rsidRPr="00521878" w:rsidRDefault="00D21B5A" w:rsidP="00D21B5A">
      <w:r w:rsidRPr="00521878">
        <w:t>TBD</w:t>
      </w:r>
    </w:p>
    <w:p w14:paraId="02F96B01" w14:textId="77777777" w:rsidR="00D21B5A" w:rsidRPr="00521878" w:rsidRDefault="00D21B5A" w:rsidP="00D21B5A">
      <w:pPr>
        <w:pStyle w:val="Heading3"/>
        <w:rPr>
          <w:lang w:val="en-GB"/>
        </w:rPr>
      </w:pPr>
      <w:r w:rsidRPr="00521878">
        <w:rPr>
          <w:lang w:val="en-GB"/>
        </w:rPr>
        <w:t>Mobile Service</w:t>
      </w:r>
    </w:p>
    <w:p w14:paraId="358AB0BF" w14:textId="77777777" w:rsidR="00D21B5A" w:rsidRPr="00521878" w:rsidRDefault="00D21B5A" w:rsidP="00D21B5A">
      <w:r w:rsidRPr="00521878">
        <w:t>TBD</w:t>
      </w:r>
    </w:p>
    <w:p w14:paraId="24AB6FC0" w14:textId="77777777" w:rsidR="00D21B5A" w:rsidRPr="00521878" w:rsidRDefault="00D21B5A" w:rsidP="00D21B5A">
      <w:pPr>
        <w:pStyle w:val="Heading3"/>
        <w:rPr>
          <w:lang w:val="en-GB"/>
        </w:rPr>
      </w:pPr>
      <w:r w:rsidRPr="00521878">
        <w:rPr>
          <w:lang w:val="en-GB"/>
        </w:rPr>
        <w:t>Fixed-Satellite Service (space-to-Earth)</w:t>
      </w:r>
    </w:p>
    <w:p w14:paraId="5FEAD37E" w14:textId="77777777" w:rsidR="00D21B5A" w:rsidRPr="00521878" w:rsidRDefault="00D21B5A" w:rsidP="00D21B5A">
      <w:r w:rsidRPr="00521878">
        <w:t>TBD</w:t>
      </w:r>
    </w:p>
    <w:p w14:paraId="4EC07232" w14:textId="77777777" w:rsidR="00D21B5A" w:rsidRPr="00521878" w:rsidRDefault="00D21B5A" w:rsidP="00D21B5A">
      <w:pPr>
        <w:pStyle w:val="Heading3"/>
        <w:rPr>
          <w:lang w:val="en-GB"/>
        </w:rPr>
      </w:pPr>
      <w:r w:rsidRPr="00521878">
        <w:rPr>
          <w:lang w:val="en-GB"/>
        </w:rPr>
        <w:t>Aeronautical Mobile (R) Service</w:t>
      </w:r>
    </w:p>
    <w:p w14:paraId="2DB820C6" w14:textId="77777777" w:rsidR="0053371A" w:rsidRDefault="005A1675">
      <w:r w:rsidRPr="001202CF">
        <w:t xml:space="preserve">RR No. </w:t>
      </w:r>
      <w:r w:rsidRPr="001202CF">
        <w:rPr>
          <w:rStyle w:val="ECCHLbold"/>
        </w:rPr>
        <w:t>5.436</w:t>
      </w:r>
      <w:r w:rsidRPr="001202CF">
        <w:t>: Use of the frequency band 4200-4400 MHz by stations in the aeronautical mobile (R) service is reserved exclusively for wireless avionics intra-communication systems that operate in accordance with recognized international aeronautical standards. Such use shall be in accordance with Resolution 424 (Rev.WRC-23).</w:t>
      </w:r>
    </w:p>
    <w:p w14:paraId="7108EC66" w14:textId="1AB1AFF6" w:rsidR="00D21B5A" w:rsidRPr="00B03C72" w:rsidRDefault="00D21B5A" w:rsidP="0053371A">
      <w:pPr>
        <w:pStyle w:val="Heading3"/>
      </w:pPr>
      <w:r w:rsidRPr="00B03C72">
        <w:t>Aeronautical Radionavigation Service</w:t>
      </w:r>
      <w:r w:rsidR="009D51A8" w:rsidRPr="00B03C72">
        <w:t xml:space="preserve"> (ARNS)</w:t>
      </w:r>
    </w:p>
    <w:p w14:paraId="6F2FBE52" w14:textId="77777777" w:rsidR="00F534B2" w:rsidRPr="00521878" w:rsidRDefault="00F534B2" w:rsidP="00F534B2">
      <w:pPr>
        <w:rPr>
          <w:rStyle w:val="ECCParagraph"/>
        </w:rPr>
      </w:pPr>
      <w:r w:rsidRPr="00521878">
        <w:rPr>
          <w:rStyle w:val="ECCParagraph"/>
        </w:rPr>
        <w:t xml:space="preserve">RR No </w:t>
      </w:r>
      <w:r w:rsidRPr="0053371A">
        <w:rPr>
          <w:rStyle w:val="ECCHLbold"/>
        </w:rPr>
        <w:t>5.438</w:t>
      </w:r>
      <w:r w:rsidRPr="00521878">
        <w:rPr>
          <w:rStyle w:val="ECCParagraph"/>
        </w:rPr>
        <w:t>: Use of the frequency band 4200-4400 MHz by the aeronautical radionavigation service is reserved exclusively for radio altimeters installed on board aircraft and for the associated transponders on the ground. Therefore, the protection of altimeters in the frequency range 4200-4400 MHz must be ensured.</w:t>
      </w:r>
    </w:p>
    <w:p w14:paraId="0FE0F8A1" w14:textId="77777777" w:rsidR="00D21B5A" w:rsidRPr="00521878" w:rsidRDefault="00D21B5A" w:rsidP="00D21B5A">
      <w:pPr>
        <w:pStyle w:val="Heading3"/>
        <w:rPr>
          <w:lang w:val="en-GB"/>
        </w:rPr>
      </w:pPr>
      <w:r w:rsidRPr="00521878">
        <w:rPr>
          <w:lang w:val="en-GB"/>
        </w:rPr>
        <w:t>Radio Astronomy</w:t>
      </w:r>
    </w:p>
    <w:p w14:paraId="75EDB94D" w14:textId="77777777" w:rsidR="003A6466" w:rsidRPr="00521878" w:rsidRDefault="003A6466" w:rsidP="003A6466">
      <w:pPr>
        <w:rPr>
          <w:rStyle w:val="ECCParagraph"/>
        </w:rPr>
      </w:pPr>
      <w:r w:rsidRPr="00521878">
        <w:rPr>
          <w:rStyle w:val="ECCParagraph"/>
        </w:rPr>
        <w:t xml:space="preserve">Radio astronomy has a secondary allocation in the RR in the frequency range 4800-4990 MHz with RR No </w:t>
      </w:r>
      <w:r w:rsidRPr="0053371A">
        <w:rPr>
          <w:rStyle w:val="ECCHLbold"/>
        </w:rPr>
        <w:t>5.149</w:t>
      </w:r>
      <w:r w:rsidRPr="00521878">
        <w:rPr>
          <w:rStyle w:val="ECCParagraph"/>
        </w:rPr>
        <w:t xml:space="preserve"> and a primary allocation in the frequency range 4990-5000 MHz. Based on previous studies between IMT and RAS (for example at 6.6 GHz), it is to be expected that even when operating in the neighbouring band, coordination zones with radii of more than 100 km will be required, so that the protection of the RAS cannot be addressed nationally and must be regulated internationally.</w:t>
      </w:r>
    </w:p>
    <w:p w14:paraId="052C3994" w14:textId="77777777" w:rsidR="00D21B5A" w:rsidRPr="00521878" w:rsidRDefault="00D21B5A" w:rsidP="00D21B5A">
      <w:pPr>
        <w:pStyle w:val="Heading3"/>
        <w:rPr>
          <w:rStyle w:val="ECCParagraph"/>
        </w:rPr>
      </w:pPr>
      <w:r w:rsidRPr="00521878">
        <w:rPr>
          <w:rStyle w:val="ECCParagraph"/>
        </w:rPr>
        <w:t>Earth Exploration-Satellite Service (passive)</w:t>
      </w:r>
    </w:p>
    <w:p w14:paraId="0CA9A12F" w14:textId="77777777" w:rsidR="00D21B5A" w:rsidRPr="00521878" w:rsidRDefault="00D21B5A" w:rsidP="00D21B5A">
      <w:pPr>
        <w:rPr>
          <w:rStyle w:val="ECCParagraph"/>
        </w:rPr>
      </w:pPr>
      <w:r w:rsidRPr="00521878">
        <w:rPr>
          <w:rStyle w:val="ECCParagraph"/>
        </w:rPr>
        <w:t>TBD</w:t>
      </w:r>
    </w:p>
    <w:p w14:paraId="62994750" w14:textId="77777777" w:rsidR="00D21B5A" w:rsidRPr="00521878" w:rsidRDefault="00D21B5A" w:rsidP="00D21B5A">
      <w:pPr>
        <w:pStyle w:val="ECCEditorsNote"/>
        <w:rPr>
          <w:lang w:val="en-GB"/>
        </w:rPr>
      </w:pPr>
      <w:r w:rsidRPr="00521878">
        <w:rPr>
          <w:rStyle w:val="ECCHLyellow"/>
        </w:rPr>
        <w:t xml:space="preserve">WRC-27 AI 1.19 will study </w:t>
      </w:r>
      <w:r w:rsidRPr="00521878">
        <w:rPr>
          <w:lang w:val="en-GB"/>
        </w:rPr>
        <w:t xml:space="preserve">possible allocations to the Earth Exploration-Satellite Service (passive) in the bands 4200-4400 MHz and 8400-8500 MHz. Therefore, the link between </w:t>
      </w:r>
      <w:r w:rsidRPr="00521878">
        <w:rPr>
          <w:rStyle w:val="ECCHLyellow"/>
        </w:rPr>
        <w:t>WRC-27 AI 1.7 has to be addressed.</w:t>
      </w:r>
    </w:p>
    <w:p w14:paraId="11A5C623" w14:textId="77777777" w:rsidR="00014E95" w:rsidRPr="00521878" w:rsidRDefault="00014E95" w:rsidP="00014E95">
      <w:pPr>
        <w:pStyle w:val="Heading3"/>
        <w:rPr>
          <w:rStyle w:val="ECCHLgreen"/>
          <w:shd w:val="clear" w:color="auto" w:fill="auto"/>
        </w:rPr>
      </w:pPr>
      <w:r w:rsidRPr="00521878">
        <w:rPr>
          <w:rStyle w:val="ECCHLgreen"/>
          <w:shd w:val="clear" w:color="auto" w:fill="auto"/>
        </w:rPr>
        <w:t>Ultra Wide Band applications</w:t>
      </w:r>
    </w:p>
    <w:p w14:paraId="1FAEDBEC" w14:textId="77777777" w:rsidR="00014E95" w:rsidRPr="00521878" w:rsidRDefault="00014E95" w:rsidP="00014E95">
      <w:pPr>
        <w:rPr>
          <w:rStyle w:val="ECCParagraph"/>
        </w:rPr>
      </w:pPr>
      <w:r w:rsidRPr="00521878">
        <w:rPr>
          <w:rStyle w:val="ECCParagraph"/>
        </w:rPr>
        <w:t xml:space="preserve">The entire frequency range 4400-4800 MHz is used by UWB on non-interference and non-protected basis in accordance with ECC/DEC/(06)04, ECC/DEC/(07)01, [ECC/DEC/(12)03] and the European Implementing Decision (EU) 2024/1467. The band 3.7-4.8 GHz is harmonized for UWB in accordance with Recommendation ITU-R SM.1896 and use the radio spectrum on non-interference and non-protected basis with respect to radiocommunication services. UWB enables, for example, the non-destructive and safe representation of the </w:t>
      </w:r>
      <w:r w:rsidRPr="00521878">
        <w:rPr>
          <w:rStyle w:val="ECCParagraph"/>
        </w:rPr>
        <w:lastRenderedPageBreak/>
        <w:t>internal structure of walls or the inspection of load-bearing building elements. Only bandwidths of several gigahertz enable the sufficiently precise location of electrical cables, water pipes, wooden substructures, steel reinforcements, etc. Switching to higher frequencies is also impossible for these applications, since the penetration depth into walls decreases drastically with increasing the frequency. Such UWB-based products are used in Europe and internationally. Further developments and other applications for UWB are on-going.</w:t>
      </w:r>
    </w:p>
    <w:p w14:paraId="2D51AD98" w14:textId="1A723CE2" w:rsidR="00D21B5A" w:rsidRPr="00521878" w:rsidRDefault="00D21B5A" w:rsidP="00D21B5A">
      <w:pPr>
        <w:pStyle w:val="Heading2"/>
        <w:rPr>
          <w:lang w:val="en-GB"/>
        </w:rPr>
      </w:pPr>
      <w:r w:rsidRPr="00521878">
        <w:rPr>
          <w:lang w:val="en-GB"/>
        </w:rPr>
        <w:t>7125</w:t>
      </w:r>
      <w:r w:rsidR="00890B73" w:rsidRPr="00521878">
        <w:rPr>
          <w:lang w:val="en-GB"/>
        </w:rPr>
        <w:t>-</w:t>
      </w:r>
      <w:r w:rsidRPr="00521878">
        <w:rPr>
          <w:lang w:val="en-GB"/>
        </w:rPr>
        <w:t>8400 MHZ</w:t>
      </w:r>
    </w:p>
    <w:p w14:paraId="4A0D2B87" w14:textId="77777777" w:rsidR="00755156" w:rsidRPr="00521878" w:rsidRDefault="00755156" w:rsidP="00755156">
      <w:pPr>
        <w:rPr>
          <w:rStyle w:val="ECCParagraph"/>
        </w:rPr>
      </w:pPr>
      <w:r w:rsidRPr="00521878">
        <w:rPr>
          <w:rStyle w:val="ECCParagraph"/>
        </w:rPr>
        <w:t>The 7125-8400 MHz band, or parts thereof, is used by:</w:t>
      </w:r>
    </w:p>
    <w:p w14:paraId="764BBDC5" w14:textId="5E8F9DE2" w:rsidR="00755156" w:rsidRPr="00521878" w:rsidRDefault="00755156" w:rsidP="00755156">
      <w:pPr>
        <w:pStyle w:val="ECCBulletsLv1"/>
        <w:rPr>
          <w:rStyle w:val="ECCParagraph"/>
        </w:rPr>
      </w:pPr>
      <w:r w:rsidRPr="00521878">
        <w:rPr>
          <w:rStyle w:val="ECCParagraph"/>
        </w:rPr>
        <w:t>Satellite systems with downlink in 7250-7750 MHz and uplink in 7900-8400 MHz, as well as Earth stations to support national security, law enforcement, and humanitarian assistance efforts including uncoordinated use on short notice, anywhere within Europe, in national and international waters for maritime stations and outside European territories.</w:t>
      </w:r>
    </w:p>
    <w:p w14:paraId="52BC25B4" w14:textId="77777777" w:rsidR="00755156" w:rsidRPr="00521878" w:rsidRDefault="00755156" w:rsidP="00755156">
      <w:pPr>
        <w:pStyle w:val="ECCBulletsLv1"/>
        <w:rPr>
          <w:rStyle w:val="ECCParagraph"/>
        </w:rPr>
      </w:pPr>
      <w:r w:rsidRPr="00521878">
        <w:rPr>
          <w:rStyle w:val="ECCParagraph"/>
        </w:rPr>
        <w:t>Fixed service which includes both governmental and civil usage.</w:t>
      </w:r>
    </w:p>
    <w:p w14:paraId="16FF3D0A" w14:textId="77777777" w:rsidR="00755156" w:rsidRPr="00521878" w:rsidRDefault="00755156" w:rsidP="00755156">
      <w:pPr>
        <w:pStyle w:val="ECCBulletsLv1"/>
        <w:rPr>
          <w:rStyle w:val="ECCParagraph"/>
        </w:rPr>
      </w:pPr>
      <w:r w:rsidRPr="00521878">
        <w:rPr>
          <w:rStyle w:val="ECCParagraph"/>
        </w:rPr>
        <w:t>MetSat (FREQ), SRS(FREQ) and EESS (FREQ) earth stations worldwide, including, [a large number of] receive-only MetSat and EESS earth stations that do not need to be licensed, some of which are portable stations, meaning that their locations may not be known.</w:t>
      </w:r>
    </w:p>
    <w:p w14:paraId="58D56985" w14:textId="77777777" w:rsidR="00755156" w:rsidRPr="00521878" w:rsidRDefault="00755156" w:rsidP="00755156">
      <w:pPr>
        <w:pStyle w:val="ECCBulletsLv1"/>
        <w:rPr>
          <w:rStyle w:val="ECCParagraph"/>
        </w:rPr>
      </w:pPr>
      <w:r w:rsidRPr="00521878">
        <w:rPr>
          <w:rStyle w:val="ECCParagraph"/>
        </w:rPr>
        <w:t>UWB tracking &amp; Car key systems (Digital Key UWB uses IEEE UWB channel 9 (7737.6-8236.8 MHz), available on some mobile phones) and subject to harmonisation in CEPT (ECC/DEC/(06)04) and in EU (Decision (EU) 2024/1467) within CEPT.</w:t>
      </w:r>
    </w:p>
    <w:p w14:paraId="0E3DF8B3" w14:textId="77777777" w:rsidR="00755156" w:rsidRPr="00521878" w:rsidRDefault="00755156" w:rsidP="00755156">
      <w:pPr>
        <w:pStyle w:val="ECCBulletsLv1"/>
        <w:rPr>
          <w:rStyle w:val="ECCParagraph"/>
        </w:rPr>
      </w:pPr>
      <w:r w:rsidRPr="00521878">
        <w:rPr>
          <w:rStyle w:val="ECCParagraph"/>
        </w:rPr>
        <w:t xml:space="preserve">temporary P-t-P video links in 7-8.5 GHz tuning range within CEPT. This band is used by transportable and on the move stations. </w:t>
      </w:r>
    </w:p>
    <w:p w14:paraId="6815CE42" w14:textId="77777777" w:rsidR="00D21B5A" w:rsidRPr="00521878" w:rsidRDefault="00D21B5A" w:rsidP="00D21B5A">
      <w:pPr>
        <w:pStyle w:val="Heading3"/>
        <w:rPr>
          <w:rStyle w:val="ECCParagraph"/>
        </w:rPr>
      </w:pPr>
      <w:r w:rsidRPr="00521878">
        <w:rPr>
          <w:rStyle w:val="ECCParagraph"/>
        </w:rPr>
        <w:t>Fixed Service</w:t>
      </w:r>
    </w:p>
    <w:p w14:paraId="333886FB" w14:textId="665A0FED" w:rsidR="00947D5C" w:rsidRPr="00521878" w:rsidRDefault="00D21B5A" w:rsidP="00947D5C">
      <w:pPr>
        <w:rPr>
          <w:rStyle w:val="ECCParagraph"/>
        </w:rPr>
      </w:pPr>
      <w:r w:rsidRPr="00521878">
        <w:t>The band 7125</w:t>
      </w:r>
      <w:r w:rsidR="00F75BE5" w:rsidRPr="00521878">
        <w:t>-</w:t>
      </w:r>
      <w:r w:rsidRPr="00521878">
        <w:t>8400 MHz is allocated to fixed service on primary basis.</w:t>
      </w:r>
      <w:r w:rsidR="00947D5C" w:rsidRPr="00521878">
        <w:t xml:space="preserve"> </w:t>
      </w:r>
      <w:r w:rsidR="00947D5C" w:rsidRPr="00521878">
        <w:rPr>
          <w:rStyle w:val="ECCParagraph"/>
        </w:rPr>
        <w:t xml:space="preserve">Some CEPT countries have extensive investments in this band, including in 7125-7250 MHz, for governmental fixed service operations, and an increase of these operations is planned for the future. Some of these fixed links are registered in the Master international frequency register. </w:t>
      </w:r>
    </w:p>
    <w:p w14:paraId="1A9F2421" w14:textId="77777777" w:rsidR="00947D5C" w:rsidRPr="00521878" w:rsidRDefault="00947D5C" w:rsidP="00947D5C">
      <w:pPr>
        <w:rPr>
          <w:rStyle w:val="ECCParagraph"/>
        </w:rPr>
      </w:pPr>
      <w:r w:rsidRPr="00521878">
        <w:rPr>
          <w:rStyle w:val="ECCParagraph"/>
        </w:rPr>
        <w:t>Some administrations have no plan to move existing fixed links out of this band, while they plan to use the band for existing fixed links and possible new ones. This band is considered essential for these links due to its unique propagation characteristics. The migration to higher bands with different propagation characteristics would be very costly and would require reengineering of the transport network without always achieving the same level of reliability.</w:t>
      </w:r>
    </w:p>
    <w:p w14:paraId="6639C168" w14:textId="77777777" w:rsidR="00947D5C" w:rsidRPr="00521878" w:rsidRDefault="00947D5C" w:rsidP="00947D5C">
      <w:pPr>
        <w:rPr>
          <w:rStyle w:val="ECCParagraph"/>
        </w:rPr>
      </w:pPr>
      <w:r w:rsidRPr="00521878">
        <w:rPr>
          <w:rStyle w:val="ECCParagraph"/>
        </w:rPr>
        <w:t>Civil use is primarily fixed point-to-point links, connecting different points in a network, such as data centres or remote locations. These links are commonly used for various applications such as internet access, for signal feeds for broadcasting transmitter sites and Broadcaster IT-networks, public safety and emergency services, and transportation systems.</w:t>
      </w:r>
    </w:p>
    <w:p w14:paraId="50BD8E31" w14:textId="77777777" w:rsidR="00947D5C" w:rsidRPr="00521878" w:rsidRDefault="00947D5C" w:rsidP="00947D5C">
      <w:pPr>
        <w:rPr>
          <w:rStyle w:val="ECCParagraph"/>
        </w:rPr>
      </w:pPr>
      <w:r w:rsidRPr="00521878">
        <w:rPr>
          <w:rStyle w:val="ECCParagraph"/>
        </w:rPr>
        <w:t>ECC/REC/(02)06 specifies the channel arrangements for digital fixed service systems operating in the frequency range 7125-8500 MHz. Moreover, Recommendation ITU-R F.385 - Annex 3 provides a channel plan for the 7110-7750 MHz frequency band.</w:t>
      </w:r>
    </w:p>
    <w:p w14:paraId="2796B396" w14:textId="46A8D818" w:rsidR="00D21B5A" w:rsidRPr="00521878" w:rsidRDefault="00947D5C" w:rsidP="00D21B5A">
      <w:r w:rsidRPr="00521878">
        <w:rPr>
          <w:rStyle w:val="ECCParagraph"/>
        </w:rPr>
        <w:t>Governmental usage includes fixed links that support governmental communications and surveillance systems. Governmental entities use these links for command and control, situational awareness, intelligence, surveillance and reconnaissance (ISR), and other applications.</w:t>
      </w:r>
    </w:p>
    <w:p w14:paraId="5B7453C3" w14:textId="77777777" w:rsidR="00D21B5A" w:rsidRPr="00521878" w:rsidRDefault="00D21B5A" w:rsidP="00D21B5A">
      <w:pPr>
        <w:pStyle w:val="Heading3"/>
        <w:rPr>
          <w:rStyle w:val="ECCParagraph"/>
        </w:rPr>
      </w:pPr>
      <w:r w:rsidRPr="00521878">
        <w:rPr>
          <w:rStyle w:val="ECCParagraph"/>
        </w:rPr>
        <w:t>Mobile Service</w:t>
      </w:r>
    </w:p>
    <w:p w14:paraId="18BE4A9E" w14:textId="1467A7DC" w:rsidR="00D21B5A" w:rsidRPr="00521878" w:rsidRDefault="00D21B5A" w:rsidP="00D21B5A">
      <w:r w:rsidRPr="00521878">
        <w:t>The band 7125</w:t>
      </w:r>
      <w:r w:rsidR="00F75BE5" w:rsidRPr="00521878">
        <w:t>-</w:t>
      </w:r>
      <w:r w:rsidRPr="00521878">
        <w:t>8400 MHz is allocated to fixed service on primary basis.</w:t>
      </w:r>
    </w:p>
    <w:p w14:paraId="57413CA7" w14:textId="77777777" w:rsidR="00D21B5A" w:rsidRPr="00521878" w:rsidRDefault="00D21B5A" w:rsidP="00D21B5A">
      <w:pPr>
        <w:pStyle w:val="Heading3"/>
        <w:rPr>
          <w:rStyle w:val="ECCParagraph"/>
        </w:rPr>
      </w:pPr>
      <w:r w:rsidRPr="00521878">
        <w:rPr>
          <w:rStyle w:val="ECCParagraph"/>
        </w:rPr>
        <w:lastRenderedPageBreak/>
        <w:t>Space Research Service</w:t>
      </w:r>
    </w:p>
    <w:p w14:paraId="7CC0C7C7" w14:textId="539A0966" w:rsidR="00D21B5A" w:rsidRPr="00521878" w:rsidRDefault="00D21B5A" w:rsidP="00D21B5A">
      <w:pPr>
        <w:pStyle w:val="Heading4"/>
        <w:rPr>
          <w:lang w:val="en-GB"/>
        </w:rPr>
      </w:pPr>
      <w:r w:rsidRPr="00521878">
        <w:rPr>
          <w:lang w:val="en-GB"/>
        </w:rPr>
        <w:t>SRS (Earth-to-space) (deep space) in 7145</w:t>
      </w:r>
      <w:r w:rsidR="00F75BE5" w:rsidRPr="00521878">
        <w:rPr>
          <w:lang w:val="en-GB"/>
        </w:rPr>
        <w:t>-</w:t>
      </w:r>
      <w:r w:rsidRPr="00521878">
        <w:rPr>
          <w:lang w:val="en-GB"/>
        </w:rPr>
        <w:t>7190 MHz</w:t>
      </w:r>
    </w:p>
    <w:p w14:paraId="202CF2D4" w14:textId="77777777" w:rsidR="00756335" w:rsidRPr="00521878" w:rsidRDefault="00756335" w:rsidP="00756335">
      <w:pPr>
        <w:rPr>
          <w:rStyle w:val="ECCParagraph"/>
        </w:rPr>
      </w:pPr>
      <w:r w:rsidRPr="00521878">
        <w:rPr>
          <w:rStyle w:val="ECCParagraph"/>
        </w:rPr>
        <w:t>The frequency band 7145-7190 MHz is used for tracking and communications with spacecraft in the space research (deep space) (Earth-to-space). High power SRS deep space uplinks operating in this frequency band have the potential to cause harmful interference to IMT for large separation distances. This is likely to cover several countries and could make it impossible to deploy IMT systems where SRS deep space uplinks are deployed in neighbouring administrations.</w:t>
      </w:r>
    </w:p>
    <w:p w14:paraId="1394894C" w14:textId="685C5D25" w:rsidR="00D21B5A" w:rsidRPr="00521878" w:rsidRDefault="00D21B5A" w:rsidP="00D21B5A">
      <w:pPr>
        <w:pStyle w:val="Heading4"/>
        <w:rPr>
          <w:lang w:val="en-GB"/>
        </w:rPr>
      </w:pPr>
      <w:r w:rsidRPr="00521878">
        <w:rPr>
          <w:lang w:val="en-GB"/>
        </w:rPr>
        <w:t>SRS (Earth-to-space) (near Earth) in 7190</w:t>
      </w:r>
      <w:r w:rsidR="00F75BE5" w:rsidRPr="00521878">
        <w:rPr>
          <w:lang w:val="en-GB"/>
        </w:rPr>
        <w:t>-</w:t>
      </w:r>
      <w:r w:rsidRPr="00521878">
        <w:rPr>
          <w:lang w:val="en-GB"/>
        </w:rPr>
        <w:t>7235 MHz</w:t>
      </w:r>
    </w:p>
    <w:p w14:paraId="537DC849" w14:textId="77777777" w:rsidR="00975689" w:rsidRPr="00521878" w:rsidRDefault="00975689" w:rsidP="00975689">
      <w:pPr>
        <w:rPr>
          <w:rStyle w:val="ECCParagraph"/>
        </w:rPr>
      </w:pPr>
      <w:r w:rsidRPr="00521878">
        <w:rPr>
          <w:rStyle w:val="ECCParagraph"/>
        </w:rPr>
        <w:t>The frequency band 7190-7235 MHz is used for tracking and communications with spacecraft in the space research (near-Earth) (Earth-to-space). Near-Earth research satellites may operate on various orbits, including e.g. the Lagrangian Points L1 and L2, lunar orbits, highly elliptical orbits, geosynchronous orbits and low-Earth orbits. The SRS service may operate unmanned as well as manned near-Earth research satellites, where manned research satellites especially operate on low-Earth, highly elliptical orbits towards the Moon as well as lunar orbits. Noting that footnote 5.460 applies in the frequency range 7190-7235 MHz.</w:t>
      </w:r>
    </w:p>
    <w:p w14:paraId="498880ED" w14:textId="77777777" w:rsidR="00D21B5A" w:rsidRPr="00521878" w:rsidRDefault="00D21B5A" w:rsidP="00D21B5A">
      <w:pPr>
        <w:pStyle w:val="ECCEditorsNote"/>
        <w:rPr>
          <w:lang w:val="en-GB"/>
        </w:rPr>
      </w:pPr>
      <w:r w:rsidRPr="00521878">
        <w:rPr>
          <w:rStyle w:val="ECCHLyellow"/>
        </w:rPr>
        <w:t xml:space="preserve">WRC-27 AI 1.15 will study </w:t>
      </w:r>
      <w:r w:rsidRPr="00521878">
        <w:rPr>
          <w:lang w:val="en-GB"/>
        </w:rPr>
        <w:t xml:space="preserve">possible allocations in the Space Research Service (near Earth) (7190-7235 MHz). Therefore, the link between </w:t>
      </w:r>
      <w:r w:rsidRPr="00521878">
        <w:rPr>
          <w:rStyle w:val="ECCHLyellow"/>
        </w:rPr>
        <w:t>WRC-27 AI 1.7 has to be addressed.</w:t>
      </w:r>
    </w:p>
    <w:p w14:paraId="14C6E3B6" w14:textId="77777777" w:rsidR="00D21B5A" w:rsidRPr="00521878" w:rsidRDefault="00D21B5A" w:rsidP="00D21B5A">
      <w:pPr>
        <w:pStyle w:val="Heading3"/>
        <w:rPr>
          <w:rStyle w:val="ECCParagraph"/>
        </w:rPr>
      </w:pPr>
      <w:r w:rsidRPr="00521878">
        <w:rPr>
          <w:rStyle w:val="ECCParagraph"/>
        </w:rPr>
        <w:t>Earth Exploration-Satellite Service</w:t>
      </w:r>
    </w:p>
    <w:p w14:paraId="2D1A67E7" w14:textId="7983C6B2" w:rsidR="00D21B5A" w:rsidRPr="00521878" w:rsidRDefault="00D21B5A" w:rsidP="00D21B5A">
      <w:pPr>
        <w:pStyle w:val="Heading4"/>
        <w:rPr>
          <w:lang w:val="en-GB"/>
        </w:rPr>
      </w:pPr>
      <w:r w:rsidRPr="00521878">
        <w:rPr>
          <w:lang w:val="en-GB"/>
        </w:rPr>
        <w:t>EESS (Earth-to-space) in 7190</w:t>
      </w:r>
      <w:r w:rsidR="00F75BE5" w:rsidRPr="00521878">
        <w:rPr>
          <w:lang w:val="en-GB"/>
        </w:rPr>
        <w:t>-</w:t>
      </w:r>
      <w:r w:rsidRPr="00521878">
        <w:rPr>
          <w:lang w:val="en-GB"/>
        </w:rPr>
        <w:t>7250 MHz</w:t>
      </w:r>
    </w:p>
    <w:p w14:paraId="1C4B78D1" w14:textId="77777777" w:rsidR="00B754D5" w:rsidRPr="00521878" w:rsidRDefault="00B754D5" w:rsidP="00B754D5">
      <w:pPr>
        <w:rPr>
          <w:rStyle w:val="ECCParagraph"/>
        </w:rPr>
      </w:pPr>
      <w:r w:rsidRPr="00521878">
        <w:rPr>
          <w:rStyle w:val="ECCParagraph"/>
        </w:rPr>
        <w:t>The frequency band 7190-7250 MHz is used for tracking, telemetry and control (TT&amp;C) only of EESS. Noting that footnote 5.460A applies in the frequency range 7190-7250 MHz.</w:t>
      </w:r>
    </w:p>
    <w:p w14:paraId="463730E7" w14:textId="7C381A8A" w:rsidR="00D21B5A" w:rsidRPr="00521878" w:rsidRDefault="00D21B5A" w:rsidP="00D21B5A">
      <w:pPr>
        <w:pStyle w:val="Heading4"/>
        <w:rPr>
          <w:lang w:val="en-GB"/>
        </w:rPr>
      </w:pPr>
      <w:r w:rsidRPr="00521878">
        <w:rPr>
          <w:lang w:val="en-GB"/>
        </w:rPr>
        <w:t>EESS (space-to-Earth) in 8025</w:t>
      </w:r>
      <w:r w:rsidR="00F75BE5" w:rsidRPr="00521878">
        <w:rPr>
          <w:lang w:val="en-GB"/>
        </w:rPr>
        <w:t>-</w:t>
      </w:r>
      <w:r w:rsidRPr="00521878">
        <w:rPr>
          <w:lang w:val="en-GB"/>
        </w:rPr>
        <w:t xml:space="preserve">8400 MHz </w:t>
      </w:r>
    </w:p>
    <w:p w14:paraId="1FF02A43" w14:textId="5BE7AA0C" w:rsidR="00A05579" w:rsidRPr="00521878" w:rsidRDefault="00A05579" w:rsidP="00A05579">
      <w:pPr>
        <w:rPr>
          <w:rStyle w:val="ECCParagraph"/>
        </w:rPr>
      </w:pPr>
      <w:r w:rsidRPr="00521878">
        <w:rPr>
          <w:rStyle w:val="ECCParagraph"/>
        </w:rPr>
        <w:t>The frequency band 8025-8400 MHz</w:t>
      </w:r>
      <w:r w:rsidR="00AD41DC">
        <w:rPr>
          <w:rStyle w:val="ECCParagraph"/>
        </w:rPr>
        <w:t xml:space="preserve"> </w:t>
      </w:r>
      <w:r w:rsidRPr="00521878">
        <w:rPr>
          <w:rStyle w:val="ECCParagraph"/>
        </w:rPr>
        <w:t>is used to enable wide bandwidths to meet high data rates for the downlink of raw instrument data from EESS systems. Used for real-time data transmission directly from the satellite to direct broadcast earth stations with a direct line-of-sight to the satellite. These stations provide immediate observations of the local environment and are used for tasks ranging from forecasting weather to monitoring plant health to directing fire fighters battling wildland fires. Earth stations in this band constitute a critical part of the EESS communications infrastructure. Earth stations in the EESS and MetSat service may be deployed in urban, sub-urban and rural environments, anywhere within the service area of the satellite systems. These stations can be at fixed locations, installed nearby the premises of end users, or transportable, placed in the vicinity of the area to image. The exact location of earth stations may not be known.</w:t>
      </w:r>
    </w:p>
    <w:p w14:paraId="42FBD713" w14:textId="0D7C1ACE" w:rsidR="000B4B00" w:rsidRPr="00521878" w:rsidRDefault="00D21B5A" w:rsidP="000B4B00">
      <w:pPr>
        <w:pStyle w:val="Heading3"/>
        <w:rPr>
          <w:rStyle w:val="ECCParagraph"/>
        </w:rPr>
      </w:pPr>
      <w:r w:rsidRPr="00521878">
        <w:rPr>
          <w:rStyle w:val="ECCParagraph"/>
        </w:rPr>
        <w:t>Fixed-Satellite Service</w:t>
      </w:r>
    </w:p>
    <w:p w14:paraId="2EB1C037" w14:textId="77777777" w:rsidR="002E0C0C" w:rsidRPr="00521878" w:rsidRDefault="002E0C0C" w:rsidP="002E0C0C">
      <w:pPr>
        <w:rPr>
          <w:rStyle w:val="ECCParagraph"/>
        </w:rPr>
      </w:pPr>
      <w:r w:rsidRPr="00521878">
        <w:rPr>
          <w:rStyle w:val="ECCParagraph"/>
        </w:rPr>
        <w:t>The 7250-7750 MHz and 7900-8400 MHz frequency bands are of great importance for providing government organizations with communication services. Furthermore, there is the European satellite constellation IRIS² (DEUMULTIORBIT) in the frequency ranges 7250-7750 MHz and 7900-8400 MHz. Therefore, massive investments are continuously made to upgrade or renew satellite networks operating in these frequency bands and the number of used earth stations is continuously increasing.</w:t>
      </w:r>
    </w:p>
    <w:p w14:paraId="7427DA97" w14:textId="77777777" w:rsidR="002E0C0C" w:rsidRPr="00521878" w:rsidRDefault="002E0C0C" w:rsidP="002E0C0C">
      <w:pPr>
        <w:rPr>
          <w:rStyle w:val="ECCParagraph"/>
        </w:rPr>
      </w:pPr>
      <w:r w:rsidRPr="00521878">
        <w:rPr>
          <w:rStyle w:val="ECCParagraph"/>
        </w:rPr>
        <w:t xml:space="preserve">These satellite earth stations can be deployed, on very short notice, anywhere on unplanned locations in Europe, in national and international waters for maritime stations and outside European territories for operations in particular under EU or UN mandates. </w:t>
      </w:r>
    </w:p>
    <w:p w14:paraId="5A7F8093" w14:textId="46B86891" w:rsidR="00D21B5A" w:rsidRPr="00521878" w:rsidRDefault="00D21B5A" w:rsidP="00D21B5A">
      <w:pPr>
        <w:pStyle w:val="Heading4"/>
        <w:rPr>
          <w:lang w:val="en-GB"/>
        </w:rPr>
      </w:pPr>
      <w:r w:rsidRPr="00521878">
        <w:rPr>
          <w:lang w:val="en-GB"/>
        </w:rPr>
        <w:t>FSS (space-to-Earth) in 7250</w:t>
      </w:r>
      <w:r w:rsidR="00F75BE5" w:rsidRPr="00521878">
        <w:rPr>
          <w:lang w:val="en-GB"/>
        </w:rPr>
        <w:t>-</w:t>
      </w:r>
      <w:r w:rsidRPr="00521878">
        <w:rPr>
          <w:lang w:val="en-GB"/>
        </w:rPr>
        <w:t>7750 MHz</w:t>
      </w:r>
    </w:p>
    <w:p w14:paraId="6874752C" w14:textId="77777777" w:rsidR="00D21B5A" w:rsidRPr="00521878" w:rsidRDefault="00D21B5A" w:rsidP="00D21B5A">
      <w:r w:rsidRPr="00521878">
        <w:t>TBD</w:t>
      </w:r>
    </w:p>
    <w:p w14:paraId="56BFF6CB" w14:textId="101D2C84" w:rsidR="00D21B5A" w:rsidRPr="00521878" w:rsidRDefault="00D21B5A" w:rsidP="00D21B5A">
      <w:pPr>
        <w:pStyle w:val="Heading4"/>
        <w:rPr>
          <w:lang w:val="en-GB"/>
        </w:rPr>
      </w:pPr>
      <w:r w:rsidRPr="00521878">
        <w:rPr>
          <w:lang w:val="en-GB"/>
        </w:rPr>
        <w:lastRenderedPageBreak/>
        <w:t>FSS (Earth-to-space) in 7900</w:t>
      </w:r>
      <w:r w:rsidR="00F75BE5" w:rsidRPr="00521878">
        <w:rPr>
          <w:lang w:val="en-GB"/>
        </w:rPr>
        <w:t>-</w:t>
      </w:r>
      <w:r w:rsidRPr="00521878">
        <w:rPr>
          <w:lang w:val="en-GB"/>
        </w:rPr>
        <w:t xml:space="preserve">8400 MHz </w:t>
      </w:r>
    </w:p>
    <w:p w14:paraId="1D6BB379" w14:textId="77777777" w:rsidR="00D21B5A" w:rsidRPr="00521878" w:rsidRDefault="00D21B5A" w:rsidP="00D21B5A">
      <w:r w:rsidRPr="00521878">
        <w:t>TBD</w:t>
      </w:r>
    </w:p>
    <w:p w14:paraId="47D0E7BF" w14:textId="77777777" w:rsidR="00D21B5A" w:rsidRPr="00521878" w:rsidRDefault="00D21B5A" w:rsidP="00D21B5A">
      <w:pPr>
        <w:pStyle w:val="Heading3"/>
        <w:rPr>
          <w:rStyle w:val="ECCParagraph"/>
        </w:rPr>
      </w:pPr>
      <w:r w:rsidRPr="00521878">
        <w:rPr>
          <w:rStyle w:val="ECCParagraph"/>
        </w:rPr>
        <w:t>Maritime Mobile-Satellite Service</w:t>
      </w:r>
    </w:p>
    <w:p w14:paraId="34576C78" w14:textId="77777777" w:rsidR="00D21B5A" w:rsidRPr="00521878" w:rsidRDefault="00D21B5A" w:rsidP="00D21B5A">
      <w:r w:rsidRPr="00521878">
        <w:t>TBD</w:t>
      </w:r>
    </w:p>
    <w:p w14:paraId="18E90885" w14:textId="77777777" w:rsidR="00D21B5A" w:rsidRPr="00521878" w:rsidRDefault="00D21B5A" w:rsidP="00D21B5A">
      <w:pPr>
        <w:pStyle w:val="Heading3"/>
        <w:rPr>
          <w:rStyle w:val="ECCParagraph"/>
        </w:rPr>
      </w:pPr>
      <w:r w:rsidRPr="00521878">
        <w:rPr>
          <w:rStyle w:val="ECCParagraph"/>
        </w:rPr>
        <w:t>Meteorological-Satellite Service (MetSat)</w:t>
      </w:r>
    </w:p>
    <w:p w14:paraId="33C4CB3D" w14:textId="5676E743" w:rsidR="00FE7BCC" w:rsidRPr="00521878" w:rsidRDefault="00FE7BCC" w:rsidP="008C3CF1">
      <w:pPr>
        <w:rPr>
          <w:rStyle w:val="ECCParagraph"/>
        </w:rPr>
      </w:pPr>
      <w:r w:rsidRPr="00521878">
        <w:rPr>
          <w:rStyle w:val="ECCParagraph"/>
        </w:rPr>
        <w:t>The global transmission of meteorological satellite data is provided not only by EUMETSAT's NGSO satellites, but by a network of governmental/inter-governmental operators (NOAA (USA), CMA (China) and EUMETSAT).</w:t>
      </w:r>
    </w:p>
    <w:p w14:paraId="3EF89063" w14:textId="7F6E1D17" w:rsidR="00D21B5A" w:rsidRPr="00521878" w:rsidRDefault="00D21B5A" w:rsidP="00D21B5A">
      <w:pPr>
        <w:pStyle w:val="Heading4"/>
        <w:rPr>
          <w:lang w:val="en-GB"/>
        </w:rPr>
      </w:pPr>
      <w:r w:rsidRPr="00521878">
        <w:rPr>
          <w:lang w:val="en-GB"/>
        </w:rPr>
        <w:t>MetSat (space-to-Earth) in 7450-7550 MHz and 7750</w:t>
      </w:r>
      <w:r w:rsidR="004757B7" w:rsidRPr="00521878">
        <w:rPr>
          <w:lang w:val="en-GB"/>
        </w:rPr>
        <w:t>-</w:t>
      </w:r>
      <w:r w:rsidRPr="00521878">
        <w:rPr>
          <w:lang w:val="en-GB"/>
        </w:rPr>
        <w:t>7900 MHz</w:t>
      </w:r>
    </w:p>
    <w:p w14:paraId="6830B2F1" w14:textId="77777777" w:rsidR="005F1A75" w:rsidRPr="00521878" w:rsidRDefault="005F1A75" w:rsidP="005F1A75">
      <w:pPr>
        <w:rPr>
          <w:rStyle w:val="ECCParagraph"/>
        </w:rPr>
      </w:pPr>
      <w:r w:rsidRPr="00521878">
        <w:rPr>
          <w:rStyle w:val="ECCParagraph"/>
        </w:rPr>
        <w:t>The frequency band 7450-7550 MHz is used to enable wide bandwidths to meet high data rates for the downlink of raw instrument data from geostationary (GSO) MetSat systems.</w:t>
      </w:r>
    </w:p>
    <w:p w14:paraId="2F4DBFF6" w14:textId="4C01A93A" w:rsidR="005F1A75" w:rsidRPr="00521878" w:rsidRDefault="005F1A75" w:rsidP="005F1A75">
      <w:pPr>
        <w:rPr>
          <w:rStyle w:val="ECCParagraph"/>
        </w:rPr>
      </w:pPr>
      <w:r w:rsidRPr="00521878">
        <w:rPr>
          <w:rStyle w:val="ECCParagraph"/>
        </w:rPr>
        <w:t xml:space="preserve">The 7750-7900 MHz frequency band is used for the transmission of raw meteorological data from EUMETSAT's non-geostationary (NGSO) meteorological satellites and for the global dissemination of meteorological data directly to the users of direct broadcast earth stations from the second generation NGSO Metop satellites (Metop-SG) to earth stations, which may in principle be located anywhere. </w:t>
      </w:r>
    </w:p>
    <w:p w14:paraId="725D02A3" w14:textId="77777777" w:rsidR="00D21B5A" w:rsidRPr="00521878" w:rsidRDefault="00D21B5A" w:rsidP="00D21B5A">
      <w:pPr>
        <w:pStyle w:val="Heading4"/>
        <w:rPr>
          <w:lang w:val="en-GB"/>
        </w:rPr>
      </w:pPr>
      <w:r w:rsidRPr="00521878">
        <w:rPr>
          <w:lang w:val="en-GB"/>
        </w:rPr>
        <w:t xml:space="preserve">MetSat (Earth-to-space) in 8175–8215 MHz </w:t>
      </w:r>
    </w:p>
    <w:p w14:paraId="753B1668" w14:textId="77777777" w:rsidR="00D21B5A" w:rsidRPr="00521878" w:rsidRDefault="00D21B5A" w:rsidP="00D21B5A">
      <w:r w:rsidRPr="00521878">
        <w:t>TBD</w:t>
      </w:r>
    </w:p>
    <w:p w14:paraId="76D782E6" w14:textId="77777777" w:rsidR="00D21B5A" w:rsidRPr="00521878" w:rsidRDefault="00D21B5A" w:rsidP="00D21B5A">
      <w:pPr>
        <w:pStyle w:val="Heading3"/>
        <w:rPr>
          <w:rStyle w:val="ECCParagraph"/>
        </w:rPr>
      </w:pPr>
      <w:r w:rsidRPr="00521878">
        <w:rPr>
          <w:rStyle w:val="ECCParagraph"/>
        </w:rPr>
        <w:t>Mobile-Satellite Service</w:t>
      </w:r>
    </w:p>
    <w:p w14:paraId="44C599C8" w14:textId="77777777" w:rsidR="00D21B5A" w:rsidRPr="00521878" w:rsidRDefault="00D21B5A" w:rsidP="00D21B5A">
      <w:r w:rsidRPr="00521878">
        <w:t>TBD</w:t>
      </w:r>
    </w:p>
    <w:p w14:paraId="6BA95A9B" w14:textId="77777777" w:rsidR="00D21B5A" w:rsidRPr="00521878" w:rsidRDefault="00D21B5A" w:rsidP="00D21B5A">
      <w:pPr>
        <w:pStyle w:val="Heading3"/>
        <w:rPr>
          <w:rStyle w:val="ECCParagraph"/>
        </w:rPr>
      </w:pPr>
      <w:r w:rsidRPr="00521878">
        <w:rPr>
          <w:rStyle w:val="ECCParagraph"/>
        </w:rPr>
        <w:t>Earth Exploration-Satellite Service (passive)</w:t>
      </w:r>
    </w:p>
    <w:p w14:paraId="136FF8D2" w14:textId="77777777" w:rsidR="007120DE" w:rsidRPr="00521878" w:rsidRDefault="007120DE" w:rsidP="007120DE">
      <w:pPr>
        <w:rPr>
          <w:rStyle w:val="ECCParagraph"/>
        </w:rPr>
      </w:pPr>
      <w:r w:rsidRPr="00521878">
        <w:rPr>
          <w:rStyle w:val="ECCParagraph"/>
        </w:rPr>
        <w:t>Passive microwave sensor measurements (SST) are carried out in 6425-7075 MHz and 7075-7250 MHz.</w:t>
      </w:r>
    </w:p>
    <w:p w14:paraId="49A94E41" w14:textId="77777777" w:rsidR="007120DE" w:rsidRPr="00521878" w:rsidRDefault="007120DE" w:rsidP="007120DE">
      <w:pPr>
        <w:rPr>
          <w:rStyle w:val="ECCParagraph"/>
        </w:rPr>
      </w:pPr>
      <w:r w:rsidRPr="00521878">
        <w:rPr>
          <w:rStyle w:val="ECCParagraph"/>
        </w:rPr>
        <w:t>The ITU’s Radio Regulations RR 5.458 notes that bands 6425-7075 MHz and 7075-7250 MHz are used for passive microwave sensor measurements for Earth-exploration satellite and space research and that Administrations should bear these needs in mind in future planning.</w:t>
      </w:r>
    </w:p>
    <w:p w14:paraId="7F2BF5C4" w14:textId="77777777" w:rsidR="007120DE" w:rsidRPr="00521878" w:rsidRDefault="007120DE" w:rsidP="007120DE">
      <w:pPr>
        <w:rPr>
          <w:rStyle w:val="ECCParagraph"/>
        </w:rPr>
      </w:pPr>
      <w:r w:rsidRPr="00521878">
        <w:rPr>
          <w:rStyle w:val="ECCParagraph"/>
        </w:rPr>
        <w:t>The frequency ranges 6425-7075 and 7075-7250 MHz are unique for EESS (passive) measurements since they correspond to the peak sensitivity to sea-surface temperature (SST). Thus, passive remote sensing measurements of SST are currently predominantly performed in the 6425-7075 and 7075-7250 MHz ranges.</w:t>
      </w:r>
    </w:p>
    <w:p w14:paraId="54805E75" w14:textId="77777777" w:rsidR="007120DE" w:rsidRPr="00521878" w:rsidRDefault="007120DE" w:rsidP="007120DE">
      <w:pPr>
        <w:rPr>
          <w:rStyle w:val="ECCParagraph"/>
        </w:rPr>
      </w:pPr>
      <w:r w:rsidRPr="00521878">
        <w:rPr>
          <w:rStyle w:val="ECCParagraph"/>
        </w:rPr>
        <w:t xml:space="preserve">SST, together with ocean salinity, is one of the drivers of ocean circulation, which is key for any numerical weather prediction or numerical ocean prediction model. </w:t>
      </w:r>
    </w:p>
    <w:p w14:paraId="5BB48AE4" w14:textId="77777777" w:rsidR="007120DE" w:rsidRPr="00521878" w:rsidRDefault="007120DE" w:rsidP="007120DE">
      <w:pPr>
        <w:rPr>
          <w:rStyle w:val="ECCParagraph"/>
        </w:rPr>
      </w:pPr>
      <w:r w:rsidRPr="00521878">
        <w:rPr>
          <w:rStyle w:val="ECCParagraph"/>
        </w:rPr>
        <w:t>The radiometer CIMR (Copernicus Imaging Microwave Radiometer) will observe in the 6675-7075 MHz band, specifically to observe Sea Surface Temperature (SST). It is one of the expansion missions of the European Union Earth Observation Programme Copernicus. It is being developed by ESA and it is due for launch in 2028. Its operation are expected to go well beyond 2030.</w:t>
      </w:r>
    </w:p>
    <w:p w14:paraId="1BFF866D" w14:textId="3841253F" w:rsidR="007120DE" w:rsidRPr="00521878" w:rsidRDefault="007120DE" w:rsidP="00150D75">
      <w:r w:rsidRPr="00521878">
        <w:rPr>
          <w:rStyle w:val="ECCParagraph"/>
        </w:rPr>
        <w:t>The WRC-23 decided (Resolution 674) on studies for the WRC-27 under AI 1.19 on the possible new global primary allocations to the EESS (passive) performing sea surface temperature (SST) measurements within the frequency bands 4.2-4.4 GHz and 8.4-8.5 GHz, without protection from existing services in these bands and in adjacent bands, in order to determine some complementary bands to the 6425-7075 MHz and 7075-</w:t>
      </w:r>
      <w:r w:rsidRPr="00521878">
        <w:rPr>
          <w:rStyle w:val="ECCParagraph"/>
        </w:rPr>
        <w:lastRenderedPageBreak/>
        <w:t>7250 MHz bands, where they currently operate, The use of complementary bands for SST measurements might improve radio-frequency interference mitigation</w:t>
      </w:r>
    </w:p>
    <w:p w14:paraId="53C455F2" w14:textId="77777777" w:rsidR="00D21B5A" w:rsidRPr="00521878" w:rsidRDefault="00D21B5A" w:rsidP="00D21B5A">
      <w:pPr>
        <w:pStyle w:val="Heading3"/>
        <w:rPr>
          <w:lang w:val="en-GB"/>
        </w:rPr>
      </w:pPr>
      <w:r w:rsidRPr="00521878">
        <w:rPr>
          <w:lang w:val="en-GB"/>
        </w:rPr>
        <w:t>Space Research Service in adjacent bands</w:t>
      </w:r>
    </w:p>
    <w:p w14:paraId="29E1E7D7" w14:textId="08529F83" w:rsidR="002D7DDF" w:rsidRPr="00521878" w:rsidRDefault="002D7DDF" w:rsidP="00150D75">
      <w:r w:rsidRPr="00521878">
        <w:rPr>
          <w:rStyle w:val="ECCParagraph"/>
        </w:rPr>
        <w:t>There are space research missions supported by ESA. These include: Beppi Colombo, ERO, EXOMARS, Solar Orbiter, JUICE, HERA, EUCLID, GAIA and PLATO. The outer space missions of the space research service (e.g. Bepi Colombo, ERO, EXOMARS, Solar Orbiter, JUICE and HERA) have a downlink in the neighbouring band 8400-8450 MHz. Further ESA missions in SRS (deep space) and SRS (near Earth) are already being prepared. ESA operates its own ground station network, ESTRACK, with stations in New Norcia (AUS), Cebreros (E) and Malargue (ARG), for the operation of the SRS missions. There are collaborations with other space agencies, particularly NASA and JAXA, to use their ground networks, and vice versa. The protection of these networks is crucial for the success of the SRS missions and must therefore be ensured in all ITU regions.</w:t>
      </w:r>
    </w:p>
    <w:p w14:paraId="2E2206B2" w14:textId="35A43204" w:rsidR="00D21B5A" w:rsidRPr="00521878" w:rsidRDefault="00D21B5A" w:rsidP="00D21B5A">
      <w:pPr>
        <w:pStyle w:val="Heading4"/>
        <w:rPr>
          <w:lang w:val="en-GB"/>
        </w:rPr>
      </w:pPr>
      <w:r w:rsidRPr="00521878">
        <w:rPr>
          <w:lang w:val="en-GB"/>
        </w:rPr>
        <w:t>SRS (space-to-Earth) (deep space) in 8400</w:t>
      </w:r>
      <w:r w:rsidR="006D4E50" w:rsidRPr="00521878">
        <w:rPr>
          <w:lang w:val="en-GB"/>
        </w:rPr>
        <w:t>-</w:t>
      </w:r>
      <w:r w:rsidRPr="00521878">
        <w:rPr>
          <w:lang w:val="en-GB"/>
        </w:rPr>
        <w:t xml:space="preserve">8450 MHz </w:t>
      </w:r>
    </w:p>
    <w:p w14:paraId="281FB800" w14:textId="2190BA09" w:rsidR="00063DA0" w:rsidRPr="00521878" w:rsidRDefault="00063DA0" w:rsidP="00063DA0">
      <w:pPr>
        <w:rPr>
          <w:rStyle w:val="ECCHLgreen"/>
        </w:rPr>
      </w:pPr>
      <w:r w:rsidRPr="00521878">
        <w:rPr>
          <w:rStyle w:val="ECCParagraph"/>
        </w:rPr>
        <w:t>The frequency band 8400</w:t>
      </w:r>
      <w:r w:rsidR="006D4E50" w:rsidRPr="00521878">
        <w:rPr>
          <w:rStyle w:val="ECCParagraph"/>
        </w:rPr>
        <w:t>-</w:t>
      </w:r>
      <w:r w:rsidRPr="00521878">
        <w:rPr>
          <w:rStyle w:val="ECCParagraph"/>
        </w:rPr>
        <w:t>8450 MHz is used for space research (deep space) (space-to-Earth) with very sensitive receiving earth stations that need to be protected including from unwanted emissions.</w:t>
      </w:r>
    </w:p>
    <w:p w14:paraId="27C0E7D2" w14:textId="58CF7FBA" w:rsidR="00D21B5A" w:rsidRPr="00521878" w:rsidRDefault="00D21B5A" w:rsidP="00D21B5A">
      <w:pPr>
        <w:pStyle w:val="Heading4"/>
        <w:rPr>
          <w:lang w:val="en-GB"/>
        </w:rPr>
      </w:pPr>
      <w:r w:rsidRPr="00521878">
        <w:rPr>
          <w:lang w:val="en-GB"/>
        </w:rPr>
        <w:t>SRS (space-to-Earth) (near Earth) in 8450</w:t>
      </w:r>
      <w:r w:rsidR="006D4E50" w:rsidRPr="00521878">
        <w:rPr>
          <w:lang w:val="en-GB"/>
        </w:rPr>
        <w:t>-</w:t>
      </w:r>
      <w:r w:rsidRPr="00521878">
        <w:rPr>
          <w:lang w:val="en-GB"/>
        </w:rPr>
        <w:t xml:space="preserve">8500 MHz </w:t>
      </w:r>
    </w:p>
    <w:p w14:paraId="2E8A32DD" w14:textId="77777777" w:rsidR="00D21B5A" w:rsidRPr="00521878" w:rsidRDefault="00D21B5A" w:rsidP="00D21B5A">
      <w:r w:rsidRPr="00521878">
        <w:t>TBD</w:t>
      </w:r>
    </w:p>
    <w:p w14:paraId="06CE1E62" w14:textId="77777777" w:rsidR="00D21B5A" w:rsidRPr="00521878" w:rsidRDefault="00D21B5A" w:rsidP="00D21B5A">
      <w:pPr>
        <w:pStyle w:val="Heading3"/>
        <w:rPr>
          <w:rStyle w:val="ECCParagraph"/>
        </w:rPr>
      </w:pPr>
      <w:r w:rsidRPr="00521878">
        <w:rPr>
          <w:rStyle w:val="ECCParagraph"/>
        </w:rPr>
        <w:t>Earth Exploration-Satellite Service (passive)</w:t>
      </w:r>
      <w:r w:rsidRPr="00521878">
        <w:rPr>
          <w:lang w:val="en-GB"/>
        </w:rPr>
        <w:t xml:space="preserve"> in adjacent bands</w:t>
      </w:r>
    </w:p>
    <w:p w14:paraId="3FB45637" w14:textId="77777777" w:rsidR="00203A36" w:rsidRPr="00521878" w:rsidRDefault="00203A36" w:rsidP="00203A36">
      <w:pPr>
        <w:rPr>
          <w:rStyle w:val="ECCParagraph"/>
        </w:rPr>
      </w:pPr>
      <w:r w:rsidRPr="00521878">
        <w:rPr>
          <w:rStyle w:val="ECCParagraph"/>
        </w:rPr>
        <w:t>The WRC-23 decided (Resolution 674) on studies for the WRC-27 under AI 1.19 on the possible new global primary allocations to the EESS (passive) performing sea surface temperature (SST) measurements within the frequency bands 4.2-4.4 GHz and 8.4-8.5 GHz, without protection from existing services in these bands and in adjacent bands, in order to determine some complementary bands to the 6425-7075 MHz and 7075-7250 MHz bands, where they currently operate, The use of complementary bands for SST measurements might improve radio-frequency interference mitigation.</w:t>
      </w:r>
    </w:p>
    <w:p w14:paraId="7E553C15" w14:textId="77777777" w:rsidR="00D21B5A" w:rsidRPr="00521878" w:rsidRDefault="00D21B5A" w:rsidP="000066B9">
      <w:pPr>
        <w:pStyle w:val="Heading3"/>
        <w:rPr>
          <w:lang w:val="en-GB"/>
        </w:rPr>
      </w:pPr>
      <w:r w:rsidRPr="00521878">
        <w:rPr>
          <w:lang w:val="en-GB"/>
        </w:rPr>
        <w:t>Use of the band 7125–8400 MHz for UWB</w:t>
      </w:r>
    </w:p>
    <w:p w14:paraId="61203490" w14:textId="27FDACC5" w:rsidR="00BE02AA" w:rsidRPr="00521878" w:rsidRDefault="00BE02AA" w:rsidP="00ED6260">
      <w:pPr>
        <w:pStyle w:val="ECCEditorsNote"/>
        <w:rPr>
          <w:rStyle w:val="ECCParagraph"/>
        </w:rPr>
      </w:pPr>
      <w:r w:rsidRPr="00521878">
        <w:rPr>
          <w:rStyle w:val="ECCParagraph"/>
        </w:rPr>
        <w:t>This section could not be agreed and will be discussed further at the next PT1 meeting</w:t>
      </w:r>
    </w:p>
    <w:p w14:paraId="004725AA" w14:textId="77777777" w:rsidR="00E71869" w:rsidRPr="00521878" w:rsidRDefault="00E71869" w:rsidP="00E71869">
      <w:pPr>
        <w:rPr>
          <w:rStyle w:val="ECCParagraph"/>
        </w:rPr>
      </w:pPr>
      <w:r w:rsidRPr="00521878">
        <w:rPr>
          <w:rStyle w:val="ECCParagraph"/>
        </w:rPr>
        <w:t>[This frequency range is part of the UWB frequency band 6–8.5 GHz which allows the operation of UWB services and applications on a non-interference and non-protection basis. It is harmonised in Europe through ECC/DEC/(06)04, ECC/DEC(07)01 and Implementing Decision (EU) 2024/1467. UWB most commonly operates on UWB channels 5 (6.2-6.8 GHz) and 9 (7.7-8.3 GHz). [Studies are needed to analyse if and how a change in the spectrum environment may impact UWB applications]. [Introduction of WAS /RLAN and/or IMT [below 7125 / 7250 MHz] greatly impacts the spectrum availability for UWB and pushed implementations to focus on Channel 9]. UWB technology provides applications, [i.e/e.g]. secured and high accuracy ranging peer-to-peer applications between various devices (consumer and industrial), for location tracking.</w:t>
      </w:r>
    </w:p>
    <w:p w14:paraId="447C8B94" w14:textId="77777777" w:rsidR="00E71869" w:rsidRPr="00521878" w:rsidRDefault="00E71869" w:rsidP="00E71869">
      <w:pPr>
        <w:rPr>
          <w:rStyle w:val="ECCParagraph"/>
        </w:rPr>
      </w:pPr>
      <w:r w:rsidRPr="00521878">
        <w:rPr>
          <w:rStyle w:val="ECCParagraph"/>
        </w:rPr>
        <w:t xml:space="preserve">Based on the generic regulation ECC/DEC(07)01 also applications like material analysis, motion detection and classification of objects are implemented using UWB technologies in the entire 2.0-8.5 GHz range. </w:t>
      </w:r>
    </w:p>
    <w:p w14:paraId="790375AB" w14:textId="58E07493" w:rsidR="00E71869" w:rsidRPr="00521878" w:rsidRDefault="00E71869" w:rsidP="00E71869">
      <w:pPr>
        <w:rPr>
          <w:rStyle w:val="ECCParagraph"/>
        </w:rPr>
      </w:pPr>
      <w:r w:rsidRPr="00521878">
        <w:rPr>
          <w:rStyle w:val="ECCParagraph"/>
        </w:rPr>
        <w:t xml:space="preserve">UWB technology is integrated into smart phones and vehicle access systems by several manufacturers. UWB enables a secure communication link for keyless entry and solutions. Additional automotive applications are currently being deployed, such as remote park assist, child presence detection on board, person </w:t>
      </w:r>
      <w:r w:rsidR="002B0AB8" w:rsidRPr="00521878">
        <w:rPr>
          <w:rStyle w:val="ECCParagraph"/>
        </w:rPr>
        <w:t>behaviour</w:t>
      </w:r>
      <w:r w:rsidRPr="00521878">
        <w:rPr>
          <w:rStyle w:val="ECCParagraph"/>
        </w:rPr>
        <w:t xml:space="preserve"> (detection falling people, heartbeat monitoring), intrusion detection and convenience functions such as a "kick sensor" to open the trunk or lighting control through presence detection. Changes in the spectrum environment are particularly critical for the automotive industry, as a vehicle lifespan is averaging 12.5 years. [A change in the UWB channel would simply not allow millions of existing UWB based access systems to continue operation. </w:t>
      </w:r>
      <w:r w:rsidRPr="00521878">
        <w:t>Other wireless technologies for secure vehicle access may achieve lower security and lower performance, hence may not comply with UN-ECE-R116 requirements]</w:t>
      </w:r>
      <w:r w:rsidRPr="00521878">
        <w:rPr>
          <w:rStyle w:val="ECCParagraph"/>
        </w:rPr>
        <w:t>.]</w:t>
      </w:r>
    </w:p>
    <w:p w14:paraId="52FD8B55" w14:textId="77777777" w:rsidR="00432BDC" w:rsidRPr="00521878" w:rsidRDefault="00432BDC" w:rsidP="00432BDC">
      <w:pPr>
        <w:pStyle w:val="Heading3"/>
        <w:rPr>
          <w:rStyle w:val="ECCParagraph"/>
        </w:rPr>
      </w:pPr>
      <w:r w:rsidRPr="00521878">
        <w:rPr>
          <w:rStyle w:val="ECCParagraph"/>
        </w:rPr>
        <w:lastRenderedPageBreak/>
        <w:t>PMSE</w:t>
      </w:r>
    </w:p>
    <w:p w14:paraId="3D6C5CC1" w14:textId="35E5046B" w:rsidR="00B51CAB" w:rsidRPr="00521878" w:rsidRDefault="00432BDC" w:rsidP="00D21B5A">
      <w:pPr>
        <w:rPr>
          <w:rStyle w:val="ECCParagraph"/>
        </w:rPr>
      </w:pPr>
      <w:r w:rsidRPr="00521878">
        <w:rPr>
          <w:rStyle w:val="ECCParagraph"/>
        </w:rPr>
        <w:t>The ERC Recommendation 25-10 includes the shared use of frequency bands for Terrestrial Audio and Video Programme Making and Special Events (PMSE) applications. In accordance with the aforementioned recommendation the band 7-8.5 GHz by Cordless Cameras, Portable video links, Mobile video links and temporary point-to-point video link is used in CEPT.</w:t>
      </w:r>
    </w:p>
    <w:p w14:paraId="3907FB62" w14:textId="77777777" w:rsidR="00D21B5A" w:rsidRPr="00521878" w:rsidRDefault="00D21B5A" w:rsidP="000B7F91">
      <w:pPr>
        <w:pStyle w:val="Heading2"/>
        <w:rPr>
          <w:lang w:val="en-GB"/>
        </w:rPr>
      </w:pPr>
      <w:r w:rsidRPr="00521878">
        <w:rPr>
          <w:lang w:val="en-GB"/>
        </w:rPr>
        <w:t xml:space="preserve">14.8-15.35 GHz </w:t>
      </w:r>
      <w:r w:rsidRPr="00521878">
        <w:rPr>
          <w:rStyle w:val="ECCHLgreen"/>
          <w:shd w:val="clear" w:color="auto" w:fill="auto"/>
        </w:rPr>
        <w:t>(globally)</w:t>
      </w:r>
    </w:p>
    <w:p w14:paraId="7A977DC3" w14:textId="2A25D580" w:rsidR="00D21B5A" w:rsidRPr="00521878" w:rsidRDefault="00D21B5A" w:rsidP="00D21B5A">
      <w:r w:rsidRPr="00521878">
        <w:t>This band is used by Mobile service including aeronautical mobile applications, fixed, also for governmental services in CEPT territories and at international level worldwide a 24/7 basis to support national security, law enforcement, and humanitarian assistance efforts use. AMS usages in this frequency band are, in most of the cases and by design correlated and complementary to those in 4.4</w:t>
      </w:r>
      <w:r w:rsidR="00ED6260" w:rsidRPr="00521878">
        <w:t>-</w:t>
      </w:r>
      <w:r w:rsidRPr="00521878">
        <w:t>4.99 GHz but with different purposes.</w:t>
      </w:r>
    </w:p>
    <w:p w14:paraId="20C0A8DD" w14:textId="77777777" w:rsidR="00D21B5A" w:rsidRPr="00521878" w:rsidRDefault="00D21B5A" w:rsidP="00D21B5A">
      <w:r w:rsidRPr="00521878">
        <w:t>The range 14.8-15.35 GHz is allocated to SRS, upgraded to primary status at WRC-23, and diverse space agencies operate current and future missions, including manned missions in this frequency band.</w:t>
      </w:r>
    </w:p>
    <w:p w14:paraId="1A1AFCFB" w14:textId="77777777" w:rsidR="00D21B5A" w:rsidRPr="00521878" w:rsidRDefault="00D21B5A" w:rsidP="00D21B5A">
      <w:pPr>
        <w:pStyle w:val="Heading3"/>
        <w:rPr>
          <w:rStyle w:val="ECCParagraph"/>
        </w:rPr>
      </w:pPr>
      <w:r w:rsidRPr="00521878">
        <w:rPr>
          <w:rStyle w:val="ECCParagraph"/>
        </w:rPr>
        <w:t>Fixed Service</w:t>
      </w:r>
    </w:p>
    <w:p w14:paraId="56725FCA" w14:textId="77777777" w:rsidR="009C4466" w:rsidRPr="00521878" w:rsidRDefault="009C4466" w:rsidP="009C4466">
      <w:pPr>
        <w:rPr>
          <w:rStyle w:val="ECCParagraph"/>
        </w:rPr>
      </w:pPr>
      <w:r w:rsidRPr="00521878">
        <w:rPr>
          <w:rStyle w:val="ECCParagraph"/>
        </w:rPr>
        <w:t>The fixed radio service is used, among others, by the public broadcasters for signal feeds for DAB, DVB-T2 and FM to the transmitter sites.</w:t>
      </w:r>
    </w:p>
    <w:p w14:paraId="6471E697" w14:textId="77777777" w:rsidR="00D21B5A" w:rsidRPr="00521878" w:rsidRDefault="00D21B5A" w:rsidP="00D21B5A">
      <w:pPr>
        <w:pStyle w:val="Heading3"/>
        <w:rPr>
          <w:rStyle w:val="ECCParagraph"/>
        </w:rPr>
      </w:pPr>
      <w:r w:rsidRPr="00521878">
        <w:rPr>
          <w:rStyle w:val="ECCParagraph"/>
        </w:rPr>
        <w:t>Mobile Service</w:t>
      </w:r>
    </w:p>
    <w:p w14:paraId="00A813B7" w14:textId="77777777" w:rsidR="00D21B5A" w:rsidRPr="00521878" w:rsidRDefault="00D21B5A" w:rsidP="00D21B5A">
      <w:r w:rsidRPr="00521878">
        <w:t>TBD</w:t>
      </w:r>
    </w:p>
    <w:p w14:paraId="4B08F353" w14:textId="77777777" w:rsidR="00D21B5A" w:rsidRPr="00521878" w:rsidRDefault="00D21B5A" w:rsidP="00D21B5A">
      <w:pPr>
        <w:pStyle w:val="Heading3"/>
        <w:rPr>
          <w:rStyle w:val="ECCParagraph"/>
        </w:rPr>
      </w:pPr>
      <w:r w:rsidRPr="00521878">
        <w:rPr>
          <w:rStyle w:val="ECCParagraph"/>
        </w:rPr>
        <w:t xml:space="preserve">Fixed-Satellite Service </w:t>
      </w:r>
      <w:r w:rsidRPr="00521878">
        <w:rPr>
          <w:lang w:val="en-GB"/>
        </w:rPr>
        <w:t>in adjacent bands</w:t>
      </w:r>
    </w:p>
    <w:p w14:paraId="316B9890" w14:textId="77777777" w:rsidR="00D21B5A" w:rsidRPr="00521878" w:rsidRDefault="00D21B5A" w:rsidP="00D21B5A">
      <w:r w:rsidRPr="00521878">
        <w:t>TBD</w:t>
      </w:r>
    </w:p>
    <w:p w14:paraId="07C8905A" w14:textId="77777777" w:rsidR="00D21B5A" w:rsidRPr="00521878" w:rsidRDefault="00D21B5A" w:rsidP="00D21B5A">
      <w:pPr>
        <w:pStyle w:val="Heading3"/>
        <w:rPr>
          <w:rStyle w:val="ECCParagraph"/>
        </w:rPr>
      </w:pPr>
      <w:r w:rsidRPr="00521878">
        <w:rPr>
          <w:rStyle w:val="ECCParagraph"/>
        </w:rPr>
        <w:t>Earth Exploration-Satellite Service (passive)</w:t>
      </w:r>
      <w:r w:rsidRPr="00521878">
        <w:rPr>
          <w:lang w:val="en-GB"/>
        </w:rPr>
        <w:t xml:space="preserve"> in adjacent bands</w:t>
      </w:r>
    </w:p>
    <w:p w14:paraId="34567D7A" w14:textId="77777777" w:rsidR="00D21B5A" w:rsidRPr="00521878" w:rsidRDefault="00D21B5A" w:rsidP="00D21B5A">
      <w:r w:rsidRPr="00521878">
        <w:t>TBD</w:t>
      </w:r>
    </w:p>
    <w:p w14:paraId="75186E4F" w14:textId="77777777" w:rsidR="00D21B5A" w:rsidRPr="00521878" w:rsidRDefault="00D21B5A" w:rsidP="00D21B5A">
      <w:pPr>
        <w:pStyle w:val="Heading3"/>
        <w:rPr>
          <w:lang w:val="en-GB"/>
        </w:rPr>
      </w:pPr>
      <w:r w:rsidRPr="00521878">
        <w:rPr>
          <w:lang w:val="en-GB"/>
        </w:rPr>
        <w:t>Radio Astronomy in adjacent bands</w:t>
      </w:r>
    </w:p>
    <w:p w14:paraId="7D928E0B" w14:textId="77777777" w:rsidR="00037FA6" w:rsidRPr="00521878" w:rsidRDefault="00037FA6" w:rsidP="00037FA6">
      <w:pPr>
        <w:rPr>
          <w:rStyle w:val="ECCParagraph"/>
        </w:rPr>
      </w:pPr>
      <w:r w:rsidRPr="00521878">
        <w:rPr>
          <w:rStyle w:val="ECCParagraph"/>
        </w:rPr>
        <w:t>Radio astronomy is used worldwide in the 15.35-15.4 GHz band, which is a passive band (RR No 5.340) in which any emissions are not permitted. Recommendation ITU-R RA.769 applies to off-band emissions.</w:t>
      </w:r>
    </w:p>
    <w:p w14:paraId="2D88D53C" w14:textId="77777777" w:rsidR="00D21B5A" w:rsidRPr="00521878" w:rsidRDefault="00D21B5A" w:rsidP="00D21B5A">
      <w:pPr>
        <w:pStyle w:val="Heading3"/>
        <w:rPr>
          <w:rStyle w:val="ECCParagraph"/>
        </w:rPr>
      </w:pPr>
      <w:r w:rsidRPr="00521878">
        <w:rPr>
          <w:rStyle w:val="ECCParagraph"/>
        </w:rPr>
        <w:t xml:space="preserve">Space Research Service (passive) </w:t>
      </w:r>
      <w:r w:rsidRPr="00521878">
        <w:rPr>
          <w:lang w:val="en-GB"/>
        </w:rPr>
        <w:t>in adjacent bands</w:t>
      </w:r>
    </w:p>
    <w:p w14:paraId="75693D34" w14:textId="77777777" w:rsidR="00D21B5A" w:rsidRPr="00521878" w:rsidRDefault="00D21B5A" w:rsidP="00D21B5A">
      <w:r w:rsidRPr="00521878">
        <w:t>TBD</w:t>
      </w:r>
    </w:p>
    <w:p w14:paraId="615DEEFF" w14:textId="77777777" w:rsidR="00D21B5A" w:rsidRPr="00521878" w:rsidRDefault="00D21B5A" w:rsidP="00D21B5A">
      <w:pPr>
        <w:pStyle w:val="Heading3"/>
        <w:rPr>
          <w:rStyle w:val="ECCParagraph"/>
        </w:rPr>
      </w:pPr>
      <w:r w:rsidRPr="00521878">
        <w:rPr>
          <w:rStyle w:val="ECCParagraph"/>
        </w:rPr>
        <w:t xml:space="preserve">Aeronautical Radionavigation Service </w:t>
      </w:r>
      <w:r w:rsidRPr="00521878">
        <w:rPr>
          <w:lang w:val="en-GB"/>
        </w:rPr>
        <w:t>in adjacent bands</w:t>
      </w:r>
    </w:p>
    <w:p w14:paraId="6BA69742" w14:textId="77777777" w:rsidR="00D21B5A" w:rsidRPr="00521878" w:rsidRDefault="00D21B5A" w:rsidP="00D21B5A">
      <w:r w:rsidRPr="00521878">
        <w:t>TBD</w:t>
      </w:r>
    </w:p>
    <w:p w14:paraId="7105AB05" w14:textId="77777777" w:rsidR="00D21B5A" w:rsidRPr="00521878" w:rsidRDefault="00D21B5A" w:rsidP="00D21B5A">
      <w:pPr>
        <w:pStyle w:val="Heading3"/>
        <w:rPr>
          <w:rStyle w:val="ECCParagraph"/>
        </w:rPr>
      </w:pPr>
      <w:r w:rsidRPr="00521878">
        <w:rPr>
          <w:rStyle w:val="ECCParagraph"/>
        </w:rPr>
        <w:t>Radiolocation Service</w:t>
      </w:r>
      <w:r w:rsidRPr="00521878">
        <w:rPr>
          <w:lang w:val="en-GB"/>
        </w:rPr>
        <w:t xml:space="preserve"> in adjacent bands</w:t>
      </w:r>
    </w:p>
    <w:p w14:paraId="017EDC53" w14:textId="77777777" w:rsidR="00D21B5A" w:rsidRPr="00521878" w:rsidRDefault="00D21B5A" w:rsidP="00D21B5A">
      <w:r w:rsidRPr="00521878">
        <w:t>TBD</w:t>
      </w:r>
    </w:p>
    <w:p w14:paraId="28EF549C" w14:textId="7DCE24F9" w:rsidR="00D21B5A" w:rsidRPr="00521878" w:rsidRDefault="00D21B5A" w:rsidP="00652E7B">
      <w:pPr>
        <w:pStyle w:val="Heading1"/>
        <w:rPr>
          <w:rStyle w:val="ECCParagraph"/>
        </w:rPr>
      </w:pPr>
      <w:bookmarkStart w:id="9" w:name="_Toc74823190"/>
      <w:bookmarkStart w:id="10" w:name="_Toc74823232"/>
      <w:bookmarkStart w:id="11" w:name="_Toc74823274"/>
      <w:bookmarkStart w:id="12" w:name="_Toc74823316"/>
      <w:bookmarkStart w:id="13" w:name="_Toc74823192"/>
      <w:bookmarkStart w:id="14" w:name="_Toc74823234"/>
      <w:bookmarkStart w:id="15" w:name="_Toc74823276"/>
      <w:bookmarkStart w:id="16" w:name="_Toc74823318"/>
      <w:bookmarkStart w:id="17" w:name="_Toc74767085"/>
      <w:bookmarkStart w:id="18" w:name="_Toc94813668"/>
      <w:bookmarkEnd w:id="9"/>
      <w:bookmarkEnd w:id="10"/>
      <w:bookmarkEnd w:id="11"/>
      <w:bookmarkEnd w:id="12"/>
      <w:bookmarkEnd w:id="13"/>
      <w:bookmarkEnd w:id="14"/>
      <w:bookmarkEnd w:id="15"/>
      <w:bookmarkEnd w:id="16"/>
      <w:bookmarkEnd w:id="17"/>
      <w:r w:rsidRPr="00521878">
        <w:rPr>
          <w:lang w:val="en-GB"/>
        </w:rPr>
        <w:lastRenderedPageBreak/>
        <w:t>List of relevant documents</w:t>
      </w:r>
      <w:bookmarkEnd w:id="18"/>
      <w:r w:rsidRPr="00521878">
        <w:rPr>
          <w:rStyle w:val="ECCHLorange"/>
          <w:shd w:val="clear" w:color="auto" w:fill="auto"/>
          <w:lang w:val="en-GB"/>
        </w:rPr>
        <w:t>/References</w:t>
      </w:r>
    </w:p>
    <w:p w14:paraId="008DACD5" w14:textId="77777777" w:rsidR="00D21B5A" w:rsidRPr="00521878" w:rsidRDefault="00D21B5A" w:rsidP="00D21B5A">
      <w:pPr>
        <w:pStyle w:val="ECCBreak"/>
        <w:rPr>
          <w:rStyle w:val="ECCParagraph"/>
        </w:rPr>
      </w:pPr>
      <w:r w:rsidRPr="00521878">
        <w:rPr>
          <w:rStyle w:val="ECCParagraph"/>
        </w:rPr>
        <w:t>ITU-Documentation (Recommendations, Reports, other)</w:t>
      </w:r>
    </w:p>
    <w:p w14:paraId="1F7A0186" w14:textId="504B8E03" w:rsidR="00C4559A" w:rsidRPr="00652E7B" w:rsidRDefault="00D77B65" w:rsidP="00D21B5A">
      <w:pPr>
        <w:pStyle w:val="ECCBulletsLv1"/>
        <w:rPr>
          <w:b/>
          <w:bCs/>
        </w:rPr>
      </w:pPr>
      <w:hyperlink r:id="rId12" w:history="1">
        <w:r w:rsidR="00C4559A" w:rsidRPr="00521878">
          <w:rPr>
            <w:rStyle w:val="ECCParagraph"/>
          </w:rPr>
          <w:t>Results of the first session of the Conference Preparatory Meeting for WRC-27 (CPM27-1)</w:t>
        </w:r>
      </w:hyperlink>
      <w:r w:rsidR="00C4559A" w:rsidRPr="00521878">
        <w:rPr>
          <w:rStyle w:val="ECCParagraph"/>
        </w:rPr>
        <w:t>, 26 January 2024</w:t>
      </w:r>
    </w:p>
    <w:p w14:paraId="562C17C8" w14:textId="6A5379F1" w:rsidR="00D21B5A" w:rsidRPr="00521878" w:rsidRDefault="00D21B5A" w:rsidP="00D21B5A">
      <w:pPr>
        <w:pStyle w:val="ECCBulletsLv1"/>
        <w:rPr>
          <w:rStyle w:val="ECCHLbold"/>
        </w:rPr>
      </w:pPr>
      <w:r w:rsidRPr="00521878">
        <w:t>Resolution </w:t>
      </w:r>
      <w:r w:rsidRPr="00521878">
        <w:rPr>
          <w:rStyle w:val="ECCHLbold"/>
        </w:rPr>
        <w:t>256 (WRC</w:t>
      </w:r>
      <w:r w:rsidRPr="00521878">
        <w:rPr>
          <w:rStyle w:val="ECCHLbold"/>
        </w:rPr>
        <w:noBreakHyphen/>
        <w:t>23)</w:t>
      </w:r>
    </w:p>
    <w:p w14:paraId="74993A88" w14:textId="77777777" w:rsidR="00D21B5A" w:rsidRPr="00521878" w:rsidRDefault="00D21B5A" w:rsidP="00D21B5A">
      <w:pPr>
        <w:pStyle w:val="ECCBulletsLv1"/>
      </w:pPr>
      <w:r w:rsidRPr="00521878">
        <w:t>Recommendation ITU-R M.2116: “Technical characteristics and protection criteria for the aeronautical mobile service systems operating within the 4 400-4 990 MHz frequency range“.</w:t>
      </w:r>
    </w:p>
    <w:p w14:paraId="356767C5" w14:textId="77777777" w:rsidR="00D21B5A" w:rsidRPr="00521878" w:rsidRDefault="00D21B5A" w:rsidP="00D21B5A">
      <w:pPr>
        <w:pStyle w:val="ECCBulletsLv1"/>
      </w:pPr>
      <w:r w:rsidRPr="00521878">
        <w:t>Recommendation ITU-R M.2089: “Technical characteristics and protection criteria for aeronautical mobile service systems in the frequency range 14.5-15.35 GHz“.</w:t>
      </w:r>
    </w:p>
    <w:p w14:paraId="5B04CDDA" w14:textId="77777777" w:rsidR="00D21B5A" w:rsidRPr="00521878" w:rsidRDefault="00D21B5A" w:rsidP="00D21B5A">
      <w:pPr>
        <w:pStyle w:val="ECCBulletsLv1"/>
      </w:pPr>
      <w:r w:rsidRPr="00521878">
        <w:t>Recommendation ITU-R M.2059: “Operational and technical characteristics and protection criteria of radio altimeters utilizing the band 4 200-4 400 MHz“.</w:t>
      </w:r>
    </w:p>
    <w:p w14:paraId="625A0381" w14:textId="77777777" w:rsidR="00D21B5A" w:rsidRPr="00521878" w:rsidRDefault="00D21B5A" w:rsidP="00D21B5A">
      <w:pPr>
        <w:pStyle w:val="ECCBulletsLv1"/>
      </w:pPr>
      <w:r w:rsidRPr="00521878">
        <w:t>Recommendation ITU-R SA.514-3: “Interference criteria for command and data transmission systems operating in the Earth exploration-satellite and meteorological-satellite services”.</w:t>
      </w:r>
    </w:p>
    <w:p w14:paraId="32454780" w14:textId="77777777" w:rsidR="00D21B5A" w:rsidRPr="00521878" w:rsidRDefault="00D21B5A" w:rsidP="00D21B5A">
      <w:pPr>
        <w:pStyle w:val="ECCBulletsLv1"/>
        <w:rPr>
          <w:rStyle w:val="ECCParagraph"/>
        </w:rPr>
      </w:pPr>
      <w:r w:rsidRPr="00521878">
        <w:t>Recommendation ITU-R SA.609-2: “Protection criteria for radiocommunication links for manned and unmanned near-Earth research satellites”.</w:t>
      </w:r>
    </w:p>
    <w:p w14:paraId="26D4D8F6" w14:textId="77777777" w:rsidR="00D21B5A" w:rsidRPr="00521878" w:rsidRDefault="00D21B5A" w:rsidP="00D21B5A">
      <w:pPr>
        <w:pStyle w:val="ECCBulletsLv1"/>
      </w:pPr>
      <w:r w:rsidRPr="00521878">
        <w:t>Recommendation ITU-R SA.1014-4: “Radiocommunication requirements for manned and unmanned deep space research”.</w:t>
      </w:r>
    </w:p>
    <w:p w14:paraId="4E941894" w14:textId="77777777" w:rsidR="00D21B5A" w:rsidRPr="00521878" w:rsidRDefault="00D21B5A" w:rsidP="00D21B5A">
      <w:pPr>
        <w:pStyle w:val="ECCBulletsLv1"/>
      </w:pPr>
      <w:r w:rsidRPr="00521878">
        <w:t>Recommendation ITU-R SA.1027-6: “Sharing criteria for space-to-Earth data transmission systems in the</w:t>
      </w:r>
    </w:p>
    <w:p w14:paraId="227FBCFC" w14:textId="77777777" w:rsidR="00D21B5A" w:rsidRPr="00521878" w:rsidRDefault="00D21B5A" w:rsidP="00D21B5A">
      <w:pPr>
        <w:pStyle w:val="ECCBulletsLv1"/>
      </w:pPr>
      <w:r w:rsidRPr="00521878">
        <w:t>Earth exploration-satellite and meteorological-satellite services using satellites in low Earth orbit”.</w:t>
      </w:r>
    </w:p>
    <w:p w14:paraId="1981D382" w14:textId="77777777" w:rsidR="00D21B5A" w:rsidRPr="00521878" w:rsidRDefault="00D21B5A" w:rsidP="00D21B5A">
      <w:pPr>
        <w:pStyle w:val="ECCBulletsLv1"/>
      </w:pPr>
      <w:r w:rsidRPr="00521878">
        <w:t>Recommendation ITU-R SA.1157-1: “Protection criteria for deep-space research”.</w:t>
      </w:r>
    </w:p>
    <w:p w14:paraId="249BF267" w14:textId="77777777" w:rsidR="00D21B5A" w:rsidRPr="00521878" w:rsidRDefault="00D21B5A" w:rsidP="00D21B5A">
      <w:pPr>
        <w:pStyle w:val="ECCBulletsLv1"/>
      </w:pPr>
      <w:r w:rsidRPr="00521878">
        <w:t>Recommendation ITU-R SA.1159-1: “Performance criteria for data transmission systems in the Earth exploration-satellite service and meteorological-satellite service”.</w:t>
      </w:r>
    </w:p>
    <w:p w14:paraId="0DAF1A89" w14:textId="77777777" w:rsidR="00D21B5A" w:rsidRPr="00521878" w:rsidRDefault="00D21B5A" w:rsidP="00D21B5A">
      <w:pPr>
        <w:pStyle w:val="ECCBulletsLv1"/>
      </w:pPr>
      <w:r w:rsidRPr="00521878">
        <w:t>Recommendation ITU-R SA.1743: “Maximum allowable degradation to radiocommunication links of the space research and space operation services arising from interference from emissions and radiations from other radio sources”.</w:t>
      </w:r>
    </w:p>
    <w:p w14:paraId="1199A754" w14:textId="77777777" w:rsidR="00D21B5A" w:rsidRPr="00521878" w:rsidRDefault="00D21B5A" w:rsidP="00D21B5A">
      <w:pPr>
        <w:pStyle w:val="ECCBulletsLv1"/>
      </w:pPr>
      <w:r w:rsidRPr="00521878">
        <w:t>Recommendation ITU-R SA.2142: “Methodologies for calculating coordination areas around Earth exploration satellite and space research earth stations to avoid harmful interference from IMT-2020 systems in the frequency bands 25.5-27 GHz and 37-38 GHz”.</w:t>
      </w:r>
    </w:p>
    <w:p w14:paraId="4EB505C6" w14:textId="77777777" w:rsidR="00D21B5A" w:rsidRPr="00521878" w:rsidRDefault="00D21B5A" w:rsidP="00D21B5A">
      <w:pPr>
        <w:pStyle w:val="ECCBulletsLv1"/>
      </w:pPr>
      <w:r w:rsidRPr="00521878">
        <w:t>Report ITU-R SA.2488: “Characteristics to be used for assessing interference to systems operating in the Earth exploration-satellite and meteorological-satellite services, and for conducting sharing studies”.</w:t>
      </w:r>
    </w:p>
    <w:p w14:paraId="11AB68FB" w14:textId="77777777" w:rsidR="00D21B5A" w:rsidRPr="00521878" w:rsidRDefault="00D21B5A" w:rsidP="00D21B5A">
      <w:pPr>
        <w:pStyle w:val="ECCBreak"/>
        <w:rPr>
          <w:rStyle w:val="ECCParagraph"/>
        </w:rPr>
      </w:pPr>
      <w:r w:rsidRPr="00521878">
        <w:rPr>
          <w:rStyle w:val="ECCParagraph"/>
        </w:rPr>
        <w:t>CEPT and/or ECC Documentation (Decisions, Recommendations, Reports)</w:t>
      </w:r>
    </w:p>
    <w:p w14:paraId="77E715CF" w14:textId="77777777" w:rsidR="00D21B5A" w:rsidRPr="00521878" w:rsidRDefault="00D21B5A" w:rsidP="00D21B5A">
      <w:pPr>
        <w:pStyle w:val="ECCBreak"/>
        <w:rPr>
          <w:rStyle w:val="ECCParagraph"/>
        </w:rPr>
      </w:pPr>
      <w:r w:rsidRPr="00521878">
        <w:rPr>
          <w:rStyle w:val="ECCParagraph"/>
        </w:rPr>
        <w:t>EU Documentation (Directives, Decisions, Recommendations, other), if applicable</w:t>
      </w:r>
    </w:p>
    <w:p w14:paraId="773CA1FA" w14:textId="77777777" w:rsidR="00D21B5A" w:rsidRPr="00521878" w:rsidRDefault="00D21B5A" w:rsidP="00D21B5A">
      <w:pPr>
        <w:pStyle w:val="ECCBulletsLv1"/>
      </w:pPr>
      <w:r w:rsidRPr="00521878">
        <w:t>JOIN(2023)9: “European Commission’s joint communication to the European Parliament and the Council from March 10 2023 on the European Union Space Strategy for Security and Defence”.</w:t>
      </w:r>
    </w:p>
    <w:p w14:paraId="6C1EF6B8" w14:textId="77777777" w:rsidR="00D21B5A" w:rsidRPr="00521878" w:rsidRDefault="00D21B5A" w:rsidP="00D21B5A">
      <w:pPr>
        <w:pStyle w:val="Heading1"/>
        <w:rPr>
          <w:lang w:val="en-GB"/>
        </w:rPr>
      </w:pPr>
      <w:bookmarkStart w:id="19" w:name="_Toc94813669"/>
      <w:r w:rsidRPr="00521878">
        <w:rPr>
          <w:lang w:val="en-GB"/>
        </w:rPr>
        <w:t>Actions to be taken</w:t>
      </w:r>
      <w:bookmarkEnd w:id="19"/>
    </w:p>
    <w:p w14:paraId="2BEE95C0" w14:textId="77777777" w:rsidR="0032060D" w:rsidRPr="00521878" w:rsidRDefault="0032060D" w:rsidP="008367FF">
      <w:pPr>
        <w:pStyle w:val="ECCBulletsLv1"/>
      </w:pPr>
      <w:r w:rsidRPr="00521878">
        <w:t>Conduct and analyse compatibility studies between IMT and incumbent services [</w:t>
      </w:r>
      <w:r w:rsidRPr="00521878">
        <w:rPr>
          <w:rStyle w:val="ECCParagraph"/>
        </w:rPr>
        <w:t>including studies involving IMT as a victim of existing services] as appropriate including:</w:t>
      </w:r>
    </w:p>
    <w:p w14:paraId="7AF3B100" w14:textId="77777777" w:rsidR="0032060D" w:rsidRPr="00521878" w:rsidRDefault="0032060D" w:rsidP="00673EC5">
      <w:pPr>
        <w:pStyle w:val="ECCBulletsLv2"/>
      </w:pPr>
      <w:r w:rsidRPr="00521878">
        <w:t xml:space="preserve">studies to take into account the protection of the Radioastronomy service bands 4800-4990 MHz (secondary), 4990-5000 MHz (primary) and in the 15.35-15.4 GHz band (RR No </w:t>
      </w:r>
      <w:r w:rsidRPr="00521878">
        <w:rPr>
          <w:rStyle w:val="ECCHLbold"/>
        </w:rPr>
        <w:t>5.340</w:t>
      </w:r>
      <w:r w:rsidRPr="00521878">
        <w:t>, passive primary), particularly in view of the aggregated data losses (see ITU-R RA.1513).</w:t>
      </w:r>
    </w:p>
    <w:p w14:paraId="44AE5798" w14:textId="77777777" w:rsidR="00D21B5A" w:rsidRPr="00521878" w:rsidRDefault="00D21B5A" w:rsidP="00D21B5A">
      <w:pPr>
        <w:pStyle w:val="Heading1"/>
        <w:rPr>
          <w:lang w:val="en-GB"/>
        </w:rPr>
      </w:pPr>
      <w:r w:rsidRPr="00521878">
        <w:rPr>
          <w:lang w:val="en-GB"/>
        </w:rPr>
        <w:lastRenderedPageBreak/>
        <w:t xml:space="preserve">Relevant information as contributed from outside CEPT </w:t>
      </w:r>
    </w:p>
    <w:p w14:paraId="6F6340DA" w14:textId="77777777" w:rsidR="00D21B5A" w:rsidRPr="00521878" w:rsidRDefault="00D21B5A" w:rsidP="00D21B5A">
      <w:pPr>
        <w:pStyle w:val="Heading2"/>
        <w:rPr>
          <w:lang w:val="en-GB"/>
        </w:rPr>
      </w:pPr>
      <w:r w:rsidRPr="00521878">
        <w:rPr>
          <w:lang w:val="en-GB"/>
        </w:rPr>
        <w:t>European Commission (date of proposal)</w:t>
      </w:r>
    </w:p>
    <w:p w14:paraId="4DBBD4D8" w14:textId="77777777" w:rsidR="00D21B5A" w:rsidRPr="00521878" w:rsidRDefault="00D21B5A" w:rsidP="00D21B5A">
      <w:pPr>
        <w:rPr>
          <w:rStyle w:val="ECCParagraph"/>
        </w:rPr>
      </w:pPr>
    </w:p>
    <w:p w14:paraId="39E140CE" w14:textId="77777777" w:rsidR="00D21B5A" w:rsidRPr="00521878" w:rsidRDefault="00D21B5A" w:rsidP="00D21B5A">
      <w:pPr>
        <w:pStyle w:val="Heading2"/>
        <w:rPr>
          <w:lang w:val="en-GB"/>
        </w:rPr>
      </w:pPr>
      <w:r w:rsidRPr="00521878">
        <w:rPr>
          <w:lang w:val="en-GB"/>
        </w:rPr>
        <w:t>Regional Telecommunication Organisations</w:t>
      </w:r>
    </w:p>
    <w:p w14:paraId="71939C6F" w14:textId="77777777" w:rsidR="00901802" w:rsidRPr="00901802" w:rsidRDefault="00901802" w:rsidP="00901802">
      <w:pPr>
        <w:pStyle w:val="ECCBreak"/>
      </w:pPr>
      <w:r w:rsidRPr="00901802">
        <w:t>CRAF (date of proposal)</w:t>
      </w:r>
    </w:p>
    <w:p w14:paraId="46E54ED3" w14:textId="77777777" w:rsidR="00901802" w:rsidRPr="00521878" w:rsidRDefault="00901802" w:rsidP="00901802">
      <w:pPr>
        <w:rPr>
          <w:rStyle w:val="ECCParagraph"/>
        </w:rPr>
      </w:pPr>
    </w:p>
    <w:p w14:paraId="660DE245" w14:textId="77777777" w:rsidR="00901802" w:rsidRPr="00901802" w:rsidRDefault="00901802" w:rsidP="00901802">
      <w:pPr>
        <w:pStyle w:val="ECCBreak"/>
      </w:pPr>
      <w:r w:rsidRPr="00901802">
        <w:t>EBU (date of proposal)</w:t>
      </w:r>
    </w:p>
    <w:p w14:paraId="3DAE674E" w14:textId="77777777" w:rsidR="00901802" w:rsidRPr="00521878" w:rsidRDefault="00901802" w:rsidP="00901802">
      <w:pPr>
        <w:rPr>
          <w:rStyle w:val="ECCParagraph"/>
        </w:rPr>
      </w:pPr>
    </w:p>
    <w:p w14:paraId="66BDE6F0" w14:textId="77777777" w:rsidR="00901802" w:rsidRPr="00901802" w:rsidRDefault="00901802" w:rsidP="00901802">
      <w:pPr>
        <w:pStyle w:val="ECCBreak"/>
      </w:pPr>
      <w:r w:rsidRPr="00901802">
        <w:t>ESA (June 2024)</w:t>
      </w:r>
    </w:p>
    <w:p w14:paraId="1E516998" w14:textId="77777777" w:rsidR="00901802" w:rsidRPr="00521878" w:rsidRDefault="00901802" w:rsidP="00901802">
      <w:r w:rsidRPr="00521878">
        <w:t>ESA supports the SFCG position on this WRC-23 agenda item decided in June 2024 which is as follows:</w:t>
      </w:r>
    </w:p>
    <w:p w14:paraId="344CAEFB" w14:textId="77777777" w:rsidR="00901802" w:rsidRPr="00521878" w:rsidRDefault="00901802" w:rsidP="00901802">
      <w:r w:rsidRPr="00521878">
        <w:t xml:space="preserve">“SFCG opposes the identification for IMT in the bands 7125 – 8400 MHz and 14.8 – 15.35 GHz unless EESS, SRS, SOS and MetSat are fully protected and that no additional constraints are placed on their future development. In particular, SFCG is of the view that regulatory provisions for possible IMT identification should guarantee protection of existing and future use of the spectrum, for unconstrained ubiquitous worldwide deployment of EESS earth stations in the 8025-8400 MHz band. </w:t>
      </w:r>
    </w:p>
    <w:p w14:paraId="7CE1A6F3" w14:textId="77777777" w:rsidR="00901802" w:rsidRPr="00521878" w:rsidRDefault="00901802" w:rsidP="00901802">
      <w:r w:rsidRPr="00521878">
        <w:t xml:space="preserve">In addition, studies are necessary to ensure that the IMT operators are fully aware of the sharing limitations that will exist with high power uplinks used for SRS, SOS, MetSat and EESS. </w:t>
      </w:r>
    </w:p>
    <w:p w14:paraId="77CEBB53" w14:textId="77777777" w:rsidR="00901802" w:rsidRPr="00521878" w:rsidRDefault="00901802" w:rsidP="00901802">
      <w:r w:rsidRPr="00521878">
        <w:t>SFCG recognises the linkage to agenda item 1.19 and therefore supports the development of studies on the potential impact from IMT operations in the frequency ranges 4400-4800 MHz and 8 215-8 400 MHz to potential new EESS (passive) allocations.”</w:t>
      </w:r>
    </w:p>
    <w:p w14:paraId="50F55384" w14:textId="77777777" w:rsidR="00901802" w:rsidRPr="00901802" w:rsidRDefault="00901802" w:rsidP="00901802">
      <w:pPr>
        <w:pStyle w:val="ECCBreak"/>
      </w:pPr>
      <w:r w:rsidRPr="00901802">
        <w:t>GSA (October 2024)</w:t>
      </w:r>
    </w:p>
    <w:p w14:paraId="6E91CC3D" w14:textId="77777777" w:rsidR="00901802" w:rsidRPr="00521878" w:rsidRDefault="00901802" w:rsidP="00901802">
      <w:pPr>
        <w:pStyle w:val="ECCTabletext"/>
      </w:pPr>
    </w:p>
    <w:p w14:paraId="6A551F77" w14:textId="77777777" w:rsidR="00901802" w:rsidRPr="00521878" w:rsidRDefault="00901802" w:rsidP="00901802">
      <w:pPr>
        <w:pStyle w:val="ECCTabletext"/>
      </w:pPr>
      <w:r w:rsidRPr="00521878">
        <w:t xml:space="preserve">Generic: </w:t>
      </w:r>
    </w:p>
    <w:p w14:paraId="5EA51A3B" w14:textId="77777777" w:rsidR="00901802" w:rsidRPr="00521878" w:rsidRDefault="00901802" w:rsidP="00901802">
      <w:pPr>
        <w:pStyle w:val="ECCTabletext"/>
      </w:pPr>
      <w:r w:rsidRPr="00521878">
        <w:br/>
        <w:t>In addition to re-using existing spectrum, 500-750 MHz of wide-area spectrum will be needed per network to implement the anticipated use cases for 6G/IMT-2030. The exact amount of additional spectrum depends on the number of operators and on the wide-area spectrum already available in each country.</w:t>
      </w:r>
    </w:p>
    <w:p w14:paraId="7EEC28E4" w14:textId="77777777" w:rsidR="00901802" w:rsidRPr="00521878" w:rsidRDefault="00901802" w:rsidP="00901802">
      <w:r w:rsidRPr="00521878">
        <w:t xml:space="preserve">4.4-4.8 GHz: </w:t>
      </w:r>
    </w:p>
    <w:p w14:paraId="44E99C67" w14:textId="77777777" w:rsidR="00901802" w:rsidRPr="00521878" w:rsidRDefault="00901802" w:rsidP="00901802">
      <w:r w:rsidRPr="00521878">
        <w:t>GSA supports an IMT identification of this band in Region 1 and Region 3, to expand the existing ecosystem for 3GPP band n79 (4.4-5 GHz TDD), provided that the associated technical conditions do not constrain IMT macro deployments.</w:t>
      </w:r>
    </w:p>
    <w:p w14:paraId="5121F2B5" w14:textId="77777777" w:rsidR="00901802" w:rsidRPr="00521878" w:rsidRDefault="00901802" w:rsidP="00901802">
      <w:r w:rsidRPr="00521878">
        <w:t xml:space="preserve">7.125-8.4 GHz: </w:t>
      </w:r>
    </w:p>
    <w:p w14:paraId="1E68FB0C" w14:textId="77777777" w:rsidR="00901802" w:rsidRPr="00521878" w:rsidRDefault="00901802" w:rsidP="00901802">
      <w:r w:rsidRPr="00521878">
        <w:t xml:space="preserve">GSA supports the IMT identification of the band in Regions 2 and 3, and of the sub-bands 7.125-7.25 GHz and 7.75-8.4 GHz in Region 1 while ensuring that sharing between IMT and primary services operating in the band is possible and enables IMT wide-area deployments. </w:t>
      </w:r>
    </w:p>
    <w:p w14:paraId="3C73C76A" w14:textId="77777777" w:rsidR="00901802" w:rsidRPr="00521878" w:rsidRDefault="00901802" w:rsidP="00901802">
      <w:r w:rsidRPr="00521878">
        <w:t xml:space="preserve">14.8-15.35 GHz: </w:t>
      </w:r>
    </w:p>
    <w:p w14:paraId="40B5EEFF" w14:textId="77777777" w:rsidR="00901802" w:rsidRPr="00521878" w:rsidRDefault="00901802" w:rsidP="00901802">
      <w:r w:rsidRPr="00521878">
        <w:lastRenderedPageBreak/>
        <w:t>While highlighting that spectrum in this band will not alleviate the need for spectrum in lower bands considered under AI 1.7, GSA would additionally support an IMT identification of the band in all 3 regions</w:t>
      </w:r>
    </w:p>
    <w:p w14:paraId="1E9E7D0A" w14:textId="77777777" w:rsidR="00901802" w:rsidRPr="00901802" w:rsidRDefault="00901802" w:rsidP="00901802">
      <w:pPr>
        <w:pStyle w:val="ECCBreak"/>
      </w:pPr>
      <w:r w:rsidRPr="00901802">
        <w:t>GSMA (date of proposal)</w:t>
      </w:r>
    </w:p>
    <w:p w14:paraId="412F984A" w14:textId="77777777" w:rsidR="00901802" w:rsidRPr="00521878" w:rsidRDefault="00901802" w:rsidP="00901802">
      <w:pPr>
        <w:rPr>
          <w:rStyle w:val="ECCParagraph"/>
        </w:rPr>
      </w:pPr>
    </w:p>
    <w:p w14:paraId="59F21670" w14:textId="70C349EF" w:rsidR="00901802" w:rsidRPr="00901802" w:rsidRDefault="00901802" w:rsidP="00901802">
      <w:pPr>
        <w:pStyle w:val="ECCBreak"/>
      </w:pPr>
      <w:r w:rsidRPr="00901802">
        <w:t>GSOA (</w:t>
      </w:r>
      <w:r>
        <w:t>June 2025</w:t>
      </w:r>
      <w:r w:rsidRPr="00901802">
        <w:t>)</w:t>
      </w:r>
    </w:p>
    <w:p w14:paraId="365C8B28" w14:textId="130E180C" w:rsidR="00901802" w:rsidRPr="00521878" w:rsidRDefault="00901802" w:rsidP="00901802">
      <w:pPr>
        <w:rPr>
          <w:rStyle w:val="ECCParagraph"/>
        </w:rPr>
      </w:pPr>
      <w:r w:rsidRPr="0070539A">
        <w:t>GSOA supports No Change in the bands 4500-4800 MHz, and 7125-8400 MHz. Furthermore, there should be no impact from any IMT identification in the bands adjacent to FSS. </w:t>
      </w:r>
    </w:p>
    <w:p w14:paraId="175346BD" w14:textId="77777777" w:rsidR="00901802" w:rsidRPr="00901802" w:rsidRDefault="00901802" w:rsidP="00901802">
      <w:pPr>
        <w:pStyle w:val="ECCBreak"/>
      </w:pPr>
      <w:r w:rsidRPr="00901802">
        <w:t>IARU (date of proposal)</w:t>
      </w:r>
    </w:p>
    <w:p w14:paraId="70CD85E4" w14:textId="77777777" w:rsidR="00901802" w:rsidRPr="00521878" w:rsidRDefault="00901802" w:rsidP="00901802">
      <w:pPr>
        <w:rPr>
          <w:rStyle w:val="ECCParagraph"/>
        </w:rPr>
      </w:pPr>
    </w:p>
    <w:p w14:paraId="179675BD" w14:textId="77777777" w:rsidR="00901802" w:rsidRPr="00901802" w:rsidRDefault="00901802" w:rsidP="00901802">
      <w:pPr>
        <w:pStyle w:val="ECCBreak"/>
      </w:pPr>
      <w:r w:rsidRPr="00901802">
        <w:t>IATA (date of proposal)</w:t>
      </w:r>
    </w:p>
    <w:p w14:paraId="022F9B85" w14:textId="77777777" w:rsidR="00901802" w:rsidRPr="00521878" w:rsidRDefault="00901802" w:rsidP="00901802">
      <w:pPr>
        <w:rPr>
          <w:rStyle w:val="ECCParagraph"/>
        </w:rPr>
      </w:pPr>
    </w:p>
    <w:p w14:paraId="776DF835" w14:textId="77777777" w:rsidR="00901802" w:rsidRPr="00901802" w:rsidRDefault="00901802" w:rsidP="00901802">
      <w:pPr>
        <w:pStyle w:val="Heading2"/>
      </w:pPr>
      <w:r w:rsidRPr="00901802">
        <w:t>UN level Committees</w:t>
      </w:r>
    </w:p>
    <w:p w14:paraId="50D8009E" w14:textId="77777777" w:rsidR="00901802" w:rsidRPr="00901802" w:rsidRDefault="00901802" w:rsidP="00901802">
      <w:pPr>
        <w:pStyle w:val="ECCBreak"/>
      </w:pPr>
      <w:r w:rsidRPr="00901802">
        <w:t>ICAO (date of proposal)</w:t>
      </w:r>
    </w:p>
    <w:p w14:paraId="099C8571" w14:textId="77777777" w:rsidR="00901802" w:rsidRPr="00521878" w:rsidRDefault="00901802" w:rsidP="00901802">
      <w:pPr>
        <w:rPr>
          <w:rStyle w:val="ECCParagraph"/>
        </w:rPr>
      </w:pPr>
    </w:p>
    <w:p w14:paraId="54B803EF" w14:textId="77777777" w:rsidR="00901802" w:rsidRPr="00901802" w:rsidRDefault="00901802" w:rsidP="00901802">
      <w:pPr>
        <w:pStyle w:val="ECCBreak"/>
      </w:pPr>
      <w:r w:rsidRPr="00901802">
        <w:t>IMO (date of proposal)</w:t>
      </w:r>
    </w:p>
    <w:p w14:paraId="327BD765" w14:textId="77777777" w:rsidR="00901802" w:rsidRPr="00521878" w:rsidRDefault="00901802" w:rsidP="00901802">
      <w:pPr>
        <w:rPr>
          <w:rStyle w:val="ECCParagraph"/>
        </w:rPr>
      </w:pPr>
    </w:p>
    <w:p w14:paraId="540302ED" w14:textId="77777777" w:rsidR="00901802" w:rsidRPr="00901802" w:rsidRDefault="00901802" w:rsidP="00901802">
      <w:pPr>
        <w:pStyle w:val="ECCBreak"/>
      </w:pPr>
      <w:r w:rsidRPr="00901802">
        <w:t>WMO (March 2024)</w:t>
      </w:r>
    </w:p>
    <w:p w14:paraId="129411A5" w14:textId="77777777" w:rsidR="00901802" w:rsidRPr="00521878" w:rsidRDefault="00901802" w:rsidP="00901802">
      <w:bookmarkStart w:id="20" w:name="_Hlk158057123"/>
      <w:r w:rsidRPr="00521878">
        <w:t>WMO opposes any IMT identification:</w:t>
      </w:r>
    </w:p>
    <w:p w14:paraId="5575AEB9" w14:textId="77777777" w:rsidR="00901802" w:rsidRPr="00521878" w:rsidRDefault="00901802" w:rsidP="00901802">
      <w:pPr>
        <w:pStyle w:val="ECCBulletsLv1"/>
      </w:pPr>
      <w:r w:rsidRPr="00521878">
        <w:t>in the 7 125-7 250 MHz frequency band since SST measurements, performed in the overlapping 7 075-7 250 MHz frequency range, are of prime importance for weather forecasting, the Early Warnings for All initiative, and climate monitoring. The 7 075-7 250 MHz frequency range used for SST measurements will always be needed to ensure continuity with past and current SST measurements. Combining this frequency range with nearby channels considered under agenda item 1.19 is required to improve science retrievals and to mitigate RFI to the greatest extent.</w:t>
      </w:r>
    </w:p>
    <w:p w14:paraId="1EBCC97F" w14:textId="77777777" w:rsidR="00901802" w:rsidRPr="00521878" w:rsidRDefault="00901802" w:rsidP="00901802">
      <w:pPr>
        <w:pStyle w:val="ECCBulletsLv1"/>
      </w:pPr>
      <w:r w:rsidRPr="00521878">
        <w:t>in the 7 450-7 550 MHz and 7 750-7 900 MHz frequency bands to ensure the protection of MetSat (space-to-Earth) allocations used for the transmission of collected data from GSO and NGSO MetSat systems.</w:t>
      </w:r>
    </w:p>
    <w:p w14:paraId="4B8AE241" w14:textId="77777777" w:rsidR="00901802" w:rsidRPr="00521878" w:rsidRDefault="00901802" w:rsidP="00901802">
      <w:pPr>
        <w:pStyle w:val="ECCBulletsLv1"/>
      </w:pPr>
      <w:r w:rsidRPr="00521878">
        <w:t>in the 8 025-8 400 MHz frequency band to ensure the protection of EESS (space-to-Earth) allocations used for the transmission of data collected from Earth exploration satellites.</w:t>
      </w:r>
      <w:bookmarkEnd w:id="20"/>
      <w:r w:rsidRPr="00521878" w:rsidDel="00F85111">
        <w:t xml:space="preserve"> </w:t>
      </w:r>
    </w:p>
    <w:p w14:paraId="2A16BEA4" w14:textId="77777777" w:rsidR="00901802" w:rsidRPr="00521878" w:rsidRDefault="00901802" w:rsidP="00901802">
      <w:r w:rsidRPr="00521878">
        <w:t>Introduction of widely deployed IMT networks will also limit future deployment of MetSat and EESS Earth stations that are essential for the distribution of meteorological, related environmental (including space weather) and Earth observation data to the WMO user community.</w:t>
      </w:r>
    </w:p>
    <w:p w14:paraId="459C6A0D" w14:textId="77777777" w:rsidR="00901802" w:rsidRPr="00521878" w:rsidRDefault="00901802" w:rsidP="00901802">
      <w:pPr>
        <w:rPr>
          <w:rStyle w:val="ECCParagraph"/>
        </w:rPr>
      </w:pPr>
      <w:r w:rsidRPr="00521878">
        <w:t>WMO requests that the impact of IMT operations in the frequency ranges 4 400-4 800 MHz and 8 215-8 400 MHz on the potential new EESS (passive) allocations under Agenda Item 1.19 be taken into consideration.</w:t>
      </w:r>
    </w:p>
    <w:p w14:paraId="1C9D51B6" w14:textId="77777777" w:rsidR="00901802" w:rsidRPr="00901802" w:rsidRDefault="00901802" w:rsidP="00901802">
      <w:pPr>
        <w:pStyle w:val="Heading2"/>
      </w:pPr>
      <w:r w:rsidRPr="00901802">
        <w:lastRenderedPageBreak/>
        <w:t>Other ECC MoU/LoU partners</w:t>
      </w:r>
    </w:p>
    <w:p w14:paraId="5A54768D" w14:textId="77777777" w:rsidR="00901802" w:rsidRPr="00901802" w:rsidRDefault="00901802" w:rsidP="00901802">
      <w:pPr>
        <w:pStyle w:val="ECCBreak"/>
      </w:pPr>
      <w:r w:rsidRPr="00901802">
        <w:t>ACEA (August 2024)</w:t>
      </w:r>
    </w:p>
    <w:p w14:paraId="7554EB57" w14:textId="77777777" w:rsidR="00901802" w:rsidRPr="00521878" w:rsidRDefault="00901802" w:rsidP="00901802">
      <w:r w:rsidRPr="00521878">
        <w:t>The European Automobile Manufacturers’ Association and the European Association of Automotive Suppliers recommendations are that the existing use by UWB needs to be fully taken into consideration and that any risk to the ongoing global mass deployment of UWB needs to be avoided. After WRC-23 identified the 6 GHz band for IMT (AI1.2), the 7 125-8 400 MHz is essential for today’s UWB applications including vehicular tracking applications, secure key fobs and their newer smart equivalents. UWB operates under ECC/DEC/(06)04 and Decision (EU) 2024/1467 with the current other radio applications deployed. An introduction of IMT in the frequency range 7 125-8 400 MHz will be disruptive for UWB radiodetermination and tracking applications.</w:t>
      </w:r>
    </w:p>
    <w:p w14:paraId="55D56CEE" w14:textId="77777777" w:rsidR="00901802" w:rsidRPr="00521878" w:rsidRDefault="00901802" w:rsidP="00901802">
      <w:r w:rsidRPr="00521878">
        <w:t>ACEA/CLEPA opposes to identify any parts of the 7 125-8 400 MHz range under Res. 256 (WRC-23) for IMT to ensure continued use of existing and future UWB products and services. Any risk should be avoided that would lead to a stop of the ongoing global mass deployment of automotive UWB applications, in particular secure vehicle access.</w:t>
      </w:r>
    </w:p>
    <w:p w14:paraId="77C0B7E8" w14:textId="77777777" w:rsidR="00901802" w:rsidRPr="00901802" w:rsidRDefault="00901802" w:rsidP="00901802">
      <w:pPr>
        <w:pStyle w:val="ECCBreak"/>
      </w:pPr>
      <w:r w:rsidRPr="00901802">
        <w:t>Car Connectivity Consortium (CCC) (August 2024)</w:t>
      </w:r>
    </w:p>
    <w:p w14:paraId="375C2A21" w14:textId="77777777" w:rsidR="00901802" w:rsidRPr="00521878" w:rsidRDefault="00901802" w:rsidP="00901802">
      <w:r w:rsidRPr="00521878">
        <w:t>From CCC perspective, the situation related to the bands under AI 1.7 is crucial since the 6 GHz range of Agenda Item 1.2 (WRC-23) was already identified for IMT and under AI 1.7, UWB channel 9 (7.7 - 8.3 GHz) is proposed to be explored for future IMT use. The frequency ranges under AI 1.7, in particular, the band 7750 - 8400 MHz, in Region 1, overlap with the primary band (7.7 - 8.3 GHz) used for the car access applications. CCC recommends that the existing use by UWB needs to be fully taken into consideration and that any risk to the ongoing global mass deployment of UWB needs to be avoided. The potential use of cellular communication within this band could significantly impact the existing automotive UWB use cases, like CCC Digital Key and degrade relay attack protection due to high transmission power of cellular communication.</w:t>
      </w:r>
    </w:p>
    <w:p w14:paraId="65C90EB9" w14:textId="77777777" w:rsidR="00901802" w:rsidRPr="00901802" w:rsidRDefault="00901802" w:rsidP="00901802">
      <w:pPr>
        <w:pStyle w:val="ECCBreak"/>
      </w:pPr>
      <w:r w:rsidRPr="00901802">
        <w:t>EUMETNET (March 2024)</w:t>
      </w:r>
    </w:p>
    <w:p w14:paraId="6D46CE22" w14:textId="77777777" w:rsidR="00901802" w:rsidRPr="00521878" w:rsidRDefault="00901802" w:rsidP="00901802">
      <w:pPr>
        <w:rPr>
          <w:rStyle w:val="ECCParagraph"/>
        </w:rPr>
      </w:pPr>
      <w:r w:rsidRPr="00521878">
        <w:rPr>
          <w:rStyle w:val="ECCParagraph"/>
        </w:rPr>
        <w:t>EUMETNET supports the WMO position.</w:t>
      </w:r>
    </w:p>
    <w:p w14:paraId="505EE304" w14:textId="77777777" w:rsidR="00901802" w:rsidRPr="00901802" w:rsidRDefault="00901802" w:rsidP="00901802">
      <w:pPr>
        <w:pStyle w:val="ECCBreak"/>
      </w:pPr>
      <w:r w:rsidRPr="00901802">
        <w:t>EUROCONTROL (date of proposal)</w:t>
      </w:r>
    </w:p>
    <w:p w14:paraId="6337E33F" w14:textId="77777777" w:rsidR="00901802" w:rsidRPr="00521878" w:rsidRDefault="00901802" w:rsidP="00901802">
      <w:pPr>
        <w:pStyle w:val="ECCLetterHead"/>
      </w:pPr>
    </w:p>
    <w:p w14:paraId="7215DD12" w14:textId="77777777" w:rsidR="00901802" w:rsidRPr="00901802" w:rsidRDefault="00901802" w:rsidP="00901802">
      <w:pPr>
        <w:pStyle w:val="ECCBreak"/>
      </w:pPr>
      <w:r w:rsidRPr="00901802">
        <w:t>FiRa Consortium (August 2024)</w:t>
      </w:r>
    </w:p>
    <w:p w14:paraId="4BCEFF0A" w14:textId="77777777" w:rsidR="00901802" w:rsidRPr="00521878" w:rsidRDefault="00901802" w:rsidP="00901802">
      <w:r w:rsidRPr="00521878">
        <w:t>The FiRa Consortium recommendation is that the existing UWB use is taken into consideration and that any risk to the ongoing global mass deployment of UWB is avoided. After that WRC-23 identified the 6 GHz band for IMT (AI1.2), the 7 750-8 400 MHz frequency range is essential for the precise location determination and fine ranging in Region 1. The European regulatory framework for UWB identified the 6.0 – 8.5 GHz band as the preferred range for UWB applications. UWB operates under ECC/DEC/(06)04 and Decision (EU) 2024/1467 to allow sharing the band with other radio applications currently deployed. Introduction of IMT in the frequency range 7 750-8 400 MHz would be disruptive for UWB applications.</w:t>
      </w:r>
    </w:p>
    <w:p w14:paraId="5F1AF414" w14:textId="77777777" w:rsidR="00901802" w:rsidRPr="00521878" w:rsidRDefault="00901802" w:rsidP="00901802">
      <w:r w:rsidRPr="00521878">
        <w:t xml:space="preserve">To ensure continued use of existing and future UWB products and services, FiRa Consortium opposes identification of the 7 750-8 400 MHz range under Res. 256 (WRC-23) for IMT in Region 1. </w:t>
      </w:r>
    </w:p>
    <w:p w14:paraId="28128E1D" w14:textId="76875FA1" w:rsidR="00901802" w:rsidRPr="00901802" w:rsidRDefault="00901802" w:rsidP="00901802">
      <w:pPr>
        <w:pStyle w:val="ECCBreak"/>
      </w:pPr>
      <w:r w:rsidRPr="00521878" w:rsidDel="003219F7">
        <w:rPr>
          <w:rStyle w:val="ECCParagraph"/>
        </w:rPr>
        <w:t xml:space="preserve">NATO </w:t>
      </w:r>
      <w:r w:rsidRPr="00901802" w:rsidDel="003219F7">
        <w:t>(</w:t>
      </w:r>
      <w:r w:rsidRPr="00901802">
        <w:t>April 2025</w:t>
      </w:r>
      <w:r w:rsidRPr="00901802" w:rsidDel="003219F7">
        <w:t>)</w:t>
      </w:r>
    </w:p>
    <w:p w14:paraId="6AE2C91F" w14:textId="77777777" w:rsidR="00901802" w:rsidRPr="00652E7B" w:rsidRDefault="00901802" w:rsidP="00652E7B">
      <w:pPr>
        <w:rPr>
          <w:rStyle w:val="ECCHLunderlined"/>
        </w:rPr>
      </w:pPr>
      <w:r w:rsidRPr="00652E7B">
        <w:rPr>
          <w:rStyle w:val="ECCHLunderlined"/>
        </w:rPr>
        <w:t>Preliminary NATO Military Interest</w:t>
      </w:r>
    </w:p>
    <w:p w14:paraId="194A9B42" w14:textId="77777777" w:rsidR="00901802" w:rsidRPr="00521878" w:rsidRDefault="00901802" w:rsidP="00901802">
      <w:r w:rsidRPr="00521878">
        <w:t>4400-4800 MHz:</w:t>
      </w:r>
    </w:p>
    <w:p w14:paraId="5E32E327" w14:textId="77777777" w:rsidR="00901802" w:rsidRPr="00521878" w:rsidRDefault="00901802" w:rsidP="00901802">
      <w:r w:rsidRPr="00521878">
        <w:t xml:space="preserve">Access for NATO military systems to the NATO harmonised frequency band 4400-4800 MHz is essential in Europe and at international level in support to various NATO missions. This highly utilised band used by NATO </w:t>
      </w:r>
      <w:r w:rsidRPr="00521878">
        <w:lastRenderedPageBreak/>
        <w:t>systems operating within the fixed and mobile (LM, AM and MM) service will likely be impacted by an IMT identification.</w:t>
      </w:r>
    </w:p>
    <w:p w14:paraId="61414780" w14:textId="77777777" w:rsidR="00901802" w:rsidRPr="00521878" w:rsidRDefault="00901802" w:rsidP="00901802">
      <w:r w:rsidRPr="00521878">
        <w:t>Therefore, any change that could limit/degrade the utilisation of NATO systems, within and outside nations boundaries (e.g. international airspace and water) should be opposed.</w:t>
      </w:r>
    </w:p>
    <w:p w14:paraId="2060EEC4" w14:textId="77777777" w:rsidR="00901802" w:rsidRPr="00521878" w:rsidRDefault="00901802" w:rsidP="00901802">
      <w:r w:rsidRPr="00521878">
        <w:t>It is not of military interest to re-conduct studies already existing from previous WRC cycles, which have already led to NOC decisions.</w:t>
      </w:r>
    </w:p>
    <w:p w14:paraId="41B492F2" w14:textId="77777777" w:rsidR="00901802" w:rsidRPr="00521878" w:rsidRDefault="00901802" w:rsidP="00901802">
      <w:r w:rsidRPr="00521878">
        <w:t>7125-8400 MHz or parts thereof:</w:t>
      </w:r>
    </w:p>
    <w:p w14:paraId="47761B2A" w14:textId="77777777" w:rsidR="00901802" w:rsidRPr="00521878" w:rsidRDefault="00901802" w:rsidP="00901802">
      <w:r w:rsidRPr="00521878">
        <w:t>Access for NATO military systems to the NATO harmonised satellite service range 7250-8400 MHz is essential. The X-band offers unique capabilities for SATCOM compared to other bands with regard to resilience based on the ratios antenna size, data rate and propagation constraints. Extensive and expensive NATO systems operating within the satellite service will likely be impacted by an IMT identification. Therefore, a possible IMT identification could limit/degrade the utilisation of NATO systems and should be opposed.</w:t>
      </w:r>
    </w:p>
    <w:p w14:paraId="18FCFE84" w14:textId="77777777" w:rsidR="00901802" w:rsidRPr="00521878" w:rsidRDefault="00901802" w:rsidP="00901802">
      <w:r w:rsidRPr="00521878">
        <w:t>14.8-15.35 GHz:</w:t>
      </w:r>
    </w:p>
    <w:p w14:paraId="3CBCC2C7" w14:textId="77777777" w:rsidR="00901802" w:rsidRPr="00521878" w:rsidRDefault="00901802" w:rsidP="00901802">
      <w:r w:rsidRPr="00521878">
        <w:t>Access for NATO military systems to the NATO harmonised frequency band 14.5-15.35 GHz is essential. NATO systems operating within the fixed and mobile including aeronautical mobile services will likely be severely impacted by an IMT identification. These mobile usages are by definition uncoordinated and need to be considered. Therefore, any change that could limit/degrade the utilisation of NATO systems, especially AMS and MMS, should be opposed.</w:t>
      </w:r>
    </w:p>
    <w:p w14:paraId="3089284E" w14:textId="77777777" w:rsidR="00901802" w:rsidRPr="00652E7B" w:rsidRDefault="00901802" w:rsidP="00652E7B">
      <w:pPr>
        <w:rPr>
          <w:rStyle w:val="ECCHLunderlined"/>
        </w:rPr>
      </w:pPr>
      <w:r w:rsidRPr="00652E7B">
        <w:rPr>
          <w:rStyle w:val="ECCHLunderlined"/>
        </w:rPr>
        <w:t>Preliminary NATO Position</w:t>
      </w:r>
    </w:p>
    <w:p w14:paraId="18DC1447" w14:textId="77777777" w:rsidR="00901802" w:rsidRPr="00521878" w:rsidRDefault="00901802" w:rsidP="00901802">
      <w:r w:rsidRPr="00521878">
        <w:t>4400-4800 MHz:</w:t>
      </w:r>
    </w:p>
    <w:p w14:paraId="4E029666" w14:textId="77777777" w:rsidR="00901802" w:rsidRPr="00521878" w:rsidRDefault="00901802" w:rsidP="00901802">
      <w:r w:rsidRPr="00521878">
        <w:t>NATO does not support an IMT identification in the frequency band 4400-4800 MHz in order to protect incumbent services in the band and adjacent bands and nations will engage in studies accordingly.</w:t>
      </w:r>
    </w:p>
    <w:p w14:paraId="5450A025" w14:textId="77777777" w:rsidR="00901802" w:rsidRPr="00521878" w:rsidRDefault="00901802" w:rsidP="00901802">
      <w:r w:rsidRPr="00521878">
        <w:t>7125-8400 MHz or parts thereof:</w:t>
      </w:r>
    </w:p>
    <w:p w14:paraId="341C8428" w14:textId="77777777" w:rsidR="00901802" w:rsidRPr="00521878" w:rsidRDefault="00901802" w:rsidP="00901802">
      <w:r w:rsidRPr="00521878">
        <w:t>NATO does not support an IMT identification in the frequency range 7250-8400 MHz and nations will engage in studies accordingly.</w:t>
      </w:r>
    </w:p>
    <w:p w14:paraId="4506CEC5" w14:textId="77777777" w:rsidR="00901802" w:rsidRPr="00521878" w:rsidRDefault="00901802" w:rsidP="00901802">
      <w:r w:rsidRPr="00521878">
        <w:t>NATO could support regulatory changes in the frequency range 7125-7250 MHz, if studies prove the feasibility of sharing and no additional limitations on adjacent band services above 7250 MHz.</w:t>
      </w:r>
    </w:p>
    <w:p w14:paraId="3137260C" w14:textId="77777777" w:rsidR="00901802" w:rsidRPr="00521878" w:rsidRDefault="00901802" w:rsidP="00901802">
      <w:r w:rsidRPr="00521878">
        <w:t>14.8-15.35 GHz:</w:t>
      </w:r>
    </w:p>
    <w:p w14:paraId="3F2EBB62" w14:textId="0F574393" w:rsidR="00EF69A0" w:rsidRPr="00235592" w:rsidRDefault="00901802" w:rsidP="004E5CDB">
      <w:pPr>
        <w:rPr>
          <w:rStyle w:val="ECCParagraph"/>
          <w:b/>
          <w:bCs/>
          <w:iCs/>
        </w:rPr>
      </w:pPr>
      <w:r w:rsidRPr="00521878">
        <w:t>NATO does not support an IMT identification in the frequency band 14.8-15.35 GHz in order to protect incumbent services and nations will engage in studies accordingly.</w:t>
      </w:r>
    </w:p>
    <w:sectPr w:rsidR="00EF69A0" w:rsidRPr="00235592" w:rsidSect="00482679">
      <w:headerReference w:type="even" r:id="rId13"/>
      <w:headerReference w:type="default" r:id="rId14"/>
      <w:footerReference w:type="even" r:id="rId15"/>
      <w:footerReference w:type="default" r:id="rId16"/>
      <w:headerReference w:type="first" r:id="rId17"/>
      <w:footerReference w:type="first" r:id="rId18"/>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02258" w14:textId="77777777" w:rsidR="004A0D32" w:rsidRPr="00521878" w:rsidRDefault="004A0D32" w:rsidP="00D0121B">
      <w:r w:rsidRPr="00521878">
        <w:separator/>
      </w:r>
    </w:p>
    <w:p w14:paraId="09A248FD" w14:textId="77777777" w:rsidR="004A0D32" w:rsidRPr="00521878" w:rsidRDefault="004A0D32"/>
    <w:p w14:paraId="31D6BC2C" w14:textId="77777777" w:rsidR="004A0D32" w:rsidRPr="00521878" w:rsidRDefault="004A0D32"/>
  </w:endnote>
  <w:endnote w:type="continuationSeparator" w:id="0">
    <w:p w14:paraId="3F37BE0E" w14:textId="77777777" w:rsidR="004A0D32" w:rsidRPr="00521878" w:rsidRDefault="004A0D32" w:rsidP="00D0121B">
      <w:r w:rsidRPr="00521878">
        <w:continuationSeparator/>
      </w:r>
    </w:p>
    <w:p w14:paraId="5882E598" w14:textId="77777777" w:rsidR="004A0D32" w:rsidRPr="00521878" w:rsidRDefault="004A0D32"/>
    <w:p w14:paraId="30AECF23" w14:textId="77777777" w:rsidR="004A0D32" w:rsidRPr="00521878" w:rsidRDefault="004A0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E6C4D" w14:textId="136CDA5E" w:rsidR="00D21B5A" w:rsidRPr="00521878" w:rsidRDefault="00D21B5A" w:rsidP="00150D75">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4AD71" w14:textId="7F86E19B" w:rsidR="00D21B5A" w:rsidRPr="00521878" w:rsidRDefault="00D21B5A" w:rsidP="00150D75">
    <w:pP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4D19C" w14:textId="5CC5D197" w:rsidR="00D21B5A" w:rsidRPr="00521878" w:rsidRDefault="00D21B5A" w:rsidP="00150D75">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196FD" w14:textId="77777777" w:rsidR="004A0D32" w:rsidRPr="00521878" w:rsidRDefault="004A0D32" w:rsidP="00C77ABB">
      <w:pPr>
        <w:pStyle w:val="FootnoteText"/>
        <w:rPr>
          <w:lang w:val="en-GB"/>
        </w:rPr>
      </w:pPr>
      <w:r w:rsidRPr="00521878">
        <w:rPr>
          <w:lang w:val="en-GB"/>
        </w:rPr>
        <w:separator/>
      </w:r>
    </w:p>
  </w:footnote>
  <w:footnote w:type="continuationSeparator" w:id="0">
    <w:p w14:paraId="51EF8B7F" w14:textId="77777777" w:rsidR="004A0D32" w:rsidRPr="00521878" w:rsidRDefault="004A0D32" w:rsidP="00C77ABB">
      <w:pPr>
        <w:pStyle w:val="FootnoteText"/>
        <w:rPr>
          <w:lang w:val="en-GB"/>
        </w:rPr>
      </w:pPr>
      <w:r w:rsidRPr="00521878">
        <w:rPr>
          <w:lang w:val="en-GB"/>
        </w:rPr>
        <w:continuationSeparator/>
      </w:r>
    </w:p>
  </w:footnote>
  <w:footnote w:id="1">
    <w:p w14:paraId="7D62A9D2" w14:textId="65D45377" w:rsidR="009271A3" w:rsidRPr="00521878" w:rsidRDefault="009271A3" w:rsidP="009271A3">
      <w:pPr>
        <w:pStyle w:val="FootnoteText"/>
        <w:rPr>
          <w:lang w:val="en-GB"/>
        </w:rPr>
      </w:pPr>
      <w:r w:rsidRPr="00521878">
        <w:rPr>
          <w:rStyle w:val="FootnoteReference"/>
          <w:lang w:val="en-GB"/>
        </w:rPr>
        <w:footnoteRef/>
      </w:r>
      <w:hyperlink r:id="rId1" w:history="1">
        <w:r w:rsidR="0011517D" w:rsidRPr="00B63EA3">
          <w:rPr>
            <w:rStyle w:val="Hyperlink"/>
            <w:lang w:val="en-GB"/>
          </w:rPr>
          <w:t>https://radio-spectrum-policy-group.ec.europa.eu/document/download/89457260-ab6b-495a-9a10-</w:t>
        </w:r>
        <w:r w:rsidR="0011517D" w:rsidRPr="00B63EA3">
          <w:rPr>
            <w:rStyle w:val="Hyperlink"/>
          </w:rPr>
          <w:t>437711cbe831_en?filename=RSPG25-006final-RSPG_Report_on_6G_strategic_vision.pdf</w:t>
        </w:r>
      </w:hyperlink>
    </w:p>
  </w:footnote>
  <w:footnote w:id="2">
    <w:p w14:paraId="4D19DF24" w14:textId="03FFBCAA" w:rsidR="009271A3" w:rsidRPr="005A3BCB" w:rsidRDefault="009271A3" w:rsidP="009271A3">
      <w:pPr>
        <w:pStyle w:val="FootnoteText"/>
        <w:rPr>
          <w:lang w:val="en-GB"/>
        </w:rPr>
      </w:pPr>
      <w:r w:rsidRPr="00521878">
        <w:rPr>
          <w:rStyle w:val="FootnoteReference"/>
          <w:lang w:val="en-GB"/>
        </w:rPr>
        <w:footnoteRef/>
      </w:r>
      <w:r w:rsidRPr="00521878">
        <w:rPr>
          <w:lang w:val="en-GB"/>
        </w:rPr>
        <w:t xml:space="preserve"> GSMAi forecasts indicate that mobile traffic in Europe will grow to 71 GB per user and month in 2030, up from 17 GB in 2023, an annual growth rate of 22 % (see </w:t>
      </w:r>
      <w:hyperlink r:id="rId2" w:history="1">
        <w:r w:rsidR="00C53C4C" w:rsidRPr="00B63EA3">
          <w:rPr>
            <w:rStyle w:val="Hyperlink"/>
            <w:lang w:val="en-GB"/>
          </w:rPr>
          <w:t>https://www.gsma.com/solutions-and-impact/connectivity-for-good/mobile-economy/wp-content/uploads/2024/02/260224-The-Mobile-Economy-2024.pdf</w:t>
        </w:r>
      </w:hyperlink>
      <w:r w:rsidRPr="00521878">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41D2F" w14:textId="05ADA2D5" w:rsidR="00E06B29" w:rsidRPr="00521878" w:rsidRDefault="003771D5" w:rsidP="003A68D5">
    <w:pPr>
      <w:pStyle w:val="ECCpageHeader"/>
      <w:rPr>
        <w:lang w:val="en-GB"/>
      </w:rPr>
    </w:pPr>
    <w:r w:rsidRPr="00521878">
      <w:rPr>
        <w:lang w:val="en-GB"/>
      </w:rPr>
      <w:t xml:space="preserve">Draft CEPT Brief on AI </w:t>
    </w:r>
    <w:r w:rsidR="00D21B5A" w:rsidRPr="00521878">
      <w:rPr>
        <w:lang w:val="en-GB"/>
      </w:rPr>
      <w:t>1.7</w:t>
    </w:r>
    <w:r w:rsidRPr="00521878">
      <w:rPr>
        <w:lang w:val="en-GB"/>
      </w:rPr>
      <w:t xml:space="preserve"> </w:t>
    </w:r>
    <w:r w:rsidR="002D6680" w:rsidRPr="00521878">
      <w:rPr>
        <w:lang w:val="en-GB"/>
      </w:rPr>
      <w:t xml:space="preserve">- </w:t>
    </w:r>
    <w:r w:rsidR="005C10EB" w:rsidRPr="00521878">
      <w:rPr>
        <w:lang w:val="en-GB"/>
      </w:rPr>
      <w:t xml:space="preserve">Page </w:t>
    </w:r>
    <w:r w:rsidR="005C10EB" w:rsidRPr="00521878">
      <w:rPr>
        <w:lang w:val="en-GB"/>
      </w:rPr>
      <w:fldChar w:fldCharType="begin"/>
    </w:r>
    <w:r w:rsidR="005C10EB" w:rsidRPr="00521878">
      <w:rPr>
        <w:lang w:val="en-GB"/>
      </w:rPr>
      <w:instrText xml:space="preserve"> PAGE  \* Arabic  \* MERGEFORMAT </w:instrText>
    </w:r>
    <w:r w:rsidR="005C10EB" w:rsidRPr="00521878">
      <w:rPr>
        <w:lang w:val="en-GB"/>
      </w:rPr>
      <w:fldChar w:fldCharType="separate"/>
    </w:r>
    <w:r w:rsidR="00817826" w:rsidRPr="00521878">
      <w:rPr>
        <w:lang w:val="en-GB"/>
      </w:rPr>
      <w:t>4</w:t>
    </w:r>
    <w:r w:rsidR="005C10EB" w:rsidRPr="00521878">
      <w:rPr>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2F73B" w14:textId="4851A926" w:rsidR="00E06B29" w:rsidRPr="00521878" w:rsidRDefault="00D904D5" w:rsidP="003A68D5">
    <w:pPr>
      <w:pStyle w:val="ECCpageHeader"/>
      <w:rPr>
        <w:lang w:val="en-GB"/>
      </w:rPr>
    </w:pPr>
    <w:r w:rsidRPr="00521878">
      <w:rPr>
        <w:lang w:val="en-GB"/>
      </w:rPr>
      <w:tab/>
    </w:r>
    <w:r w:rsidRPr="00521878">
      <w:rPr>
        <w:lang w:val="en-GB"/>
      </w:rPr>
      <w:tab/>
    </w:r>
    <w:r w:rsidR="002D6680" w:rsidRPr="00521878">
      <w:rPr>
        <w:lang w:val="en-GB"/>
      </w:rPr>
      <w:t xml:space="preserve">Draft CEPT Brief on AI </w:t>
    </w:r>
    <w:r w:rsidR="00DC2778" w:rsidRPr="00521878">
      <w:rPr>
        <w:lang w:val="en-GB"/>
      </w:rPr>
      <w:t>1.7</w:t>
    </w:r>
    <w:r w:rsidR="002D6680" w:rsidRPr="00521878">
      <w:rPr>
        <w:lang w:val="en-GB"/>
      </w:rPr>
      <w:t xml:space="preserve"> - </w:t>
    </w:r>
    <w:r w:rsidR="005C10EB" w:rsidRPr="00521878">
      <w:rPr>
        <w:lang w:val="en-GB"/>
      </w:rPr>
      <w:t xml:space="preserve">Page </w:t>
    </w:r>
    <w:r w:rsidR="005C10EB" w:rsidRPr="00521878">
      <w:rPr>
        <w:lang w:val="en-GB"/>
      </w:rPr>
      <w:fldChar w:fldCharType="begin"/>
    </w:r>
    <w:r w:rsidR="005C10EB" w:rsidRPr="00521878">
      <w:rPr>
        <w:lang w:val="en-GB"/>
      </w:rPr>
      <w:instrText xml:space="preserve"> PAGE  \* Arabic  \* MERGEFORMAT </w:instrText>
    </w:r>
    <w:r w:rsidR="005C10EB" w:rsidRPr="00521878">
      <w:rPr>
        <w:lang w:val="en-GB"/>
      </w:rPr>
      <w:fldChar w:fldCharType="separate"/>
    </w:r>
    <w:r w:rsidR="00817826" w:rsidRPr="00521878">
      <w:rPr>
        <w:lang w:val="en-GB"/>
      </w:rPr>
      <w:t>3</w:t>
    </w:r>
    <w:r w:rsidR="005C10EB" w:rsidRPr="00521878">
      <w:rPr>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AE56" w14:textId="32B897DB" w:rsidR="005C10EB" w:rsidRPr="00521878" w:rsidRDefault="003771D5" w:rsidP="003A68D5">
    <w:pPr>
      <w:pStyle w:val="ECCpageHeader"/>
      <w:rPr>
        <w:lang w:val="en-GB"/>
      </w:rPr>
    </w:pPr>
    <w:r w:rsidRPr="00521878">
      <w:rPr>
        <w:noProof/>
        <w:lang w:val="en-GB" w:eastAsia="da-DK"/>
      </w:rPr>
      <w:drawing>
        <wp:inline distT="0" distB="0" distL="0" distR="0" wp14:anchorId="5F0E6159" wp14:editId="45B98E97">
          <wp:extent cx="889000" cy="889000"/>
          <wp:effectExtent l="0" t="0" r="6350" b="6350"/>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inline>
      </w:drawing>
    </w:r>
    <w:r w:rsidRPr="00521878">
      <w:rPr>
        <w:lang w:val="en-GB"/>
      </w:rPr>
      <w:tab/>
    </w:r>
    <w:r w:rsidRPr="00521878">
      <w:rPr>
        <w:lang w:val="en-GB"/>
      </w:rPr>
      <w:tab/>
    </w:r>
    <w:r w:rsidRPr="00521878">
      <w:rPr>
        <w:noProof/>
        <w:lang w:val="en-GB" w:eastAsia="da-DK"/>
      </w:rPr>
      <w:drawing>
        <wp:inline distT="0" distB="0" distL="0" distR="0" wp14:anchorId="7AA008F9" wp14:editId="68853BA8">
          <wp:extent cx="1461770" cy="546100"/>
          <wp:effectExtent l="0" t="0" r="5080" b="6350"/>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inline>
      </w:drawing>
    </w:r>
  </w:p>
  <w:p w14:paraId="166DE6A5" w14:textId="77777777" w:rsidR="003771D5" w:rsidRPr="00521878" w:rsidRDefault="003771D5" w:rsidP="003771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F665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DC41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B400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49D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9670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6A18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348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34F5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250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7A80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A87A02"/>
    <w:multiLevelType w:val="hybridMultilevel"/>
    <w:tmpl w:val="248209E6"/>
    <w:lvl w:ilvl="0" w:tplc="048CDB92">
      <w:start w:val="1"/>
      <w:numFmt w:val="bullet"/>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2"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31D2CAF"/>
    <w:multiLevelType w:val="multilevel"/>
    <w:tmpl w:val="ACC48140"/>
    <w:lvl w:ilvl="0">
      <w:start w:val="1"/>
      <w:numFmt w:val="decimal"/>
      <w:pStyle w:val="ECCNumberedList"/>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5" w15:restartNumberingAfterBreak="0">
    <w:nsid w:val="3D163F7A"/>
    <w:multiLevelType w:val="multilevel"/>
    <w:tmpl w:val="C51432D8"/>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16cid:durableId="141043739">
    <w:abstractNumId w:val="11"/>
  </w:num>
  <w:num w:numId="2" w16cid:durableId="1598514699">
    <w:abstractNumId w:val="12"/>
  </w:num>
  <w:num w:numId="3" w16cid:durableId="107629389">
    <w:abstractNumId w:val="11"/>
  </w:num>
  <w:num w:numId="4" w16cid:durableId="1942494000">
    <w:abstractNumId w:val="17"/>
  </w:num>
  <w:num w:numId="5" w16cid:durableId="2143645757">
    <w:abstractNumId w:val="14"/>
  </w:num>
  <w:num w:numId="6" w16cid:durableId="2020962774">
    <w:abstractNumId w:val="16"/>
  </w:num>
  <w:num w:numId="7" w16cid:durableId="71507259">
    <w:abstractNumId w:val="15"/>
  </w:num>
  <w:num w:numId="8" w16cid:durableId="1535340037">
    <w:abstractNumId w:val="10"/>
  </w:num>
  <w:num w:numId="9" w16cid:durableId="2088305275">
    <w:abstractNumId w:val="9"/>
  </w:num>
  <w:num w:numId="10" w16cid:durableId="1690905871">
    <w:abstractNumId w:val="7"/>
  </w:num>
  <w:num w:numId="11" w16cid:durableId="652376117">
    <w:abstractNumId w:val="6"/>
  </w:num>
  <w:num w:numId="12" w16cid:durableId="1488088415">
    <w:abstractNumId w:val="5"/>
  </w:num>
  <w:num w:numId="13" w16cid:durableId="474032032">
    <w:abstractNumId w:val="4"/>
  </w:num>
  <w:num w:numId="14" w16cid:durableId="1499271227">
    <w:abstractNumId w:val="8"/>
  </w:num>
  <w:num w:numId="15" w16cid:durableId="2085565447">
    <w:abstractNumId w:val="3"/>
  </w:num>
  <w:num w:numId="16" w16cid:durableId="1431705928">
    <w:abstractNumId w:val="2"/>
  </w:num>
  <w:num w:numId="17" w16cid:durableId="181743989">
    <w:abstractNumId w:val="1"/>
  </w:num>
  <w:num w:numId="18" w16cid:durableId="184835043">
    <w:abstractNumId w:val="0"/>
  </w:num>
  <w:num w:numId="19" w16cid:durableId="680548217">
    <w:abstractNumId w:val="13"/>
  </w:num>
  <w:num w:numId="20" w16cid:durableId="1767768156">
    <w:abstractNumId w:val="13"/>
  </w:num>
  <w:num w:numId="21" w16cid:durableId="80032295">
    <w:abstractNumId w:val="10"/>
  </w:num>
  <w:num w:numId="22" w16cid:durableId="699555727">
    <w:abstractNumId w:val="12"/>
  </w:num>
  <w:num w:numId="23" w16cid:durableId="1230730896">
    <w:abstractNumId w:val="12"/>
  </w:num>
  <w:num w:numId="24" w16cid:durableId="1834879873">
    <w:abstractNumId w:val="12"/>
  </w:num>
  <w:num w:numId="25" w16cid:durableId="38096551">
    <w:abstractNumId w:val="12"/>
  </w:num>
  <w:num w:numId="26" w16cid:durableId="1159999122">
    <w:abstractNumId w:val="10"/>
  </w:num>
  <w:num w:numId="27" w16cid:durableId="2077819234">
    <w:abstractNumId w:val="10"/>
  </w:num>
  <w:num w:numId="28" w16cid:durableId="136924188">
    <w:abstractNumId w:val="10"/>
  </w:num>
  <w:num w:numId="29" w16cid:durableId="1567451502">
    <w:abstractNumId w:val="13"/>
  </w:num>
  <w:num w:numId="30" w16cid:durableId="1341084475">
    <w:abstractNumId w:val="15"/>
  </w:num>
  <w:num w:numId="31" w16cid:durableId="172307122">
    <w:abstractNumId w:val="17"/>
  </w:num>
  <w:num w:numId="32" w16cid:durableId="2020810578">
    <w:abstractNumId w:val="14"/>
  </w:num>
  <w:num w:numId="33" w16cid:durableId="1299847657">
    <w:abstractNumId w:val="16"/>
  </w:num>
  <w:num w:numId="34" w16cid:durableId="1914925252">
    <w:abstractNumId w:val="15"/>
  </w:num>
  <w:num w:numId="35" w16cid:durableId="1823504999">
    <w:abstractNumId w:val="15"/>
  </w:num>
  <w:num w:numId="36" w16cid:durableId="849173846">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ocumentProtection w:formatting="1" w:enforcement="1" w:cryptProviderType="rsaAES" w:cryptAlgorithmClass="hash" w:cryptAlgorithmType="typeAny" w:cryptAlgorithmSid="14" w:cryptSpinCount="100000" w:hash="kGPriJzZ2NeTQbLhCJkpHE8Adb6PXQ8fJpzHrkD7uEcz4POHT1ZNTpNWz0DGuO7W/a1ZaKpHyqG1cpE/F1ULtQ==" w:salt="+iOKmdLsYjqiyaO9OuoMVg=="/>
  <w:autoFormatOverride/>
  <w:styleLockTheme/>
  <w:styleLockQFSet/>
  <w:defaultTabStop w:val="567"/>
  <w:hyphenationZone w:val="425"/>
  <w:evenAndOddHeaders/>
  <w:characterSpacingControl w:val="doNotCompress"/>
  <w:hdrShapeDefaults>
    <o:shapedefaults v:ext="edit" spidmax="2050">
      <o:colormru v:ext="edit" colors="#7b6c58,#887e6e,#b0a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E2E"/>
    <w:rsid w:val="000066B9"/>
    <w:rsid w:val="00014E95"/>
    <w:rsid w:val="00034A96"/>
    <w:rsid w:val="00037FA6"/>
    <w:rsid w:val="0004020B"/>
    <w:rsid w:val="00041A18"/>
    <w:rsid w:val="00045351"/>
    <w:rsid w:val="00052CAE"/>
    <w:rsid w:val="00053B04"/>
    <w:rsid w:val="000609BF"/>
    <w:rsid w:val="000611F2"/>
    <w:rsid w:val="00061762"/>
    <w:rsid w:val="00062CB1"/>
    <w:rsid w:val="00063DA0"/>
    <w:rsid w:val="000660F5"/>
    <w:rsid w:val="00067793"/>
    <w:rsid w:val="000701A5"/>
    <w:rsid w:val="00075C78"/>
    <w:rsid w:val="00080D4D"/>
    <w:rsid w:val="000816F8"/>
    <w:rsid w:val="00082DD7"/>
    <w:rsid w:val="00095620"/>
    <w:rsid w:val="00097D7A"/>
    <w:rsid w:val="000A29BC"/>
    <w:rsid w:val="000A3940"/>
    <w:rsid w:val="000A3F8A"/>
    <w:rsid w:val="000A6285"/>
    <w:rsid w:val="000B2156"/>
    <w:rsid w:val="000B4B00"/>
    <w:rsid w:val="000B5026"/>
    <w:rsid w:val="000B7F91"/>
    <w:rsid w:val="000C028F"/>
    <w:rsid w:val="000C5CB6"/>
    <w:rsid w:val="000C7690"/>
    <w:rsid w:val="000D1710"/>
    <w:rsid w:val="000D5308"/>
    <w:rsid w:val="000D640A"/>
    <w:rsid w:val="000D7A37"/>
    <w:rsid w:val="000E42F5"/>
    <w:rsid w:val="000E44E9"/>
    <w:rsid w:val="000E4820"/>
    <w:rsid w:val="000E7E11"/>
    <w:rsid w:val="000F0594"/>
    <w:rsid w:val="000F1620"/>
    <w:rsid w:val="000F24F5"/>
    <w:rsid w:val="000F3F0B"/>
    <w:rsid w:val="000F41FF"/>
    <w:rsid w:val="001006CA"/>
    <w:rsid w:val="00100F8B"/>
    <w:rsid w:val="0011024D"/>
    <w:rsid w:val="0011517D"/>
    <w:rsid w:val="001202CF"/>
    <w:rsid w:val="00137793"/>
    <w:rsid w:val="001405A1"/>
    <w:rsid w:val="00150D75"/>
    <w:rsid w:val="00157382"/>
    <w:rsid w:val="00165CC9"/>
    <w:rsid w:val="0017456E"/>
    <w:rsid w:val="00183FE0"/>
    <w:rsid w:val="0018553F"/>
    <w:rsid w:val="001B65A4"/>
    <w:rsid w:val="001D15AA"/>
    <w:rsid w:val="001D334F"/>
    <w:rsid w:val="001D4247"/>
    <w:rsid w:val="001E337B"/>
    <w:rsid w:val="0020079A"/>
    <w:rsid w:val="0020250F"/>
    <w:rsid w:val="00203A36"/>
    <w:rsid w:val="002132DB"/>
    <w:rsid w:val="00220194"/>
    <w:rsid w:val="00226070"/>
    <w:rsid w:val="00234583"/>
    <w:rsid w:val="002354E1"/>
    <w:rsid w:val="00235592"/>
    <w:rsid w:val="00236978"/>
    <w:rsid w:val="00241A00"/>
    <w:rsid w:val="00251F87"/>
    <w:rsid w:val="002520DC"/>
    <w:rsid w:val="002620A2"/>
    <w:rsid w:val="00262DB9"/>
    <w:rsid w:val="00264A85"/>
    <w:rsid w:val="00267AF1"/>
    <w:rsid w:val="00271881"/>
    <w:rsid w:val="0027241D"/>
    <w:rsid w:val="00273354"/>
    <w:rsid w:val="00274F84"/>
    <w:rsid w:val="0028060B"/>
    <w:rsid w:val="00280775"/>
    <w:rsid w:val="0028120C"/>
    <w:rsid w:val="00292527"/>
    <w:rsid w:val="00293920"/>
    <w:rsid w:val="00295827"/>
    <w:rsid w:val="00295F16"/>
    <w:rsid w:val="002A0813"/>
    <w:rsid w:val="002A58FC"/>
    <w:rsid w:val="002B0AB8"/>
    <w:rsid w:val="002B6259"/>
    <w:rsid w:val="002B68C0"/>
    <w:rsid w:val="002C5C63"/>
    <w:rsid w:val="002D1FA9"/>
    <w:rsid w:val="002D50A3"/>
    <w:rsid w:val="002D6680"/>
    <w:rsid w:val="002D7DDF"/>
    <w:rsid w:val="002E0C0C"/>
    <w:rsid w:val="002E786C"/>
    <w:rsid w:val="002F1E6A"/>
    <w:rsid w:val="003031DA"/>
    <w:rsid w:val="00307A79"/>
    <w:rsid w:val="00310271"/>
    <w:rsid w:val="00312E94"/>
    <w:rsid w:val="0032060D"/>
    <w:rsid w:val="003219F7"/>
    <w:rsid w:val="00322E6A"/>
    <w:rsid w:val="0032496D"/>
    <w:rsid w:val="003314A0"/>
    <w:rsid w:val="003419EF"/>
    <w:rsid w:val="00354078"/>
    <w:rsid w:val="00355463"/>
    <w:rsid w:val="00361E54"/>
    <w:rsid w:val="0036268F"/>
    <w:rsid w:val="00362CA9"/>
    <w:rsid w:val="003630AE"/>
    <w:rsid w:val="00370A0C"/>
    <w:rsid w:val="003771D5"/>
    <w:rsid w:val="0038358E"/>
    <w:rsid w:val="00391080"/>
    <w:rsid w:val="00391A01"/>
    <w:rsid w:val="003A465E"/>
    <w:rsid w:val="003A5711"/>
    <w:rsid w:val="003A6466"/>
    <w:rsid w:val="003A68D5"/>
    <w:rsid w:val="003B2B34"/>
    <w:rsid w:val="003B5FE5"/>
    <w:rsid w:val="003B7070"/>
    <w:rsid w:val="003C2F0C"/>
    <w:rsid w:val="003C6160"/>
    <w:rsid w:val="003C64D9"/>
    <w:rsid w:val="003D42D7"/>
    <w:rsid w:val="003E70E0"/>
    <w:rsid w:val="003F5BBC"/>
    <w:rsid w:val="00403CE6"/>
    <w:rsid w:val="00405407"/>
    <w:rsid w:val="00407336"/>
    <w:rsid w:val="004074CC"/>
    <w:rsid w:val="004110CA"/>
    <w:rsid w:val="004205E6"/>
    <w:rsid w:val="0042509E"/>
    <w:rsid w:val="00432BDC"/>
    <w:rsid w:val="00443482"/>
    <w:rsid w:val="00443912"/>
    <w:rsid w:val="00446E3E"/>
    <w:rsid w:val="00450308"/>
    <w:rsid w:val="00457AD1"/>
    <w:rsid w:val="0046427F"/>
    <w:rsid w:val="004652C6"/>
    <w:rsid w:val="00470D4B"/>
    <w:rsid w:val="00472F1F"/>
    <w:rsid w:val="00473469"/>
    <w:rsid w:val="00474DC4"/>
    <w:rsid w:val="004757B7"/>
    <w:rsid w:val="0048090B"/>
    <w:rsid w:val="00482679"/>
    <w:rsid w:val="00485307"/>
    <w:rsid w:val="00485535"/>
    <w:rsid w:val="00491977"/>
    <w:rsid w:val="0049491B"/>
    <w:rsid w:val="004A0D32"/>
    <w:rsid w:val="004A1329"/>
    <w:rsid w:val="004A511D"/>
    <w:rsid w:val="004B18B6"/>
    <w:rsid w:val="004C234E"/>
    <w:rsid w:val="004C4A2E"/>
    <w:rsid w:val="004C5B83"/>
    <w:rsid w:val="004D0493"/>
    <w:rsid w:val="004D5EA3"/>
    <w:rsid w:val="004E44C8"/>
    <w:rsid w:val="004E48CF"/>
    <w:rsid w:val="004E53BE"/>
    <w:rsid w:val="004E5CDB"/>
    <w:rsid w:val="004F16F4"/>
    <w:rsid w:val="004F3F81"/>
    <w:rsid w:val="004F5FC5"/>
    <w:rsid w:val="004F6CA7"/>
    <w:rsid w:val="0050038D"/>
    <w:rsid w:val="005028D4"/>
    <w:rsid w:val="00506177"/>
    <w:rsid w:val="00513FEE"/>
    <w:rsid w:val="00521878"/>
    <w:rsid w:val="0053371A"/>
    <w:rsid w:val="00535050"/>
    <w:rsid w:val="005369D9"/>
    <w:rsid w:val="00536F3C"/>
    <w:rsid w:val="0054260E"/>
    <w:rsid w:val="00550D79"/>
    <w:rsid w:val="00554C4C"/>
    <w:rsid w:val="005559AC"/>
    <w:rsid w:val="00557B5A"/>
    <w:rsid w:val="00560560"/>
    <w:rsid w:val="005611D0"/>
    <w:rsid w:val="005705BB"/>
    <w:rsid w:val="00570BE1"/>
    <w:rsid w:val="00571A40"/>
    <w:rsid w:val="00572608"/>
    <w:rsid w:val="005736B2"/>
    <w:rsid w:val="0057797A"/>
    <w:rsid w:val="005817E4"/>
    <w:rsid w:val="00583072"/>
    <w:rsid w:val="00583E0D"/>
    <w:rsid w:val="00594186"/>
    <w:rsid w:val="00595B5F"/>
    <w:rsid w:val="005A1675"/>
    <w:rsid w:val="005A4978"/>
    <w:rsid w:val="005A4DD0"/>
    <w:rsid w:val="005A4E19"/>
    <w:rsid w:val="005A53B8"/>
    <w:rsid w:val="005B12CB"/>
    <w:rsid w:val="005B17AC"/>
    <w:rsid w:val="005B531F"/>
    <w:rsid w:val="005B55B7"/>
    <w:rsid w:val="005C10EB"/>
    <w:rsid w:val="005D1C7F"/>
    <w:rsid w:val="005D371D"/>
    <w:rsid w:val="005D5C60"/>
    <w:rsid w:val="005E7495"/>
    <w:rsid w:val="005E7F4E"/>
    <w:rsid w:val="005F1A75"/>
    <w:rsid w:val="005F68AE"/>
    <w:rsid w:val="00601CC6"/>
    <w:rsid w:val="006030F3"/>
    <w:rsid w:val="006219A3"/>
    <w:rsid w:val="00621C12"/>
    <w:rsid w:val="00626DB9"/>
    <w:rsid w:val="00635A22"/>
    <w:rsid w:val="0063687B"/>
    <w:rsid w:val="00642083"/>
    <w:rsid w:val="00643FA9"/>
    <w:rsid w:val="006450F1"/>
    <w:rsid w:val="00647D4E"/>
    <w:rsid w:val="00652804"/>
    <w:rsid w:val="00652E7B"/>
    <w:rsid w:val="0065550D"/>
    <w:rsid w:val="00657AD4"/>
    <w:rsid w:val="00664782"/>
    <w:rsid w:val="00665364"/>
    <w:rsid w:val="00673EC5"/>
    <w:rsid w:val="0068085F"/>
    <w:rsid w:val="006876A8"/>
    <w:rsid w:val="00687B43"/>
    <w:rsid w:val="006A49E3"/>
    <w:rsid w:val="006A4C8B"/>
    <w:rsid w:val="006A7531"/>
    <w:rsid w:val="006B1699"/>
    <w:rsid w:val="006B1EFD"/>
    <w:rsid w:val="006C386F"/>
    <w:rsid w:val="006C454C"/>
    <w:rsid w:val="006C5C1C"/>
    <w:rsid w:val="006C643F"/>
    <w:rsid w:val="006C7201"/>
    <w:rsid w:val="006D049E"/>
    <w:rsid w:val="006D3F4C"/>
    <w:rsid w:val="006D4E50"/>
    <w:rsid w:val="006E4888"/>
    <w:rsid w:val="006E59D4"/>
    <w:rsid w:val="006F0442"/>
    <w:rsid w:val="006F1E96"/>
    <w:rsid w:val="006F1EB3"/>
    <w:rsid w:val="007023A3"/>
    <w:rsid w:val="00703FC0"/>
    <w:rsid w:val="007120DE"/>
    <w:rsid w:val="007160BE"/>
    <w:rsid w:val="00721539"/>
    <w:rsid w:val="00722F65"/>
    <w:rsid w:val="0072609F"/>
    <w:rsid w:val="00726836"/>
    <w:rsid w:val="00727F8C"/>
    <w:rsid w:val="00734A4F"/>
    <w:rsid w:val="00755156"/>
    <w:rsid w:val="00756335"/>
    <w:rsid w:val="00756ACB"/>
    <w:rsid w:val="00760FD4"/>
    <w:rsid w:val="00762BCC"/>
    <w:rsid w:val="007636F7"/>
    <w:rsid w:val="00763BA3"/>
    <w:rsid w:val="00765B66"/>
    <w:rsid w:val="00767BB2"/>
    <w:rsid w:val="00771969"/>
    <w:rsid w:val="00780376"/>
    <w:rsid w:val="007907C1"/>
    <w:rsid w:val="00791AAC"/>
    <w:rsid w:val="0079410C"/>
    <w:rsid w:val="00797D4C"/>
    <w:rsid w:val="007A5A1A"/>
    <w:rsid w:val="007B0D9D"/>
    <w:rsid w:val="007B3412"/>
    <w:rsid w:val="007B52C8"/>
    <w:rsid w:val="007B6A5F"/>
    <w:rsid w:val="007C0E7E"/>
    <w:rsid w:val="007C4AAD"/>
    <w:rsid w:val="007C5A3B"/>
    <w:rsid w:val="007D17C5"/>
    <w:rsid w:val="007D1B4E"/>
    <w:rsid w:val="007D52EC"/>
    <w:rsid w:val="007D6407"/>
    <w:rsid w:val="007D6F63"/>
    <w:rsid w:val="007E5D30"/>
    <w:rsid w:val="007F1CEE"/>
    <w:rsid w:val="007F2AB2"/>
    <w:rsid w:val="008018F0"/>
    <w:rsid w:val="008047C0"/>
    <w:rsid w:val="008062AC"/>
    <w:rsid w:val="00817826"/>
    <w:rsid w:val="008221CB"/>
    <w:rsid w:val="008367FF"/>
    <w:rsid w:val="00837537"/>
    <w:rsid w:val="00843C56"/>
    <w:rsid w:val="008560C4"/>
    <w:rsid w:val="0086094D"/>
    <w:rsid w:val="00863716"/>
    <w:rsid w:val="00865EB4"/>
    <w:rsid w:val="00872382"/>
    <w:rsid w:val="008742E3"/>
    <w:rsid w:val="00885BFF"/>
    <w:rsid w:val="00886FD7"/>
    <w:rsid w:val="00890B73"/>
    <w:rsid w:val="00890D52"/>
    <w:rsid w:val="00897A3E"/>
    <w:rsid w:val="008A1315"/>
    <w:rsid w:val="008A38A9"/>
    <w:rsid w:val="008A54FC"/>
    <w:rsid w:val="008B70CD"/>
    <w:rsid w:val="008B7CE5"/>
    <w:rsid w:val="008C0744"/>
    <w:rsid w:val="008C0B6C"/>
    <w:rsid w:val="008C14EA"/>
    <w:rsid w:val="008C3CF1"/>
    <w:rsid w:val="008C7047"/>
    <w:rsid w:val="008D218A"/>
    <w:rsid w:val="008E117A"/>
    <w:rsid w:val="008E50C2"/>
    <w:rsid w:val="008E6109"/>
    <w:rsid w:val="0090045F"/>
    <w:rsid w:val="00901802"/>
    <w:rsid w:val="009033CD"/>
    <w:rsid w:val="0091017E"/>
    <w:rsid w:val="009170EA"/>
    <w:rsid w:val="00917D1C"/>
    <w:rsid w:val="0092076F"/>
    <w:rsid w:val="009271A3"/>
    <w:rsid w:val="00927833"/>
    <w:rsid w:val="00930439"/>
    <w:rsid w:val="00930BDF"/>
    <w:rsid w:val="00937FE5"/>
    <w:rsid w:val="009434C3"/>
    <w:rsid w:val="00947A5A"/>
    <w:rsid w:val="00947D5C"/>
    <w:rsid w:val="00947DC5"/>
    <w:rsid w:val="00960B27"/>
    <w:rsid w:val="009701EC"/>
    <w:rsid w:val="00975689"/>
    <w:rsid w:val="009770CA"/>
    <w:rsid w:val="00986677"/>
    <w:rsid w:val="0099421C"/>
    <w:rsid w:val="009B0A78"/>
    <w:rsid w:val="009B1F62"/>
    <w:rsid w:val="009C4466"/>
    <w:rsid w:val="009D30B8"/>
    <w:rsid w:val="009D3496"/>
    <w:rsid w:val="009D4BA1"/>
    <w:rsid w:val="009D51A8"/>
    <w:rsid w:val="009D7D5A"/>
    <w:rsid w:val="009E47EB"/>
    <w:rsid w:val="009E6DC3"/>
    <w:rsid w:val="009F0B56"/>
    <w:rsid w:val="009F3A37"/>
    <w:rsid w:val="00A02090"/>
    <w:rsid w:val="00A05579"/>
    <w:rsid w:val="00A076B5"/>
    <w:rsid w:val="00A166B7"/>
    <w:rsid w:val="00A173CE"/>
    <w:rsid w:val="00A211BF"/>
    <w:rsid w:val="00A23870"/>
    <w:rsid w:val="00A23AFE"/>
    <w:rsid w:val="00A31525"/>
    <w:rsid w:val="00A33409"/>
    <w:rsid w:val="00A42157"/>
    <w:rsid w:val="00A42810"/>
    <w:rsid w:val="00A43BD3"/>
    <w:rsid w:val="00A4743C"/>
    <w:rsid w:val="00A47DBE"/>
    <w:rsid w:val="00A51D79"/>
    <w:rsid w:val="00A52B8E"/>
    <w:rsid w:val="00A57992"/>
    <w:rsid w:val="00A60E04"/>
    <w:rsid w:val="00A73298"/>
    <w:rsid w:val="00A87414"/>
    <w:rsid w:val="00A94D74"/>
    <w:rsid w:val="00A95ACB"/>
    <w:rsid w:val="00A95DD6"/>
    <w:rsid w:val="00A9775A"/>
    <w:rsid w:val="00A97942"/>
    <w:rsid w:val="00AA079B"/>
    <w:rsid w:val="00AA086A"/>
    <w:rsid w:val="00AA10E1"/>
    <w:rsid w:val="00AA7CCE"/>
    <w:rsid w:val="00AB1C16"/>
    <w:rsid w:val="00AB2EA8"/>
    <w:rsid w:val="00AB3C46"/>
    <w:rsid w:val="00AC40CD"/>
    <w:rsid w:val="00AC4632"/>
    <w:rsid w:val="00AC4DC1"/>
    <w:rsid w:val="00AD41DC"/>
    <w:rsid w:val="00AD7257"/>
    <w:rsid w:val="00AE1BFF"/>
    <w:rsid w:val="00AE372A"/>
    <w:rsid w:val="00AF1845"/>
    <w:rsid w:val="00AF2D0C"/>
    <w:rsid w:val="00B03C72"/>
    <w:rsid w:val="00B0704C"/>
    <w:rsid w:val="00B15687"/>
    <w:rsid w:val="00B15905"/>
    <w:rsid w:val="00B230E1"/>
    <w:rsid w:val="00B2563E"/>
    <w:rsid w:val="00B3042F"/>
    <w:rsid w:val="00B30D3B"/>
    <w:rsid w:val="00B33651"/>
    <w:rsid w:val="00B432D4"/>
    <w:rsid w:val="00B453ED"/>
    <w:rsid w:val="00B45CA4"/>
    <w:rsid w:val="00B460E4"/>
    <w:rsid w:val="00B51CAB"/>
    <w:rsid w:val="00B54B09"/>
    <w:rsid w:val="00B576D7"/>
    <w:rsid w:val="00B57DE3"/>
    <w:rsid w:val="00B754D5"/>
    <w:rsid w:val="00B779F3"/>
    <w:rsid w:val="00B80892"/>
    <w:rsid w:val="00B82735"/>
    <w:rsid w:val="00B92861"/>
    <w:rsid w:val="00B9675C"/>
    <w:rsid w:val="00BA153C"/>
    <w:rsid w:val="00BA2E30"/>
    <w:rsid w:val="00BA524C"/>
    <w:rsid w:val="00BA7A69"/>
    <w:rsid w:val="00BB48E4"/>
    <w:rsid w:val="00BC01A2"/>
    <w:rsid w:val="00BC157A"/>
    <w:rsid w:val="00BC3CA5"/>
    <w:rsid w:val="00BD28DF"/>
    <w:rsid w:val="00BD4E12"/>
    <w:rsid w:val="00BD5841"/>
    <w:rsid w:val="00BD7669"/>
    <w:rsid w:val="00BE02AA"/>
    <w:rsid w:val="00BE2864"/>
    <w:rsid w:val="00BF3831"/>
    <w:rsid w:val="00BF50BF"/>
    <w:rsid w:val="00C0561A"/>
    <w:rsid w:val="00C073A2"/>
    <w:rsid w:val="00C076BF"/>
    <w:rsid w:val="00C10C10"/>
    <w:rsid w:val="00C27F02"/>
    <w:rsid w:val="00C33A7C"/>
    <w:rsid w:val="00C377C2"/>
    <w:rsid w:val="00C43E70"/>
    <w:rsid w:val="00C44519"/>
    <w:rsid w:val="00C4559A"/>
    <w:rsid w:val="00C504F4"/>
    <w:rsid w:val="00C53C4C"/>
    <w:rsid w:val="00C57E85"/>
    <w:rsid w:val="00C65BB4"/>
    <w:rsid w:val="00C666E5"/>
    <w:rsid w:val="00C70453"/>
    <w:rsid w:val="00C70B5B"/>
    <w:rsid w:val="00C777B2"/>
    <w:rsid w:val="00C77ABB"/>
    <w:rsid w:val="00C77D25"/>
    <w:rsid w:val="00C8071C"/>
    <w:rsid w:val="00C816CB"/>
    <w:rsid w:val="00C82461"/>
    <w:rsid w:val="00C827D5"/>
    <w:rsid w:val="00C85AD3"/>
    <w:rsid w:val="00C874D8"/>
    <w:rsid w:val="00CA07CC"/>
    <w:rsid w:val="00CA179A"/>
    <w:rsid w:val="00CA4FCE"/>
    <w:rsid w:val="00CA5F8F"/>
    <w:rsid w:val="00CC5A6F"/>
    <w:rsid w:val="00CE1643"/>
    <w:rsid w:val="00CE271A"/>
    <w:rsid w:val="00CE32F0"/>
    <w:rsid w:val="00CE5CA8"/>
    <w:rsid w:val="00CE6FF5"/>
    <w:rsid w:val="00CF2EC7"/>
    <w:rsid w:val="00CF4FFB"/>
    <w:rsid w:val="00CF5245"/>
    <w:rsid w:val="00D0121B"/>
    <w:rsid w:val="00D03BD1"/>
    <w:rsid w:val="00D04BA8"/>
    <w:rsid w:val="00D06479"/>
    <w:rsid w:val="00D06CA9"/>
    <w:rsid w:val="00D06E2A"/>
    <w:rsid w:val="00D076EE"/>
    <w:rsid w:val="00D07B1A"/>
    <w:rsid w:val="00D1280A"/>
    <w:rsid w:val="00D15FCC"/>
    <w:rsid w:val="00D16792"/>
    <w:rsid w:val="00D21B5A"/>
    <w:rsid w:val="00D24CD0"/>
    <w:rsid w:val="00D25118"/>
    <w:rsid w:val="00D30E46"/>
    <w:rsid w:val="00D50AC8"/>
    <w:rsid w:val="00D53623"/>
    <w:rsid w:val="00D53EEF"/>
    <w:rsid w:val="00D602C4"/>
    <w:rsid w:val="00D77B65"/>
    <w:rsid w:val="00D871CA"/>
    <w:rsid w:val="00D904D5"/>
    <w:rsid w:val="00D91D39"/>
    <w:rsid w:val="00DA0026"/>
    <w:rsid w:val="00DA43A9"/>
    <w:rsid w:val="00DA444C"/>
    <w:rsid w:val="00DA66BC"/>
    <w:rsid w:val="00DB624F"/>
    <w:rsid w:val="00DB71AE"/>
    <w:rsid w:val="00DC0B0E"/>
    <w:rsid w:val="00DC2778"/>
    <w:rsid w:val="00DD664A"/>
    <w:rsid w:val="00DD6CE9"/>
    <w:rsid w:val="00DF1E2E"/>
    <w:rsid w:val="00DF2C67"/>
    <w:rsid w:val="00DF3AE2"/>
    <w:rsid w:val="00DF6B52"/>
    <w:rsid w:val="00DF7D21"/>
    <w:rsid w:val="00E059C5"/>
    <w:rsid w:val="00E062B8"/>
    <w:rsid w:val="00E06B29"/>
    <w:rsid w:val="00E06C22"/>
    <w:rsid w:val="00E07CBB"/>
    <w:rsid w:val="00E11114"/>
    <w:rsid w:val="00E17ADB"/>
    <w:rsid w:val="00E201D7"/>
    <w:rsid w:val="00E20647"/>
    <w:rsid w:val="00E26BAC"/>
    <w:rsid w:val="00E27609"/>
    <w:rsid w:val="00E27835"/>
    <w:rsid w:val="00E448A7"/>
    <w:rsid w:val="00E467CE"/>
    <w:rsid w:val="00E4781B"/>
    <w:rsid w:val="00E47B67"/>
    <w:rsid w:val="00E51F8B"/>
    <w:rsid w:val="00E60351"/>
    <w:rsid w:val="00E62001"/>
    <w:rsid w:val="00E71869"/>
    <w:rsid w:val="00E71AE7"/>
    <w:rsid w:val="00E752E6"/>
    <w:rsid w:val="00E777DF"/>
    <w:rsid w:val="00E83777"/>
    <w:rsid w:val="00E954DD"/>
    <w:rsid w:val="00E97060"/>
    <w:rsid w:val="00EA6088"/>
    <w:rsid w:val="00EB05A6"/>
    <w:rsid w:val="00EB5A67"/>
    <w:rsid w:val="00EB68D9"/>
    <w:rsid w:val="00EC0010"/>
    <w:rsid w:val="00EC1A2C"/>
    <w:rsid w:val="00EC21BB"/>
    <w:rsid w:val="00ED60CA"/>
    <w:rsid w:val="00ED6260"/>
    <w:rsid w:val="00ED7CAD"/>
    <w:rsid w:val="00EE3292"/>
    <w:rsid w:val="00EE60DD"/>
    <w:rsid w:val="00EF19F5"/>
    <w:rsid w:val="00EF66D8"/>
    <w:rsid w:val="00EF69A0"/>
    <w:rsid w:val="00F03FBB"/>
    <w:rsid w:val="00F05FBF"/>
    <w:rsid w:val="00F10E1F"/>
    <w:rsid w:val="00F212EB"/>
    <w:rsid w:val="00F268C0"/>
    <w:rsid w:val="00F3690D"/>
    <w:rsid w:val="00F41320"/>
    <w:rsid w:val="00F45307"/>
    <w:rsid w:val="00F465D3"/>
    <w:rsid w:val="00F534B2"/>
    <w:rsid w:val="00F569C9"/>
    <w:rsid w:val="00F56F06"/>
    <w:rsid w:val="00F62707"/>
    <w:rsid w:val="00F73815"/>
    <w:rsid w:val="00F75BE5"/>
    <w:rsid w:val="00F7770D"/>
    <w:rsid w:val="00F804F4"/>
    <w:rsid w:val="00F8504F"/>
    <w:rsid w:val="00F85984"/>
    <w:rsid w:val="00F868C9"/>
    <w:rsid w:val="00F86F59"/>
    <w:rsid w:val="00F90595"/>
    <w:rsid w:val="00F9153C"/>
    <w:rsid w:val="00F93115"/>
    <w:rsid w:val="00F97DAD"/>
    <w:rsid w:val="00FA5792"/>
    <w:rsid w:val="00FA5B5D"/>
    <w:rsid w:val="00FA63DC"/>
    <w:rsid w:val="00FB200D"/>
    <w:rsid w:val="00FC0710"/>
    <w:rsid w:val="00FC0E90"/>
    <w:rsid w:val="00FD5C27"/>
    <w:rsid w:val="00FE0E7D"/>
    <w:rsid w:val="00FE1E00"/>
    <w:rsid w:val="00FE538A"/>
    <w:rsid w:val="00FE7BCC"/>
    <w:rsid w:val="00FE7EEC"/>
    <w:rsid w:val="00FF2F9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7b6c58,#887e6e,#b0a696"/>
    </o:shapedefaults>
    <o:shapelayout v:ext="edit">
      <o:idmap v:ext="edit" data="2"/>
    </o:shapelayout>
  </w:shapeDefaults>
  <w:decimalSymbol w:val="."/>
  <w:listSeparator w:val=","/>
  <w14:docId w14:val="5CF186A2"/>
  <w15:docId w15:val="{970C781E-5CB9-49E5-8F0B-65B91E64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
    <w:lsdException w:name="Subtle Reference" w:semiHidden="1" w:uiPriority="31" w:qFormat="1"/>
    <w:lsdException w:name="Intense Reference" w:semiHidden="1" w:uiPriority="0" w:qFormat="1"/>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qFormat/>
    <w:rsid w:val="00DD664A"/>
    <w:rPr>
      <w:rFonts w:eastAsia="Calibri"/>
      <w:szCs w:val="22"/>
      <w:lang w:val="en-GB"/>
    </w:rPr>
  </w:style>
  <w:style w:type="paragraph" w:styleId="Heading1">
    <w:name w:val="heading 1"/>
    <w:aliases w:val="ECC Heading 1"/>
    <w:next w:val="Normal"/>
    <w:qFormat/>
    <w:rsid w:val="009F0B56"/>
    <w:pPr>
      <w:keepNext/>
      <w:numPr>
        <w:numId w:val="36"/>
      </w:numPr>
      <w:spacing w:before="600"/>
      <w:jc w:val="left"/>
      <w:outlineLvl w:val="0"/>
    </w:pPr>
    <w:rPr>
      <w:rFonts w:eastAsia="Calibri" w:cs="Arial"/>
      <w:b/>
      <w:bCs/>
      <w:caps/>
      <w:color w:val="D2232A"/>
      <w:kern w:val="32"/>
      <w:szCs w:val="32"/>
    </w:rPr>
  </w:style>
  <w:style w:type="paragraph" w:styleId="Heading2">
    <w:name w:val="heading 2"/>
    <w:aliases w:val="ECC Heading 2"/>
    <w:next w:val="Normal"/>
    <w:qFormat/>
    <w:rsid w:val="009F0B56"/>
    <w:pPr>
      <w:keepNext/>
      <w:numPr>
        <w:ilvl w:val="1"/>
        <w:numId w:val="36"/>
      </w:numPr>
      <w:spacing w:before="480"/>
      <w:jc w:val="left"/>
      <w:outlineLvl w:val="1"/>
    </w:pPr>
    <w:rPr>
      <w:rFonts w:eastAsia="Calibri" w:cs="Arial"/>
      <w:b/>
      <w:bCs/>
      <w:iCs/>
      <w:caps/>
      <w:szCs w:val="28"/>
    </w:rPr>
  </w:style>
  <w:style w:type="paragraph" w:styleId="Heading3">
    <w:name w:val="heading 3"/>
    <w:aliases w:val="ECC Heading 3"/>
    <w:next w:val="Normal"/>
    <w:qFormat/>
    <w:rsid w:val="009F0B56"/>
    <w:pPr>
      <w:keepNext/>
      <w:numPr>
        <w:ilvl w:val="2"/>
        <w:numId w:val="36"/>
      </w:numPr>
      <w:spacing w:before="360"/>
      <w:jc w:val="left"/>
      <w:outlineLvl w:val="2"/>
    </w:pPr>
    <w:rPr>
      <w:rFonts w:eastAsia="Calibri" w:cs="Arial"/>
      <w:b/>
      <w:bCs/>
      <w:szCs w:val="26"/>
    </w:rPr>
  </w:style>
  <w:style w:type="paragraph" w:styleId="Heading4">
    <w:name w:val="heading 4"/>
    <w:aliases w:val="ECC Heading 4"/>
    <w:next w:val="Normal"/>
    <w:qFormat/>
    <w:rsid w:val="009F0B56"/>
    <w:pPr>
      <w:numPr>
        <w:ilvl w:val="3"/>
        <w:numId w:val="36"/>
      </w:numPr>
      <w:spacing w:before="360"/>
      <w:jc w:val="left"/>
      <w:outlineLvl w:val="3"/>
    </w:pPr>
    <w:rPr>
      <w:rFonts w:eastAsia="Calibri" w:cs="Arial"/>
      <w:bCs/>
      <w:i/>
      <w:color w:val="D2232A"/>
      <w:szCs w:val="26"/>
    </w:rPr>
  </w:style>
  <w:style w:type="paragraph" w:styleId="Heading5">
    <w:name w:val="heading 5"/>
    <w:basedOn w:val="Normal"/>
    <w:next w:val="Normal"/>
    <w:semiHidden/>
    <w:qFormat/>
    <w:locked/>
    <w:rsid w:val="009E47EB"/>
    <w:pPr>
      <w:numPr>
        <w:ilvl w:val="4"/>
        <w:numId w:val="36"/>
      </w:numPr>
      <w:outlineLvl w:val="4"/>
    </w:pPr>
    <w:rPr>
      <w:b/>
      <w:bCs/>
      <w:i/>
      <w:iCs/>
      <w:sz w:val="26"/>
      <w:szCs w:val="26"/>
    </w:rPr>
  </w:style>
  <w:style w:type="paragraph" w:styleId="Heading6">
    <w:name w:val="heading 6"/>
    <w:basedOn w:val="Normal"/>
    <w:next w:val="Normal"/>
    <w:semiHidden/>
    <w:qFormat/>
    <w:locked/>
    <w:rsid w:val="009E47EB"/>
    <w:pPr>
      <w:numPr>
        <w:ilvl w:val="5"/>
        <w:numId w:val="36"/>
      </w:numPr>
      <w:outlineLvl w:val="5"/>
    </w:pPr>
    <w:rPr>
      <w:b/>
      <w:bCs/>
      <w:sz w:val="22"/>
    </w:rPr>
  </w:style>
  <w:style w:type="paragraph" w:styleId="Heading7">
    <w:name w:val="heading 7"/>
    <w:basedOn w:val="Normal"/>
    <w:next w:val="Normal"/>
    <w:semiHidden/>
    <w:qFormat/>
    <w:locked/>
    <w:rsid w:val="009E47EB"/>
    <w:pPr>
      <w:numPr>
        <w:ilvl w:val="6"/>
        <w:numId w:val="36"/>
      </w:numPr>
      <w:outlineLvl w:val="6"/>
    </w:pPr>
    <w:rPr>
      <w:sz w:val="24"/>
    </w:rPr>
  </w:style>
  <w:style w:type="paragraph" w:styleId="Heading8">
    <w:name w:val="heading 8"/>
    <w:basedOn w:val="Normal"/>
    <w:next w:val="Normal"/>
    <w:semiHidden/>
    <w:qFormat/>
    <w:locked/>
    <w:rsid w:val="009E47EB"/>
    <w:pPr>
      <w:numPr>
        <w:ilvl w:val="7"/>
        <w:numId w:val="36"/>
      </w:numPr>
      <w:outlineLvl w:val="7"/>
    </w:pPr>
    <w:rPr>
      <w:i/>
      <w:iCs/>
      <w:sz w:val="24"/>
    </w:rPr>
  </w:style>
  <w:style w:type="paragraph" w:styleId="Heading9">
    <w:name w:val="heading 9"/>
    <w:basedOn w:val="Normal"/>
    <w:next w:val="Normal"/>
    <w:semiHidden/>
    <w:qFormat/>
    <w:locked/>
    <w:rsid w:val="009E47EB"/>
    <w:pPr>
      <w:numPr>
        <w:ilvl w:val="8"/>
        <w:numId w:val="3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9F0B56"/>
    <w:pPr>
      <w:numPr>
        <w:numId w:val="28"/>
      </w:numPr>
      <w:tabs>
        <w:tab w:val="left" w:pos="340"/>
      </w:tabs>
      <w:spacing w:before="60" w:after="0"/>
    </w:pPr>
  </w:style>
  <w:style w:type="paragraph" w:customStyle="1" w:styleId="ECCHeadingnonumbering">
    <w:name w:val="ECC Heading no numbering"/>
    <w:basedOn w:val="Heading1"/>
    <w:rsid w:val="009F0B56"/>
    <w:pPr>
      <w:numPr>
        <w:numId w:val="0"/>
      </w:numPr>
      <w:tabs>
        <w:tab w:val="left" w:pos="0"/>
        <w:tab w:val="center" w:pos="4820"/>
        <w:tab w:val="right" w:pos="9639"/>
      </w:tabs>
    </w:pPr>
  </w:style>
  <w:style w:type="paragraph" w:styleId="BalloonText">
    <w:name w:val="Balloon Text"/>
    <w:basedOn w:val="Normal"/>
    <w:link w:val="BalloonTextChar"/>
    <w:uiPriority w:val="99"/>
    <w:semiHidden/>
    <w:unhideWhenUsed/>
    <w:locked/>
    <w:rsid w:val="003A68D5"/>
    <w:pPr>
      <w:spacing w:before="0" w:after="0"/>
    </w:pPr>
    <w:rPr>
      <w:rFonts w:ascii="Tahoma" w:hAnsi="Tahoma" w:cs="Tahoma"/>
      <w:sz w:val="16"/>
      <w:szCs w:val="16"/>
    </w:rPr>
  </w:style>
  <w:style w:type="paragraph" w:customStyle="1" w:styleId="ECCAnnexheading1">
    <w:name w:val="ECC Annex heading1"/>
    <w:next w:val="Normal"/>
    <w:rsid w:val="009F0B56"/>
    <w:pPr>
      <w:keepNext/>
      <w:pageBreakBefore/>
      <w:numPr>
        <w:numId w:val="25"/>
      </w:numPr>
      <w:jc w:val="left"/>
    </w:pPr>
    <w:rPr>
      <w:rFonts w:eastAsia="Calibri"/>
      <w:b/>
      <w:caps/>
      <w:color w:val="D2232A"/>
    </w:rPr>
  </w:style>
  <w:style w:type="paragraph" w:styleId="TOC1">
    <w:name w:val="toc 1"/>
    <w:aliases w:val="ECC Index 1"/>
    <w:basedOn w:val="Normal"/>
    <w:link w:val="TOC1Char"/>
    <w:uiPriority w:val="39"/>
    <w:semiHidden/>
    <w:qFormat/>
    <w:locked/>
    <w:rsid w:val="009F0B56"/>
    <w:pPr>
      <w:tabs>
        <w:tab w:val="left" w:pos="425"/>
        <w:tab w:val="right" w:leader="dot" w:pos="9639"/>
      </w:tabs>
      <w:spacing w:after="0"/>
      <w:ind w:left="425" w:hanging="425"/>
    </w:pPr>
    <w:rPr>
      <w:b/>
      <w:noProof/>
      <w:szCs w:val="20"/>
      <w:lang w:val="da-DK"/>
    </w:rPr>
  </w:style>
  <w:style w:type="paragraph" w:styleId="FootnoteText">
    <w:name w:val="footnote text"/>
    <w:aliases w:val="ECC Footnote"/>
    <w:basedOn w:val="Normal"/>
    <w:link w:val="FootnoteTextChar"/>
    <w:rsid w:val="009F0B56"/>
    <w:pPr>
      <w:widowControl w:val="0"/>
      <w:tabs>
        <w:tab w:val="left" w:pos="284"/>
      </w:tabs>
      <w:spacing w:after="0"/>
      <w:ind w:left="284" w:hanging="284"/>
    </w:pPr>
    <w:rPr>
      <w:sz w:val="16"/>
      <w:szCs w:val="16"/>
      <w:lang w:val="da-DK"/>
      <w14:cntxtAlts/>
    </w:rPr>
  </w:style>
  <w:style w:type="paragraph" w:styleId="TOC2">
    <w:name w:val="toc 2"/>
    <w:aliases w:val="ECC Index 2"/>
    <w:basedOn w:val="Normal"/>
    <w:uiPriority w:val="39"/>
    <w:semiHidden/>
    <w:qFormat/>
    <w:locked/>
    <w:rsid w:val="009F0B56"/>
    <w:pPr>
      <w:tabs>
        <w:tab w:val="left" w:pos="993"/>
        <w:tab w:val="right" w:leader="dot" w:pos="9639"/>
      </w:tabs>
      <w:spacing w:before="0" w:after="0"/>
      <w:ind w:left="992" w:hanging="567"/>
    </w:pPr>
    <w:rPr>
      <w:noProof/>
      <w:szCs w:val="20"/>
      <w:lang w:val="da-DK"/>
    </w:rPr>
  </w:style>
  <w:style w:type="paragraph" w:styleId="TOC3">
    <w:name w:val="toc 3"/>
    <w:aliases w:val="ECC Index 3"/>
    <w:basedOn w:val="Normal"/>
    <w:uiPriority w:val="39"/>
    <w:semiHidden/>
    <w:qFormat/>
    <w:locked/>
    <w:rsid w:val="009F0B56"/>
    <w:pPr>
      <w:tabs>
        <w:tab w:val="left" w:pos="1701"/>
        <w:tab w:val="right" w:leader="dot" w:pos="9639"/>
      </w:tabs>
      <w:spacing w:before="0" w:after="0"/>
      <w:ind w:left="1701" w:hanging="709"/>
    </w:pPr>
    <w:rPr>
      <w:noProof/>
      <w:szCs w:val="20"/>
      <w:lang w:val="da-DK"/>
    </w:rPr>
  </w:style>
  <w:style w:type="paragraph" w:styleId="TOC4">
    <w:name w:val="toc 4"/>
    <w:aliases w:val="ECC Index 4"/>
    <w:basedOn w:val="Normal"/>
    <w:uiPriority w:val="39"/>
    <w:semiHidden/>
    <w:locked/>
    <w:rsid w:val="009F0B56"/>
    <w:pPr>
      <w:tabs>
        <w:tab w:val="left" w:pos="2552"/>
        <w:tab w:val="right" w:leader="dot" w:pos="9639"/>
      </w:tabs>
      <w:spacing w:before="0" w:after="0"/>
      <w:ind w:left="2552" w:hanging="851"/>
    </w:pPr>
    <w:rPr>
      <w:noProof/>
      <w:szCs w:val="20"/>
      <w:lang w:val="da-DK"/>
    </w:rPr>
  </w:style>
  <w:style w:type="character" w:customStyle="1" w:styleId="ECCHLgreen">
    <w:name w:val="ECC HL green"/>
    <w:basedOn w:val="DefaultParagraphFont"/>
    <w:uiPriority w:val="1"/>
    <w:qFormat/>
    <w:rsid w:val="009F0B56"/>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9F0B56"/>
    <w:rPr>
      <w:rFonts w:eastAsia="Calibri"/>
      <w:sz w:val="16"/>
      <w:szCs w:val="16"/>
      <w14:cntxtAlts/>
    </w:rPr>
  </w:style>
  <w:style w:type="character" w:styleId="FootnoteReference">
    <w:name w:val="footnote reference"/>
    <w:aliases w:val="ECC Footnote number,Appel note de bas de p,Footnote symbol,Footnote Reference/,Style 12,(NECG) Footnote Reference,Style 124,Appel note de bas de p + 11 pt,Italic,Appel note de bas de p1,Appel note de bas de p2,Footnote,o,fr,Style 13"/>
    <w:basedOn w:val="DefaultParagraphFont"/>
    <w:uiPriority w:val="99"/>
    <w:qFormat/>
    <w:rsid w:val="009F0B56"/>
    <w:rPr>
      <w:rFonts w:ascii="Arial" w:hAnsi="Arial"/>
      <w:sz w:val="20"/>
      <w:vertAlign w:val="superscript"/>
    </w:rPr>
  </w:style>
  <w:style w:type="paragraph" w:customStyle="1" w:styleId="ECCTablenote">
    <w:name w:val="ECC Table note"/>
    <w:qFormat/>
    <w:rsid w:val="009F0B56"/>
    <w:pPr>
      <w:spacing w:before="0" w:after="0"/>
      <w:ind w:left="284" w:hanging="284"/>
    </w:pPr>
    <w:rPr>
      <w:rFonts w:eastAsia="Calibri"/>
      <w:sz w:val="16"/>
      <w:szCs w:val="16"/>
      <w:lang w:val="en-GB"/>
    </w:rPr>
  </w:style>
  <w:style w:type="paragraph" w:customStyle="1" w:styleId="ECCBulletsLv2">
    <w:name w:val="ECC Bullets Lv2"/>
    <w:basedOn w:val="ECCBulletsLv1"/>
    <w:qFormat/>
    <w:rsid w:val="009F0B56"/>
    <w:pPr>
      <w:ind w:left="680" w:hanging="340"/>
    </w:pPr>
  </w:style>
  <w:style w:type="paragraph" w:customStyle="1" w:styleId="ECCAnnexheading2">
    <w:name w:val="ECC Annex heading2"/>
    <w:next w:val="Normal"/>
    <w:rsid w:val="009F0B56"/>
    <w:pPr>
      <w:numPr>
        <w:ilvl w:val="1"/>
        <w:numId w:val="25"/>
      </w:numPr>
      <w:overflowPunct w:val="0"/>
      <w:autoSpaceDE w:val="0"/>
      <w:autoSpaceDN w:val="0"/>
      <w:adjustRightInd w:val="0"/>
      <w:spacing w:before="480" w:after="240"/>
      <w:jc w:val="left"/>
      <w:textAlignment w:val="baseline"/>
    </w:pPr>
    <w:rPr>
      <w:rFonts w:eastAsia="Calibri"/>
      <w:b/>
      <w:caps/>
    </w:rPr>
  </w:style>
  <w:style w:type="paragraph" w:customStyle="1" w:styleId="ECCAnnexheading3">
    <w:name w:val="ECC Annex heading3"/>
    <w:next w:val="Normal"/>
    <w:rsid w:val="009F0B56"/>
    <w:pPr>
      <w:numPr>
        <w:ilvl w:val="2"/>
        <w:numId w:val="25"/>
      </w:numPr>
      <w:overflowPunct w:val="0"/>
      <w:autoSpaceDE w:val="0"/>
      <w:autoSpaceDN w:val="0"/>
      <w:adjustRightInd w:val="0"/>
      <w:spacing w:before="360"/>
      <w:jc w:val="left"/>
      <w:textAlignment w:val="baseline"/>
    </w:pPr>
    <w:rPr>
      <w:rFonts w:eastAsia="Calibri"/>
      <w:b/>
    </w:rPr>
  </w:style>
  <w:style w:type="paragraph" w:customStyle="1" w:styleId="ECCAnnexheading4">
    <w:name w:val="ECC Annex heading4"/>
    <w:next w:val="Normal"/>
    <w:rsid w:val="009F0B56"/>
    <w:pPr>
      <w:numPr>
        <w:ilvl w:val="3"/>
        <w:numId w:val="25"/>
      </w:numPr>
      <w:overflowPunct w:val="0"/>
      <w:autoSpaceDE w:val="0"/>
      <w:autoSpaceDN w:val="0"/>
      <w:adjustRightInd w:val="0"/>
      <w:spacing w:before="360"/>
      <w:jc w:val="left"/>
      <w:textAlignment w:val="baseline"/>
    </w:pPr>
    <w:rPr>
      <w:rFonts w:eastAsia="Calibri"/>
      <w:i/>
      <w:color w:val="D2232A"/>
    </w:rPr>
  </w:style>
  <w:style w:type="paragraph" w:customStyle="1" w:styleId="ECCBulletsLv3">
    <w:name w:val="ECC Bullets Lv3"/>
    <w:basedOn w:val="ECCBulletsLv1"/>
    <w:rsid w:val="009F0B56"/>
    <w:pPr>
      <w:tabs>
        <w:tab w:val="clear" w:pos="340"/>
        <w:tab w:val="left" w:pos="680"/>
      </w:tabs>
      <w:ind w:left="1020" w:hanging="340"/>
    </w:pPr>
  </w:style>
  <w:style w:type="table" w:customStyle="1" w:styleId="ECCTable-clean">
    <w:name w:val="ECC Table - clean"/>
    <w:uiPriority w:val="99"/>
    <w:rsid w:val="009F0B56"/>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paragraph" w:customStyle="1" w:styleId="ECCLetteredList">
    <w:name w:val="ECC Lettered List"/>
    <w:rsid w:val="009F0B56"/>
    <w:pPr>
      <w:numPr>
        <w:ilvl w:val="1"/>
        <w:numId w:val="31"/>
      </w:numPr>
      <w:spacing w:after="0"/>
      <w:jc w:val="left"/>
    </w:pPr>
    <w:rPr>
      <w:rFonts w:eastAsia="Calibri"/>
    </w:rPr>
  </w:style>
  <w:style w:type="paragraph" w:customStyle="1" w:styleId="ECCNumberedList">
    <w:name w:val="ECC Numbered List"/>
    <w:basedOn w:val="Normal"/>
    <w:rsid w:val="009F0B56"/>
    <w:pPr>
      <w:numPr>
        <w:numId w:val="32"/>
      </w:numPr>
      <w:spacing w:after="0"/>
    </w:pPr>
    <w:rPr>
      <w:szCs w:val="20"/>
    </w:rPr>
  </w:style>
  <w:style w:type="paragraph" w:customStyle="1" w:styleId="ECCReference">
    <w:name w:val="ECC Reference"/>
    <w:basedOn w:val="Normal"/>
    <w:rsid w:val="009F0B56"/>
    <w:pPr>
      <w:numPr>
        <w:numId w:val="33"/>
      </w:numPr>
      <w:spacing w:before="0" w:after="0"/>
    </w:pPr>
    <w:rPr>
      <w:lang w:eastAsia="ja-JP"/>
    </w:rPr>
  </w:style>
  <w:style w:type="character" w:customStyle="1" w:styleId="BalloonTextChar">
    <w:name w:val="Balloon Text Char"/>
    <w:basedOn w:val="DefaultParagraphFont"/>
    <w:link w:val="BalloonText"/>
    <w:uiPriority w:val="99"/>
    <w:semiHidden/>
    <w:rsid w:val="003A68D5"/>
    <w:rPr>
      <w:rFonts w:ascii="Tahoma" w:eastAsia="Calibri" w:hAnsi="Tahoma" w:cs="Tahoma"/>
      <w:sz w:val="16"/>
      <w:szCs w:val="16"/>
      <w:shd w:val="clear" w:color="FFFFFF" w:themeColor="background1" w:fill="auto"/>
      <w:lang w:val="en-GB"/>
    </w:rPr>
  </w:style>
  <w:style w:type="table" w:customStyle="1" w:styleId="ECCTable-redheader">
    <w:name w:val="ECC Table - red header"/>
    <w:basedOn w:val="ECCTable-clean"/>
    <w:uiPriority w:val="99"/>
    <w:rsid w:val="009F0B56"/>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paragraph" w:customStyle="1" w:styleId="ECCEditorsNote">
    <w:name w:val="ECC Editor's Note"/>
    <w:next w:val="Normal"/>
    <w:qFormat/>
    <w:rsid w:val="009F0B56"/>
    <w:pPr>
      <w:numPr>
        <w:numId w:val="29"/>
      </w:numPr>
      <w:shd w:val="solid" w:color="FFFF00" w:fill="auto"/>
      <w:spacing w:before="120"/>
    </w:pPr>
    <w:rPr>
      <w:rFonts w:eastAsia="Calibri"/>
      <w:szCs w:val="22"/>
      <w:lang w:eastAsia="de-DE"/>
    </w:rPr>
  </w:style>
  <w:style w:type="paragraph" w:customStyle="1" w:styleId="ECCFigure">
    <w:name w:val="ECC Figure"/>
    <w:next w:val="Normal"/>
    <w:rsid w:val="00E4781B"/>
    <w:pPr>
      <w:spacing w:after="240"/>
      <w:jc w:val="center"/>
    </w:pPr>
    <w:rPr>
      <w14:cntxtAlts/>
    </w:rPr>
  </w:style>
  <w:style w:type="table" w:customStyle="1" w:styleId="ECCTable-whiteheader">
    <w:name w:val="ECC Table - white header"/>
    <w:basedOn w:val="ECCTable-clean"/>
    <w:uiPriority w:val="99"/>
    <w:rsid w:val="009F0B56"/>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val="0"/>
        <w:color w:val="D22A23"/>
        <w:sz w:val="20"/>
      </w:rPr>
      <w:tblPr/>
      <w:trPr>
        <w:tblHeader/>
      </w:trPr>
      <w:tcPr>
        <w:shd w:val="clear" w:color="auto" w:fill="FFFFFF" w:themeFill="background1"/>
      </w:tcPr>
    </w:tblStylePr>
    <w:tblStylePr w:type="lastRow">
      <w:rPr>
        <w:b w:val="0"/>
      </w:rPr>
    </w:tblStylePr>
  </w:style>
  <w:style w:type="paragraph" w:customStyle="1" w:styleId="ECCLetterHead">
    <w:name w:val="ECC Letter Head"/>
    <w:basedOn w:val="Normal"/>
    <w:link w:val="ECCLetterHeadZchn"/>
    <w:qFormat/>
    <w:rsid w:val="009F0B56"/>
    <w:pPr>
      <w:tabs>
        <w:tab w:val="right" w:pos="4750"/>
      </w:tabs>
      <w:spacing w:before="60"/>
    </w:pPr>
    <w:rPr>
      <w:b/>
      <w:sz w:val="22"/>
      <w:szCs w:val="20"/>
    </w:rPr>
  </w:style>
  <w:style w:type="character" w:customStyle="1" w:styleId="ECCHLyellow">
    <w:name w:val="ECC HL yellow"/>
    <w:basedOn w:val="DefaultParagraphFont"/>
    <w:uiPriority w:val="1"/>
    <w:qFormat/>
    <w:rsid w:val="009F0B56"/>
    <w:rPr>
      <w:rFonts w:eastAsia="Calibri"/>
      <w:i w:val="0"/>
      <w:szCs w:val="22"/>
      <w:bdr w:val="none" w:sz="0" w:space="0" w:color="auto"/>
      <w:shd w:val="solid" w:color="FFFF00" w:fill="auto"/>
      <w:lang w:val="en-GB"/>
    </w:rPr>
  </w:style>
  <w:style w:type="character" w:customStyle="1" w:styleId="ECCHLbold">
    <w:name w:val="ECC HL bold"/>
    <w:basedOn w:val="DefaultParagraphFont"/>
    <w:uiPriority w:val="1"/>
    <w:qFormat/>
    <w:rsid w:val="009F0B56"/>
    <w:rPr>
      <w:b/>
      <w:bCs/>
    </w:rPr>
  </w:style>
  <w:style w:type="paragraph" w:customStyle="1" w:styleId="ECCTabletext">
    <w:name w:val="ECC Table text"/>
    <w:basedOn w:val="Normal"/>
    <w:link w:val="ECCTabletextChar"/>
    <w:qFormat/>
    <w:rsid w:val="009F0B56"/>
    <w:pPr>
      <w:spacing w:before="0"/>
    </w:pPr>
  </w:style>
  <w:style w:type="paragraph" w:styleId="Signature">
    <w:name w:val="Signature"/>
    <w:basedOn w:val="Normal"/>
    <w:link w:val="SignatureChar"/>
    <w:uiPriority w:val="99"/>
    <w:semiHidden/>
    <w:unhideWhenUsed/>
    <w:locked/>
    <w:rsid w:val="007D52EC"/>
    <w:pPr>
      <w:spacing w:before="0" w:after="0"/>
      <w:ind w:left="4252"/>
    </w:pPr>
  </w:style>
  <w:style w:type="character" w:customStyle="1" w:styleId="SignatureChar">
    <w:name w:val="Signature Char"/>
    <w:basedOn w:val="DefaultParagraphFont"/>
    <w:link w:val="Signature"/>
    <w:uiPriority w:val="99"/>
    <w:semiHidden/>
    <w:rsid w:val="007D52EC"/>
  </w:style>
  <w:style w:type="character" w:styleId="Emphasis">
    <w:name w:val="Emphasis"/>
    <w:aliases w:val="ECC HL italics"/>
    <w:uiPriority w:val="1"/>
    <w:qFormat/>
    <w:rsid w:val="009F0B56"/>
    <w:rPr>
      <w:i/>
    </w:rPr>
  </w:style>
  <w:style w:type="character" w:customStyle="1" w:styleId="ECCHLunderlined">
    <w:name w:val="ECC HL underlined"/>
    <w:uiPriority w:val="1"/>
    <w:qFormat/>
    <w:rsid w:val="009F0B56"/>
    <w:rPr>
      <w:u w:val="single"/>
    </w:rPr>
  </w:style>
  <w:style w:type="character" w:customStyle="1" w:styleId="TOC1Char">
    <w:name w:val="TOC 1 Char"/>
    <w:aliases w:val="ECC Index 1 Char"/>
    <w:basedOn w:val="DefaultParagraphFont"/>
    <w:link w:val="TOC1"/>
    <w:uiPriority w:val="39"/>
    <w:semiHidden/>
    <w:rsid w:val="000E4820"/>
    <w:rPr>
      <w:rFonts w:eastAsia="Calibri"/>
      <w:b/>
      <w:noProof/>
    </w:rPr>
  </w:style>
  <w:style w:type="character" w:customStyle="1" w:styleId="ECCHLcyan">
    <w:name w:val="ECC HL cyan"/>
    <w:basedOn w:val="DefaultParagraphFont"/>
    <w:uiPriority w:val="1"/>
    <w:qFormat/>
    <w:rsid w:val="009F0B56"/>
    <w:rPr>
      <w:iCs w:val="0"/>
      <w:bdr w:val="none" w:sz="0" w:space="0" w:color="auto"/>
      <w:shd w:val="solid" w:color="00FFFF" w:fill="auto"/>
      <w:lang w:val="en-GB"/>
    </w:rPr>
  </w:style>
  <w:style w:type="character" w:customStyle="1" w:styleId="ECCHLorange">
    <w:name w:val="ECC HL orange"/>
    <w:basedOn w:val="DefaultParagraphFont"/>
    <w:uiPriority w:val="1"/>
    <w:qFormat/>
    <w:rsid w:val="009F0B56"/>
    <w:rPr>
      <w:bdr w:val="none" w:sz="0" w:space="0" w:color="auto"/>
      <w:shd w:val="solid" w:color="FFC000" w:fill="auto"/>
    </w:rPr>
  </w:style>
  <w:style w:type="character" w:customStyle="1" w:styleId="ECCHLblue">
    <w:name w:val="ECC HL blue"/>
    <w:basedOn w:val="DefaultParagraphFont"/>
    <w:uiPriority w:val="1"/>
    <w:qFormat/>
    <w:rsid w:val="009F0B56"/>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9F0B56"/>
    <w:rPr>
      <w:iCs w:val="0"/>
      <w:color w:val="FFFFFF" w:themeColor="background1"/>
      <w:bdr w:val="none" w:sz="0" w:space="0" w:color="auto"/>
      <w:shd w:val="solid" w:color="008080" w:fill="auto"/>
    </w:rPr>
  </w:style>
  <w:style w:type="character" w:customStyle="1" w:styleId="ECCParagraph">
    <w:name w:val="ECC Paragraph"/>
    <w:basedOn w:val="DefaultParagraphFont"/>
    <w:uiPriority w:val="1"/>
    <w:qFormat/>
    <w:rsid w:val="009F0B56"/>
    <w:rPr>
      <w:rFonts w:ascii="Arial" w:hAnsi="Arial"/>
      <w:noProof w:val="0"/>
      <w:sz w:val="20"/>
      <w:bdr w:val="none" w:sz="0" w:space="0" w:color="auto"/>
      <w:lang w:val="en-GB"/>
    </w:rPr>
  </w:style>
  <w:style w:type="character" w:customStyle="1" w:styleId="ECCLetterHeadZchn">
    <w:name w:val="ECC Letter Head Zchn"/>
    <w:basedOn w:val="DefaultParagraphFont"/>
    <w:link w:val="ECCLetterHead"/>
    <w:rsid w:val="009F0B56"/>
    <w:rPr>
      <w:rFonts w:eastAsia="Calibri"/>
      <w:b/>
      <w:sz w:val="22"/>
      <w:lang w:val="en-GB"/>
    </w:rPr>
  </w:style>
  <w:style w:type="character" w:customStyle="1" w:styleId="ECCHLmagenta">
    <w:name w:val="ECC HL magenta"/>
    <w:basedOn w:val="DefaultParagraphFont"/>
    <w:uiPriority w:val="1"/>
    <w:qFormat/>
    <w:rsid w:val="009F0B56"/>
    <w:rPr>
      <w:color w:val="auto"/>
      <w:bdr w:val="none" w:sz="0" w:space="0" w:color="auto"/>
      <w:shd w:val="solid" w:color="FF3399" w:fill="auto"/>
      <w:lang w:val="en-GB"/>
    </w:rPr>
  </w:style>
  <w:style w:type="character" w:customStyle="1" w:styleId="ECCHLbrown">
    <w:name w:val="ECC HL brown"/>
    <w:basedOn w:val="DefaultParagraphFont"/>
    <w:uiPriority w:val="1"/>
    <w:qFormat/>
    <w:rsid w:val="009F0B56"/>
    <w:rPr>
      <w:color w:val="D9D9D9" w:themeColor="background1" w:themeShade="D9"/>
      <w:bdr w:val="none" w:sz="0" w:space="0" w:color="auto"/>
      <w:shd w:val="solid" w:color="B95807" w:fill="auto"/>
    </w:rPr>
  </w:style>
  <w:style w:type="paragraph" w:customStyle="1" w:styleId="ECCBreak">
    <w:name w:val="ECC Break"/>
    <w:next w:val="Normal"/>
    <w:link w:val="ECCBreakZchn"/>
    <w:rsid w:val="009F0B56"/>
    <w:pPr>
      <w:spacing w:before="360"/>
      <w:jc w:val="left"/>
    </w:pPr>
    <w:rPr>
      <w:b/>
      <w:bCs/>
      <w:iCs/>
      <w:szCs w:val="28"/>
    </w:rPr>
  </w:style>
  <w:style w:type="character" w:customStyle="1" w:styleId="ECCBreakZchn">
    <w:name w:val="ECC Break Zchn"/>
    <w:basedOn w:val="DefaultParagraphFont"/>
    <w:link w:val="ECCBreak"/>
    <w:rsid w:val="009F0B56"/>
    <w:rPr>
      <w:b/>
      <w:bCs/>
      <w:iCs/>
      <w:szCs w:val="28"/>
    </w:rPr>
  </w:style>
  <w:style w:type="character" w:styleId="Hyperlink">
    <w:name w:val="Hyperlink"/>
    <w:aliases w:val="ECC Hyperlink,CEO_Hyperlink"/>
    <w:basedOn w:val="DefaultParagraphFont"/>
    <w:uiPriority w:val="99"/>
    <w:rsid w:val="009F0B56"/>
    <w:rPr>
      <w:color w:val="0000FF" w:themeColor="hyperlink"/>
      <w:u w:val="single"/>
    </w:rPr>
  </w:style>
  <w:style w:type="paragraph" w:styleId="Caption">
    <w:name w:val="caption"/>
    <w:aliases w:val="ECC Caption,ECC Figure Caption,Ca,cap,cap Char,Caption Char1 Char,cap Char Char1,Caption Char Char1 Char,cap Char2 Char,RptCaption,topic,Figure Lable,Caption Char Char Char,cap Char Char Char"/>
    <w:next w:val="Normal"/>
    <w:qFormat/>
    <w:rsid w:val="009F0B56"/>
    <w:pPr>
      <w:keepLines/>
      <w:tabs>
        <w:tab w:val="left" w:pos="0"/>
        <w:tab w:val="center" w:pos="4820"/>
        <w:tab w:val="right" w:pos="9639"/>
      </w:tabs>
      <w:spacing w:after="240"/>
      <w:contextualSpacing/>
      <w:jc w:val="center"/>
    </w:pPr>
    <w:rPr>
      <w:rFonts w:eastAsia="Calibri"/>
      <w:b/>
      <w:bCs/>
      <w:color w:val="D2232A"/>
    </w:rPr>
  </w:style>
  <w:style w:type="paragraph" w:customStyle="1" w:styleId="ECCTableHeaderredfont">
    <w:name w:val="ECC Table Header red font"/>
    <w:qFormat/>
    <w:rsid w:val="009F0B56"/>
    <w:pPr>
      <w:spacing w:before="120" w:after="120"/>
      <w:jc w:val="left"/>
    </w:pPr>
    <w:rPr>
      <w:rFonts w:eastAsia="Calibri"/>
      <w:bCs/>
      <w:color w:val="D2232A"/>
      <w:lang w:val="en-GB" w:eastAsia="de-DE"/>
    </w:rPr>
  </w:style>
  <w:style w:type="paragraph" w:customStyle="1" w:styleId="ECCpageFooter">
    <w:name w:val="ECC page Footer"/>
    <w:rsid w:val="009F0B56"/>
    <w:pPr>
      <w:tabs>
        <w:tab w:val="left" w:pos="0"/>
        <w:tab w:val="center" w:pos="4820"/>
        <w:tab w:val="right" w:pos="9639"/>
      </w:tabs>
      <w:spacing w:before="0" w:after="0"/>
    </w:pPr>
    <w:rPr>
      <w:rFonts w:eastAsia="Calibri"/>
      <w:b/>
      <w:sz w:val="16"/>
      <w:szCs w:val="22"/>
      <w:lang w:val="de-DE" w:eastAsia="de-DE"/>
    </w:rPr>
  </w:style>
  <w:style w:type="paragraph" w:customStyle="1" w:styleId="ECCpageHeader">
    <w:name w:val="ECC page Header"/>
    <w:rsid w:val="009F0B56"/>
    <w:pPr>
      <w:tabs>
        <w:tab w:val="left" w:pos="0"/>
        <w:tab w:val="center" w:pos="4820"/>
        <w:tab w:val="right" w:pos="9639"/>
      </w:tabs>
      <w:spacing w:before="0" w:after="0"/>
      <w:jc w:val="left"/>
    </w:pPr>
    <w:rPr>
      <w:b/>
      <w:sz w:val="16"/>
    </w:rPr>
  </w:style>
  <w:style w:type="character" w:styleId="PlaceholderText">
    <w:name w:val="Placeholder Text"/>
    <w:basedOn w:val="DefaultParagraphFont"/>
    <w:uiPriority w:val="99"/>
    <w:semiHidden/>
    <w:locked/>
    <w:rsid w:val="00FE538A"/>
    <w:rPr>
      <w:color w:val="808080"/>
    </w:rPr>
  </w:style>
  <w:style w:type="character" w:customStyle="1" w:styleId="ECCHLgrey">
    <w:name w:val="ECC HL grey"/>
    <w:uiPriority w:val="1"/>
    <w:qFormat/>
    <w:rsid w:val="009F0B56"/>
    <w:rPr>
      <w:bdr w:val="none" w:sz="0" w:space="0" w:color="auto"/>
      <w:shd w:val="solid" w:color="BFBFBF" w:themeColor="background1" w:themeShade="BF" w:fill="auto"/>
    </w:rPr>
  </w:style>
  <w:style w:type="character" w:customStyle="1" w:styleId="ECCHLsubscript">
    <w:name w:val="ECC HL subscript"/>
    <w:uiPriority w:val="1"/>
    <w:rsid w:val="009F0B56"/>
    <w:rPr>
      <w:vertAlign w:val="subscript"/>
    </w:rPr>
  </w:style>
  <w:style w:type="character" w:customStyle="1" w:styleId="ECCHLsuperscript">
    <w:name w:val="ECC HL superscript"/>
    <w:uiPriority w:val="1"/>
    <w:rsid w:val="009F0B56"/>
    <w:rPr>
      <w:vertAlign w:val="superscript"/>
    </w:rPr>
  </w:style>
  <w:style w:type="paragraph" w:customStyle="1" w:styleId="ECCTableHeaderwhitefont">
    <w:name w:val="ECC Table Header white font"/>
    <w:qFormat/>
    <w:rsid w:val="009F0B56"/>
    <w:pPr>
      <w:jc w:val="center"/>
    </w:pPr>
    <w:rPr>
      <w:rFonts w:eastAsia="Calibri"/>
      <w:bCs/>
      <w:color w:val="FFFFFF" w:themeColor="background1"/>
      <w:lang w:val="en-GB" w:eastAsia="de-DE"/>
    </w:rPr>
  </w:style>
  <w:style w:type="table" w:styleId="TableGrid">
    <w:name w:val="Table Grid"/>
    <w:basedOn w:val="TableNormal"/>
    <w:locked/>
    <w:rsid w:val="006C5C1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ECCReport">
    <w:name w:val="cover page 'ECC Report'"/>
    <w:link w:val="coverpageECCReportZchn"/>
    <w:semiHidden/>
    <w:rsid w:val="009F0B56"/>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9F0B56"/>
    <w:rPr>
      <w:rFonts w:eastAsia="Calibri"/>
      <w:color w:val="FFFFFF" w:themeColor="background1"/>
      <w:sz w:val="68"/>
      <w:szCs w:val="68"/>
      <w:shd w:val="clear" w:color="FFFFFF" w:themeColor="background1" w:fill="auto"/>
      <w:lang w:val="en-GB"/>
    </w:rPr>
  </w:style>
  <w:style w:type="character" w:customStyle="1" w:styleId="ECCEquation">
    <w:name w:val="ECC Equation"/>
    <w:basedOn w:val="ECCParagraph"/>
    <w:rsid w:val="005B12CB"/>
    <w:rPr>
      <w:rFonts w:ascii="Arial" w:hAnsi="Arial"/>
      <w:noProof w:val="0"/>
      <w:sz w:val="20"/>
      <w:bdr w:val="none" w:sz="0" w:space="0" w:color="auto"/>
      <w:lang w:val="en-GB"/>
    </w:rPr>
  </w:style>
  <w:style w:type="paragraph" w:customStyle="1" w:styleId="ECCFiguregraphcentered">
    <w:name w:val="ECC Figure/graph centered"/>
    <w:next w:val="Normal"/>
    <w:rsid w:val="009F0B56"/>
    <w:pPr>
      <w:spacing w:after="240"/>
      <w:jc w:val="center"/>
    </w:pPr>
    <w:rPr>
      <w:rFonts w:eastAsia="Calibri"/>
      <w:noProof/>
      <w:lang w:val="de-DE" w:eastAsia="de-DE"/>
      <w14:cntxtAlts/>
    </w:rPr>
  </w:style>
  <w:style w:type="character" w:styleId="CommentReference">
    <w:name w:val="annotation reference"/>
    <w:basedOn w:val="DefaultParagraphFont"/>
    <w:uiPriority w:val="99"/>
    <w:semiHidden/>
    <w:unhideWhenUsed/>
    <w:locked/>
    <w:rsid w:val="003630AE"/>
    <w:rPr>
      <w:sz w:val="16"/>
      <w:szCs w:val="16"/>
    </w:rPr>
  </w:style>
  <w:style w:type="paragraph" w:styleId="CommentText">
    <w:name w:val="annotation text"/>
    <w:basedOn w:val="Normal"/>
    <w:link w:val="CommentTextChar"/>
    <w:uiPriority w:val="99"/>
    <w:unhideWhenUsed/>
    <w:locked/>
    <w:rsid w:val="003630AE"/>
    <w:rPr>
      <w:szCs w:val="20"/>
    </w:rPr>
  </w:style>
  <w:style w:type="character" w:customStyle="1" w:styleId="CommentTextChar">
    <w:name w:val="Comment Text Char"/>
    <w:basedOn w:val="DefaultParagraphFont"/>
    <w:link w:val="CommentText"/>
    <w:uiPriority w:val="99"/>
    <w:rsid w:val="003630AE"/>
    <w:rPr>
      <w:rFonts w:eastAsia="Calibri"/>
      <w:lang w:val="en-GB"/>
    </w:rPr>
  </w:style>
  <w:style w:type="paragraph" w:styleId="CommentSubject">
    <w:name w:val="annotation subject"/>
    <w:basedOn w:val="CommentText"/>
    <w:next w:val="CommentText"/>
    <w:link w:val="CommentSubjectChar"/>
    <w:uiPriority w:val="99"/>
    <w:semiHidden/>
    <w:unhideWhenUsed/>
    <w:locked/>
    <w:rsid w:val="003630AE"/>
    <w:rPr>
      <w:b/>
      <w:bCs/>
    </w:rPr>
  </w:style>
  <w:style w:type="character" w:customStyle="1" w:styleId="CommentSubjectChar">
    <w:name w:val="Comment Subject Char"/>
    <w:basedOn w:val="CommentTextChar"/>
    <w:link w:val="CommentSubject"/>
    <w:uiPriority w:val="99"/>
    <w:semiHidden/>
    <w:rsid w:val="003630AE"/>
    <w:rPr>
      <w:rFonts w:eastAsia="Calibri"/>
      <w:b/>
      <w:bCs/>
      <w:lang w:val="en-GB"/>
    </w:rPr>
  </w:style>
  <w:style w:type="character" w:customStyle="1" w:styleId="ECCHLstrikethrough">
    <w:name w:val="ECC HL strikethrough"/>
    <w:basedOn w:val="DefaultParagraphFont"/>
    <w:uiPriority w:val="1"/>
    <w:qFormat/>
    <w:rsid w:val="00647D4E"/>
    <w:rPr>
      <w:rFonts w:ascii="Arial" w:hAnsi="Arial"/>
      <w:strike/>
      <w:dstrike w:val="0"/>
      <w:sz w:val="20"/>
    </w:rPr>
  </w:style>
  <w:style w:type="character" w:customStyle="1" w:styleId="ECCTabletextChar">
    <w:name w:val="ECC Table text Char"/>
    <w:basedOn w:val="DefaultParagraphFont"/>
    <w:link w:val="ECCTabletext"/>
    <w:rsid w:val="00271881"/>
    <w:rPr>
      <w:rFonts w:eastAsia="Calibri"/>
      <w:szCs w:val="22"/>
      <w:lang w:val="en-GB"/>
    </w:rPr>
  </w:style>
  <w:style w:type="paragraph" w:styleId="NormalWeb">
    <w:name w:val="Normal (Web)"/>
    <w:basedOn w:val="Normal"/>
    <w:uiPriority w:val="99"/>
    <w:semiHidden/>
    <w:unhideWhenUsed/>
    <w:locked/>
    <w:rsid w:val="00E07CBB"/>
    <w:rPr>
      <w:rFonts w:ascii="Times New Roman" w:hAnsi="Times New Roman"/>
      <w:sz w:val="24"/>
      <w:szCs w:val="24"/>
    </w:rPr>
  </w:style>
  <w:style w:type="paragraph" w:styleId="Revision">
    <w:name w:val="Revision"/>
    <w:hidden/>
    <w:uiPriority w:val="99"/>
    <w:semiHidden/>
    <w:rsid w:val="00C377C2"/>
    <w:pPr>
      <w:spacing w:before="0" w:after="0"/>
      <w:jc w:val="left"/>
    </w:pPr>
    <w:rPr>
      <w:rFonts w:eastAsia="Calibri"/>
      <w:szCs w:val="22"/>
      <w:lang w:val="en-GB"/>
    </w:rPr>
  </w:style>
  <w:style w:type="paragraph" w:styleId="Footer">
    <w:name w:val="footer"/>
    <w:basedOn w:val="Normal"/>
    <w:link w:val="FooterChar"/>
    <w:uiPriority w:val="99"/>
    <w:semiHidden/>
    <w:unhideWhenUsed/>
    <w:locked/>
    <w:rsid w:val="00D21B5A"/>
    <w:pPr>
      <w:tabs>
        <w:tab w:val="center" w:pos="4513"/>
        <w:tab w:val="right" w:pos="9026"/>
      </w:tabs>
      <w:spacing w:before="0" w:after="0"/>
    </w:pPr>
  </w:style>
  <w:style w:type="character" w:customStyle="1" w:styleId="FooterChar">
    <w:name w:val="Footer Char"/>
    <w:basedOn w:val="DefaultParagraphFont"/>
    <w:link w:val="Footer"/>
    <w:uiPriority w:val="99"/>
    <w:semiHidden/>
    <w:rsid w:val="00D21B5A"/>
    <w:rPr>
      <w:rFonts w:eastAsia="Calibri"/>
      <w:szCs w:val="22"/>
      <w:lang w:val="en-GB"/>
    </w:rPr>
  </w:style>
  <w:style w:type="character" w:styleId="UnresolvedMention">
    <w:name w:val="Unresolved Mention"/>
    <w:basedOn w:val="DefaultParagraphFont"/>
    <w:uiPriority w:val="99"/>
    <w:semiHidden/>
    <w:unhideWhenUsed/>
    <w:rsid w:val="00115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60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itu.int/dms_pub/itu-r/md/00/ca/cir/R00-CA-CIR-0270!!MSW-E.doc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gsma.com/solutions-and-impact/connectivity-for-good/mobile-economy/wp-content/uploads/2024/02/260224-The-Mobile-Economy-2024.pdf" TargetMode="External"/><Relationship Id="rId1" Type="http://schemas.openxmlformats.org/officeDocument/2006/relationships/hyperlink" Target="https://radio-spectrum-policy-group.ec.europa.eu/document/download/89457260-ab6b-495a-9a10-437711cbe831_en?filename=RSPG25-006final-RSPG_Report_on_6G_strategic_vision.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Design ECC">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o xmlns="c5f543e3-8063-4253-bd42-47ca496057f8" xsi:nil="true"/>
    <Attach_x0020_count xmlns="c5f543e3-8063-4253-bd42-47ca496057f8" xsi:nil="true"/>
    <TaxCatchAll xmlns="c5f543e3-8063-4253-bd42-47ca496057f8" xsi:nil="true"/>
    <Organisation xmlns="c5f543e3-8063-4253-bd42-47ca496057f8" xsi:nil="true"/>
    <Classification xmlns="c5f543e3-8063-4253-bd42-47ca496057f8">PROTECTED</Classification>
    <SentOn xmlns="c5f543e3-8063-4253-bd42-47ca496057f8" xsi:nil="true"/>
    <ReceivedTime xmlns="c5f543e3-8063-4253-bd42-47ca496057f8" xsi:nil="true"/>
    <mvFrom xmlns="c5f543e3-8063-4253-bd42-47ca496057f8" xsi:nil="true"/>
    <Hyperlink xmlns="ba712082-ff81-49c1-a241-94c9f69f8dde">
      <Url xsi:nil="true"/>
      <Description xsi:nil="true"/>
    </Hyperlink>
    <lcf76f155ced4ddcb4097134ff3c332f xmlns="ba712082-ff81-49c1-a241-94c9f69f8dde">
      <Terms xmlns="http://schemas.microsoft.com/office/infopath/2007/PartnerControls"/>
    </lcf76f155ced4ddcb4097134ff3c332f>
    <Uploaded xmlns="ba712082-ff81-49c1-a241-94c9f69f8dde">false</Upload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9069ab6e-cbb1-4306-ad7e-01a48c91ef8b" ContentTypeId="0x010100CAA12C5105342047A1E5FE66CBFB41077D" PreviousValue="false"/>
</file>

<file path=customXml/item4.xml><?xml version="1.0" encoding="utf-8"?>
<ct:contentTypeSchema xmlns:ct="http://schemas.microsoft.com/office/2006/metadata/contentType" xmlns:ma="http://schemas.microsoft.com/office/2006/metadata/properties/metaAttributes" ct:_="" ma:_="" ma:contentTypeName="Stakeholder" ma:contentTypeID="0x010100CAA12C5105342047A1E5FE66CBFB41077D0077CF2320134F6146BF6CC804A6E36883" ma:contentTypeVersion="24" ma:contentTypeDescription="stakeholder communications relating to team or project&#10;" ma:contentTypeScope="" ma:versionID="a97ef94215465c625bcbd76b809bf527">
  <xsd:schema xmlns:xsd="http://www.w3.org/2001/XMLSchema" xmlns:xs="http://www.w3.org/2001/XMLSchema" xmlns:p="http://schemas.microsoft.com/office/2006/metadata/properties" xmlns:ns3="c5f543e3-8063-4253-bd42-47ca496057f8" xmlns:ns4="ba712082-ff81-49c1-a241-94c9f69f8dde" targetNamespace="http://schemas.microsoft.com/office/2006/metadata/properties" ma:root="true" ma:fieldsID="0ba9b9644a531dd8188ff5f3d074413b" ns3:_="" ns4:_="">
    <xsd:import namespace="c5f543e3-8063-4253-bd42-47ca496057f8"/>
    <xsd:import namespace="ba712082-ff81-49c1-a241-94c9f69f8dde"/>
    <xsd:element name="properties">
      <xsd:complexType>
        <xsd:sequence>
          <xsd:element name="documentManagement">
            <xsd:complexType>
              <xsd:all>
                <xsd:element ref="ns3:Classification" minOccurs="0"/>
                <xsd:element ref="ns3:Attach_x0020_count" minOccurs="0"/>
                <xsd:element ref="ns3:Organisation" minOccurs="0"/>
                <xsd:element ref="ns3:ReceivedTime" minOccurs="0"/>
                <xsd:element ref="ns3:SentOn" minOccurs="0"/>
                <xsd:element ref="ns3:To" minOccurs="0"/>
                <xsd:element ref="ns3:mvFrom"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3:TaxCatchAll" minOccurs="0"/>
                <xsd:element ref="ns4:MediaServiceDateTaken" minOccurs="0"/>
                <xsd:element ref="ns4:MediaLengthInSeconds" minOccurs="0"/>
                <xsd:element ref="ns4:Hyperlink" minOccurs="0"/>
                <xsd:element ref="ns4:MediaServiceObjectDetectorVersions" minOccurs="0"/>
                <xsd:element ref="ns4:MediaServiceLocation" minOccurs="0"/>
                <xsd:element ref="ns4:MediaServiceSearchProperties" minOccurs="0"/>
                <xsd:element ref="ns4: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543e3-8063-4253-bd42-47ca496057f8" elementFormDefault="qualified">
    <xsd:import namespace="http://schemas.microsoft.com/office/2006/documentManagement/types"/>
    <xsd:import namespace="http://schemas.microsoft.com/office/infopath/2007/PartnerControls"/>
    <xsd:element name="Classification" ma:index="9" nillable="true" ma:displayName="Information classification" ma:default="PROTECTED" ma:format="Dropdown" ma:internalName="Classification">
      <xsd:simpleType>
        <xsd:restriction base="dms:Choice">
          <xsd:enumeration value="PROTECTED"/>
          <xsd:enumeration value="CONFIDENTIAL"/>
          <xsd:enumeration value="HIGHLY SENSITIVE"/>
        </xsd:restriction>
      </xsd:simpleType>
    </xsd:element>
    <xsd:element name="Attach_x0020_count" ma:index="10" nillable="true" ma:displayName="Attach count" ma:decimals="0" ma:description="Auto-populated by saved email" ma:internalName="Attach_x0020_count">
      <xsd:simpleType>
        <xsd:restriction base="dms:Number"/>
      </xsd:simpleType>
    </xsd:element>
    <xsd:element name="Organisation" ma:index="11" nillable="true" ma:displayName="Organisation" ma:internalName="Organisation">
      <xsd:simpleType>
        <xsd:restriction base="dms:Text">
          <xsd:maxLength value="255"/>
        </xsd:restriction>
      </xsd:simpleType>
    </xsd:element>
    <xsd:element name="ReceivedTime" ma:index="12" nillable="true" ma:displayName="ReceivedTime" ma:description="Auto-populated by saved email" ma:format="DateTime" ma:internalName="ReceivedTime">
      <xsd:simpleType>
        <xsd:restriction base="dms:DateTime"/>
      </xsd:simpleType>
    </xsd:element>
    <xsd:element name="SentOn" ma:index="13" nillable="true" ma:displayName="SentOn" ma:description="Auto-populated by saved email" ma:format="DateTime" ma:internalName="SentOn">
      <xsd:simpleType>
        <xsd:restriction base="dms:DateTime"/>
      </xsd:simpleType>
    </xsd:element>
    <xsd:element name="To" ma:index="14" nillable="true" ma:displayName="To" ma:description="Auto-populated by saved email" ma:internalName="To">
      <xsd:simpleType>
        <xsd:restriction base="dms:Text">
          <xsd:maxLength value="255"/>
        </xsd:restriction>
      </xsd:simpleType>
    </xsd:element>
    <xsd:element name="mvFrom" ma:index="15" nillable="true" ma:displayName="From" ma:description="Auto-populated by saved email" ma:internalName="mvFrom">
      <xsd:simpleType>
        <xsd:restriction base="dms:Text">
          <xsd:maxLength value="255"/>
        </xsd:restriction>
      </xsd:simpleType>
    </xsd:element>
    <xsd:element name="TaxCatchAll" ma:index="26" nillable="true" ma:displayName="Taxonomy Catch All Column" ma:hidden="true" ma:list="{d18027b6-3a67-4944-b8bc-eee15205d084}" ma:internalName="TaxCatchAll" ma:showField="CatchAllData" ma:web="3941dbea-0bfa-4292-92e1-a3e0956064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712082-ff81-49c1-a241-94c9f69f8dde"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069ab6e-cbb1-4306-ad7e-01a48c91ef8b"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Hyperlink" ma:index="2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Uploaded" ma:index="33" nillable="true" ma:displayName="Uploaded" ma:default="0" ma:format="Dropdown" ma:internalName="Uploa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018F4-AE28-4AD0-B1A3-032401A9F7B5}">
  <ds:schemaRefs>
    <ds:schemaRef ds:uri="http://schemas.microsoft.com/office/2006/metadata/properties"/>
    <ds:schemaRef ds:uri="http://schemas.microsoft.com/office/infopath/2007/PartnerControls"/>
    <ds:schemaRef ds:uri="c5f543e3-8063-4253-bd42-47ca496057f8"/>
    <ds:schemaRef ds:uri="ba712082-ff81-49c1-a241-94c9f69f8dde"/>
  </ds:schemaRefs>
</ds:datastoreItem>
</file>

<file path=customXml/itemProps2.xml><?xml version="1.0" encoding="utf-8"?>
<ds:datastoreItem xmlns:ds="http://schemas.openxmlformats.org/officeDocument/2006/customXml" ds:itemID="{09E8774F-D464-4816-99BF-5C3B23073E53}">
  <ds:schemaRefs>
    <ds:schemaRef ds:uri="http://schemas.microsoft.com/sharepoint/v3/contenttype/forms"/>
  </ds:schemaRefs>
</ds:datastoreItem>
</file>

<file path=customXml/itemProps3.xml><?xml version="1.0" encoding="utf-8"?>
<ds:datastoreItem xmlns:ds="http://schemas.openxmlformats.org/officeDocument/2006/customXml" ds:itemID="{7DD2152A-2DFC-400B-9C38-C847E92E426A}">
  <ds:schemaRefs>
    <ds:schemaRef ds:uri="Microsoft.SharePoint.Taxonomy.ContentTypeSync"/>
  </ds:schemaRefs>
</ds:datastoreItem>
</file>

<file path=customXml/itemProps4.xml><?xml version="1.0" encoding="utf-8"?>
<ds:datastoreItem xmlns:ds="http://schemas.openxmlformats.org/officeDocument/2006/customXml" ds:itemID="{E3276F79-4534-41F5-BD57-E75DA588C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f543e3-8063-4253-bd42-47ca496057f8"/>
    <ds:schemaRef ds:uri="ba712082-ff81-49c1-a241-94c9f69f8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3013B7-E029-402D-BF7A-C54F6A2F4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6445</Words>
  <Characters>36742</Characters>
  <Application>Microsoft Office Word</Application>
  <DocSecurity>0</DocSecurity>
  <Lines>306</Lines>
  <Paragraphs>86</Paragraphs>
  <ScaleCrop>false</ScaleCrop>
  <HeadingPairs>
    <vt:vector size="6" baseType="variant">
      <vt:variant>
        <vt:lpstr>Title</vt:lpstr>
      </vt:variant>
      <vt:variant>
        <vt:i4>1</vt:i4>
      </vt:variant>
      <vt:variant>
        <vt:lpstr>Titel</vt:lpstr>
      </vt:variant>
      <vt:variant>
        <vt:i4>1</vt:i4>
      </vt:variant>
      <vt:variant>
        <vt:lpstr>Название</vt:lpstr>
      </vt:variant>
      <vt:variant>
        <vt:i4>1</vt:i4>
      </vt:variant>
    </vt:vector>
  </HeadingPairs>
  <TitlesOfParts>
    <vt:vector size="3" baseType="lpstr">
      <vt:lpstr>Draft CEPT Brief on AI XX</vt:lpstr>
      <vt:lpstr>Draft CEPT Brief on AI XX</vt:lpstr>
      <vt:lpstr>Draft CEPT Brief on AI XX</vt:lpstr>
    </vt:vector>
  </TitlesOfParts>
  <Manager>stella.lyubchenko@eco.cept.org</Manager>
  <Company>ECO</Company>
  <LinksUpToDate>false</LinksUpToDate>
  <CharactersWithSpaces>43101</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CEPT Brief on AI XX</dc:title>
  <dc:creator>eco</dc:creator>
  <cp:keywords>CEPT Brief</cp:keywords>
  <cp:lastModifiedBy>Lauren Galloway</cp:lastModifiedBy>
  <cp:revision>14</cp:revision>
  <cp:lastPrinted>1901-01-01T00:00:00Z</cp:lastPrinted>
  <dcterms:created xsi:type="dcterms:W3CDTF">2025-06-26T16:52:00Z</dcterms:created>
  <dcterms:modified xsi:type="dcterms:W3CDTF">2025-07-03T13:43:00Z</dcterms:modified>
  <cp:category>protected templates</cp:category>
  <cp:contentStatus>Revision 11 Aug 2016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0x010100CAA12C5105342047A1E5FE66CBFB41077D0077CF2320134F6146BF6CC804A6E36883</vt:lpwstr>
  </property>
  <property fmtid="{D5CDD505-2E9C-101B-9397-08002B2CF9AE}" pid="3" name="MSIP_Label_5a50d26f-5c2c-4137-8396-1b24eb24286c_Enabled">
    <vt:lpwstr>true</vt:lpwstr>
  </property>
  <property fmtid="{D5CDD505-2E9C-101B-9397-08002B2CF9AE}" pid="4" name="MSIP_Label_5a50d26f-5c2c-4137-8396-1b24eb24286c_SetDate">
    <vt:lpwstr>2024-03-14T13:09:18Z</vt:lpwstr>
  </property>
  <property fmtid="{D5CDD505-2E9C-101B-9397-08002B2CF9AE}" pid="5" name="MSIP_Label_5a50d26f-5c2c-4137-8396-1b24eb24286c_Method">
    <vt:lpwstr>Privileged</vt:lpwstr>
  </property>
  <property fmtid="{D5CDD505-2E9C-101B-9397-08002B2CF9AE}" pid="6" name="MSIP_Label_5a50d26f-5c2c-4137-8396-1b24eb24286c_Name">
    <vt:lpwstr>5a50d26f-5c2c-4137-8396-1b24eb24286c</vt:lpwstr>
  </property>
  <property fmtid="{D5CDD505-2E9C-101B-9397-08002B2CF9AE}" pid="7" name="MSIP_Label_5a50d26f-5c2c-4137-8396-1b24eb24286c_SiteId">
    <vt:lpwstr>0af648de-310c-4068-8ae4-f9418bae24cc</vt:lpwstr>
  </property>
  <property fmtid="{D5CDD505-2E9C-101B-9397-08002B2CF9AE}" pid="8" name="MSIP_Label_5a50d26f-5c2c-4137-8396-1b24eb24286c_ActionId">
    <vt:lpwstr>f33ee487-19e3-4960-9dc1-10933ed7a644</vt:lpwstr>
  </property>
  <property fmtid="{D5CDD505-2E9C-101B-9397-08002B2CF9AE}" pid="9" name="MSIP_Label_5a50d26f-5c2c-4137-8396-1b24eb24286c_ContentBits">
    <vt:lpwstr>0</vt:lpwstr>
  </property>
  <property fmtid="{D5CDD505-2E9C-101B-9397-08002B2CF9AE}" pid="10" name="MediaServiceImageTags">
    <vt:lpwstr/>
  </property>
  <property fmtid="{D5CDD505-2E9C-101B-9397-08002B2CF9AE}" pid="11" name="TitusGUID">
    <vt:lpwstr>2a8ae931-4089-4bd7-80a9-c80a1cc52032</vt:lpwstr>
  </property>
  <property fmtid="{D5CDD505-2E9C-101B-9397-08002B2CF9AE}" pid="12" name="TaggedBy">
    <vt:lpwstr>orin150</vt:lpwstr>
  </property>
  <property fmtid="{D5CDD505-2E9C-101B-9397-08002B2CF9AE}" pid="13" name="L">
    <vt:lpwstr>XXPUB</vt:lpwstr>
  </property>
  <property fmtid="{D5CDD505-2E9C-101B-9397-08002B2CF9AE}" pid="14" name="STAMP">
    <vt:lpwstr>NO</vt:lpwstr>
  </property>
  <property fmtid="{D5CDD505-2E9C-101B-9397-08002B2CF9AE}" pid="15" name="_NewReviewCycle">
    <vt:lpwstr/>
  </property>
</Properties>
</file>