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694"/>
        <w:gridCol w:w="3340"/>
        <w:gridCol w:w="4709"/>
        <w:gridCol w:w="38"/>
      </w:tblGrid>
      <w:tr w:rsidR="007932FC" w:rsidRPr="00235592" w14:paraId="6574FB6D" w14:textId="77777777" w:rsidTr="00D44CB1">
        <w:trPr>
          <w:cantSplit/>
          <w:trHeight w:val="1240"/>
        </w:trPr>
        <w:tc>
          <w:tcPr>
            <w:tcW w:w="5034" w:type="dxa"/>
            <w:gridSpan w:val="2"/>
            <w:tcBorders>
              <w:top w:val="nil"/>
              <w:left w:val="nil"/>
              <w:bottom w:val="nil"/>
              <w:right w:val="nil"/>
            </w:tcBorders>
          </w:tcPr>
          <w:p w14:paraId="2F5571B3" w14:textId="77777777" w:rsidR="007932FC" w:rsidRPr="00235592" w:rsidRDefault="007932FC" w:rsidP="007932FC">
            <w:pPr>
              <w:pStyle w:val="ECCLetterHead"/>
            </w:pPr>
          </w:p>
        </w:tc>
        <w:tc>
          <w:tcPr>
            <w:tcW w:w="4747" w:type="dxa"/>
            <w:gridSpan w:val="2"/>
            <w:tcBorders>
              <w:top w:val="nil"/>
              <w:left w:val="nil"/>
              <w:bottom w:val="nil"/>
              <w:right w:val="nil"/>
            </w:tcBorders>
          </w:tcPr>
          <w:p w14:paraId="7BF79DFD" w14:textId="7E5B6415" w:rsidR="007932FC" w:rsidRPr="007932FC" w:rsidRDefault="007932FC" w:rsidP="007932FC">
            <w:pPr>
              <w:pStyle w:val="ECCLetterHead"/>
            </w:pPr>
            <w:r w:rsidRPr="00235592">
              <w:tab/>
            </w:r>
            <w:r w:rsidR="00D77231">
              <w:t xml:space="preserve">Doc. </w:t>
            </w:r>
            <w:r w:rsidR="00694732">
              <w:t>CPG</w:t>
            </w:r>
            <w:r w:rsidR="00D77231" w:rsidRPr="00D77231">
              <w:t>25)0</w:t>
            </w:r>
            <w:r w:rsidR="00BB19D3">
              <w:t>16</w:t>
            </w:r>
            <w:r w:rsidR="00D77231" w:rsidRPr="00D77231">
              <w:t xml:space="preserve"> ANNEX IV-1</w:t>
            </w:r>
            <w:r w:rsidR="00D77231">
              <w:t>4</w:t>
            </w:r>
          </w:p>
        </w:tc>
      </w:tr>
      <w:tr w:rsidR="007932FC" w:rsidRPr="00235592" w14:paraId="36EF3D75" w14:textId="77777777" w:rsidTr="00D44CB1">
        <w:tblPrEx>
          <w:tblCellMar>
            <w:left w:w="108" w:type="dxa"/>
            <w:right w:w="108" w:type="dxa"/>
          </w:tblCellMar>
        </w:tblPrEx>
        <w:trPr>
          <w:gridAfter w:val="1"/>
          <w:wAfter w:w="38" w:type="dxa"/>
          <w:cantSplit/>
          <w:trHeight w:val="405"/>
        </w:trPr>
        <w:tc>
          <w:tcPr>
            <w:tcW w:w="5034" w:type="dxa"/>
            <w:gridSpan w:val="2"/>
            <w:tcBorders>
              <w:top w:val="nil"/>
              <w:left w:val="nil"/>
              <w:bottom w:val="nil"/>
              <w:right w:val="nil"/>
            </w:tcBorders>
            <w:shd w:val="clear" w:color="auto" w:fill="auto"/>
            <w:vAlign w:val="center"/>
          </w:tcPr>
          <w:p w14:paraId="53DE8300" w14:textId="21E9260B" w:rsidR="007932FC" w:rsidRPr="007932FC" w:rsidRDefault="007932FC" w:rsidP="007932FC">
            <w:pPr>
              <w:pStyle w:val="ECCLetterHead"/>
              <w:rPr>
                <w:rStyle w:val="ECCHLyellow"/>
              </w:rPr>
            </w:pPr>
            <w:r w:rsidRPr="00235592">
              <w:t>CPG</w:t>
            </w:r>
            <w:r w:rsidR="0099077F">
              <w:t>27-3</w:t>
            </w:r>
          </w:p>
        </w:tc>
        <w:tc>
          <w:tcPr>
            <w:tcW w:w="4709" w:type="dxa"/>
            <w:tcBorders>
              <w:top w:val="nil"/>
              <w:left w:val="nil"/>
              <w:bottom w:val="nil"/>
              <w:right w:val="nil"/>
            </w:tcBorders>
            <w:vAlign w:val="center"/>
          </w:tcPr>
          <w:p w14:paraId="1A548140" w14:textId="77777777" w:rsidR="007932FC" w:rsidRPr="00235592" w:rsidRDefault="007932FC" w:rsidP="007932FC">
            <w:pPr>
              <w:pStyle w:val="ECCLetterHead"/>
            </w:pPr>
          </w:p>
        </w:tc>
      </w:tr>
      <w:tr w:rsidR="007932FC" w:rsidRPr="00235592" w14:paraId="72A32D08" w14:textId="77777777" w:rsidTr="00D44CB1">
        <w:tblPrEx>
          <w:tblCellMar>
            <w:left w:w="108" w:type="dxa"/>
            <w:right w:w="108" w:type="dxa"/>
          </w:tblCellMar>
        </w:tblPrEx>
        <w:trPr>
          <w:gridAfter w:val="1"/>
          <w:wAfter w:w="38" w:type="dxa"/>
          <w:cantSplit/>
          <w:trHeight w:val="405"/>
        </w:trPr>
        <w:tc>
          <w:tcPr>
            <w:tcW w:w="5034" w:type="dxa"/>
            <w:gridSpan w:val="2"/>
            <w:tcBorders>
              <w:top w:val="nil"/>
              <w:left w:val="nil"/>
              <w:bottom w:val="nil"/>
              <w:right w:val="nil"/>
            </w:tcBorders>
            <w:vAlign w:val="center"/>
          </w:tcPr>
          <w:p w14:paraId="131576BE" w14:textId="04E396C3" w:rsidR="007932FC" w:rsidRPr="007932FC" w:rsidRDefault="0099077F" w:rsidP="007932FC">
            <w:pPr>
              <w:pStyle w:val="ECCLetterHead"/>
            </w:pPr>
            <w:r>
              <w:t>Groningen, Netherlands, 10</w:t>
            </w:r>
            <w:r w:rsidRPr="005B7284">
              <w:rPr>
                <w:vertAlign w:val="superscript"/>
              </w:rPr>
              <w:t>th</w:t>
            </w:r>
            <w:r>
              <w:t>-13</w:t>
            </w:r>
            <w:r w:rsidRPr="005B7284">
              <w:rPr>
                <w:vertAlign w:val="superscript"/>
              </w:rPr>
              <w:t>th</w:t>
            </w:r>
            <w:r>
              <w:t xml:space="preserve"> 2025</w:t>
            </w:r>
          </w:p>
        </w:tc>
        <w:tc>
          <w:tcPr>
            <w:tcW w:w="4709" w:type="dxa"/>
            <w:tcBorders>
              <w:top w:val="nil"/>
              <w:left w:val="nil"/>
              <w:bottom w:val="nil"/>
              <w:right w:val="nil"/>
            </w:tcBorders>
            <w:vAlign w:val="center"/>
          </w:tcPr>
          <w:p w14:paraId="39790435" w14:textId="77777777" w:rsidR="007932FC" w:rsidRPr="00235592" w:rsidRDefault="007932FC" w:rsidP="007932FC">
            <w:pPr>
              <w:pStyle w:val="ECCTabletext"/>
            </w:pPr>
          </w:p>
        </w:tc>
      </w:tr>
      <w:tr w:rsidR="007932FC" w:rsidRPr="00235592" w14:paraId="229B9626" w14:textId="77777777" w:rsidTr="00D44CB1">
        <w:tblPrEx>
          <w:tblCellMar>
            <w:left w:w="108" w:type="dxa"/>
            <w:right w:w="108" w:type="dxa"/>
          </w:tblCellMar>
        </w:tblPrEx>
        <w:trPr>
          <w:gridAfter w:val="1"/>
          <w:wAfter w:w="38" w:type="dxa"/>
          <w:cantSplit/>
          <w:trHeight w:hRule="exact" w:val="79"/>
        </w:trPr>
        <w:tc>
          <w:tcPr>
            <w:tcW w:w="5034" w:type="dxa"/>
            <w:gridSpan w:val="2"/>
            <w:tcBorders>
              <w:top w:val="nil"/>
              <w:left w:val="nil"/>
              <w:bottom w:val="nil"/>
              <w:right w:val="nil"/>
            </w:tcBorders>
            <w:vAlign w:val="center"/>
          </w:tcPr>
          <w:p w14:paraId="79038C8E" w14:textId="77777777" w:rsidR="007932FC" w:rsidRPr="00235592" w:rsidRDefault="007932FC" w:rsidP="007932FC">
            <w:pPr>
              <w:pStyle w:val="ECCLetterHead"/>
            </w:pPr>
          </w:p>
        </w:tc>
        <w:tc>
          <w:tcPr>
            <w:tcW w:w="4709" w:type="dxa"/>
            <w:tcBorders>
              <w:top w:val="nil"/>
              <w:left w:val="nil"/>
              <w:bottom w:val="nil"/>
              <w:right w:val="nil"/>
            </w:tcBorders>
            <w:vAlign w:val="center"/>
          </w:tcPr>
          <w:p w14:paraId="18341F25" w14:textId="77777777" w:rsidR="007932FC" w:rsidRPr="00235592" w:rsidRDefault="007932FC" w:rsidP="007932FC">
            <w:pPr>
              <w:pStyle w:val="ECCLetterHead"/>
            </w:pPr>
          </w:p>
        </w:tc>
      </w:tr>
      <w:tr w:rsidR="007932FC" w:rsidRPr="00235592" w14:paraId="13E3F3F1" w14:textId="77777777" w:rsidTr="00D44CB1">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45DC0320" w14:textId="77777777" w:rsidR="007932FC" w:rsidRPr="007932FC" w:rsidRDefault="007932FC" w:rsidP="007932FC">
            <w:pPr>
              <w:pStyle w:val="ECCLetterHead"/>
            </w:pPr>
            <w:r w:rsidRPr="00235592">
              <w:t xml:space="preserve">Date issued: </w:t>
            </w:r>
          </w:p>
        </w:tc>
        <w:tc>
          <w:tcPr>
            <w:tcW w:w="8049" w:type="dxa"/>
            <w:gridSpan w:val="2"/>
            <w:tcBorders>
              <w:top w:val="nil"/>
              <w:left w:val="nil"/>
              <w:bottom w:val="nil"/>
              <w:right w:val="nil"/>
            </w:tcBorders>
            <w:vAlign w:val="center"/>
          </w:tcPr>
          <w:p w14:paraId="2470BBDE" w14:textId="3011C903" w:rsidR="007932FC" w:rsidRPr="007932FC" w:rsidRDefault="00F75B74" w:rsidP="007932FC">
            <w:pPr>
              <w:pStyle w:val="ECCLetterHead"/>
            </w:pPr>
            <w:r>
              <w:rPr>
                <w:rStyle w:val="ECCParagraph"/>
              </w:rPr>
              <w:t>3rd</w:t>
            </w:r>
            <w:r w:rsidR="0042653A">
              <w:rPr>
                <w:rStyle w:val="ECCParagraph"/>
              </w:rPr>
              <w:t xml:space="preserve"> July</w:t>
            </w:r>
            <w:r w:rsidR="005B7284">
              <w:rPr>
                <w:rStyle w:val="ECCParagraph"/>
              </w:rPr>
              <w:t xml:space="preserve"> 2025</w:t>
            </w:r>
          </w:p>
        </w:tc>
      </w:tr>
      <w:tr w:rsidR="007932FC" w:rsidRPr="00235592" w14:paraId="798B51E5" w14:textId="77777777" w:rsidTr="00D44CB1">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2B12122F" w14:textId="77777777" w:rsidR="007932FC" w:rsidRPr="007932FC" w:rsidRDefault="007932FC" w:rsidP="007932FC">
            <w:pPr>
              <w:pStyle w:val="ECCLetterHead"/>
            </w:pPr>
            <w:r w:rsidRPr="00235592">
              <w:t xml:space="preserve">Source: </w:t>
            </w:r>
          </w:p>
        </w:tc>
        <w:tc>
          <w:tcPr>
            <w:tcW w:w="8049" w:type="dxa"/>
            <w:gridSpan w:val="2"/>
            <w:tcBorders>
              <w:top w:val="nil"/>
              <w:left w:val="nil"/>
              <w:bottom w:val="nil"/>
              <w:right w:val="nil"/>
            </w:tcBorders>
            <w:vAlign w:val="center"/>
          </w:tcPr>
          <w:p w14:paraId="6F50604D" w14:textId="25662CD9" w:rsidR="007932FC" w:rsidRPr="007932FC" w:rsidRDefault="0042653A" w:rsidP="007932FC">
            <w:pPr>
              <w:pStyle w:val="ECCLetterHead"/>
            </w:pPr>
            <w:r w:rsidRPr="00235592">
              <w:t>CPG</w:t>
            </w:r>
            <w:r w:rsidRPr="0042653A">
              <w:t>27-3</w:t>
            </w:r>
          </w:p>
        </w:tc>
      </w:tr>
      <w:tr w:rsidR="007932FC" w:rsidRPr="00235592" w14:paraId="01A43EA0" w14:textId="77777777" w:rsidTr="00D44CB1">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70D1BBFE" w14:textId="77777777" w:rsidR="007932FC" w:rsidRPr="007932FC" w:rsidRDefault="007932FC" w:rsidP="007932FC">
            <w:pPr>
              <w:pStyle w:val="ECCLetterHead"/>
            </w:pPr>
            <w:r w:rsidRPr="00235592">
              <w:t xml:space="preserve">Subject: </w:t>
            </w:r>
          </w:p>
        </w:tc>
        <w:tc>
          <w:tcPr>
            <w:tcW w:w="8049" w:type="dxa"/>
            <w:gridSpan w:val="2"/>
            <w:tcBorders>
              <w:top w:val="nil"/>
              <w:left w:val="nil"/>
              <w:bottom w:val="nil"/>
              <w:right w:val="nil"/>
            </w:tcBorders>
            <w:vAlign w:val="center"/>
          </w:tcPr>
          <w:p w14:paraId="3925FE94" w14:textId="77777777" w:rsidR="007932FC" w:rsidRPr="007932FC" w:rsidRDefault="007932FC" w:rsidP="007932FC">
            <w:pPr>
              <w:pStyle w:val="ECCLetterHead"/>
            </w:pPr>
            <w:r w:rsidRPr="00235592">
              <w:t>Draft CEPT Brief on WRC-</w:t>
            </w:r>
            <w:r w:rsidRPr="007932FC">
              <w:t>27 agenda item 1.14</w:t>
            </w:r>
          </w:p>
        </w:tc>
      </w:tr>
      <w:tr w:rsidR="007932FC" w:rsidRPr="00235592" w14:paraId="62263A93" w14:textId="77777777" w:rsidTr="00D44CB1">
        <w:tblPrEx>
          <w:tblCellMar>
            <w:left w:w="108" w:type="dxa"/>
            <w:right w:w="108" w:type="dxa"/>
          </w:tblCellMar>
        </w:tblPrEx>
        <w:trPr>
          <w:gridAfter w:val="1"/>
          <w:wAfter w:w="38" w:type="dxa"/>
          <w:cantSplit/>
          <w:trHeight w:hRule="exact" w:val="74"/>
        </w:trPr>
        <w:tc>
          <w:tcPr>
            <w:tcW w:w="9743" w:type="dxa"/>
            <w:gridSpan w:val="3"/>
            <w:tcBorders>
              <w:top w:val="nil"/>
              <w:left w:val="nil"/>
              <w:bottom w:val="single" w:sz="6" w:space="0" w:color="C00000"/>
              <w:right w:val="nil"/>
            </w:tcBorders>
            <w:vAlign w:val="center"/>
          </w:tcPr>
          <w:p w14:paraId="15031ED9" w14:textId="77777777" w:rsidR="007932FC" w:rsidRPr="00235592" w:rsidRDefault="007932FC" w:rsidP="007932FC">
            <w:pPr>
              <w:rPr>
                <w:rStyle w:val="ECCParagraph"/>
              </w:rPr>
            </w:pPr>
          </w:p>
          <w:p w14:paraId="33C33071" w14:textId="77777777" w:rsidR="007932FC" w:rsidRPr="00235592" w:rsidRDefault="007932FC" w:rsidP="007932FC">
            <w:pPr>
              <w:pStyle w:val="ECCLetterHead"/>
            </w:pPr>
          </w:p>
        </w:tc>
      </w:tr>
      <w:tr w:rsidR="007932FC" w:rsidRPr="00235592" w14:paraId="3523DA78" w14:textId="77777777" w:rsidTr="00D44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6FA20196" w14:textId="77777777" w:rsidR="007932FC" w:rsidRPr="007932FC" w:rsidRDefault="007932FC" w:rsidP="007932FC">
            <w:pPr>
              <w:pStyle w:val="ECCLetterHead"/>
            </w:pPr>
            <w:r w:rsidRPr="00235592">
              <w:t xml:space="preserve">Summary: </w:t>
            </w:r>
          </w:p>
        </w:tc>
      </w:tr>
      <w:tr w:rsidR="007932FC" w:rsidRPr="00235592" w14:paraId="5D329F96" w14:textId="77777777" w:rsidTr="00D44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4"/>
            <w:tcBorders>
              <w:top w:val="nil"/>
              <w:left w:val="single" w:sz="6" w:space="0" w:color="C00000"/>
              <w:bottom w:val="single" w:sz="6" w:space="0" w:color="C00000"/>
              <w:right w:val="single" w:sz="6" w:space="0" w:color="C00000"/>
            </w:tcBorders>
          </w:tcPr>
          <w:p w14:paraId="3B80F48D" w14:textId="77777777" w:rsidR="007932FC" w:rsidRPr="008E117A" w:rsidRDefault="007932FC" w:rsidP="007932FC">
            <w:pPr>
              <w:rPr>
                <w:rStyle w:val="ECCHLunderlined"/>
              </w:rPr>
            </w:pPr>
          </w:p>
        </w:tc>
      </w:tr>
      <w:tr w:rsidR="007932FC" w:rsidRPr="00235592" w14:paraId="62DF25AB" w14:textId="77777777" w:rsidTr="00D44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7A211993" w14:textId="77777777" w:rsidR="007932FC" w:rsidRPr="007932FC" w:rsidRDefault="007932FC" w:rsidP="007932FC">
            <w:pPr>
              <w:pStyle w:val="ECCLetterHead"/>
            </w:pPr>
            <w:r w:rsidRPr="00235592">
              <w:t>Proposal:</w:t>
            </w:r>
          </w:p>
        </w:tc>
      </w:tr>
      <w:tr w:rsidR="007932FC" w:rsidRPr="00235592" w14:paraId="2D0D7E58" w14:textId="77777777" w:rsidTr="00D44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781" w:type="dxa"/>
            <w:gridSpan w:val="4"/>
            <w:tcBorders>
              <w:top w:val="nil"/>
              <w:left w:val="single" w:sz="6" w:space="0" w:color="C00000"/>
              <w:bottom w:val="single" w:sz="6" w:space="0" w:color="C00000"/>
              <w:right w:val="single" w:sz="6" w:space="0" w:color="C00000"/>
            </w:tcBorders>
          </w:tcPr>
          <w:p w14:paraId="25B50855" w14:textId="77777777" w:rsidR="007932FC" w:rsidRPr="00235592" w:rsidRDefault="007932FC" w:rsidP="007932FC">
            <w:pPr>
              <w:pStyle w:val="ECCTabletext"/>
            </w:pPr>
          </w:p>
        </w:tc>
      </w:tr>
    </w:tbl>
    <w:p w14:paraId="3506290A" w14:textId="487242F1" w:rsidR="009033CD" w:rsidRPr="00235592" w:rsidRDefault="009033CD" w:rsidP="009033CD">
      <w:pPr>
        <w:rPr>
          <w:rStyle w:val="ECCParagraph"/>
        </w:rPr>
      </w:pPr>
      <w:r w:rsidRPr="00235592">
        <w:rPr>
          <w:rStyle w:val="ECCParagraph"/>
        </w:rPr>
        <w:br w:type="page"/>
      </w:r>
    </w:p>
    <w:p w14:paraId="60497D30" w14:textId="50C83E81" w:rsidR="003771D5" w:rsidRPr="00E373B3" w:rsidRDefault="003771D5" w:rsidP="003A68D5">
      <w:pPr>
        <w:pStyle w:val="ECCHeadingnonumbering"/>
      </w:pPr>
      <w:r w:rsidRPr="00235592">
        <w:rPr>
          <w:lang w:val="en-GB"/>
        </w:rPr>
        <w:lastRenderedPageBreak/>
        <w:t xml:space="preserve">DRAFT CEPT BRIEF ON AGENDA ITEM </w:t>
      </w:r>
      <w:r w:rsidR="00E373B3">
        <w:t>1.1</w:t>
      </w:r>
      <w:r w:rsidR="009B232E">
        <w:t>4</w:t>
      </w:r>
    </w:p>
    <w:p w14:paraId="7E54832F" w14:textId="250AD159" w:rsidR="003771D5" w:rsidRPr="00235592" w:rsidRDefault="00E373B3" w:rsidP="00BD4E12">
      <w:pPr>
        <w:rPr>
          <w:rStyle w:val="ECCParagraph"/>
        </w:rPr>
      </w:pPr>
      <w:r>
        <w:rPr>
          <w:rStyle w:val="ECCParagraph"/>
        </w:rPr>
        <w:t>1.1</w:t>
      </w:r>
      <w:r w:rsidR="009B232E">
        <w:rPr>
          <w:rStyle w:val="ECCParagraph"/>
        </w:rPr>
        <w:t>4</w:t>
      </w:r>
      <w:r w:rsidR="003771D5" w:rsidRPr="00235592">
        <w:rPr>
          <w:rStyle w:val="ECCParagraph"/>
        </w:rPr>
        <w:tab/>
      </w:r>
      <w:r w:rsidR="009B232E" w:rsidRPr="009B232E">
        <w:t xml:space="preserve">to consider possible additional allocations to the mobile-satellite service, in accordance with Resolution </w:t>
      </w:r>
      <w:r w:rsidR="009B232E" w:rsidRPr="009B232E">
        <w:rPr>
          <w:rStyle w:val="ECCHLbold"/>
        </w:rPr>
        <w:t>254 (WRC-23)</w:t>
      </w:r>
      <w:r w:rsidR="00832DD0" w:rsidRPr="00832DD0">
        <w:rPr>
          <w:rStyle w:val="ECCParagraph"/>
        </w:rPr>
        <w:t>;</w:t>
      </w:r>
    </w:p>
    <w:p w14:paraId="0B399FBC" w14:textId="19194AEA" w:rsidR="003771D5" w:rsidRPr="00235592" w:rsidRDefault="003771D5" w:rsidP="00BD4E12">
      <w:pPr>
        <w:pStyle w:val="Heading1"/>
        <w:rPr>
          <w:lang w:val="en-GB"/>
        </w:rPr>
      </w:pPr>
      <w:r w:rsidRPr="00235592">
        <w:rPr>
          <w:lang w:val="en-GB"/>
        </w:rPr>
        <w:t>I</w:t>
      </w:r>
      <w:r w:rsidR="000F41FF">
        <w:t>ssue</w:t>
      </w:r>
    </w:p>
    <w:p w14:paraId="7B289B20" w14:textId="24514CE6" w:rsidR="007932FC" w:rsidRPr="00E373B3" w:rsidRDefault="007932FC" w:rsidP="007932FC">
      <w:pPr>
        <w:rPr>
          <w:rStyle w:val="ECCParagraph"/>
        </w:rPr>
      </w:pPr>
      <w:r w:rsidRPr="007932FC">
        <w:rPr>
          <w:rStyle w:val="ECCParagraph"/>
        </w:rPr>
        <w:t>This agenda item aims to consider possible additional allocations to the mobile-satellite service in the frequency bands 2010-2025 MHz (Earth-to-space) and 2160-2170 MHz (space-to-Earth) in Regions 1 and 3 and 2120-2160 MHz (space-to-Earth) in all Regions, while ensuring the protection of existing services allocated in those and adjacent frequency bands.</w:t>
      </w:r>
    </w:p>
    <w:p w14:paraId="03853136" w14:textId="77777777" w:rsidR="003771D5" w:rsidRPr="00235592" w:rsidRDefault="003771D5" w:rsidP="00BD4E12">
      <w:pPr>
        <w:pStyle w:val="Heading1"/>
        <w:rPr>
          <w:lang w:val="en-GB"/>
        </w:rPr>
      </w:pPr>
      <w:r w:rsidRPr="00235592">
        <w:rPr>
          <w:lang w:val="en-GB"/>
        </w:rPr>
        <w:t xml:space="preserve">Preliminary CEPT position </w:t>
      </w:r>
    </w:p>
    <w:p w14:paraId="5903AB78" w14:textId="1C2E3B1B" w:rsidR="00233207" w:rsidRDefault="004D5026" w:rsidP="00E11FC8">
      <w:r w:rsidRPr="004D5026">
        <w:t xml:space="preserve">CEPT </w:t>
      </w:r>
      <w:r w:rsidR="00DF5B44">
        <w:t xml:space="preserve">does not </w:t>
      </w:r>
      <w:r w:rsidRPr="004D5026">
        <w:t xml:space="preserve">support </w:t>
      </w:r>
      <w:r w:rsidR="00DF5B44">
        <w:t xml:space="preserve">an MSS allocation in the </w:t>
      </w:r>
      <w:r>
        <w:t xml:space="preserve">frequency band </w:t>
      </w:r>
      <w:r w:rsidR="00B96710" w:rsidRPr="00B96710">
        <w:t>21</w:t>
      </w:r>
      <w:r w:rsidR="003468E7">
        <w:t>2</w:t>
      </w:r>
      <w:r w:rsidR="00B96710" w:rsidRPr="00B96710">
        <w:t>0-2170</w:t>
      </w:r>
      <w:r w:rsidRPr="004D5026">
        <w:t xml:space="preserve"> MHz</w:t>
      </w:r>
      <w:r w:rsidR="001F30F8">
        <w:t xml:space="preserve">, </w:t>
      </w:r>
      <w:r w:rsidR="00DF5B44">
        <w:rPr>
          <w:rStyle w:val="ECCParagraph"/>
        </w:rPr>
        <w:t>due to</w:t>
      </w:r>
      <w:r w:rsidR="001F30F8">
        <w:rPr>
          <w:rStyle w:val="ECCParagraph"/>
        </w:rPr>
        <w:t xml:space="preserve"> </w:t>
      </w:r>
      <w:r w:rsidR="0073624E">
        <w:rPr>
          <w:rStyle w:val="ECCParagraph"/>
        </w:rPr>
        <w:t>the</w:t>
      </w:r>
      <w:r w:rsidR="001F30F8">
        <w:rPr>
          <w:rStyle w:val="ECCParagraph"/>
        </w:rPr>
        <w:t xml:space="preserve"> harmonisation</w:t>
      </w:r>
      <w:r w:rsidR="00693373">
        <w:rPr>
          <w:rStyle w:val="ECCParagraph"/>
        </w:rPr>
        <w:t xml:space="preserve"> in Europe</w:t>
      </w:r>
      <w:r w:rsidR="001F30F8">
        <w:rPr>
          <w:rStyle w:val="ECCParagraph"/>
        </w:rPr>
        <w:t xml:space="preserve"> and e</w:t>
      </w:r>
      <w:r w:rsidRPr="004D5026">
        <w:t>xtensive deploy</w:t>
      </w:r>
      <w:r w:rsidR="001F30F8">
        <w:t>ment</w:t>
      </w:r>
      <w:r>
        <w:t xml:space="preserve"> </w:t>
      </w:r>
      <w:r w:rsidR="00233207">
        <w:t>of</w:t>
      </w:r>
      <w:r>
        <w:t xml:space="preserve"> IMT mobile networks</w:t>
      </w:r>
      <w:r w:rsidR="00376426">
        <w:t xml:space="preserve"> </w:t>
      </w:r>
      <w:r w:rsidR="0073624E">
        <w:t>within Europe and the rest</w:t>
      </w:r>
      <w:r w:rsidR="007932FC">
        <w:t xml:space="preserve"> </w:t>
      </w:r>
      <w:r w:rsidR="0073624E">
        <w:t>the world</w:t>
      </w:r>
      <w:r w:rsidR="00233207">
        <w:t>.</w:t>
      </w:r>
      <w:r w:rsidR="00DF5B44">
        <w:t xml:space="preserve"> </w:t>
      </w:r>
    </w:p>
    <w:p w14:paraId="41C50368" w14:textId="49DE2310" w:rsidR="001942CB" w:rsidRPr="0073624E" w:rsidRDefault="001942CB" w:rsidP="0073624E">
      <w:r w:rsidRPr="00370164">
        <w:t>CEPT is further of the view that terrestrial IMT operations shall be protected both within the countries as well as in cross-border situations, including in the territorial waters</w:t>
      </w:r>
      <w:r>
        <w:t>.</w:t>
      </w:r>
      <w:r w:rsidRPr="00370164">
        <w:t xml:space="preserve"> </w:t>
      </w:r>
      <w:r w:rsidRPr="001417F1">
        <w:t>The protection of stations onboard fixed platforms</w:t>
      </w:r>
      <w:r>
        <w:t xml:space="preserve"> in</w:t>
      </w:r>
      <w:r w:rsidRPr="00370164">
        <w:t xml:space="preserve"> Exclusive Economic Zones (EEZ)</w:t>
      </w:r>
      <w:r>
        <w:t xml:space="preserve"> </w:t>
      </w:r>
      <w:r w:rsidRPr="001417F1">
        <w:t>or onboard ships in international waters (Mobile Communications onboard Vessels, MCV) also need to be addressed.</w:t>
      </w:r>
    </w:p>
    <w:p w14:paraId="5CD8ADF1" w14:textId="65D91841" w:rsidR="00F21F32" w:rsidRDefault="007706C9">
      <w:r>
        <w:t xml:space="preserve">CEPT </w:t>
      </w:r>
      <w:r w:rsidR="00F21E14">
        <w:t xml:space="preserve">supports </w:t>
      </w:r>
      <w:r w:rsidR="00376426">
        <w:t>c</w:t>
      </w:r>
      <w:r w:rsidR="00F21E14">
        <w:t xml:space="preserve">onsideration of the </w:t>
      </w:r>
      <w:r w:rsidRPr="007706C9">
        <w:t xml:space="preserve">frequency band </w:t>
      </w:r>
      <w:r w:rsidRPr="007706C9">
        <w:rPr>
          <w:rStyle w:val="ECCParagraph"/>
        </w:rPr>
        <w:t>2010-2025</w:t>
      </w:r>
      <w:r w:rsidR="006D47AB">
        <w:rPr>
          <w:rStyle w:val="ECCParagraph"/>
        </w:rPr>
        <w:t xml:space="preserve"> MHz</w:t>
      </w:r>
      <w:r>
        <w:rPr>
          <w:rStyle w:val="ECCParagraph"/>
        </w:rPr>
        <w:t xml:space="preserve"> under agenda item 1.12</w:t>
      </w:r>
      <w:r w:rsidR="006D47AB">
        <w:rPr>
          <w:rStyle w:val="ECCParagraph"/>
        </w:rPr>
        <w:t>,</w:t>
      </w:r>
      <w:r w:rsidR="00F21E14">
        <w:rPr>
          <w:rStyle w:val="ECCParagraph"/>
        </w:rPr>
        <w:t xml:space="preserve"> and </w:t>
      </w:r>
      <w:r w:rsidR="00F21E14" w:rsidRPr="00F21E14">
        <w:t>the frequency band 2120-2170 MHz</w:t>
      </w:r>
      <w:r w:rsidR="00F21E14">
        <w:t xml:space="preserve"> </w:t>
      </w:r>
      <w:r w:rsidR="00F21E14" w:rsidRPr="00895981">
        <w:rPr>
          <w:rStyle w:val="ECCParagraph"/>
        </w:rPr>
        <w:t>under agenda item 1.13</w:t>
      </w:r>
      <w:r w:rsidR="00F21E14">
        <w:t>.</w:t>
      </w:r>
    </w:p>
    <w:p w14:paraId="5880E511" w14:textId="34DA390A" w:rsidR="00C16EBB" w:rsidRDefault="0073624E" w:rsidP="00C25AE2">
      <w:r>
        <w:t xml:space="preserve">CEPT supports </w:t>
      </w:r>
      <w:r w:rsidRPr="00895981">
        <w:rPr>
          <w:rStyle w:val="ECCHLunderlined"/>
        </w:rPr>
        <w:t>NOC</w:t>
      </w:r>
      <w:r>
        <w:t xml:space="preserve"> for AI 1.14</w:t>
      </w:r>
      <w:r w:rsidR="00F21E14">
        <w:t>.</w:t>
      </w:r>
    </w:p>
    <w:p w14:paraId="60C5DC89" w14:textId="07298D78" w:rsidR="00466FA9" w:rsidRPr="00466FA9" w:rsidRDefault="003771D5" w:rsidP="0000561D">
      <w:pPr>
        <w:pStyle w:val="Heading1"/>
      </w:pPr>
      <w:r w:rsidRPr="00235592">
        <w:rPr>
          <w:lang w:val="en-GB"/>
        </w:rPr>
        <w:t xml:space="preserve">Background </w:t>
      </w:r>
    </w:p>
    <w:p w14:paraId="75F93AAA" w14:textId="1D5B307F" w:rsidR="00C36988" w:rsidRDefault="006D47AB" w:rsidP="00895981">
      <w:pPr>
        <w:pStyle w:val="ECCEditorsNote"/>
      </w:pPr>
      <w:r>
        <w:t>The concerns and considerations leading to the current version of the CEPT position should be outlined in the approprite section below.</w:t>
      </w:r>
    </w:p>
    <w:p w14:paraId="144597C3" w14:textId="7417448F" w:rsidR="00F6440B" w:rsidRDefault="00C36988" w:rsidP="00C16EBB">
      <w:r w:rsidRPr="00C36988">
        <w:t xml:space="preserve">On the worldwide basis the frequency range 1920-1980 MHz (uplink)/2110-2170 MHz (downlink) has allocations as </w:t>
      </w:r>
      <w:r w:rsidR="000772CE">
        <w:t>shown in Table 1 below</w:t>
      </w:r>
      <w:r w:rsidR="005F63B2">
        <w:t>.</w:t>
      </w:r>
    </w:p>
    <w:p w14:paraId="304A4C06" w14:textId="5ABC29E3" w:rsidR="00381FB8" w:rsidRDefault="00B6289E" w:rsidP="003F7A0F">
      <w:pPr>
        <w:pStyle w:val="Caption"/>
      </w:pPr>
      <w:r>
        <w:t xml:space="preserve">Table 1: </w:t>
      </w:r>
      <w:r w:rsidR="00803356">
        <w:t xml:space="preserve">Allocations in the frequency ranges </w:t>
      </w:r>
      <w:r w:rsidR="00803356" w:rsidRPr="00803356">
        <w:t xml:space="preserve">1920-1980 MHz </w:t>
      </w:r>
      <w:r w:rsidR="00803356">
        <w:t xml:space="preserve">and </w:t>
      </w:r>
      <w:r w:rsidR="00803356" w:rsidRPr="00803356">
        <w:t>2110-2170 MHz</w:t>
      </w:r>
    </w:p>
    <w:tbl>
      <w:tblPr>
        <w:tblStyle w:val="ECCTable-redheader"/>
        <w:tblW w:w="9423" w:type="dxa"/>
        <w:tblInd w:w="0" w:type="dxa"/>
        <w:tblLayout w:type="fixed"/>
        <w:tblLook w:val="04A0" w:firstRow="1" w:lastRow="0" w:firstColumn="1" w:lastColumn="0" w:noHBand="0" w:noVBand="1"/>
      </w:tblPr>
      <w:tblGrid>
        <w:gridCol w:w="8"/>
        <w:gridCol w:w="3214"/>
        <w:gridCol w:w="3100"/>
        <w:gridCol w:w="3101"/>
      </w:tblGrid>
      <w:tr w:rsidR="00F6440B" w:rsidRPr="00F9251D" w14:paraId="5D115B47" w14:textId="77777777" w:rsidTr="004E2DD3">
        <w:trPr>
          <w:cnfStyle w:val="100000000000" w:firstRow="1" w:lastRow="0" w:firstColumn="0" w:lastColumn="0" w:oddVBand="0" w:evenVBand="0" w:oddHBand="0" w:evenHBand="0" w:firstRowFirstColumn="0" w:firstRowLastColumn="0" w:lastRowFirstColumn="0" w:lastRowLastColumn="0"/>
        </w:trPr>
        <w:tc>
          <w:tcPr>
            <w:tcW w:w="3222" w:type="dxa"/>
            <w:gridSpan w:val="2"/>
            <w:hideMark/>
          </w:tcPr>
          <w:p w14:paraId="4CDBDA32" w14:textId="77777777" w:rsidR="00F6440B" w:rsidRPr="00F6440B" w:rsidRDefault="00F6440B" w:rsidP="003F7A0F">
            <w:pPr>
              <w:pStyle w:val="ECCTabletext"/>
            </w:pPr>
            <w:r w:rsidRPr="00F6440B">
              <w:t>Region 1</w:t>
            </w:r>
          </w:p>
        </w:tc>
        <w:tc>
          <w:tcPr>
            <w:tcW w:w="3100" w:type="dxa"/>
            <w:hideMark/>
          </w:tcPr>
          <w:p w14:paraId="294E9F82" w14:textId="77777777" w:rsidR="00F6440B" w:rsidRPr="00F6440B" w:rsidRDefault="00F6440B" w:rsidP="003F7A0F">
            <w:pPr>
              <w:pStyle w:val="ECCTabletext"/>
            </w:pPr>
            <w:r w:rsidRPr="00F6440B">
              <w:t>Region 2</w:t>
            </w:r>
          </w:p>
        </w:tc>
        <w:tc>
          <w:tcPr>
            <w:tcW w:w="3101" w:type="dxa"/>
            <w:hideMark/>
          </w:tcPr>
          <w:p w14:paraId="484A14EB" w14:textId="77777777" w:rsidR="00F6440B" w:rsidRPr="00F6440B" w:rsidRDefault="00F6440B" w:rsidP="003F7A0F">
            <w:pPr>
              <w:pStyle w:val="ECCTabletext"/>
            </w:pPr>
            <w:r w:rsidRPr="00F6440B">
              <w:t>Region 3</w:t>
            </w:r>
          </w:p>
        </w:tc>
      </w:tr>
      <w:tr w:rsidR="00F6440B" w:rsidRPr="00F9251D" w14:paraId="7F6D7E69" w14:textId="77777777" w:rsidTr="004E2DD3">
        <w:tc>
          <w:tcPr>
            <w:tcW w:w="9423" w:type="dxa"/>
            <w:gridSpan w:val="4"/>
            <w:hideMark/>
          </w:tcPr>
          <w:p w14:paraId="7DE79FCF" w14:textId="223BC0CE" w:rsidR="00F6440B" w:rsidRPr="00F6440B" w:rsidRDefault="00F6440B" w:rsidP="004E2DD3">
            <w:pPr>
              <w:pStyle w:val="ECCTabletext"/>
            </w:pPr>
            <w:r w:rsidRPr="00F6440B">
              <w:t>1 710-1 930</w:t>
            </w:r>
            <w:r w:rsidRPr="00F6440B">
              <w:tab/>
            </w:r>
            <w:r w:rsidR="00085BC5" w:rsidRPr="00F6440B">
              <w:tab/>
            </w:r>
            <w:r w:rsidR="00085BC5" w:rsidRPr="00F6440B">
              <w:tab/>
            </w:r>
            <w:r w:rsidRPr="00F6440B">
              <w:t>FIXED</w:t>
            </w:r>
          </w:p>
          <w:p w14:paraId="39EAD36B" w14:textId="77777777" w:rsidR="00F6440B" w:rsidRPr="00F6440B" w:rsidRDefault="00F6440B" w:rsidP="004E2DD3">
            <w:pPr>
              <w:pStyle w:val="ECCTabletext"/>
            </w:pPr>
            <w:r w:rsidRPr="00F6440B">
              <w:tab/>
            </w:r>
            <w:r w:rsidRPr="00F6440B">
              <w:tab/>
            </w:r>
            <w:r w:rsidRPr="00F6440B">
              <w:tab/>
            </w:r>
            <w:r w:rsidRPr="00F6440B">
              <w:tab/>
              <w:t>MOBILE  5.384A  5.388  5.388A</w:t>
            </w:r>
          </w:p>
          <w:p w14:paraId="00BD763C" w14:textId="77777777" w:rsidR="00F6440B" w:rsidRPr="00F6440B" w:rsidRDefault="00F6440B" w:rsidP="004E2DD3">
            <w:pPr>
              <w:pStyle w:val="ECCTabletext"/>
            </w:pPr>
            <w:r w:rsidRPr="00F6440B">
              <w:tab/>
            </w:r>
            <w:r w:rsidRPr="00F6440B">
              <w:tab/>
            </w:r>
            <w:r w:rsidRPr="00F6440B">
              <w:tab/>
            </w:r>
            <w:r w:rsidRPr="00F6440B">
              <w:tab/>
              <w:t>5.149  5.341  5.385  5.386  5.387</w:t>
            </w:r>
          </w:p>
        </w:tc>
      </w:tr>
      <w:tr w:rsidR="00F6440B" w:rsidRPr="00F9251D" w14:paraId="4D026FC5" w14:textId="77777777" w:rsidTr="004E2DD3">
        <w:tc>
          <w:tcPr>
            <w:tcW w:w="3222" w:type="dxa"/>
            <w:gridSpan w:val="2"/>
            <w:hideMark/>
          </w:tcPr>
          <w:p w14:paraId="26977F34" w14:textId="77777777" w:rsidR="00F6440B" w:rsidRPr="00F6440B" w:rsidRDefault="00F6440B" w:rsidP="004E2DD3">
            <w:pPr>
              <w:pStyle w:val="ECCTabletext"/>
            </w:pPr>
            <w:r w:rsidRPr="00F6440B">
              <w:t>1 930-1 970</w:t>
            </w:r>
          </w:p>
          <w:p w14:paraId="1CF7B30D" w14:textId="77777777" w:rsidR="00F6440B" w:rsidRPr="00F6440B" w:rsidRDefault="00F6440B" w:rsidP="004E2DD3">
            <w:pPr>
              <w:pStyle w:val="ECCTabletext"/>
            </w:pPr>
            <w:r w:rsidRPr="00F6440B">
              <w:t>FIXED</w:t>
            </w:r>
          </w:p>
          <w:p w14:paraId="659CC64C" w14:textId="77777777" w:rsidR="00F6440B" w:rsidRPr="00F6440B" w:rsidRDefault="00F6440B" w:rsidP="004E2DD3">
            <w:pPr>
              <w:pStyle w:val="ECCTabletext"/>
            </w:pPr>
            <w:r w:rsidRPr="00F6440B">
              <w:t>MOBILE  5.388  5.388A</w:t>
            </w:r>
          </w:p>
        </w:tc>
        <w:tc>
          <w:tcPr>
            <w:tcW w:w="3100" w:type="dxa"/>
            <w:hideMark/>
          </w:tcPr>
          <w:p w14:paraId="4A7043E0" w14:textId="77777777" w:rsidR="00F6440B" w:rsidRPr="00F6440B" w:rsidRDefault="00F6440B" w:rsidP="004E2DD3">
            <w:pPr>
              <w:pStyle w:val="ECCTabletext"/>
            </w:pPr>
            <w:r w:rsidRPr="00F6440B">
              <w:t>1 930-1 970</w:t>
            </w:r>
          </w:p>
          <w:p w14:paraId="4FE8C24A" w14:textId="77777777" w:rsidR="00F6440B" w:rsidRPr="00F6440B" w:rsidRDefault="00F6440B" w:rsidP="004E2DD3">
            <w:pPr>
              <w:pStyle w:val="ECCTabletext"/>
            </w:pPr>
            <w:r w:rsidRPr="00F6440B">
              <w:t>FIXED</w:t>
            </w:r>
          </w:p>
          <w:p w14:paraId="2F726986" w14:textId="77777777" w:rsidR="00F6440B" w:rsidRPr="00F6440B" w:rsidRDefault="00F6440B" w:rsidP="004E2DD3">
            <w:pPr>
              <w:pStyle w:val="ECCTabletext"/>
            </w:pPr>
            <w:r w:rsidRPr="00F6440B">
              <w:t>MOBILE  5.388  5.388A</w:t>
            </w:r>
          </w:p>
          <w:p w14:paraId="53470EF2" w14:textId="77777777" w:rsidR="00F6440B" w:rsidRPr="00F6440B" w:rsidRDefault="00F6440B" w:rsidP="004E2DD3">
            <w:pPr>
              <w:pStyle w:val="ECCTabletext"/>
            </w:pPr>
            <w:r w:rsidRPr="00F6440B">
              <w:t>Mobile-satellite (Earth-to-space)</w:t>
            </w:r>
          </w:p>
        </w:tc>
        <w:tc>
          <w:tcPr>
            <w:tcW w:w="3101" w:type="dxa"/>
            <w:hideMark/>
          </w:tcPr>
          <w:p w14:paraId="68154EE0" w14:textId="77777777" w:rsidR="00F6440B" w:rsidRPr="00F6440B" w:rsidRDefault="00F6440B" w:rsidP="004E2DD3">
            <w:pPr>
              <w:pStyle w:val="ECCTabletext"/>
            </w:pPr>
            <w:r w:rsidRPr="00F6440B">
              <w:t>1 930-1 970</w:t>
            </w:r>
          </w:p>
          <w:p w14:paraId="147FD5F9" w14:textId="77777777" w:rsidR="00F6440B" w:rsidRPr="00F6440B" w:rsidRDefault="00F6440B" w:rsidP="004E2DD3">
            <w:pPr>
              <w:pStyle w:val="ECCTabletext"/>
            </w:pPr>
            <w:r w:rsidRPr="00F6440B">
              <w:t>FIXED</w:t>
            </w:r>
          </w:p>
          <w:p w14:paraId="074068D5" w14:textId="77777777" w:rsidR="00F6440B" w:rsidRPr="00F6440B" w:rsidRDefault="00F6440B" w:rsidP="004E2DD3">
            <w:pPr>
              <w:pStyle w:val="ECCTabletext"/>
            </w:pPr>
            <w:r w:rsidRPr="00F6440B">
              <w:t>MOBILE  5.388  5.388A</w:t>
            </w:r>
          </w:p>
        </w:tc>
      </w:tr>
      <w:tr w:rsidR="00F6440B" w:rsidRPr="00F9251D" w14:paraId="4A8E9E02" w14:textId="77777777" w:rsidTr="004E2DD3">
        <w:tc>
          <w:tcPr>
            <w:tcW w:w="9423" w:type="dxa"/>
            <w:gridSpan w:val="4"/>
            <w:hideMark/>
          </w:tcPr>
          <w:p w14:paraId="7186C1D7" w14:textId="62C27920" w:rsidR="00F6440B" w:rsidRPr="00F6440B" w:rsidRDefault="00F6440B" w:rsidP="004E2DD3">
            <w:pPr>
              <w:pStyle w:val="ECCTabletext"/>
            </w:pPr>
            <w:r w:rsidRPr="00F6440B">
              <w:t>1 970-1 980</w:t>
            </w:r>
            <w:r w:rsidRPr="00F6440B">
              <w:tab/>
            </w:r>
            <w:r w:rsidR="00085BC5" w:rsidRPr="00F6440B">
              <w:tab/>
            </w:r>
            <w:r w:rsidR="00085BC5" w:rsidRPr="00F6440B">
              <w:tab/>
            </w:r>
            <w:r w:rsidRPr="00F6440B">
              <w:t>FIXED</w:t>
            </w:r>
          </w:p>
          <w:p w14:paraId="59C736D0" w14:textId="77777777" w:rsidR="00F6440B" w:rsidRPr="00F6440B" w:rsidRDefault="00F6440B" w:rsidP="004E2DD3">
            <w:pPr>
              <w:pStyle w:val="ECCTabletext"/>
            </w:pPr>
            <w:r w:rsidRPr="00F6440B">
              <w:tab/>
            </w:r>
            <w:r w:rsidRPr="00F6440B">
              <w:tab/>
            </w:r>
            <w:r w:rsidRPr="00F6440B">
              <w:tab/>
            </w:r>
            <w:r w:rsidRPr="00F6440B">
              <w:tab/>
              <w:t>MOBILE  5.388  5.388A</w:t>
            </w:r>
          </w:p>
        </w:tc>
      </w:tr>
      <w:tr w:rsidR="00F6440B" w:rsidRPr="00F9251D" w14:paraId="4DA99438" w14:textId="77777777" w:rsidTr="004E2DD3">
        <w:tc>
          <w:tcPr>
            <w:tcW w:w="9423" w:type="dxa"/>
            <w:gridSpan w:val="4"/>
            <w:hideMark/>
          </w:tcPr>
          <w:p w14:paraId="5C508166" w14:textId="0D58F2C8" w:rsidR="00F6440B" w:rsidRPr="00F6440B" w:rsidRDefault="00F6440B" w:rsidP="004E2DD3">
            <w:pPr>
              <w:pStyle w:val="ECCTabletext"/>
            </w:pPr>
            <w:r w:rsidRPr="00F6440B">
              <w:t>2 110-2 120</w:t>
            </w:r>
            <w:r w:rsidRPr="00F6440B">
              <w:tab/>
            </w:r>
            <w:r w:rsidR="00085BC5" w:rsidRPr="00F6440B">
              <w:tab/>
            </w:r>
            <w:r w:rsidR="00085BC5" w:rsidRPr="00F6440B">
              <w:tab/>
            </w:r>
            <w:r w:rsidRPr="00F6440B">
              <w:t>FIXED</w:t>
            </w:r>
          </w:p>
          <w:p w14:paraId="17811B9F" w14:textId="77777777" w:rsidR="00F6440B" w:rsidRPr="00F6440B" w:rsidRDefault="00F6440B" w:rsidP="004E2DD3">
            <w:pPr>
              <w:pStyle w:val="ECCTabletext"/>
            </w:pPr>
            <w:r w:rsidRPr="00F6440B">
              <w:tab/>
            </w:r>
            <w:r w:rsidRPr="00F6440B">
              <w:tab/>
            </w:r>
            <w:r w:rsidRPr="00F6440B">
              <w:tab/>
            </w:r>
            <w:r w:rsidRPr="00F6440B">
              <w:tab/>
              <w:t>MOBILE  5.388  5.388A</w:t>
            </w:r>
          </w:p>
          <w:p w14:paraId="4F0D5603" w14:textId="60448AEF" w:rsidR="00F6440B" w:rsidRPr="00F6440B" w:rsidRDefault="00F6440B" w:rsidP="004E2DD3">
            <w:pPr>
              <w:pStyle w:val="ECCTabletext"/>
            </w:pPr>
            <w:r w:rsidRPr="00F6440B">
              <w:tab/>
            </w:r>
            <w:r w:rsidRPr="00F6440B">
              <w:tab/>
            </w:r>
            <w:r w:rsidRPr="00F6440B">
              <w:tab/>
            </w:r>
            <w:r w:rsidRPr="00F6440B">
              <w:tab/>
              <w:t>SPACE RESEARCH (deep space) (Earth-to-space)</w:t>
            </w:r>
          </w:p>
        </w:tc>
      </w:tr>
      <w:tr w:rsidR="00F6440B" w:rsidRPr="00F9251D" w14:paraId="3D866760" w14:textId="77777777" w:rsidTr="004E2DD3">
        <w:trPr>
          <w:gridBefore w:val="1"/>
          <w:wBefore w:w="8" w:type="dxa"/>
        </w:trPr>
        <w:tc>
          <w:tcPr>
            <w:tcW w:w="3214" w:type="dxa"/>
            <w:hideMark/>
          </w:tcPr>
          <w:p w14:paraId="7DA80E18" w14:textId="77777777" w:rsidR="00F6440B" w:rsidRPr="00F6440B" w:rsidRDefault="00F6440B" w:rsidP="004E2DD3">
            <w:pPr>
              <w:pStyle w:val="ECCTabletext"/>
            </w:pPr>
            <w:r w:rsidRPr="00F6440B">
              <w:lastRenderedPageBreak/>
              <w:t>2 120-2 160</w:t>
            </w:r>
          </w:p>
          <w:p w14:paraId="3331A22F" w14:textId="77777777" w:rsidR="00F6440B" w:rsidRPr="00F6440B" w:rsidRDefault="00F6440B" w:rsidP="004E2DD3">
            <w:pPr>
              <w:pStyle w:val="ECCTabletext"/>
            </w:pPr>
            <w:r w:rsidRPr="00F6440B">
              <w:t>FIXED</w:t>
            </w:r>
          </w:p>
          <w:p w14:paraId="1227BB78" w14:textId="77777777" w:rsidR="00F6440B" w:rsidRPr="00F6440B" w:rsidRDefault="00F6440B" w:rsidP="004E2DD3">
            <w:pPr>
              <w:pStyle w:val="ECCTabletext"/>
            </w:pPr>
            <w:r w:rsidRPr="00F6440B">
              <w:t>MOBILE  5.388  5.388A</w:t>
            </w:r>
          </w:p>
        </w:tc>
        <w:tc>
          <w:tcPr>
            <w:tcW w:w="3100" w:type="dxa"/>
            <w:hideMark/>
          </w:tcPr>
          <w:p w14:paraId="194FAEA2" w14:textId="77777777" w:rsidR="00F6440B" w:rsidRPr="00F6440B" w:rsidRDefault="00F6440B" w:rsidP="004E2DD3">
            <w:pPr>
              <w:pStyle w:val="ECCTabletext"/>
            </w:pPr>
            <w:r w:rsidRPr="00F6440B">
              <w:t>2 120-2 160</w:t>
            </w:r>
          </w:p>
          <w:p w14:paraId="20EB2DA2" w14:textId="77777777" w:rsidR="00F6440B" w:rsidRPr="00F6440B" w:rsidRDefault="00F6440B" w:rsidP="004E2DD3">
            <w:pPr>
              <w:pStyle w:val="ECCTabletext"/>
            </w:pPr>
            <w:r w:rsidRPr="00F6440B">
              <w:t>FIXED</w:t>
            </w:r>
          </w:p>
          <w:p w14:paraId="79425CD7" w14:textId="77777777" w:rsidR="00F6440B" w:rsidRPr="00F6440B" w:rsidRDefault="00F6440B" w:rsidP="004E2DD3">
            <w:pPr>
              <w:pStyle w:val="ECCTabletext"/>
            </w:pPr>
            <w:r w:rsidRPr="00F6440B">
              <w:t>MOBILE  5.388  5.388A</w:t>
            </w:r>
          </w:p>
          <w:p w14:paraId="01F09EC4" w14:textId="77777777" w:rsidR="00F6440B" w:rsidRPr="00F6440B" w:rsidRDefault="00F6440B" w:rsidP="004E2DD3">
            <w:pPr>
              <w:pStyle w:val="ECCTabletext"/>
            </w:pPr>
            <w:r w:rsidRPr="00F6440B">
              <w:t>Mobile-satellite (space-to-Earth)</w:t>
            </w:r>
          </w:p>
        </w:tc>
        <w:tc>
          <w:tcPr>
            <w:tcW w:w="3101" w:type="dxa"/>
            <w:hideMark/>
          </w:tcPr>
          <w:p w14:paraId="07078605" w14:textId="77777777" w:rsidR="00F6440B" w:rsidRPr="00F6440B" w:rsidRDefault="00F6440B" w:rsidP="004E2DD3">
            <w:pPr>
              <w:pStyle w:val="ECCTabletext"/>
            </w:pPr>
            <w:r w:rsidRPr="00F6440B">
              <w:t>2 120-2 160</w:t>
            </w:r>
          </w:p>
          <w:p w14:paraId="46AD25DD" w14:textId="77777777" w:rsidR="00F6440B" w:rsidRPr="00F6440B" w:rsidRDefault="00F6440B" w:rsidP="004E2DD3">
            <w:pPr>
              <w:pStyle w:val="ECCTabletext"/>
            </w:pPr>
            <w:r w:rsidRPr="00F6440B">
              <w:t>FIXED</w:t>
            </w:r>
          </w:p>
          <w:p w14:paraId="7B927B05" w14:textId="77777777" w:rsidR="00F6440B" w:rsidRPr="00F6440B" w:rsidRDefault="00F6440B" w:rsidP="004E2DD3">
            <w:pPr>
              <w:pStyle w:val="ECCTabletext"/>
            </w:pPr>
            <w:r w:rsidRPr="00F6440B">
              <w:t>MOBILE  5.388  5.388A</w:t>
            </w:r>
          </w:p>
        </w:tc>
      </w:tr>
      <w:tr w:rsidR="00F6440B" w:rsidRPr="00F9251D" w14:paraId="51068FC4" w14:textId="77777777" w:rsidTr="004E2DD3">
        <w:trPr>
          <w:gridBefore w:val="1"/>
          <w:wBefore w:w="8" w:type="dxa"/>
          <w:trHeight w:val="1249"/>
        </w:trPr>
        <w:tc>
          <w:tcPr>
            <w:tcW w:w="3214" w:type="dxa"/>
          </w:tcPr>
          <w:p w14:paraId="6838B1C1" w14:textId="77777777" w:rsidR="00F6440B" w:rsidRPr="00F6440B" w:rsidRDefault="00F6440B" w:rsidP="004E2DD3">
            <w:pPr>
              <w:pStyle w:val="ECCTabletext"/>
            </w:pPr>
            <w:r w:rsidRPr="00F6440B">
              <w:t>2 160-2 170</w:t>
            </w:r>
          </w:p>
          <w:p w14:paraId="620817D2" w14:textId="77777777" w:rsidR="00F6440B" w:rsidRPr="00F6440B" w:rsidRDefault="00F6440B" w:rsidP="004E2DD3">
            <w:pPr>
              <w:pStyle w:val="ECCTabletext"/>
            </w:pPr>
            <w:r w:rsidRPr="00F6440B">
              <w:t>FIXED</w:t>
            </w:r>
          </w:p>
          <w:p w14:paraId="6B86C3E7" w14:textId="77777777" w:rsidR="00F6440B" w:rsidRPr="00F6440B" w:rsidRDefault="00F6440B" w:rsidP="004E2DD3">
            <w:pPr>
              <w:pStyle w:val="ECCTabletext"/>
            </w:pPr>
            <w:r w:rsidRPr="00F6440B">
              <w:t>MOBILE  5.388  5.388A</w:t>
            </w:r>
          </w:p>
        </w:tc>
        <w:tc>
          <w:tcPr>
            <w:tcW w:w="3100" w:type="dxa"/>
          </w:tcPr>
          <w:p w14:paraId="2C167559" w14:textId="77777777" w:rsidR="00F6440B" w:rsidRPr="00F6440B" w:rsidRDefault="00F6440B" w:rsidP="004E2DD3">
            <w:pPr>
              <w:pStyle w:val="ECCTabletext"/>
            </w:pPr>
            <w:r w:rsidRPr="00F6440B">
              <w:t>2 160-2 170</w:t>
            </w:r>
          </w:p>
          <w:p w14:paraId="74A097B1" w14:textId="77777777" w:rsidR="00F6440B" w:rsidRPr="00F6440B" w:rsidRDefault="00F6440B" w:rsidP="004E2DD3">
            <w:pPr>
              <w:pStyle w:val="ECCTabletext"/>
            </w:pPr>
            <w:r w:rsidRPr="00F6440B">
              <w:t>FIXED</w:t>
            </w:r>
          </w:p>
          <w:p w14:paraId="4FE862A0" w14:textId="77777777" w:rsidR="00F6440B" w:rsidRPr="00F6440B" w:rsidRDefault="00F6440B" w:rsidP="004E2DD3">
            <w:pPr>
              <w:pStyle w:val="ECCTabletext"/>
            </w:pPr>
            <w:r w:rsidRPr="00F6440B">
              <w:t xml:space="preserve">MOBILE  5.388  </w:t>
            </w:r>
          </w:p>
          <w:p w14:paraId="211C81BF" w14:textId="77777777" w:rsidR="00F6440B" w:rsidRPr="00F6440B" w:rsidRDefault="00F6440B" w:rsidP="004E2DD3">
            <w:pPr>
              <w:pStyle w:val="ECCTabletext"/>
            </w:pPr>
            <w:r w:rsidRPr="00F6440B">
              <w:t>MOBILE-SATELLITE</w:t>
            </w:r>
            <w:r w:rsidRPr="00F6440B">
              <w:br/>
              <w:t>(space-to-Earth)</w:t>
            </w:r>
          </w:p>
        </w:tc>
        <w:tc>
          <w:tcPr>
            <w:tcW w:w="3101" w:type="dxa"/>
          </w:tcPr>
          <w:p w14:paraId="5DAA4C42" w14:textId="77777777" w:rsidR="00F6440B" w:rsidRPr="00F6440B" w:rsidRDefault="00F6440B" w:rsidP="004E2DD3">
            <w:pPr>
              <w:pStyle w:val="ECCTabletext"/>
            </w:pPr>
            <w:r w:rsidRPr="00F6440B">
              <w:t>2 160-2 170</w:t>
            </w:r>
          </w:p>
          <w:p w14:paraId="693C71F1" w14:textId="77777777" w:rsidR="00F6440B" w:rsidRPr="00F6440B" w:rsidRDefault="00F6440B" w:rsidP="004E2DD3">
            <w:pPr>
              <w:pStyle w:val="ECCTabletext"/>
            </w:pPr>
            <w:r w:rsidRPr="00F6440B">
              <w:t>FIXED</w:t>
            </w:r>
          </w:p>
          <w:p w14:paraId="4EEC0EF4" w14:textId="77777777" w:rsidR="00F6440B" w:rsidRPr="00F6440B" w:rsidRDefault="00F6440B" w:rsidP="004E2DD3">
            <w:pPr>
              <w:pStyle w:val="ECCTabletext"/>
            </w:pPr>
            <w:r w:rsidRPr="00F6440B">
              <w:t>MOBILE  5.388  5.388A</w:t>
            </w:r>
          </w:p>
        </w:tc>
      </w:tr>
    </w:tbl>
    <w:p w14:paraId="1EADBB79" w14:textId="3C64BC01" w:rsidR="00C36988" w:rsidRDefault="00F6440B" w:rsidP="00C16EBB">
      <w:r w:rsidRPr="00F6440B">
        <w:t>In CEPT, the frequency band 21</w:t>
      </w:r>
      <w:r w:rsidR="004C75E2">
        <w:t>1</w:t>
      </w:r>
      <w:r w:rsidRPr="00F6440B">
        <w:t>0-2170 MHz is harmonised</w:t>
      </w:r>
      <w:r w:rsidR="003C41C9">
        <w:t xml:space="preserve"> (ECC</w:t>
      </w:r>
      <w:r w:rsidR="00801F0D">
        <w:t xml:space="preserve"> </w:t>
      </w:r>
      <w:r w:rsidR="003C41C9">
        <w:t>D</w:t>
      </w:r>
      <w:r w:rsidR="00801F0D">
        <w:t xml:space="preserve">ecision </w:t>
      </w:r>
      <w:r w:rsidR="003C41C9">
        <w:t xml:space="preserve">(06)01 and </w:t>
      </w:r>
      <w:r w:rsidR="00155F1F" w:rsidRPr="00155F1F">
        <w:t>Decision (EU)</w:t>
      </w:r>
      <w:r w:rsidR="00155F1F">
        <w:t xml:space="preserve"> </w:t>
      </w:r>
      <w:r w:rsidR="003C41C9">
        <w:t xml:space="preserve">2012/688 as amended) </w:t>
      </w:r>
      <w:r w:rsidRPr="00F6440B">
        <w:t>and widely used for IMT mobile networks</w:t>
      </w:r>
      <w:r>
        <w:t xml:space="preserve"> </w:t>
      </w:r>
      <w:r w:rsidRPr="00F6440B">
        <w:t>with extensive deployment</w:t>
      </w:r>
      <w:r>
        <w:t xml:space="preserve">. Therefore, the protection of these usages </w:t>
      </w:r>
      <w:r w:rsidR="008D60B7">
        <w:t>is</w:t>
      </w:r>
      <w:r>
        <w:t xml:space="preserve"> in the main focus of CEPT’s consideration.</w:t>
      </w:r>
    </w:p>
    <w:p w14:paraId="56B9D679" w14:textId="5FD0E373" w:rsidR="00F34C06" w:rsidRPr="00F34C06" w:rsidRDefault="00F34C06" w:rsidP="00F34C06">
      <w:r w:rsidRPr="00F34C06">
        <w:t>In many costal states mobile coverage from land based base stations provides voice and data services to vessels sailing along the coast as far out as 70-120 km. This mobile coverage also provides an important safety service, in addition to the recognized safety services at sea. A degradation of the coverage area at sea provided by land based base stations will have an impact on the availability of cost-efficient non-satellite-based data service for vessels sailing along the coast.</w:t>
      </w:r>
    </w:p>
    <w:p w14:paraId="3265B48D" w14:textId="7CF0EABE" w:rsidR="00F34C06" w:rsidRPr="00F34C06" w:rsidRDefault="00F34C06" w:rsidP="00F34C06">
      <w:r w:rsidRPr="00F34C06">
        <w:t xml:space="preserve">Over decades the mobile operators have provided mobile services to the oil rigs and fast-growing wind farms operators within the territorial waters (12 nm) and Exclusive Economic Zone (EEZ) (up to 200 nm). They have developed advanced telecommunications solutions in cooperation with and as a response to the requirements set out by these verticals. </w:t>
      </w:r>
    </w:p>
    <w:p w14:paraId="02CC61D7" w14:textId="77777777" w:rsidR="00F34C06" w:rsidRPr="00F34C06" w:rsidRDefault="00F34C06" w:rsidP="00F34C06">
      <w:r w:rsidRPr="00F34C06">
        <w:t>These services are possible due to authorisations given by the coastal administrations. It is not clear if mobile services offshore can achieve an international recognition in ITU, and no current studies related to the implementation of the mobile-satellite service for direct connectivity to the IMT user equipment takes into consideration the impact it may have on the existing and planned mobile networks in EEZ.</w:t>
      </w:r>
    </w:p>
    <w:p w14:paraId="75D215B2" w14:textId="77777777" w:rsidR="00F34C06" w:rsidRPr="00F34C06" w:rsidRDefault="00F34C06" w:rsidP="00F34C06">
      <w:r w:rsidRPr="00F34C06">
        <w:rPr>
          <w:rStyle w:val="ECCParagraph"/>
        </w:rPr>
        <w:t>Also, CEPT and EU have harmonized the use of IMT in various bands onboard vessels (ECC Decision (08)08 and Decision (EU) 2024/340). IMT onboard vessels are widely used onboard ships within EEZ and international waters under the flag state principle.</w:t>
      </w:r>
    </w:p>
    <w:p w14:paraId="40370812" w14:textId="4056B0DC" w:rsidR="003C41C9" w:rsidRDefault="003C41C9" w:rsidP="00895981">
      <w:pPr>
        <w:pStyle w:val="ECCFigure"/>
      </w:pPr>
      <w:r w:rsidRPr="003C41C9">
        <w:rPr>
          <w:noProof/>
          <w:lang w:eastAsia="de-DE"/>
        </w:rPr>
        <w:lastRenderedPageBreak/>
        <mc:AlternateContent>
          <mc:Choice Requires="wps">
            <w:drawing>
              <wp:anchor distT="0" distB="0" distL="114300" distR="114300" simplePos="0" relativeHeight="251659264" behindDoc="0" locked="0" layoutInCell="1" allowOverlap="1" wp14:anchorId="1A3D7056" wp14:editId="7C9193F3">
                <wp:simplePos x="0" y="0"/>
                <wp:positionH relativeFrom="column">
                  <wp:posOffset>70312</wp:posOffset>
                </wp:positionH>
                <wp:positionV relativeFrom="paragraph">
                  <wp:posOffset>1469390</wp:posOffset>
                </wp:positionV>
                <wp:extent cx="914400" cy="443175"/>
                <wp:effectExtent l="0" t="0" r="0" b="0"/>
                <wp:wrapNone/>
                <wp:docPr id="296272179" name="Tekstboks 3"/>
                <wp:cNvGraphicFramePr/>
                <a:graphic xmlns:a="http://schemas.openxmlformats.org/drawingml/2006/main">
                  <a:graphicData uri="http://schemas.microsoft.com/office/word/2010/wordprocessingShape">
                    <wps:wsp>
                      <wps:cNvSpPr txBox="1"/>
                      <wps:spPr>
                        <a:xfrm>
                          <a:off x="0" y="0"/>
                          <a:ext cx="914400" cy="443175"/>
                        </a:xfrm>
                        <a:prstGeom prst="rect">
                          <a:avLst/>
                        </a:prstGeom>
                        <a:noFill/>
                        <a:ln w="6350">
                          <a:noFill/>
                        </a:ln>
                      </wps:spPr>
                      <wps:txbx>
                        <w:txbxContent>
                          <w:p w14:paraId="3D43DDC6" w14:textId="77777777" w:rsidR="003C41C9" w:rsidRPr="00883330" w:rsidRDefault="003C41C9" w:rsidP="003C41C9">
                            <w:pPr>
                              <w:rPr>
                                <w:b/>
                                <w:bCs/>
                              </w:rPr>
                            </w:pPr>
                            <w:r w:rsidRPr="00883330">
                              <w:rPr>
                                <w:b/>
                                <w:bCs/>
                              </w:rPr>
                              <w:t>EEZ / Offshore</w:t>
                            </w:r>
                            <w:r>
                              <w:rPr>
                                <w:b/>
                                <w:bCs/>
                              </w:rPr>
                              <w:t xml:space="preserve"> / International Waters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type w14:anchorId="1A3D7056" id="_x0000_t202" coordsize="21600,21600" o:spt="202" path="m,l,21600r21600,l21600,xe">
                <v:stroke joinstyle="miter"/>
                <v:path gradientshapeok="t" o:connecttype="rect"/>
              </v:shapetype>
              <v:shape id="Tekstboks 3" o:spid="_x0000_s1026" type="#_x0000_t202" style="position:absolute;left:0;text-align:left;margin-left:5.55pt;margin-top:115.7pt;width:1in;height:34.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" filled="f" stroked="f" strokeweight=".5pt">
                <v:textbox>
                  <w:txbxContent>
                    <w:p w14:paraId="3D43DDC6" w14:textId="77777777" w:rsidR="003C41C9" w:rsidRPr="00883330" w:rsidRDefault="003C41C9" w:rsidP="003C41C9">
                      <w:pPr>
                        <w:rPr>
                          <w:b/>
                          <w:bCs/>
                        </w:rPr>
                      </w:pPr>
                      <w:r w:rsidRPr="00883330">
                        <w:rPr>
                          <w:b/>
                          <w:bCs/>
                        </w:rPr>
                        <w:t>EEZ / Offshore</w:t>
                      </w:r>
                      <w:r>
                        <w:rPr>
                          <w:b/>
                          <w:bCs/>
                        </w:rPr>
                        <w:t xml:space="preserve"> / International Waters</w:t>
                      </w:r>
                    </w:p>
                  </w:txbxContent>
                </v:textbox>
              </v:shape>
            </w:pict>
          </mc:Fallback>
        </mc:AlternateContent>
      </w:r>
      <w:r w:rsidR="00895981" w:rsidRPr="003C41C9">
        <w:rPr>
          <w:noProof/>
          <w:lang w:eastAsia="de-DE"/>
        </w:rPr>
        <mc:AlternateContent>
          <mc:Choice Requires="wps">
            <w:drawing>
              <wp:anchor distT="0" distB="0" distL="114300" distR="114300" simplePos="0" relativeHeight="251662336" behindDoc="0" locked="0" layoutInCell="1" allowOverlap="1" wp14:anchorId="458533F0" wp14:editId="3E790328">
                <wp:simplePos x="0" y="0"/>
                <wp:positionH relativeFrom="column">
                  <wp:posOffset>2235115</wp:posOffset>
                </wp:positionH>
                <wp:positionV relativeFrom="paragraph">
                  <wp:posOffset>661261</wp:posOffset>
                </wp:positionV>
                <wp:extent cx="914400" cy="443175"/>
                <wp:effectExtent l="0" t="0" r="0" b="0"/>
                <wp:wrapNone/>
                <wp:docPr id="1965433950" name="Tekstboks 3"/>
                <wp:cNvGraphicFramePr/>
                <a:graphic xmlns:a="http://schemas.openxmlformats.org/drawingml/2006/main">
                  <a:graphicData uri="http://schemas.microsoft.com/office/word/2010/wordprocessingShape">
                    <wps:wsp>
                      <wps:cNvSpPr txBox="1"/>
                      <wps:spPr>
                        <a:xfrm>
                          <a:off x="0" y="0"/>
                          <a:ext cx="914400" cy="443175"/>
                        </a:xfrm>
                        <a:prstGeom prst="rect">
                          <a:avLst/>
                        </a:prstGeom>
                        <a:noFill/>
                        <a:ln w="6350">
                          <a:noFill/>
                        </a:ln>
                      </wps:spPr>
                      <wps:txbx>
                        <w:txbxContent>
                          <w:p w14:paraId="60423372" w14:textId="77777777" w:rsidR="003C41C9" w:rsidRPr="00883330" w:rsidRDefault="003C41C9" w:rsidP="003C41C9">
                            <w:pPr>
                              <w:rPr>
                                <w:b/>
                                <w:bCs/>
                              </w:rPr>
                            </w:pPr>
                            <w:r>
                              <w:rPr>
                                <w:b/>
                                <w:bCs/>
                              </w:rPr>
                              <w:t>12 nm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458533F0" id="_x0000_s1027" type="#_x0000_t202" style="position:absolute;left:0;text-align:left;margin-left:176pt;margin-top:52.05pt;width:1in;height:34.9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" filled="f" stroked="f" strokeweight=".5pt">
                <v:textbox>
                  <w:txbxContent>
                    <w:p w14:paraId="60423372" w14:textId="77777777" w:rsidR="003C41C9" w:rsidRPr="00883330" w:rsidRDefault="003C41C9" w:rsidP="003C41C9">
                      <w:pPr>
                        <w:rPr>
                          <w:b/>
                          <w:bCs/>
                        </w:rPr>
                      </w:pPr>
                      <w:r>
                        <w:rPr>
                          <w:b/>
                          <w:bCs/>
                        </w:rPr>
                        <w:t>12 nm</w:t>
                      </w:r>
                    </w:p>
                  </w:txbxContent>
                </v:textbox>
              </v:shape>
            </w:pict>
          </mc:Fallback>
        </mc:AlternateContent>
      </w:r>
      <w:r w:rsidRPr="003C41C9">
        <w:rPr>
          <w:noProof/>
          <w:lang w:eastAsia="de-DE"/>
        </w:rPr>
        <mc:AlternateContent>
          <mc:Choice Requires="wps">
            <w:drawing>
              <wp:anchor distT="0" distB="0" distL="114300" distR="114300" simplePos="0" relativeHeight="251661312" behindDoc="0" locked="0" layoutInCell="1" allowOverlap="1" wp14:anchorId="3505EAF7" wp14:editId="18968870">
                <wp:simplePos x="0" y="0"/>
                <wp:positionH relativeFrom="column">
                  <wp:posOffset>4463509</wp:posOffset>
                </wp:positionH>
                <wp:positionV relativeFrom="paragraph">
                  <wp:posOffset>1200501</wp:posOffset>
                </wp:positionV>
                <wp:extent cx="914400" cy="443175"/>
                <wp:effectExtent l="0" t="0" r="0" b="0"/>
                <wp:wrapNone/>
                <wp:docPr id="2097129433" name="Tekstboks 3"/>
                <wp:cNvGraphicFramePr/>
                <a:graphic xmlns:a="http://schemas.openxmlformats.org/drawingml/2006/main">
                  <a:graphicData uri="http://schemas.microsoft.com/office/word/2010/wordprocessingShape">
                    <wps:wsp>
                      <wps:cNvSpPr txBox="1"/>
                      <wps:spPr>
                        <a:xfrm>
                          <a:off x="0" y="0"/>
                          <a:ext cx="914400" cy="443175"/>
                        </a:xfrm>
                        <a:prstGeom prst="rect">
                          <a:avLst/>
                        </a:prstGeom>
                        <a:noFill/>
                        <a:ln w="6350">
                          <a:noFill/>
                        </a:ln>
                      </wps:spPr>
                      <wps:txbx>
                        <w:txbxContent>
                          <w:p w14:paraId="67EBE374" w14:textId="77777777" w:rsidR="003C41C9" w:rsidRPr="00883330" w:rsidRDefault="003C41C9" w:rsidP="003C41C9">
                            <w:pPr>
                              <w:rPr>
                                <w:b/>
                                <w:bCs/>
                              </w:rPr>
                            </w:pPr>
                            <w:r>
                              <w:rPr>
                                <w:b/>
                                <w:bCs/>
                              </w:rPr>
                              <w:t>Land area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505EAF7" id="_x0000_s1028" type="#_x0000_t202" style="position:absolute;left:0;text-align:left;margin-left:351.45pt;margin-top:94.55pt;width:1in;height:34.9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" filled="f" stroked="f" strokeweight=".5pt">
                <v:textbox>
                  <w:txbxContent>
                    <w:p w14:paraId="67EBE374" w14:textId="77777777" w:rsidR="003C41C9" w:rsidRPr="00883330" w:rsidRDefault="003C41C9" w:rsidP="003C41C9">
                      <w:pPr>
                        <w:rPr>
                          <w:b/>
                          <w:bCs/>
                        </w:rPr>
                      </w:pPr>
                      <w:r>
                        <w:rPr>
                          <w:b/>
                          <w:bCs/>
                        </w:rPr>
                        <w:t>Land area</w:t>
                      </w:r>
                    </w:p>
                  </w:txbxContent>
                </v:textbox>
              </v:shape>
            </w:pict>
          </mc:Fallback>
        </mc:AlternateContent>
      </w:r>
      <w:r w:rsidR="00895981" w:rsidRPr="003C41C9">
        <w:rPr>
          <w:noProof/>
          <w:lang w:eastAsia="de-DE"/>
        </w:rPr>
        <mc:AlternateContent>
          <mc:Choice Requires="wps">
            <w:drawing>
              <wp:anchor distT="0" distB="0" distL="114300" distR="114300" simplePos="0" relativeHeight="251660288" behindDoc="0" locked="0" layoutInCell="1" allowOverlap="1" wp14:anchorId="7666AD60" wp14:editId="07CD4C62">
                <wp:simplePos x="0" y="0"/>
                <wp:positionH relativeFrom="margin">
                  <wp:align>center</wp:align>
                </wp:positionH>
                <wp:positionV relativeFrom="paragraph">
                  <wp:posOffset>1256217</wp:posOffset>
                </wp:positionV>
                <wp:extent cx="914400" cy="443175"/>
                <wp:effectExtent l="0" t="0" r="0" b="0"/>
                <wp:wrapNone/>
                <wp:docPr id="1040393368" name="Tekstboks 3"/>
                <wp:cNvGraphicFramePr/>
                <a:graphic xmlns:a="http://schemas.openxmlformats.org/drawingml/2006/main">
                  <a:graphicData uri="http://schemas.microsoft.com/office/word/2010/wordprocessingShape">
                    <wps:wsp>
                      <wps:cNvSpPr txBox="1"/>
                      <wps:spPr>
                        <a:xfrm>
                          <a:off x="0" y="0"/>
                          <a:ext cx="914400" cy="443175"/>
                        </a:xfrm>
                        <a:prstGeom prst="rect">
                          <a:avLst/>
                        </a:prstGeom>
                        <a:noFill/>
                        <a:ln w="6350">
                          <a:noFill/>
                        </a:ln>
                      </wps:spPr>
                      <wps:txbx>
                        <w:txbxContent>
                          <w:p w14:paraId="12792248" w14:textId="77777777" w:rsidR="003C41C9" w:rsidRPr="00883330" w:rsidRDefault="003C41C9" w:rsidP="003C41C9">
                            <w:pPr>
                              <w:rPr>
                                <w:b/>
                                <w:bCs/>
                              </w:rPr>
                            </w:pPr>
                            <w:r>
                              <w:rPr>
                                <w:b/>
                                <w:bCs/>
                              </w:rPr>
                              <w:t>Territorial waters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7666AD60" id="_x0000_s1029" type="#_x0000_t202" style="position:absolute;left:0;text-align:left;margin-left:0;margin-top:98.9pt;width:1in;height:34.9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" filled="f" stroked="f" strokeweight=".5pt">
                <v:textbox>
                  <w:txbxContent>
                    <w:p w14:paraId="12792248" w14:textId="77777777" w:rsidR="003C41C9" w:rsidRPr="00883330" w:rsidRDefault="003C41C9" w:rsidP="003C41C9">
                      <w:pPr>
                        <w:rPr>
                          <w:b/>
                          <w:bCs/>
                        </w:rPr>
                      </w:pPr>
                      <w:r>
                        <w:rPr>
                          <w:b/>
                          <w:bCs/>
                        </w:rPr>
                        <w:t>Territorial waters</w:t>
                      </w:r>
                    </w:p>
                  </w:txbxContent>
                </v:textbox>
                <w10:wrap anchorx="margin"/>
              </v:shape>
            </w:pict>
          </mc:Fallback>
        </mc:AlternateContent>
      </w:r>
      <w:r w:rsidRPr="003C41C9">
        <w:rPr>
          <w:noProof/>
          <w:lang w:eastAsia="de-DE"/>
        </w:rPr>
        <w:drawing>
          <wp:inline distT="0" distB="0" distL="0" distR="0" wp14:anchorId="5A03547E" wp14:editId="4CCD5E1C">
            <wp:extent cx="6120765" cy="3294380"/>
            <wp:effectExtent l="0" t="0" r="0" b="1270"/>
            <wp:docPr id="130194218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42189" name=""/>
                    <pic:cNvPicPr/>
                  </pic:nvPicPr>
                  <pic:blipFill>
                    <a:blip r:embed="rId12"/>
                    <a:stretch>
                      <a:fillRect/>
                    </a:stretch>
                  </pic:blipFill>
                  <pic:spPr>
                    <a:xfrm>
                      <a:off x="0" y="0"/>
                      <a:ext cx="6120765" cy="3294380"/>
                    </a:xfrm>
                    <a:prstGeom prst="rect">
                      <a:avLst/>
                    </a:prstGeom>
                  </pic:spPr>
                </pic:pic>
              </a:graphicData>
            </a:graphic>
          </wp:inline>
        </w:drawing>
      </w:r>
    </w:p>
    <w:p w14:paraId="1AFD9583" w14:textId="288743FA" w:rsidR="00F253A2" w:rsidRPr="00F253A2" w:rsidRDefault="00F253A2" w:rsidP="005B3013">
      <w:pPr>
        <w:pStyle w:val="Caption"/>
      </w:pPr>
      <w:r>
        <w:t xml:space="preserve">Figure 1: </w:t>
      </w:r>
      <w:r w:rsidR="00B61C2F" w:rsidRPr="00B61C2F">
        <w:t>Overview of IMT deployment areas</w:t>
      </w:r>
    </w:p>
    <w:p w14:paraId="540341BD" w14:textId="06E3F6A4" w:rsidR="008A3DC4" w:rsidRDefault="008A3DC4" w:rsidP="0000561D">
      <w:r w:rsidRPr="008A3DC4">
        <w:t>In Europe, th</w:t>
      </w:r>
      <w:r w:rsidR="00F34C06">
        <w:t>e</w:t>
      </w:r>
      <w:r w:rsidRPr="008A3DC4">
        <w:t xml:space="preserve"> band </w:t>
      </w:r>
      <w:r w:rsidR="00F34C06">
        <w:t xml:space="preserve">2010-2025 MHz </w:t>
      </w:r>
      <w:r w:rsidRPr="008A3DC4">
        <w:t>is identified for harmonised use by wireless cameras (PMSE) in accordance with ERC Recommendation 25-10 (revised June 2023) and Decision (EU) 2016/339 in EU countries</w:t>
      </w:r>
      <w:r w:rsidR="00F34C06">
        <w:t>, with extensive use within Europe</w:t>
      </w:r>
      <w:r w:rsidRPr="008A3DC4">
        <w:t>.</w:t>
      </w:r>
    </w:p>
    <w:p w14:paraId="5D418AEA" w14:textId="7558C390" w:rsidR="00F34C06" w:rsidRPr="00F34C06" w:rsidRDefault="00F34C06" w:rsidP="00895981">
      <w:pPr>
        <w:pStyle w:val="ECCBulletsLv1"/>
        <w:numPr>
          <w:ilvl w:val="0"/>
          <w:numId w:val="0"/>
        </w:numPr>
      </w:pPr>
      <w:r>
        <w:t>In addition</w:t>
      </w:r>
      <w:r w:rsidRPr="00F34C06">
        <w:t xml:space="preserve">, due to the difficulties of establishing the required pairing, it may be less relevant to study a possible allocation of the frequency band 2010-2025 MHz, also considered under WRC 27 agenda item 1.12 and 1.13, to the MSS in the Earth-to-space direction under this agenda item. </w:t>
      </w:r>
    </w:p>
    <w:p w14:paraId="20A9C285" w14:textId="77777777" w:rsidR="00466FA9" w:rsidRPr="00466FA9" w:rsidRDefault="00466FA9" w:rsidP="00466FA9">
      <w:pPr>
        <w:pStyle w:val="Heading2"/>
        <w:rPr>
          <w:rStyle w:val="ECCParagraph"/>
        </w:rPr>
      </w:pPr>
      <w:r w:rsidRPr="00466FA9">
        <w:rPr>
          <w:rStyle w:val="ECCParagraph"/>
        </w:rPr>
        <w:t>Status of the agenda item in ITU-R</w:t>
      </w:r>
    </w:p>
    <w:p w14:paraId="06C23D29" w14:textId="77777777" w:rsidR="00466FA9" w:rsidRPr="00466FA9" w:rsidRDefault="00466FA9" w:rsidP="00466FA9">
      <w:r w:rsidRPr="00466FA9">
        <w:t>The following output documents were produced by WP 4C, based on the examination of the input documents:</w:t>
      </w:r>
    </w:p>
    <w:p w14:paraId="64B10D5B" w14:textId="77777777" w:rsidR="00466FA9" w:rsidRPr="00466FA9" w:rsidRDefault="00466FA9" w:rsidP="00466FA9">
      <w:pPr>
        <w:pStyle w:val="ECCBulletsLv1"/>
        <w:rPr>
          <w:rStyle w:val="Hyperlink"/>
        </w:rPr>
      </w:pPr>
      <w:r w:rsidRPr="00466FA9">
        <w:t>an updated working document related to WRC-27 agenda item 1.1</w:t>
      </w:r>
      <w:r w:rsidRPr="00466FA9">
        <w:rPr>
          <w:rFonts w:hint="eastAsia"/>
        </w:rPr>
        <w:t>4</w:t>
      </w:r>
      <w:r w:rsidRPr="00466FA9">
        <w:t xml:space="preserve">, on Sharing and Compatibility Studies of possible new allocation to the MSS, including finalizing the technical parameters and operational characteristics as required (Annex 9 to </w:t>
      </w:r>
      <w:hyperlink r:id="rId13" w:history="1">
        <w:r w:rsidRPr="00466FA9">
          <w:rPr>
            <w:rStyle w:val="Hyperlink"/>
          </w:rPr>
          <w:t>4C/204</w:t>
        </w:r>
      </w:hyperlink>
      <w:r w:rsidRPr="00466FA9">
        <w:t>).</w:t>
      </w:r>
    </w:p>
    <w:p w14:paraId="775A567D" w14:textId="77777777" w:rsidR="00466FA9" w:rsidRPr="00466FA9" w:rsidRDefault="00466FA9" w:rsidP="00466FA9">
      <w:pPr>
        <w:pStyle w:val="ECCBulletsLv1"/>
      </w:pPr>
      <w:r w:rsidRPr="00466FA9">
        <w:t>an updated</w:t>
      </w:r>
      <w:r w:rsidRPr="00466FA9">
        <w:rPr>
          <w:rFonts w:hint="eastAsia"/>
        </w:rPr>
        <w:t xml:space="preserve"> draft work plan for </w:t>
      </w:r>
      <w:r w:rsidRPr="00466FA9">
        <w:t>WRC-27 agenda item 1.1</w:t>
      </w:r>
      <w:r w:rsidRPr="00466FA9">
        <w:rPr>
          <w:rFonts w:hint="eastAsia"/>
        </w:rPr>
        <w:t>4</w:t>
      </w:r>
      <w:r w:rsidRPr="00466FA9">
        <w:t xml:space="preserve"> (Annex 11 to </w:t>
      </w:r>
      <w:hyperlink r:id="rId14" w:history="1">
        <w:r w:rsidRPr="00466FA9">
          <w:rPr>
            <w:rStyle w:val="Hyperlink"/>
          </w:rPr>
          <w:t>4C/204</w:t>
        </w:r>
      </w:hyperlink>
      <w:r w:rsidRPr="00466FA9">
        <w:t>).</w:t>
      </w:r>
    </w:p>
    <w:p w14:paraId="5FB4F1F8" w14:textId="77777777" w:rsidR="00466FA9" w:rsidRPr="00466FA9" w:rsidRDefault="00466FA9" w:rsidP="00466FA9">
      <w:pPr>
        <w:pStyle w:val="ECCBulletsLv1"/>
      </w:pPr>
      <w:r w:rsidRPr="00466FA9">
        <w:rPr>
          <w:rFonts w:hint="eastAsia"/>
        </w:rPr>
        <w:t>a working document relat</w:t>
      </w:r>
      <w:r w:rsidRPr="00466FA9">
        <w:t>ed</w:t>
      </w:r>
      <w:r w:rsidRPr="00466FA9">
        <w:rPr>
          <w:rFonts w:hint="eastAsia"/>
        </w:rPr>
        <w:t xml:space="preserve"> to </w:t>
      </w:r>
      <w:r w:rsidRPr="00466FA9">
        <w:t xml:space="preserve">the </w:t>
      </w:r>
      <w:r w:rsidRPr="00466FA9">
        <w:rPr>
          <w:rFonts w:hint="eastAsia"/>
        </w:rPr>
        <w:t xml:space="preserve">draft CPM text on </w:t>
      </w:r>
      <w:r w:rsidRPr="00466FA9">
        <w:t>WRC-27 agenda item 1.1</w:t>
      </w:r>
      <w:r w:rsidRPr="00466FA9">
        <w:rPr>
          <w:rFonts w:hint="eastAsia"/>
        </w:rPr>
        <w:t>4</w:t>
      </w:r>
      <w:r w:rsidRPr="00466FA9">
        <w:t xml:space="preserve"> (Annex 10 to </w:t>
      </w:r>
      <w:hyperlink r:id="rId15" w:history="1">
        <w:r w:rsidRPr="00466FA9">
          <w:rPr>
            <w:rStyle w:val="Hyperlink"/>
          </w:rPr>
          <w:t>4C/204</w:t>
        </w:r>
      </w:hyperlink>
      <w:r w:rsidRPr="00466FA9">
        <w:t>).</w:t>
      </w:r>
    </w:p>
    <w:p w14:paraId="3BB39AF9" w14:textId="77777777" w:rsidR="00466FA9" w:rsidRPr="00466FA9" w:rsidRDefault="00466FA9" w:rsidP="0000561D">
      <w:pPr>
        <w:pStyle w:val="ECCBulletsLv1"/>
        <w:numPr>
          <w:ilvl w:val="0"/>
          <w:numId w:val="0"/>
        </w:numPr>
      </w:pPr>
    </w:p>
    <w:p w14:paraId="744D212A" w14:textId="5C1EB3FE" w:rsidR="00466FA9" w:rsidRDefault="00466FA9" w:rsidP="0000561D">
      <w:pPr>
        <w:pStyle w:val="ECCBulletsLv1"/>
        <w:numPr>
          <w:ilvl w:val="0"/>
          <w:numId w:val="0"/>
        </w:numPr>
      </w:pPr>
      <w:r w:rsidRPr="00466FA9">
        <w:t xml:space="preserve">During the meeting, discussions focused on clarifying several aspects on various technical parameters, i.e. receive system noise temperature, satellite antenna sidelobe levels etc. Additionally, there was a debate on the protection criterion that is related to interference affecting GSO MSS, where a recommended value needs to be determined. A note was added to provide further clarification. </w:t>
      </w:r>
    </w:p>
    <w:p w14:paraId="0EFB417A" w14:textId="5DD825CE" w:rsidR="005B6AB3" w:rsidRPr="00DF18A1" w:rsidRDefault="005B6AB3" w:rsidP="009B67D7">
      <w:r w:rsidRPr="00DF18A1">
        <w:t xml:space="preserve">PTC sent to WP 4C the characteristics and protection criteria for PMSE (Doc. </w:t>
      </w:r>
      <w:hyperlink r:id="rId16" w:history="1">
        <w:r w:rsidRPr="00806F81">
          <w:rPr>
            <w:rStyle w:val="Hyperlink"/>
          </w:rPr>
          <w:t>4C/</w:t>
        </w:r>
        <w:r w:rsidR="009B67D7" w:rsidRPr="00806F81">
          <w:rPr>
            <w:rStyle w:val="Hyperlink"/>
          </w:rPr>
          <w:t>269</w:t>
        </w:r>
      </w:hyperlink>
      <w:r w:rsidRPr="00DF18A1">
        <w:t>).</w:t>
      </w:r>
    </w:p>
    <w:p w14:paraId="4DFE38E0" w14:textId="3BF9A583" w:rsidR="00466FA9" w:rsidRPr="00466FA9" w:rsidRDefault="00466FA9" w:rsidP="00466FA9">
      <w:r w:rsidRPr="00466FA9">
        <w:t>The upcoming WP 4C meeting, meeting #33, is scheduled f</w:t>
      </w:r>
      <w:r w:rsidR="003C41C9">
        <w:t>r</w:t>
      </w:r>
      <w:r w:rsidRPr="00466FA9">
        <w:t>o</w:t>
      </w:r>
      <w:r w:rsidR="003C41C9">
        <w:t>m</w:t>
      </w:r>
      <w:r w:rsidRPr="00466FA9">
        <w:t xml:space="preserve"> </w:t>
      </w:r>
      <w:r w:rsidR="003C41C9">
        <w:t xml:space="preserve">23 </w:t>
      </w:r>
      <w:r w:rsidRPr="00466FA9">
        <w:t>April</w:t>
      </w:r>
      <w:r w:rsidR="003C41C9">
        <w:t xml:space="preserve"> to 3</w:t>
      </w:r>
      <w:r w:rsidR="00DF18A1">
        <w:t xml:space="preserve"> </w:t>
      </w:r>
      <w:r w:rsidRPr="00466FA9">
        <w:t>May 202</w:t>
      </w:r>
      <w:r w:rsidR="003C41C9">
        <w:t>5</w:t>
      </w:r>
      <w:r w:rsidRPr="00466FA9">
        <w:t xml:space="preserve">. During this meeting, </w:t>
      </w:r>
      <w:r w:rsidR="00DF18A1">
        <w:t xml:space="preserve">WP </w:t>
      </w:r>
      <w:r w:rsidRPr="00466FA9">
        <w:t>4C will primarily focus on co-existence studies.</w:t>
      </w:r>
    </w:p>
    <w:p w14:paraId="2CD8C384" w14:textId="77777777" w:rsidR="00466FA9" w:rsidRPr="00466FA9" w:rsidRDefault="00466FA9" w:rsidP="0048065A">
      <w:pPr>
        <w:pStyle w:val="Heading3"/>
      </w:pPr>
      <w:r w:rsidRPr="00466FA9">
        <w:rPr>
          <w:rStyle w:val="ECCParagraph"/>
        </w:rPr>
        <w:t>Band Overlap (AI 1.12, 1.13, 1.14)</w:t>
      </w:r>
    </w:p>
    <w:p w14:paraId="12D16623" w14:textId="2EF3EA31" w:rsidR="00466FA9" w:rsidRPr="00466FA9" w:rsidRDefault="00466FA9" w:rsidP="00466FA9">
      <w:r w:rsidRPr="00466FA9">
        <w:t xml:space="preserve">The frequency bands that overlap between the agenda items AI 1.12, 1.13 and 1.14 are demonstrated in the </w:t>
      </w:r>
      <w:r w:rsidR="00E870A7">
        <w:t>T</w:t>
      </w:r>
      <w:r w:rsidRPr="00466FA9">
        <w:t xml:space="preserve">able </w:t>
      </w:r>
      <w:r w:rsidR="00E870A7">
        <w:t xml:space="preserve">2 </w:t>
      </w:r>
      <w:r w:rsidR="002F6B2E">
        <w:t xml:space="preserve">below </w:t>
      </w:r>
      <w:r w:rsidRPr="00466FA9">
        <w:t>(work in progress in ITU-R WP 4C).</w:t>
      </w:r>
    </w:p>
    <w:p w14:paraId="064815A0" w14:textId="77777777" w:rsidR="00466FA9" w:rsidRPr="00466FA9" w:rsidRDefault="00466FA9" w:rsidP="00466FA9">
      <w:r w:rsidRPr="00466FA9">
        <w:lastRenderedPageBreak/>
        <w:t>MSS↓ = space-to-Earth</w:t>
      </w:r>
    </w:p>
    <w:p w14:paraId="1672447D" w14:textId="77777777" w:rsidR="00466FA9" w:rsidRPr="00466FA9" w:rsidRDefault="00466FA9" w:rsidP="00466FA9">
      <w:r w:rsidRPr="00466FA9">
        <w:t>MSS↑ = Earth-to-space</w:t>
      </w:r>
    </w:p>
    <w:p w14:paraId="59601E8C" w14:textId="77777777" w:rsidR="00466FA9" w:rsidRPr="00466FA9" w:rsidRDefault="00466FA9" w:rsidP="00466FA9">
      <w:r w:rsidRPr="00466FA9">
        <w:t>R1 = Region 1</w:t>
      </w:r>
    </w:p>
    <w:p w14:paraId="5780C93C" w14:textId="77777777" w:rsidR="00466FA9" w:rsidRDefault="00466FA9" w:rsidP="00466FA9">
      <w:r w:rsidRPr="00466FA9">
        <w:t>R3 = Region 3</w:t>
      </w:r>
    </w:p>
    <w:p w14:paraId="7A2FF699" w14:textId="3EFF3A01" w:rsidR="00E10896" w:rsidRPr="00466FA9" w:rsidRDefault="00E10896" w:rsidP="00CA2E32">
      <w:pPr>
        <w:pStyle w:val="Caption"/>
      </w:pPr>
      <w:r>
        <w:t xml:space="preserve">Table 2: </w:t>
      </w:r>
      <w:r w:rsidR="00303BF9">
        <w:t>Overlap of th</w:t>
      </w:r>
      <w:r w:rsidR="00303BF9" w:rsidRPr="00303BF9">
        <w:t xml:space="preserve">e frequency bands </w:t>
      </w:r>
      <w:r w:rsidR="00303BF9">
        <w:t>considered under</w:t>
      </w:r>
      <w:r w:rsidR="00303BF9" w:rsidRPr="00303BF9">
        <w:t xml:space="preserve"> agenda items AI 1.12, 1.13 and 1.14</w:t>
      </w:r>
    </w:p>
    <w:tbl>
      <w:tblPr>
        <w:tblStyle w:val="ECCTable-redheader"/>
        <w:tblW w:w="8010" w:type="dxa"/>
        <w:tblInd w:w="0" w:type="dxa"/>
        <w:tblLayout w:type="fixed"/>
        <w:tblLook w:val="04A0" w:firstRow="1" w:lastRow="0" w:firstColumn="1" w:lastColumn="0" w:noHBand="0" w:noVBand="1"/>
      </w:tblPr>
      <w:tblGrid>
        <w:gridCol w:w="2555"/>
        <w:gridCol w:w="1818"/>
        <w:gridCol w:w="1818"/>
        <w:gridCol w:w="1819"/>
      </w:tblGrid>
      <w:tr w:rsidR="00466FA9" w:rsidRPr="00D86872" w14:paraId="6486B803" w14:textId="77777777" w:rsidTr="00CA2E32">
        <w:trPr>
          <w:cnfStyle w:val="100000000000" w:firstRow="1" w:lastRow="0" w:firstColumn="0" w:lastColumn="0" w:oddVBand="0" w:evenVBand="0" w:oddHBand="0" w:evenHBand="0" w:firstRowFirstColumn="0" w:firstRowLastColumn="0" w:lastRowFirstColumn="0" w:lastRowLastColumn="0"/>
          <w:trHeight w:val="257"/>
        </w:trPr>
        <w:tc>
          <w:tcPr>
            <w:tcW w:w="2555" w:type="dxa"/>
            <w:noWrap/>
            <w:hideMark/>
          </w:tcPr>
          <w:p w14:paraId="6FA68934" w14:textId="77777777" w:rsidR="00466FA9" w:rsidRPr="00466FA9" w:rsidRDefault="00466FA9" w:rsidP="00466FA9">
            <w:r w:rsidRPr="00466FA9">
              <w:t>Band</w:t>
            </w:r>
          </w:p>
        </w:tc>
        <w:tc>
          <w:tcPr>
            <w:tcW w:w="1818" w:type="dxa"/>
            <w:noWrap/>
            <w:hideMark/>
          </w:tcPr>
          <w:p w14:paraId="62EA806F" w14:textId="77777777" w:rsidR="00466FA9" w:rsidRPr="00466FA9" w:rsidRDefault="00466FA9" w:rsidP="00466FA9">
            <w:r w:rsidRPr="00466FA9">
              <w:t>AI 1.12</w:t>
            </w:r>
          </w:p>
        </w:tc>
        <w:tc>
          <w:tcPr>
            <w:tcW w:w="1818" w:type="dxa"/>
            <w:noWrap/>
            <w:hideMark/>
          </w:tcPr>
          <w:p w14:paraId="594E0C7F" w14:textId="77777777" w:rsidR="00466FA9" w:rsidRPr="00466FA9" w:rsidRDefault="00466FA9" w:rsidP="00466FA9">
            <w:r w:rsidRPr="00466FA9">
              <w:t>AI 1.13</w:t>
            </w:r>
          </w:p>
        </w:tc>
        <w:tc>
          <w:tcPr>
            <w:tcW w:w="1819" w:type="dxa"/>
            <w:noWrap/>
            <w:hideMark/>
          </w:tcPr>
          <w:p w14:paraId="22424CBD" w14:textId="77777777" w:rsidR="00466FA9" w:rsidRPr="00466FA9" w:rsidRDefault="00466FA9" w:rsidP="00466FA9">
            <w:r w:rsidRPr="00466FA9">
              <w:t>AI 1.14</w:t>
            </w:r>
          </w:p>
        </w:tc>
      </w:tr>
      <w:tr w:rsidR="00466FA9" w:rsidRPr="00D86872" w14:paraId="78801416" w14:textId="77777777" w:rsidTr="00CA2E32">
        <w:trPr>
          <w:trHeight w:val="257"/>
        </w:trPr>
        <w:tc>
          <w:tcPr>
            <w:tcW w:w="2555" w:type="dxa"/>
            <w:noWrap/>
            <w:hideMark/>
          </w:tcPr>
          <w:p w14:paraId="1F4E44A0" w14:textId="77777777" w:rsidR="00466FA9" w:rsidRPr="00466FA9" w:rsidRDefault="00466FA9" w:rsidP="00466FA9">
            <w:r w:rsidRPr="00466FA9">
              <w:t>2 010-2 020 MHz</w:t>
            </w:r>
          </w:p>
        </w:tc>
        <w:tc>
          <w:tcPr>
            <w:tcW w:w="1818" w:type="dxa"/>
            <w:noWrap/>
            <w:hideMark/>
          </w:tcPr>
          <w:p w14:paraId="18AB796E" w14:textId="77777777" w:rsidR="00466FA9" w:rsidRPr="00466FA9" w:rsidRDefault="00466FA9" w:rsidP="00466FA9">
            <w:r w:rsidRPr="00466FA9">
              <w:t>MSS↓↑</w:t>
            </w:r>
          </w:p>
        </w:tc>
        <w:tc>
          <w:tcPr>
            <w:tcW w:w="1818" w:type="dxa"/>
            <w:noWrap/>
            <w:hideMark/>
          </w:tcPr>
          <w:p w14:paraId="055E397F" w14:textId="0DD25FB3" w:rsidR="00466FA9" w:rsidRPr="00466FA9" w:rsidRDefault="00466FA9" w:rsidP="00466FA9">
            <w:r w:rsidRPr="00466FA9">
              <w:t xml:space="preserve">MSS↑ </w:t>
            </w:r>
          </w:p>
        </w:tc>
        <w:tc>
          <w:tcPr>
            <w:tcW w:w="1819" w:type="dxa"/>
            <w:noWrap/>
            <w:hideMark/>
          </w:tcPr>
          <w:p w14:paraId="0AD06A06" w14:textId="77777777" w:rsidR="00466FA9" w:rsidRPr="00466FA9" w:rsidRDefault="00466FA9" w:rsidP="00466FA9">
            <w:r w:rsidRPr="00466FA9">
              <w:t>MSS↑, R1 R3</w:t>
            </w:r>
          </w:p>
        </w:tc>
      </w:tr>
      <w:tr w:rsidR="00466FA9" w:rsidRPr="00D86872" w14:paraId="6768DA30" w14:textId="77777777" w:rsidTr="00CA2E32">
        <w:trPr>
          <w:trHeight w:val="257"/>
        </w:trPr>
        <w:tc>
          <w:tcPr>
            <w:tcW w:w="2555" w:type="dxa"/>
            <w:noWrap/>
          </w:tcPr>
          <w:p w14:paraId="648F7AC3" w14:textId="77777777" w:rsidR="00466FA9" w:rsidRPr="00466FA9" w:rsidRDefault="00466FA9" w:rsidP="00D94662">
            <w:r w:rsidRPr="00466FA9">
              <w:t>2 020-2 025 MHz</w:t>
            </w:r>
          </w:p>
        </w:tc>
        <w:tc>
          <w:tcPr>
            <w:tcW w:w="1818" w:type="dxa"/>
            <w:noWrap/>
          </w:tcPr>
          <w:p w14:paraId="6F6584E5" w14:textId="77777777" w:rsidR="00466FA9" w:rsidRPr="00466FA9" w:rsidRDefault="00466FA9" w:rsidP="00D94662">
            <w:r w:rsidRPr="00466FA9">
              <w:t>MSS↓↑</w:t>
            </w:r>
          </w:p>
        </w:tc>
        <w:tc>
          <w:tcPr>
            <w:tcW w:w="1818" w:type="dxa"/>
            <w:noWrap/>
          </w:tcPr>
          <w:p w14:paraId="24A84146" w14:textId="63C8F359" w:rsidR="00466FA9" w:rsidRPr="00466FA9" w:rsidRDefault="00466FA9" w:rsidP="00D94662">
            <w:r w:rsidRPr="00466FA9">
              <w:t>MSS↑</w:t>
            </w:r>
          </w:p>
        </w:tc>
        <w:tc>
          <w:tcPr>
            <w:tcW w:w="1819" w:type="dxa"/>
            <w:noWrap/>
          </w:tcPr>
          <w:p w14:paraId="65DCEC79" w14:textId="77777777" w:rsidR="00466FA9" w:rsidRPr="00466FA9" w:rsidRDefault="00466FA9" w:rsidP="00D94662">
            <w:r w:rsidRPr="00466FA9">
              <w:t>MSS↑, R1 R3</w:t>
            </w:r>
          </w:p>
        </w:tc>
      </w:tr>
      <w:tr w:rsidR="00466FA9" w:rsidRPr="00D86872" w14:paraId="0849E2ED" w14:textId="77777777" w:rsidTr="00CA2E32">
        <w:trPr>
          <w:trHeight w:val="257"/>
        </w:trPr>
        <w:tc>
          <w:tcPr>
            <w:tcW w:w="2555" w:type="dxa"/>
            <w:noWrap/>
            <w:hideMark/>
          </w:tcPr>
          <w:p w14:paraId="3C87436C" w14:textId="77777777" w:rsidR="00466FA9" w:rsidRPr="00466FA9" w:rsidRDefault="00466FA9" w:rsidP="00466FA9">
            <w:r w:rsidRPr="00466FA9">
              <w:t>2 120-2 160 MHz</w:t>
            </w:r>
          </w:p>
        </w:tc>
        <w:tc>
          <w:tcPr>
            <w:tcW w:w="1818" w:type="dxa"/>
            <w:noWrap/>
            <w:hideMark/>
          </w:tcPr>
          <w:p w14:paraId="2C3253DD" w14:textId="77777777" w:rsidR="00466FA9" w:rsidRPr="00466FA9" w:rsidRDefault="00466FA9" w:rsidP="00466FA9">
            <w:r w:rsidRPr="00466FA9">
              <w:t> </w:t>
            </w:r>
          </w:p>
        </w:tc>
        <w:tc>
          <w:tcPr>
            <w:tcW w:w="1818" w:type="dxa"/>
            <w:noWrap/>
            <w:hideMark/>
          </w:tcPr>
          <w:p w14:paraId="21C7FFA8" w14:textId="77777777" w:rsidR="00466FA9" w:rsidRPr="00466FA9" w:rsidRDefault="00466FA9" w:rsidP="00466FA9">
            <w:r w:rsidRPr="00466FA9">
              <w:t>MSS↓</w:t>
            </w:r>
          </w:p>
        </w:tc>
        <w:tc>
          <w:tcPr>
            <w:tcW w:w="1819" w:type="dxa"/>
            <w:noWrap/>
            <w:hideMark/>
          </w:tcPr>
          <w:p w14:paraId="10A7969E" w14:textId="77777777" w:rsidR="00466FA9" w:rsidRPr="00466FA9" w:rsidRDefault="00466FA9" w:rsidP="00466FA9">
            <w:r w:rsidRPr="00466FA9">
              <w:t>MSS↓</w:t>
            </w:r>
          </w:p>
        </w:tc>
      </w:tr>
      <w:tr w:rsidR="00466FA9" w:rsidRPr="00D86872" w14:paraId="6B3DE753" w14:textId="77777777" w:rsidTr="00CA2E32">
        <w:trPr>
          <w:trHeight w:val="257"/>
        </w:trPr>
        <w:tc>
          <w:tcPr>
            <w:tcW w:w="2555" w:type="dxa"/>
            <w:noWrap/>
            <w:hideMark/>
          </w:tcPr>
          <w:p w14:paraId="15934211" w14:textId="77777777" w:rsidR="00466FA9" w:rsidRPr="00466FA9" w:rsidRDefault="00466FA9" w:rsidP="00466FA9">
            <w:r w:rsidRPr="00466FA9">
              <w:t>2 160-2 170 MHz</w:t>
            </w:r>
          </w:p>
        </w:tc>
        <w:tc>
          <w:tcPr>
            <w:tcW w:w="1818" w:type="dxa"/>
            <w:noWrap/>
            <w:hideMark/>
          </w:tcPr>
          <w:p w14:paraId="4D5A40D8" w14:textId="77777777" w:rsidR="00466FA9" w:rsidRPr="00466FA9" w:rsidRDefault="00466FA9" w:rsidP="00466FA9">
            <w:r w:rsidRPr="00466FA9">
              <w:t> </w:t>
            </w:r>
          </w:p>
        </w:tc>
        <w:tc>
          <w:tcPr>
            <w:tcW w:w="1818" w:type="dxa"/>
            <w:noWrap/>
            <w:hideMark/>
          </w:tcPr>
          <w:p w14:paraId="1A7680ED" w14:textId="77777777" w:rsidR="00466FA9" w:rsidRPr="00466FA9" w:rsidRDefault="00466FA9" w:rsidP="00466FA9">
            <w:r w:rsidRPr="00466FA9">
              <w:t>MSS↓</w:t>
            </w:r>
          </w:p>
        </w:tc>
        <w:tc>
          <w:tcPr>
            <w:tcW w:w="1819" w:type="dxa"/>
            <w:noWrap/>
            <w:hideMark/>
          </w:tcPr>
          <w:p w14:paraId="4F3CD17F" w14:textId="77777777" w:rsidR="00466FA9" w:rsidRPr="00466FA9" w:rsidRDefault="00466FA9" w:rsidP="00466FA9">
            <w:r w:rsidRPr="00466FA9">
              <w:t>MSS↓, R1 R3</w:t>
            </w:r>
          </w:p>
        </w:tc>
      </w:tr>
    </w:tbl>
    <w:p w14:paraId="341856D9" w14:textId="77777777" w:rsidR="003771D5" w:rsidRPr="00235592" w:rsidRDefault="003771D5" w:rsidP="00BD4E12">
      <w:pPr>
        <w:pStyle w:val="Heading1"/>
        <w:rPr>
          <w:lang w:val="en-GB"/>
        </w:rPr>
      </w:pPr>
      <w:r w:rsidRPr="00235592">
        <w:rPr>
          <w:lang w:val="en-GB"/>
        </w:rPr>
        <w:t>List of relevant documents</w:t>
      </w:r>
    </w:p>
    <w:p w14:paraId="24C8A31E" w14:textId="77777777" w:rsidR="00220194" w:rsidRPr="00566D8A" w:rsidRDefault="003771D5" w:rsidP="000A29BC">
      <w:pPr>
        <w:pStyle w:val="ECCBreak"/>
        <w:rPr>
          <w:rStyle w:val="ECCParagraph"/>
          <w:lang w:val="fr-FR"/>
        </w:rPr>
      </w:pPr>
      <w:r w:rsidRPr="00566D8A">
        <w:rPr>
          <w:rStyle w:val="ECCParagraph"/>
          <w:lang w:val="fr-FR"/>
        </w:rPr>
        <w:t>ITU-Documentation (Recommendations, Reports, other)</w:t>
      </w:r>
    </w:p>
    <w:p w14:paraId="64BC47D8" w14:textId="0A69491B" w:rsidR="00046D3F" w:rsidRPr="00046D3F" w:rsidRDefault="00F75B74" w:rsidP="00046D3F">
      <w:pPr>
        <w:pStyle w:val="ECCBulletsLv1"/>
        <w:rPr>
          <w:rStyle w:val="ECCParagraph"/>
        </w:rPr>
      </w:pPr>
      <w:hyperlink r:id="rId17" w:history="1">
        <w:r w:rsidR="00046D3F" w:rsidRPr="00046D3F">
          <w:rPr>
            <w:rStyle w:val="Hyperlink"/>
          </w:rPr>
          <w:t>Annex 9 to Document 4C/204</w:t>
        </w:r>
      </w:hyperlink>
      <w:r w:rsidR="00046D3F" w:rsidRPr="00046D3F">
        <w:rPr>
          <w:rStyle w:val="ECCParagraph"/>
        </w:rPr>
        <w:t xml:space="preserve">: </w:t>
      </w:r>
      <w:r w:rsidR="00046D3F" w:rsidRPr="00046D3F">
        <w:t>Working document on sharing and compatibility studies of possible new allocations to the MSS on WRC-27 agenda item 1.14.</w:t>
      </w:r>
    </w:p>
    <w:p w14:paraId="1EFE1E85" w14:textId="77777777" w:rsidR="00220194" w:rsidRDefault="003771D5" w:rsidP="000A29BC">
      <w:pPr>
        <w:pStyle w:val="ECCBreak"/>
        <w:rPr>
          <w:rStyle w:val="ECCParagraph"/>
        </w:rPr>
      </w:pPr>
      <w:r w:rsidRPr="00235592">
        <w:rPr>
          <w:rStyle w:val="ECCParagraph"/>
        </w:rPr>
        <w:t>CEPT and/or ECC Documentation (Decisions, Recommendations, Reports)</w:t>
      </w:r>
    </w:p>
    <w:p w14:paraId="24A5DE37" w14:textId="71048A87" w:rsidR="00D479B6" w:rsidRDefault="00F75B74" w:rsidP="00D479B6">
      <w:pPr>
        <w:pStyle w:val="ECCBulletsLv1"/>
      </w:pPr>
      <w:hyperlink r:id="rId18" w:history="1">
        <w:r w:rsidR="00D479B6" w:rsidRPr="00C24DFC">
          <w:rPr>
            <w:rStyle w:val="Hyperlink"/>
          </w:rPr>
          <w:t>ECC Decision (06)01</w:t>
        </w:r>
      </w:hyperlink>
      <w:r w:rsidR="00701B4F">
        <w:t>:</w:t>
      </w:r>
      <w:r w:rsidR="00066FAA">
        <w:t xml:space="preserve"> “</w:t>
      </w:r>
      <w:r w:rsidR="00066FAA" w:rsidRPr="00066FAA">
        <w:t>The harmonised utilisation of the bands 1920-1980 MHz and 2110-2170 MHz for mobile/fixed communications networks (MFCN) including terrestrial IMT systems</w:t>
      </w:r>
      <w:r w:rsidR="00066FAA">
        <w:t>”</w:t>
      </w:r>
      <w:r w:rsidR="00073CBA" w:rsidRPr="00073CBA">
        <w:t xml:space="preserve">, approved </w:t>
      </w:r>
      <w:r w:rsidR="007815C4" w:rsidRPr="007815C4">
        <w:t>March 2006</w:t>
      </w:r>
      <w:r w:rsidR="00073CBA" w:rsidRPr="00073CBA">
        <w:t xml:space="preserve">, latest amendment </w:t>
      </w:r>
      <w:r w:rsidR="008159DD" w:rsidRPr="008159DD">
        <w:t>March 2025</w:t>
      </w:r>
      <w:r w:rsidR="00701B4F">
        <w:t xml:space="preserve"> </w:t>
      </w:r>
    </w:p>
    <w:p w14:paraId="63E1EAFD" w14:textId="7995277B" w:rsidR="00E47F9D" w:rsidRDefault="00F75B74" w:rsidP="00006702">
      <w:pPr>
        <w:pStyle w:val="ECCBulletsLv1"/>
      </w:pPr>
      <w:hyperlink r:id="rId19" w:history="1">
        <w:r w:rsidR="00006702" w:rsidRPr="00006702">
          <w:rPr>
            <w:rStyle w:val="Hyperlink"/>
          </w:rPr>
          <w:t>ECC Decision (08)08</w:t>
        </w:r>
      </w:hyperlink>
      <w:r w:rsidR="00006702" w:rsidRPr="00006702">
        <w:t xml:space="preserve">: “The harmonised use of GSM systems in the 900 MHz and 1800 MHz bands, UMTS systems in the 2 GHz band and LTE and 5G NR non-AAS systems in the 1800 MHz and 2.6 GHz (FDD) bands on board vessels”, approved October 2008, latest amendment March 2022 </w:t>
      </w:r>
    </w:p>
    <w:p w14:paraId="2489443D" w14:textId="1ED223AC" w:rsidR="005A08F4" w:rsidRPr="00D479B6" w:rsidRDefault="00F75B74" w:rsidP="005A08F4">
      <w:pPr>
        <w:pStyle w:val="ECCBulletsLv1"/>
      </w:pPr>
      <w:hyperlink r:id="rId20" w:history="1">
        <w:r w:rsidR="005A08F4" w:rsidRPr="005A08F4">
          <w:rPr>
            <w:rStyle w:val="Hyperlink"/>
          </w:rPr>
          <w:t>ERC Recommendation 25-10</w:t>
        </w:r>
      </w:hyperlink>
      <w:r w:rsidR="005A08F4" w:rsidRPr="005A08F4">
        <w:rPr>
          <w:rStyle w:val="ECCParagraph"/>
        </w:rPr>
        <w:t>: “Frequency Ranges for the Use of Terrestrial Audio and Video Programme Making and Special Events (PMSE) applications”, approved May 1995, latest amendment June 2023</w:t>
      </w:r>
    </w:p>
    <w:p w14:paraId="0A4AAD44" w14:textId="35D6D61B" w:rsidR="00D479B6" w:rsidRPr="00D479B6" w:rsidRDefault="00F75B74" w:rsidP="00D479B6">
      <w:pPr>
        <w:pStyle w:val="ECCBulletsLv1"/>
      </w:pPr>
      <w:hyperlink r:id="rId21" w:history="1">
        <w:r w:rsidR="00D479B6" w:rsidRPr="00571F32">
          <w:rPr>
            <w:rStyle w:val="Hyperlink"/>
          </w:rPr>
          <w:t xml:space="preserve">CEPT Report </w:t>
        </w:r>
        <w:r w:rsidR="00571F32" w:rsidRPr="00571F32">
          <w:rPr>
            <w:rStyle w:val="Hyperlink"/>
          </w:rPr>
          <w:t>0</w:t>
        </w:r>
        <w:r w:rsidR="00D479B6" w:rsidRPr="00571F32">
          <w:rPr>
            <w:rStyle w:val="Hyperlink"/>
          </w:rPr>
          <w:t>39</w:t>
        </w:r>
      </w:hyperlink>
      <w:r w:rsidR="00571F32">
        <w:t>: “</w:t>
      </w:r>
      <w:r w:rsidR="006F1C3F" w:rsidRPr="006F1C3F">
        <w:t>Report from CEPT to the European Commission in response to the Mandate to develop least restrictive technical conditions for 2 GHz bands</w:t>
      </w:r>
      <w:r w:rsidR="00571F32">
        <w:t>”</w:t>
      </w:r>
      <w:r w:rsidR="000709E1">
        <w:t xml:space="preserve">, approved </w:t>
      </w:r>
      <w:r w:rsidR="000709E1" w:rsidRPr="000709E1">
        <w:t>June 2010</w:t>
      </w:r>
      <w:r w:rsidR="00D479B6" w:rsidRPr="00D479B6">
        <w:t xml:space="preserve"> </w:t>
      </w:r>
    </w:p>
    <w:p w14:paraId="425F99D9" w14:textId="77777777" w:rsidR="00E47F9D" w:rsidRPr="00E47F9D" w:rsidRDefault="00F75B74" w:rsidP="00E47F9D">
      <w:pPr>
        <w:pStyle w:val="ECCBulletsLv1"/>
        <w:rPr>
          <w:rStyle w:val="ECCParagraph"/>
        </w:rPr>
      </w:pPr>
      <w:hyperlink r:id="rId22" w:history="1">
        <w:r w:rsidR="00E47F9D" w:rsidRPr="00E47F9D">
          <w:rPr>
            <w:rStyle w:val="Hyperlink"/>
          </w:rPr>
          <w:t>CEPT Report 072</w:t>
        </w:r>
      </w:hyperlink>
      <w:r w:rsidR="00E47F9D" w:rsidRPr="00E47F9D">
        <w:t xml:space="preserve">: “Report from CEPT to the European Commission in response to the Mandate “to review the harmonised technical conditions for certain EU-harmonised frequency bands and to develop least restrictive harmonised technical conditions suitable for next-generation (5G) terrestrial wireless systems, Report A: Review of technical conditions in the paired terrestrial 2 GHz and the 2.6 GHz frequency bands, and the usage feasibility of the 900 MHz and 1800 MHz frequency bands”, approved July 2019 </w:t>
      </w:r>
    </w:p>
    <w:p w14:paraId="6DE5AF8A" w14:textId="208B1BDC" w:rsidR="00D479B6" w:rsidRPr="00D479B6" w:rsidRDefault="00F75B74" w:rsidP="00D479B6">
      <w:pPr>
        <w:pStyle w:val="ECCBulletsLv1"/>
      </w:pPr>
      <w:hyperlink r:id="rId23" w:history="1">
        <w:r w:rsidR="00D479B6" w:rsidRPr="004C4E37">
          <w:rPr>
            <w:rStyle w:val="Hyperlink"/>
          </w:rPr>
          <w:t>ECC Report 298</w:t>
        </w:r>
      </w:hyperlink>
      <w:r w:rsidR="00FC6B9B">
        <w:t>: “</w:t>
      </w:r>
      <w:r w:rsidR="005107C8" w:rsidRPr="005107C8">
        <w:t>Analysis of the suitability and update of the regulatory technical conditions for 5G MFCN and AAS operation in the 1920-1980 MHz and 2110-2170 MHz band</w:t>
      </w:r>
      <w:r w:rsidR="00FC6B9B">
        <w:t>”</w:t>
      </w:r>
      <w:r w:rsidR="00245AD0">
        <w:t xml:space="preserve">, approved March </w:t>
      </w:r>
      <w:r w:rsidR="001F114A">
        <w:t>2019</w:t>
      </w:r>
      <w:r w:rsidR="00D479B6" w:rsidRPr="00D479B6">
        <w:t xml:space="preserve"> </w:t>
      </w:r>
    </w:p>
    <w:p w14:paraId="24ADC4DB" w14:textId="77777777" w:rsidR="00E26BAC" w:rsidRDefault="003771D5" w:rsidP="000A29BC">
      <w:pPr>
        <w:pStyle w:val="ECCBreak"/>
        <w:rPr>
          <w:rStyle w:val="ECCParagraph"/>
        </w:rPr>
      </w:pPr>
      <w:r w:rsidRPr="00235592">
        <w:rPr>
          <w:rStyle w:val="ECCParagraph"/>
        </w:rPr>
        <w:t>EU Documentation (Directives, Decisions, Recommendations, other), if applicable</w:t>
      </w:r>
    </w:p>
    <w:p w14:paraId="3801591F" w14:textId="18953D1F" w:rsidR="00D75C6E" w:rsidRDefault="00D75C6E" w:rsidP="00D75C6E">
      <w:pPr>
        <w:pStyle w:val="ECCBulletsLv1"/>
        <w:rPr>
          <w:rStyle w:val="ECCParagraph"/>
        </w:rPr>
      </w:pPr>
      <w:r w:rsidRPr="00D75C6E">
        <w:t>Commission Implementing Decision (EU) 2016/339 of 8 March 2016 on the harmonisation of the 2 010-2 025 MHz frequency band for portable or mobile wireless video links and cordless cameras used for programme making and special events</w:t>
      </w:r>
    </w:p>
    <w:p w14:paraId="0DAA936F" w14:textId="0ACEBBA5" w:rsidR="00BB2DB0" w:rsidRDefault="00BB2DB0" w:rsidP="00BB2DB0">
      <w:pPr>
        <w:pStyle w:val="ECCBulletsLv1"/>
      </w:pPr>
      <w:r w:rsidRPr="00BB2DB0">
        <w:rPr>
          <w:rStyle w:val="ECCParagraph"/>
        </w:rPr>
        <w:t>Commission Implementing Decision (EU) 2024/340 of 22 January 2024 on harmonised conditions for the use of radio spectrum for mobile communication services on board vessels in the Union</w:t>
      </w:r>
    </w:p>
    <w:p w14:paraId="62F9602B" w14:textId="49599B60" w:rsidR="008B00DE" w:rsidRDefault="008B00DE" w:rsidP="008B00DE">
      <w:pPr>
        <w:pStyle w:val="ECCBulletsLv1"/>
      </w:pPr>
      <w:r w:rsidRPr="008B00DE">
        <w:lastRenderedPageBreak/>
        <w:t>Commission Implementing Decision (EU) 2020/667 of 6 May 2020 amending Decision 2012/688/EU as regards an update of relevant technical conditions applicable to the frequency bands 1920-1980 MHz and 2110-2170 MHz</w:t>
      </w:r>
    </w:p>
    <w:p w14:paraId="600232E7" w14:textId="50DAF1C1" w:rsidR="006C5C1C" w:rsidRPr="00235592" w:rsidRDefault="003771D5" w:rsidP="00BD4E12">
      <w:pPr>
        <w:pStyle w:val="Heading1"/>
        <w:rPr>
          <w:rStyle w:val="ECCParagraph"/>
        </w:rPr>
      </w:pPr>
      <w:r w:rsidRPr="00235592">
        <w:rPr>
          <w:lang w:val="en-GB"/>
        </w:rPr>
        <w:t>Actions to be taken</w:t>
      </w:r>
    </w:p>
    <w:p w14:paraId="1DBBD4D5" w14:textId="37F21CAC" w:rsidR="00741892" w:rsidRDefault="00E532FE" w:rsidP="00741892">
      <w:pPr>
        <w:pStyle w:val="ECCBulletsLv1"/>
      </w:pPr>
      <w:r>
        <w:t>Further work on the background and adjustment where needed.</w:t>
      </w:r>
    </w:p>
    <w:p w14:paraId="094C02DF" w14:textId="7807D1CA" w:rsidR="00E532FE" w:rsidRPr="00235592" w:rsidRDefault="00E532FE" w:rsidP="00741892">
      <w:pPr>
        <w:pStyle w:val="ECCBulletsLv1"/>
      </w:pPr>
      <w:r>
        <w:t xml:space="preserve">Develop a </w:t>
      </w:r>
      <w:r w:rsidRPr="00895981">
        <w:rPr>
          <w:rStyle w:val="ECCHLunderlined"/>
        </w:rPr>
        <w:t>NOC</w:t>
      </w:r>
      <w:r>
        <w:t xml:space="preserve"> ECP</w:t>
      </w:r>
      <w:r w:rsidR="00360F24">
        <w:t>.</w:t>
      </w:r>
      <w:r>
        <w:t xml:space="preserve"> </w:t>
      </w:r>
    </w:p>
    <w:p w14:paraId="6273D382" w14:textId="5818827E" w:rsidR="003771D5" w:rsidRPr="00235592" w:rsidRDefault="003771D5" w:rsidP="00BD4E12">
      <w:pPr>
        <w:pStyle w:val="Heading1"/>
        <w:rPr>
          <w:lang w:val="en-GB"/>
        </w:rPr>
      </w:pPr>
      <w:r w:rsidRPr="00235592">
        <w:rPr>
          <w:lang w:val="en-GB"/>
        </w:rPr>
        <w:t xml:space="preserve">Relevant information </w:t>
      </w:r>
      <w:r w:rsidR="008C14EA" w:rsidRPr="00A52B8E">
        <w:rPr>
          <w:lang w:val="en-GB"/>
        </w:rPr>
        <w:t xml:space="preserve">as contributed </w:t>
      </w:r>
      <w:r w:rsidRPr="00235592">
        <w:rPr>
          <w:lang w:val="en-GB"/>
        </w:rPr>
        <w:t>from outside CEPT (examples of these are below)</w:t>
      </w:r>
    </w:p>
    <w:p w14:paraId="108611CC" w14:textId="380F2A23" w:rsidR="003771D5" w:rsidRPr="00235592" w:rsidRDefault="00652804" w:rsidP="00BD4E12">
      <w:pPr>
        <w:pStyle w:val="Heading2"/>
        <w:rPr>
          <w:lang w:val="en-GB"/>
        </w:rPr>
      </w:pPr>
      <w:r w:rsidRPr="00A52B8E">
        <w:rPr>
          <w:lang w:val="en-GB"/>
        </w:rPr>
        <w:t>European Commission</w:t>
      </w:r>
      <w:r w:rsidR="002132DB" w:rsidRPr="00A52B8E">
        <w:rPr>
          <w:lang w:val="en-GB"/>
        </w:rPr>
        <w:t xml:space="preserve"> (date o</w:t>
      </w:r>
      <w:r w:rsidR="00F8504F" w:rsidRPr="00A52B8E">
        <w:rPr>
          <w:lang w:val="en-GB"/>
        </w:rPr>
        <w:t>f proposal)</w:t>
      </w:r>
    </w:p>
    <w:p w14:paraId="02658459" w14:textId="77777777" w:rsidR="004F16F4" w:rsidRPr="00235592" w:rsidRDefault="004F16F4" w:rsidP="004F16F4">
      <w:pPr>
        <w:rPr>
          <w:rStyle w:val="ECCParagraph"/>
        </w:rPr>
      </w:pPr>
    </w:p>
    <w:p w14:paraId="0B92F784" w14:textId="4FDF6BEE" w:rsidR="003771D5" w:rsidRPr="00235592" w:rsidRDefault="003771D5" w:rsidP="00BD4E12">
      <w:pPr>
        <w:pStyle w:val="Heading2"/>
        <w:rPr>
          <w:lang w:val="en-GB"/>
        </w:rPr>
      </w:pPr>
      <w:r w:rsidRPr="00235592">
        <w:rPr>
          <w:lang w:val="en-GB"/>
        </w:rPr>
        <w:t xml:space="preserve">Regional </w:t>
      </w:r>
      <w:r w:rsidR="00B54B09">
        <w:t>T</w:t>
      </w:r>
      <w:r w:rsidR="0057797A" w:rsidRPr="00235592">
        <w:rPr>
          <w:lang w:val="en-GB"/>
        </w:rPr>
        <w:t xml:space="preserve">elecommunication </w:t>
      </w:r>
      <w:r w:rsidR="00B54B09">
        <w:t>O</w:t>
      </w:r>
      <w:r w:rsidR="0057797A" w:rsidRPr="00235592">
        <w:rPr>
          <w:lang w:val="en-GB"/>
        </w:rPr>
        <w:t>rganisations</w:t>
      </w:r>
    </w:p>
    <w:p w14:paraId="202E4ABD" w14:textId="77777777" w:rsidR="003771D5" w:rsidRPr="00235592" w:rsidRDefault="003771D5" w:rsidP="009B1F62">
      <w:pPr>
        <w:pStyle w:val="ECCBreak"/>
      </w:pPr>
      <w:r w:rsidRPr="00235592">
        <w:t>APT (date of proposal)</w:t>
      </w:r>
    </w:p>
    <w:p w14:paraId="2AF5FF95" w14:textId="77777777" w:rsidR="006C5C1C" w:rsidRPr="00235592" w:rsidRDefault="006C5C1C" w:rsidP="006C5C1C">
      <w:pPr>
        <w:rPr>
          <w:rStyle w:val="ECCParagraph"/>
        </w:rPr>
      </w:pPr>
    </w:p>
    <w:p w14:paraId="3A5AB3EF" w14:textId="77777777" w:rsidR="003771D5" w:rsidRPr="00235592" w:rsidRDefault="003771D5" w:rsidP="009B1F62">
      <w:pPr>
        <w:pStyle w:val="ECCBreak"/>
      </w:pPr>
      <w:r w:rsidRPr="00235592">
        <w:t>ATU (date of proposal)</w:t>
      </w:r>
    </w:p>
    <w:p w14:paraId="44B5ADE1" w14:textId="77777777" w:rsidR="003771D5" w:rsidRPr="00235592" w:rsidRDefault="003771D5" w:rsidP="00BD4E12">
      <w:pPr>
        <w:rPr>
          <w:rStyle w:val="ECCParagraph"/>
        </w:rPr>
      </w:pPr>
    </w:p>
    <w:p w14:paraId="08DC6F00" w14:textId="4E4A0648" w:rsidR="003771D5" w:rsidRPr="00235592" w:rsidRDefault="00A87414" w:rsidP="009B1F62">
      <w:pPr>
        <w:pStyle w:val="ECCBreak"/>
      </w:pPr>
      <w:r>
        <w:t>ASMG</w:t>
      </w:r>
      <w:r w:rsidR="003771D5" w:rsidRPr="00235592">
        <w:t xml:space="preserve"> (date of proposal)</w:t>
      </w:r>
    </w:p>
    <w:p w14:paraId="0B9B19D0" w14:textId="77777777" w:rsidR="003771D5" w:rsidRPr="00235592" w:rsidRDefault="003771D5" w:rsidP="00BD4E12">
      <w:pPr>
        <w:rPr>
          <w:rStyle w:val="ECCParagraph"/>
        </w:rPr>
      </w:pPr>
    </w:p>
    <w:p w14:paraId="5839E6A0" w14:textId="0598C428" w:rsidR="003771D5" w:rsidRPr="00235592" w:rsidRDefault="003771D5" w:rsidP="009B1F62">
      <w:pPr>
        <w:pStyle w:val="ECCBreak"/>
      </w:pPr>
      <w:r w:rsidRPr="00235592">
        <w:t>CITEL (</w:t>
      </w:r>
      <w:r w:rsidR="001942CB">
        <w:t xml:space="preserve">June </w:t>
      </w:r>
      <w:r w:rsidR="00C70B41">
        <w:t>202</w:t>
      </w:r>
      <w:r w:rsidR="001942CB">
        <w:t>5</w:t>
      </w:r>
      <w:r w:rsidRPr="00235592">
        <w:t>)</w:t>
      </w:r>
    </w:p>
    <w:p w14:paraId="661CA733" w14:textId="77777777" w:rsidR="004B04F6" w:rsidRPr="004B04F6" w:rsidRDefault="004B04F6" w:rsidP="004B04F6">
      <w:pPr>
        <w:rPr>
          <w:rStyle w:val="ECCParagraph"/>
        </w:rPr>
      </w:pPr>
      <w:r w:rsidRPr="004B04F6">
        <w:rPr>
          <w:rStyle w:val="ECCParagraph"/>
        </w:rPr>
        <w:t xml:space="preserve">Preliminary View (PV) </w:t>
      </w:r>
    </w:p>
    <w:p w14:paraId="53EA6652" w14:textId="77777777" w:rsidR="001942CB" w:rsidRPr="001942CB" w:rsidRDefault="001942CB" w:rsidP="001942CB">
      <w:pPr>
        <w:rPr>
          <w:lang w:val="en-US"/>
        </w:rPr>
      </w:pPr>
      <w:r w:rsidRPr="001942CB">
        <w:rPr>
          <w:lang w:val="en-US"/>
        </w:rPr>
        <w:t>Four Administrations, with the objective of promoting access to the mobile-satellite service, especially in remote areas, in rural areas, and in areas of difficult access without terrestrial network connectivity, support to develop studies on possible new MSS frequency allocations consistent with Resolution 254 (WRC-23), including sharing and compatibility studies, that consider technical criteria and parameters to ensure protection to existing radiocommunication services, including those in the adjacent frequency bands, and their future development and without imposing additional restrictions or negatively affecting such services. The overlapping of the frequency bands with agenda Items 1.12/ 1.13 / 1.14 should also be considered during studies under each of these agenda items.</w:t>
      </w:r>
    </w:p>
    <w:p w14:paraId="2B8EF6CD" w14:textId="77777777" w:rsidR="001942CB" w:rsidRDefault="001942CB" w:rsidP="001942CB">
      <w:pPr>
        <w:rPr>
          <w:lang w:val="en-US"/>
        </w:rPr>
      </w:pPr>
      <w:r w:rsidRPr="001942CB">
        <w:rPr>
          <w:lang w:val="en-US"/>
        </w:rPr>
        <w:t xml:space="preserve">One of these administrations is of the view that, considering the multiple WRC-27 agenda items seeking MSS allocations, the spectrum requirements under agenda item 1.14 need to be sufficiently justified, including specific applications and rationale on the demand for spectrum. Any primary MSS allocations under agenda item 1.14 should not be sought in frequency bands already allocated to the mobile service and used extensively by commercial mobile/IMT systems, where it is also expected that these bands may be allocated on a secondary basis for DC-MSS-IMT., such as the 2120-2160 MHz frequency band. </w:t>
      </w:r>
    </w:p>
    <w:p w14:paraId="4579AFA6" w14:textId="77777777" w:rsidR="001942CB" w:rsidRDefault="001942CB" w:rsidP="001942CB">
      <w:r w:rsidRPr="001942CB">
        <w:t xml:space="preserve">Another administration is of the view that noting the overlapping frequency bands between Agenda Items 1.12, 1.13, and 1.14, any regulatory proposals for these overlapping frequency bands should be consistent among all these agenda items and their associated WRC-23 Resolutions. Moreover, existing terrestrial mobile </w:t>
      </w:r>
      <w:r w:rsidRPr="001942CB">
        <w:lastRenderedPageBreak/>
        <w:t xml:space="preserve">operations using frequency bands identified for IMT should be protected from harmful interference, while new MSS operations are incorporated. Special attention should be given to parts of the 2 GHz band already identified for IMT, which are under consideration of both WRC-27 Agenda Items 1.13 and 1.14, including their aggregate impact, as these frequency bands are extensively used for terrestrial IMT. </w:t>
      </w:r>
    </w:p>
    <w:p w14:paraId="0EBA804D" w14:textId="1F6E875D" w:rsidR="003771D5" w:rsidRPr="00235592" w:rsidRDefault="003771D5" w:rsidP="009B1F62">
      <w:pPr>
        <w:pStyle w:val="ECCBreak"/>
      </w:pPr>
      <w:r w:rsidRPr="00235592">
        <w:t>RCC (</w:t>
      </w:r>
      <w:r w:rsidR="00C70B41">
        <w:t>December 2024</w:t>
      </w:r>
      <w:r w:rsidRPr="00235592">
        <w:t>)</w:t>
      </w:r>
    </w:p>
    <w:p w14:paraId="1F202C2D" w14:textId="77777777" w:rsidR="00225C00" w:rsidRPr="00225C00" w:rsidRDefault="00225C00" w:rsidP="00225C00">
      <w:r w:rsidRPr="00225C00">
        <w:t xml:space="preserve">The RCC Administrations do not object to conducting studies on possible additional allocations to the mobile-satellite service. </w:t>
      </w:r>
    </w:p>
    <w:p w14:paraId="23D8BB81" w14:textId="6602E1D2" w:rsidR="003771D5" w:rsidRPr="00235592" w:rsidRDefault="00225C00" w:rsidP="00BD4E12">
      <w:pPr>
        <w:rPr>
          <w:rStyle w:val="ECCParagraph"/>
        </w:rPr>
      </w:pPr>
      <w:r w:rsidRPr="00225C00">
        <w:t>The RCC Administrations believe that additional allocations to the MSS are permissible only if technical and regulatory conditions for their use are established that allow ensuring the protection of existing and planned radio systems in the same or adjacent frequency bands allocated in accordance with the RR Article 5.</w:t>
      </w:r>
    </w:p>
    <w:p w14:paraId="4C9DF9D0" w14:textId="491B03A9" w:rsidR="003771D5" w:rsidRPr="00235592" w:rsidRDefault="003771D5" w:rsidP="00BD4E12">
      <w:pPr>
        <w:pStyle w:val="Heading2"/>
        <w:rPr>
          <w:lang w:val="en-GB"/>
        </w:rPr>
      </w:pPr>
      <w:r w:rsidRPr="00235592">
        <w:rPr>
          <w:lang w:val="en-GB"/>
        </w:rPr>
        <w:t>International organisations</w:t>
      </w:r>
      <w:r w:rsidR="00652804" w:rsidRPr="00A52B8E">
        <w:rPr>
          <w:lang w:val="en-GB"/>
        </w:rPr>
        <w:t xml:space="preserve"> members of the ITU</w:t>
      </w:r>
    </w:p>
    <w:p w14:paraId="354B4C78" w14:textId="77777777" w:rsidR="007F2AB2" w:rsidRPr="00A52B8E" w:rsidRDefault="007F2AB2" w:rsidP="009B1F62">
      <w:pPr>
        <w:pStyle w:val="ECCBreak"/>
      </w:pPr>
      <w:r w:rsidRPr="00A52B8E">
        <w:t>CRAF (date of proposal)</w:t>
      </w:r>
    </w:p>
    <w:p w14:paraId="680BC6AC" w14:textId="77777777" w:rsidR="00BC157A" w:rsidRPr="00235592" w:rsidRDefault="00BC157A" w:rsidP="00BC157A">
      <w:pPr>
        <w:rPr>
          <w:rStyle w:val="ECCParagraph"/>
        </w:rPr>
      </w:pPr>
    </w:p>
    <w:p w14:paraId="294F61D9" w14:textId="6F772B20" w:rsidR="007F2AB2" w:rsidRPr="00A52B8E" w:rsidRDefault="007F2AB2" w:rsidP="009B1F62">
      <w:pPr>
        <w:pStyle w:val="ECCBreak"/>
      </w:pPr>
      <w:r w:rsidRPr="00A52B8E">
        <w:t>EBU (</w:t>
      </w:r>
      <w:r w:rsidR="00367D0C">
        <w:t>March 2025</w:t>
      </w:r>
      <w:r w:rsidRPr="00A52B8E">
        <w:t>)</w:t>
      </w:r>
    </w:p>
    <w:p w14:paraId="1C61323E" w14:textId="050172B9" w:rsidR="00367D0C" w:rsidRPr="00367D0C" w:rsidRDefault="00367D0C" w:rsidP="00367D0C">
      <w:r w:rsidRPr="00367D0C">
        <w:t>If this agenda item is to consider the band 2 010-2 025 MHz, sharing studies between MSS earth stations and PMSE use in this band are required in order to ensure protection of existing and future deployments of wireless video cameras.</w:t>
      </w:r>
      <w:r w:rsidR="00DE4E0F">
        <w:t xml:space="preserve"> </w:t>
      </w:r>
      <w:r w:rsidRPr="00367D0C">
        <w:t>Even if CEPT supports a position that this band should be studied under AI 1.12 and/or AI 1.13, other regions may not. The interactions between these three agenda items, across all regions, needs to be monitored closely.</w:t>
      </w:r>
    </w:p>
    <w:p w14:paraId="1651F70F" w14:textId="1C041D21" w:rsidR="007F2AB2" w:rsidRPr="00A52B8E" w:rsidRDefault="007F2AB2" w:rsidP="009B1F62">
      <w:pPr>
        <w:pStyle w:val="ECCBreak"/>
      </w:pPr>
      <w:r w:rsidRPr="00A52B8E">
        <w:t>ESA (</w:t>
      </w:r>
      <w:r w:rsidR="005E2ACD">
        <w:t>June 2024</w:t>
      </w:r>
      <w:r w:rsidRPr="00A52B8E">
        <w:t>)</w:t>
      </w:r>
    </w:p>
    <w:p w14:paraId="3A9E33AE" w14:textId="07677CC8" w:rsidR="005E2ACD" w:rsidRDefault="005E2ACD" w:rsidP="005E2ACD">
      <w:r w:rsidRPr="00613E07">
        <w:t xml:space="preserve">ESA supports the SFCG objectives, as developed in June 2024, on WRC-27 agenda item </w:t>
      </w:r>
      <w:r>
        <w:t>1.13</w:t>
      </w:r>
      <w:r w:rsidRPr="00613E07">
        <w:t>, as shown below:</w:t>
      </w:r>
    </w:p>
    <w:p w14:paraId="2E0D06B8" w14:textId="2E5517CF" w:rsidR="005E2ACD" w:rsidRDefault="00B9276C" w:rsidP="005E2ACD">
      <w:r>
        <w:t>“</w:t>
      </w:r>
      <w:r w:rsidR="005E2ACD" w:rsidRPr="005E2ACD">
        <w:t>SFCG is not opposed to the consideration of possible new MSS allocations provided that there is no negative impact on the EESS/SOS/SRS in the 2025-2110 MHz frequency band and on the SRS (deep space) in the 2110-2120 MHz band.</w:t>
      </w:r>
      <w:r>
        <w:t>”</w:t>
      </w:r>
    </w:p>
    <w:p w14:paraId="282AC193" w14:textId="5EFC4868" w:rsidR="005E2ACD" w:rsidRDefault="005E2ACD" w:rsidP="005E2ACD">
      <w:pPr>
        <w:rPr>
          <w:rStyle w:val="ECCHLbold"/>
        </w:rPr>
      </w:pPr>
      <w:r w:rsidRPr="005E2ACD">
        <w:rPr>
          <w:rStyle w:val="ECCHLbold"/>
        </w:rPr>
        <w:t>GSMA (date of proposal)</w:t>
      </w:r>
    </w:p>
    <w:p w14:paraId="4917B204" w14:textId="77777777" w:rsidR="0069199F" w:rsidRDefault="0069199F" w:rsidP="005E2ACD">
      <w:pPr>
        <w:rPr>
          <w:rStyle w:val="ECCHLbold"/>
        </w:rPr>
      </w:pPr>
    </w:p>
    <w:p w14:paraId="0AD3251D" w14:textId="3F714900" w:rsidR="00E325A7" w:rsidRPr="00E325A7" w:rsidRDefault="00E325A7" w:rsidP="005E2ACD">
      <w:pPr>
        <w:rPr>
          <w:rStyle w:val="ECCHLbold"/>
        </w:rPr>
      </w:pPr>
      <w:r w:rsidRPr="00E325A7">
        <w:rPr>
          <w:rStyle w:val="ECCHLbold"/>
        </w:rPr>
        <w:t>GSA (March 2025)</w:t>
      </w:r>
    </w:p>
    <w:p w14:paraId="6C98E9E5" w14:textId="4D2BC6D2" w:rsidR="00E325A7" w:rsidRPr="00E325A7" w:rsidRDefault="00E325A7" w:rsidP="00316C33">
      <w:pPr>
        <w:rPr>
          <w:rStyle w:val="ECCParagraph"/>
        </w:rPr>
      </w:pPr>
      <w:r w:rsidRPr="00E325A7">
        <w:t xml:space="preserve">GSA is of the view that </w:t>
      </w:r>
      <w:r w:rsidRPr="00E325A7">
        <w:rPr>
          <w:rStyle w:val="ECCParagraph"/>
        </w:rPr>
        <w:t>since:</w:t>
      </w:r>
    </w:p>
    <w:p w14:paraId="4151DE1E" w14:textId="77777777" w:rsidR="00E325A7" w:rsidRPr="00E325A7" w:rsidRDefault="00E325A7" w:rsidP="0000561D">
      <w:pPr>
        <w:pStyle w:val="ECCBulletsLv1"/>
        <w:rPr>
          <w:rStyle w:val="ECCParagraph"/>
          <w:b/>
        </w:rPr>
      </w:pPr>
      <w:r w:rsidRPr="00E325A7">
        <w:rPr>
          <w:rStyle w:val="ECCParagraph"/>
        </w:rPr>
        <w:t>The scope of WRC-27 AI 1.14 discusses possible new MSS allocations in the frequency ranges 2120-2160 MHz globally and 2160-2170 MHz in Regions 1 &amp; 3 in the space-to-Earth direction,</w:t>
      </w:r>
    </w:p>
    <w:p w14:paraId="7CC2FC56" w14:textId="77777777" w:rsidR="00E325A7" w:rsidRPr="00E325A7" w:rsidRDefault="00E325A7" w:rsidP="0000561D">
      <w:pPr>
        <w:pStyle w:val="ECCBulletsLv1"/>
        <w:rPr>
          <w:rStyle w:val="ECCParagraph"/>
        </w:rPr>
      </w:pPr>
      <w:r w:rsidRPr="00E325A7">
        <w:rPr>
          <w:rStyle w:val="ECCParagraph"/>
        </w:rPr>
        <w:t xml:space="preserve">The above frequency ranges overlap with the downlinks of terrestrial mobile networks which have already been extensively deployed globally (see GSA Report “Mid-Band Spectrum” from December 2024 </w:t>
      </w:r>
      <w:hyperlink r:id="rId24" w:history="1">
        <w:r w:rsidRPr="00E325A7">
          <w:rPr>
            <w:rStyle w:val="Hyperlink"/>
          </w:rPr>
          <w:t>https://gsacom.com/paper/mid-band-spectrum-december-2024/</w:t>
        </w:r>
      </w:hyperlink>
      <w:r w:rsidRPr="00E325A7">
        <w:rPr>
          <w:rStyle w:val="ECCParagraph"/>
        </w:rPr>
        <w:t xml:space="preserve"> ),</w:t>
      </w:r>
    </w:p>
    <w:p w14:paraId="5F576E78" w14:textId="77777777" w:rsidR="00E325A7" w:rsidRPr="00E325A7" w:rsidRDefault="00E325A7" w:rsidP="0000561D">
      <w:pPr>
        <w:pStyle w:val="ECCBulletsLv1"/>
        <w:rPr>
          <w:rStyle w:val="ECCParagraph"/>
          <w:b/>
        </w:rPr>
      </w:pPr>
      <w:r w:rsidRPr="00E325A7">
        <w:rPr>
          <w:rStyle w:val="ECCParagraph"/>
        </w:rPr>
        <w:t>Studies in CEPT have shown that the co-coverage, co-frequency deployment of the MSS and terrestrial networks is unfeasible</w:t>
      </w:r>
      <w:r w:rsidRPr="00E325A7">
        <w:t xml:space="preserve"> </w:t>
      </w:r>
      <w:r w:rsidRPr="00E325A7">
        <w:rPr>
          <w:rStyle w:val="ECCParagraph"/>
        </w:rPr>
        <w:t>unless the networks are jointly managed and coordinated such that the MSS provides complementary coverage under the control of the terrestrial network,</w:t>
      </w:r>
    </w:p>
    <w:p w14:paraId="3835DBEB" w14:textId="77777777" w:rsidR="00E325A7" w:rsidRPr="00E325A7" w:rsidRDefault="00E325A7" w:rsidP="0000561D">
      <w:pPr>
        <w:pStyle w:val="ECCBulletsLv1"/>
        <w:rPr>
          <w:rStyle w:val="ECCParagraph"/>
        </w:rPr>
      </w:pPr>
      <w:r w:rsidRPr="00E325A7">
        <w:rPr>
          <w:rStyle w:val="ECCParagraph"/>
        </w:rPr>
        <w:t>ITU-R WP4C already includes the space-to-Earth frequency ranges of WRC-27 AI 1.14 in the scope of studies under WRC-27 AI 1.13.</w:t>
      </w:r>
    </w:p>
    <w:p w14:paraId="733E6EC7" w14:textId="77795E0C" w:rsidR="006E59D4" w:rsidRPr="00235592" w:rsidRDefault="00E325A7" w:rsidP="006E59D4">
      <w:pPr>
        <w:rPr>
          <w:rStyle w:val="ECCParagraph"/>
        </w:rPr>
      </w:pPr>
      <w:r w:rsidRPr="00E325A7">
        <w:rPr>
          <w:rStyle w:val="ECCParagraph"/>
        </w:rPr>
        <w:lastRenderedPageBreak/>
        <w:t>Therefore, possible new MSS allocations in the space-to-Earth direction considered under WRC-27 AI 1.14 should only be considered under the scope of WRC-27 AI 1.13 to complement terrestrial IMT network coverage.</w:t>
      </w:r>
    </w:p>
    <w:p w14:paraId="7F29EA15" w14:textId="3410FDA1" w:rsidR="00F8504F" w:rsidRPr="00A52B8E" w:rsidRDefault="00F8504F" w:rsidP="009B1F62">
      <w:pPr>
        <w:pStyle w:val="ECCBreak"/>
      </w:pPr>
      <w:r w:rsidRPr="00A52B8E">
        <w:t>GSOA (</w:t>
      </w:r>
      <w:r w:rsidR="001942CB">
        <w:t>June 2025</w:t>
      </w:r>
      <w:r w:rsidRPr="00A52B8E">
        <w:t>)</w:t>
      </w:r>
    </w:p>
    <w:p w14:paraId="58BEBC97" w14:textId="32A712DA" w:rsidR="00885BFF" w:rsidRPr="00235592" w:rsidRDefault="00ED7641" w:rsidP="00885BFF">
      <w:pPr>
        <w:rPr>
          <w:rStyle w:val="ECCParagraph"/>
        </w:rPr>
      </w:pPr>
      <w:r w:rsidRPr="00ED7641">
        <w:rPr>
          <w:rStyle w:val="ECCParagraph"/>
        </w:rPr>
        <w:t xml:space="preserve">GSOA supports studies under Resolves 1, 2, and 3 of Resolution 254 (WRC-23) and new spectrum allocations to the MSS.  </w:t>
      </w:r>
    </w:p>
    <w:p w14:paraId="417F5D3F" w14:textId="77777777" w:rsidR="00554C4C" w:rsidRPr="00A52B8E" w:rsidRDefault="00554C4C" w:rsidP="009B1F62">
      <w:pPr>
        <w:pStyle w:val="ECCBreak"/>
      </w:pPr>
      <w:r w:rsidRPr="00A52B8E">
        <w:t>IARU (date of proposal)</w:t>
      </w:r>
    </w:p>
    <w:p w14:paraId="4E2922B6" w14:textId="77777777" w:rsidR="00554C4C" w:rsidRPr="00235592" w:rsidRDefault="00554C4C" w:rsidP="00554C4C">
      <w:pPr>
        <w:rPr>
          <w:rStyle w:val="ECCParagraph"/>
        </w:rPr>
      </w:pPr>
    </w:p>
    <w:p w14:paraId="1B257E61" w14:textId="77777777" w:rsidR="00554C4C" w:rsidRPr="009701EC" w:rsidRDefault="00554C4C" w:rsidP="009B1F62">
      <w:pPr>
        <w:pStyle w:val="ECCBreak"/>
      </w:pPr>
      <w:r w:rsidRPr="009701EC">
        <w:t>IATA (date of proposal)</w:t>
      </w:r>
    </w:p>
    <w:p w14:paraId="086E160D" w14:textId="77777777" w:rsidR="00554C4C" w:rsidRPr="009701EC" w:rsidRDefault="00554C4C" w:rsidP="009B1F62">
      <w:pPr>
        <w:rPr>
          <w:rStyle w:val="ECCParagraph"/>
          <w:b/>
          <w:bCs/>
          <w:iCs/>
          <w:szCs w:val="28"/>
        </w:rPr>
      </w:pPr>
    </w:p>
    <w:p w14:paraId="66F485B0" w14:textId="3029EB12" w:rsidR="009701EC" w:rsidRDefault="00D15FCC" w:rsidP="009701EC">
      <w:pPr>
        <w:pStyle w:val="Heading2"/>
      </w:pPr>
      <w:r>
        <w:t xml:space="preserve">UN </w:t>
      </w:r>
      <w:r w:rsidR="00B54B09">
        <w:t>l</w:t>
      </w:r>
      <w:r w:rsidR="00570BE1">
        <w:t xml:space="preserve">evel </w:t>
      </w:r>
      <w:r>
        <w:t>C</w:t>
      </w:r>
      <w:r w:rsidR="00D1280A">
        <w:t>o</w:t>
      </w:r>
      <w:r>
        <w:t>mmittees</w:t>
      </w:r>
    </w:p>
    <w:p w14:paraId="1C0A5EFE" w14:textId="29D40EF2" w:rsidR="003771D5" w:rsidRPr="009701EC" w:rsidRDefault="003771D5" w:rsidP="009B1F62">
      <w:pPr>
        <w:pStyle w:val="ECCBreak"/>
      </w:pPr>
      <w:r w:rsidRPr="009701EC">
        <w:t>ICAO (date of proposal)</w:t>
      </w:r>
    </w:p>
    <w:p w14:paraId="54EB00E7" w14:textId="77777777" w:rsidR="003771D5" w:rsidRPr="00AD6CD6" w:rsidRDefault="003771D5" w:rsidP="00BD4E12">
      <w:pPr>
        <w:rPr>
          <w:rStyle w:val="ECCParagraph"/>
          <w:lang w:val="en-US"/>
        </w:rPr>
      </w:pPr>
    </w:p>
    <w:p w14:paraId="568E7476" w14:textId="77777777" w:rsidR="003771D5" w:rsidRPr="009701EC" w:rsidRDefault="003771D5" w:rsidP="009B1F62">
      <w:pPr>
        <w:pStyle w:val="ECCBreak"/>
      </w:pPr>
      <w:r w:rsidRPr="009701EC">
        <w:t>IMO (date of proposal)</w:t>
      </w:r>
    </w:p>
    <w:p w14:paraId="3216A4D7" w14:textId="106FC05B" w:rsidR="003771D5" w:rsidRDefault="003771D5" w:rsidP="00BD4E12">
      <w:pPr>
        <w:rPr>
          <w:rStyle w:val="ECCParagraph"/>
        </w:rPr>
      </w:pPr>
    </w:p>
    <w:p w14:paraId="026E1DD9" w14:textId="03C1BF08" w:rsidR="003771D5" w:rsidRDefault="003771D5" w:rsidP="009B1F62">
      <w:pPr>
        <w:pStyle w:val="ECCBreak"/>
      </w:pPr>
      <w:r w:rsidRPr="00235592">
        <w:t>WMO (</w:t>
      </w:r>
      <w:r w:rsidR="00F06612">
        <w:t>March</w:t>
      </w:r>
      <w:r w:rsidR="005E2ACD">
        <w:t xml:space="preserve"> 2024</w:t>
      </w:r>
      <w:r w:rsidRPr="00235592">
        <w:t>)</w:t>
      </w:r>
    </w:p>
    <w:p w14:paraId="557BCBB9" w14:textId="478975F8" w:rsidR="003771D5" w:rsidRPr="007932FC" w:rsidRDefault="005E2ACD" w:rsidP="00BD4E12">
      <w:pPr>
        <w:rPr>
          <w:rStyle w:val="ECCParagraph"/>
        </w:rPr>
      </w:pPr>
      <w:r w:rsidRPr="005E2ACD">
        <w:t>WMO does not oppose possible additional allocations to the MSS in the 2 010-2 025 MHz (Earth-to-space) band, provided that there is no impact on the operation of EESS/MetSat satellite systems in the adjacent 2 025-2 110 MHz frequency band.</w:t>
      </w:r>
    </w:p>
    <w:p w14:paraId="09435367" w14:textId="32C5C831" w:rsidR="003771D5" w:rsidRPr="00235592" w:rsidRDefault="00B54B09" w:rsidP="00BD4E12">
      <w:pPr>
        <w:pStyle w:val="Heading2"/>
        <w:rPr>
          <w:lang w:val="en-GB"/>
        </w:rPr>
      </w:pPr>
      <w:r>
        <w:t>Other</w:t>
      </w:r>
      <w:r w:rsidR="00485535">
        <w:t xml:space="preserve"> </w:t>
      </w:r>
      <w:r w:rsidR="00A23AFE">
        <w:t>ECC MoU/L</w:t>
      </w:r>
      <w:r w:rsidR="00D1280A">
        <w:t>o</w:t>
      </w:r>
      <w:r w:rsidR="00A23AFE">
        <w:t>U partners</w:t>
      </w:r>
    </w:p>
    <w:p w14:paraId="4149F051" w14:textId="7425DE30" w:rsidR="00485535" w:rsidRDefault="00485535" w:rsidP="009B1F62">
      <w:pPr>
        <w:pStyle w:val="ECCBreak"/>
      </w:pPr>
      <w:r>
        <w:t>EUMETNET (</w:t>
      </w:r>
      <w:r w:rsidR="00B51C58">
        <w:t>March 2024</w:t>
      </w:r>
      <w:r>
        <w:t>)</w:t>
      </w:r>
    </w:p>
    <w:p w14:paraId="19E1B302" w14:textId="41603CD5" w:rsidR="00EF69A0" w:rsidRPr="00235592" w:rsidRDefault="00B51C58" w:rsidP="00EF69A0">
      <w:pPr>
        <w:rPr>
          <w:rStyle w:val="ECCParagraph"/>
        </w:rPr>
      </w:pPr>
      <w:r w:rsidRPr="00B51C58">
        <w:rPr>
          <w:rStyle w:val="ECCParagraph"/>
        </w:rPr>
        <w:t>EUMETNET supports the WMO position.</w:t>
      </w:r>
    </w:p>
    <w:p w14:paraId="4649D611" w14:textId="33C26FF7" w:rsidR="003771D5" w:rsidRPr="00235592" w:rsidRDefault="00890D52" w:rsidP="009B1F62">
      <w:pPr>
        <w:pStyle w:val="ECCBreak"/>
      </w:pPr>
      <w:r>
        <w:t>EUROCONTROL</w:t>
      </w:r>
      <w:r w:rsidRPr="00235592">
        <w:t xml:space="preserve"> </w:t>
      </w:r>
      <w:r w:rsidR="003771D5" w:rsidRPr="00235592">
        <w:t>(date of proposal)</w:t>
      </w:r>
    </w:p>
    <w:p w14:paraId="19A63121" w14:textId="77777777" w:rsidR="003771D5" w:rsidRPr="00235592" w:rsidRDefault="003771D5" w:rsidP="00BD4E12">
      <w:pPr>
        <w:rPr>
          <w:rStyle w:val="ECCParagraph"/>
        </w:rPr>
      </w:pPr>
    </w:p>
    <w:p w14:paraId="220232F8" w14:textId="7A16A47F" w:rsidR="00D91D39" w:rsidDel="003219F7" w:rsidRDefault="00D91D39" w:rsidP="009B1F62">
      <w:pPr>
        <w:pStyle w:val="ECCBreak"/>
        <w:rPr>
          <w:rStyle w:val="ECCParagraph"/>
          <w:rFonts w:eastAsia="Calibri"/>
          <w:b w:val="0"/>
          <w:bCs w:val="0"/>
          <w:iCs w:val="0"/>
          <w:szCs w:val="22"/>
        </w:rPr>
      </w:pPr>
      <w:r w:rsidDel="003219F7">
        <w:rPr>
          <w:rStyle w:val="ECCParagraph"/>
        </w:rPr>
        <w:t xml:space="preserve">NATO </w:t>
      </w:r>
      <w:r w:rsidRPr="00C377C2" w:rsidDel="003219F7">
        <w:t>(</w:t>
      </w:r>
      <w:r w:rsidR="00AD6CD6">
        <w:t xml:space="preserve">April </w:t>
      </w:r>
      <w:r w:rsidR="00B51C58">
        <w:t>202</w:t>
      </w:r>
      <w:r w:rsidR="00AD6CD6">
        <w:t>5</w:t>
      </w:r>
      <w:r w:rsidRPr="00C377C2" w:rsidDel="003219F7">
        <w:t>)</w:t>
      </w:r>
    </w:p>
    <w:p w14:paraId="7CB128F1" w14:textId="77777777" w:rsidR="00B51C58" w:rsidRPr="00B51C58" w:rsidRDefault="00B51C58" w:rsidP="00B51C58">
      <w:pPr>
        <w:rPr>
          <w:rStyle w:val="ECCHLunderlined"/>
        </w:rPr>
      </w:pPr>
      <w:r w:rsidRPr="00B51C58">
        <w:rPr>
          <w:rStyle w:val="ECCHLunderlined"/>
        </w:rPr>
        <w:t>Preliminary NATO Military Interest Statement</w:t>
      </w:r>
    </w:p>
    <w:p w14:paraId="337C92A6" w14:textId="77777777" w:rsidR="00B51C58" w:rsidRPr="00B51C58" w:rsidRDefault="00B51C58" w:rsidP="00B51C58">
      <w:pPr>
        <w:rPr>
          <w:rStyle w:val="ECCParagraph"/>
        </w:rPr>
      </w:pPr>
      <w:r w:rsidRPr="00B51C58">
        <w:rPr>
          <w:rStyle w:val="ECCParagraph"/>
        </w:rPr>
        <w:t>NATO military systems are utilising the NATO harmonised band 2 025-2 110 MHZ which is adjacent to the 2 010-2 025 MHz band under study. The other bands which are in the tuning range of the TRR and partly for unmanned systems are of interest for NATO.</w:t>
      </w:r>
    </w:p>
    <w:p w14:paraId="3F2EBB62" w14:textId="7DB58D03" w:rsidR="00EF69A0" w:rsidRDefault="00B51C58" w:rsidP="00EF69A0">
      <w:pPr>
        <w:rPr>
          <w:rStyle w:val="ECCParagraph"/>
        </w:rPr>
      </w:pPr>
      <w:r w:rsidRPr="00B51C58">
        <w:rPr>
          <w:rStyle w:val="ECCParagraph"/>
        </w:rPr>
        <w:t>NATO systems might be affected by these new allocations.</w:t>
      </w:r>
    </w:p>
    <w:p w14:paraId="38EFA480" w14:textId="4EF62E33" w:rsidR="00AD6CD6" w:rsidRPr="00316C33" w:rsidRDefault="00AD6CD6" w:rsidP="00EF69A0">
      <w:pPr>
        <w:rPr>
          <w:rStyle w:val="ECCHLunderlined"/>
        </w:rPr>
      </w:pPr>
      <w:r w:rsidRPr="00316C33">
        <w:rPr>
          <w:rStyle w:val="ECCHLunderlined"/>
        </w:rPr>
        <w:lastRenderedPageBreak/>
        <w:t>Preliminary NATO Position</w:t>
      </w:r>
    </w:p>
    <w:p w14:paraId="55574021" w14:textId="0F441785" w:rsidR="00AD6CD6" w:rsidRPr="00235592" w:rsidRDefault="00AD6CD6" w:rsidP="00EF69A0">
      <w:pPr>
        <w:rPr>
          <w:rStyle w:val="ECCParagraph"/>
        </w:rPr>
      </w:pPr>
      <w:r w:rsidRPr="00EA7634">
        <w:t>NATO will monitor and further assess the work under this agenda item, in order to safeguard the operation of military systems in the adjacent band 2 025 - 2 110 MHz</w:t>
      </w:r>
    </w:p>
    <w:sectPr w:rsidR="00AD6CD6" w:rsidRPr="00235592" w:rsidSect="00482679">
      <w:headerReference w:type="even" r:id="rId25"/>
      <w:headerReference w:type="default" r:id="rId26"/>
      <w:footerReference w:type="even" r:id="rId27"/>
      <w:footerReference w:type="default" r:id="rId28"/>
      <w:headerReference w:type="first" r:id="rId29"/>
      <w:footerReference w:type="first" r:id="rId3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5623" w14:textId="77777777" w:rsidR="005F7FF5" w:rsidRDefault="005F7FF5" w:rsidP="00D0121B">
      <w:r>
        <w:separator/>
      </w:r>
    </w:p>
    <w:p w14:paraId="50BF71AD" w14:textId="77777777" w:rsidR="005F7FF5" w:rsidRDefault="005F7FF5"/>
    <w:p w14:paraId="5B78E884" w14:textId="77777777" w:rsidR="005F7FF5" w:rsidRDefault="005F7FF5"/>
  </w:endnote>
  <w:endnote w:type="continuationSeparator" w:id="0">
    <w:p w14:paraId="7CC2AFAA" w14:textId="77777777" w:rsidR="005F7FF5" w:rsidRDefault="005F7FF5" w:rsidP="00D0121B">
      <w:r>
        <w:continuationSeparator/>
      </w:r>
    </w:p>
    <w:p w14:paraId="53D9F668" w14:textId="77777777" w:rsidR="005F7FF5" w:rsidRDefault="005F7FF5"/>
    <w:p w14:paraId="6BCED21D" w14:textId="77777777" w:rsidR="005F7FF5" w:rsidRDefault="005F7FF5"/>
  </w:endnote>
  <w:endnote w:type="continuationNotice" w:id="1">
    <w:p w14:paraId="0624334F" w14:textId="77777777" w:rsidR="005F7FF5" w:rsidRDefault="005F7F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CC4E" w14:textId="77777777" w:rsidR="00022127" w:rsidRDefault="00022127">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5677" w14:textId="77777777" w:rsidR="00022127" w:rsidRDefault="00022127">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A4A8" w14:textId="77777777" w:rsidR="00022127" w:rsidRDefault="00022127">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B20D" w14:textId="77777777" w:rsidR="005F7FF5" w:rsidRPr="00C77ABB" w:rsidRDefault="005F7FF5" w:rsidP="00C77ABB">
      <w:pPr>
        <w:pStyle w:val="FootnoteText"/>
      </w:pPr>
      <w:r w:rsidRPr="00C77ABB">
        <w:separator/>
      </w:r>
    </w:p>
  </w:footnote>
  <w:footnote w:type="continuationSeparator" w:id="0">
    <w:p w14:paraId="17DEE7AE" w14:textId="77777777" w:rsidR="005F7FF5" w:rsidRPr="00C77ABB" w:rsidRDefault="005F7FF5" w:rsidP="00C77ABB">
      <w:pPr>
        <w:pStyle w:val="FootnoteText"/>
      </w:pPr>
      <w:r w:rsidRPr="00C77ABB">
        <w:continuationSeparator/>
      </w:r>
    </w:p>
  </w:footnote>
  <w:footnote w:type="continuationNotice" w:id="1">
    <w:p w14:paraId="64D89472" w14:textId="77777777" w:rsidR="005F7FF5" w:rsidRDefault="005F7FF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D2F" w14:textId="05391D5D" w:rsidR="00E06B29" w:rsidRPr="00CF2EC7" w:rsidRDefault="003771D5" w:rsidP="003A68D5">
    <w:pPr>
      <w:pStyle w:val="ECCpageHeader"/>
      <w:rPr>
        <w:lang w:val="en-US"/>
      </w:rPr>
    </w:pPr>
    <w:r w:rsidRPr="00CF2EC7">
      <w:rPr>
        <w:lang w:val="en-US"/>
      </w:rPr>
      <w:t xml:space="preserve">Draft CEPT Brief on AI </w:t>
    </w:r>
    <w:r w:rsidR="00022127">
      <w:t>1.14</w:t>
    </w:r>
    <w:r w:rsidRPr="00CF2EC7">
      <w:rPr>
        <w:lang w:val="en-US"/>
      </w:rPr>
      <w:t xml:space="preserve"> </w:t>
    </w:r>
    <w:r w:rsidR="002D6680" w:rsidRPr="00CF2EC7">
      <w:rPr>
        <w:lang w:val="en-US"/>
      </w:rPr>
      <w:t xml:space="preserve">-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7932FC">
      <w:rPr>
        <w:noProof/>
        <w:lang w:val="en-US"/>
      </w:rPr>
      <w:t>2</w:t>
    </w:r>
    <w:r w:rsidR="005C10EB"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73B" w14:textId="1984AAEB" w:rsidR="00E06B29" w:rsidRPr="00CF2EC7" w:rsidRDefault="00D904D5" w:rsidP="003A68D5">
    <w:pPr>
      <w:pStyle w:val="ECCpageHeader"/>
      <w:rPr>
        <w:lang w:val="en-US"/>
      </w:rPr>
    </w:pPr>
    <w:r>
      <w:tab/>
    </w:r>
    <w:r>
      <w:tab/>
    </w:r>
    <w:r w:rsidR="002D6680" w:rsidRPr="00CF2EC7">
      <w:rPr>
        <w:lang w:val="en-US"/>
      </w:rPr>
      <w:t xml:space="preserve">Draft CEPT Brief on AI </w:t>
    </w:r>
    <w:r w:rsidR="00022127">
      <w:t>1.14</w:t>
    </w:r>
    <w:r w:rsidR="002D6680" w:rsidRPr="00CF2EC7">
      <w:rPr>
        <w:lang w:val="en-US"/>
      </w:rPr>
      <w:t xml:space="preserve"> -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7932FC">
      <w:rPr>
        <w:noProof/>
        <w:lang w:val="en-US"/>
      </w:rPr>
      <w:t>7</w:t>
    </w:r>
    <w:r w:rsidR="005C10EB"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E56" w14:textId="77777777" w:rsidR="005C10EB" w:rsidRDefault="003771D5" w:rsidP="003A68D5">
    <w:pPr>
      <w:pStyle w:val="ECCpageHeader"/>
    </w:pPr>
    <w:r w:rsidRPr="008742E3">
      <w:rPr>
        <w:noProof/>
        <w:lang w:val="de-DE" w:eastAsia="de-DE"/>
      </w:rPr>
      <w:drawing>
        <wp:inline distT="0" distB="0" distL="0" distR="0" wp14:anchorId="5F0E6159" wp14:editId="45B98E97">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val="de-DE" w:eastAsia="de-DE"/>
      </w:rPr>
      <w:drawing>
        <wp:inline distT="0" distB="0" distL="0" distR="0" wp14:anchorId="7AA008F9" wp14:editId="68853BA8">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66DE6A5" w14:textId="77777777" w:rsidR="003771D5" w:rsidRPr="005611D0" w:rsidRDefault="003771D5" w:rsidP="00377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F665A4"/>
    <w:lvl w:ilvl="0">
      <w:start w:val="1"/>
      <w:numFmt w:val="decimal"/>
      <w:lvlText w:val="%1."/>
      <w:lvlJc w:val="left"/>
      <w:pPr>
        <w:tabs>
          <w:tab w:val="num" w:pos="2122"/>
        </w:tabs>
        <w:ind w:left="212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88D4257"/>
    <w:multiLevelType w:val="hybridMultilevel"/>
    <w:tmpl w:val="D6B8F664"/>
    <w:lvl w:ilvl="0" w:tplc="CDBC2A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2029747637">
    <w:abstractNumId w:val="11"/>
  </w:num>
  <w:num w:numId="2" w16cid:durableId="1045176126">
    <w:abstractNumId w:val="12"/>
  </w:num>
  <w:num w:numId="3" w16cid:durableId="1921018882">
    <w:abstractNumId w:val="11"/>
  </w:num>
  <w:num w:numId="4" w16cid:durableId="1209024348">
    <w:abstractNumId w:val="18"/>
  </w:num>
  <w:num w:numId="5" w16cid:durableId="1157764084">
    <w:abstractNumId w:val="14"/>
  </w:num>
  <w:num w:numId="6" w16cid:durableId="348338426">
    <w:abstractNumId w:val="17"/>
  </w:num>
  <w:num w:numId="7" w16cid:durableId="747582935">
    <w:abstractNumId w:val="16"/>
  </w:num>
  <w:num w:numId="8" w16cid:durableId="679740795">
    <w:abstractNumId w:val="10"/>
  </w:num>
  <w:num w:numId="9" w16cid:durableId="1187213232">
    <w:abstractNumId w:val="9"/>
  </w:num>
  <w:num w:numId="10" w16cid:durableId="1345474665">
    <w:abstractNumId w:val="7"/>
  </w:num>
  <w:num w:numId="11" w16cid:durableId="1114516017">
    <w:abstractNumId w:val="6"/>
  </w:num>
  <w:num w:numId="12" w16cid:durableId="203257155">
    <w:abstractNumId w:val="5"/>
  </w:num>
  <w:num w:numId="13" w16cid:durableId="374543639">
    <w:abstractNumId w:val="4"/>
  </w:num>
  <w:num w:numId="14" w16cid:durableId="1567566249">
    <w:abstractNumId w:val="8"/>
  </w:num>
  <w:num w:numId="15" w16cid:durableId="1032419005">
    <w:abstractNumId w:val="3"/>
  </w:num>
  <w:num w:numId="16" w16cid:durableId="974211813">
    <w:abstractNumId w:val="2"/>
  </w:num>
  <w:num w:numId="17" w16cid:durableId="904528714">
    <w:abstractNumId w:val="1"/>
  </w:num>
  <w:num w:numId="18" w16cid:durableId="997616452">
    <w:abstractNumId w:val="0"/>
  </w:num>
  <w:num w:numId="19" w16cid:durableId="30501616">
    <w:abstractNumId w:val="13"/>
  </w:num>
  <w:num w:numId="20" w16cid:durableId="1004209661">
    <w:abstractNumId w:val="13"/>
  </w:num>
  <w:num w:numId="21" w16cid:durableId="2087796403">
    <w:abstractNumId w:val="10"/>
  </w:num>
  <w:num w:numId="22" w16cid:durableId="1134326929">
    <w:abstractNumId w:val="12"/>
  </w:num>
  <w:num w:numId="23" w16cid:durableId="954948954">
    <w:abstractNumId w:val="12"/>
  </w:num>
  <w:num w:numId="24" w16cid:durableId="1142506787">
    <w:abstractNumId w:val="12"/>
  </w:num>
  <w:num w:numId="25" w16cid:durableId="2058627620">
    <w:abstractNumId w:val="12"/>
  </w:num>
  <w:num w:numId="26" w16cid:durableId="1183473203">
    <w:abstractNumId w:val="10"/>
  </w:num>
  <w:num w:numId="27" w16cid:durableId="954754409">
    <w:abstractNumId w:val="10"/>
  </w:num>
  <w:num w:numId="28" w16cid:durableId="1169639598">
    <w:abstractNumId w:val="10"/>
  </w:num>
  <w:num w:numId="29" w16cid:durableId="2073968148">
    <w:abstractNumId w:val="13"/>
  </w:num>
  <w:num w:numId="30" w16cid:durableId="2132937505">
    <w:abstractNumId w:val="16"/>
  </w:num>
  <w:num w:numId="31" w16cid:durableId="1254044487">
    <w:abstractNumId w:val="18"/>
  </w:num>
  <w:num w:numId="32" w16cid:durableId="1827091248">
    <w:abstractNumId w:val="14"/>
  </w:num>
  <w:num w:numId="33" w16cid:durableId="729379545">
    <w:abstractNumId w:val="17"/>
  </w:num>
  <w:num w:numId="34" w16cid:durableId="1906141152">
    <w:abstractNumId w:val="16"/>
  </w:num>
  <w:num w:numId="35" w16cid:durableId="559513226">
    <w:abstractNumId w:val="16"/>
  </w:num>
  <w:num w:numId="36" w16cid:durableId="194083939">
    <w:abstractNumId w:val="16"/>
  </w:num>
  <w:num w:numId="37" w16cid:durableId="124892338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AES" w:cryptAlgorithmClass="hash" w:cryptAlgorithmType="typeAny" w:cryptAlgorithmSid="14" w:cryptSpinCount="100000" w:hash="kGPriJzZ2NeTQbLhCJkpHE8Adb6PXQ8fJpzHrkD7uEcz4POHT1ZNTpNWz0DGuO7W/a1ZaKpHyqG1cpE/F1ULtQ==" w:salt="+iOKmdLsYjqiyaO9OuoMVg=="/>
  <w:autoFormatOverride/>
  <w:styleLockTheme/>
  <w:styleLockQFSet/>
  <w:defaultTabStop w:val="56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2E"/>
    <w:rsid w:val="0000561D"/>
    <w:rsid w:val="00006702"/>
    <w:rsid w:val="00015077"/>
    <w:rsid w:val="00022127"/>
    <w:rsid w:val="00030716"/>
    <w:rsid w:val="00041A18"/>
    <w:rsid w:val="00046D3F"/>
    <w:rsid w:val="00052CAE"/>
    <w:rsid w:val="00060315"/>
    <w:rsid w:val="000611F2"/>
    <w:rsid w:val="00061762"/>
    <w:rsid w:val="00062CB1"/>
    <w:rsid w:val="000660F5"/>
    <w:rsid w:val="00066FAA"/>
    <w:rsid w:val="00067793"/>
    <w:rsid w:val="000701A5"/>
    <w:rsid w:val="000709E1"/>
    <w:rsid w:val="00073CBA"/>
    <w:rsid w:val="000772CE"/>
    <w:rsid w:val="00080D4D"/>
    <w:rsid w:val="00082DD7"/>
    <w:rsid w:val="0008367B"/>
    <w:rsid w:val="00085BC5"/>
    <w:rsid w:val="00095620"/>
    <w:rsid w:val="00097D7A"/>
    <w:rsid w:val="000A29BC"/>
    <w:rsid w:val="000A3940"/>
    <w:rsid w:val="000A3F8A"/>
    <w:rsid w:val="000A55CC"/>
    <w:rsid w:val="000A6285"/>
    <w:rsid w:val="000B2156"/>
    <w:rsid w:val="000B5026"/>
    <w:rsid w:val="000C028F"/>
    <w:rsid w:val="000C44BE"/>
    <w:rsid w:val="000C5CB6"/>
    <w:rsid w:val="000D1710"/>
    <w:rsid w:val="000D7A37"/>
    <w:rsid w:val="000E15DF"/>
    <w:rsid w:val="000E42F5"/>
    <w:rsid w:val="000E4820"/>
    <w:rsid w:val="000E7E33"/>
    <w:rsid w:val="000F0594"/>
    <w:rsid w:val="000F1620"/>
    <w:rsid w:val="000F24F5"/>
    <w:rsid w:val="000F3F0B"/>
    <w:rsid w:val="000F41FF"/>
    <w:rsid w:val="001006CA"/>
    <w:rsid w:val="00100F8B"/>
    <w:rsid w:val="00102735"/>
    <w:rsid w:val="0011639D"/>
    <w:rsid w:val="00125478"/>
    <w:rsid w:val="0013488F"/>
    <w:rsid w:val="001378C1"/>
    <w:rsid w:val="00144994"/>
    <w:rsid w:val="00155F1F"/>
    <w:rsid w:val="00172DF7"/>
    <w:rsid w:val="0017456E"/>
    <w:rsid w:val="00180773"/>
    <w:rsid w:val="00182755"/>
    <w:rsid w:val="00183125"/>
    <w:rsid w:val="00183FE0"/>
    <w:rsid w:val="0018553F"/>
    <w:rsid w:val="00190EE9"/>
    <w:rsid w:val="0019367C"/>
    <w:rsid w:val="001942CB"/>
    <w:rsid w:val="001C120C"/>
    <w:rsid w:val="001D15AA"/>
    <w:rsid w:val="001D334F"/>
    <w:rsid w:val="001D4247"/>
    <w:rsid w:val="001E140C"/>
    <w:rsid w:val="001E337B"/>
    <w:rsid w:val="001F0B63"/>
    <w:rsid w:val="001F114A"/>
    <w:rsid w:val="001F30F8"/>
    <w:rsid w:val="001F4230"/>
    <w:rsid w:val="0020079A"/>
    <w:rsid w:val="0020250F"/>
    <w:rsid w:val="00206C4A"/>
    <w:rsid w:val="00210498"/>
    <w:rsid w:val="002132DB"/>
    <w:rsid w:val="00220194"/>
    <w:rsid w:val="00221CAC"/>
    <w:rsid w:val="00222EE4"/>
    <w:rsid w:val="00225C00"/>
    <w:rsid w:val="00226070"/>
    <w:rsid w:val="002267D3"/>
    <w:rsid w:val="00230F06"/>
    <w:rsid w:val="00233207"/>
    <w:rsid w:val="0023498B"/>
    <w:rsid w:val="00235592"/>
    <w:rsid w:val="00236978"/>
    <w:rsid w:val="00243CA6"/>
    <w:rsid w:val="00245AD0"/>
    <w:rsid w:val="00246CF7"/>
    <w:rsid w:val="00250156"/>
    <w:rsid w:val="00251F87"/>
    <w:rsid w:val="002620A2"/>
    <w:rsid w:val="00271881"/>
    <w:rsid w:val="0027241D"/>
    <w:rsid w:val="00273354"/>
    <w:rsid w:val="00274F84"/>
    <w:rsid w:val="0028060B"/>
    <w:rsid w:val="0028120C"/>
    <w:rsid w:val="00292527"/>
    <w:rsid w:val="00293920"/>
    <w:rsid w:val="00295827"/>
    <w:rsid w:val="00295F16"/>
    <w:rsid w:val="002A0813"/>
    <w:rsid w:val="002A58F6"/>
    <w:rsid w:val="002A6C92"/>
    <w:rsid w:val="002B6FF6"/>
    <w:rsid w:val="002C5C63"/>
    <w:rsid w:val="002D0ABC"/>
    <w:rsid w:val="002D1FA9"/>
    <w:rsid w:val="002D50A3"/>
    <w:rsid w:val="002D6680"/>
    <w:rsid w:val="002E0634"/>
    <w:rsid w:val="002E186F"/>
    <w:rsid w:val="002E786C"/>
    <w:rsid w:val="002F1CFE"/>
    <w:rsid w:val="002F1E6A"/>
    <w:rsid w:val="002F6B2E"/>
    <w:rsid w:val="0030305A"/>
    <w:rsid w:val="003031DA"/>
    <w:rsid w:val="00303BF9"/>
    <w:rsid w:val="00305C21"/>
    <w:rsid w:val="00307A79"/>
    <w:rsid w:val="00312E94"/>
    <w:rsid w:val="00316C33"/>
    <w:rsid w:val="003219F7"/>
    <w:rsid w:val="00322E6A"/>
    <w:rsid w:val="0032496D"/>
    <w:rsid w:val="003314A0"/>
    <w:rsid w:val="0033493B"/>
    <w:rsid w:val="003419EF"/>
    <w:rsid w:val="003468E7"/>
    <w:rsid w:val="00360F24"/>
    <w:rsid w:val="00361E54"/>
    <w:rsid w:val="0036268F"/>
    <w:rsid w:val="003630AE"/>
    <w:rsid w:val="00364DC0"/>
    <w:rsid w:val="00367D0C"/>
    <w:rsid w:val="00370A0C"/>
    <w:rsid w:val="0037607F"/>
    <w:rsid w:val="00376426"/>
    <w:rsid w:val="00376CCC"/>
    <w:rsid w:val="003771D5"/>
    <w:rsid w:val="00381FB8"/>
    <w:rsid w:val="0038358E"/>
    <w:rsid w:val="00391A01"/>
    <w:rsid w:val="003A465E"/>
    <w:rsid w:val="003A5711"/>
    <w:rsid w:val="003A68D5"/>
    <w:rsid w:val="003B7070"/>
    <w:rsid w:val="003C41C9"/>
    <w:rsid w:val="003C64D9"/>
    <w:rsid w:val="003C72B9"/>
    <w:rsid w:val="003E70E0"/>
    <w:rsid w:val="003F2EF1"/>
    <w:rsid w:val="003F7A0F"/>
    <w:rsid w:val="00403CE6"/>
    <w:rsid w:val="0040683A"/>
    <w:rsid w:val="00407336"/>
    <w:rsid w:val="004074CC"/>
    <w:rsid w:val="004110CA"/>
    <w:rsid w:val="0042509E"/>
    <w:rsid w:val="0042653A"/>
    <w:rsid w:val="0043105D"/>
    <w:rsid w:val="00440C3D"/>
    <w:rsid w:val="00443482"/>
    <w:rsid w:val="00443912"/>
    <w:rsid w:val="00446E3E"/>
    <w:rsid w:val="00450308"/>
    <w:rsid w:val="00457AD1"/>
    <w:rsid w:val="004629B9"/>
    <w:rsid w:val="00462D0B"/>
    <w:rsid w:val="0046427F"/>
    <w:rsid w:val="00466124"/>
    <w:rsid w:val="00466FA9"/>
    <w:rsid w:val="00470D4B"/>
    <w:rsid w:val="00473469"/>
    <w:rsid w:val="00474DC4"/>
    <w:rsid w:val="0047607D"/>
    <w:rsid w:val="0048065A"/>
    <w:rsid w:val="00482679"/>
    <w:rsid w:val="004826CF"/>
    <w:rsid w:val="00485307"/>
    <w:rsid w:val="00485535"/>
    <w:rsid w:val="00491977"/>
    <w:rsid w:val="0049491B"/>
    <w:rsid w:val="004A1329"/>
    <w:rsid w:val="004A511D"/>
    <w:rsid w:val="004B04F6"/>
    <w:rsid w:val="004B18B6"/>
    <w:rsid w:val="004C4A2E"/>
    <w:rsid w:val="004C4E37"/>
    <w:rsid w:val="004C75E2"/>
    <w:rsid w:val="004D5026"/>
    <w:rsid w:val="004D5EA3"/>
    <w:rsid w:val="004E2963"/>
    <w:rsid w:val="004E2DD3"/>
    <w:rsid w:val="004E44C8"/>
    <w:rsid w:val="004E53BE"/>
    <w:rsid w:val="004F16F4"/>
    <w:rsid w:val="004F3F81"/>
    <w:rsid w:val="004F6CA7"/>
    <w:rsid w:val="005024EC"/>
    <w:rsid w:val="005028D4"/>
    <w:rsid w:val="0050597C"/>
    <w:rsid w:val="00507E06"/>
    <w:rsid w:val="005107C8"/>
    <w:rsid w:val="00526972"/>
    <w:rsid w:val="00530A5F"/>
    <w:rsid w:val="00533190"/>
    <w:rsid w:val="00535050"/>
    <w:rsid w:val="00536F3C"/>
    <w:rsid w:val="005423D1"/>
    <w:rsid w:val="0054260E"/>
    <w:rsid w:val="00550D79"/>
    <w:rsid w:val="00554C4C"/>
    <w:rsid w:val="005559AC"/>
    <w:rsid w:val="00557B5A"/>
    <w:rsid w:val="005611D0"/>
    <w:rsid w:val="0056169F"/>
    <w:rsid w:val="00566D8A"/>
    <w:rsid w:val="00570BE1"/>
    <w:rsid w:val="00570ED4"/>
    <w:rsid w:val="00571A40"/>
    <w:rsid w:val="00571F32"/>
    <w:rsid w:val="005736B2"/>
    <w:rsid w:val="00574C2D"/>
    <w:rsid w:val="0057797A"/>
    <w:rsid w:val="005817E4"/>
    <w:rsid w:val="00583072"/>
    <w:rsid w:val="00593B1F"/>
    <w:rsid w:val="00594186"/>
    <w:rsid w:val="00595B5F"/>
    <w:rsid w:val="005A08F4"/>
    <w:rsid w:val="005A4978"/>
    <w:rsid w:val="005A4A50"/>
    <w:rsid w:val="005A4DD0"/>
    <w:rsid w:val="005A53B8"/>
    <w:rsid w:val="005B12CB"/>
    <w:rsid w:val="005B17AC"/>
    <w:rsid w:val="005B3013"/>
    <w:rsid w:val="005B531F"/>
    <w:rsid w:val="005B6AB3"/>
    <w:rsid w:val="005B7284"/>
    <w:rsid w:val="005B751D"/>
    <w:rsid w:val="005C10EB"/>
    <w:rsid w:val="005C4B2E"/>
    <w:rsid w:val="005C6F16"/>
    <w:rsid w:val="005D371D"/>
    <w:rsid w:val="005D5C60"/>
    <w:rsid w:val="005E2ACD"/>
    <w:rsid w:val="005E7495"/>
    <w:rsid w:val="005E7CDD"/>
    <w:rsid w:val="005F4C7D"/>
    <w:rsid w:val="005F63B2"/>
    <w:rsid w:val="005F7FF5"/>
    <w:rsid w:val="00607C7A"/>
    <w:rsid w:val="00612D39"/>
    <w:rsid w:val="00616B23"/>
    <w:rsid w:val="00621C12"/>
    <w:rsid w:val="006318FA"/>
    <w:rsid w:val="00635A22"/>
    <w:rsid w:val="00642083"/>
    <w:rsid w:val="00643FA9"/>
    <w:rsid w:val="00644383"/>
    <w:rsid w:val="00645B45"/>
    <w:rsid w:val="00647D4E"/>
    <w:rsid w:val="00652804"/>
    <w:rsid w:val="0065550D"/>
    <w:rsid w:val="00655E90"/>
    <w:rsid w:val="00657AD4"/>
    <w:rsid w:val="00665364"/>
    <w:rsid w:val="00671907"/>
    <w:rsid w:val="0068085F"/>
    <w:rsid w:val="006876A8"/>
    <w:rsid w:val="00687B43"/>
    <w:rsid w:val="0069199F"/>
    <w:rsid w:val="0069258E"/>
    <w:rsid w:val="00693373"/>
    <w:rsid w:val="00694732"/>
    <w:rsid w:val="006A49E3"/>
    <w:rsid w:val="006B1EFD"/>
    <w:rsid w:val="006B1F25"/>
    <w:rsid w:val="006C454C"/>
    <w:rsid w:val="006C5C1C"/>
    <w:rsid w:val="006D0F59"/>
    <w:rsid w:val="006D3093"/>
    <w:rsid w:val="006D47AB"/>
    <w:rsid w:val="006D7D82"/>
    <w:rsid w:val="006E4888"/>
    <w:rsid w:val="006E59D4"/>
    <w:rsid w:val="006E5C28"/>
    <w:rsid w:val="006F0442"/>
    <w:rsid w:val="006F1C3F"/>
    <w:rsid w:val="006F1E96"/>
    <w:rsid w:val="00701B4F"/>
    <w:rsid w:val="007023A3"/>
    <w:rsid w:val="00703FC0"/>
    <w:rsid w:val="00713D04"/>
    <w:rsid w:val="007160BE"/>
    <w:rsid w:val="00721539"/>
    <w:rsid w:val="00722F65"/>
    <w:rsid w:val="0072609F"/>
    <w:rsid w:val="00726836"/>
    <w:rsid w:val="00727F8C"/>
    <w:rsid w:val="00734A4F"/>
    <w:rsid w:val="0073624E"/>
    <w:rsid w:val="00741892"/>
    <w:rsid w:val="0076077F"/>
    <w:rsid w:val="00762BCC"/>
    <w:rsid w:val="00763BA3"/>
    <w:rsid w:val="00765B66"/>
    <w:rsid w:val="00767BB2"/>
    <w:rsid w:val="007706C9"/>
    <w:rsid w:val="00771969"/>
    <w:rsid w:val="007730EC"/>
    <w:rsid w:val="00780376"/>
    <w:rsid w:val="007815C4"/>
    <w:rsid w:val="00790A26"/>
    <w:rsid w:val="00791AAC"/>
    <w:rsid w:val="007932FC"/>
    <w:rsid w:val="0079410C"/>
    <w:rsid w:val="00797D4C"/>
    <w:rsid w:val="007B0D9D"/>
    <w:rsid w:val="007B52C8"/>
    <w:rsid w:val="007C0E7E"/>
    <w:rsid w:val="007C4AAD"/>
    <w:rsid w:val="007C5A3B"/>
    <w:rsid w:val="007C7601"/>
    <w:rsid w:val="007D17C5"/>
    <w:rsid w:val="007D209E"/>
    <w:rsid w:val="007D52EC"/>
    <w:rsid w:val="007D6F63"/>
    <w:rsid w:val="007F1CEE"/>
    <w:rsid w:val="007F2AB2"/>
    <w:rsid w:val="007F4C2A"/>
    <w:rsid w:val="0080062D"/>
    <w:rsid w:val="008018F0"/>
    <w:rsid w:val="00801F0D"/>
    <w:rsid w:val="00803356"/>
    <w:rsid w:val="008062AC"/>
    <w:rsid w:val="00806C13"/>
    <w:rsid w:val="00806F81"/>
    <w:rsid w:val="0081411F"/>
    <w:rsid w:val="008159DD"/>
    <w:rsid w:val="00817826"/>
    <w:rsid w:val="008221CB"/>
    <w:rsid w:val="00825696"/>
    <w:rsid w:val="00826683"/>
    <w:rsid w:val="00832DD0"/>
    <w:rsid w:val="00837537"/>
    <w:rsid w:val="008566FD"/>
    <w:rsid w:val="0086094D"/>
    <w:rsid w:val="008613D7"/>
    <w:rsid w:val="00866E79"/>
    <w:rsid w:val="00872382"/>
    <w:rsid w:val="008742E3"/>
    <w:rsid w:val="00885BFF"/>
    <w:rsid w:val="00890D52"/>
    <w:rsid w:val="00895981"/>
    <w:rsid w:val="008A1315"/>
    <w:rsid w:val="008A2F72"/>
    <w:rsid w:val="008A38A9"/>
    <w:rsid w:val="008A3DC4"/>
    <w:rsid w:val="008A3E54"/>
    <w:rsid w:val="008A54FC"/>
    <w:rsid w:val="008A5A2F"/>
    <w:rsid w:val="008A7CC6"/>
    <w:rsid w:val="008B00DE"/>
    <w:rsid w:val="008B70CD"/>
    <w:rsid w:val="008B7CE5"/>
    <w:rsid w:val="008C14EA"/>
    <w:rsid w:val="008D218A"/>
    <w:rsid w:val="008D60B7"/>
    <w:rsid w:val="008E117A"/>
    <w:rsid w:val="008E4CD5"/>
    <w:rsid w:val="008E6109"/>
    <w:rsid w:val="009033CD"/>
    <w:rsid w:val="009170EA"/>
    <w:rsid w:val="00917D1C"/>
    <w:rsid w:val="0092076F"/>
    <w:rsid w:val="0092461A"/>
    <w:rsid w:val="00927833"/>
    <w:rsid w:val="00930439"/>
    <w:rsid w:val="00930BDF"/>
    <w:rsid w:val="00935DE1"/>
    <w:rsid w:val="00937FE5"/>
    <w:rsid w:val="009420DA"/>
    <w:rsid w:val="009434C3"/>
    <w:rsid w:val="00945640"/>
    <w:rsid w:val="00947A5A"/>
    <w:rsid w:val="00955D88"/>
    <w:rsid w:val="00960A71"/>
    <w:rsid w:val="009701EC"/>
    <w:rsid w:val="009770CA"/>
    <w:rsid w:val="00986677"/>
    <w:rsid w:val="0099077F"/>
    <w:rsid w:val="0099421C"/>
    <w:rsid w:val="009A7EF7"/>
    <w:rsid w:val="009B0A78"/>
    <w:rsid w:val="009B1F62"/>
    <w:rsid w:val="009B232E"/>
    <w:rsid w:val="009B67D7"/>
    <w:rsid w:val="009C6DFB"/>
    <w:rsid w:val="009D3496"/>
    <w:rsid w:val="009D4BA1"/>
    <w:rsid w:val="009D7D5A"/>
    <w:rsid w:val="009E2BCE"/>
    <w:rsid w:val="009E47EB"/>
    <w:rsid w:val="009E6DC3"/>
    <w:rsid w:val="009F0B56"/>
    <w:rsid w:val="009F37FB"/>
    <w:rsid w:val="009F3A37"/>
    <w:rsid w:val="00A02090"/>
    <w:rsid w:val="00A05135"/>
    <w:rsid w:val="00A076B5"/>
    <w:rsid w:val="00A173CE"/>
    <w:rsid w:val="00A1777F"/>
    <w:rsid w:val="00A211BF"/>
    <w:rsid w:val="00A229C2"/>
    <w:rsid w:val="00A23870"/>
    <w:rsid w:val="00A23AFE"/>
    <w:rsid w:val="00A31525"/>
    <w:rsid w:val="00A33409"/>
    <w:rsid w:val="00A35C73"/>
    <w:rsid w:val="00A43BD3"/>
    <w:rsid w:val="00A4743C"/>
    <w:rsid w:val="00A52B8E"/>
    <w:rsid w:val="00A57992"/>
    <w:rsid w:val="00A7006B"/>
    <w:rsid w:val="00A731F2"/>
    <w:rsid w:val="00A73298"/>
    <w:rsid w:val="00A87414"/>
    <w:rsid w:val="00A94B49"/>
    <w:rsid w:val="00A95ACB"/>
    <w:rsid w:val="00A95DD6"/>
    <w:rsid w:val="00A97942"/>
    <w:rsid w:val="00AA079B"/>
    <w:rsid w:val="00AA086A"/>
    <w:rsid w:val="00AA7CCE"/>
    <w:rsid w:val="00AB1C16"/>
    <w:rsid w:val="00AB2EA8"/>
    <w:rsid w:val="00AB3C46"/>
    <w:rsid w:val="00AB7AC4"/>
    <w:rsid w:val="00AC28AC"/>
    <w:rsid w:val="00AC2996"/>
    <w:rsid w:val="00AC40CD"/>
    <w:rsid w:val="00AC4632"/>
    <w:rsid w:val="00AD3EE9"/>
    <w:rsid w:val="00AD6CD6"/>
    <w:rsid w:val="00AD7257"/>
    <w:rsid w:val="00AE372A"/>
    <w:rsid w:val="00AF1845"/>
    <w:rsid w:val="00AF2D0C"/>
    <w:rsid w:val="00B0314C"/>
    <w:rsid w:val="00B230E1"/>
    <w:rsid w:val="00B2563E"/>
    <w:rsid w:val="00B3042F"/>
    <w:rsid w:val="00B30D3B"/>
    <w:rsid w:val="00B432D4"/>
    <w:rsid w:val="00B453ED"/>
    <w:rsid w:val="00B460E4"/>
    <w:rsid w:val="00B51C58"/>
    <w:rsid w:val="00B54B09"/>
    <w:rsid w:val="00B576D7"/>
    <w:rsid w:val="00B61627"/>
    <w:rsid w:val="00B61C2F"/>
    <w:rsid w:val="00B6289E"/>
    <w:rsid w:val="00B65E5E"/>
    <w:rsid w:val="00B779F3"/>
    <w:rsid w:val="00B80892"/>
    <w:rsid w:val="00B82735"/>
    <w:rsid w:val="00B9276C"/>
    <w:rsid w:val="00B92861"/>
    <w:rsid w:val="00B96710"/>
    <w:rsid w:val="00BA2E30"/>
    <w:rsid w:val="00BA524C"/>
    <w:rsid w:val="00BA7A69"/>
    <w:rsid w:val="00BB19D3"/>
    <w:rsid w:val="00BB2DB0"/>
    <w:rsid w:val="00BB3B42"/>
    <w:rsid w:val="00BB5678"/>
    <w:rsid w:val="00BC157A"/>
    <w:rsid w:val="00BC3CA5"/>
    <w:rsid w:val="00BD28DF"/>
    <w:rsid w:val="00BD4E12"/>
    <w:rsid w:val="00BD7669"/>
    <w:rsid w:val="00BE168B"/>
    <w:rsid w:val="00BE2864"/>
    <w:rsid w:val="00BE7ED6"/>
    <w:rsid w:val="00BF3831"/>
    <w:rsid w:val="00BF4E3A"/>
    <w:rsid w:val="00C03579"/>
    <w:rsid w:val="00C0561A"/>
    <w:rsid w:val="00C076BF"/>
    <w:rsid w:val="00C10C10"/>
    <w:rsid w:val="00C16EBB"/>
    <w:rsid w:val="00C24DFC"/>
    <w:rsid w:val="00C25AE2"/>
    <w:rsid w:val="00C27F02"/>
    <w:rsid w:val="00C33A7C"/>
    <w:rsid w:val="00C36988"/>
    <w:rsid w:val="00C377C2"/>
    <w:rsid w:val="00C44519"/>
    <w:rsid w:val="00C465C1"/>
    <w:rsid w:val="00C504F4"/>
    <w:rsid w:val="00C57E85"/>
    <w:rsid w:val="00C65BB4"/>
    <w:rsid w:val="00C666E5"/>
    <w:rsid w:val="00C70B41"/>
    <w:rsid w:val="00C73314"/>
    <w:rsid w:val="00C756A3"/>
    <w:rsid w:val="00C77ABB"/>
    <w:rsid w:val="00C8071C"/>
    <w:rsid w:val="00C80D8F"/>
    <w:rsid w:val="00C816CB"/>
    <w:rsid w:val="00C82461"/>
    <w:rsid w:val="00CA07CC"/>
    <w:rsid w:val="00CA2E32"/>
    <w:rsid w:val="00CA4FCE"/>
    <w:rsid w:val="00CA5F8F"/>
    <w:rsid w:val="00CC5A6F"/>
    <w:rsid w:val="00CC752D"/>
    <w:rsid w:val="00CE271A"/>
    <w:rsid w:val="00CE6FF5"/>
    <w:rsid w:val="00CF2EC7"/>
    <w:rsid w:val="00CF3D05"/>
    <w:rsid w:val="00CF4FFB"/>
    <w:rsid w:val="00CF5245"/>
    <w:rsid w:val="00D0021E"/>
    <w:rsid w:val="00D0121B"/>
    <w:rsid w:val="00D04BA8"/>
    <w:rsid w:val="00D06422"/>
    <w:rsid w:val="00D06479"/>
    <w:rsid w:val="00D06CA9"/>
    <w:rsid w:val="00D076EE"/>
    <w:rsid w:val="00D07B1A"/>
    <w:rsid w:val="00D07F89"/>
    <w:rsid w:val="00D1280A"/>
    <w:rsid w:val="00D15FCC"/>
    <w:rsid w:val="00D2136F"/>
    <w:rsid w:val="00D24CD0"/>
    <w:rsid w:val="00D30E46"/>
    <w:rsid w:val="00D479B6"/>
    <w:rsid w:val="00D50AC8"/>
    <w:rsid w:val="00D53EEF"/>
    <w:rsid w:val="00D602C4"/>
    <w:rsid w:val="00D70ED3"/>
    <w:rsid w:val="00D75C6E"/>
    <w:rsid w:val="00D77231"/>
    <w:rsid w:val="00D85CD3"/>
    <w:rsid w:val="00D871CA"/>
    <w:rsid w:val="00D904D5"/>
    <w:rsid w:val="00D91D39"/>
    <w:rsid w:val="00DA0026"/>
    <w:rsid w:val="00DA444C"/>
    <w:rsid w:val="00DA66BC"/>
    <w:rsid w:val="00DB3A7C"/>
    <w:rsid w:val="00DD6CE9"/>
    <w:rsid w:val="00DE4E0F"/>
    <w:rsid w:val="00DF144A"/>
    <w:rsid w:val="00DF18A1"/>
    <w:rsid w:val="00DF1E2E"/>
    <w:rsid w:val="00DF2C67"/>
    <w:rsid w:val="00DF3AE2"/>
    <w:rsid w:val="00DF5B44"/>
    <w:rsid w:val="00DF7D21"/>
    <w:rsid w:val="00E059C5"/>
    <w:rsid w:val="00E05B0B"/>
    <w:rsid w:val="00E064B4"/>
    <w:rsid w:val="00E06B29"/>
    <w:rsid w:val="00E06C22"/>
    <w:rsid w:val="00E07CBB"/>
    <w:rsid w:val="00E10896"/>
    <w:rsid w:val="00E11FC8"/>
    <w:rsid w:val="00E17ADB"/>
    <w:rsid w:val="00E20647"/>
    <w:rsid w:val="00E26BAC"/>
    <w:rsid w:val="00E27F72"/>
    <w:rsid w:val="00E325A7"/>
    <w:rsid w:val="00E373B3"/>
    <w:rsid w:val="00E41408"/>
    <w:rsid w:val="00E448A7"/>
    <w:rsid w:val="00E4781B"/>
    <w:rsid w:val="00E47F9D"/>
    <w:rsid w:val="00E51F8B"/>
    <w:rsid w:val="00E532FE"/>
    <w:rsid w:val="00E577E5"/>
    <w:rsid w:val="00E60351"/>
    <w:rsid w:val="00E71AE7"/>
    <w:rsid w:val="00E74725"/>
    <w:rsid w:val="00E752E6"/>
    <w:rsid w:val="00E83777"/>
    <w:rsid w:val="00E8591A"/>
    <w:rsid w:val="00E870A7"/>
    <w:rsid w:val="00E915C0"/>
    <w:rsid w:val="00E97060"/>
    <w:rsid w:val="00E975FB"/>
    <w:rsid w:val="00EA30D0"/>
    <w:rsid w:val="00EA6088"/>
    <w:rsid w:val="00EB5A67"/>
    <w:rsid w:val="00EC1A2C"/>
    <w:rsid w:val="00ED7641"/>
    <w:rsid w:val="00ED7CAD"/>
    <w:rsid w:val="00EE4081"/>
    <w:rsid w:val="00EE58F6"/>
    <w:rsid w:val="00EF19F5"/>
    <w:rsid w:val="00EF69A0"/>
    <w:rsid w:val="00F06612"/>
    <w:rsid w:val="00F1014E"/>
    <w:rsid w:val="00F10E1F"/>
    <w:rsid w:val="00F212EB"/>
    <w:rsid w:val="00F21E14"/>
    <w:rsid w:val="00F21E71"/>
    <w:rsid w:val="00F21F32"/>
    <w:rsid w:val="00F253A2"/>
    <w:rsid w:val="00F268C0"/>
    <w:rsid w:val="00F34C06"/>
    <w:rsid w:val="00F3690D"/>
    <w:rsid w:val="00F40DC3"/>
    <w:rsid w:val="00F45307"/>
    <w:rsid w:val="00F465D3"/>
    <w:rsid w:val="00F569C9"/>
    <w:rsid w:val="00F56F06"/>
    <w:rsid w:val="00F60123"/>
    <w:rsid w:val="00F6440B"/>
    <w:rsid w:val="00F66605"/>
    <w:rsid w:val="00F72885"/>
    <w:rsid w:val="00F73815"/>
    <w:rsid w:val="00F75B74"/>
    <w:rsid w:val="00F7770D"/>
    <w:rsid w:val="00F8504F"/>
    <w:rsid w:val="00F85984"/>
    <w:rsid w:val="00F868C9"/>
    <w:rsid w:val="00F9153C"/>
    <w:rsid w:val="00F925B3"/>
    <w:rsid w:val="00F93115"/>
    <w:rsid w:val="00F97DAD"/>
    <w:rsid w:val="00FA08DE"/>
    <w:rsid w:val="00FA5792"/>
    <w:rsid w:val="00FA5B5D"/>
    <w:rsid w:val="00FA63DC"/>
    <w:rsid w:val="00FB192B"/>
    <w:rsid w:val="00FB200D"/>
    <w:rsid w:val="00FB325C"/>
    <w:rsid w:val="00FC428E"/>
    <w:rsid w:val="00FC6B9B"/>
    <w:rsid w:val="00FD3512"/>
    <w:rsid w:val="00FD5C27"/>
    <w:rsid w:val="00FE11BE"/>
    <w:rsid w:val="00FE538A"/>
    <w:rsid w:val="00FE7EEC"/>
    <w:rsid w:val="00FF167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186A2"/>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qFormat="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EF69A0"/>
    <w:rPr>
      <w:rFonts w:eastAsia="Calibri"/>
      <w:szCs w:val="22"/>
      <w:lang w:val="en-GB"/>
    </w:rPr>
  </w:style>
  <w:style w:type="paragraph" w:styleId="Heading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Heading2">
    <w:name w:val="heading 2"/>
    <w:aliases w:val="ECC Heading 2"/>
    <w:next w:val="Normal"/>
    <w:qFormat/>
    <w:rsid w:val="009F0B56"/>
    <w:pPr>
      <w:keepNext/>
      <w:numPr>
        <w:ilvl w:val="1"/>
        <w:numId w:val="36"/>
      </w:numPr>
      <w:spacing w:before="480"/>
      <w:jc w:val="left"/>
      <w:outlineLvl w:val="1"/>
    </w:pPr>
    <w:rPr>
      <w:rFonts w:eastAsia="Calibri" w:cs="Arial"/>
      <w:b/>
      <w:bCs/>
      <w:iCs/>
      <w:caps/>
      <w:szCs w:val="28"/>
    </w:rPr>
  </w:style>
  <w:style w:type="paragraph" w:styleId="Heading3">
    <w:name w:val="heading 3"/>
    <w:aliases w:val="ECC Heading 3"/>
    <w:next w:val="Normal"/>
    <w:qFormat/>
    <w:rsid w:val="009F0B56"/>
    <w:pPr>
      <w:keepNext/>
      <w:numPr>
        <w:ilvl w:val="2"/>
        <w:numId w:val="36"/>
      </w:numPr>
      <w:spacing w:before="360"/>
      <w:jc w:val="left"/>
      <w:outlineLvl w:val="2"/>
    </w:pPr>
    <w:rPr>
      <w:rFonts w:eastAsia="Calibri" w:cs="Arial"/>
      <w:b/>
      <w:bCs/>
      <w:szCs w:val="26"/>
    </w:rPr>
  </w:style>
  <w:style w:type="paragraph" w:styleId="Heading4">
    <w:name w:val="heading 4"/>
    <w:aliases w:val="ECC Heading 4"/>
    <w:next w:val="Normal"/>
    <w:qFormat/>
    <w:rsid w:val="009F0B56"/>
    <w:pPr>
      <w:numPr>
        <w:ilvl w:val="3"/>
        <w:numId w:val="36"/>
      </w:numPr>
      <w:spacing w:before="360"/>
      <w:jc w:val="left"/>
      <w:outlineLvl w:val="3"/>
    </w:pPr>
    <w:rPr>
      <w:rFonts w:eastAsia="Calibri" w:cs="Arial"/>
      <w:bCs/>
      <w:i/>
      <w:color w:val="D2232A"/>
      <w:szCs w:val="26"/>
    </w:rPr>
  </w:style>
  <w:style w:type="paragraph" w:styleId="Heading5">
    <w:name w:val="heading 5"/>
    <w:basedOn w:val="Normal"/>
    <w:next w:val="Normal"/>
    <w:semiHidden/>
    <w:qFormat/>
    <w:locked/>
    <w:rsid w:val="009E47EB"/>
    <w:pPr>
      <w:numPr>
        <w:ilvl w:val="4"/>
        <w:numId w:val="36"/>
      </w:numPr>
      <w:outlineLvl w:val="4"/>
    </w:pPr>
    <w:rPr>
      <w:b/>
      <w:bCs/>
      <w:i/>
      <w:iCs/>
      <w:sz w:val="26"/>
      <w:szCs w:val="26"/>
    </w:rPr>
  </w:style>
  <w:style w:type="paragraph" w:styleId="Heading6">
    <w:name w:val="heading 6"/>
    <w:basedOn w:val="Normal"/>
    <w:next w:val="Normal"/>
    <w:semiHidden/>
    <w:qFormat/>
    <w:locked/>
    <w:rsid w:val="009E47EB"/>
    <w:pPr>
      <w:numPr>
        <w:ilvl w:val="5"/>
        <w:numId w:val="36"/>
      </w:numPr>
      <w:outlineLvl w:val="5"/>
    </w:pPr>
    <w:rPr>
      <w:b/>
      <w:bCs/>
      <w:sz w:val="22"/>
    </w:rPr>
  </w:style>
  <w:style w:type="paragraph" w:styleId="Heading7">
    <w:name w:val="heading 7"/>
    <w:basedOn w:val="Normal"/>
    <w:next w:val="Normal"/>
    <w:semiHidden/>
    <w:qFormat/>
    <w:locked/>
    <w:rsid w:val="009E47EB"/>
    <w:pPr>
      <w:numPr>
        <w:ilvl w:val="6"/>
        <w:numId w:val="36"/>
      </w:numPr>
      <w:outlineLvl w:val="6"/>
    </w:pPr>
    <w:rPr>
      <w:sz w:val="24"/>
    </w:rPr>
  </w:style>
  <w:style w:type="paragraph" w:styleId="Heading8">
    <w:name w:val="heading 8"/>
    <w:basedOn w:val="Normal"/>
    <w:next w:val="Normal"/>
    <w:semiHidden/>
    <w:qFormat/>
    <w:locked/>
    <w:rsid w:val="009E47EB"/>
    <w:pPr>
      <w:numPr>
        <w:ilvl w:val="7"/>
        <w:numId w:val="36"/>
      </w:numPr>
      <w:outlineLvl w:val="7"/>
    </w:pPr>
    <w:rPr>
      <w:i/>
      <w:iCs/>
      <w:sz w:val="24"/>
    </w:rPr>
  </w:style>
  <w:style w:type="paragraph" w:styleId="Heading9">
    <w:name w:val="heading 9"/>
    <w:basedOn w:val="Normal"/>
    <w:next w:val="Normal"/>
    <w:semiHidden/>
    <w:qFormat/>
    <w:locked/>
    <w:rsid w:val="009E47EB"/>
    <w:pPr>
      <w:numPr>
        <w:ilvl w:val="8"/>
        <w:numId w:val="3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Heading1"/>
    <w:rsid w:val="009F0B56"/>
    <w:pPr>
      <w:numPr>
        <w:numId w:val="0"/>
      </w:numPr>
      <w:tabs>
        <w:tab w:val="left" w:pos="0"/>
        <w:tab w:val="center" w:pos="4820"/>
        <w:tab w:val="right" w:pos="9639"/>
      </w:tabs>
    </w:pPr>
  </w:style>
  <w:style w:type="paragraph" w:styleId="BalloonText">
    <w:name w:val="Balloon Text"/>
    <w:basedOn w:val="Normal"/>
    <w:link w:val="BalloonTextCh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9F0B56"/>
    <w:pPr>
      <w:keepNext/>
      <w:pageBreakBefore/>
      <w:numPr>
        <w:numId w:val="25"/>
      </w:numPr>
      <w:jc w:val="left"/>
    </w:pPr>
    <w:rPr>
      <w:rFonts w:eastAsia="Calibri"/>
      <w:b/>
      <w:caps/>
      <w:color w:val="D2232A"/>
    </w:rPr>
  </w:style>
  <w:style w:type="paragraph" w:styleId="TOC1">
    <w:name w:val="toc 1"/>
    <w:aliases w:val="ECC Index 1"/>
    <w:basedOn w:val="Normal"/>
    <w:link w:val="TOC1Char"/>
    <w:uiPriority w:val="39"/>
    <w:semiHidden/>
    <w:qFormat/>
    <w:locked/>
    <w:rsid w:val="009F0B56"/>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9F0B56"/>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9F0B56"/>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9F0B56"/>
    <w:rPr>
      <w:rFonts w:eastAsia="Calibri"/>
      <w:sz w:val="16"/>
      <w:szCs w:val="16"/>
      <w14:cntxtAlts/>
    </w:rPr>
  </w:style>
  <w:style w:type="character" w:styleId="FootnoteReference">
    <w:name w:val="footnote reference"/>
    <w:aliases w:val="ECC Footnote number"/>
    <w:basedOn w:val="DefaultParagraphFon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9F0B56"/>
    <w:pPr>
      <w:numPr>
        <w:ilvl w:val="1"/>
        <w:numId w:val="25"/>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25"/>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25"/>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BalloonTextChar">
    <w:name w:val="Balloon Text Char"/>
    <w:basedOn w:val="DefaultParagraphFont"/>
    <w:link w:val="BalloonText"/>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29"/>
      </w:numPr>
      <w:shd w:val="solid" w:color="FFFF00" w:fill="auto"/>
      <w:spacing w:before="120"/>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DefaultParagraphFon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9F0B56"/>
    <w:rPr>
      <w:b/>
      <w:bCs/>
    </w:rPr>
  </w:style>
  <w:style w:type="paragraph" w:customStyle="1" w:styleId="ECCTabletext">
    <w:name w:val="ECC Table text"/>
    <w:basedOn w:val="Normal"/>
    <w:link w:val="ECCTabletextChar"/>
    <w:qFormat/>
    <w:rsid w:val="009F0B56"/>
    <w:pPr>
      <w:spacing w:before="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character" w:styleId="Emphasis">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OC1Char">
    <w:name w:val="TOC 1 Char"/>
    <w:aliases w:val="ECC Index 1 Char"/>
    <w:basedOn w:val="DefaultParagraphFont"/>
    <w:link w:val="TOC1"/>
    <w:uiPriority w:val="39"/>
    <w:semiHidden/>
    <w:rsid w:val="000E4820"/>
    <w:rPr>
      <w:rFonts w:eastAsia="Calibri"/>
      <w:b/>
      <w:noProof/>
    </w:rPr>
  </w:style>
  <w:style w:type="character" w:customStyle="1" w:styleId="ECCHLcyan">
    <w:name w:val="ECC HL cyan"/>
    <w:basedOn w:val="DefaultParagraphFont"/>
    <w:uiPriority w:val="1"/>
    <w:qFormat/>
    <w:rsid w:val="009F0B56"/>
    <w:rPr>
      <w:iCs w:val="0"/>
      <w:bdr w:val="none" w:sz="0" w:space="0" w:color="auto"/>
      <w:shd w:val="solid" w:color="00FFFF" w:fill="auto"/>
      <w:lang w:val="en-GB"/>
    </w:rPr>
  </w:style>
  <w:style w:type="character" w:customStyle="1" w:styleId="ECCHLorange">
    <w:name w:val="ECC HL orange"/>
    <w:basedOn w:val="DefaultParagraphFont"/>
    <w:uiPriority w:val="1"/>
    <w:qFormat/>
    <w:rsid w:val="009F0B56"/>
    <w:rPr>
      <w:bdr w:val="none" w:sz="0" w:space="0" w:color="auto"/>
      <w:shd w:val="solid" w:color="FFC000" w:fill="auto"/>
    </w:rPr>
  </w:style>
  <w:style w:type="character" w:customStyle="1" w:styleId="ECCHLblue">
    <w:name w:val="ECC HL blue"/>
    <w:basedOn w:val="DefaultParagraphFon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DefaultParagraphFon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9F0B56"/>
    <w:rPr>
      <w:rFonts w:eastAsia="Calibri"/>
      <w:b/>
      <w:sz w:val="22"/>
      <w:lang w:val="en-GB"/>
    </w:rPr>
  </w:style>
  <w:style w:type="character" w:customStyle="1" w:styleId="ECCHLmagenta">
    <w:name w:val="ECC HL magenta"/>
    <w:basedOn w:val="DefaultParagraphFont"/>
    <w:uiPriority w:val="1"/>
    <w:qFormat/>
    <w:rsid w:val="009F0B56"/>
    <w:rPr>
      <w:color w:val="auto"/>
      <w:bdr w:val="none" w:sz="0" w:space="0" w:color="auto"/>
      <w:shd w:val="solid" w:color="FF3399" w:fill="auto"/>
      <w:lang w:val="en-GB"/>
    </w:rPr>
  </w:style>
  <w:style w:type="character" w:customStyle="1" w:styleId="ECCHLbrown">
    <w:name w:val="ECC HL brown"/>
    <w:basedOn w:val="DefaultParagraphFon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DefaultParagraphFont"/>
    <w:link w:val="ECCBreak"/>
    <w:rsid w:val="009F0B56"/>
    <w:rPr>
      <w:b/>
      <w:bCs/>
      <w:iCs/>
      <w:szCs w:val="28"/>
    </w:rPr>
  </w:style>
  <w:style w:type="character" w:styleId="Hyperlink">
    <w:name w:val="Hyperlink"/>
    <w:aliases w:val="ECC Hyperlink,CEO_Hyperlink,S,Style 58,Style?,超????,超?级链?,超?级链,超级链接,超链接1,하이퍼링크2"/>
    <w:basedOn w:val="DefaultParagraphFont"/>
    <w:qFormat/>
    <w:rsid w:val="009F0B56"/>
    <w:rPr>
      <w:color w:val="0000FF" w:themeColor="hyperlink"/>
      <w:u w:val="single"/>
    </w:rPr>
  </w:style>
  <w:style w:type="paragraph" w:styleId="Caption">
    <w:name w:val="caption"/>
    <w:aliases w:val="ECC Caption"/>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PlaceholderText">
    <w:name w:val="Placeholder Text"/>
    <w:basedOn w:val="DefaultParagraphFon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TableGrid">
    <w:name w:val="Table Grid"/>
    <w:basedOn w:val="Table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CommentReference">
    <w:name w:val="annotation reference"/>
    <w:basedOn w:val="DefaultParagraphFont"/>
    <w:uiPriority w:val="99"/>
    <w:semiHidden/>
    <w:unhideWhenUsed/>
    <w:locked/>
    <w:rsid w:val="003630AE"/>
    <w:rPr>
      <w:sz w:val="16"/>
      <w:szCs w:val="16"/>
    </w:rPr>
  </w:style>
  <w:style w:type="paragraph" w:styleId="CommentText">
    <w:name w:val="annotation text"/>
    <w:basedOn w:val="Normal"/>
    <w:link w:val="CommentTextChar"/>
    <w:uiPriority w:val="99"/>
    <w:unhideWhenUsed/>
    <w:locked/>
    <w:rsid w:val="003630AE"/>
    <w:rPr>
      <w:szCs w:val="20"/>
    </w:rPr>
  </w:style>
  <w:style w:type="character" w:customStyle="1" w:styleId="CommentTextChar">
    <w:name w:val="Comment Text Char"/>
    <w:basedOn w:val="DefaultParagraphFont"/>
    <w:link w:val="CommentText"/>
    <w:uiPriority w:val="99"/>
    <w:rsid w:val="003630AE"/>
    <w:rPr>
      <w:rFonts w:eastAsia="Calibri"/>
      <w:lang w:val="en-GB"/>
    </w:rPr>
  </w:style>
  <w:style w:type="paragraph" w:styleId="CommentSubject">
    <w:name w:val="annotation subject"/>
    <w:basedOn w:val="CommentText"/>
    <w:next w:val="CommentText"/>
    <w:link w:val="CommentSubjectChar"/>
    <w:uiPriority w:val="99"/>
    <w:semiHidden/>
    <w:unhideWhenUsed/>
    <w:locked/>
    <w:rsid w:val="003630AE"/>
    <w:rPr>
      <w:b/>
      <w:bCs/>
    </w:rPr>
  </w:style>
  <w:style w:type="character" w:customStyle="1" w:styleId="CommentSubjectChar">
    <w:name w:val="Comment Subject Char"/>
    <w:basedOn w:val="CommentTextChar"/>
    <w:link w:val="CommentSubject"/>
    <w:uiPriority w:val="99"/>
    <w:semiHidden/>
    <w:rsid w:val="003630AE"/>
    <w:rPr>
      <w:rFonts w:eastAsia="Calibri"/>
      <w:b/>
      <w:bCs/>
      <w:lang w:val="en-GB"/>
    </w:rPr>
  </w:style>
  <w:style w:type="character" w:customStyle="1" w:styleId="ECCHLstrikethrough">
    <w:name w:val="ECC HL strikethrough"/>
    <w:basedOn w:val="DefaultParagraphFont"/>
    <w:uiPriority w:val="1"/>
    <w:qFormat/>
    <w:rsid w:val="00647D4E"/>
    <w:rPr>
      <w:rFonts w:ascii="Arial" w:hAnsi="Arial"/>
      <w:strike/>
      <w:dstrike w:val="0"/>
      <w:sz w:val="20"/>
    </w:rPr>
  </w:style>
  <w:style w:type="character" w:customStyle="1" w:styleId="ECCTabletextChar">
    <w:name w:val="ECC Table text Char"/>
    <w:basedOn w:val="DefaultParagraphFont"/>
    <w:link w:val="ECCTabletext"/>
    <w:rsid w:val="00271881"/>
    <w:rPr>
      <w:rFonts w:eastAsia="Calibri"/>
      <w:szCs w:val="22"/>
      <w:lang w:val="en-GB"/>
    </w:rPr>
  </w:style>
  <w:style w:type="paragraph" w:styleId="NormalWeb">
    <w:name w:val="Normal (Web)"/>
    <w:basedOn w:val="Normal"/>
    <w:uiPriority w:val="99"/>
    <w:semiHidden/>
    <w:unhideWhenUsed/>
    <w:locked/>
    <w:rsid w:val="00E07CBB"/>
    <w:rPr>
      <w:rFonts w:ascii="Times New Roman" w:hAnsi="Times New Roman"/>
      <w:sz w:val="24"/>
      <w:szCs w:val="24"/>
    </w:rPr>
  </w:style>
  <w:style w:type="paragraph" w:styleId="Revision">
    <w:name w:val="Revision"/>
    <w:hidden/>
    <w:uiPriority w:val="99"/>
    <w:semiHidden/>
    <w:rsid w:val="00C377C2"/>
    <w:pPr>
      <w:spacing w:before="0" w:after="0"/>
      <w:jc w:val="left"/>
    </w:pPr>
    <w:rPr>
      <w:rFonts w:eastAsia="Calibri"/>
      <w:szCs w:val="22"/>
      <w:lang w:val="en-GB"/>
    </w:rPr>
  </w:style>
  <w:style w:type="paragraph" w:styleId="Footer">
    <w:name w:val="footer"/>
    <w:basedOn w:val="Normal"/>
    <w:link w:val="FooterChar"/>
    <w:uiPriority w:val="99"/>
    <w:semiHidden/>
    <w:unhideWhenUsed/>
    <w:locked/>
    <w:rsid w:val="00022127"/>
    <w:pPr>
      <w:tabs>
        <w:tab w:val="center" w:pos="4536"/>
        <w:tab w:val="right" w:pos="9072"/>
      </w:tabs>
      <w:spacing w:before="0" w:after="0"/>
    </w:pPr>
  </w:style>
  <w:style w:type="character" w:customStyle="1" w:styleId="FooterChar">
    <w:name w:val="Footer Char"/>
    <w:basedOn w:val="DefaultParagraphFont"/>
    <w:link w:val="Footer"/>
    <w:uiPriority w:val="99"/>
    <w:semiHidden/>
    <w:rsid w:val="00022127"/>
    <w:rPr>
      <w:rFonts w:eastAsia="Calibri"/>
      <w:szCs w:val="22"/>
      <w:lang w:val="en-GB"/>
    </w:rPr>
  </w:style>
  <w:style w:type="table" w:styleId="PlainTable2">
    <w:name w:val="Plain Table 2"/>
    <w:basedOn w:val="TableNormal"/>
    <w:uiPriority w:val="42"/>
    <w:rsid w:val="005C6F16"/>
    <w:pPr>
      <w:spacing w:before="0" w:after="0"/>
      <w:jc w:val="left"/>
    </w:pPr>
    <w:rPr>
      <w:rFonts w:asciiTheme="minorHAnsi" w:eastAsiaTheme="minorEastAsia" w:hAnsiTheme="minorHAnsi" w:cstheme="minorBidi"/>
      <w:kern w:val="2"/>
      <w:sz w:val="24"/>
      <w:szCs w:val="24"/>
      <w:lang w:val="de-DE" w:eastAsia="de-DE"/>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C24DFC"/>
    <w:rPr>
      <w:color w:val="605E5C"/>
      <w:shd w:val="clear" w:color="auto" w:fill="E1DFDD"/>
    </w:rPr>
  </w:style>
  <w:style w:type="character" w:styleId="FollowedHyperlink">
    <w:name w:val="FollowedHyperlink"/>
    <w:basedOn w:val="DefaultParagraphFont"/>
    <w:uiPriority w:val="99"/>
    <w:semiHidden/>
    <w:unhideWhenUsed/>
    <w:locked/>
    <w:rsid w:val="00066F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6496">
      <w:bodyDiv w:val="1"/>
      <w:marLeft w:val="0"/>
      <w:marRight w:val="0"/>
      <w:marTop w:val="0"/>
      <w:marBottom w:val="0"/>
      <w:divBdr>
        <w:top w:val="none" w:sz="0" w:space="0" w:color="auto"/>
        <w:left w:val="none" w:sz="0" w:space="0" w:color="auto"/>
        <w:bottom w:val="none" w:sz="0" w:space="0" w:color="auto"/>
        <w:right w:val="none" w:sz="0" w:space="0" w:color="auto"/>
      </w:divBdr>
    </w:div>
    <w:div w:id="1957057769">
      <w:bodyDiv w:val="1"/>
      <w:marLeft w:val="0"/>
      <w:marRight w:val="0"/>
      <w:marTop w:val="0"/>
      <w:marBottom w:val="0"/>
      <w:divBdr>
        <w:top w:val="none" w:sz="0" w:space="0" w:color="auto"/>
        <w:left w:val="none" w:sz="0" w:space="0" w:color="auto"/>
        <w:bottom w:val="none" w:sz="0" w:space="0" w:color="auto"/>
        <w:right w:val="none" w:sz="0" w:space="0" w:color="auto"/>
      </w:divBdr>
      <w:divsChild>
        <w:div w:id="357394609">
          <w:marLeft w:val="0"/>
          <w:marRight w:val="0"/>
          <w:marTop w:val="0"/>
          <w:marBottom w:val="0"/>
          <w:divBdr>
            <w:top w:val="none" w:sz="0" w:space="0" w:color="auto"/>
            <w:left w:val="none" w:sz="0" w:space="0" w:color="auto"/>
            <w:bottom w:val="none" w:sz="0" w:space="0" w:color="auto"/>
            <w:right w:val="none" w:sz="0" w:space="0" w:color="auto"/>
          </w:divBdr>
        </w:div>
      </w:divsChild>
    </w:div>
    <w:div w:id="2036610759">
      <w:bodyDiv w:val="1"/>
      <w:marLeft w:val="0"/>
      <w:marRight w:val="0"/>
      <w:marTop w:val="0"/>
      <w:marBottom w:val="0"/>
      <w:divBdr>
        <w:top w:val="none" w:sz="0" w:space="0" w:color="auto"/>
        <w:left w:val="none" w:sz="0" w:space="0" w:color="auto"/>
        <w:bottom w:val="none" w:sz="0" w:space="0" w:color="auto"/>
        <w:right w:val="none" w:sz="0" w:space="0" w:color="auto"/>
      </w:divBdr>
      <w:divsChild>
        <w:div w:id="2057848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23-WP4C-C-0204/en" TargetMode="External"/><Relationship Id="rId18" Type="http://schemas.openxmlformats.org/officeDocument/2006/relationships/hyperlink" Target="https://docdb.cept.org/document/394"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ocdb.cept.org/document/3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dms_ties/itu-r/md/23/wp4c/c/R23-WP4C-C-0204!N09!MSW-E.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meetingdoc.asp?lang=en&amp;parent=R23-WP4C-C-0269" TargetMode="External"/><Relationship Id="rId20" Type="http://schemas.openxmlformats.org/officeDocument/2006/relationships/hyperlink" Target="https://docdb.cept.org/document/83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sacom.com/paper/mid-band-spectrum-december-202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tu.int/md/R23-WP4C-C-0204/en" TargetMode="External"/><Relationship Id="rId23" Type="http://schemas.openxmlformats.org/officeDocument/2006/relationships/hyperlink" Target="https://docdb.cept.org/document/9069"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docdb.cept.org/document/41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23-WP4C-C-0204/en" TargetMode="External"/><Relationship Id="rId22" Type="http://schemas.openxmlformats.org/officeDocument/2006/relationships/hyperlink" Target="https://docdb.cept.org/document/12367"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PROTECTED</Classification>
    <SentOn xmlns="c5f543e3-8063-4253-bd42-47ca496057f8" xsi:nil="true"/>
    <ReceivedTime xmlns="c5f543e3-8063-4253-bd42-47ca496057f8" xsi:nil="true"/>
    <mvFrom xmlns="c5f543e3-8063-4253-bd42-47ca496057f8" xsi:nil="true"/>
    <Hyperlink xmlns="ba712082-ff81-49c1-a241-94c9f69f8dde">
      <Url xsi:nil="true"/>
      <Description xsi:nil="true"/>
    </Hyperlink>
    <lcf76f155ced4ddcb4097134ff3c332f xmlns="ba712082-ff81-49c1-a241-94c9f69f8dde">
      <Terms xmlns="http://schemas.microsoft.com/office/infopath/2007/PartnerControls"/>
    </lcf76f155ced4ddcb4097134ff3c332f>
    <Uploaded xmlns="ba712082-ff81-49c1-a241-94c9f69f8dde">false</Upload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069ab6e-cbb1-4306-ad7e-01a48c91ef8b" ContentTypeId="0x010100CAA12C5105342047A1E5FE66CBFB41077D" PreviousValue="false"/>
</file>

<file path=customXml/item5.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4" ma:contentTypeDescription="stakeholder communications relating to team or project&#10;" ma:contentTypeScope="" ma:versionID="a97ef94215465c625bcbd76b809bf527">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0ba9b9644a531dd8188ff5f3d074413b"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element ref="ns4:MediaServiceObjectDetectorVersions" minOccurs="0"/>
                <xsd:element ref="ns4:MediaServiceLocation" minOccurs="0"/>
                <xsd:element ref="ns4:MediaServiceSearchProperties" minOccurs="0"/>
                <xsd:element ref="ns4: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Uploaded" ma:index="33" nillable="true" ma:displayName="Uploaded" ma:default="0" ma:format="Dropdown" ma:internalName="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0CF07-E1D3-4E57-A9C7-74FBF7AE4AE5}">
  <ds:schemaRefs>
    <ds:schemaRef ds:uri="http://schemas.openxmlformats.org/officeDocument/2006/bibliography"/>
  </ds:schemaRefs>
</ds:datastoreItem>
</file>

<file path=customXml/itemProps2.xml><?xml version="1.0" encoding="utf-8"?>
<ds:datastoreItem xmlns:ds="http://schemas.openxmlformats.org/officeDocument/2006/customXml" ds:itemID="{0D3018F4-AE28-4AD0-B1A3-032401A9F7B5}">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customXml/itemProps3.xml><?xml version="1.0" encoding="utf-8"?>
<ds:datastoreItem xmlns:ds="http://schemas.openxmlformats.org/officeDocument/2006/customXml" ds:itemID="{09E8774F-D464-4816-99BF-5C3B23073E53}">
  <ds:schemaRefs>
    <ds:schemaRef ds:uri="http://schemas.microsoft.com/sharepoint/v3/contenttype/forms"/>
  </ds:schemaRefs>
</ds:datastoreItem>
</file>

<file path=customXml/itemProps4.xml><?xml version="1.0" encoding="utf-8"?>
<ds:datastoreItem xmlns:ds="http://schemas.openxmlformats.org/officeDocument/2006/customXml" ds:itemID="{2655AF47-0272-4BB2-956C-F5E94F9B3C1E}">
  <ds:schemaRefs>
    <ds:schemaRef ds:uri="Microsoft.SharePoint.Taxonomy.ContentTypeSync"/>
  </ds:schemaRefs>
</ds:datastoreItem>
</file>

<file path=customXml/itemProps5.xml><?xml version="1.0" encoding="utf-8"?>
<ds:datastoreItem xmlns:ds="http://schemas.openxmlformats.org/officeDocument/2006/customXml" ds:itemID="{69148FC0-923B-4632-B8FD-491E6DD9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83e65c-03f6-4cfd-b799-47a2fafd7bce}" enabled="0" method="" siteId="{ad83e65c-03f6-4cfd-b799-47a2fafd7bce}" removed="1"/>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2412</Words>
  <Characters>13752</Characters>
  <Application>Microsoft Office Word</Application>
  <DocSecurity>0</DocSecurity>
  <Lines>114</Lines>
  <Paragraphs>32</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Название</vt:lpstr>
      </vt:variant>
      <vt:variant>
        <vt:i4>1</vt:i4>
      </vt:variant>
    </vt:vector>
  </HeadingPairs>
  <TitlesOfParts>
    <vt:vector size="4" baseType="lpstr">
      <vt:lpstr>Draft CEPT Brief on AI XX</vt:lpstr>
      <vt:lpstr>Draft CEPT Brief on AI XX</vt:lpstr>
      <vt:lpstr>Draft CEPT Brief on AI XX</vt:lpstr>
      <vt:lpstr>Draft CEPT Brief on AI XX</vt:lpstr>
    </vt:vector>
  </TitlesOfParts>
  <Manager>stella.lyubchenko@eco.cept.org</Manager>
  <Company>ECO</Company>
  <LinksUpToDate>false</LinksUpToDate>
  <CharactersWithSpaces>16132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eco</dc:creator>
  <cp:keywords>CEPT Brief</cp:keywords>
  <cp:lastModifiedBy>Lauren Galloway</cp:lastModifiedBy>
  <cp:revision>5</cp:revision>
  <cp:lastPrinted>1900-12-31T23:59:00Z</cp:lastPrinted>
  <dcterms:created xsi:type="dcterms:W3CDTF">2025-07-01T13:06:00Z</dcterms:created>
  <dcterms:modified xsi:type="dcterms:W3CDTF">2025-07-03T14:06:00Z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0x010100CAA12C5105342047A1E5FE66CBFB41077D0077CF2320134F6146BF6CC804A6E36883</vt:lpwstr>
  </property>
  <property fmtid="{D5CDD505-2E9C-101B-9397-08002B2CF9AE}" pid="3" name="MSIP_Label_5a50d26f-5c2c-4137-8396-1b24eb24286c_Enabled">
    <vt:lpwstr>true</vt:lpwstr>
  </property>
  <property fmtid="{D5CDD505-2E9C-101B-9397-08002B2CF9AE}" pid="4" name="MSIP_Label_5a50d26f-5c2c-4137-8396-1b24eb24286c_SetDate">
    <vt:lpwstr>2024-03-14T13:09:18Z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f33ee487-19e3-4960-9dc1-10933ed7a644</vt:lpwstr>
  </property>
  <property fmtid="{D5CDD505-2E9C-101B-9397-08002B2CF9AE}" pid="9" name="MSIP_Label_5a50d26f-5c2c-4137-8396-1b24eb24286c_ContentBits">
    <vt:lpwstr>0</vt:lpwstr>
  </property>
  <property fmtid="{D5CDD505-2E9C-101B-9397-08002B2CF9AE}" pid="10" name="MediaServiceImageTags">
    <vt:lpwstr/>
  </property>
</Properties>
</file>