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7A20" w14:textId="77777777" w:rsidR="00F30273" w:rsidRDefault="00F30273" w:rsidP="00F30273">
      <w:pPr>
        <w:tabs>
          <w:tab w:val="left" w:pos="7740"/>
        </w:tabs>
      </w:pPr>
      <w:r>
        <w:tab/>
      </w:r>
    </w:p>
    <w:tbl>
      <w:tblPr>
        <w:tblW w:w="9781" w:type="dxa"/>
        <w:tblInd w:w="-72" w:type="dxa"/>
        <w:tblLayout w:type="fixed"/>
        <w:tblCellMar>
          <w:left w:w="70" w:type="dxa"/>
          <w:right w:w="70" w:type="dxa"/>
        </w:tblCellMar>
        <w:tblLook w:val="0000" w:firstRow="0" w:lastRow="0" w:firstColumn="0" w:lastColumn="0" w:noHBand="0" w:noVBand="0"/>
      </w:tblPr>
      <w:tblGrid>
        <w:gridCol w:w="1694"/>
        <w:gridCol w:w="3481"/>
        <w:gridCol w:w="4568"/>
        <w:gridCol w:w="38"/>
      </w:tblGrid>
      <w:tr w:rsidR="00F30273" w:rsidRPr="009033CD" w14:paraId="6B1D2F47" w14:textId="77777777" w:rsidTr="00C62665">
        <w:trPr>
          <w:cantSplit/>
          <w:trHeight w:val="1240"/>
        </w:trPr>
        <w:tc>
          <w:tcPr>
            <w:tcW w:w="9781" w:type="dxa"/>
            <w:gridSpan w:val="4"/>
            <w:tcBorders>
              <w:top w:val="nil"/>
              <w:left w:val="nil"/>
              <w:bottom w:val="nil"/>
              <w:right w:val="nil"/>
            </w:tcBorders>
          </w:tcPr>
          <w:p w14:paraId="2FA514D6" w14:textId="5F644A09" w:rsidR="00F30273" w:rsidRPr="00F30273" w:rsidRDefault="00F30273" w:rsidP="00F30273">
            <w:pPr>
              <w:pStyle w:val="ECCLetterHead"/>
            </w:pPr>
            <w:r w:rsidRPr="00235592">
              <w:tab/>
            </w:r>
            <w:r w:rsidRPr="00F30273">
              <w:tab/>
            </w:r>
            <w:r>
              <w:t xml:space="preserve">             </w:t>
            </w:r>
            <w:r w:rsidRPr="00F30273">
              <w:t>Doc.</w:t>
            </w:r>
            <w:r w:rsidR="00D26395">
              <w:t xml:space="preserve"> </w:t>
            </w:r>
            <w:r w:rsidRPr="00F30273">
              <w:t>CPG(2</w:t>
            </w:r>
            <w:r w:rsidR="00A53FEB">
              <w:t>5</w:t>
            </w:r>
            <w:r w:rsidRPr="00F30273">
              <w:t>)0</w:t>
            </w:r>
            <w:r w:rsidR="003F64ED">
              <w:t>16</w:t>
            </w:r>
            <w:r w:rsidR="00740A82">
              <w:t xml:space="preserve"> </w:t>
            </w:r>
            <w:r w:rsidR="00740A82" w:rsidRPr="00740A82">
              <w:t>ANNEX IV-09</w:t>
            </w:r>
            <w:r w:rsidR="00CD2397">
              <w:t>R1</w:t>
            </w:r>
          </w:p>
        </w:tc>
      </w:tr>
      <w:tr w:rsidR="001A7790" w:rsidRPr="00235592" w14:paraId="12FB5239" w14:textId="77777777" w:rsidTr="000D32F1">
        <w:tblPrEx>
          <w:tblCellMar>
            <w:left w:w="108" w:type="dxa"/>
            <w:right w:w="108" w:type="dxa"/>
          </w:tblCellMar>
        </w:tblPrEx>
        <w:trPr>
          <w:gridAfter w:val="1"/>
          <w:wAfter w:w="38" w:type="dxa"/>
          <w:cantSplit/>
          <w:trHeight w:val="405"/>
        </w:trPr>
        <w:tc>
          <w:tcPr>
            <w:tcW w:w="5175" w:type="dxa"/>
            <w:gridSpan w:val="2"/>
            <w:tcBorders>
              <w:top w:val="nil"/>
              <w:left w:val="nil"/>
              <w:bottom w:val="nil"/>
              <w:right w:val="nil"/>
            </w:tcBorders>
            <w:shd w:val="clear" w:color="auto" w:fill="auto"/>
            <w:vAlign w:val="center"/>
          </w:tcPr>
          <w:p w14:paraId="7E936307" w14:textId="66AA9091" w:rsidR="001A7790" w:rsidRPr="001A7790" w:rsidRDefault="001A7790" w:rsidP="001A7790">
            <w:pPr>
              <w:pStyle w:val="ECCLetterHead"/>
              <w:rPr>
                <w:rStyle w:val="ECCHLyellow"/>
              </w:rPr>
            </w:pPr>
            <w:r w:rsidRPr="00D71F95">
              <w:t>CPG27-</w:t>
            </w:r>
            <w:r w:rsidR="00A53FEB">
              <w:t>3</w:t>
            </w:r>
          </w:p>
        </w:tc>
        <w:tc>
          <w:tcPr>
            <w:tcW w:w="4568" w:type="dxa"/>
            <w:tcBorders>
              <w:top w:val="nil"/>
              <w:left w:val="nil"/>
              <w:bottom w:val="nil"/>
              <w:right w:val="nil"/>
            </w:tcBorders>
            <w:vAlign w:val="center"/>
          </w:tcPr>
          <w:p w14:paraId="774AFDE6" w14:textId="77777777" w:rsidR="001A7790" w:rsidRPr="00235592" w:rsidRDefault="001A7790" w:rsidP="001A7790">
            <w:pPr>
              <w:pStyle w:val="ECCLetterHead"/>
            </w:pPr>
          </w:p>
        </w:tc>
      </w:tr>
      <w:tr w:rsidR="001A7790" w:rsidRPr="00235592" w14:paraId="5F0551F1" w14:textId="77777777" w:rsidTr="000D32F1">
        <w:tblPrEx>
          <w:tblCellMar>
            <w:left w:w="108" w:type="dxa"/>
            <w:right w:w="108" w:type="dxa"/>
          </w:tblCellMar>
        </w:tblPrEx>
        <w:trPr>
          <w:gridAfter w:val="1"/>
          <w:wAfter w:w="38" w:type="dxa"/>
          <w:cantSplit/>
          <w:trHeight w:val="405"/>
        </w:trPr>
        <w:tc>
          <w:tcPr>
            <w:tcW w:w="5175" w:type="dxa"/>
            <w:gridSpan w:val="2"/>
            <w:tcBorders>
              <w:top w:val="nil"/>
              <w:left w:val="nil"/>
              <w:bottom w:val="nil"/>
              <w:right w:val="nil"/>
            </w:tcBorders>
            <w:vAlign w:val="center"/>
          </w:tcPr>
          <w:p w14:paraId="4E8E1D50" w14:textId="0E448F52" w:rsidR="001A7790" w:rsidRPr="001A7790" w:rsidRDefault="00A53FEB" w:rsidP="001A7790">
            <w:pPr>
              <w:pStyle w:val="ECCLetterHead"/>
            </w:pPr>
            <w:r>
              <w:t>Groningen</w:t>
            </w:r>
            <w:r w:rsidR="001A7790" w:rsidRPr="00D71F95">
              <w:t xml:space="preserve">, </w:t>
            </w:r>
            <w:r>
              <w:t>the Netherlands</w:t>
            </w:r>
            <w:r w:rsidR="001A7790" w:rsidRPr="00D71F95">
              <w:t xml:space="preserve">, 10 – 13 </w:t>
            </w:r>
            <w:r>
              <w:t>June</w:t>
            </w:r>
            <w:r w:rsidR="001A7790" w:rsidRPr="00D71F95">
              <w:t xml:space="preserve"> 202</w:t>
            </w:r>
            <w:r>
              <w:t>5</w:t>
            </w:r>
          </w:p>
        </w:tc>
        <w:tc>
          <w:tcPr>
            <w:tcW w:w="4568" w:type="dxa"/>
            <w:tcBorders>
              <w:top w:val="nil"/>
              <w:left w:val="nil"/>
              <w:bottom w:val="nil"/>
              <w:right w:val="nil"/>
            </w:tcBorders>
            <w:vAlign w:val="center"/>
          </w:tcPr>
          <w:p w14:paraId="3D076047" w14:textId="77777777" w:rsidR="001A7790" w:rsidRPr="00235592" w:rsidRDefault="001A7790" w:rsidP="001A7790">
            <w:pPr>
              <w:pStyle w:val="ECCTabletext"/>
            </w:pPr>
          </w:p>
        </w:tc>
      </w:tr>
      <w:tr w:rsidR="001A7790" w:rsidRPr="00235592" w14:paraId="2473C022" w14:textId="77777777" w:rsidTr="000D32F1">
        <w:tblPrEx>
          <w:tblCellMar>
            <w:left w:w="108" w:type="dxa"/>
            <w:right w:w="108" w:type="dxa"/>
          </w:tblCellMar>
        </w:tblPrEx>
        <w:trPr>
          <w:gridAfter w:val="1"/>
          <w:wAfter w:w="38" w:type="dxa"/>
          <w:cantSplit/>
          <w:trHeight w:hRule="exact" w:val="79"/>
        </w:trPr>
        <w:tc>
          <w:tcPr>
            <w:tcW w:w="5175" w:type="dxa"/>
            <w:gridSpan w:val="2"/>
            <w:tcBorders>
              <w:top w:val="nil"/>
              <w:left w:val="nil"/>
              <w:bottom w:val="nil"/>
              <w:right w:val="nil"/>
            </w:tcBorders>
            <w:vAlign w:val="center"/>
          </w:tcPr>
          <w:p w14:paraId="6A2575B2" w14:textId="77777777" w:rsidR="001A7790" w:rsidRPr="00235592" w:rsidRDefault="001A7790" w:rsidP="001A7790">
            <w:pPr>
              <w:pStyle w:val="ECCLetterHead"/>
            </w:pPr>
          </w:p>
        </w:tc>
        <w:tc>
          <w:tcPr>
            <w:tcW w:w="4568" w:type="dxa"/>
            <w:tcBorders>
              <w:top w:val="nil"/>
              <w:left w:val="nil"/>
              <w:bottom w:val="nil"/>
              <w:right w:val="nil"/>
            </w:tcBorders>
            <w:vAlign w:val="center"/>
          </w:tcPr>
          <w:p w14:paraId="3A212420" w14:textId="77777777" w:rsidR="001A7790" w:rsidRPr="00235592" w:rsidRDefault="001A7790" w:rsidP="001A7790">
            <w:pPr>
              <w:pStyle w:val="ECCLetterHead"/>
            </w:pPr>
          </w:p>
        </w:tc>
      </w:tr>
      <w:tr w:rsidR="001A7790" w:rsidRPr="00235592" w14:paraId="0BF1B4F9" w14:textId="77777777" w:rsidTr="000D32F1">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079EB065" w14:textId="77777777" w:rsidR="001A7790" w:rsidRPr="001A7790" w:rsidRDefault="001A7790" w:rsidP="001A7790">
            <w:pPr>
              <w:pStyle w:val="ECCLetterHead"/>
            </w:pPr>
            <w:r w:rsidRPr="00235592">
              <w:t xml:space="preserve">Date issued: </w:t>
            </w:r>
          </w:p>
        </w:tc>
        <w:tc>
          <w:tcPr>
            <w:tcW w:w="8049" w:type="dxa"/>
            <w:gridSpan w:val="2"/>
            <w:tcBorders>
              <w:top w:val="nil"/>
              <w:left w:val="nil"/>
              <w:bottom w:val="nil"/>
              <w:right w:val="nil"/>
            </w:tcBorders>
            <w:vAlign w:val="center"/>
          </w:tcPr>
          <w:p w14:paraId="6DE1D693" w14:textId="1329D405" w:rsidR="001A7790" w:rsidRPr="001A7790" w:rsidRDefault="0025173B" w:rsidP="001A7790">
            <w:pPr>
              <w:pStyle w:val="ECCLetterHead"/>
            </w:pPr>
            <w:r>
              <w:t>3</w:t>
            </w:r>
            <w:r w:rsidRPr="0025173B">
              <w:rPr>
                <w:vertAlign w:val="superscript"/>
              </w:rPr>
              <w:t>rd</w:t>
            </w:r>
            <w:r>
              <w:t xml:space="preserve"> July</w:t>
            </w:r>
            <w:r w:rsidR="001A7790" w:rsidRPr="001A7790">
              <w:t>, 2025</w:t>
            </w:r>
          </w:p>
        </w:tc>
      </w:tr>
      <w:tr w:rsidR="001A7790" w:rsidRPr="00235592" w14:paraId="29210C81" w14:textId="77777777" w:rsidTr="000D32F1">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52B879C4" w14:textId="77777777" w:rsidR="001A7790" w:rsidRPr="001A7790" w:rsidRDefault="001A7790" w:rsidP="001A7790">
            <w:pPr>
              <w:pStyle w:val="ECCLetterHead"/>
            </w:pPr>
            <w:r w:rsidRPr="00235592">
              <w:t xml:space="preserve">Source: </w:t>
            </w:r>
          </w:p>
        </w:tc>
        <w:tc>
          <w:tcPr>
            <w:tcW w:w="8049" w:type="dxa"/>
            <w:gridSpan w:val="2"/>
            <w:tcBorders>
              <w:top w:val="nil"/>
              <w:left w:val="nil"/>
              <w:bottom w:val="nil"/>
              <w:right w:val="nil"/>
            </w:tcBorders>
            <w:vAlign w:val="center"/>
          </w:tcPr>
          <w:p w14:paraId="0A242EB8" w14:textId="4F769701" w:rsidR="001A7790" w:rsidRPr="001A7790" w:rsidRDefault="003978E2" w:rsidP="001A7790">
            <w:pPr>
              <w:pStyle w:val="ECCLetterHead"/>
            </w:pPr>
            <w:r w:rsidRPr="00D71F95">
              <w:t>CPG27-</w:t>
            </w:r>
            <w:r w:rsidRPr="003978E2">
              <w:t>3</w:t>
            </w:r>
          </w:p>
        </w:tc>
      </w:tr>
      <w:tr w:rsidR="001A7790" w:rsidRPr="00235592" w14:paraId="00EBE514" w14:textId="77777777" w:rsidTr="000D32F1">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73E98B86" w14:textId="77777777" w:rsidR="001A7790" w:rsidRPr="001A7790" w:rsidRDefault="001A7790" w:rsidP="001A7790">
            <w:pPr>
              <w:pStyle w:val="ECCLetterHead"/>
            </w:pPr>
            <w:r w:rsidRPr="00235592">
              <w:t xml:space="preserve">Subject: </w:t>
            </w:r>
          </w:p>
        </w:tc>
        <w:tc>
          <w:tcPr>
            <w:tcW w:w="8049" w:type="dxa"/>
            <w:gridSpan w:val="2"/>
            <w:tcBorders>
              <w:top w:val="nil"/>
              <w:left w:val="nil"/>
              <w:bottom w:val="nil"/>
              <w:right w:val="nil"/>
            </w:tcBorders>
            <w:vAlign w:val="center"/>
          </w:tcPr>
          <w:p w14:paraId="619A8BA3" w14:textId="1F3BF6DB" w:rsidR="001A7790" w:rsidRPr="001A7790" w:rsidRDefault="001A7790" w:rsidP="001A7790">
            <w:pPr>
              <w:pStyle w:val="ECCLetterHead"/>
            </w:pPr>
            <w:r w:rsidRPr="00235592">
              <w:t>Draft CEPT Brief on WRC-</w:t>
            </w:r>
            <w:r w:rsidRPr="001A7790">
              <w:t>27 agenda item 1.</w:t>
            </w:r>
            <w:r>
              <w:t>9</w:t>
            </w:r>
          </w:p>
        </w:tc>
      </w:tr>
      <w:tr w:rsidR="001A7790" w:rsidRPr="00235592" w14:paraId="4876C96F" w14:textId="77777777" w:rsidTr="000D32F1">
        <w:tblPrEx>
          <w:tblCellMar>
            <w:left w:w="108" w:type="dxa"/>
            <w:right w:w="108" w:type="dxa"/>
          </w:tblCellMar>
        </w:tblPrEx>
        <w:trPr>
          <w:gridAfter w:val="1"/>
          <w:wAfter w:w="38" w:type="dxa"/>
          <w:cantSplit/>
          <w:trHeight w:hRule="exact" w:val="74"/>
        </w:trPr>
        <w:tc>
          <w:tcPr>
            <w:tcW w:w="9743" w:type="dxa"/>
            <w:gridSpan w:val="3"/>
            <w:tcBorders>
              <w:top w:val="nil"/>
              <w:left w:val="nil"/>
              <w:bottom w:val="single" w:sz="6" w:space="0" w:color="C00000"/>
              <w:right w:val="nil"/>
            </w:tcBorders>
            <w:vAlign w:val="center"/>
          </w:tcPr>
          <w:p w14:paraId="74BFE337" w14:textId="77777777" w:rsidR="001A7790" w:rsidRPr="00235592" w:rsidRDefault="001A7790" w:rsidP="001A7790">
            <w:pPr>
              <w:rPr>
                <w:rStyle w:val="ECCParagraph"/>
              </w:rPr>
            </w:pPr>
          </w:p>
          <w:p w14:paraId="007CA29B" w14:textId="77777777" w:rsidR="001A7790" w:rsidRPr="00235592" w:rsidRDefault="001A7790" w:rsidP="001A7790">
            <w:pPr>
              <w:pStyle w:val="ECCLetterHead"/>
            </w:pPr>
          </w:p>
        </w:tc>
      </w:tr>
      <w:tr w:rsidR="001A7790" w:rsidRPr="00235592" w14:paraId="629AF3BF" w14:textId="77777777" w:rsidTr="000D3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4"/>
            <w:tcBorders>
              <w:top w:val="single" w:sz="6" w:space="0" w:color="C00000"/>
              <w:left w:val="single" w:sz="6" w:space="0" w:color="C00000"/>
              <w:bottom w:val="nil"/>
              <w:right w:val="single" w:sz="6" w:space="0" w:color="C00000"/>
            </w:tcBorders>
            <w:vAlign w:val="center"/>
          </w:tcPr>
          <w:p w14:paraId="101A78DA" w14:textId="77777777" w:rsidR="001A7790" w:rsidRPr="001A7790" w:rsidRDefault="001A7790" w:rsidP="001A7790">
            <w:pPr>
              <w:pStyle w:val="ECCLetterHead"/>
            </w:pPr>
            <w:r w:rsidRPr="00235592">
              <w:t xml:space="preserve">Summary: </w:t>
            </w:r>
          </w:p>
        </w:tc>
      </w:tr>
      <w:tr w:rsidR="001A7790" w:rsidRPr="00235592" w14:paraId="4337142F" w14:textId="77777777" w:rsidTr="000D3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4"/>
            <w:tcBorders>
              <w:top w:val="nil"/>
              <w:left w:val="single" w:sz="6" w:space="0" w:color="C00000"/>
              <w:bottom w:val="single" w:sz="6" w:space="0" w:color="C00000"/>
              <w:right w:val="single" w:sz="6" w:space="0" w:color="C00000"/>
            </w:tcBorders>
          </w:tcPr>
          <w:p w14:paraId="6D85DB33" w14:textId="77777777" w:rsidR="001A7790" w:rsidRPr="008E117A" w:rsidRDefault="001A7790" w:rsidP="001A7790">
            <w:pPr>
              <w:rPr>
                <w:rStyle w:val="ECCHLunderlined"/>
              </w:rPr>
            </w:pPr>
          </w:p>
        </w:tc>
      </w:tr>
      <w:tr w:rsidR="001A7790" w:rsidRPr="00235592" w14:paraId="431BD578" w14:textId="77777777" w:rsidTr="000D3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5"/>
        </w:trPr>
        <w:tc>
          <w:tcPr>
            <w:tcW w:w="9781" w:type="dxa"/>
            <w:gridSpan w:val="4"/>
            <w:tcBorders>
              <w:top w:val="single" w:sz="6" w:space="0" w:color="C00000"/>
              <w:left w:val="single" w:sz="6" w:space="0" w:color="C00000"/>
              <w:bottom w:val="nil"/>
              <w:right w:val="single" w:sz="6" w:space="0" w:color="C00000"/>
            </w:tcBorders>
            <w:vAlign w:val="center"/>
          </w:tcPr>
          <w:p w14:paraId="330E3534" w14:textId="77777777" w:rsidR="001A7790" w:rsidRPr="001A7790" w:rsidRDefault="001A7790" w:rsidP="001A7790">
            <w:pPr>
              <w:pStyle w:val="ECCLetterHead"/>
            </w:pPr>
            <w:r w:rsidRPr="00235592">
              <w:t>Proposal:</w:t>
            </w:r>
          </w:p>
        </w:tc>
      </w:tr>
      <w:tr w:rsidR="001A7790" w:rsidRPr="00235592" w14:paraId="332C396D" w14:textId="77777777" w:rsidTr="000D3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781" w:type="dxa"/>
            <w:gridSpan w:val="4"/>
            <w:tcBorders>
              <w:top w:val="nil"/>
              <w:left w:val="single" w:sz="6" w:space="0" w:color="C00000"/>
              <w:bottom w:val="single" w:sz="6" w:space="0" w:color="C00000"/>
              <w:right w:val="single" w:sz="6" w:space="0" w:color="C00000"/>
            </w:tcBorders>
          </w:tcPr>
          <w:p w14:paraId="1DD944AC" w14:textId="77777777" w:rsidR="001A7790" w:rsidRPr="00235592" w:rsidRDefault="001A7790" w:rsidP="001A7790">
            <w:pPr>
              <w:pStyle w:val="ECCTabletext"/>
            </w:pPr>
          </w:p>
        </w:tc>
      </w:tr>
    </w:tbl>
    <w:p w14:paraId="42A3D441" w14:textId="77777777" w:rsidR="001A7790" w:rsidRDefault="001A7790" w:rsidP="001A7790">
      <w:pPr>
        <w:rPr>
          <w:rStyle w:val="ECCParagraph"/>
        </w:rPr>
      </w:pPr>
    </w:p>
    <w:p w14:paraId="3135E305" w14:textId="77777777" w:rsidR="00152ECC" w:rsidRDefault="00152ECC" w:rsidP="00226ACF"/>
    <w:p w14:paraId="698A78A4" w14:textId="77777777" w:rsidR="00226ACF" w:rsidRDefault="00226ACF" w:rsidP="00226ACF"/>
    <w:p w14:paraId="299AA45C" w14:textId="77777777" w:rsidR="00226ACF" w:rsidRDefault="00226ACF" w:rsidP="00226ACF"/>
    <w:p w14:paraId="163BEA84" w14:textId="77777777" w:rsidR="00226ACF" w:rsidRDefault="00226ACF" w:rsidP="00226ACF"/>
    <w:p w14:paraId="12F528BA" w14:textId="77777777" w:rsidR="00226ACF" w:rsidRDefault="00226ACF" w:rsidP="00226ACF"/>
    <w:p w14:paraId="522BFFE7" w14:textId="77777777" w:rsidR="008473C0" w:rsidRDefault="008473C0" w:rsidP="00226ACF"/>
    <w:p w14:paraId="465967BD" w14:textId="77777777" w:rsidR="008473C0" w:rsidRDefault="008473C0" w:rsidP="00226ACF"/>
    <w:p w14:paraId="27059590" w14:textId="77777777" w:rsidR="006A7882" w:rsidRDefault="006A7882" w:rsidP="006A7882"/>
    <w:p w14:paraId="1090FAD2" w14:textId="77777777" w:rsidR="006A7882" w:rsidRPr="006A7882" w:rsidRDefault="006A7882" w:rsidP="006A7882">
      <w:pPr>
        <w:pStyle w:val="ECCHeadingnonumbering"/>
      </w:pPr>
      <w:r>
        <w:lastRenderedPageBreak/>
        <w:t>D</w:t>
      </w:r>
      <w:r w:rsidRPr="006A7882">
        <w:t xml:space="preserve">RAFT CEPT BRIEF ON AGENDA ITEM </w:t>
      </w:r>
      <w:r>
        <w:t>1.9</w:t>
      </w:r>
      <w:r w:rsidRPr="006A7882">
        <w:t xml:space="preserve"> </w:t>
      </w:r>
    </w:p>
    <w:p w14:paraId="24F2F560" w14:textId="77777777" w:rsidR="006A7882" w:rsidRPr="00235592" w:rsidRDefault="006A7882" w:rsidP="000E1B50">
      <w:pPr>
        <w:rPr>
          <w:rStyle w:val="ECCParagraph"/>
        </w:rPr>
      </w:pPr>
      <w:r w:rsidRPr="000C4410">
        <w:t>1.</w:t>
      </w:r>
      <w:r>
        <w:t>9</w:t>
      </w:r>
      <w:r w:rsidRPr="000C4410">
        <w:tab/>
      </w:r>
      <w:r w:rsidRPr="0016177D">
        <w:t xml:space="preserve">to consider appropriate regulatory actions to update Appendix 26 to the Radio Regulations in support of aeronautical mobile (OR) high frequency modernization, in accordance with Resolution </w:t>
      </w:r>
      <w:r w:rsidRPr="0016177D">
        <w:rPr>
          <w:rStyle w:val="ECCHLbold"/>
        </w:rPr>
        <w:t>411 (WRC 23);</w:t>
      </w:r>
    </w:p>
    <w:p w14:paraId="17BC285D" w14:textId="77777777" w:rsidR="006A7882" w:rsidRPr="006A7882" w:rsidRDefault="006A7882" w:rsidP="006A7882">
      <w:pPr>
        <w:pStyle w:val="Heading1"/>
      </w:pPr>
      <w:r w:rsidRPr="006A7882">
        <w:t>I</w:t>
      </w:r>
      <w:r>
        <w:t>ssue</w:t>
      </w:r>
    </w:p>
    <w:p w14:paraId="28652C03" w14:textId="77777777" w:rsidR="006A7882" w:rsidRDefault="006A7882" w:rsidP="006A7882">
      <w:pPr>
        <w:rPr>
          <w:rStyle w:val="ECCParagraph"/>
        </w:rPr>
      </w:pPr>
      <w:r w:rsidRPr="000C4410">
        <w:rPr>
          <w:rStyle w:val="ECCParagraph"/>
        </w:rPr>
        <w:t>This agenda item is about</w:t>
      </w:r>
      <w:r>
        <w:rPr>
          <w:rStyle w:val="ECCParagraph"/>
        </w:rPr>
        <w:t>:</w:t>
      </w:r>
    </w:p>
    <w:p w14:paraId="4C5639B8" w14:textId="77777777" w:rsidR="006A7882" w:rsidRPr="00166342" w:rsidRDefault="006A7882" w:rsidP="006A7882">
      <w:r w:rsidRPr="00173662">
        <w:t>1</w:t>
      </w:r>
      <w:r w:rsidRPr="00173662">
        <w:tab/>
      </w:r>
      <w:r w:rsidRPr="003D5AA1">
        <w:t xml:space="preserve">studies on the introduction of new technologies that enhance performance, including, but not limited to, new classes of emission, wideband systems (see </w:t>
      </w:r>
      <w:r w:rsidRPr="00166342">
        <w:t>recognizing c), d) and e)), etc., to the aeronautical mobile (OR) service systems in the frequency ranges considered in Appendix </w:t>
      </w:r>
      <w:r w:rsidRPr="00166342">
        <w:rPr>
          <w:rStyle w:val="ECCHLbold"/>
        </w:rPr>
        <w:t>26</w:t>
      </w:r>
      <w:r w:rsidRPr="00166342">
        <w:t>;</w:t>
      </w:r>
    </w:p>
    <w:p w14:paraId="22F11E63" w14:textId="77777777" w:rsidR="006A7882" w:rsidRPr="00166342" w:rsidRDefault="006A7882" w:rsidP="006A7882">
      <w:r w:rsidRPr="003D5AA1">
        <w:t>2</w:t>
      </w:r>
      <w:r w:rsidRPr="003D5AA1">
        <w:tab/>
        <w:t xml:space="preserve">in order to undertake </w:t>
      </w:r>
      <w:r w:rsidRPr="00166342">
        <w:rPr>
          <w:rStyle w:val="Emphasis"/>
        </w:rPr>
        <w:t>resolves to invite ITU Radiocommunication Sector to complete in time for the 2027 world radiocommunication conference</w:t>
      </w:r>
      <w:r w:rsidRPr="00166342">
        <w:t> 1, the definition of the relevant technical and operational characteristics and conduct sharing and compatibility studies with existing aeronautical mobile (OR) service systems and with other incumbent services that are allocated on a primary basis in the same or adjacent frequency bands;</w:t>
      </w:r>
    </w:p>
    <w:p w14:paraId="17278DF0" w14:textId="5E0C2E82" w:rsidR="006A7882" w:rsidRPr="00173662" w:rsidRDefault="006A7882" w:rsidP="006A7882">
      <w:r w:rsidRPr="00166342">
        <w:t>3</w:t>
      </w:r>
      <w:r w:rsidRPr="00166342">
        <w:tab/>
        <w:t>based on ITU Radiocommunication Sector (ITU</w:t>
      </w:r>
      <w:r w:rsidRPr="00166342">
        <w:noBreakHyphen/>
        <w:t>R) studies, the identification of any potential modifications to Appendix </w:t>
      </w:r>
      <w:r w:rsidRPr="00166342">
        <w:rPr>
          <w:rStyle w:val="ECCHLbold"/>
        </w:rPr>
        <w:t>26</w:t>
      </w:r>
      <w:r w:rsidRPr="00166342">
        <w:t xml:space="preserve">, without modifying the existing area allotments in </w:t>
      </w:r>
      <w:r w:rsidRPr="00166342">
        <w:rPr>
          <w:rStyle w:val="Emphasis"/>
        </w:rPr>
        <w:t>recognizing f)</w:t>
      </w:r>
      <w:r w:rsidRPr="003D5AA1">
        <w:t xml:space="preserve">, and </w:t>
      </w:r>
      <w:r w:rsidRPr="00166342">
        <w:t xml:space="preserve">while </w:t>
      </w:r>
      <w:r w:rsidRPr="003D5AA1">
        <w:t>taking into account that the current use of the narrowband systems shall remain unchanged and shall not be impacted nor precluded by the revision of Appendix </w:t>
      </w:r>
      <w:r w:rsidRPr="00166342">
        <w:rPr>
          <w:rStyle w:val="ECCHLbold"/>
        </w:rPr>
        <w:t>26</w:t>
      </w:r>
      <w:r w:rsidR="000E1B50">
        <w:t>.</w:t>
      </w:r>
    </w:p>
    <w:p w14:paraId="637CFF16" w14:textId="77777777" w:rsidR="006A7882" w:rsidRPr="006A7882" w:rsidRDefault="006A7882" w:rsidP="006A7882">
      <w:pPr>
        <w:pStyle w:val="Heading1"/>
      </w:pPr>
      <w:r w:rsidRPr="006A7882">
        <w:t xml:space="preserve">Preliminary CEPT position </w:t>
      </w:r>
    </w:p>
    <w:p w14:paraId="4D52D319" w14:textId="155BD502" w:rsidR="006A7882" w:rsidRDefault="006A7882" w:rsidP="006A7882">
      <w:r>
        <w:t xml:space="preserve">CEPT supports the explicit recognition of </w:t>
      </w:r>
      <w:r w:rsidRPr="0088526C">
        <w:t>wideband AM(OR)S uses with non-contiguous carrier aggregation</w:t>
      </w:r>
      <w:r>
        <w:t xml:space="preserve"> by amending Appendix </w:t>
      </w:r>
      <w:r w:rsidRPr="00A611AA">
        <w:rPr>
          <w:rStyle w:val="ECCHLbold"/>
        </w:rPr>
        <w:t>26</w:t>
      </w:r>
      <w:r>
        <w:rPr>
          <w:rStyle w:val="ECCParagraph"/>
        </w:rPr>
        <w:t xml:space="preserve"> of the Radio Regulations</w:t>
      </w:r>
      <w:r w:rsidR="000E1B50">
        <w:rPr>
          <w:rStyle w:val="ECCParagraph"/>
        </w:rPr>
        <w:t>.</w:t>
      </w:r>
      <w:r>
        <w:t xml:space="preserve"> </w:t>
      </w:r>
    </w:p>
    <w:p w14:paraId="7D793354" w14:textId="77777777" w:rsidR="006A7882" w:rsidRPr="005D294D" w:rsidRDefault="006A7882" w:rsidP="006A7882">
      <w:r>
        <w:t>CEPT</w:t>
      </w:r>
      <w:r w:rsidRPr="0088526C">
        <w:t xml:space="preserve"> also consider</w:t>
      </w:r>
      <w:r>
        <w:t>s</w:t>
      </w:r>
      <w:r w:rsidRPr="0088526C">
        <w:t xml:space="preserve"> contiguous and single-carrier possibilities, without </w:t>
      </w:r>
      <w:r>
        <w:t>constrain</w:t>
      </w:r>
      <w:r w:rsidRPr="0088526C">
        <w:t>ing current narrow-band uses or coexistence with other services.</w:t>
      </w:r>
    </w:p>
    <w:p w14:paraId="2DB32822" w14:textId="77777777" w:rsidR="006A7882" w:rsidRPr="006A7882" w:rsidRDefault="006A7882" w:rsidP="006A7882">
      <w:pPr>
        <w:pStyle w:val="Heading1"/>
      </w:pPr>
      <w:r w:rsidRPr="006A7882">
        <w:t xml:space="preserve">Background </w:t>
      </w:r>
    </w:p>
    <w:p w14:paraId="4D177BB0" w14:textId="77777777" w:rsidR="006A7882" w:rsidRDefault="006A7882" w:rsidP="006A7882">
      <w:pPr>
        <w:rPr>
          <w:rStyle w:val="ECCParagraph"/>
        </w:rPr>
      </w:pPr>
      <w:r>
        <w:rPr>
          <w:rStyle w:val="ECCParagraph"/>
        </w:rPr>
        <w:t xml:space="preserve">Appendix </w:t>
      </w:r>
      <w:r w:rsidRPr="00A611AA">
        <w:rPr>
          <w:rStyle w:val="ECCHLbold"/>
        </w:rPr>
        <w:t>26</w:t>
      </w:r>
      <w:r>
        <w:rPr>
          <w:rStyle w:val="ECCParagraph"/>
        </w:rPr>
        <w:t xml:space="preserve"> of the Radio Regulations contains the </w:t>
      </w:r>
      <w:r w:rsidRPr="00A611AA">
        <w:rPr>
          <w:rStyle w:val="ECCParagraph"/>
        </w:rPr>
        <w:t>frequenc</w:t>
      </w:r>
      <w:r>
        <w:rPr>
          <w:rStyle w:val="ECCParagraph"/>
        </w:rPr>
        <w:t>ies</w:t>
      </w:r>
      <w:r w:rsidRPr="00A611AA">
        <w:rPr>
          <w:rStyle w:val="ECCParagraph"/>
        </w:rPr>
        <w:t xml:space="preserve"> and area allotments in the frequency bands allocated to the aeronautical mobile (OR) service between 3 025 kHz and 18 030 kHz</w:t>
      </w:r>
      <w:r>
        <w:rPr>
          <w:rStyle w:val="ECCParagraph"/>
        </w:rPr>
        <w:t xml:space="preserve">. The studies are dealing with new HF technologies that would enhance performance to the aeronautical mobile (OR) service systems. </w:t>
      </w:r>
    </w:p>
    <w:p w14:paraId="18F0F8E4" w14:textId="77777777" w:rsidR="006A7882" w:rsidRDefault="006A7882" w:rsidP="006A7882">
      <w:pPr>
        <w:rPr>
          <w:rStyle w:val="ECCParagraph"/>
        </w:rPr>
      </w:pPr>
      <w:r>
        <w:rPr>
          <w:rStyle w:val="ECCParagraph"/>
        </w:rPr>
        <w:t xml:space="preserve">It is recognized in Resolution </w:t>
      </w:r>
      <w:r w:rsidRPr="00A611AA">
        <w:rPr>
          <w:rStyle w:val="ECCHLbold"/>
        </w:rPr>
        <w:t>411 (WRC-23)</w:t>
      </w:r>
      <w:r>
        <w:rPr>
          <w:rStyle w:val="ECCParagraph"/>
        </w:rPr>
        <w:t xml:space="preserve"> that </w:t>
      </w:r>
      <w:r w:rsidRPr="00A611AA">
        <w:rPr>
          <w:rStyle w:val="ECCParagraph"/>
        </w:rPr>
        <w:t>for the purpose of this Resolution, the term “wideband” in HF communications may refer to a combination of emissions wider than 3 kHz channels</w:t>
      </w:r>
      <w:r>
        <w:rPr>
          <w:rStyle w:val="ECCParagraph"/>
        </w:rPr>
        <w:t>,</w:t>
      </w:r>
      <w:r w:rsidRPr="00A611AA">
        <w:rPr>
          <w:rStyle w:val="ECCParagraph"/>
        </w:rPr>
        <w:t xml:space="preserve"> that wideband operation can be achieved by single- or multi-carrier emissions</w:t>
      </w:r>
      <w:r>
        <w:rPr>
          <w:rStyle w:val="ECCParagraph"/>
        </w:rPr>
        <w:t>, t</w:t>
      </w:r>
      <w:r w:rsidRPr="00A611AA">
        <w:rPr>
          <w:rStyle w:val="ECCParagraph"/>
        </w:rPr>
        <w:t>hat wideband operation may be achieved by contiguous or non-contiguous channel aggregation for multi-carrier emissions</w:t>
      </w:r>
      <w:r>
        <w:rPr>
          <w:rStyle w:val="ECCParagraph"/>
        </w:rPr>
        <w:t xml:space="preserve"> and that the modernization of</w:t>
      </w:r>
      <w:r w:rsidRPr="00A611AA">
        <w:rPr>
          <w:rStyle w:val="ECCParagraph"/>
        </w:rPr>
        <w:t xml:space="preserve"> aeronautical HF communications will not require any changes to Article </w:t>
      </w:r>
      <w:r w:rsidRPr="00A611AA">
        <w:rPr>
          <w:rStyle w:val="ECCHLbold"/>
        </w:rPr>
        <w:t>5</w:t>
      </w:r>
      <w:r>
        <w:rPr>
          <w:rStyle w:val="ECCParagraph"/>
        </w:rPr>
        <w:t>.</w:t>
      </w:r>
    </w:p>
    <w:p w14:paraId="6F88F028" w14:textId="77777777" w:rsidR="006A7882" w:rsidRDefault="006A7882" w:rsidP="006A7882">
      <w:pPr>
        <w:rPr>
          <w:rStyle w:val="ECCParagraph"/>
        </w:rPr>
      </w:pPr>
      <w:r>
        <w:rPr>
          <w:rStyle w:val="ECCParagraph"/>
        </w:rPr>
        <w:t>CPM27-1 allocated this agenda item to working party 5B.</w:t>
      </w:r>
    </w:p>
    <w:p w14:paraId="73722A9C" w14:textId="77777777" w:rsidR="006A7882" w:rsidRDefault="006A7882" w:rsidP="006A7882">
      <w:pPr>
        <w:rPr>
          <w:rStyle w:val="ECCParagraph"/>
        </w:rPr>
      </w:pPr>
      <w:r>
        <w:rPr>
          <w:rStyle w:val="ECCParagraph"/>
        </w:rPr>
        <w:t>At its November 2024 meeting, WP 5B received an initial input with some limited number of characteristics for wideband HF systems. Studies have not started yet.</w:t>
      </w:r>
    </w:p>
    <w:p w14:paraId="7DD99B14" w14:textId="7A7CE943" w:rsidR="006A7882" w:rsidRDefault="006A7882" w:rsidP="006A7882">
      <w:pPr>
        <w:rPr>
          <w:rStyle w:val="ECCParagraph"/>
        </w:rPr>
      </w:pPr>
      <w:r>
        <w:rPr>
          <w:rStyle w:val="ECCParagraph"/>
        </w:rPr>
        <w:t xml:space="preserve">It has to be noted that similarly to the decision on the revision of the Appendix </w:t>
      </w:r>
      <w:r w:rsidRPr="009B5AD4">
        <w:rPr>
          <w:rStyle w:val="ECCHLbold"/>
        </w:rPr>
        <w:t>27</w:t>
      </w:r>
      <w:r>
        <w:rPr>
          <w:rStyle w:val="ECCParagraph"/>
        </w:rPr>
        <w:t xml:space="preserve"> at WRC-23, </w:t>
      </w:r>
      <w:r w:rsidRPr="00AE66E8">
        <w:rPr>
          <w:rStyle w:val="ECCParagraph"/>
        </w:rPr>
        <w:t>non-contiguous carrier aggregation</w:t>
      </w:r>
      <w:r>
        <w:rPr>
          <w:rStyle w:val="ECCParagraph"/>
        </w:rPr>
        <w:t xml:space="preserve"> using existing 3</w:t>
      </w:r>
      <w:r w:rsidR="009C3A8D">
        <w:rPr>
          <w:rStyle w:val="ECCParagraph"/>
        </w:rPr>
        <w:t xml:space="preserve"> </w:t>
      </w:r>
      <w:r>
        <w:rPr>
          <w:rStyle w:val="ECCParagraph"/>
        </w:rPr>
        <w:t>kHz carriers would not change the coexistence situation. For the contiguous single carrier for wideband technology, sharing and compatibility studies are need</w:t>
      </w:r>
      <w:r w:rsidR="004A6C36">
        <w:rPr>
          <w:rStyle w:val="ECCParagraph"/>
        </w:rPr>
        <w:t>ed</w:t>
      </w:r>
      <w:r>
        <w:rPr>
          <w:rStyle w:val="ECCParagraph"/>
        </w:rPr>
        <w:t xml:space="preserve"> to ensure that the current narrow-band uses and other services would not be impacted.</w:t>
      </w:r>
    </w:p>
    <w:p w14:paraId="201F4A93" w14:textId="179258A5" w:rsidR="006A7882" w:rsidRDefault="00A53FEB" w:rsidP="006A7882">
      <w:pPr>
        <w:rPr>
          <w:rStyle w:val="ECCParagraph"/>
        </w:rPr>
      </w:pPr>
      <w:r>
        <w:rPr>
          <w:rStyle w:val="ECCParagraph"/>
        </w:rPr>
        <w:lastRenderedPageBreak/>
        <w:t xml:space="preserve">At its April-May 2025 meeting, WP 5B considered several contributions that were taken into account in the update of the draft new ITU-R Report. </w:t>
      </w:r>
      <w:r w:rsidR="00830AD7">
        <w:rPr>
          <w:rStyle w:val="ECCParagraph"/>
        </w:rPr>
        <w:t xml:space="preserve">Among the modifications, it was proposed some measurements of the contiguous aggregation of channels that would comply with the current out of band mask applied for the 3 kHz channel required by the Appendix </w:t>
      </w:r>
      <w:r w:rsidR="00830AD7" w:rsidRPr="009B5AD4">
        <w:rPr>
          <w:rStyle w:val="ECCHLbold"/>
        </w:rPr>
        <w:t>26</w:t>
      </w:r>
      <w:r w:rsidR="00830AD7">
        <w:rPr>
          <w:rStyle w:val="ECCParagraph"/>
        </w:rPr>
        <w:t xml:space="preserve">. </w:t>
      </w:r>
      <w:r w:rsidR="00064A75">
        <w:rPr>
          <w:rStyle w:val="ECCParagraph"/>
        </w:rPr>
        <w:t xml:space="preserve">If such proposal would be confirmed at a future WP 5B meeting, this would allow to ensure the coexistence with the services operated in the adjacent bands while utilizing the identified 3 kHz channels by each country in accordance this the Plan of Appendix </w:t>
      </w:r>
      <w:r w:rsidR="00064A75" w:rsidRPr="009B5AD4">
        <w:rPr>
          <w:rStyle w:val="ECCHLbold"/>
        </w:rPr>
        <w:t>26</w:t>
      </w:r>
      <w:r w:rsidR="00064A75">
        <w:rPr>
          <w:rStyle w:val="ECCParagraph"/>
        </w:rPr>
        <w:t xml:space="preserve">. Additional approach to use available channels was </w:t>
      </w:r>
      <w:r w:rsidR="00CF20E7">
        <w:rPr>
          <w:rStyle w:val="ECCParagraph"/>
        </w:rPr>
        <w:t xml:space="preserve">also </w:t>
      </w:r>
      <w:r w:rsidR="00064A75">
        <w:rPr>
          <w:rStyle w:val="ECCParagraph"/>
        </w:rPr>
        <w:t xml:space="preserve">proposed by sensing the radio environment but this would create a significant risk on current usage of the HF </w:t>
      </w:r>
      <w:r w:rsidR="00F72EE7">
        <w:rPr>
          <w:rStyle w:val="ECCParagraph"/>
        </w:rPr>
        <w:t xml:space="preserve">using the Plan of Appendix </w:t>
      </w:r>
      <w:r w:rsidR="00F72EE7" w:rsidRPr="009B5AD4">
        <w:rPr>
          <w:rStyle w:val="ECCHLbold"/>
        </w:rPr>
        <w:t>26</w:t>
      </w:r>
      <w:r w:rsidR="00064A75">
        <w:rPr>
          <w:rStyle w:val="ECCParagraph"/>
        </w:rPr>
        <w:t>.</w:t>
      </w:r>
    </w:p>
    <w:p w14:paraId="6B7CAA10" w14:textId="77777777" w:rsidR="006A7882" w:rsidRPr="006A7882" w:rsidRDefault="006A7882" w:rsidP="006A7882">
      <w:pPr>
        <w:pStyle w:val="Heading1"/>
      </w:pPr>
      <w:r w:rsidRPr="006A7882">
        <w:t>List of relevant documents</w:t>
      </w:r>
    </w:p>
    <w:p w14:paraId="28951EA7" w14:textId="77777777" w:rsidR="006A7882" w:rsidRPr="006A7882" w:rsidRDefault="006A7882" w:rsidP="006A7882">
      <w:pPr>
        <w:pStyle w:val="ECCBreak"/>
        <w:rPr>
          <w:rStyle w:val="ECCParagraph"/>
        </w:rPr>
      </w:pPr>
      <w:r w:rsidRPr="006A7882">
        <w:rPr>
          <w:rStyle w:val="ECCParagraph"/>
        </w:rPr>
        <w:t>ITU-Documentation (Recommendations, Reports, other)</w:t>
      </w:r>
    </w:p>
    <w:p w14:paraId="24C27F79" w14:textId="5DA9F06A" w:rsidR="00064A75" w:rsidRPr="00064A75" w:rsidRDefault="00064A75" w:rsidP="00064A75">
      <w:pPr>
        <w:pStyle w:val="ECCBulletsLv1"/>
      </w:pPr>
      <w:r w:rsidRPr="00064A75">
        <w:t xml:space="preserve">Recommendation </w:t>
      </w:r>
      <w:hyperlink r:id="rId12" w:history="1">
        <w:r w:rsidRPr="00064A75">
          <w:rPr>
            <w:rStyle w:val="Hyperlink"/>
          </w:rPr>
          <w:t>ITU-R F.1762</w:t>
        </w:r>
      </w:hyperlink>
      <w:r w:rsidR="0083615B">
        <w:t>:</w:t>
      </w:r>
      <w:r w:rsidRPr="00064A75">
        <w:t xml:space="preserve"> </w:t>
      </w:r>
      <w:r w:rsidR="0083615B">
        <w:t>“</w:t>
      </w:r>
      <w:r w:rsidRPr="00064A75">
        <w:t>Characteristics of enhanced applications for high frequency (HF) radiocommunication systems</w:t>
      </w:r>
      <w:r w:rsidR="00D26395">
        <w:t>”</w:t>
      </w:r>
    </w:p>
    <w:p w14:paraId="7BC5A370" w14:textId="0BBAE5AF" w:rsidR="006A7882" w:rsidRDefault="00064A75" w:rsidP="00064A75">
      <w:pPr>
        <w:pStyle w:val="ECCBulletsLv1"/>
      </w:pPr>
      <w:r w:rsidRPr="00064A75">
        <w:t xml:space="preserve">Recommendation </w:t>
      </w:r>
      <w:hyperlink r:id="rId13" w:history="1">
        <w:r w:rsidRPr="00064A75">
          <w:rPr>
            <w:rStyle w:val="Hyperlink"/>
          </w:rPr>
          <w:t>ITU-R F.1821</w:t>
        </w:r>
      </w:hyperlink>
      <w:r w:rsidR="0083615B">
        <w:t>: “</w:t>
      </w:r>
      <w:r w:rsidRPr="00064A75">
        <w:t>Characteristics of advanced digital high frequency (HF) radiocommunication systems</w:t>
      </w:r>
      <w:r w:rsidR="0083615B">
        <w:t>”</w:t>
      </w:r>
    </w:p>
    <w:p w14:paraId="4CD86D23" w14:textId="2235EF05" w:rsidR="0017039F" w:rsidRPr="006A7882" w:rsidRDefault="0017039F" w:rsidP="0083615B">
      <w:pPr>
        <w:pStyle w:val="ECCEditorsNote"/>
        <w:rPr>
          <w:rStyle w:val="ECCParagraph"/>
        </w:rPr>
      </w:pPr>
      <w:r>
        <w:t xml:space="preserve">These two Recommendations are currently under review and are expected to be finalised at the </w:t>
      </w:r>
      <w:r w:rsidR="00A511F6">
        <w:t xml:space="preserve">1-2 </w:t>
      </w:r>
      <w:r w:rsidR="001906E3">
        <w:t>December 2025</w:t>
      </w:r>
      <w:r>
        <w:t xml:space="preserve"> meeting of Study Group 5.</w:t>
      </w:r>
    </w:p>
    <w:p w14:paraId="681BF76C" w14:textId="77777777" w:rsidR="006A7882" w:rsidRDefault="006A7882" w:rsidP="006A7882">
      <w:pPr>
        <w:pStyle w:val="ECCBreak"/>
        <w:rPr>
          <w:rStyle w:val="ECCParagraph"/>
        </w:rPr>
      </w:pPr>
      <w:r w:rsidRPr="00235592">
        <w:rPr>
          <w:rStyle w:val="ECCParagraph"/>
        </w:rPr>
        <w:t>CEPT and/or ECC Documentation (Decisions, Recommendations, Reports)</w:t>
      </w:r>
    </w:p>
    <w:p w14:paraId="13EFCE44" w14:textId="77777777" w:rsidR="006A7882" w:rsidRPr="00235592" w:rsidRDefault="006A7882" w:rsidP="006A7882">
      <w:pPr>
        <w:pStyle w:val="ECCBulletsLv1"/>
        <w:rPr>
          <w:rStyle w:val="ECCParagraph"/>
        </w:rPr>
      </w:pPr>
      <w:r>
        <w:rPr>
          <w:rStyle w:val="ECCParagraph"/>
        </w:rPr>
        <w:t>None</w:t>
      </w:r>
    </w:p>
    <w:p w14:paraId="71C8CCFC" w14:textId="77777777" w:rsidR="006A7882" w:rsidRDefault="006A7882" w:rsidP="006A7882">
      <w:pPr>
        <w:pStyle w:val="ECCBreak"/>
        <w:rPr>
          <w:rStyle w:val="ECCParagraph"/>
        </w:rPr>
      </w:pPr>
      <w:r w:rsidRPr="00235592">
        <w:rPr>
          <w:rStyle w:val="ECCParagraph"/>
        </w:rPr>
        <w:t>EU Documentation (Directives, Decisions, Recommendations, other), if applicable</w:t>
      </w:r>
    </w:p>
    <w:p w14:paraId="3F6CC7EC" w14:textId="77777777" w:rsidR="006A7882" w:rsidRPr="00235592" w:rsidRDefault="006A7882" w:rsidP="006A7882">
      <w:pPr>
        <w:pStyle w:val="ECCBulletsLv1"/>
        <w:rPr>
          <w:rStyle w:val="ECCParagraph"/>
        </w:rPr>
      </w:pPr>
    </w:p>
    <w:p w14:paraId="4B3E839F" w14:textId="77777777" w:rsidR="006A7882" w:rsidRPr="006A7882" w:rsidRDefault="006A7882" w:rsidP="006A7882">
      <w:pPr>
        <w:pStyle w:val="Heading1"/>
      </w:pPr>
      <w:r w:rsidRPr="006A7882">
        <w:t>Actions to be taken</w:t>
      </w:r>
    </w:p>
    <w:p w14:paraId="384C5144" w14:textId="4659FCBC" w:rsidR="006A7882" w:rsidRDefault="00BD6F54" w:rsidP="006A7882">
      <w:pPr>
        <w:pStyle w:val="ECCBulletsLv1"/>
        <w:rPr>
          <w:rStyle w:val="ECCParagraph"/>
        </w:rPr>
      </w:pPr>
      <w:r>
        <w:rPr>
          <w:rStyle w:val="ECCParagraph"/>
        </w:rPr>
        <w:t>To study on a case by case basis and per country/frequency the possibility or not to have contiguous aggregated channels complying with Plan of Appendix 26.</w:t>
      </w:r>
    </w:p>
    <w:p w14:paraId="62D663C2" w14:textId="77777777" w:rsidR="006A7882" w:rsidRPr="006A7882" w:rsidRDefault="006A7882" w:rsidP="006A7882">
      <w:pPr>
        <w:pStyle w:val="Heading1"/>
      </w:pPr>
      <w:r w:rsidRPr="006A7882">
        <w:t xml:space="preserve">Relevant information as contributed from outside CEPT </w:t>
      </w:r>
    </w:p>
    <w:p w14:paraId="55BE034F" w14:textId="77777777" w:rsidR="006A7882" w:rsidRPr="006A7882" w:rsidRDefault="006A7882" w:rsidP="006A7882">
      <w:pPr>
        <w:pStyle w:val="Heading2"/>
      </w:pPr>
      <w:r w:rsidRPr="006A7882">
        <w:t>European Commission (date of proposal)</w:t>
      </w:r>
    </w:p>
    <w:p w14:paraId="7591D4DF" w14:textId="77777777" w:rsidR="006A7882" w:rsidRPr="00235592" w:rsidRDefault="006A7882" w:rsidP="006A7882">
      <w:pPr>
        <w:rPr>
          <w:rStyle w:val="ECCParagraph"/>
        </w:rPr>
      </w:pPr>
    </w:p>
    <w:p w14:paraId="76A073C8" w14:textId="77777777" w:rsidR="006A7882" w:rsidRPr="006A7882" w:rsidRDefault="006A7882" w:rsidP="006A7882">
      <w:pPr>
        <w:pStyle w:val="Heading2"/>
      </w:pPr>
      <w:r w:rsidRPr="006A7882">
        <w:t xml:space="preserve">Regional </w:t>
      </w:r>
      <w:r>
        <w:t>T</w:t>
      </w:r>
      <w:r w:rsidRPr="006A7882">
        <w:t xml:space="preserve">elecommunication </w:t>
      </w:r>
      <w:r>
        <w:t>O</w:t>
      </w:r>
      <w:r w:rsidRPr="006A7882">
        <w:t>rganisations</w:t>
      </w:r>
    </w:p>
    <w:p w14:paraId="0486BAC4" w14:textId="77777777" w:rsidR="006A7882" w:rsidRPr="00235592" w:rsidRDefault="006A7882" w:rsidP="006A7882">
      <w:pPr>
        <w:pStyle w:val="ECCBreak"/>
      </w:pPr>
      <w:r w:rsidRPr="00235592">
        <w:t>APT (date of proposal)</w:t>
      </w:r>
    </w:p>
    <w:p w14:paraId="3FB7B577" w14:textId="77777777" w:rsidR="006A7882" w:rsidRPr="00235592" w:rsidRDefault="006A7882" w:rsidP="006A7882">
      <w:pPr>
        <w:rPr>
          <w:rStyle w:val="ECCParagraph"/>
        </w:rPr>
      </w:pPr>
    </w:p>
    <w:p w14:paraId="05B95BEB" w14:textId="77777777" w:rsidR="006A7882" w:rsidRPr="00235592" w:rsidRDefault="006A7882" w:rsidP="006A7882">
      <w:pPr>
        <w:pStyle w:val="ECCBreak"/>
      </w:pPr>
      <w:r w:rsidRPr="00235592">
        <w:t>ATU (date of proposal)</w:t>
      </w:r>
    </w:p>
    <w:p w14:paraId="3307F700" w14:textId="77777777" w:rsidR="006A7882" w:rsidRPr="00235592" w:rsidRDefault="006A7882" w:rsidP="006A7882">
      <w:pPr>
        <w:rPr>
          <w:rStyle w:val="ECCParagraph"/>
        </w:rPr>
      </w:pPr>
    </w:p>
    <w:p w14:paraId="539B906B" w14:textId="77777777" w:rsidR="006A7882" w:rsidRPr="00235592" w:rsidRDefault="006A7882" w:rsidP="006A7882">
      <w:pPr>
        <w:pStyle w:val="ECCBreak"/>
      </w:pPr>
      <w:r>
        <w:t>ASMG</w:t>
      </w:r>
      <w:r w:rsidRPr="00235592">
        <w:t xml:space="preserve"> (date of proposal)</w:t>
      </w:r>
    </w:p>
    <w:p w14:paraId="12003569" w14:textId="77777777" w:rsidR="006A7882" w:rsidRPr="00235592" w:rsidRDefault="006A7882" w:rsidP="006A7882">
      <w:pPr>
        <w:rPr>
          <w:rStyle w:val="ECCParagraph"/>
        </w:rPr>
      </w:pPr>
    </w:p>
    <w:p w14:paraId="2D0DBD23" w14:textId="54D1EA3F" w:rsidR="006A7882" w:rsidRPr="00235592" w:rsidRDefault="006A7882" w:rsidP="006A7882">
      <w:pPr>
        <w:pStyle w:val="ECCBreak"/>
      </w:pPr>
      <w:r w:rsidRPr="00235592">
        <w:lastRenderedPageBreak/>
        <w:t>CITEL (</w:t>
      </w:r>
      <w:r w:rsidR="0088590F">
        <w:t>June 2025</w:t>
      </w:r>
      <w:r w:rsidRPr="00235592">
        <w:t>)</w:t>
      </w:r>
    </w:p>
    <w:p w14:paraId="031D9FD7" w14:textId="77777777" w:rsidR="006A7882" w:rsidRDefault="006A7882" w:rsidP="006A7882">
      <w:pPr>
        <w:rPr>
          <w:rStyle w:val="ECCParagraph"/>
        </w:rPr>
      </w:pPr>
      <w:r w:rsidRPr="002E6946">
        <w:rPr>
          <w:rStyle w:val="ECCParagraph"/>
        </w:rPr>
        <w:t>Preliminary Views (PV)</w:t>
      </w:r>
    </w:p>
    <w:p w14:paraId="6C92AD92" w14:textId="3D978744" w:rsidR="00B1634F" w:rsidRPr="002E6946" w:rsidRDefault="00B1634F" w:rsidP="006A7882">
      <w:pPr>
        <w:rPr>
          <w:rStyle w:val="ECCParagraph"/>
        </w:rPr>
      </w:pPr>
      <w:r w:rsidRPr="00B1634F">
        <w:t xml:space="preserve">Two administrations support the studies requested in Resolution </w:t>
      </w:r>
      <w:r w:rsidRPr="001F460C">
        <w:rPr>
          <w:rStyle w:val="ECCHLbold"/>
        </w:rPr>
        <w:t>411 (WRC-23)</w:t>
      </w:r>
      <w:r w:rsidRPr="00B1634F">
        <w:t xml:space="preserve"> on introducing new technologies that improve performance, such as new emission classes and wideband systems, to the AM(OR)S in the frequency ranges outlined in Appendix 26 of the Radio Regulations. This support is contingent on sharing studies demonstrating that HF wideband systems can ensure compatibility with existing AM(OR)S systems, other primary incumbent services, and adjacent allocations</w:t>
      </w:r>
      <w:r w:rsidR="00881B52">
        <w:t>.</w:t>
      </w:r>
    </w:p>
    <w:p w14:paraId="17433893" w14:textId="77777777" w:rsidR="006A7882" w:rsidRPr="00235592" w:rsidRDefault="006A7882" w:rsidP="006A7882">
      <w:pPr>
        <w:pStyle w:val="ECCBreak"/>
      </w:pPr>
      <w:r w:rsidRPr="00235592">
        <w:t>RCC (</w:t>
      </w:r>
      <w:r>
        <w:t>December 2024</w:t>
      </w:r>
      <w:r w:rsidRPr="00235592">
        <w:t>)</w:t>
      </w:r>
    </w:p>
    <w:p w14:paraId="08DE0F23" w14:textId="77777777" w:rsidR="006A7882" w:rsidRPr="00654AC3" w:rsidRDefault="006A7882" w:rsidP="006A7882">
      <w:pPr>
        <w:rPr>
          <w:rStyle w:val="ECCParagraph"/>
        </w:rPr>
      </w:pPr>
      <w:r w:rsidRPr="004E29BD">
        <w:rPr>
          <w:rStyle w:val="ECCParagraph"/>
        </w:rPr>
        <w:t>The RCC Administrations consider that it is necessary to study the possibility of including in</w:t>
      </w:r>
      <w:r>
        <w:rPr>
          <w:rStyle w:val="ECCParagraph"/>
        </w:rPr>
        <w:t xml:space="preserve"> </w:t>
      </w:r>
      <w:r w:rsidRPr="004E29BD">
        <w:rPr>
          <w:rStyle w:val="ECCParagraph"/>
        </w:rPr>
        <w:t>Appendix 26 provisions permitting the use of wideband systems, classes of emissions used by stations</w:t>
      </w:r>
      <w:r>
        <w:rPr>
          <w:rStyle w:val="ECCParagraph"/>
        </w:rPr>
        <w:t xml:space="preserve"> </w:t>
      </w:r>
      <w:r w:rsidRPr="004E29BD">
        <w:rPr>
          <w:rStyle w:val="ECCParagraph"/>
        </w:rPr>
        <w:t>in the aeronautical mobile (OR) service for new technologies, in frequency bands of their exclusive</w:t>
      </w:r>
      <w:r>
        <w:rPr>
          <w:rStyle w:val="ECCParagraph"/>
        </w:rPr>
        <w:t xml:space="preserve"> </w:t>
      </w:r>
      <w:r w:rsidRPr="004E29BD">
        <w:rPr>
          <w:rStyle w:val="ECCParagraph"/>
        </w:rPr>
        <w:t>use, taking into account that wideband systems in the aeronautical mobile (OR) service in the</w:t>
      </w:r>
      <w:r>
        <w:rPr>
          <w:rStyle w:val="ECCParagraph"/>
        </w:rPr>
        <w:t xml:space="preserve"> </w:t>
      </w:r>
      <w:r w:rsidRPr="004E29BD">
        <w:rPr>
          <w:rStyle w:val="ECCParagraph"/>
        </w:rPr>
        <w:t>frequency bands considered in Appendix 26 to the RR should be compatible with existing systems of</w:t>
      </w:r>
      <w:r>
        <w:rPr>
          <w:rStyle w:val="ECCParagraph"/>
        </w:rPr>
        <w:t xml:space="preserve"> </w:t>
      </w:r>
      <w:r w:rsidRPr="004E29BD">
        <w:rPr>
          <w:rStyle w:val="ECCParagraph"/>
        </w:rPr>
        <w:t>the aeronautical mobile (OR) service, as well as with systems of other existing services in the</w:t>
      </w:r>
      <w:r>
        <w:rPr>
          <w:rStyle w:val="ECCParagraph"/>
        </w:rPr>
        <w:t xml:space="preserve"> </w:t>
      </w:r>
      <w:r w:rsidRPr="004E29BD">
        <w:rPr>
          <w:rStyle w:val="ECCParagraph"/>
        </w:rPr>
        <w:t>frequency bands considered in this Appendix and adjacent frequency bands.</w:t>
      </w:r>
    </w:p>
    <w:p w14:paraId="49F759E0" w14:textId="77777777" w:rsidR="006A7882" w:rsidRPr="006A7882" w:rsidRDefault="006A7882" w:rsidP="006A7882">
      <w:pPr>
        <w:pStyle w:val="Heading2"/>
      </w:pPr>
      <w:r w:rsidRPr="006A7882">
        <w:t>International organisations members of the ITU</w:t>
      </w:r>
    </w:p>
    <w:p w14:paraId="313FCE01" w14:textId="77777777" w:rsidR="006A7882" w:rsidRPr="00A52B8E" w:rsidRDefault="006A7882" w:rsidP="006A7882">
      <w:pPr>
        <w:pStyle w:val="ECCBreak"/>
      </w:pPr>
      <w:r w:rsidRPr="00A52B8E">
        <w:t>CRAF (date of proposal)</w:t>
      </w:r>
    </w:p>
    <w:p w14:paraId="77CEB7DA" w14:textId="77777777" w:rsidR="006A7882" w:rsidRPr="00235592" w:rsidRDefault="006A7882" w:rsidP="006A7882">
      <w:pPr>
        <w:rPr>
          <w:rStyle w:val="ECCParagraph"/>
        </w:rPr>
      </w:pPr>
    </w:p>
    <w:p w14:paraId="50702EF0" w14:textId="77777777" w:rsidR="006A7882" w:rsidRPr="00A52B8E" w:rsidRDefault="006A7882" w:rsidP="006A7882">
      <w:pPr>
        <w:pStyle w:val="ECCBreak"/>
      </w:pPr>
      <w:r w:rsidRPr="00A52B8E">
        <w:t>EBU (date of proposal)</w:t>
      </w:r>
    </w:p>
    <w:p w14:paraId="7AC59A0E" w14:textId="77777777" w:rsidR="006A7882" w:rsidRPr="00235592" w:rsidRDefault="006A7882" w:rsidP="006A7882">
      <w:pPr>
        <w:rPr>
          <w:rStyle w:val="ECCParagraph"/>
        </w:rPr>
      </w:pPr>
    </w:p>
    <w:p w14:paraId="09B4085F" w14:textId="77777777" w:rsidR="006A7882" w:rsidRPr="00A52B8E" w:rsidRDefault="006A7882" w:rsidP="006A7882">
      <w:pPr>
        <w:pStyle w:val="ECCBreak"/>
      </w:pPr>
      <w:r w:rsidRPr="00A52B8E">
        <w:t>ESA (date of proposal)</w:t>
      </w:r>
    </w:p>
    <w:p w14:paraId="5AB1CC99" w14:textId="77777777" w:rsidR="006A7882" w:rsidRDefault="006A7882" w:rsidP="006A7882">
      <w:pPr>
        <w:pStyle w:val="ECCBreak"/>
      </w:pPr>
    </w:p>
    <w:p w14:paraId="7202EA3D" w14:textId="77777777" w:rsidR="006A7882" w:rsidRPr="00A52B8E" w:rsidRDefault="006A7882" w:rsidP="006A7882">
      <w:pPr>
        <w:pStyle w:val="ECCBreak"/>
      </w:pPr>
      <w:r w:rsidRPr="00A52B8E">
        <w:t>GSMA (date of proposal)</w:t>
      </w:r>
    </w:p>
    <w:p w14:paraId="74E10C22" w14:textId="77777777" w:rsidR="006A7882" w:rsidRPr="00235592" w:rsidRDefault="006A7882" w:rsidP="006A7882">
      <w:pPr>
        <w:rPr>
          <w:rStyle w:val="ECCParagraph"/>
        </w:rPr>
      </w:pPr>
    </w:p>
    <w:p w14:paraId="789B7CCB" w14:textId="77777777" w:rsidR="006A7882" w:rsidRPr="00A52B8E" w:rsidRDefault="006A7882" w:rsidP="006A7882">
      <w:pPr>
        <w:pStyle w:val="ECCBreak"/>
      </w:pPr>
      <w:r w:rsidRPr="00A52B8E">
        <w:t>GSOA (date of proposal)</w:t>
      </w:r>
    </w:p>
    <w:p w14:paraId="000F6F1C" w14:textId="77777777" w:rsidR="006A7882" w:rsidRPr="00235592" w:rsidRDefault="006A7882" w:rsidP="006A7882">
      <w:pPr>
        <w:rPr>
          <w:rStyle w:val="ECCParagraph"/>
        </w:rPr>
      </w:pPr>
    </w:p>
    <w:p w14:paraId="6B264648" w14:textId="77777777" w:rsidR="006A7882" w:rsidRPr="00A52B8E" w:rsidRDefault="006A7882" w:rsidP="006A7882">
      <w:pPr>
        <w:pStyle w:val="ECCBreak"/>
      </w:pPr>
      <w:r w:rsidRPr="00A52B8E">
        <w:t>IARU (date of proposal)</w:t>
      </w:r>
    </w:p>
    <w:p w14:paraId="36633271" w14:textId="77777777" w:rsidR="006A7882" w:rsidRPr="00235592" w:rsidRDefault="006A7882" w:rsidP="006A7882">
      <w:pPr>
        <w:rPr>
          <w:rStyle w:val="ECCParagraph"/>
        </w:rPr>
      </w:pPr>
    </w:p>
    <w:p w14:paraId="1692EB1A" w14:textId="77777777" w:rsidR="006A7882" w:rsidRPr="009701EC" w:rsidRDefault="006A7882" w:rsidP="006A7882">
      <w:pPr>
        <w:pStyle w:val="ECCBreak"/>
      </w:pPr>
      <w:r w:rsidRPr="009701EC">
        <w:t>IATA (date of proposal)</w:t>
      </w:r>
    </w:p>
    <w:p w14:paraId="1D51F3F4" w14:textId="77777777" w:rsidR="006A7882" w:rsidRPr="006A7882" w:rsidRDefault="006A7882" w:rsidP="006A7882">
      <w:pPr>
        <w:rPr>
          <w:rStyle w:val="ECCParagraph"/>
        </w:rPr>
      </w:pPr>
    </w:p>
    <w:p w14:paraId="6C089142" w14:textId="77777777" w:rsidR="006A7882" w:rsidRDefault="006A7882" w:rsidP="006A7882">
      <w:pPr>
        <w:pStyle w:val="Heading2"/>
      </w:pPr>
      <w:r>
        <w:lastRenderedPageBreak/>
        <w:t>UN level Committees</w:t>
      </w:r>
    </w:p>
    <w:p w14:paraId="1FB984F8" w14:textId="77777777" w:rsidR="006A7882" w:rsidRPr="009701EC" w:rsidRDefault="006A7882" w:rsidP="006A7882">
      <w:pPr>
        <w:pStyle w:val="ECCBreak"/>
      </w:pPr>
      <w:r w:rsidRPr="009701EC">
        <w:t>ICAO (date of proposal)</w:t>
      </w:r>
    </w:p>
    <w:p w14:paraId="2B2ED877" w14:textId="77777777" w:rsidR="006A7882" w:rsidRPr="009701EC" w:rsidRDefault="006A7882" w:rsidP="006A7882">
      <w:pPr>
        <w:rPr>
          <w:rStyle w:val="ECCParagraph"/>
        </w:rPr>
      </w:pPr>
    </w:p>
    <w:p w14:paraId="3F3313D0" w14:textId="77777777" w:rsidR="006A7882" w:rsidRPr="009701EC" w:rsidRDefault="006A7882" w:rsidP="006A7882">
      <w:pPr>
        <w:pStyle w:val="ECCBreak"/>
      </w:pPr>
      <w:r w:rsidRPr="009701EC">
        <w:t>IMO (date of proposal)</w:t>
      </w:r>
    </w:p>
    <w:p w14:paraId="258BF073" w14:textId="77777777" w:rsidR="006A7882" w:rsidRDefault="006A7882" w:rsidP="006A7882">
      <w:pPr>
        <w:rPr>
          <w:rStyle w:val="ECCParagraph"/>
        </w:rPr>
      </w:pPr>
    </w:p>
    <w:p w14:paraId="0494361C" w14:textId="77777777" w:rsidR="006A7882" w:rsidRPr="00235592" w:rsidRDefault="006A7882" w:rsidP="006A7882">
      <w:pPr>
        <w:pStyle w:val="ECCBreak"/>
      </w:pPr>
      <w:r w:rsidRPr="00235592">
        <w:t>WMO (</w:t>
      </w:r>
      <w:r w:rsidRPr="00A24102">
        <w:t>date of proposal</w:t>
      </w:r>
      <w:r w:rsidRPr="00235592">
        <w:t>)</w:t>
      </w:r>
    </w:p>
    <w:p w14:paraId="44EC8AD7" w14:textId="77777777" w:rsidR="006A7882" w:rsidRPr="006A7882" w:rsidRDefault="006A7882" w:rsidP="006A7882">
      <w:pPr>
        <w:pStyle w:val="Heading2"/>
      </w:pPr>
      <w:r>
        <w:t>Other ECC MoU/LoU partners</w:t>
      </w:r>
    </w:p>
    <w:p w14:paraId="41973C90" w14:textId="77777777" w:rsidR="006A7882" w:rsidRDefault="006A7882" w:rsidP="006A7882">
      <w:pPr>
        <w:pStyle w:val="ECCBreak"/>
      </w:pPr>
      <w:r>
        <w:t>EUMETNET (date of proposal)</w:t>
      </w:r>
    </w:p>
    <w:p w14:paraId="61FB2DB6" w14:textId="77777777" w:rsidR="006A7882" w:rsidRPr="00235592" w:rsidRDefault="006A7882" w:rsidP="006A7882">
      <w:pPr>
        <w:rPr>
          <w:rStyle w:val="ECCParagraph"/>
        </w:rPr>
      </w:pPr>
    </w:p>
    <w:p w14:paraId="7C15914E" w14:textId="77777777" w:rsidR="006A7882" w:rsidRPr="00235592" w:rsidRDefault="006A7882" w:rsidP="006A7882">
      <w:pPr>
        <w:pStyle w:val="ECCBreak"/>
      </w:pPr>
      <w:r>
        <w:t>EUROCONTROL</w:t>
      </w:r>
      <w:r w:rsidRPr="00235592">
        <w:t xml:space="preserve"> (date of proposal)</w:t>
      </w:r>
    </w:p>
    <w:p w14:paraId="627456A5" w14:textId="77777777" w:rsidR="006A7882" w:rsidRPr="00235592" w:rsidRDefault="006A7882" w:rsidP="006A7882">
      <w:pPr>
        <w:rPr>
          <w:rStyle w:val="ECCParagraph"/>
        </w:rPr>
      </w:pPr>
    </w:p>
    <w:p w14:paraId="242CD4C8" w14:textId="6336C3EA" w:rsidR="006A7882" w:rsidRPr="006A7882" w:rsidDel="003219F7" w:rsidRDefault="006A7882" w:rsidP="006A7882">
      <w:pPr>
        <w:pStyle w:val="ECCBreak"/>
        <w:rPr>
          <w:rStyle w:val="ECCParagraph"/>
          <w:rFonts w:eastAsia="Calibri"/>
        </w:rPr>
      </w:pPr>
      <w:r w:rsidDel="003219F7">
        <w:rPr>
          <w:rStyle w:val="ECCParagraph"/>
        </w:rPr>
        <w:t xml:space="preserve">NATO </w:t>
      </w:r>
      <w:r w:rsidRPr="00C377C2" w:rsidDel="003219F7">
        <w:t>(</w:t>
      </w:r>
      <w:r w:rsidR="007B4EC0">
        <w:t>April</w:t>
      </w:r>
      <w:r w:rsidR="003901C1">
        <w:t xml:space="preserve"> 2025</w:t>
      </w:r>
      <w:r w:rsidRPr="00C377C2" w:rsidDel="003219F7">
        <w:t>)</w:t>
      </w:r>
    </w:p>
    <w:p w14:paraId="66EBB227" w14:textId="4706E2AA" w:rsidR="006A7882" w:rsidRDefault="006A7882" w:rsidP="006A7882">
      <w:pPr>
        <w:rPr>
          <w:rStyle w:val="ECCHLunderlined"/>
        </w:rPr>
      </w:pPr>
      <w:r w:rsidRPr="000F33EB">
        <w:rPr>
          <w:rStyle w:val="ECCHLunderlined"/>
        </w:rPr>
        <w:t>Preliminary NATO Military Interest</w:t>
      </w:r>
    </w:p>
    <w:p w14:paraId="49DCEE09" w14:textId="77777777" w:rsidR="003901C1" w:rsidRPr="003901C1" w:rsidRDefault="003901C1" w:rsidP="003901C1">
      <w:r w:rsidRPr="003901C1">
        <w:t>NATO is of the view that any change to the aeronautical HF can be accepted if relevant ITU studies prove that they do not cause constraints to military incumbent services or to adjacent band applications.</w:t>
      </w:r>
    </w:p>
    <w:p w14:paraId="3BA4A1D7" w14:textId="77777777" w:rsidR="003901C1" w:rsidRPr="003901C1" w:rsidRDefault="003901C1" w:rsidP="003901C1">
      <w:r w:rsidRPr="003901C1">
        <w:t>NATO is closely monitoring proposed solutions for this agenda item to determine potential future opportunities and actions, that could be taken to allow for the use of enhanced HF techniques by fixed and mobile systems. Especially, this AI is dealing with the AM(OR)S regulation, which is governmental/military utilised. New wideband contiguous and/or non-contiguous channels for digital HF systems should not reduce the amount of access for military utilisation of aeronautical applications in the 3 025 - 18 030 kHz range, nor constrain incumbent military in-band or adjacent band military applications.</w:t>
      </w:r>
    </w:p>
    <w:p w14:paraId="0FDCC2E4" w14:textId="74CF278F" w:rsidR="003901C1" w:rsidRDefault="00C64A8A" w:rsidP="006A7882">
      <w:pPr>
        <w:rPr>
          <w:rStyle w:val="ECCHLunderlined"/>
        </w:rPr>
      </w:pPr>
      <w:r>
        <w:rPr>
          <w:rStyle w:val="ECCHLunderlined"/>
        </w:rPr>
        <w:t>Preliminary NATO Position</w:t>
      </w:r>
    </w:p>
    <w:p w14:paraId="522771EC" w14:textId="222867DD" w:rsidR="009C5CE2" w:rsidRPr="000F33EB" w:rsidRDefault="00C64A8A" w:rsidP="00722C52">
      <w:r w:rsidRPr="00C64A8A">
        <w:t>NATO supports modification of RR Appendix 26 similar to the update of RR Appendix 27 at WRC-23.</w:t>
      </w:r>
    </w:p>
    <w:sectPr w:rsidR="009C5CE2" w:rsidRPr="000F33EB" w:rsidSect="00482679">
      <w:headerReference w:type="even" r:id="rId14"/>
      <w:headerReference w:type="default" r:id="rId15"/>
      <w:footerReference w:type="even" r:id="rId16"/>
      <w:footerReference w:type="default" r:id="rId17"/>
      <w:headerReference w:type="first" r:id="rId18"/>
      <w:footerReference w:type="first" r:id="rId19"/>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D55D7" w14:textId="77777777" w:rsidR="005C0B23" w:rsidRDefault="005C0B23" w:rsidP="00D0121B">
      <w:r>
        <w:separator/>
      </w:r>
    </w:p>
    <w:p w14:paraId="01E2CCE3" w14:textId="77777777" w:rsidR="005C0B23" w:rsidRDefault="005C0B23"/>
    <w:p w14:paraId="74DAC148" w14:textId="77777777" w:rsidR="005C0B23" w:rsidRDefault="005C0B23"/>
  </w:endnote>
  <w:endnote w:type="continuationSeparator" w:id="0">
    <w:p w14:paraId="376FFA53" w14:textId="77777777" w:rsidR="005C0B23" w:rsidRDefault="005C0B23" w:rsidP="00D0121B">
      <w:r>
        <w:continuationSeparator/>
      </w:r>
    </w:p>
    <w:p w14:paraId="5DE31D1D" w14:textId="77777777" w:rsidR="005C0B23" w:rsidRDefault="005C0B23"/>
    <w:p w14:paraId="6CE0CF01" w14:textId="77777777" w:rsidR="005C0B23" w:rsidRDefault="005C0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7A81" w14:textId="77777777" w:rsidR="000C4410" w:rsidRDefault="000C4410">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26BD" w14:textId="77777777" w:rsidR="000C4410" w:rsidRDefault="000C4410">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53BA" w14:textId="77777777" w:rsidR="000C4410" w:rsidRDefault="000C4410">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B793" w14:textId="77777777" w:rsidR="005C0B23" w:rsidRPr="00C77ABB" w:rsidRDefault="005C0B23" w:rsidP="00C77ABB">
      <w:pPr>
        <w:pStyle w:val="FootnoteText"/>
      </w:pPr>
      <w:r w:rsidRPr="00C77ABB">
        <w:separator/>
      </w:r>
    </w:p>
  </w:footnote>
  <w:footnote w:type="continuationSeparator" w:id="0">
    <w:p w14:paraId="2CC71340" w14:textId="77777777" w:rsidR="005C0B23" w:rsidRPr="00C77ABB" w:rsidRDefault="005C0B23" w:rsidP="00C77ABB">
      <w:pPr>
        <w:pStyle w:val="FootnoteText"/>
      </w:pPr>
      <w:r w:rsidRPr="00C77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1D2F" w14:textId="19F85765" w:rsidR="00E06B29" w:rsidRPr="00CF2EC7" w:rsidRDefault="003771D5" w:rsidP="003A68D5">
    <w:pPr>
      <w:pStyle w:val="ECCpageHeader"/>
      <w:rPr>
        <w:lang w:val="en-US"/>
      </w:rPr>
    </w:pPr>
    <w:r w:rsidRPr="00CF2EC7">
      <w:rPr>
        <w:lang w:val="en-US"/>
      </w:rPr>
      <w:t xml:space="preserve">Draft CEPT Brief on AI </w:t>
    </w:r>
    <w:r w:rsidR="000C4410">
      <w:t>1.</w:t>
    </w:r>
    <w:r w:rsidR="00727D2B">
      <w:t>9</w:t>
    </w:r>
    <w:r w:rsidRPr="00CF2EC7">
      <w:rPr>
        <w:lang w:val="en-US"/>
      </w:rPr>
      <w:t xml:space="preserve"> </w:t>
    </w:r>
    <w:r w:rsidR="002D6680" w:rsidRPr="00CF2EC7">
      <w:rPr>
        <w:lang w:val="en-US"/>
      </w:rPr>
      <w:t xml:space="preserve">-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17826">
      <w:rPr>
        <w:noProof/>
        <w:lang w:val="en-US"/>
      </w:rPr>
      <w:t>4</w:t>
    </w:r>
    <w:r w:rsidR="005C10EB" w:rsidRPr="005611D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F73B" w14:textId="3BCF28EC" w:rsidR="00E06B29" w:rsidRPr="00CF2EC7" w:rsidRDefault="00D904D5" w:rsidP="003A68D5">
    <w:pPr>
      <w:pStyle w:val="ECCpageHeader"/>
      <w:rPr>
        <w:lang w:val="en-US"/>
      </w:rPr>
    </w:pPr>
    <w:r>
      <w:tab/>
    </w:r>
    <w:r>
      <w:tab/>
    </w:r>
    <w:r w:rsidR="002D6680" w:rsidRPr="00CF2EC7">
      <w:rPr>
        <w:lang w:val="en-US"/>
      </w:rPr>
      <w:t xml:space="preserve">Draft CEPT Brief on AI </w:t>
    </w:r>
    <w:r w:rsidR="00691B73">
      <w:t>1.</w:t>
    </w:r>
    <w:r w:rsidR="00727D2B">
      <w:t>9</w:t>
    </w:r>
    <w:r w:rsidR="002D6680" w:rsidRPr="00CF2EC7">
      <w:rPr>
        <w:lang w:val="en-US"/>
      </w:rPr>
      <w:t xml:space="preserve"> -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17826">
      <w:rPr>
        <w:noProof/>
        <w:lang w:val="en-US"/>
      </w:rPr>
      <w:t>3</w:t>
    </w:r>
    <w:r w:rsidR="005C10EB" w:rsidRPr="005611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AE56" w14:textId="77777777" w:rsidR="005C10EB" w:rsidRDefault="003771D5" w:rsidP="003A68D5">
    <w:pPr>
      <w:pStyle w:val="ECCpageHeader"/>
    </w:pPr>
    <w:r w:rsidRPr="008742E3">
      <w:rPr>
        <w:noProof/>
        <w:lang w:eastAsia="da-DK"/>
      </w:rPr>
      <w:drawing>
        <wp:inline distT="0" distB="0" distL="0" distR="0" wp14:anchorId="5F0E6159" wp14:editId="45B98E97">
          <wp:extent cx="889000" cy="889000"/>
          <wp:effectExtent l="0" t="0" r="6350" b="6350"/>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ab/>
    </w:r>
    <w:r>
      <w:tab/>
    </w:r>
    <w:r w:rsidRPr="008742E3">
      <w:rPr>
        <w:noProof/>
        <w:lang w:eastAsia="da-DK"/>
      </w:rPr>
      <w:drawing>
        <wp:inline distT="0" distB="0" distL="0" distR="0" wp14:anchorId="7AA008F9" wp14:editId="68853BA8">
          <wp:extent cx="1461770" cy="546100"/>
          <wp:effectExtent l="0" t="0" r="5080" b="6350"/>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p w14:paraId="166DE6A5" w14:textId="77777777" w:rsidR="003771D5" w:rsidRPr="005611D0" w:rsidRDefault="003771D5" w:rsidP="00377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F665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C4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B40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49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967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6A1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348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4F5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25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7A8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A87A02"/>
    <w:multiLevelType w:val="hybridMultilevel"/>
    <w:tmpl w:val="248209E6"/>
    <w:lvl w:ilvl="0" w:tplc="048CDB92">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2B7536"/>
    <w:multiLevelType w:val="hybridMultilevel"/>
    <w:tmpl w:val="CBB439E0"/>
    <w:lvl w:ilvl="0" w:tplc="6CF21ADC">
      <w:start w:val="3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6"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172234284">
    <w:abstractNumId w:val="11"/>
  </w:num>
  <w:num w:numId="2" w16cid:durableId="729573671">
    <w:abstractNumId w:val="12"/>
  </w:num>
  <w:num w:numId="3" w16cid:durableId="1815025007">
    <w:abstractNumId w:val="11"/>
  </w:num>
  <w:num w:numId="4" w16cid:durableId="1451388570">
    <w:abstractNumId w:val="18"/>
  </w:num>
  <w:num w:numId="5" w16cid:durableId="675183814">
    <w:abstractNumId w:val="15"/>
  </w:num>
  <w:num w:numId="6" w16cid:durableId="175271843">
    <w:abstractNumId w:val="17"/>
  </w:num>
  <w:num w:numId="7" w16cid:durableId="846751416">
    <w:abstractNumId w:val="16"/>
  </w:num>
  <w:num w:numId="8" w16cid:durableId="1218321909">
    <w:abstractNumId w:val="10"/>
  </w:num>
  <w:num w:numId="9" w16cid:durableId="1143153958">
    <w:abstractNumId w:val="9"/>
  </w:num>
  <w:num w:numId="10" w16cid:durableId="307631493">
    <w:abstractNumId w:val="7"/>
  </w:num>
  <w:num w:numId="11" w16cid:durableId="1411125023">
    <w:abstractNumId w:val="6"/>
  </w:num>
  <w:num w:numId="12" w16cid:durableId="322976591">
    <w:abstractNumId w:val="5"/>
  </w:num>
  <w:num w:numId="13" w16cid:durableId="149638895">
    <w:abstractNumId w:val="4"/>
  </w:num>
  <w:num w:numId="14" w16cid:durableId="1237714470">
    <w:abstractNumId w:val="8"/>
  </w:num>
  <w:num w:numId="15" w16cid:durableId="443037976">
    <w:abstractNumId w:val="3"/>
  </w:num>
  <w:num w:numId="16" w16cid:durableId="905262846">
    <w:abstractNumId w:val="2"/>
  </w:num>
  <w:num w:numId="17" w16cid:durableId="1632203424">
    <w:abstractNumId w:val="1"/>
  </w:num>
  <w:num w:numId="18" w16cid:durableId="423769756">
    <w:abstractNumId w:val="0"/>
  </w:num>
  <w:num w:numId="19" w16cid:durableId="848563380">
    <w:abstractNumId w:val="13"/>
  </w:num>
  <w:num w:numId="20" w16cid:durableId="996883826">
    <w:abstractNumId w:val="13"/>
  </w:num>
  <w:num w:numId="21" w16cid:durableId="1253969298">
    <w:abstractNumId w:val="10"/>
  </w:num>
  <w:num w:numId="22" w16cid:durableId="225994286">
    <w:abstractNumId w:val="12"/>
  </w:num>
  <w:num w:numId="23" w16cid:durableId="1833334230">
    <w:abstractNumId w:val="12"/>
  </w:num>
  <w:num w:numId="24" w16cid:durableId="1900096478">
    <w:abstractNumId w:val="12"/>
  </w:num>
  <w:num w:numId="25" w16cid:durableId="1628195771">
    <w:abstractNumId w:val="12"/>
  </w:num>
  <w:num w:numId="26" w16cid:durableId="1325817604">
    <w:abstractNumId w:val="10"/>
  </w:num>
  <w:num w:numId="27" w16cid:durableId="1146358207">
    <w:abstractNumId w:val="10"/>
  </w:num>
  <w:num w:numId="28" w16cid:durableId="536619973">
    <w:abstractNumId w:val="10"/>
  </w:num>
  <w:num w:numId="29" w16cid:durableId="98455715">
    <w:abstractNumId w:val="13"/>
  </w:num>
  <w:num w:numId="30" w16cid:durableId="2028602196">
    <w:abstractNumId w:val="16"/>
  </w:num>
  <w:num w:numId="31" w16cid:durableId="1026104581">
    <w:abstractNumId w:val="18"/>
  </w:num>
  <w:num w:numId="32" w16cid:durableId="419176537">
    <w:abstractNumId w:val="15"/>
  </w:num>
  <w:num w:numId="33" w16cid:durableId="1657221498">
    <w:abstractNumId w:val="17"/>
  </w:num>
  <w:num w:numId="34" w16cid:durableId="1878812757">
    <w:abstractNumId w:val="16"/>
  </w:num>
  <w:num w:numId="35" w16cid:durableId="879896294">
    <w:abstractNumId w:val="16"/>
  </w:num>
  <w:num w:numId="36" w16cid:durableId="87430900">
    <w:abstractNumId w:val="16"/>
  </w:num>
  <w:num w:numId="37" w16cid:durableId="105396794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NotTrackFormatting/>
  <w:documentProtection w:formatting="1" w:enforcement="1" w:cryptProviderType="rsaAES" w:cryptAlgorithmClass="hash" w:cryptAlgorithmType="typeAny" w:cryptAlgorithmSid="14" w:cryptSpinCount="100000" w:hash="kGPriJzZ2NeTQbLhCJkpHE8Adb6PXQ8fJpzHrkD7uEcz4POHT1ZNTpNWz0DGuO7W/a1ZaKpHyqG1cpE/F1ULtQ==" w:salt="+iOKmdLsYjqiyaO9OuoMVg=="/>
  <w:autoFormatOverride/>
  <w:styleLockTheme/>
  <w:styleLockQFSet/>
  <w:defaultTabStop w:val="567"/>
  <w:hyphenationZone w:val="425"/>
  <w:evenAndOddHeaders/>
  <w:characterSpacingControl w:val="doNotCompress"/>
  <w:hdrShapeDefaults>
    <o:shapedefaults v:ext="edit" spidmax="2050">
      <o:colormru v:ext="edit" colors="#7b6c58,#887e6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2E"/>
    <w:rsid w:val="00005332"/>
    <w:rsid w:val="00007022"/>
    <w:rsid w:val="00007BFF"/>
    <w:rsid w:val="000220E5"/>
    <w:rsid w:val="00026564"/>
    <w:rsid w:val="000355D8"/>
    <w:rsid w:val="00041A18"/>
    <w:rsid w:val="000445F3"/>
    <w:rsid w:val="00052CAE"/>
    <w:rsid w:val="000611F2"/>
    <w:rsid w:val="00061762"/>
    <w:rsid w:val="00062CB1"/>
    <w:rsid w:val="00064A75"/>
    <w:rsid w:val="000660F5"/>
    <w:rsid w:val="00067793"/>
    <w:rsid w:val="000701A5"/>
    <w:rsid w:val="000760DC"/>
    <w:rsid w:val="00080D4D"/>
    <w:rsid w:val="00081FC1"/>
    <w:rsid w:val="00082DD7"/>
    <w:rsid w:val="000938EA"/>
    <w:rsid w:val="00095620"/>
    <w:rsid w:val="00097D7A"/>
    <w:rsid w:val="000A29BC"/>
    <w:rsid w:val="000A3940"/>
    <w:rsid w:val="000A3F8A"/>
    <w:rsid w:val="000A6285"/>
    <w:rsid w:val="000B2156"/>
    <w:rsid w:val="000B5026"/>
    <w:rsid w:val="000C028F"/>
    <w:rsid w:val="000C4410"/>
    <w:rsid w:val="000C5CB6"/>
    <w:rsid w:val="000D1483"/>
    <w:rsid w:val="000D1710"/>
    <w:rsid w:val="000D7A37"/>
    <w:rsid w:val="000E1B50"/>
    <w:rsid w:val="000E42F5"/>
    <w:rsid w:val="000E4820"/>
    <w:rsid w:val="000E596A"/>
    <w:rsid w:val="000F0594"/>
    <w:rsid w:val="000F123A"/>
    <w:rsid w:val="000F1620"/>
    <w:rsid w:val="000F24F5"/>
    <w:rsid w:val="000F33EB"/>
    <w:rsid w:val="000F3F0B"/>
    <w:rsid w:val="000F41FF"/>
    <w:rsid w:val="001006CA"/>
    <w:rsid w:val="00100F8B"/>
    <w:rsid w:val="00144F4F"/>
    <w:rsid w:val="00152ECC"/>
    <w:rsid w:val="0016177D"/>
    <w:rsid w:val="00166342"/>
    <w:rsid w:val="0017039F"/>
    <w:rsid w:val="001721B7"/>
    <w:rsid w:val="00173662"/>
    <w:rsid w:val="0017456E"/>
    <w:rsid w:val="00183FE0"/>
    <w:rsid w:val="0018553F"/>
    <w:rsid w:val="001906E3"/>
    <w:rsid w:val="001A5C06"/>
    <w:rsid w:val="001A7790"/>
    <w:rsid w:val="001B31B9"/>
    <w:rsid w:val="001B3A30"/>
    <w:rsid w:val="001D0EB4"/>
    <w:rsid w:val="001D15AA"/>
    <w:rsid w:val="001D334F"/>
    <w:rsid w:val="001D4247"/>
    <w:rsid w:val="001E337B"/>
    <w:rsid w:val="001E56F0"/>
    <w:rsid w:val="001F460C"/>
    <w:rsid w:val="0020079A"/>
    <w:rsid w:val="0020250F"/>
    <w:rsid w:val="00203F50"/>
    <w:rsid w:val="002132DB"/>
    <w:rsid w:val="00220194"/>
    <w:rsid w:val="00226070"/>
    <w:rsid w:val="00226ACF"/>
    <w:rsid w:val="0022746F"/>
    <w:rsid w:val="00230B0B"/>
    <w:rsid w:val="00235592"/>
    <w:rsid w:val="002361DF"/>
    <w:rsid w:val="00236978"/>
    <w:rsid w:val="0024469B"/>
    <w:rsid w:val="0025173B"/>
    <w:rsid w:val="00251F87"/>
    <w:rsid w:val="002620A2"/>
    <w:rsid w:val="00267327"/>
    <w:rsid w:val="00271881"/>
    <w:rsid w:val="00271FE7"/>
    <w:rsid w:val="0027241D"/>
    <w:rsid w:val="00273354"/>
    <w:rsid w:val="00274D98"/>
    <w:rsid w:val="00274F84"/>
    <w:rsid w:val="0028060B"/>
    <w:rsid w:val="0028120C"/>
    <w:rsid w:val="0028563A"/>
    <w:rsid w:val="00292527"/>
    <w:rsid w:val="00293920"/>
    <w:rsid w:val="00295827"/>
    <w:rsid w:val="00295F16"/>
    <w:rsid w:val="002A0813"/>
    <w:rsid w:val="002C4FC7"/>
    <w:rsid w:val="002C5C63"/>
    <w:rsid w:val="002D1FA9"/>
    <w:rsid w:val="002D50A3"/>
    <w:rsid w:val="002D6680"/>
    <w:rsid w:val="002E5A91"/>
    <w:rsid w:val="002E6946"/>
    <w:rsid w:val="002E786C"/>
    <w:rsid w:val="002F1E6A"/>
    <w:rsid w:val="003031DA"/>
    <w:rsid w:val="00306106"/>
    <w:rsid w:val="00307A79"/>
    <w:rsid w:val="00312E94"/>
    <w:rsid w:val="003219F7"/>
    <w:rsid w:val="00322E6A"/>
    <w:rsid w:val="0032496D"/>
    <w:rsid w:val="00330191"/>
    <w:rsid w:val="003314A0"/>
    <w:rsid w:val="003419EF"/>
    <w:rsid w:val="00361E54"/>
    <w:rsid w:val="0036268F"/>
    <w:rsid w:val="003630AE"/>
    <w:rsid w:val="00370A0C"/>
    <w:rsid w:val="00373ED9"/>
    <w:rsid w:val="00376B5B"/>
    <w:rsid w:val="003771D5"/>
    <w:rsid w:val="003804AD"/>
    <w:rsid w:val="00382E92"/>
    <w:rsid w:val="0038358E"/>
    <w:rsid w:val="00384E9B"/>
    <w:rsid w:val="003901C1"/>
    <w:rsid w:val="00391A01"/>
    <w:rsid w:val="003977BE"/>
    <w:rsid w:val="003978E2"/>
    <w:rsid w:val="003A0A77"/>
    <w:rsid w:val="003A3710"/>
    <w:rsid w:val="003A465E"/>
    <w:rsid w:val="003A5711"/>
    <w:rsid w:val="003A68D5"/>
    <w:rsid w:val="003A6FB0"/>
    <w:rsid w:val="003B7070"/>
    <w:rsid w:val="003B7B71"/>
    <w:rsid w:val="003C2DA9"/>
    <w:rsid w:val="003C64D9"/>
    <w:rsid w:val="003C7CD4"/>
    <w:rsid w:val="003D7E66"/>
    <w:rsid w:val="003E70E0"/>
    <w:rsid w:val="003F64ED"/>
    <w:rsid w:val="00403CE6"/>
    <w:rsid w:val="00407336"/>
    <w:rsid w:val="004074CC"/>
    <w:rsid w:val="004110CA"/>
    <w:rsid w:val="0042509E"/>
    <w:rsid w:val="00433B44"/>
    <w:rsid w:val="00440088"/>
    <w:rsid w:val="00443482"/>
    <w:rsid w:val="00443912"/>
    <w:rsid w:val="00446E3E"/>
    <w:rsid w:val="00450308"/>
    <w:rsid w:val="00455360"/>
    <w:rsid w:val="00457AD1"/>
    <w:rsid w:val="0046026C"/>
    <w:rsid w:val="0046427F"/>
    <w:rsid w:val="00470D4B"/>
    <w:rsid w:val="00473469"/>
    <w:rsid w:val="004737CD"/>
    <w:rsid w:val="00474DC4"/>
    <w:rsid w:val="00482679"/>
    <w:rsid w:val="004827F1"/>
    <w:rsid w:val="00485307"/>
    <w:rsid w:val="00485535"/>
    <w:rsid w:val="00487AC5"/>
    <w:rsid w:val="00491977"/>
    <w:rsid w:val="0049491B"/>
    <w:rsid w:val="004A1329"/>
    <w:rsid w:val="004A511D"/>
    <w:rsid w:val="004A6C36"/>
    <w:rsid w:val="004B0241"/>
    <w:rsid w:val="004B18B6"/>
    <w:rsid w:val="004C4A2E"/>
    <w:rsid w:val="004D5EA3"/>
    <w:rsid w:val="004E0F38"/>
    <w:rsid w:val="004E29BD"/>
    <w:rsid w:val="004E44C8"/>
    <w:rsid w:val="004E53BE"/>
    <w:rsid w:val="004F16F4"/>
    <w:rsid w:val="004F3F81"/>
    <w:rsid w:val="004F6CA7"/>
    <w:rsid w:val="005028D4"/>
    <w:rsid w:val="00503A69"/>
    <w:rsid w:val="00535050"/>
    <w:rsid w:val="00536F3C"/>
    <w:rsid w:val="0054260E"/>
    <w:rsid w:val="00550D79"/>
    <w:rsid w:val="00554C4C"/>
    <w:rsid w:val="00555712"/>
    <w:rsid w:val="005559AC"/>
    <w:rsid w:val="00557B5A"/>
    <w:rsid w:val="005611D0"/>
    <w:rsid w:val="00570BE1"/>
    <w:rsid w:val="00571A40"/>
    <w:rsid w:val="005736B2"/>
    <w:rsid w:val="00574180"/>
    <w:rsid w:val="0057797A"/>
    <w:rsid w:val="00580C05"/>
    <w:rsid w:val="005817E4"/>
    <w:rsid w:val="00583072"/>
    <w:rsid w:val="00592BAA"/>
    <w:rsid w:val="00594186"/>
    <w:rsid w:val="00595B5F"/>
    <w:rsid w:val="005A4978"/>
    <w:rsid w:val="005A4DD0"/>
    <w:rsid w:val="005A53B8"/>
    <w:rsid w:val="005A69AE"/>
    <w:rsid w:val="005B12CB"/>
    <w:rsid w:val="005B17AC"/>
    <w:rsid w:val="005B28E3"/>
    <w:rsid w:val="005B531F"/>
    <w:rsid w:val="005C0B23"/>
    <w:rsid w:val="005C10EB"/>
    <w:rsid w:val="005C6D98"/>
    <w:rsid w:val="005D1984"/>
    <w:rsid w:val="005D294D"/>
    <w:rsid w:val="005D371D"/>
    <w:rsid w:val="005D5C60"/>
    <w:rsid w:val="005D78C4"/>
    <w:rsid w:val="005E2CD3"/>
    <w:rsid w:val="005E4B28"/>
    <w:rsid w:val="005E7495"/>
    <w:rsid w:val="006112C3"/>
    <w:rsid w:val="00617DA5"/>
    <w:rsid w:val="00621C12"/>
    <w:rsid w:val="006344B2"/>
    <w:rsid w:val="00635A22"/>
    <w:rsid w:val="006364C0"/>
    <w:rsid w:val="00642083"/>
    <w:rsid w:val="00643FA9"/>
    <w:rsid w:val="00647D4E"/>
    <w:rsid w:val="00652804"/>
    <w:rsid w:val="006541BF"/>
    <w:rsid w:val="00654AC3"/>
    <w:rsid w:val="0065550D"/>
    <w:rsid w:val="00657AD4"/>
    <w:rsid w:val="006620BC"/>
    <w:rsid w:val="00665364"/>
    <w:rsid w:val="0068085F"/>
    <w:rsid w:val="00686BD3"/>
    <w:rsid w:val="006876A8"/>
    <w:rsid w:val="00687B43"/>
    <w:rsid w:val="00691B73"/>
    <w:rsid w:val="00694686"/>
    <w:rsid w:val="006A0B9C"/>
    <w:rsid w:val="006A49E3"/>
    <w:rsid w:val="006A6CD9"/>
    <w:rsid w:val="006A7882"/>
    <w:rsid w:val="006B1EFD"/>
    <w:rsid w:val="006C454C"/>
    <w:rsid w:val="006C5C1C"/>
    <w:rsid w:val="006D783C"/>
    <w:rsid w:val="006E4888"/>
    <w:rsid w:val="006E59D4"/>
    <w:rsid w:val="006F0442"/>
    <w:rsid w:val="006F1E96"/>
    <w:rsid w:val="006F7A3B"/>
    <w:rsid w:val="007023A3"/>
    <w:rsid w:val="00703FC0"/>
    <w:rsid w:val="007160BE"/>
    <w:rsid w:val="00721539"/>
    <w:rsid w:val="00722C52"/>
    <w:rsid w:val="00722F65"/>
    <w:rsid w:val="0072609F"/>
    <w:rsid w:val="00726836"/>
    <w:rsid w:val="00727D2B"/>
    <w:rsid w:val="00727F8C"/>
    <w:rsid w:val="00734A4F"/>
    <w:rsid w:val="007364E1"/>
    <w:rsid w:val="00740A82"/>
    <w:rsid w:val="00762BCC"/>
    <w:rsid w:val="00763BA3"/>
    <w:rsid w:val="00765B66"/>
    <w:rsid w:val="00767BB2"/>
    <w:rsid w:val="00771969"/>
    <w:rsid w:val="00774E61"/>
    <w:rsid w:val="00780376"/>
    <w:rsid w:val="00791AAC"/>
    <w:rsid w:val="0079410C"/>
    <w:rsid w:val="00797D4C"/>
    <w:rsid w:val="007B0D9D"/>
    <w:rsid w:val="007B45DD"/>
    <w:rsid w:val="007B4EC0"/>
    <w:rsid w:val="007B52C8"/>
    <w:rsid w:val="007C0E7E"/>
    <w:rsid w:val="007C4AAD"/>
    <w:rsid w:val="007C5A3B"/>
    <w:rsid w:val="007D17C5"/>
    <w:rsid w:val="007D4CD4"/>
    <w:rsid w:val="007D52EC"/>
    <w:rsid w:val="007D6F63"/>
    <w:rsid w:val="007E19A4"/>
    <w:rsid w:val="007E37F7"/>
    <w:rsid w:val="007E690C"/>
    <w:rsid w:val="007F1CEE"/>
    <w:rsid w:val="007F2AB2"/>
    <w:rsid w:val="008018F0"/>
    <w:rsid w:val="008062AC"/>
    <w:rsid w:val="00817826"/>
    <w:rsid w:val="00820A4A"/>
    <w:rsid w:val="008221CB"/>
    <w:rsid w:val="008240D3"/>
    <w:rsid w:val="00830AD7"/>
    <w:rsid w:val="0083615B"/>
    <w:rsid w:val="00837537"/>
    <w:rsid w:val="008473C0"/>
    <w:rsid w:val="0086094D"/>
    <w:rsid w:val="00866D08"/>
    <w:rsid w:val="00872382"/>
    <w:rsid w:val="008742E3"/>
    <w:rsid w:val="00881B52"/>
    <w:rsid w:val="0088526C"/>
    <w:rsid w:val="0088590F"/>
    <w:rsid w:val="00885A74"/>
    <w:rsid w:val="00885BFF"/>
    <w:rsid w:val="00890D52"/>
    <w:rsid w:val="008A1315"/>
    <w:rsid w:val="008A38A9"/>
    <w:rsid w:val="008A51CD"/>
    <w:rsid w:val="008A54FC"/>
    <w:rsid w:val="008B532A"/>
    <w:rsid w:val="008B70CD"/>
    <w:rsid w:val="008B7CE5"/>
    <w:rsid w:val="008C14EA"/>
    <w:rsid w:val="008C4E2D"/>
    <w:rsid w:val="008D218A"/>
    <w:rsid w:val="008E117A"/>
    <w:rsid w:val="008E6109"/>
    <w:rsid w:val="008F6639"/>
    <w:rsid w:val="008F6D08"/>
    <w:rsid w:val="009033CD"/>
    <w:rsid w:val="009170EA"/>
    <w:rsid w:val="00917D1C"/>
    <w:rsid w:val="0092076F"/>
    <w:rsid w:val="00927833"/>
    <w:rsid w:val="00930439"/>
    <w:rsid w:val="00930BDF"/>
    <w:rsid w:val="00937FE5"/>
    <w:rsid w:val="009434C3"/>
    <w:rsid w:val="00947A5A"/>
    <w:rsid w:val="009701EC"/>
    <w:rsid w:val="009770CA"/>
    <w:rsid w:val="00986677"/>
    <w:rsid w:val="0099421C"/>
    <w:rsid w:val="009945F2"/>
    <w:rsid w:val="009B0A78"/>
    <w:rsid w:val="009B1F62"/>
    <w:rsid w:val="009B5AD4"/>
    <w:rsid w:val="009C3A8D"/>
    <w:rsid w:val="009C5CE2"/>
    <w:rsid w:val="009D2460"/>
    <w:rsid w:val="009D3496"/>
    <w:rsid w:val="009D4BA1"/>
    <w:rsid w:val="009D6EF3"/>
    <w:rsid w:val="009D7D5A"/>
    <w:rsid w:val="009E2121"/>
    <w:rsid w:val="009E47EB"/>
    <w:rsid w:val="009E6DC3"/>
    <w:rsid w:val="009F0B56"/>
    <w:rsid w:val="009F3A37"/>
    <w:rsid w:val="009F7B1C"/>
    <w:rsid w:val="00A02090"/>
    <w:rsid w:val="00A076B5"/>
    <w:rsid w:val="00A173CE"/>
    <w:rsid w:val="00A211BF"/>
    <w:rsid w:val="00A2371D"/>
    <w:rsid w:val="00A23870"/>
    <w:rsid w:val="00A23AFE"/>
    <w:rsid w:val="00A24102"/>
    <w:rsid w:val="00A31525"/>
    <w:rsid w:val="00A33409"/>
    <w:rsid w:val="00A37BAF"/>
    <w:rsid w:val="00A43BD3"/>
    <w:rsid w:val="00A4743C"/>
    <w:rsid w:val="00A511F6"/>
    <w:rsid w:val="00A52B8E"/>
    <w:rsid w:val="00A53FEB"/>
    <w:rsid w:val="00A57992"/>
    <w:rsid w:val="00A611AA"/>
    <w:rsid w:val="00A67671"/>
    <w:rsid w:val="00A73298"/>
    <w:rsid w:val="00A87414"/>
    <w:rsid w:val="00A90EBE"/>
    <w:rsid w:val="00A95ACB"/>
    <w:rsid w:val="00A95DD6"/>
    <w:rsid w:val="00A97942"/>
    <w:rsid w:val="00AA079B"/>
    <w:rsid w:val="00AA086A"/>
    <w:rsid w:val="00AA7CCE"/>
    <w:rsid w:val="00AB1C16"/>
    <w:rsid w:val="00AB2EA8"/>
    <w:rsid w:val="00AB3C46"/>
    <w:rsid w:val="00AB3C97"/>
    <w:rsid w:val="00AC40CD"/>
    <w:rsid w:val="00AC4632"/>
    <w:rsid w:val="00AD237B"/>
    <w:rsid w:val="00AD7257"/>
    <w:rsid w:val="00AE05F8"/>
    <w:rsid w:val="00AE372A"/>
    <w:rsid w:val="00AE66E8"/>
    <w:rsid w:val="00AF0834"/>
    <w:rsid w:val="00AF1845"/>
    <w:rsid w:val="00AF2D0C"/>
    <w:rsid w:val="00B12111"/>
    <w:rsid w:val="00B128D9"/>
    <w:rsid w:val="00B1634F"/>
    <w:rsid w:val="00B230E1"/>
    <w:rsid w:val="00B2563E"/>
    <w:rsid w:val="00B3042F"/>
    <w:rsid w:val="00B30D3B"/>
    <w:rsid w:val="00B37D96"/>
    <w:rsid w:val="00B432D4"/>
    <w:rsid w:val="00B447FC"/>
    <w:rsid w:val="00B45281"/>
    <w:rsid w:val="00B453ED"/>
    <w:rsid w:val="00B460E4"/>
    <w:rsid w:val="00B54B09"/>
    <w:rsid w:val="00B576D7"/>
    <w:rsid w:val="00B779F3"/>
    <w:rsid w:val="00B80892"/>
    <w:rsid w:val="00B82735"/>
    <w:rsid w:val="00B92861"/>
    <w:rsid w:val="00B92E04"/>
    <w:rsid w:val="00BA2E30"/>
    <w:rsid w:val="00BA524C"/>
    <w:rsid w:val="00BA7A69"/>
    <w:rsid w:val="00BC157A"/>
    <w:rsid w:val="00BC3CA5"/>
    <w:rsid w:val="00BC5C88"/>
    <w:rsid w:val="00BD28DF"/>
    <w:rsid w:val="00BD4E12"/>
    <w:rsid w:val="00BD6F54"/>
    <w:rsid w:val="00BD7669"/>
    <w:rsid w:val="00BE2864"/>
    <w:rsid w:val="00BE33E5"/>
    <w:rsid w:val="00BF3831"/>
    <w:rsid w:val="00C01437"/>
    <w:rsid w:val="00C0561A"/>
    <w:rsid w:val="00C076BF"/>
    <w:rsid w:val="00C0772A"/>
    <w:rsid w:val="00C07935"/>
    <w:rsid w:val="00C10C10"/>
    <w:rsid w:val="00C154D3"/>
    <w:rsid w:val="00C27F02"/>
    <w:rsid w:val="00C33A7C"/>
    <w:rsid w:val="00C377C2"/>
    <w:rsid w:val="00C44519"/>
    <w:rsid w:val="00C504F4"/>
    <w:rsid w:val="00C57E85"/>
    <w:rsid w:val="00C62665"/>
    <w:rsid w:val="00C64A8A"/>
    <w:rsid w:val="00C65BB4"/>
    <w:rsid w:val="00C666E5"/>
    <w:rsid w:val="00C77ABB"/>
    <w:rsid w:val="00C8071C"/>
    <w:rsid w:val="00C816CB"/>
    <w:rsid w:val="00C82461"/>
    <w:rsid w:val="00C87381"/>
    <w:rsid w:val="00C94835"/>
    <w:rsid w:val="00C95A5B"/>
    <w:rsid w:val="00C95E5E"/>
    <w:rsid w:val="00CA07CC"/>
    <w:rsid w:val="00CA3AC9"/>
    <w:rsid w:val="00CA4FCE"/>
    <w:rsid w:val="00CA5F8F"/>
    <w:rsid w:val="00CB3FDB"/>
    <w:rsid w:val="00CB41AA"/>
    <w:rsid w:val="00CC5A6F"/>
    <w:rsid w:val="00CC71E8"/>
    <w:rsid w:val="00CD2397"/>
    <w:rsid w:val="00CE1BA5"/>
    <w:rsid w:val="00CE271A"/>
    <w:rsid w:val="00CE6BD5"/>
    <w:rsid w:val="00CE6FF5"/>
    <w:rsid w:val="00CF20E7"/>
    <w:rsid w:val="00CF2EC7"/>
    <w:rsid w:val="00CF4FFB"/>
    <w:rsid w:val="00CF5245"/>
    <w:rsid w:val="00D0121B"/>
    <w:rsid w:val="00D04BA8"/>
    <w:rsid w:val="00D06479"/>
    <w:rsid w:val="00D06CA9"/>
    <w:rsid w:val="00D076EE"/>
    <w:rsid w:val="00D07B1A"/>
    <w:rsid w:val="00D1280A"/>
    <w:rsid w:val="00D15164"/>
    <w:rsid w:val="00D15FCC"/>
    <w:rsid w:val="00D24CD0"/>
    <w:rsid w:val="00D26395"/>
    <w:rsid w:val="00D273D6"/>
    <w:rsid w:val="00D30E46"/>
    <w:rsid w:val="00D435A4"/>
    <w:rsid w:val="00D50AC8"/>
    <w:rsid w:val="00D527EE"/>
    <w:rsid w:val="00D53EEF"/>
    <w:rsid w:val="00D602C4"/>
    <w:rsid w:val="00D73593"/>
    <w:rsid w:val="00D871CA"/>
    <w:rsid w:val="00D904D5"/>
    <w:rsid w:val="00D91D39"/>
    <w:rsid w:val="00DA0026"/>
    <w:rsid w:val="00DA444C"/>
    <w:rsid w:val="00DA66BC"/>
    <w:rsid w:val="00DD6CE9"/>
    <w:rsid w:val="00DF1E2E"/>
    <w:rsid w:val="00DF2C67"/>
    <w:rsid w:val="00DF3AE2"/>
    <w:rsid w:val="00DF7D21"/>
    <w:rsid w:val="00E059C5"/>
    <w:rsid w:val="00E06B29"/>
    <w:rsid w:val="00E06C22"/>
    <w:rsid w:val="00E07CBB"/>
    <w:rsid w:val="00E17ADB"/>
    <w:rsid w:val="00E20647"/>
    <w:rsid w:val="00E21B26"/>
    <w:rsid w:val="00E26BAC"/>
    <w:rsid w:val="00E448A7"/>
    <w:rsid w:val="00E4781B"/>
    <w:rsid w:val="00E51F8B"/>
    <w:rsid w:val="00E60351"/>
    <w:rsid w:val="00E71AE7"/>
    <w:rsid w:val="00E7242F"/>
    <w:rsid w:val="00E73391"/>
    <w:rsid w:val="00E752E6"/>
    <w:rsid w:val="00E75810"/>
    <w:rsid w:val="00E83777"/>
    <w:rsid w:val="00E83D02"/>
    <w:rsid w:val="00E97060"/>
    <w:rsid w:val="00EA6088"/>
    <w:rsid w:val="00EB0DB9"/>
    <w:rsid w:val="00EB3E76"/>
    <w:rsid w:val="00EB4BBF"/>
    <w:rsid w:val="00EB5A67"/>
    <w:rsid w:val="00EC1A2C"/>
    <w:rsid w:val="00ED7CAD"/>
    <w:rsid w:val="00EF19F5"/>
    <w:rsid w:val="00EF69A0"/>
    <w:rsid w:val="00F005BC"/>
    <w:rsid w:val="00F028DA"/>
    <w:rsid w:val="00F04A69"/>
    <w:rsid w:val="00F1062E"/>
    <w:rsid w:val="00F10E1F"/>
    <w:rsid w:val="00F140E4"/>
    <w:rsid w:val="00F212EB"/>
    <w:rsid w:val="00F268C0"/>
    <w:rsid w:val="00F30273"/>
    <w:rsid w:val="00F32E41"/>
    <w:rsid w:val="00F34F56"/>
    <w:rsid w:val="00F3690D"/>
    <w:rsid w:val="00F45307"/>
    <w:rsid w:val="00F465D3"/>
    <w:rsid w:val="00F569C9"/>
    <w:rsid w:val="00F56F06"/>
    <w:rsid w:val="00F659E5"/>
    <w:rsid w:val="00F72EE7"/>
    <w:rsid w:val="00F73815"/>
    <w:rsid w:val="00F7770D"/>
    <w:rsid w:val="00F8504F"/>
    <w:rsid w:val="00F85984"/>
    <w:rsid w:val="00F868C9"/>
    <w:rsid w:val="00F9153C"/>
    <w:rsid w:val="00F93115"/>
    <w:rsid w:val="00F97DAD"/>
    <w:rsid w:val="00FA5792"/>
    <w:rsid w:val="00FA5B5D"/>
    <w:rsid w:val="00FA63DC"/>
    <w:rsid w:val="00FB1978"/>
    <w:rsid w:val="00FB200D"/>
    <w:rsid w:val="00FD5730"/>
    <w:rsid w:val="00FD5C27"/>
    <w:rsid w:val="00FE538A"/>
    <w:rsid w:val="00FE7EE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5CF186A2"/>
  <w15:docId w15:val="{970C781E-5CB9-49E5-8F0B-65B91E64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semiHidden="1" w:uiPriority="31" w:qFormat="1"/>
    <w:lsdException w:name="Intense Reference" w:semiHidden="1"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6A7882"/>
    <w:rPr>
      <w:rFonts w:eastAsia="Calibri"/>
      <w:szCs w:val="22"/>
      <w:lang w:val="en-GB"/>
    </w:rPr>
  </w:style>
  <w:style w:type="paragraph" w:styleId="Heading1">
    <w:name w:val="heading 1"/>
    <w:aliases w:val="ECC Heading 1"/>
    <w:next w:val="Normal"/>
    <w:qFormat/>
    <w:rsid w:val="009F0B56"/>
    <w:pPr>
      <w:keepNext/>
      <w:numPr>
        <w:numId w:val="36"/>
      </w:numPr>
      <w:spacing w:before="600"/>
      <w:jc w:val="left"/>
      <w:outlineLvl w:val="0"/>
    </w:pPr>
    <w:rPr>
      <w:rFonts w:eastAsia="Calibri" w:cs="Arial"/>
      <w:b/>
      <w:bCs/>
      <w:caps/>
      <w:color w:val="D2232A"/>
      <w:kern w:val="32"/>
      <w:szCs w:val="32"/>
    </w:rPr>
  </w:style>
  <w:style w:type="paragraph" w:styleId="Heading2">
    <w:name w:val="heading 2"/>
    <w:aliases w:val="ECC Heading 2"/>
    <w:next w:val="Normal"/>
    <w:qFormat/>
    <w:rsid w:val="009F0B56"/>
    <w:pPr>
      <w:keepNext/>
      <w:numPr>
        <w:ilvl w:val="1"/>
        <w:numId w:val="36"/>
      </w:numPr>
      <w:spacing w:before="480"/>
      <w:jc w:val="left"/>
      <w:outlineLvl w:val="1"/>
    </w:pPr>
    <w:rPr>
      <w:rFonts w:eastAsia="Calibri" w:cs="Arial"/>
      <w:b/>
      <w:bCs/>
      <w:iCs/>
      <w:caps/>
      <w:szCs w:val="28"/>
    </w:rPr>
  </w:style>
  <w:style w:type="paragraph" w:styleId="Heading3">
    <w:name w:val="heading 3"/>
    <w:aliases w:val="ECC Heading 3"/>
    <w:next w:val="Normal"/>
    <w:qFormat/>
    <w:rsid w:val="009F0B56"/>
    <w:pPr>
      <w:keepNext/>
      <w:numPr>
        <w:ilvl w:val="2"/>
        <w:numId w:val="36"/>
      </w:numPr>
      <w:spacing w:before="360"/>
      <w:jc w:val="left"/>
      <w:outlineLvl w:val="2"/>
    </w:pPr>
    <w:rPr>
      <w:rFonts w:eastAsia="Calibri" w:cs="Arial"/>
      <w:b/>
      <w:bCs/>
      <w:szCs w:val="26"/>
    </w:rPr>
  </w:style>
  <w:style w:type="paragraph" w:styleId="Heading4">
    <w:name w:val="heading 4"/>
    <w:aliases w:val="ECC Heading 4"/>
    <w:next w:val="Normal"/>
    <w:qFormat/>
    <w:rsid w:val="009F0B56"/>
    <w:pPr>
      <w:numPr>
        <w:ilvl w:val="3"/>
        <w:numId w:val="36"/>
      </w:numPr>
      <w:spacing w:before="360"/>
      <w:jc w:val="left"/>
      <w:outlineLvl w:val="3"/>
    </w:pPr>
    <w:rPr>
      <w:rFonts w:eastAsia="Calibri" w:cs="Arial"/>
      <w:bCs/>
      <w:i/>
      <w:color w:val="D2232A"/>
      <w:szCs w:val="26"/>
    </w:rPr>
  </w:style>
  <w:style w:type="paragraph" w:styleId="Heading5">
    <w:name w:val="heading 5"/>
    <w:basedOn w:val="Normal"/>
    <w:next w:val="Normal"/>
    <w:semiHidden/>
    <w:qFormat/>
    <w:locked/>
    <w:rsid w:val="009E47EB"/>
    <w:pPr>
      <w:numPr>
        <w:ilvl w:val="4"/>
        <w:numId w:val="36"/>
      </w:numPr>
      <w:outlineLvl w:val="4"/>
    </w:pPr>
    <w:rPr>
      <w:b/>
      <w:bCs/>
      <w:i/>
      <w:iCs/>
      <w:sz w:val="26"/>
      <w:szCs w:val="26"/>
    </w:rPr>
  </w:style>
  <w:style w:type="paragraph" w:styleId="Heading6">
    <w:name w:val="heading 6"/>
    <w:basedOn w:val="Normal"/>
    <w:next w:val="Normal"/>
    <w:semiHidden/>
    <w:qFormat/>
    <w:locked/>
    <w:rsid w:val="009E47EB"/>
    <w:pPr>
      <w:numPr>
        <w:ilvl w:val="5"/>
        <w:numId w:val="36"/>
      </w:numPr>
      <w:outlineLvl w:val="5"/>
    </w:pPr>
    <w:rPr>
      <w:b/>
      <w:bCs/>
      <w:sz w:val="22"/>
    </w:rPr>
  </w:style>
  <w:style w:type="paragraph" w:styleId="Heading7">
    <w:name w:val="heading 7"/>
    <w:basedOn w:val="Normal"/>
    <w:next w:val="Normal"/>
    <w:semiHidden/>
    <w:qFormat/>
    <w:locked/>
    <w:rsid w:val="009E47EB"/>
    <w:pPr>
      <w:numPr>
        <w:ilvl w:val="6"/>
        <w:numId w:val="36"/>
      </w:numPr>
      <w:outlineLvl w:val="6"/>
    </w:pPr>
    <w:rPr>
      <w:sz w:val="24"/>
    </w:rPr>
  </w:style>
  <w:style w:type="paragraph" w:styleId="Heading8">
    <w:name w:val="heading 8"/>
    <w:basedOn w:val="Normal"/>
    <w:next w:val="Normal"/>
    <w:semiHidden/>
    <w:qFormat/>
    <w:locked/>
    <w:rsid w:val="009E47EB"/>
    <w:pPr>
      <w:numPr>
        <w:ilvl w:val="7"/>
        <w:numId w:val="36"/>
      </w:numPr>
      <w:outlineLvl w:val="7"/>
    </w:pPr>
    <w:rPr>
      <w:i/>
      <w:iCs/>
      <w:sz w:val="24"/>
    </w:rPr>
  </w:style>
  <w:style w:type="paragraph" w:styleId="Heading9">
    <w:name w:val="heading 9"/>
    <w:basedOn w:val="Normal"/>
    <w:next w:val="Normal"/>
    <w:semiHidden/>
    <w:qFormat/>
    <w:locked/>
    <w:rsid w:val="009E47EB"/>
    <w:pPr>
      <w:numPr>
        <w:ilvl w:val="8"/>
        <w:numId w:val="3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9F0B56"/>
    <w:pPr>
      <w:numPr>
        <w:numId w:val="28"/>
      </w:numPr>
      <w:tabs>
        <w:tab w:val="left" w:pos="340"/>
      </w:tabs>
      <w:spacing w:before="60" w:after="0"/>
    </w:pPr>
  </w:style>
  <w:style w:type="paragraph" w:customStyle="1" w:styleId="ECCHeadingnonumbering">
    <w:name w:val="ECC Heading no numbering"/>
    <w:basedOn w:val="Heading1"/>
    <w:rsid w:val="009F0B56"/>
    <w:pPr>
      <w:numPr>
        <w:numId w:val="0"/>
      </w:numPr>
      <w:tabs>
        <w:tab w:val="left" w:pos="0"/>
        <w:tab w:val="center" w:pos="4820"/>
        <w:tab w:val="right" w:pos="9639"/>
      </w:tabs>
    </w:pPr>
  </w:style>
  <w:style w:type="paragraph" w:styleId="BalloonText">
    <w:name w:val="Balloon Text"/>
    <w:basedOn w:val="Normal"/>
    <w:link w:val="BalloonTextChar"/>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Normal"/>
    <w:rsid w:val="009F0B56"/>
    <w:pPr>
      <w:keepNext/>
      <w:pageBreakBefore/>
      <w:numPr>
        <w:numId w:val="25"/>
      </w:numPr>
      <w:jc w:val="left"/>
    </w:pPr>
    <w:rPr>
      <w:rFonts w:eastAsia="Calibri"/>
      <w:b/>
      <w:caps/>
      <w:color w:val="D2232A"/>
    </w:rPr>
  </w:style>
  <w:style w:type="paragraph" w:styleId="TOC1">
    <w:name w:val="toc 1"/>
    <w:aliases w:val="ECC Index 1"/>
    <w:basedOn w:val="Normal"/>
    <w:link w:val="TOC1Char"/>
    <w:uiPriority w:val="39"/>
    <w:semiHidden/>
    <w:qFormat/>
    <w:locked/>
    <w:rsid w:val="009F0B56"/>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9F0B56"/>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9F0B56"/>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9F0B56"/>
    <w:rPr>
      <w:rFonts w:eastAsia="Calibri"/>
      <w:sz w:val="16"/>
      <w:szCs w:val="16"/>
      <w14:cntxtAlts/>
    </w:rPr>
  </w:style>
  <w:style w:type="character" w:styleId="FootnoteReference">
    <w:name w:val="footnote reference"/>
    <w:aliases w:val="ECC Footnote number"/>
    <w:basedOn w:val="DefaultParagraphFon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rsid w:val="009F0B56"/>
    <w:pPr>
      <w:ind w:left="680" w:hanging="340"/>
    </w:pPr>
  </w:style>
  <w:style w:type="paragraph" w:customStyle="1" w:styleId="ECCAnnexheading2">
    <w:name w:val="ECC Annex heading2"/>
    <w:next w:val="Normal"/>
    <w:rsid w:val="009F0B56"/>
    <w:pPr>
      <w:numPr>
        <w:ilvl w:val="1"/>
        <w:numId w:val="25"/>
      </w:numPr>
      <w:overflowPunct w:val="0"/>
      <w:autoSpaceDE w:val="0"/>
      <w:autoSpaceDN w:val="0"/>
      <w:adjustRightInd w:val="0"/>
      <w:spacing w:before="480" w:after="240"/>
      <w:jc w:val="left"/>
      <w:textAlignment w:val="baseline"/>
    </w:pPr>
    <w:rPr>
      <w:rFonts w:eastAsia="Calibri"/>
      <w:b/>
      <w:caps/>
    </w:rPr>
  </w:style>
  <w:style w:type="paragraph" w:customStyle="1" w:styleId="ECCAnnexheading3">
    <w:name w:val="ECC Annex heading3"/>
    <w:next w:val="Normal"/>
    <w:rsid w:val="009F0B56"/>
    <w:pPr>
      <w:numPr>
        <w:ilvl w:val="2"/>
        <w:numId w:val="25"/>
      </w:numPr>
      <w:overflowPunct w:val="0"/>
      <w:autoSpaceDE w:val="0"/>
      <w:autoSpaceDN w:val="0"/>
      <w:adjustRightInd w:val="0"/>
      <w:spacing w:before="360"/>
      <w:jc w:val="left"/>
      <w:textAlignment w:val="baseline"/>
    </w:pPr>
    <w:rPr>
      <w:rFonts w:eastAsia="Calibri"/>
      <w:b/>
    </w:rPr>
  </w:style>
  <w:style w:type="paragraph" w:customStyle="1" w:styleId="ECCAnnexheading4">
    <w:name w:val="ECC Annex heading4"/>
    <w:next w:val="Normal"/>
    <w:rsid w:val="009F0B56"/>
    <w:pPr>
      <w:numPr>
        <w:ilvl w:val="3"/>
        <w:numId w:val="25"/>
      </w:numPr>
      <w:overflowPunct w:val="0"/>
      <w:autoSpaceDE w:val="0"/>
      <w:autoSpaceDN w:val="0"/>
      <w:adjustRightInd w:val="0"/>
      <w:spacing w:before="360"/>
      <w:jc w:val="left"/>
      <w:textAlignment w:val="baseline"/>
    </w:pPr>
    <w:rPr>
      <w:rFonts w:eastAsia="Calibri"/>
      <w:i/>
      <w:color w:val="D2232A"/>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31"/>
      </w:numPr>
      <w:spacing w:after="0"/>
      <w:jc w:val="left"/>
    </w:pPr>
    <w:rPr>
      <w:rFonts w:eastAsia="Calibri"/>
    </w:rPr>
  </w:style>
  <w:style w:type="paragraph" w:customStyle="1" w:styleId="ECCNumberedList">
    <w:name w:val="ECC Numbered List"/>
    <w:basedOn w:val="Normal"/>
    <w:rsid w:val="009F0B56"/>
    <w:pPr>
      <w:numPr>
        <w:numId w:val="32"/>
      </w:numPr>
      <w:spacing w:after="0"/>
    </w:pPr>
    <w:rPr>
      <w:szCs w:val="20"/>
    </w:rPr>
  </w:style>
  <w:style w:type="paragraph" w:customStyle="1" w:styleId="ECCReference">
    <w:name w:val="ECC Reference"/>
    <w:basedOn w:val="Normal"/>
    <w:rsid w:val="009F0B56"/>
    <w:pPr>
      <w:numPr>
        <w:numId w:val="33"/>
      </w:numPr>
      <w:spacing w:before="0" w:after="0"/>
    </w:pPr>
    <w:rPr>
      <w:lang w:eastAsia="ja-JP"/>
    </w:rPr>
  </w:style>
  <w:style w:type="character" w:customStyle="1" w:styleId="BalloonTextChar">
    <w:name w:val="Balloon Text Char"/>
    <w:basedOn w:val="DefaultParagraphFont"/>
    <w:link w:val="BalloonText"/>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Normal"/>
    <w:qFormat/>
    <w:rsid w:val="009F0B56"/>
    <w:pPr>
      <w:numPr>
        <w:numId w:val="29"/>
      </w:numPr>
      <w:shd w:val="solid" w:color="FFFF00" w:fill="auto"/>
      <w:spacing w:before="120"/>
    </w:pPr>
    <w:rPr>
      <w:rFonts w:eastAsia="Calibri"/>
      <w:szCs w:val="22"/>
      <w:lang w:eastAsia="de-DE"/>
    </w:rPr>
  </w:style>
  <w:style w:type="paragraph" w:customStyle="1" w:styleId="ECCFigure">
    <w:name w:val="ECC Figure"/>
    <w:next w:val="Normal"/>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Normal"/>
    <w:link w:val="ECCLetterHeadZchn"/>
    <w:qFormat/>
    <w:rsid w:val="009F0B56"/>
    <w:pPr>
      <w:tabs>
        <w:tab w:val="right" w:pos="4750"/>
      </w:tabs>
      <w:spacing w:before="60"/>
    </w:pPr>
    <w:rPr>
      <w:b/>
      <w:sz w:val="22"/>
      <w:szCs w:val="20"/>
    </w:rPr>
  </w:style>
  <w:style w:type="character" w:customStyle="1" w:styleId="ECCHLyellow">
    <w:name w:val="ECC HL yellow"/>
    <w:basedOn w:val="DefaultParagraphFon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9F0B56"/>
    <w:rPr>
      <w:b/>
      <w:bCs/>
    </w:rPr>
  </w:style>
  <w:style w:type="paragraph" w:customStyle="1" w:styleId="ECCTabletext">
    <w:name w:val="ECC Table text"/>
    <w:basedOn w:val="Normal"/>
    <w:link w:val="ECCTabletextChar"/>
    <w:qFormat/>
    <w:rsid w:val="009F0B56"/>
    <w:pPr>
      <w:spacing w:before="0"/>
    </w:pPr>
  </w:style>
  <w:style w:type="paragraph" w:styleId="Signature">
    <w:name w:val="Signature"/>
    <w:basedOn w:val="Normal"/>
    <w:link w:val="SignatureChar"/>
    <w:uiPriority w:val="99"/>
    <w:semiHidden/>
    <w:unhideWhenUsed/>
    <w:locked/>
    <w:rsid w:val="007D52EC"/>
    <w:pPr>
      <w:spacing w:before="0" w:after="0"/>
      <w:ind w:left="4252"/>
    </w:pPr>
  </w:style>
  <w:style w:type="character" w:customStyle="1" w:styleId="SignatureChar">
    <w:name w:val="Signature Char"/>
    <w:basedOn w:val="DefaultParagraphFont"/>
    <w:link w:val="Signature"/>
    <w:uiPriority w:val="99"/>
    <w:semiHidden/>
    <w:rsid w:val="007D52EC"/>
  </w:style>
  <w:style w:type="character" w:styleId="Emphasis">
    <w:name w:val="Emphasis"/>
    <w:aliases w:val="ECC HL italics"/>
    <w:uiPriority w:val="1"/>
    <w:qFormat/>
    <w:rsid w:val="009F0B56"/>
    <w:rPr>
      <w:i/>
    </w:rPr>
  </w:style>
  <w:style w:type="character" w:customStyle="1" w:styleId="ECCHLunderlined">
    <w:name w:val="ECC HL underlined"/>
    <w:uiPriority w:val="1"/>
    <w:qFormat/>
    <w:rsid w:val="009F0B56"/>
    <w:rPr>
      <w:u w:val="single"/>
    </w:rPr>
  </w:style>
  <w:style w:type="character" w:customStyle="1" w:styleId="TOC1Char">
    <w:name w:val="TOC 1 Char"/>
    <w:aliases w:val="ECC Index 1 Char"/>
    <w:basedOn w:val="DefaultParagraphFont"/>
    <w:link w:val="TOC1"/>
    <w:uiPriority w:val="39"/>
    <w:semiHidden/>
    <w:rsid w:val="000E4820"/>
    <w:rPr>
      <w:rFonts w:eastAsia="Calibri"/>
      <w:b/>
      <w:noProof/>
    </w:rPr>
  </w:style>
  <w:style w:type="character" w:customStyle="1" w:styleId="ECCHLcyan">
    <w:name w:val="ECC HL cyan"/>
    <w:basedOn w:val="DefaultParagraphFont"/>
    <w:uiPriority w:val="1"/>
    <w:qFormat/>
    <w:rsid w:val="009F0B56"/>
    <w:rPr>
      <w:iCs w:val="0"/>
      <w:bdr w:val="none" w:sz="0" w:space="0" w:color="auto"/>
      <w:shd w:val="solid" w:color="00FFFF" w:fill="auto"/>
      <w:lang w:val="en-GB"/>
    </w:rPr>
  </w:style>
  <w:style w:type="character" w:customStyle="1" w:styleId="ECCHLorange">
    <w:name w:val="ECC HL orange"/>
    <w:basedOn w:val="DefaultParagraphFont"/>
    <w:uiPriority w:val="1"/>
    <w:qFormat/>
    <w:rsid w:val="009F0B56"/>
    <w:rPr>
      <w:bdr w:val="none" w:sz="0" w:space="0" w:color="auto"/>
      <w:shd w:val="solid" w:color="FFC000" w:fill="auto"/>
    </w:rPr>
  </w:style>
  <w:style w:type="character" w:customStyle="1" w:styleId="ECCHLblue">
    <w:name w:val="ECC HL blue"/>
    <w:basedOn w:val="DefaultParagraphFon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9F0B56"/>
    <w:rPr>
      <w:iCs w:val="0"/>
      <w:color w:val="FFFFFF" w:themeColor="background1"/>
      <w:bdr w:val="none" w:sz="0" w:space="0" w:color="auto"/>
      <w:shd w:val="solid" w:color="008080" w:fill="auto"/>
    </w:rPr>
  </w:style>
  <w:style w:type="character" w:customStyle="1" w:styleId="ECCParagraph">
    <w:name w:val="ECC Paragraph"/>
    <w:basedOn w:val="DefaultParagraphFon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DefaultParagraphFont"/>
    <w:link w:val="ECCLetterHead"/>
    <w:rsid w:val="009F0B56"/>
    <w:rPr>
      <w:rFonts w:eastAsia="Calibri"/>
      <w:b/>
      <w:sz w:val="22"/>
      <w:lang w:val="en-GB"/>
    </w:rPr>
  </w:style>
  <w:style w:type="character" w:customStyle="1" w:styleId="ECCHLmagenta">
    <w:name w:val="ECC HL magenta"/>
    <w:basedOn w:val="DefaultParagraphFont"/>
    <w:uiPriority w:val="1"/>
    <w:qFormat/>
    <w:rsid w:val="009F0B56"/>
    <w:rPr>
      <w:color w:val="auto"/>
      <w:bdr w:val="none" w:sz="0" w:space="0" w:color="auto"/>
      <w:shd w:val="solid" w:color="FF3399" w:fill="auto"/>
      <w:lang w:val="en-GB"/>
    </w:rPr>
  </w:style>
  <w:style w:type="character" w:customStyle="1" w:styleId="ECCHLbrown">
    <w:name w:val="ECC HL brown"/>
    <w:basedOn w:val="DefaultParagraphFont"/>
    <w:uiPriority w:val="1"/>
    <w:qFormat/>
    <w:rsid w:val="009F0B56"/>
    <w:rPr>
      <w:color w:val="D9D9D9" w:themeColor="background1" w:themeShade="D9"/>
      <w:bdr w:val="none" w:sz="0" w:space="0" w:color="auto"/>
      <w:shd w:val="solid" w:color="B95807" w:fill="auto"/>
    </w:rPr>
  </w:style>
  <w:style w:type="paragraph" w:customStyle="1" w:styleId="ECCBreak">
    <w:name w:val="ECC Break"/>
    <w:next w:val="Normal"/>
    <w:link w:val="ECCBreakZchn"/>
    <w:rsid w:val="009F0B56"/>
    <w:pPr>
      <w:spacing w:before="360"/>
      <w:jc w:val="left"/>
    </w:pPr>
    <w:rPr>
      <w:b/>
      <w:bCs/>
      <w:iCs/>
      <w:szCs w:val="28"/>
    </w:rPr>
  </w:style>
  <w:style w:type="character" w:customStyle="1" w:styleId="ECCBreakZchn">
    <w:name w:val="ECC Break Zchn"/>
    <w:basedOn w:val="DefaultParagraphFont"/>
    <w:link w:val="ECCBreak"/>
    <w:rsid w:val="009F0B56"/>
    <w:rPr>
      <w:b/>
      <w:bCs/>
      <w:iCs/>
      <w:szCs w:val="28"/>
    </w:rPr>
  </w:style>
  <w:style w:type="character" w:styleId="Hyperlink">
    <w:name w:val="Hyperlink"/>
    <w:aliases w:val="ECC Hyperlink"/>
    <w:basedOn w:val="DefaultParagraphFont"/>
    <w:uiPriority w:val="99"/>
    <w:rsid w:val="009F0B56"/>
    <w:rPr>
      <w:color w:val="0000FF" w:themeColor="hyperlink"/>
      <w:u w:val="single"/>
    </w:rPr>
  </w:style>
  <w:style w:type="paragraph" w:styleId="Caption">
    <w:name w:val="caption"/>
    <w:aliases w:val="ECC Caption"/>
    <w:next w:val="Normal"/>
    <w:qFormat/>
    <w:rsid w:val="009F0B56"/>
    <w:pPr>
      <w:keepLines/>
      <w:tabs>
        <w:tab w:val="left" w:pos="0"/>
        <w:tab w:val="center" w:pos="4820"/>
        <w:tab w:val="right" w:pos="9639"/>
      </w:tabs>
      <w:spacing w:after="240"/>
      <w:contextualSpacing/>
      <w:jc w:val="center"/>
    </w:pPr>
    <w:rPr>
      <w:rFonts w:eastAsia="Calibri"/>
      <w:b/>
      <w:bCs/>
      <w:color w:val="D2232A"/>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9F0B56"/>
    <w:pPr>
      <w:tabs>
        <w:tab w:val="left" w:pos="0"/>
        <w:tab w:val="center" w:pos="4820"/>
        <w:tab w:val="right" w:pos="9639"/>
      </w:tabs>
      <w:spacing w:before="0" w:after="0"/>
    </w:pPr>
    <w:rPr>
      <w:rFonts w:eastAsia="Calibri"/>
      <w:b/>
      <w:sz w:val="16"/>
      <w:szCs w:val="22"/>
      <w:lang w:val="de-DE" w:eastAsia="de-DE"/>
    </w:rPr>
  </w:style>
  <w:style w:type="paragraph" w:customStyle="1" w:styleId="ECCpageHeader">
    <w:name w:val="ECC page Header"/>
    <w:rsid w:val="009F0B56"/>
    <w:pPr>
      <w:tabs>
        <w:tab w:val="left" w:pos="0"/>
        <w:tab w:val="center" w:pos="4820"/>
        <w:tab w:val="right" w:pos="9639"/>
      </w:tabs>
      <w:spacing w:before="0" w:after="0"/>
      <w:jc w:val="left"/>
    </w:pPr>
    <w:rPr>
      <w:b/>
      <w:sz w:val="16"/>
    </w:rPr>
  </w:style>
  <w:style w:type="character" w:styleId="PlaceholderText">
    <w:name w:val="Placeholder Text"/>
    <w:basedOn w:val="DefaultParagraphFont"/>
    <w:uiPriority w:val="99"/>
    <w:semiHidden/>
    <w:locked/>
    <w:rsid w:val="00FE538A"/>
    <w:rPr>
      <w:color w:val="808080"/>
    </w:rPr>
  </w:style>
  <w:style w:type="character" w:customStyle="1" w:styleId="ECCHLgrey">
    <w:name w:val="ECC HL grey"/>
    <w:uiPriority w:val="1"/>
    <w:qFormat/>
    <w:rsid w:val="009F0B56"/>
    <w:rPr>
      <w:bdr w:val="none" w:sz="0" w:space="0" w:color="auto"/>
      <w:shd w:val="solid" w:color="BFBFBF" w:themeColor="background1" w:themeShade="BF" w:fill="auto"/>
    </w:rPr>
  </w:style>
  <w:style w:type="character" w:customStyle="1" w:styleId="ECCHLsubscript">
    <w:name w:val="ECC HL subscript"/>
    <w:uiPriority w:val="1"/>
    <w:rsid w:val="009F0B56"/>
    <w:rPr>
      <w:vertAlign w:val="subscript"/>
    </w:rPr>
  </w:style>
  <w:style w:type="character" w:customStyle="1" w:styleId="ECCHLsuperscript">
    <w:name w:val="ECC HL superscript"/>
    <w:uiPriority w:val="1"/>
    <w:rsid w:val="009F0B56"/>
    <w:rPr>
      <w:vertAlign w:val="superscript"/>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TableGrid">
    <w:name w:val="Table Grid"/>
    <w:basedOn w:val="TableNormal"/>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Normal"/>
    <w:rsid w:val="009F0B56"/>
    <w:pPr>
      <w:spacing w:after="240"/>
      <w:jc w:val="center"/>
    </w:pPr>
    <w:rPr>
      <w:rFonts w:eastAsia="Calibri"/>
      <w:noProof/>
      <w:lang w:val="de-DE" w:eastAsia="de-DE"/>
      <w14:cntxtAlts/>
    </w:rPr>
  </w:style>
  <w:style w:type="character" w:styleId="CommentReference">
    <w:name w:val="annotation reference"/>
    <w:basedOn w:val="DefaultParagraphFont"/>
    <w:uiPriority w:val="99"/>
    <w:semiHidden/>
    <w:unhideWhenUsed/>
    <w:locked/>
    <w:rsid w:val="003630AE"/>
    <w:rPr>
      <w:sz w:val="16"/>
      <w:szCs w:val="16"/>
    </w:rPr>
  </w:style>
  <w:style w:type="paragraph" w:styleId="CommentText">
    <w:name w:val="annotation text"/>
    <w:basedOn w:val="Normal"/>
    <w:link w:val="CommentTextChar"/>
    <w:uiPriority w:val="99"/>
    <w:unhideWhenUsed/>
    <w:locked/>
    <w:rsid w:val="003630AE"/>
    <w:rPr>
      <w:szCs w:val="20"/>
    </w:rPr>
  </w:style>
  <w:style w:type="character" w:customStyle="1" w:styleId="CommentTextChar">
    <w:name w:val="Comment Text Char"/>
    <w:basedOn w:val="DefaultParagraphFont"/>
    <w:link w:val="CommentText"/>
    <w:uiPriority w:val="99"/>
    <w:rsid w:val="003630AE"/>
    <w:rPr>
      <w:rFonts w:eastAsia="Calibri"/>
      <w:lang w:val="en-GB"/>
    </w:rPr>
  </w:style>
  <w:style w:type="paragraph" w:styleId="CommentSubject">
    <w:name w:val="annotation subject"/>
    <w:basedOn w:val="CommentText"/>
    <w:next w:val="CommentText"/>
    <w:link w:val="CommentSubjectChar"/>
    <w:uiPriority w:val="99"/>
    <w:semiHidden/>
    <w:unhideWhenUsed/>
    <w:locked/>
    <w:rsid w:val="003630AE"/>
    <w:rPr>
      <w:b/>
      <w:bCs/>
    </w:rPr>
  </w:style>
  <w:style w:type="character" w:customStyle="1" w:styleId="CommentSubjectChar">
    <w:name w:val="Comment Subject Char"/>
    <w:basedOn w:val="CommentTextChar"/>
    <w:link w:val="CommentSubject"/>
    <w:uiPriority w:val="99"/>
    <w:semiHidden/>
    <w:rsid w:val="003630AE"/>
    <w:rPr>
      <w:rFonts w:eastAsia="Calibri"/>
      <w:b/>
      <w:bCs/>
      <w:lang w:val="en-GB"/>
    </w:rPr>
  </w:style>
  <w:style w:type="character" w:customStyle="1" w:styleId="ECCHLstrikethrough">
    <w:name w:val="ECC HL strikethrough"/>
    <w:basedOn w:val="DefaultParagraphFont"/>
    <w:uiPriority w:val="1"/>
    <w:qFormat/>
    <w:rsid w:val="00647D4E"/>
    <w:rPr>
      <w:rFonts w:ascii="Arial" w:hAnsi="Arial"/>
      <w:strike/>
      <w:dstrike w:val="0"/>
      <w:sz w:val="20"/>
    </w:rPr>
  </w:style>
  <w:style w:type="character" w:customStyle="1" w:styleId="ECCTabletextChar">
    <w:name w:val="ECC Table text Char"/>
    <w:basedOn w:val="DefaultParagraphFont"/>
    <w:link w:val="ECCTabletext"/>
    <w:rsid w:val="00271881"/>
    <w:rPr>
      <w:rFonts w:eastAsia="Calibri"/>
      <w:szCs w:val="22"/>
      <w:lang w:val="en-GB"/>
    </w:rPr>
  </w:style>
  <w:style w:type="paragraph" w:styleId="NormalWeb">
    <w:name w:val="Normal (Web)"/>
    <w:basedOn w:val="Normal"/>
    <w:uiPriority w:val="99"/>
    <w:semiHidden/>
    <w:unhideWhenUsed/>
    <w:locked/>
    <w:rsid w:val="00E07CBB"/>
    <w:rPr>
      <w:rFonts w:ascii="Times New Roman" w:hAnsi="Times New Roman"/>
      <w:sz w:val="24"/>
      <w:szCs w:val="24"/>
    </w:rPr>
  </w:style>
  <w:style w:type="paragraph" w:styleId="Revision">
    <w:name w:val="Revision"/>
    <w:hidden/>
    <w:uiPriority w:val="99"/>
    <w:semiHidden/>
    <w:rsid w:val="00C377C2"/>
    <w:pPr>
      <w:spacing w:before="0" w:after="0"/>
      <w:jc w:val="left"/>
    </w:pPr>
    <w:rPr>
      <w:rFonts w:eastAsia="Calibri"/>
      <w:szCs w:val="22"/>
      <w:lang w:val="en-GB"/>
    </w:rPr>
  </w:style>
  <w:style w:type="character" w:styleId="Strong">
    <w:name w:val="Strong"/>
    <w:basedOn w:val="DefaultParagraphFont"/>
    <w:qFormat/>
    <w:locked/>
    <w:rsid w:val="000C4410"/>
    <w:rPr>
      <w:b/>
      <w:bCs/>
    </w:rPr>
  </w:style>
  <w:style w:type="paragraph" w:styleId="Footer">
    <w:name w:val="footer"/>
    <w:basedOn w:val="Normal"/>
    <w:link w:val="FooterChar"/>
    <w:uiPriority w:val="99"/>
    <w:semiHidden/>
    <w:unhideWhenUsed/>
    <w:locked/>
    <w:rsid w:val="000C4410"/>
    <w:pPr>
      <w:tabs>
        <w:tab w:val="center" w:pos="4536"/>
        <w:tab w:val="right" w:pos="9072"/>
      </w:tabs>
      <w:spacing w:before="0" w:after="0"/>
    </w:pPr>
  </w:style>
  <w:style w:type="character" w:customStyle="1" w:styleId="FooterChar">
    <w:name w:val="Footer Char"/>
    <w:basedOn w:val="DefaultParagraphFont"/>
    <w:link w:val="Footer"/>
    <w:uiPriority w:val="99"/>
    <w:semiHidden/>
    <w:rsid w:val="000C4410"/>
    <w:rPr>
      <w:rFonts w:eastAsia="Calibri"/>
      <w:szCs w:val="22"/>
      <w:lang w:val="en-GB"/>
    </w:rPr>
  </w:style>
  <w:style w:type="character" w:styleId="SubtleEmphasis">
    <w:name w:val="Subtle Emphasis"/>
    <w:basedOn w:val="DefaultParagraphFont"/>
    <w:uiPriority w:val="19"/>
    <w:qFormat/>
    <w:rsid w:val="00B37D96"/>
    <w:rPr>
      <w:i/>
      <w:iCs/>
      <w:color w:val="404040" w:themeColor="text1" w:themeTint="BF"/>
    </w:rPr>
  </w:style>
  <w:style w:type="paragraph" w:styleId="ListParagraph">
    <w:name w:val="List Paragraph"/>
    <w:basedOn w:val="Normal"/>
    <w:uiPriority w:val="34"/>
    <w:qFormat/>
    <w:locked/>
    <w:rsid w:val="00E75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65461">
      <w:bodyDiv w:val="1"/>
      <w:marLeft w:val="0"/>
      <w:marRight w:val="0"/>
      <w:marTop w:val="0"/>
      <w:marBottom w:val="0"/>
      <w:divBdr>
        <w:top w:val="none" w:sz="0" w:space="0" w:color="auto"/>
        <w:left w:val="none" w:sz="0" w:space="0" w:color="auto"/>
        <w:bottom w:val="none" w:sz="0" w:space="0" w:color="auto"/>
        <w:right w:val="none" w:sz="0" w:space="0" w:color="auto"/>
      </w:divBdr>
    </w:div>
    <w:div w:id="123084050">
      <w:bodyDiv w:val="1"/>
      <w:marLeft w:val="0"/>
      <w:marRight w:val="0"/>
      <w:marTop w:val="0"/>
      <w:marBottom w:val="0"/>
      <w:divBdr>
        <w:top w:val="none" w:sz="0" w:space="0" w:color="auto"/>
        <w:left w:val="none" w:sz="0" w:space="0" w:color="auto"/>
        <w:bottom w:val="none" w:sz="0" w:space="0" w:color="auto"/>
        <w:right w:val="none" w:sz="0" w:space="0" w:color="auto"/>
      </w:divBdr>
    </w:div>
    <w:div w:id="351617153">
      <w:bodyDiv w:val="1"/>
      <w:marLeft w:val="0"/>
      <w:marRight w:val="0"/>
      <w:marTop w:val="0"/>
      <w:marBottom w:val="0"/>
      <w:divBdr>
        <w:top w:val="none" w:sz="0" w:space="0" w:color="auto"/>
        <w:left w:val="none" w:sz="0" w:space="0" w:color="auto"/>
        <w:bottom w:val="none" w:sz="0" w:space="0" w:color="auto"/>
        <w:right w:val="none" w:sz="0" w:space="0" w:color="auto"/>
      </w:divBdr>
    </w:div>
    <w:div w:id="767434276">
      <w:bodyDiv w:val="1"/>
      <w:marLeft w:val="0"/>
      <w:marRight w:val="0"/>
      <w:marTop w:val="0"/>
      <w:marBottom w:val="0"/>
      <w:divBdr>
        <w:top w:val="none" w:sz="0" w:space="0" w:color="auto"/>
        <w:left w:val="none" w:sz="0" w:space="0" w:color="auto"/>
        <w:bottom w:val="none" w:sz="0" w:space="0" w:color="auto"/>
        <w:right w:val="none" w:sz="0" w:space="0" w:color="auto"/>
      </w:divBdr>
    </w:div>
    <w:div w:id="911234930">
      <w:bodyDiv w:val="1"/>
      <w:marLeft w:val="0"/>
      <w:marRight w:val="0"/>
      <w:marTop w:val="0"/>
      <w:marBottom w:val="0"/>
      <w:divBdr>
        <w:top w:val="none" w:sz="0" w:space="0" w:color="auto"/>
        <w:left w:val="none" w:sz="0" w:space="0" w:color="auto"/>
        <w:bottom w:val="none" w:sz="0" w:space="0" w:color="auto"/>
        <w:right w:val="none" w:sz="0" w:space="0" w:color="auto"/>
      </w:divBdr>
    </w:div>
    <w:div w:id="920874953">
      <w:bodyDiv w:val="1"/>
      <w:marLeft w:val="0"/>
      <w:marRight w:val="0"/>
      <w:marTop w:val="0"/>
      <w:marBottom w:val="0"/>
      <w:divBdr>
        <w:top w:val="none" w:sz="0" w:space="0" w:color="auto"/>
        <w:left w:val="none" w:sz="0" w:space="0" w:color="auto"/>
        <w:bottom w:val="none" w:sz="0" w:space="0" w:color="auto"/>
        <w:right w:val="none" w:sz="0" w:space="0" w:color="auto"/>
      </w:divBdr>
    </w:div>
    <w:div w:id="1114982212">
      <w:bodyDiv w:val="1"/>
      <w:marLeft w:val="0"/>
      <w:marRight w:val="0"/>
      <w:marTop w:val="0"/>
      <w:marBottom w:val="0"/>
      <w:divBdr>
        <w:top w:val="none" w:sz="0" w:space="0" w:color="auto"/>
        <w:left w:val="none" w:sz="0" w:space="0" w:color="auto"/>
        <w:bottom w:val="none" w:sz="0" w:space="0" w:color="auto"/>
        <w:right w:val="none" w:sz="0" w:space="0" w:color="auto"/>
      </w:divBdr>
    </w:div>
    <w:div w:id="1259023803">
      <w:bodyDiv w:val="1"/>
      <w:marLeft w:val="0"/>
      <w:marRight w:val="0"/>
      <w:marTop w:val="0"/>
      <w:marBottom w:val="0"/>
      <w:divBdr>
        <w:top w:val="none" w:sz="0" w:space="0" w:color="auto"/>
        <w:left w:val="none" w:sz="0" w:space="0" w:color="auto"/>
        <w:bottom w:val="none" w:sz="0" w:space="0" w:color="auto"/>
        <w:right w:val="none" w:sz="0" w:space="0" w:color="auto"/>
      </w:divBdr>
    </w:div>
    <w:div w:id="172814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rec/R-REC-F.1821/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itu.int/rec/R-REC-F.1762/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keholder" ma:contentTypeID="0x010100CAA12C5105342047A1E5FE66CBFB41077D0077CF2320134F6146BF6CC804A6E36883" ma:contentTypeVersion="24" ma:contentTypeDescription="stakeholder communications relating to team or project&#10;" ma:contentTypeScope="" ma:versionID="a97ef94215465c625bcbd76b809bf527">
  <xsd:schema xmlns:xsd="http://www.w3.org/2001/XMLSchema" xmlns:xs="http://www.w3.org/2001/XMLSchema" xmlns:p="http://schemas.microsoft.com/office/2006/metadata/properties" xmlns:ns3="c5f543e3-8063-4253-bd42-47ca496057f8" xmlns:ns4="ba712082-ff81-49c1-a241-94c9f69f8dde" targetNamespace="http://schemas.microsoft.com/office/2006/metadata/properties" ma:root="true" ma:fieldsID="0ba9b9644a531dd8188ff5f3d074413b" ns3:_="" ns4:_="">
    <xsd:import namespace="c5f543e3-8063-4253-bd42-47ca496057f8"/>
    <xsd:import namespace="ba712082-ff81-49c1-a241-94c9f69f8dde"/>
    <xsd:element name="properties">
      <xsd:complexType>
        <xsd:sequence>
          <xsd:element name="documentManagement">
            <xsd:complexType>
              <xsd:all>
                <xsd:element ref="ns3:Classification" minOccurs="0"/>
                <xsd:element ref="ns3:Attach_x0020_count" minOccurs="0"/>
                <xsd:element ref="ns3:Organisation" minOccurs="0"/>
                <xsd:element ref="ns3:ReceivedTime" minOccurs="0"/>
                <xsd:element ref="ns3:SentOn" minOccurs="0"/>
                <xsd:element ref="ns3:To" minOccurs="0"/>
                <xsd:element ref="ns3:mvFrom"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3:TaxCatchAll" minOccurs="0"/>
                <xsd:element ref="ns4:MediaServiceDateTaken" minOccurs="0"/>
                <xsd:element ref="ns4:MediaLengthInSeconds" minOccurs="0"/>
                <xsd:element ref="ns4:Hyperlink" minOccurs="0"/>
                <xsd:element ref="ns4:MediaServiceObjectDetectorVersions" minOccurs="0"/>
                <xsd:element ref="ns4:MediaServiceLocation" minOccurs="0"/>
                <xsd:element ref="ns4:MediaServiceSearchProperties" minOccurs="0"/>
                <xsd:element ref="ns4: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default="PROTECTED"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Organisation" ma:index="11" nillable="true" ma:displayName="Organisation" ma:internalName="Organisation">
      <xsd:simpleType>
        <xsd:restriction base="dms:Text">
          <xsd:maxLength value="255"/>
        </xsd:restriction>
      </xsd:simpleType>
    </xsd:element>
    <xsd:element name="ReceivedTime" ma:index="12" nillable="true" ma:displayName="ReceivedTime" ma:description="Auto-populated by saved email" ma:format="DateTime" ma:internalName="ReceivedTime">
      <xsd:simpleType>
        <xsd:restriction base="dms:DateTime"/>
      </xsd:simpleType>
    </xsd:element>
    <xsd:element name="SentOn" ma:index="13" nillable="true" ma:displayName="SentOn" ma:description="Auto-populated by saved email" ma:format="DateTime" ma:internalName="SentOn">
      <xsd:simpleType>
        <xsd:restriction base="dms:DateTime"/>
      </xsd:simpleType>
    </xsd:element>
    <xsd:element name="To" ma:index="14" nillable="true" ma:displayName="To" ma:description="Auto-populated by saved email" ma:internalName="To">
      <xsd:simpleType>
        <xsd:restriction base="dms:Text">
          <xsd:maxLength value="255"/>
        </xsd:restriction>
      </xsd:simpleType>
    </xsd:element>
    <xsd:element name="mvFrom" ma:index="15" nillable="true" ma:displayName="From" ma:description="Auto-populated by saved email" ma:internalName="mvFrom">
      <xsd:simpleType>
        <xsd:restriction base="dms:Text">
          <xsd:maxLength value="255"/>
        </xsd:restriction>
      </xsd:simpleType>
    </xsd:element>
    <xsd:element name="TaxCatchAll" ma:index="26" nillable="true" ma:displayName="Taxonomy Catch All Column" ma:hidden="true" ma:list="{d18027b6-3a67-4944-b8bc-eee15205d084}" ma:internalName="TaxCatchAll" ma:showField="CatchAllData" ma:web="3941dbea-0bfa-4292-92e1-a3e095606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712082-ff81-49c1-a241-94c9f69f8d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69ab6e-cbb1-4306-ad7e-01a48c91ef8b"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Hyperlink" ma:index="2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Uploaded" ma:index="33" nillable="true" ma:displayName="Uploaded" ma:default="0" ma:format="Dropdown" ma:internalName="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 xmlns="c5f543e3-8063-4253-bd42-47ca496057f8" xsi:nil="true"/>
    <Attach_x0020_count xmlns="c5f543e3-8063-4253-bd42-47ca496057f8" xsi:nil="true"/>
    <TaxCatchAll xmlns="c5f543e3-8063-4253-bd42-47ca496057f8" xsi:nil="true"/>
    <Organisation xmlns="c5f543e3-8063-4253-bd42-47ca496057f8" xsi:nil="true"/>
    <Classification xmlns="c5f543e3-8063-4253-bd42-47ca496057f8">PROTECTED</Classification>
    <SentOn xmlns="c5f543e3-8063-4253-bd42-47ca496057f8" xsi:nil="true"/>
    <ReceivedTime xmlns="c5f543e3-8063-4253-bd42-47ca496057f8" xsi:nil="true"/>
    <mvFrom xmlns="c5f543e3-8063-4253-bd42-47ca496057f8" xsi:nil="true"/>
    <Hyperlink xmlns="ba712082-ff81-49c1-a241-94c9f69f8dde">
      <Url xsi:nil="true"/>
      <Description xsi:nil="true"/>
    </Hyperlink>
    <lcf76f155ced4ddcb4097134ff3c332f xmlns="ba712082-ff81-49c1-a241-94c9f69f8dde">
      <Terms xmlns="http://schemas.microsoft.com/office/infopath/2007/PartnerControls"/>
    </lcf76f155ced4ddcb4097134ff3c332f>
    <Uploaded xmlns="ba712082-ff81-49c1-a241-94c9f69f8dde">false</Upload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9069ab6e-cbb1-4306-ad7e-01a48c91ef8b" ContentTypeId="0x010100CAA12C5105342047A1E5FE66CBFB41077D"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723D5-8A14-4E45-A161-AEBC5044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43e3-8063-4253-bd42-47ca496057f8"/>
    <ds:schemaRef ds:uri="ba712082-ff81-49c1-a241-94c9f69f8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018F4-AE28-4AD0-B1A3-032401A9F7B5}">
  <ds:schemaRefs>
    <ds:schemaRef ds:uri="http://schemas.microsoft.com/office/2006/metadata/properties"/>
    <ds:schemaRef ds:uri="http://schemas.microsoft.com/office/infopath/2007/PartnerControls"/>
    <ds:schemaRef ds:uri="c5f543e3-8063-4253-bd42-47ca496057f8"/>
    <ds:schemaRef ds:uri="ba712082-ff81-49c1-a241-94c9f69f8dde"/>
  </ds:schemaRefs>
</ds:datastoreItem>
</file>

<file path=customXml/itemProps3.xml><?xml version="1.0" encoding="utf-8"?>
<ds:datastoreItem xmlns:ds="http://schemas.openxmlformats.org/officeDocument/2006/customXml" ds:itemID="{64CB8130-2B27-427B-9886-9F491041E2D4}">
  <ds:schemaRefs>
    <ds:schemaRef ds:uri="http://schemas.openxmlformats.org/officeDocument/2006/bibliography"/>
  </ds:schemaRefs>
</ds:datastoreItem>
</file>

<file path=customXml/itemProps4.xml><?xml version="1.0" encoding="utf-8"?>
<ds:datastoreItem xmlns:ds="http://schemas.openxmlformats.org/officeDocument/2006/customXml" ds:itemID="{2655AF47-0272-4BB2-956C-F5E94F9B3C1E}">
  <ds:schemaRefs>
    <ds:schemaRef ds:uri="Microsoft.SharePoint.Taxonomy.ContentTypeSync"/>
  </ds:schemaRefs>
</ds:datastoreItem>
</file>

<file path=customXml/itemProps5.xml><?xml version="1.0" encoding="utf-8"?>
<ds:datastoreItem xmlns:ds="http://schemas.openxmlformats.org/officeDocument/2006/customXml" ds:itemID="{09E8774F-D464-4816-99BF-5C3B23073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1174</Words>
  <Characters>6698</Characters>
  <Application>Microsoft Office Word</Application>
  <DocSecurity>0</DocSecurity>
  <Lines>55</Lines>
  <Paragraphs>15</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Название</vt:lpstr>
      </vt:variant>
      <vt:variant>
        <vt:i4>1</vt:i4>
      </vt:variant>
    </vt:vector>
  </HeadingPairs>
  <TitlesOfParts>
    <vt:vector size="4" baseType="lpstr">
      <vt:lpstr>Draft CEPT Brief on AI XX</vt:lpstr>
      <vt:lpstr>Draft CEPT Brief on AI XX</vt:lpstr>
      <vt:lpstr>Draft CEPT Brief on AI XX</vt:lpstr>
      <vt:lpstr>Draft CEPT Brief on AI XX</vt:lpstr>
    </vt:vector>
  </TitlesOfParts>
  <Manager>stella.lyubchenko@eco.cept.org</Manager>
  <Company>ECO</Company>
  <LinksUpToDate>false</LinksUpToDate>
  <CharactersWithSpaces>7857</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AI XX</dc:title>
  <dc:creator>eco</dc:creator>
  <cp:keywords>CEPT Brief</cp:keywords>
  <cp:lastModifiedBy>Lauren Galloway</cp:lastModifiedBy>
  <cp:revision>8</cp:revision>
  <cp:lastPrinted>1901-01-01T00:00:00Z</cp:lastPrinted>
  <dcterms:created xsi:type="dcterms:W3CDTF">2025-06-26T16:30:00Z</dcterms:created>
  <dcterms:modified xsi:type="dcterms:W3CDTF">2025-07-03T14:37:00Z</dcterms:modified>
  <cp:category>protected templates</cp:category>
  <cp:contentStatus>Revision 11 Aug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0x010100CAA12C5105342047A1E5FE66CBFB41077D0077CF2320134F6146BF6CC804A6E36883</vt:lpwstr>
  </property>
  <property fmtid="{D5CDD505-2E9C-101B-9397-08002B2CF9AE}" pid="3" name="MSIP_Label_5a50d26f-5c2c-4137-8396-1b24eb24286c_Enabled">
    <vt:lpwstr>true</vt:lpwstr>
  </property>
  <property fmtid="{D5CDD505-2E9C-101B-9397-08002B2CF9AE}" pid="4" name="MSIP_Label_5a50d26f-5c2c-4137-8396-1b24eb24286c_SetDate">
    <vt:lpwstr>2024-03-14T13:09:18Z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f33ee487-19e3-4960-9dc1-10933ed7a644</vt:lpwstr>
  </property>
  <property fmtid="{D5CDD505-2E9C-101B-9397-08002B2CF9AE}" pid="9" name="MSIP_Label_5a50d26f-5c2c-4137-8396-1b24eb24286c_ContentBits">
    <vt:lpwstr>0</vt:lpwstr>
  </property>
  <property fmtid="{D5CDD505-2E9C-101B-9397-08002B2CF9AE}" pid="10" name="MediaServiceImageTags">
    <vt:lpwstr/>
  </property>
</Properties>
</file>