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3091"/>
        <w:gridCol w:w="4996"/>
      </w:tblGrid>
      <w:tr w:rsidR="00610070" w:rsidRPr="00B87887" w:rsidTr="00610070">
        <w:trPr>
          <w:cantSplit/>
          <w:trHeight w:val="1240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070" w:rsidRPr="00235592" w:rsidRDefault="00712BAD" w:rsidP="00FB0CB1">
            <w:pPr>
              <w:pStyle w:val="ECCLetterHead"/>
            </w:pPr>
            <w:bookmarkStart w:id="0" w:name="dbreak"/>
            <w:bookmarkEnd w:id="0"/>
            <w:r w:rsidRPr="00D173B3">
              <w:rPr>
                <w:noProof/>
                <w:lang w:val="en-US"/>
              </w:rPr>
              <w:drawing>
                <wp:inline distT="0" distB="0" distL="0" distR="0" wp14:anchorId="6DD3D2D2" wp14:editId="724BBAEC">
                  <wp:extent cx="1624965" cy="8388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CPG PTB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610070" w:rsidRPr="00B87887" w:rsidRDefault="00610070" w:rsidP="00712BAD">
            <w:pPr>
              <w:pStyle w:val="ECCLetterHead"/>
              <w:rPr>
                <w:lang w:val="fr-FR"/>
              </w:rPr>
            </w:pPr>
            <w:r>
              <w:tab/>
            </w:r>
            <w:r w:rsidRPr="00B87887">
              <w:rPr>
                <w:lang w:val="fr-FR"/>
              </w:rPr>
              <w:t xml:space="preserve">Doc. </w:t>
            </w:r>
            <w:r>
              <w:t>PTB(18</w:t>
            </w:r>
            <w:r w:rsidR="00712BAD">
              <w:t>)022</w:t>
            </w:r>
          </w:p>
        </w:tc>
      </w:tr>
      <w:tr w:rsidR="00610070" w:rsidRPr="00235592" w:rsidTr="006100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0070" w:rsidRPr="0059272D" w:rsidRDefault="00712BAD" w:rsidP="00712BAD">
            <w:pPr>
              <w:pStyle w:val="ECCLetterHead"/>
            </w:pPr>
            <w:r w:rsidRPr="00712BAD">
              <w:t>6th meeting CPG-19 PTB</w:t>
            </w:r>
          </w:p>
        </w:tc>
      </w:tr>
      <w:tr w:rsidR="00610070" w:rsidRPr="00235592" w:rsidTr="006100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59272D" w:rsidRDefault="00610070" w:rsidP="00FB0CB1">
            <w:pPr>
              <w:pStyle w:val="ECCLetterHead"/>
            </w:pPr>
            <w:r>
              <w:t>Copenhagen, 10th – 13</w:t>
            </w:r>
            <w:r w:rsidRPr="00D24530">
              <w:t xml:space="preserve">th </w:t>
            </w:r>
            <w:r>
              <w:t>April</w:t>
            </w:r>
            <w:r w:rsidRPr="00D24530">
              <w:t xml:space="preserve"> 2018</w:t>
            </w:r>
          </w:p>
        </w:tc>
      </w:tr>
      <w:tr w:rsidR="00610070" w:rsidRPr="00235592" w:rsidTr="00610070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A3755D" w:rsidRDefault="00610070" w:rsidP="00FB0CB1">
            <w:pPr>
              <w:pStyle w:val="ECCLetterHead"/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235592" w:rsidRDefault="00610070" w:rsidP="00FB0CB1">
            <w:pPr>
              <w:pStyle w:val="ECCLetterHead"/>
            </w:pPr>
          </w:p>
        </w:tc>
      </w:tr>
      <w:tr w:rsidR="00610070" w:rsidRPr="00235592" w:rsidTr="006100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59272D" w:rsidRDefault="00610070" w:rsidP="00FB0CB1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8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59272D" w:rsidRDefault="00712BAD" w:rsidP="00FB0CB1">
            <w:pPr>
              <w:pStyle w:val="ECCLetterHead"/>
            </w:pPr>
            <w:r>
              <w:t>2 April 2018</w:t>
            </w:r>
          </w:p>
        </w:tc>
      </w:tr>
      <w:tr w:rsidR="00610070" w:rsidRPr="00235592" w:rsidTr="006100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235592" w:rsidRDefault="00610070" w:rsidP="00FB0CB1">
            <w:pPr>
              <w:pStyle w:val="ECCLetterHead"/>
            </w:pPr>
            <w:r w:rsidRPr="00235592">
              <w:t xml:space="preserve">Source: </w:t>
            </w:r>
          </w:p>
        </w:tc>
        <w:tc>
          <w:tcPr>
            <w:tcW w:w="8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235592" w:rsidRDefault="00610070" w:rsidP="00FB0CB1">
            <w:pPr>
              <w:pStyle w:val="ECCLetterHead"/>
            </w:pPr>
            <w:r w:rsidRPr="004718ED">
              <w:t>Russian Federation</w:t>
            </w:r>
          </w:p>
        </w:tc>
      </w:tr>
      <w:tr w:rsidR="00610070" w:rsidRPr="00235592" w:rsidTr="006100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235592" w:rsidRDefault="00610070" w:rsidP="00FB0CB1">
            <w:pPr>
              <w:pStyle w:val="ECCLetterHead"/>
            </w:pPr>
            <w:r w:rsidRPr="00235592">
              <w:t xml:space="preserve">Subject: </w:t>
            </w:r>
          </w:p>
        </w:tc>
        <w:tc>
          <w:tcPr>
            <w:tcW w:w="8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070" w:rsidRPr="00235592" w:rsidRDefault="00610070" w:rsidP="00FB0CB1">
            <w:pPr>
              <w:pStyle w:val="ECCLetterHead"/>
            </w:pPr>
            <w:r w:rsidRPr="004718ED">
              <w:t xml:space="preserve">Compatibility analysis on WRC-19 Agenda Item </w:t>
            </w:r>
            <w:r>
              <w:t>9.1.9</w:t>
            </w:r>
          </w:p>
        </w:tc>
      </w:tr>
      <w:tr w:rsidR="00610070" w:rsidRPr="00235592" w:rsidTr="00610070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single" w:sz="6" w:space="0" w:color="C00000"/>
              <w:right w:val="nil"/>
            </w:tcBorders>
            <w:vAlign w:val="center"/>
          </w:tcPr>
          <w:p w:rsidR="00610070" w:rsidRPr="00235592" w:rsidRDefault="00610070" w:rsidP="00FB0CB1">
            <w:pPr>
              <w:rPr>
                <w:rStyle w:val="ECCParagraph"/>
              </w:rPr>
            </w:pPr>
          </w:p>
          <w:p w:rsidR="00610070" w:rsidRPr="00235592" w:rsidRDefault="00610070" w:rsidP="00FB0CB1">
            <w:pPr>
              <w:pStyle w:val="ECCLetterHead"/>
            </w:pPr>
          </w:p>
        </w:tc>
      </w:tr>
      <w:tr w:rsidR="00610070" w:rsidRPr="00235592" w:rsidTr="00610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610070" w:rsidRPr="00235592" w:rsidRDefault="00610070" w:rsidP="006428EA">
            <w:pPr>
              <w:pStyle w:val="ECCLetterHead"/>
            </w:pPr>
            <w:r w:rsidRPr="00235592">
              <w:t>Summary:</w:t>
            </w:r>
            <w:r>
              <w:t xml:space="preserve"> </w:t>
            </w:r>
            <w:r w:rsidRPr="00712BAD">
              <w:rPr>
                <w:b w:val="0"/>
              </w:rPr>
              <w:t xml:space="preserve">This contribution of the Russian Federation </w:t>
            </w:r>
            <w:r w:rsidR="006428EA" w:rsidRPr="00712BAD">
              <w:rPr>
                <w:b w:val="0"/>
              </w:rPr>
              <w:t xml:space="preserve">presents </w:t>
            </w:r>
            <w:r w:rsidR="003674D9" w:rsidRPr="00712BAD">
              <w:rPr>
                <w:b w:val="0"/>
              </w:rPr>
              <w:t>studies</w:t>
            </w:r>
            <w:r w:rsidRPr="00712BAD">
              <w:rPr>
                <w:b w:val="0"/>
              </w:rPr>
              <w:t xml:space="preserve"> on interference impact into EESS passive sensor, based on parameters of the Russian multi-channel conical-scan radiometer, deployed </w:t>
            </w:r>
            <w:proofErr w:type="spellStart"/>
            <w:r w:rsidRPr="00712BAD">
              <w:rPr>
                <w:b w:val="0"/>
              </w:rPr>
              <w:t>onboard</w:t>
            </w:r>
            <w:proofErr w:type="spellEnd"/>
            <w:r w:rsidRPr="00712BAD">
              <w:rPr>
                <w:b w:val="0"/>
              </w:rPr>
              <w:t xml:space="preserve"> existing satellites of </w:t>
            </w:r>
            <w:r w:rsidR="003674D9" w:rsidRPr="00712BAD">
              <w:rPr>
                <w:b w:val="0"/>
              </w:rPr>
              <w:t>the Meteor-3M satellite system.</w:t>
            </w:r>
          </w:p>
        </w:tc>
      </w:tr>
      <w:tr w:rsidR="00610070" w:rsidRPr="00235592" w:rsidTr="00610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610070" w:rsidRPr="00235592" w:rsidRDefault="00610070" w:rsidP="00FB0CB1">
            <w:pPr>
              <w:pStyle w:val="ECCTabletext"/>
            </w:pPr>
          </w:p>
        </w:tc>
      </w:tr>
      <w:tr w:rsidR="00610070" w:rsidRPr="00235592" w:rsidTr="00610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610070" w:rsidRPr="00081CFE" w:rsidRDefault="00610070" w:rsidP="006428EA">
            <w:pPr>
              <w:pStyle w:val="ECCLetterHead"/>
            </w:pPr>
            <w:r w:rsidRPr="00235592">
              <w:t>Proposal:</w:t>
            </w:r>
            <w:r>
              <w:t xml:space="preserve"> </w:t>
            </w:r>
            <w:bookmarkStart w:id="1" w:name="_GoBack"/>
            <w:r w:rsidR="003674D9" w:rsidRPr="00712BAD">
              <w:rPr>
                <w:b w:val="0"/>
              </w:rPr>
              <w:t>CPG PTB</w:t>
            </w:r>
            <w:r w:rsidRPr="00712BAD">
              <w:rPr>
                <w:b w:val="0"/>
              </w:rPr>
              <w:t xml:space="preserve"> is kindly requested to consider additional compatibility study, as attached, on interference impact into EESS passive sensor</w:t>
            </w:r>
            <w:bookmarkEnd w:id="1"/>
          </w:p>
        </w:tc>
      </w:tr>
      <w:tr w:rsidR="00610070" w:rsidRPr="00235592" w:rsidTr="00610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610070" w:rsidRPr="00235592" w:rsidRDefault="00610070" w:rsidP="00FB0CB1">
            <w:pPr>
              <w:pStyle w:val="ECCTabletext"/>
            </w:pPr>
          </w:p>
        </w:tc>
      </w:tr>
    </w:tbl>
    <w:p w:rsidR="00610070" w:rsidRPr="00235592" w:rsidRDefault="00610070" w:rsidP="00610070">
      <w:pPr>
        <w:rPr>
          <w:rStyle w:val="ECCParagraph"/>
        </w:rPr>
      </w:pPr>
      <w:r w:rsidRPr="00235592">
        <w:rPr>
          <w:rStyle w:val="ECCParagraph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34BB8" w:rsidRPr="00A9286E" w:rsidTr="00BA2AAE">
        <w:trPr>
          <w:cantSplit/>
          <w:trHeight w:val="847"/>
        </w:trPr>
        <w:tc>
          <w:tcPr>
            <w:tcW w:w="9889" w:type="dxa"/>
          </w:tcPr>
          <w:p w:rsidR="00BA2AAE" w:rsidRDefault="003674D9" w:rsidP="00BA2AAE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ANNEX 1</w:t>
            </w:r>
          </w:p>
          <w:p w:rsidR="00334BB8" w:rsidRPr="00A9286E" w:rsidRDefault="00334BB8" w:rsidP="00BA2AAE">
            <w:pPr>
              <w:pStyle w:val="Source"/>
              <w:rPr>
                <w:lang w:eastAsia="zh-CN"/>
              </w:rPr>
            </w:pPr>
            <w:r w:rsidRPr="00A9286E">
              <w:rPr>
                <w:lang w:eastAsia="zh-CN"/>
              </w:rPr>
              <w:t>Russian Federation</w:t>
            </w:r>
          </w:p>
        </w:tc>
      </w:tr>
      <w:tr w:rsidR="00334BB8" w:rsidRPr="00A9286E" w:rsidTr="00BA2AAE">
        <w:trPr>
          <w:cantSplit/>
        </w:trPr>
        <w:tc>
          <w:tcPr>
            <w:tcW w:w="9889" w:type="dxa"/>
          </w:tcPr>
          <w:p w:rsidR="00334BB8" w:rsidRPr="00A9286E" w:rsidRDefault="00334BB8" w:rsidP="00FB0CB1">
            <w:pPr>
              <w:pStyle w:val="Title1"/>
              <w:rPr>
                <w:lang w:eastAsia="zh-CN"/>
              </w:rPr>
            </w:pPr>
            <w:r w:rsidRPr="00A9286E">
              <w:t>COMPATIBILITY STUDIES BETWEEN FSS IN THE 51.4-52.4 GH</w:t>
            </w:r>
            <w:r w:rsidRPr="00A9286E">
              <w:rPr>
                <w:caps w:val="0"/>
              </w:rPr>
              <w:t>z</w:t>
            </w:r>
            <w:r w:rsidRPr="00A9286E">
              <w:t xml:space="preserve"> band (earth-to-space) and eess (passive) in the 52.6-53 gh</w:t>
            </w:r>
            <w:r w:rsidRPr="00A9286E">
              <w:rPr>
                <w:caps w:val="0"/>
              </w:rPr>
              <w:t>z</w:t>
            </w:r>
            <w:r w:rsidRPr="00A9286E">
              <w:t xml:space="preserve"> band</w:t>
            </w:r>
          </w:p>
        </w:tc>
      </w:tr>
    </w:tbl>
    <w:p w:rsidR="004A1C9F" w:rsidRPr="00A9286E" w:rsidRDefault="006428EA" w:rsidP="004A1C9F">
      <w:pPr>
        <w:pStyle w:val="Heading1"/>
      </w:pPr>
      <w:r>
        <w:t>1</w:t>
      </w:r>
      <w:r w:rsidR="004A1C9F" w:rsidRPr="00A9286E">
        <w:tab/>
        <w:t xml:space="preserve">Compatibility study for EESS passive sensor, located </w:t>
      </w:r>
      <w:proofErr w:type="spellStart"/>
      <w:r w:rsidR="004A1C9F" w:rsidRPr="00A9286E">
        <w:t>onboard</w:t>
      </w:r>
      <w:proofErr w:type="spellEnd"/>
      <w:r w:rsidR="004A1C9F" w:rsidRPr="00A9286E">
        <w:t xml:space="preserve"> Meteor-3M satellite system</w:t>
      </w:r>
    </w:p>
    <w:p w:rsidR="004A1C9F" w:rsidRPr="00A9286E" w:rsidRDefault="004A1C9F" w:rsidP="004A1C9F">
      <w:r w:rsidRPr="00A9286E">
        <w:t xml:space="preserve">Meteor-3M satellite system comprises of two satellites, Meteor-M №1 (launched in 2009) and Meteor-M №2 (launched in 2014), deployed in sun-synchronous circular orbit (LTAN 9-30) with orbit height of 835 km and inclination around 98.85°. Each satellite carries passive instrument, representing a multi-channel conical scan radiometer, using 0.65 m (-3 dB </w:t>
      </w:r>
      <w:proofErr w:type="spellStart"/>
      <w:r w:rsidRPr="00A9286E">
        <w:t>beamwidth</w:t>
      </w:r>
      <w:proofErr w:type="spellEnd"/>
      <w:r w:rsidRPr="00A9286E">
        <w:t xml:space="preserve"> 0.65°) reflector receiving antenna (H, V polarizations are used) with maximum gain of 48 dBi (including antenna feeder losses) and off-nadir pointing angle of 53.3°. Separate cold calibration channel is applied to increase accuracy. </w:t>
      </w:r>
    </w:p>
    <w:p w:rsidR="003674D9" w:rsidRDefault="004A1C9F" w:rsidP="004A1C9F">
      <w:r w:rsidRPr="00A9286E">
        <w:t>Meteor-M satellite antenna could be modelled using analytical antenna gain pattern, provided in Recommendation ITU-R RS.1813. Main beam of Meteor-M satellites has a scanning sector 105 degrees wide (angle alpha changing from 165 to 270 degrees, off-nadir pointing angle beta is 53.3 degrees), scan period is 2.5 seconds.</w:t>
      </w:r>
    </w:p>
    <w:p w:rsidR="004A1C9F" w:rsidRPr="00A9286E" w:rsidRDefault="004A1C9F" w:rsidP="004A1C9F">
      <w:r w:rsidRPr="00A9286E">
        <w:t xml:space="preserve">Parameters of transmitting FSS Earth stations were based on information, provided in </w:t>
      </w:r>
      <w:r w:rsidRPr="003674D9">
        <w:t>Section 2 (FSS Technical Characteristics) of the preliminary draft new report ITU-R S.[SPECTRUM SHARING]</w:t>
      </w:r>
      <w:r w:rsidR="003674D9">
        <w:t xml:space="preserve"> </w:t>
      </w:r>
      <w:r w:rsidR="006428EA">
        <w:t>(</w:t>
      </w:r>
      <w:r w:rsidR="003674D9">
        <w:t>WP 4A Chairman’s Report 4A/675 Annex 3</w:t>
      </w:r>
      <w:r w:rsidR="006428EA">
        <w:t>)</w:t>
      </w:r>
      <w:r w:rsidRPr="00A9286E">
        <w:t>, which are described in Table 1.</w:t>
      </w:r>
    </w:p>
    <w:p w:rsidR="004A1C9F" w:rsidRPr="00A9286E" w:rsidRDefault="004A1C9F" w:rsidP="0089122E">
      <w:pPr>
        <w:pStyle w:val="TableNo"/>
        <w:spacing w:before="0"/>
      </w:pPr>
      <w:r w:rsidRPr="00A9286E">
        <w:t>TABLE 1</w:t>
      </w:r>
    </w:p>
    <w:p w:rsidR="004A1C9F" w:rsidRPr="00A9286E" w:rsidRDefault="004A1C9F" w:rsidP="004A1C9F">
      <w:pPr>
        <w:pStyle w:val="Tabletitle"/>
      </w:pPr>
      <w:r w:rsidRPr="00A9286E">
        <w:t>Earth-to-space communication from an Earth station (feeder link) towards a GSO FSS space station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2035"/>
      </w:tblGrid>
      <w:tr w:rsidR="004A1C9F" w:rsidRPr="00A9286E" w:rsidTr="00A2245C">
        <w:trPr>
          <w:jc w:val="center"/>
        </w:trPr>
        <w:tc>
          <w:tcPr>
            <w:tcW w:w="7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head"/>
              <w:rPr>
                <w:szCs w:val="16"/>
              </w:rPr>
            </w:pPr>
            <w:r w:rsidRPr="00A9286E">
              <w:t>Carrier characteristics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Polarization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LHCP and RHCP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Frequency (MHz)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 xml:space="preserve">52 000 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0615CC" w:rsidRDefault="004A1C9F" w:rsidP="00A2245C">
            <w:pPr>
              <w:pStyle w:val="Tabletext"/>
              <w:rPr>
                <w:lang w:val="en-US"/>
              </w:rPr>
            </w:pPr>
            <w:r w:rsidRPr="00A9286E">
              <w:t>Carrier occupied bandwidth</w:t>
            </w:r>
            <w:r w:rsidR="000615CC">
              <w:t xml:space="preserve"> </w:t>
            </w:r>
            <w:r w:rsidR="000615CC">
              <w:rPr>
                <w:lang w:val="en-US"/>
              </w:rPr>
              <w:t>(MHz)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0615CC" w:rsidP="00A2245C">
            <w:pPr>
              <w:pStyle w:val="Tabletext"/>
              <w:rPr>
                <w:bCs/>
              </w:rPr>
            </w:pPr>
            <w:r>
              <w:rPr>
                <w:bCs/>
              </w:rPr>
              <w:t>475</w:t>
            </w:r>
          </w:p>
        </w:tc>
      </w:tr>
      <w:tr w:rsidR="004A1C9F" w:rsidRPr="00A9286E" w:rsidTr="00A2245C">
        <w:trPr>
          <w:jc w:val="center"/>
        </w:trPr>
        <w:tc>
          <w:tcPr>
            <w:tcW w:w="7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rPr>
                <w:b/>
              </w:rPr>
              <w:t>FSS ES transmit parameters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Antenna Diameter (m)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 xml:space="preserve">13.5 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Gain (dBi)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 xml:space="preserve">74 (75 at 52.7 GHz) 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Radiation pattern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rPr>
                <w:u w:val="single"/>
              </w:rPr>
              <w:t xml:space="preserve">ITU-R S.580  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Minimum elevation angle (deg)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rPr>
                <w:u w:val="single"/>
              </w:rPr>
              <w:t>15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e.i.r.p. (dBW)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73.4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e.i.r.p. density (dBW/MHz)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46.6</w:t>
            </w:r>
          </w:p>
        </w:tc>
      </w:tr>
      <w:tr w:rsidR="004A1C9F" w:rsidRPr="00A9286E" w:rsidTr="00A2245C">
        <w:trPr>
          <w:jc w:val="center"/>
        </w:trPr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Max. power spectral density (dBW/MHz)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9F" w:rsidRPr="00A9286E" w:rsidRDefault="004A1C9F" w:rsidP="00A2245C">
            <w:pPr>
              <w:pStyle w:val="Tabletext"/>
            </w:pPr>
            <w:r w:rsidRPr="00A9286E">
              <w:t>-27.4</w:t>
            </w:r>
          </w:p>
        </w:tc>
      </w:tr>
    </w:tbl>
    <w:p w:rsidR="00A9286E" w:rsidRPr="00A9286E" w:rsidRDefault="00A9286E" w:rsidP="00A9286E">
      <w:pPr>
        <w:pStyle w:val="Tablefin"/>
      </w:pPr>
    </w:p>
    <w:p w:rsidR="004A1C9F" w:rsidRPr="00A9286E" w:rsidRDefault="004A1C9F" w:rsidP="004A1C9F">
      <w:r w:rsidRPr="00A9286E">
        <w:t xml:space="preserve">Taking into account that wideband carriers are planned to be used for FSS feeder links (475 MHz) and separation between active and passive band is limited to 200 MHz, 52.6-53 GHz passive band would fall into the out of band domain of unwanted emissions, therefore out-of-band emission mask, described by Recommendation ITU-R SM.1541, Annex 5, could be applied to obtain </w:t>
      </w:r>
      <w:r w:rsidRPr="00A9286E">
        <w:lastRenderedPageBreak/>
        <w:t xml:space="preserve">unwanted emission level within reference band (100 MHz). Integration of maximal power spectral density of FSS ES emissions using that mask within 52.6-52.7 GHz would result in out-of-band emission power of -19.7 </w:t>
      </w:r>
      <w:proofErr w:type="spellStart"/>
      <w:r w:rsidRPr="00A9286E">
        <w:t>dBW</w:t>
      </w:r>
      <w:proofErr w:type="spellEnd"/>
      <w:r w:rsidRPr="00A9286E">
        <w:t xml:space="preserve">/100 </w:t>
      </w:r>
      <w:proofErr w:type="spellStart"/>
      <w:r w:rsidRPr="00A9286E">
        <w:t>MHz.</w:t>
      </w:r>
      <w:proofErr w:type="spellEnd"/>
    </w:p>
    <w:p w:rsidR="004A1C9F" w:rsidRPr="00A9286E" w:rsidRDefault="006B6984" w:rsidP="004A1C9F">
      <w:pPr>
        <w:pStyle w:val="Heading2"/>
      </w:pPr>
      <w:r>
        <w:t>1</w:t>
      </w:r>
      <w:r w:rsidR="004A1C9F" w:rsidRPr="00A9286E">
        <w:t>.1</w:t>
      </w:r>
      <w:r w:rsidR="004A1C9F" w:rsidRPr="00A9286E">
        <w:tab/>
        <w:t>Single-entry static studies</w:t>
      </w:r>
    </w:p>
    <w:p w:rsidR="004A1C9F" w:rsidRPr="00A9286E" w:rsidRDefault="004A1C9F" w:rsidP="004A1C9F">
      <w:pPr>
        <w:rPr>
          <w:bCs/>
        </w:rPr>
      </w:pPr>
      <w:r w:rsidRPr="00A9286E">
        <w:rPr>
          <w:rFonts w:eastAsiaTheme="minorHAnsi"/>
        </w:rPr>
        <w:t xml:space="preserve">Several single-entry studies were performed to assess worst-case situation. Results of static study </w:t>
      </w:r>
      <w:r w:rsidR="00A9286E">
        <w:rPr>
          <w:rFonts w:eastAsiaTheme="minorHAnsi"/>
        </w:rPr>
        <w:t xml:space="preserve">for </w:t>
      </w:r>
      <w:r w:rsidRPr="00A9286E">
        <w:rPr>
          <w:rFonts w:eastAsiaTheme="minorHAnsi"/>
        </w:rPr>
        <w:t xml:space="preserve">main beam to main beam scenario are provided in Table 2, showing </w:t>
      </w:r>
      <w:r w:rsidRPr="00A9286E">
        <w:rPr>
          <w:bCs/>
        </w:rPr>
        <w:t>that threshold inte</w:t>
      </w:r>
      <w:r w:rsidR="003674D9">
        <w:rPr>
          <w:bCs/>
        </w:rPr>
        <w:t>rference level is exceeded by 72.1</w:t>
      </w:r>
      <w:r w:rsidRPr="00A9286E">
        <w:rPr>
          <w:bCs/>
        </w:rPr>
        <w:t xml:space="preserve"> dB.</w:t>
      </w:r>
    </w:p>
    <w:p w:rsidR="004A1C9F" w:rsidRPr="00A9286E" w:rsidRDefault="004A1C9F" w:rsidP="00BA2AAE">
      <w:pPr>
        <w:pStyle w:val="TableNo"/>
        <w:spacing w:before="0"/>
      </w:pPr>
      <w:r w:rsidRPr="00A9286E">
        <w:t>TABLE 2</w:t>
      </w:r>
    </w:p>
    <w:p w:rsidR="004A1C9F" w:rsidRPr="00A9286E" w:rsidRDefault="004A1C9F" w:rsidP="004A1C9F">
      <w:pPr>
        <w:pStyle w:val="Tabletitle"/>
      </w:pPr>
      <w:r w:rsidRPr="00A9286E">
        <w:t>Worst-case Static Analysis (main-to-main beam scenario)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900"/>
        <w:gridCol w:w="3695"/>
      </w:tblGrid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FSS Unwanted emission limit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-19.7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dBW/100 MHz (Integration of out-of-band emission mas</w:t>
            </w:r>
            <w:r w:rsidR="00C23AED">
              <w:t>k for FSS set out in ITU-R SM.1</w:t>
            </w:r>
            <w:r w:rsidRPr="00A9286E">
              <w:t>5</w:t>
            </w:r>
            <w:r w:rsidR="00C23AED" w:rsidRPr="00C23AED">
              <w:rPr>
                <w:lang w:val="en-US"/>
              </w:rPr>
              <w:t>4</w:t>
            </w:r>
            <w:r w:rsidRPr="00A9286E">
              <w:t>1)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FSS Antenna Gain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75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dBi (FSS Antenna Gain at 52.7  GHz)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Off-nadir angle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53.3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Degrees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FSS ES elevation angle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24.94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Degrees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EESS Antenna Gain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48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 xml:space="preserve">dBi 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Slant distance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1621.2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Km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Free Space Loss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191.1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CA1E22" w:rsidP="00A2245C">
            <w:pPr>
              <w:pStyle w:val="Tabletext"/>
            </w:pPr>
            <w:r>
              <w:t>dB (at 52.</w:t>
            </w:r>
            <w:r>
              <w:rPr>
                <w:lang w:val="ru-RU"/>
              </w:rPr>
              <w:t>7</w:t>
            </w:r>
            <w:r w:rsidR="004A1C9F" w:rsidRPr="00A9286E">
              <w:t xml:space="preserve"> GHz)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Polarization discrimination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1.5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Atmospheric losses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E05AFD" w:rsidP="00A2245C">
            <w:pPr>
              <w:pStyle w:val="Tabletext"/>
              <w:jc w:val="center"/>
            </w:pPr>
            <w:r>
              <w:t>10.6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Interference level at the input of passive sensor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EE7892" w:rsidP="00A2245C">
            <w:pPr>
              <w:pStyle w:val="Tabletext"/>
              <w:jc w:val="center"/>
            </w:pPr>
            <w:r>
              <w:t>-99.9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9286E">
            <w:pPr>
              <w:pStyle w:val="Tabletext"/>
            </w:pPr>
            <w:r w:rsidRPr="00A9286E">
              <w:t>Protection Level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-172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 (apportionment of 3 dB is applied)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Exceedance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EE7892" w:rsidP="00A2245C">
            <w:pPr>
              <w:pStyle w:val="Tabletext"/>
              <w:jc w:val="center"/>
            </w:pPr>
            <w:r>
              <w:t>72.1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</w:tbl>
    <w:p w:rsidR="004A1C9F" w:rsidRPr="00A9286E" w:rsidRDefault="004A1C9F" w:rsidP="00A9286E">
      <w:pPr>
        <w:pStyle w:val="Tablefin"/>
        <w:rPr>
          <w:rFonts w:eastAsiaTheme="minorHAnsi"/>
        </w:rPr>
      </w:pPr>
    </w:p>
    <w:p w:rsidR="004A1C9F" w:rsidRDefault="004A1C9F" w:rsidP="00A9286E">
      <w:pPr>
        <w:rPr>
          <w:bCs/>
        </w:rPr>
      </w:pPr>
      <w:r w:rsidRPr="00A9286E">
        <w:rPr>
          <w:rFonts w:eastAsiaTheme="minorHAnsi"/>
        </w:rPr>
        <w:t xml:space="preserve">Results of static study for passive sensor main beam to FSS ES back-lobe scenario are provided in Table 3, showing </w:t>
      </w:r>
      <w:r w:rsidRPr="00A9286E">
        <w:rPr>
          <w:bCs/>
        </w:rPr>
        <w:t>that threshold int</w:t>
      </w:r>
      <w:r w:rsidR="003674D9">
        <w:rPr>
          <w:bCs/>
        </w:rPr>
        <w:t>erf</w:t>
      </w:r>
      <w:r w:rsidR="0027314D">
        <w:rPr>
          <w:bCs/>
        </w:rPr>
        <w:t>erence level is not exceeded</w:t>
      </w:r>
      <w:r w:rsidRPr="00A9286E">
        <w:rPr>
          <w:bCs/>
        </w:rPr>
        <w:t>.</w:t>
      </w:r>
    </w:p>
    <w:p w:rsidR="004A1C9F" w:rsidRPr="00A9286E" w:rsidRDefault="004A1C9F" w:rsidP="00BA2AAE">
      <w:pPr>
        <w:pStyle w:val="TableNo"/>
        <w:spacing w:before="0"/>
      </w:pPr>
      <w:r w:rsidRPr="00A9286E">
        <w:t>TABLE 3</w:t>
      </w:r>
    </w:p>
    <w:p w:rsidR="004A1C9F" w:rsidRPr="00A9286E" w:rsidRDefault="004A1C9F" w:rsidP="004A1C9F">
      <w:pPr>
        <w:pStyle w:val="Tabletitle"/>
      </w:pPr>
      <w:r w:rsidRPr="00A9286E">
        <w:rPr>
          <w:rFonts w:eastAsiaTheme="minorHAnsi"/>
          <w:szCs w:val="24"/>
        </w:rPr>
        <w:t>Passive sensor main beam to FSS ES back-lobe scenario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900"/>
        <w:gridCol w:w="3695"/>
      </w:tblGrid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FSS Unwanted emission limit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-19.7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dBW/100 MHz (Integration of out-of-band emission mas</w:t>
            </w:r>
            <w:r w:rsidR="00C23AED">
              <w:t>k for FSS set out in ITU-R SM.1</w:t>
            </w:r>
            <w:r w:rsidRPr="00A9286E">
              <w:t>5</w:t>
            </w:r>
            <w:r w:rsidR="00C23AED" w:rsidRPr="00C23AED">
              <w:rPr>
                <w:lang w:val="en-US"/>
              </w:rPr>
              <w:t>4</w:t>
            </w:r>
            <w:r w:rsidRPr="00A9286E">
              <w:t>1)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FSS Antenna Gain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-10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 xml:space="preserve">dBi 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Off-nadir angle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53.3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Degrees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FSS ES elevation angle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24.94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Degrees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EESS Antenna Gain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48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 xml:space="preserve">dBi 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Slant distance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1621.2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Km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Free Space Loss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191.1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CA1E22">
            <w:pPr>
              <w:pStyle w:val="Tabletext"/>
            </w:pPr>
            <w:r w:rsidRPr="00A9286E">
              <w:t>dB (at 52.</w:t>
            </w:r>
            <w:r w:rsidR="00CA1E22">
              <w:rPr>
                <w:lang w:val="ru-RU"/>
              </w:rPr>
              <w:t>7</w:t>
            </w:r>
            <w:r w:rsidRPr="00A9286E">
              <w:t xml:space="preserve"> GHz)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Polarization discrimination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1.5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Atmospheric losses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E05AFD" w:rsidP="00A2245C">
            <w:pPr>
              <w:pStyle w:val="Tabletext"/>
              <w:jc w:val="center"/>
            </w:pPr>
            <w:r>
              <w:t>10.6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Interference level at the input of passive sensor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27314D" w:rsidP="00A2245C">
            <w:pPr>
              <w:pStyle w:val="Tabletext"/>
              <w:jc w:val="center"/>
            </w:pPr>
            <w:r>
              <w:t>-184.9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9286E">
            <w:pPr>
              <w:pStyle w:val="Tabletext"/>
            </w:pPr>
            <w:r w:rsidRPr="00A9286E">
              <w:t>Protection Level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-172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 (apportionment of 3 dB is applied)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Exceedance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27314D" w:rsidP="00A2245C">
            <w:pPr>
              <w:pStyle w:val="Tabletext"/>
              <w:jc w:val="center"/>
            </w:pPr>
            <w:r>
              <w:t>-12</w:t>
            </w:r>
            <w:r w:rsidR="00EE7892">
              <w:t>.9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</w:tbl>
    <w:p w:rsidR="00A9286E" w:rsidRDefault="00A9286E" w:rsidP="00A9286E">
      <w:pPr>
        <w:pStyle w:val="Tablefin"/>
        <w:rPr>
          <w:rFonts w:eastAsiaTheme="minorHAnsi"/>
        </w:rPr>
      </w:pPr>
    </w:p>
    <w:p w:rsidR="004A1C9F" w:rsidRPr="00A9286E" w:rsidRDefault="004A1C9F" w:rsidP="00A9286E">
      <w:pPr>
        <w:rPr>
          <w:bCs/>
        </w:rPr>
      </w:pPr>
      <w:r w:rsidRPr="00A9286E">
        <w:rPr>
          <w:rFonts w:eastAsiaTheme="minorHAnsi"/>
        </w:rPr>
        <w:lastRenderedPageBreak/>
        <w:t xml:space="preserve">Results of static study for passive sensor back-lobe to FSS ES main beam scenario are provided in Table 4, showing </w:t>
      </w:r>
      <w:r w:rsidRPr="00A9286E">
        <w:rPr>
          <w:bCs/>
        </w:rPr>
        <w:t>that threshold inte</w:t>
      </w:r>
      <w:r w:rsidR="003674D9">
        <w:rPr>
          <w:bCs/>
        </w:rPr>
        <w:t>rf</w:t>
      </w:r>
      <w:r w:rsidR="0027314D">
        <w:rPr>
          <w:bCs/>
        </w:rPr>
        <w:t>erence level is exceeded by 7.4</w:t>
      </w:r>
      <w:r w:rsidRPr="00A9286E">
        <w:rPr>
          <w:bCs/>
        </w:rPr>
        <w:t xml:space="preserve"> dB.</w:t>
      </w:r>
    </w:p>
    <w:p w:rsidR="004A1C9F" w:rsidRPr="00A9286E" w:rsidRDefault="004A1C9F" w:rsidP="00BA2AAE">
      <w:pPr>
        <w:pStyle w:val="TableNo"/>
        <w:spacing w:before="0"/>
      </w:pPr>
      <w:r w:rsidRPr="00A9286E">
        <w:t>TABLE 4</w:t>
      </w:r>
    </w:p>
    <w:p w:rsidR="004A1C9F" w:rsidRPr="00A9286E" w:rsidRDefault="004A1C9F" w:rsidP="004A1C9F">
      <w:pPr>
        <w:pStyle w:val="Tabletitle"/>
      </w:pPr>
      <w:r w:rsidRPr="00A9286E">
        <w:rPr>
          <w:rFonts w:eastAsiaTheme="minorHAnsi"/>
          <w:szCs w:val="24"/>
        </w:rPr>
        <w:t>Passive sensor back-lobe to FSS ES main beam scenario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900"/>
        <w:gridCol w:w="3695"/>
      </w:tblGrid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FSS Unwanted emission limit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-19.7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dBW/100 MHz (Integration of out-of-band emission mas</w:t>
            </w:r>
            <w:r w:rsidR="00C23AED">
              <w:t>k for FSS set out in ITU-R SM.1</w:t>
            </w:r>
            <w:r w:rsidRPr="00A9286E">
              <w:t>5</w:t>
            </w:r>
            <w:r w:rsidR="00C23AED" w:rsidRPr="00C23AED">
              <w:rPr>
                <w:lang w:val="en-US"/>
              </w:rPr>
              <w:t>4</w:t>
            </w:r>
            <w:r w:rsidRPr="00A9286E">
              <w:t>1)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FSS Antenna Gain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75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dBi (FSS Antenna Gain at 52.7  GHz)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Off-nadir angle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53.3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Degrees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FSS ES elevation angle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24.94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Degrees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EESS Antenna Gain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-16.7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 xml:space="preserve">dBi 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Slant distance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1621.2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Km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Free Space Loss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191.1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CA1E22" w:rsidP="00A2245C">
            <w:pPr>
              <w:pStyle w:val="Tabletext"/>
            </w:pPr>
            <w:r>
              <w:t>dB (at 52.</w:t>
            </w:r>
            <w:r>
              <w:rPr>
                <w:lang w:val="ru-RU"/>
              </w:rPr>
              <w:t>7</w:t>
            </w:r>
            <w:r w:rsidR="004A1C9F" w:rsidRPr="00A9286E">
              <w:t xml:space="preserve"> GHz)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Polarization discrimination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1.5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Atmospheric losses</w:t>
            </w:r>
          </w:p>
        </w:tc>
        <w:tc>
          <w:tcPr>
            <w:tcW w:w="900" w:type="dxa"/>
            <w:noWrap/>
            <w:vAlign w:val="center"/>
            <w:hideMark/>
          </w:tcPr>
          <w:p w:rsidR="004A1C9F" w:rsidRPr="00A9286E" w:rsidRDefault="00E05AFD" w:rsidP="00A2245C">
            <w:pPr>
              <w:pStyle w:val="Tabletext"/>
              <w:jc w:val="center"/>
            </w:pPr>
            <w:r>
              <w:t>10.6</w:t>
            </w:r>
          </w:p>
        </w:tc>
        <w:tc>
          <w:tcPr>
            <w:tcW w:w="3695" w:type="dxa"/>
            <w:noWrap/>
            <w:vAlign w:val="center"/>
            <w:hideMark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Interference level at the input of passive sensor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27314D" w:rsidP="00A2245C">
            <w:pPr>
              <w:pStyle w:val="Tabletext"/>
              <w:jc w:val="center"/>
            </w:pPr>
            <w:r>
              <w:t>-164.6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9286E">
            <w:pPr>
              <w:pStyle w:val="Tabletext"/>
            </w:pPr>
            <w:r w:rsidRPr="00A9286E">
              <w:t>Protection Level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4A1C9F" w:rsidP="00A2245C">
            <w:pPr>
              <w:pStyle w:val="Tabletext"/>
              <w:jc w:val="center"/>
            </w:pPr>
            <w:r w:rsidRPr="00A9286E">
              <w:t>-172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dBW (apportionment of 3 dB is applied)</w:t>
            </w:r>
          </w:p>
        </w:tc>
      </w:tr>
      <w:tr w:rsidR="004A1C9F" w:rsidRPr="00A9286E" w:rsidTr="00A2245C">
        <w:trPr>
          <w:trHeight w:val="288"/>
          <w:jc w:val="center"/>
        </w:trPr>
        <w:tc>
          <w:tcPr>
            <w:tcW w:w="341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Exceedance</w:t>
            </w:r>
          </w:p>
        </w:tc>
        <w:tc>
          <w:tcPr>
            <w:tcW w:w="900" w:type="dxa"/>
            <w:noWrap/>
            <w:vAlign w:val="center"/>
          </w:tcPr>
          <w:p w:rsidR="004A1C9F" w:rsidRPr="00A9286E" w:rsidRDefault="0027314D" w:rsidP="00A2245C">
            <w:pPr>
              <w:pStyle w:val="Tabletext"/>
              <w:jc w:val="center"/>
            </w:pPr>
            <w:r>
              <w:t>7.4</w:t>
            </w:r>
          </w:p>
        </w:tc>
        <w:tc>
          <w:tcPr>
            <w:tcW w:w="3695" w:type="dxa"/>
            <w:noWrap/>
            <w:vAlign w:val="center"/>
          </w:tcPr>
          <w:p w:rsidR="004A1C9F" w:rsidRPr="00A9286E" w:rsidRDefault="004A1C9F" w:rsidP="00A2245C">
            <w:pPr>
              <w:pStyle w:val="Tabletext"/>
            </w:pPr>
            <w:r w:rsidRPr="00A9286E">
              <w:t>dB</w:t>
            </w:r>
          </w:p>
        </w:tc>
      </w:tr>
    </w:tbl>
    <w:p w:rsidR="00A9286E" w:rsidRDefault="00A9286E" w:rsidP="00A9286E">
      <w:pPr>
        <w:pStyle w:val="Tablefin"/>
      </w:pPr>
    </w:p>
    <w:p w:rsidR="004A1C9F" w:rsidRDefault="004A1C9F" w:rsidP="00A9286E">
      <w:r w:rsidRPr="00A9286E">
        <w:t>Based on results of static studies it is shown that threshold interference level will be exceeded each time passive sensor</w:t>
      </w:r>
      <w:r w:rsidR="006428EA">
        <w:t>’s</w:t>
      </w:r>
      <w:r w:rsidRPr="00A9286E">
        <w:t xml:space="preserve"> </w:t>
      </w:r>
      <w:r w:rsidR="006428EA">
        <w:t xml:space="preserve">main beam </w:t>
      </w:r>
      <w:r w:rsidRPr="00A9286E">
        <w:t>poi</w:t>
      </w:r>
      <w:r w:rsidR="006428EA">
        <w:t>nted towards main beam of transmitting FSS ES</w:t>
      </w:r>
      <w:r w:rsidRPr="00A9286E">
        <w:t xml:space="preserve">. There is also large deficit of </w:t>
      </w:r>
      <w:r w:rsidR="006428EA">
        <w:t>7.4</w:t>
      </w:r>
      <w:r w:rsidRPr="00A9286E">
        <w:t xml:space="preserve"> dB when Meteor-M satellite falls within main-lobe of transmitting FSS ES, therefore additional limitation on unwanted emissions will be required.</w:t>
      </w:r>
    </w:p>
    <w:p w:rsidR="00F10F11" w:rsidRPr="00A9286E" w:rsidRDefault="006B6984" w:rsidP="00F10F11">
      <w:pPr>
        <w:pStyle w:val="Heading2"/>
      </w:pPr>
      <w:r>
        <w:t>1</w:t>
      </w:r>
      <w:r w:rsidR="00F10F11">
        <w:t>.2</w:t>
      </w:r>
      <w:r w:rsidR="00F10F11">
        <w:tab/>
        <w:t>Single-entry dynam</w:t>
      </w:r>
      <w:r w:rsidR="00F10F11" w:rsidRPr="00A9286E">
        <w:t>ic studies</w:t>
      </w:r>
    </w:p>
    <w:p w:rsidR="00BA2AAE" w:rsidRDefault="00F10F11" w:rsidP="00A9286E">
      <w:r>
        <w:t>Single-entry dynam</w:t>
      </w:r>
      <w:r w:rsidRPr="00A9286E">
        <w:t>ic studies</w:t>
      </w:r>
      <w:r>
        <w:t xml:space="preserve"> were performed, based on </w:t>
      </w:r>
      <w:r w:rsidR="00BA2AAE">
        <w:t xml:space="preserve">the </w:t>
      </w:r>
      <w:r w:rsidR="00A75CF5">
        <w:t>following characteristics:</w:t>
      </w:r>
    </w:p>
    <w:p w:rsidR="00BA2AAE" w:rsidRPr="00BA2AAE" w:rsidRDefault="00A75CF5" w:rsidP="00BA2AAE">
      <w:pPr>
        <w:pStyle w:val="ListParagraph"/>
        <w:numPr>
          <w:ilvl w:val="0"/>
          <w:numId w:val="2"/>
        </w:numPr>
        <w:rPr>
          <w:bCs/>
        </w:rPr>
      </w:pPr>
      <w:r w:rsidRPr="00A9286E">
        <w:t xml:space="preserve">scan period </w:t>
      </w:r>
      <w:r>
        <w:t>is 2</w:t>
      </w:r>
      <w:r w:rsidR="00BA2AAE">
        <w:t>.5 seconds,</w:t>
      </w:r>
    </w:p>
    <w:p w:rsidR="00BA2AAE" w:rsidRPr="00BA2AAE" w:rsidRDefault="00BA2AAE" w:rsidP="00BA2AAE">
      <w:pPr>
        <w:pStyle w:val="ListParagraph"/>
        <w:numPr>
          <w:ilvl w:val="0"/>
          <w:numId w:val="2"/>
        </w:numPr>
        <w:rPr>
          <w:bCs/>
        </w:rPr>
      </w:pPr>
      <w:r>
        <w:t>simulation time step 10 sec (ES is not visible), 0.001 sec (within visibility of ES),</w:t>
      </w:r>
    </w:p>
    <w:p w:rsidR="00BA2AAE" w:rsidRPr="00BA2AAE" w:rsidRDefault="001B2C5A" w:rsidP="00BA2AAE">
      <w:pPr>
        <w:pStyle w:val="ListParagraph"/>
        <w:numPr>
          <w:ilvl w:val="0"/>
          <w:numId w:val="2"/>
        </w:numPr>
        <w:rPr>
          <w:bCs/>
        </w:rPr>
      </w:pPr>
      <w:r>
        <w:t>total simulation time around 14 days</w:t>
      </w:r>
      <w:r w:rsidR="00BA2AAE">
        <w:t>,</w:t>
      </w:r>
    </w:p>
    <w:p w:rsidR="00BA2AAE" w:rsidRPr="00BA2AAE" w:rsidRDefault="00A75CF5" w:rsidP="00BA2AAE">
      <w:pPr>
        <w:pStyle w:val="ListParagraph"/>
        <w:numPr>
          <w:ilvl w:val="0"/>
          <w:numId w:val="2"/>
        </w:numPr>
        <w:rPr>
          <w:bCs/>
        </w:rPr>
      </w:pPr>
      <w:r>
        <w:t xml:space="preserve">initial sub-satellite point is </w:t>
      </w:r>
      <w:r w:rsidRPr="00682140">
        <w:t xml:space="preserve">0N, </w:t>
      </w:r>
      <w:r>
        <w:t>0</w:t>
      </w:r>
      <w:r w:rsidRPr="00682140">
        <w:t>E</w:t>
      </w:r>
      <w:r w:rsidR="00BA2AAE">
        <w:t>,</w:t>
      </w:r>
    </w:p>
    <w:p w:rsidR="00BA2AAE" w:rsidRPr="00BA2AAE" w:rsidRDefault="00A75CF5" w:rsidP="00BA2AAE">
      <w:pPr>
        <w:pStyle w:val="ListParagraph"/>
        <w:numPr>
          <w:ilvl w:val="0"/>
          <w:numId w:val="2"/>
        </w:numPr>
        <w:rPr>
          <w:bCs/>
        </w:rPr>
      </w:pPr>
      <w:r>
        <w:t>initial sensor orientation α=270°, β= 53.3°</w:t>
      </w:r>
      <w:r w:rsidR="00BA2AAE">
        <w:t>,</w:t>
      </w:r>
    </w:p>
    <w:p w:rsidR="00BA2AAE" w:rsidRPr="00BA2AAE" w:rsidRDefault="00BA2AAE" w:rsidP="00BA2AAE">
      <w:pPr>
        <w:pStyle w:val="ListParagraph"/>
        <w:numPr>
          <w:ilvl w:val="0"/>
          <w:numId w:val="2"/>
        </w:numPr>
        <w:rPr>
          <w:bCs/>
        </w:rPr>
      </w:pPr>
      <w:r w:rsidRPr="00A9286E">
        <w:t>scanning sector 105 degrees wide</w:t>
      </w:r>
      <w:r>
        <w:t>,</w:t>
      </w:r>
    </w:p>
    <w:p w:rsidR="000D6F8B" w:rsidRPr="000D6F8B" w:rsidRDefault="00BA2AAE" w:rsidP="00BA2AAE">
      <w:pPr>
        <w:pStyle w:val="ListParagraph"/>
        <w:numPr>
          <w:ilvl w:val="0"/>
          <w:numId w:val="2"/>
        </w:numPr>
        <w:rPr>
          <w:bCs/>
        </w:rPr>
      </w:pPr>
      <w:r>
        <w:t>collected Statistics – duration of time, when sensor is pointed towards FSS ES (ES is located within IFOV of sensor) with corresponding interference level</w:t>
      </w:r>
    </w:p>
    <w:p w:rsidR="00BA2AAE" w:rsidRPr="00BA2AAE" w:rsidRDefault="00A75CF5" w:rsidP="00BA2AAE">
      <w:pPr>
        <w:pStyle w:val="ListParagraph"/>
        <w:numPr>
          <w:ilvl w:val="0"/>
          <w:numId w:val="2"/>
        </w:numPr>
        <w:rPr>
          <w:bCs/>
        </w:rPr>
      </w:pPr>
      <w:r>
        <w:t xml:space="preserve">FSS system earth station coordinates are </w:t>
      </w:r>
      <w:r w:rsidRPr="00682140">
        <w:t>0N, 11.7588E</w:t>
      </w:r>
      <w:r w:rsidR="00BA2AAE">
        <w:t>,</w:t>
      </w:r>
    </w:p>
    <w:p w:rsidR="00BA2AAE" w:rsidRPr="00BA2AAE" w:rsidRDefault="00A75CF5" w:rsidP="00BA2AAE">
      <w:pPr>
        <w:pStyle w:val="ListParagraph"/>
        <w:numPr>
          <w:ilvl w:val="0"/>
          <w:numId w:val="2"/>
        </w:numPr>
        <w:rPr>
          <w:bCs/>
        </w:rPr>
      </w:pPr>
      <w:r>
        <w:t>GSO slot</w:t>
      </w:r>
      <w:r w:rsidR="00CA557E">
        <w:t xml:space="preserve"> is </w:t>
      </w:r>
      <w:r w:rsidR="00CA557E" w:rsidRPr="00682140">
        <w:t>45.4163W</w:t>
      </w:r>
      <w:r w:rsidR="00BA2AAE">
        <w:t>.</w:t>
      </w:r>
    </w:p>
    <w:p w:rsidR="006523BB" w:rsidRPr="00BA2AAE" w:rsidRDefault="00CA557E" w:rsidP="00BA2AAE">
      <w:pPr>
        <w:rPr>
          <w:bCs/>
        </w:rPr>
      </w:pPr>
      <w:r w:rsidRPr="00BA2AAE">
        <w:rPr>
          <w:rFonts w:eastAsiaTheme="minorHAnsi"/>
        </w:rPr>
        <w:t xml:space="preserve">Results of </w:t>
      </w:r>
      <w:r>
        <w:t>dynam</w:t>
      </w:r>
      <w:r w:rsidRPr="00A9286E">
        <w:t>ic</w:t>
      </w:r>
      <w:r w:rsidRPr="00BA2AAE">
        <w:rPr>
          <w:rFonts w:eastAsiaTheme="minorHAnsi"/>
        </w:rPr>
        <w:t xml:space="preserve"> study are provided in Picture 1, showing </w:t>
      </w:r>
      <w:r w:rsidRPr="00BA2AAE">
        <w:rPr>
          <w:bCs/>
        </w:rPr>
        <w:t>that threshold interf</w:t>
      </w:r>
      <w:r w:rsidR="000644E2" w:rsidRPr="00BA2AAE">
        <w:rPr>
          <w:bCs/>
        </w:rPr>
        <w:t>erence level</w:t>
      </w:r>
      <w:r w:rsidR="00EE7892" w:rsidRPr="00BA2AAE">
        <w:rPr>
          <w:bCs/>
        </w:rPr>
        <w:t xml:space="preserve"> (-172 dBW (</w:t>
      </w:r>
      <w:r w:rsidR="00EE7892" w:rsidRPr="00A9286E">
        <w:t>apportionment of 3 dB is applied</w:t>
      </w:r>
      <w:r w:rsidR="00EE7892" w:rsidRPr="00BA2AAE">
        <w:rPr>
          <w:bCs/>
        </w:rPr>
        <w:t>))</w:t>
      </w:r>
      <w:r w:rsidR="000644E2" w:rsidRPr="00BA2AAE">
        <w:rPr>
          <w:bCs/>
        </w:rPr>
        <w:t xml:space="preserve"> is exceeded by </w:t>
      </w:r>
      <w:r w:rsidR="001B2C5A" w:rsidRPr="00BA2AAE">
        <w:rPr>
          <w:bCs/>
        </w:rPr>
        <w:t>47</w:t>
      </w:r>
      <w:r w:rsidRPr="00BA2AAE">
        <w:rPr>
          <w:bCs/>
        </w:rPr>
        <w:t xml:space="preserve"> dB</w:t>
      </w:r>
      <w:r w:rsidR="001B2C5A" w:rsidRPr="00BA2AAE">
        <w:rPr>
          <w:bCs/>
        </w:rPr>
        <w:t xml:space="preserve"> for more than 0.1% of time and by 71 dB for more than 0.06% of time</w:t>
      </w:r>
      <w:r w:rsidRPr="00BA2AAE">
        <w:rPr>
          <w:bCs/>
        </w:rPr>
        <w:t>.</w:t>
      </w:r>
    </w:p>
    <w:p w:rsidR="001B2C5A" w:rsidRDefault="006A4C41" w:rsidP="00A9286E">
      <w:pPr>
        <w:rPr>
          <w:bCs/>
        </w:rPr>
      </w:pPr>
      <w:r w:rsidRPr="006A4C41">
        <w:t>Specific limit could be clarifi</w:t>
      </w:r>
      <w:r w:rsidR="001B2C5A" w:rsidRPr="006A4C41">
        <w:t>ed based on dynamic studies</w:t>
      </w:r>
      <w:r w:rsidRPr="006A4C41">
        <w:t xml:space="preserve"> for other passive sensors</w:t>
      </w:r>
      <w:r w:rsidR="001B2C5A" w:rsidRPr="006A4C41">
        <w:t>.</w:t>
      </w:r>
    </w:p>
    <w:p w:rsidR="004A793E" w:rsidRDefault="004A793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Cs/>
        </w:rPr>
        <w:sectPr w:rsidR="004A793E" w:rsidSect="00D02712">
          <w:headerReference w:type="first" r:id="rId9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  <w:r>
        <w:rPr>
          <w:bCs/>
        </w:rPr>
        <w:br w:type="page"/>
      </w:r>
    </w:p>
    <w:p w:rsidR="004A793E" w:rsidRDefault="004A793E" w:rsidP="004A793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  <w:rPr>
          <w:bCs/>
          <w:sz w:val="20"/>
        </w:rPr>
      </w:pPr>
      <w:r w:rsidRPr="004A793E">
        <w:rPr>
          <w:bCs/>
          <w:sz w:val="20"/>
        </w:rPr>
        <w:lastRenderedPageBreak/>
        <w:t>PICTURE 1</w:t>
      </w:r>
    </w:p>
    <w:p w:rsidR="004A793E" w:rsidRPr="004A793E" w:rsidRDefault="006A4C41" w:rsidP="004A793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 w:val="20"/>
        </w:rPr>
      </w:pPr>
      <w:r>
        <w:rPr>
          <w:b/>
          <w:bCs/>
          <w:sz w:val="20"/>
        </w:rPr>
        <w:t>Results of d</w:t>
      </w:r>
      <w:r w:rsidR="004A793E">
        <w:rPr>
          <w:b/>
          <w:bCs/>
          <w:sz w:val="20"/>
        </w:rPr>
        <w:t>ynam</w:t>
      </w:r>
      <w:r>
        <w:rPr>
          <w:b/>
          <w:bCs/>
          <w:sz w:val="20"/>
        </w:rPr>
        <w:t>ic a</w:t>
      </w:r>
      <w:r w:rsidR="004A793E" w:rsidRPr="004A793E">
        <w:rPr>
          <w:b/>
          <w:bCs/>
          <w:sz w:val="20"/>
        </w:rPr>
        <w:t>nalysis</w:t>
      </w:r>
    </w:p>
    <w:p w:rsidR="004A793E" w:rsidRDefault="004A793E" w:rsidP="004A793E">
      <w:pPr>
        <w:ind w:left="-1418"/>
        <w:rPr>
          <w:bCs/>
        </w:rPr>
      </w:pPr>
      <w:r>
        <w:rPr>
          <w:bCs/>
          <w:noProof/>
          <w:lang w:val="en-US"/>
        </w:rPr>
        <w:drawing>
          <wp:inline distT="0" distB="0" distL="0" distR="0">
            <wp:extent cx="10699397" cy="4829175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l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908" cy="483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57E" w:rsidRDefault="00CA557E" w:rsidP="00A9286E"/>
    <w:p w:rsidR="004A793E" w:rsidRDefault="004A793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1C9F" w:rsidRPr="00A9286E" w:rsidRDefault="006B6984" w:rsidP="004A1C9F">
      <w:pPr>
        <w:pStyle w:val="Heading1"/>
      </w:pPr>
      <w:r>
        <w:lastRenderedPageBreak/>
        <w:t>2</w:t>
      </w:r>
      <w:r w:rsidR="004A1C9F" w:rsidRPr="00A9286E">
        <w:tab/>
        <w:t>Conclusions</w:t>
      </w:r>
    </w:p>
    <w:p w:rsidR="004A1C9F" w:rsidRDefault="004A1C9F" w:rsidP="004A1C9F">
      <w:pPr>
        <w:rPr>
          <w:spacing w:val="-2"/>
        </w:rPr>
      </w:pPr>
      <w:r w:rsidRPr="00A9286E">
        <w:rPr>
          <w:spacing w:val="-2"/>
        </w:rPr>
        <w:t xml:space="preserve">Based on results of static studies of interference into Meteor-3M satellite system conical scan radiometer it was shown that for the worst-case single-entry main-to-main beam scenario threshold interference level will be exceeded by </w:t>
      </w:r>
      <w:r w:rsidR="006A4C41">
        <w:rPr>
          <w:spacing w:val="-2"/>
        </w:rPr>
        <w:t>72.1 dB</w:t>
      </w:r>
      <w:r w:rsidRPr="00A9286E">
        <w:rPr>
          <w:spacing w:val="-2"/>
        </w:rPr>
        <w:t xml:space="preserve">. Additional limitation on unwanted emissions will be required. </w:t>
      </w:r>
    </w:p>
    <w:p w:rsidR="00EE7892" w:rsidRDefault="006A4C41" w:rsidP="004A1C9F">
      <w:pPr>
        <w:rPr>
          <w:spacing w:val="-2"/>
        </w:rPr>
      </w:pPr>
      <w:r>
        <w:rPr>
          <w:spacing w:val="-2"/>
        </w:rPr>
        <w:t>Results of dynam</w:t>
      </w:r>
      <w:r w:rsidR="00EE7892" w:rsidRPr="00A9286E">
        <w:rPr>
          <w:spacing w:val="-2"/>
        </w:rPr>
        <w:t>ic studies</w:t>
      </w:r>
      <w:r>
        <w:rPr>
          <w:spacing w:val="-2"/>
        </w:rPr>
        <w:t xml:space="preserve"> shows that </w:t>
      </w:r>
      <w:r w:rsidRPr="00A9286E">
        <w:rPr>
          <w:bCs/>
        </w:rPr>
        <w:t>threshold interf</w:t>
      </w:r>
      <w:r>
        <w:rPr>
          <w:bCs/>
        </w:rPr>
        <w:t>erence level (-172 dBW (</w:t>
      </w:r>
      <w:r w:rsidRPr="00A9286E">
        <w:t>apportionment of 3 dB is applied</w:t>
      </w:r>
      <w:r>
        <w:rPr>
          <w:bCs/>
        </w:rPr>
        <w:t>)) is exceeded up to 71 dB</w:t>
      </w:r>
      <w:r w:rsidRPr="00A9286E">
        <w:rPr>
          <w:bCs/>
        </w:rPr>
        <w:t>.</w:t>
      </w:r>
    </w:p>
    <w:p w:rsidR="00A9286E" w:rsidRPr="00A9286E" w:rsidRDefault="00A9286E" w:rsidP="00A9286E">
      <w:pPr>
        <w:jc w:val="center"/>
      </w:pPr>
      <w:r>
        <w:t>______________</w:t>
      </w:r>
    </w:p>
    <w:sectPr w:rsidR="00A9286E" w:rsidRPr="00A9286E" w:rsidSect="004A793E">
      <w:pgSz w:w="16834" w:h="11907" w:orient="landscape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89" w:rsidRDefault="00043689">
      <w:r>
        <w:separator/>
      </w:r>
    </w:p>
  </w:endnote>
  <w:endnote w:type="continuationSeparator" w:id="0">
    <w:p w:rsidR="00043689" w:rsidRDefault="0004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89" w:rsidRDefault="00043689">
      <w:r>
        <w:t>____________________</w:t>
      </w:r>
    </w:p>
  </w:footnote>
  <w:footnote w:type="continuationSeparator" w:id="0">
    <w:p w:rsidR="00043689" w:rsidRDefault="0004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70" w:rsidRDefault="00610070" w:rsidP="00610070">
    <w:pPr>
      <w:pStyle w:val="ECCpageHeader"/>
    </w:pPr>
    <w:r>
      <w:tab/>
    </w:r>
    <w:r>
      <w:tab/>
    </w:r>
  </w:p>
  <w:p w:rsidR="00610070" w:rsidRDefault="006100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8CF"/>
    <w:multiLevelType w:val="multilevel"/>
    <w:tmpl w:val="1DB88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3" w:hanging="113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3" w:hanging="113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F957BC6"/>
    <w:multiLevelType w:val="hybridMultilevel"/>
    <w:tmpl w:val="6B9A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89"/>
    <w:rsid w:val="000069D4"/>
    <w:rsid w:val="000174AD"/>
    <w:rsid w:val="00043689"/>
    <w:rsid w:val="00047A1D"/>
    <w:rsid w:val="000604B9"/>
    <w:rsid w:val="000615CC"/>
    <w:rsid w:val="000644E2"/>
    <w:rsid w:val="000A7D55"/>
    <w:rsid w:val="000C12C8"/>
    <w:rsid w:val="000C2E8E"/>
    <w:rsid w:val="000D6F8B"/>
    <w:rsid w:val="000E0E7C"/>
    <w:rsid w:val="000F1B4B"/>
    <w:rsid w:val="0012744F"/>
    <w:rsid w:val="00131178"/>
    <w:rsid w:val="00156F66"/>
    <w:rsid w:val="00163271"/>
    <w:rsid w:val="00182528"/>
    <w:rsid w:val="0018500B"/>
    <w:rsid w:val="00196A19"/>
    <w:rsid w:val="001B2C5A"/>
    <w:rsid w:val="00202DC1"/>
    <w:rsid w:val="002116EE"/>
    <w:rsid w:val="002309D8"/>
    <w:rsid w:val="0027314D"/>
    <w:rsid w:val="002A7FE2"/>
    <w:rsid w:val="002E1B4F"/>
    <w:rsid w:val="002F2E67"/>
    <w:rsid w:val="002F7CB3"/>
    <w:rsid w:val="00315546"/>
    <w:rsid w:val="00330567"/>
    <w:rsid w:val="00334BB8"/>
    <w:rsid w:val="003674D9"/>
    <w:rsid w:val="00386A9D"/>
    <w:rsid w:val="00391081"/>
    <w:rsid w:val="003B2789"/>
    <w:rsid w:val="003C13CE"/>
    <w:rsid w:val="003C6F62"/>
    <w:rsid w:val="003E2518"/>
    <w:rsid w:val="003E7CEF"/>
    <w:rsid w:val="004A1C9F"/>
    <w:rsid w:val="004A793E"/>
    <w:rsid w:val="004B1EF7"/>
    <w:rsid w:val="004B3FAD"/>
    <w:rsid w:val="004C5749"/>
    <w:rsid w:val="00501DCA"/>
    <w:rsid w:val="00513A47"/>
    <w:rsid w:val="0053412C"/>
    <w:rsid w:val="005408DF"/>
    <w:rsid w:val="00573344"/>
    <w:rsid w:val="00583F9B"/>
    <w:rsid w:val="005E5C10"/>
    <w:rsid w:val="005F2C78"/>
    <w:rsid w:val="00610070"/>
    <w:rsid w:val="006144E4"/>
    <w:rsid w:val="006428EA"/>
    <w:rsid w:val="00650299"/>
    <w:rsid w:val="006523BB"/>
    <w:rsid w:val="00655FC5"/>
    <w:rsid w:val="006A4C41"/>
    <w:rsid w:val="006B6984"/>
    <w:rsid w:val="00712BAD"/>
    <w:rsid w:val="00806854"/>
    <w:rsid w:val="00814E0A"/>
    <w:rsid w:val="00822581"/>
    <w:rsid w:val="008309DD"/>
    <w:rsid w:val="0083227A"/>
    <w:rsid w:val="00866900"/>
    <w:rsid w:val="00876A8A"/>
    <w:rsid w:val="00881BA1"/>
    <w:rsid w:val="0089122E"/>
    <w:rsid w:val="008A6269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33EC6"/>
    <w:rsid w:val="00A5173C"/>
    <w:rsid w:val="00A61AEF"/>
    <w:rsid w:val="00A75CF5"/>
    <w:rsid w:val="00A9286E"/>
    <w:rsid w:val="00AD2345"/>
    <w:rsid w:val="00AF173A"/>
    <w:rsid w:val="00B066A4"/>
    <w:rsid w:val="00B07A13"/>
    <w:rsid w:val="00B4279B"/>
    <w:rsid w:val="00B45FC9"/>
    <w:rsid w:val="00B76F35"/>
    <w:rsid w:val="00B81138"/>
    <w:rsid w:val="00BA2AAE"/>
    <w:rsid w:val="00BC7CCF"/>
    <w:rsid w:val="00BE470B"/>
    <w:rsid w:val="00C227DB"/>
    <w:rsid w:val="00C23AED"/>
    <w:rsid w:val="00C57A91"/>
    <w:rsid w:val="00CA1E22"/>
    <w:rsid w:val="00CA557E"/>
    <w:rsid w:val="00CC01C2"/>
    <w:rsid w:val="00CF21F2"/>
    <w:rsid w:val="00D02712"/>
    <w:rsid w:val="00D046A7"/>
    <w:rsid w:val="00D214D0"/>
    <w:rsid w:val="00D6546B"/>
    <w:rsid w:val="00DB178B"/>
    <w:rsid w:val="00DC17D3"/>
    <w:rsid w:val="00DC1E4F"/>
    <w:rsid w:val="00DD4BED"/>
    <w:rsid w:val="00DE39F0"/>
    <w:rsid w:val="00DF0AF3"/>
    <w:rsid w:val="00DF7E9F"/>
    <w:rsid w:val="00E05AFD"/>
    <w:rsid w:val="00E27D7E"/>
    <w:rsid w:val="00E42E13"/>
    <w:rsid w:val="00E56D5C"/>
    <w:rsid w:val="00E6257C"/>
    <w:rsid w:val="00E63C59"/>
    <w:rsid w:val="00EE7892"/>
    <w:rsid w:val="00F10F11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0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basedOn w:val="DefaultParagraphFont"/>
    <w:link w:val="Heading1"/>
    <w:rsid w:val="004A1C9F"/>
    <w:rPr>
      <w:rFonts w:ascii="Times New Roman" w:hAnsi="Times New Roman"/>
      <w:b/>
      <w:sz w:val="28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4A1C9F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4A1C9F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4A1C9F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4A1C9F"/>
    <w:rPr>
      <w:rFonts w:ascii="Times New Roman Bold" w:hAnsi="Times New Roman Bold" w:cs="Times New Roman Bold"/>
      <w:b/>
      <w:lang w:val="en-GB" w:eastAsia="en-US"/>
    </w:rPr>
  </w:style>
  <w:style w:type="character" w:customStyle="1" w:styleId="TablelegendChar">
    <w:name w:val="Table_legend Char"/>
    <w:link w:val="Tablelegend"/>
    <w:locked/>
    <w:rsid w:val="004A1C9F"/>
    <w:rPr>
      <w:rFonts w:ascii="Times New Roman" w:hAnsi="Times New Roman"/>
      <w:lang w:val="en-GB" w:eastAsia="en-US"/>
    </w:rPr>
  </w:style>
  <w:style w:type="character" w:customStyle="1" w:styleId="TableNo0">
    <w:name w:val="Table_No Знак"/>
    <w:basedOn w:val="DefaultParagraphFont"/>
    <w:link w:val="TableNo"/>
    <w:locked/>
    <w:rsid w:val="004A1C9F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ink w:val="Tabletitle"/>
    <w:locked/>
    <w:rsid w:val="004A1C9F"/>
    <w:rPr>
      <w:rFonts w:ascii="Times New Roman Bold" w:hAnsi="Times New Roman Bold"/>
      <w:b/>
      <w:lang w:val="en-GB" w:eastAsia="en-US"/>
    </w:rPr>
  </w:style>
  <w:style w:type="character" w:styleId="Hyperlink">
    <w:name w:val="Hyperlink"/>
    <w:basedOn w:val="DefaultParagraphFont"/>
    <w:unhideWhenUsed/>
    <w:rsid w:val="0053412C"/>
    <w:rPr>
      <w:color w:val="0000FF" w:themeColor="hyperlink"/>
      <w:u w:val="single"/>
    </w:rPr>
  </w:style>
  <w:style w:type="paragraph" w:customStyle="1" w:styleId="Tablefin">
    <w:name w:val="Table_fin"/>
    <w:basedOn w:val="Normal"/>
    <w:rsid w:val="00A9286E"/>
    <w:pPr>
      <w:spacing w:before="0"/>
    </w:pPr>
    <w:rPr>
      <w:sz w:val="20"/>
    </w:rPr>
  </w:style>
  <w:style w:type="paragraph" w:customStyle="1" w:styleId="ECCLetterHead">
    <w:name w:val="ECC Letter Head"/>
    <w:basedOn w:val="Normal"/>
    <w:link w:val="ECCLetterHeadZchn"/>
    <w:qFormat/>
    <w:rsid w:val="00610070"/>
    <w:pPr>
      <w:tabs>
        <w:tab w:val="clear" w:pos="1134"/>
        <w:tab w:val="clear" w:pos="1871"/>
        <w:tab w:val="clear" w:pos="2268"/>
        <w:tab w:val="right" w:pos="4750"/>
      </w:tabs>
      <w:overflowPunct/>
      <w:autoSpaceDE/>
      <w:autoSpaceDN/>
      <w:adjustRightInd/>
      <w:spacing w:before="60" w:after="60"/>
      <w:jc w:val="both"/>
      <w:textAlignment w:val="auto"/>
    </w:pPr>
    <w:rPr>
      <w:rFonts w:ascii="Arial" w:eastAsia="Calibri" w:hAnsi="Arial"/>
      <w:b/>
      <w:sz w:val="22"/>
    </w:rPr>
  </w:style>
  <w:style w:type="paragraph" w:customStyle="1" w:styleId="ECCTabletext">
    <w:name w:val="ECC Table text"/>
    <w:basedOn w:val="Normal"/>
    <w:qFormat/>
    <w:rsid w:val="00610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jc w:val="both"/>
      <w:textAlignment w:val="auto"/>
    </w:pPr>
    <w:rPr>
      <w:rFonts w:ascii="Arial" w:eastAsia="Calibri" w:hAnsi="Arial"/>
      <w:sz w:val="20"/>
      <w:szCs w:val="22"/>
    </w:rPr>
  </w:style>
  <w:style w:type="character" w:customStyle="1" w:styleId="ECCParagraph">
    <w:name w:val="ECC Paragraph"/>
    <w:basedOn w:val="DefaultParagraphFont"/>
    <w:uiPriority w:val="1"/>
    <w:qFormat/>
    <w:rsid w:val="00610070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LetterHeadZchn">
    <w:name w:val="ECC Letter Head Zchn"/>
    <w:basedOn w:val="DefaultParagraphFont"/>
    <w:link w:val="ECCLetterHead"/>
    <w:rsid w:val="00610070"/>
    <w:rPr>
      <w:rFonts w:ascii="Arial" w:eastAsia="Calibri" w:hAnsi="Arial"/>
      <w:b/>
      <w:sz w:val="22"/>
      <w:lang w:val="en-GB" w:eastAsia="en-US"/>
    </w:rPr>
  </w:style>
  <w:style w:type="paragraph" w:customStyle="1" w:styleId="ECCpageHeader">
    <w:name w:val="ECC page Header"/>
    <w:rsid w:val="00610070"/>
    <w:pPr>
      <w:tabs>
        <w:tab w:val="left" w:pos="0"/>
        <w:tab w:val="center" w:pos="4820"/>
        <w:tab w:val="right" w:pos="9639"/>
      </w:tabs>
    </w:pPr>
    <w:rPr>
      <w:rFonts w:ascii="Arial" w:hAnsi="Arial"/>
      <w:b/>
      <w:sz w:val="16"/>
      <w:lang w:val="da-DK" w:eastAsia="en-US"/>
    </w:rPr>
  </w:style>
  <w:style w:type="paragraph" w:styleId="ListParagraph">
    <w:name w:val="List Paragraph"/>
    <w:basedOn w:val="Normal"/>
    <w:uiPriority w:val="34"/>
    <w:qFormat/>
    <w:rsid w:val="00BA2AA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12B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2BAD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0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basedOn w:val="DefaultParagraphFont"/>
    <w:link w:val="Heading1"/>
    <w:rsid w:val="004A1C9F"/>
    <w:rPr>
      <w:rFonts w:ascii="Times New Roman" w:hAnsi="Times New Roman"/>
      <w:b/>
      <w:sz w:val="28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4A1C9F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4A1C9F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4A1C9F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4A1C9F"/>
    <w:rPr>
      <w:rFonts w:ascii="Times New Roman Bold" w:hAnsi="Times New Roman Bold" w:cs="Times New Roman Bold"/>
      <w:b/>
      <w:lang w:val="en-GB" w:eastAsia="en-US"/>
    </w:rPr>
  </w:style>
  <w:style w:type="character" w:customStyle="1" w:styleId="TablelegendChar">
    <w:name w:val="Table_legend Char"/>
    <w:link w:val="Tablelegend"/>
    <w:locked/>
    <w:rsid w:val="004A1C9F"/>
    <w:rPr>
      <w:rFonts w:ascii="Times New Roman" w:hAnsi="Times New Roman"/>
      <w:lang w:val="en-GB" w:eastAsia="en-US"/>
    </w:rPr>
  </w:style>
  <w:style w:type="character" w:customStyle="1" w:styleId="TableNo0">
    <w:name w:val="Table_No Знак"/>
    <w:basedOn w:val="DefaultParagraphFont"/>
    <w:link w:val="TableNo"/>
    <w:locked/>
    <w:rsid w:val="004A1C9F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ink w:val="Tabletitle"/>
    <w:locked/>
    <w:rsid w:val="004A1C9F"/>
    <w:rPr>
      <w:rFonts w:ascii="Times New Roman Bold" w:hAnsi="Times New Roman Bold"/>
      <w:b/>
      <w:lang w:val="en-GB" w:eastAsia="en-US"/>
    </w:rPr>
  </w:style>
  <w:style w:type="character" w:styleId="Hyperlink">
    <w:name w:val="Hyperlink"/>
    <w:basedOn w:val="DefaultParagraphFont"/>
    <w:unhideWhenUsed/>
    <w:rsid w:val="0053412C"/>
    <w:rPr>
      <w:color w:val="0000FF" w:themeColor="hyperlink"/>
      <w:u w:val="single"/>
    </w:rPr>
  </w:style>
  <w:style w:type="paragraph" w:customStyle="1" w:styleId="Tablefin">
    <w:name w:val="Table_fin"/>
    <w:basedOn w:val="Normal"/>
    <w:rsid w:val="00A9286E"/>
    <w:pPr>
      <w:spacing w:before="0"/>
    </w:pPr>
    <w:rPr>
      <w:sz w:val="20"/>
    </w:rPr>
  </w:style>
  <w:style w:type="paragraph" w:customStyle="1" w:styleId="ECCLetterHead">
    <w:name w:val="ECC Letter Head"/>
    <w:basedOn w:val="Normal"/>
    <w:link w:val="ECCLetterHeadZchn"/>
    <w:qFormat/>
    <w:rsid w:val="00610070"/>
    <w:pPr>
      <w:tabs>
        <w:tab w:val="clear" w:pos="1134"/>
        <w:tab w:val="clear" w:pos="1871"/>
        <w:tab w:val="clear" w:pos="2268"/>
        <w:tab w:val="right" w:pos="4750"/>
      </w:tabs>
      <w:overflowPunct/>
      <w:autoSpaceDE/>
      <w:autoSpaceDN/>
      <w:adjustRightInd/>
      <w:spacing w:before="60" w:after="60"/>
      <w:jc w:val="both"/>
      <w:textAlignment w:val="auto"/>
    </w:pPr>
    <w:rPr>
      <w:rFonts w:ascii="Arial" w:eastAsia="Calibri" w:hAnsi="Arial"/>
      <w:b/>
      <w:sz w:val="22"/>
    </w:rPr>
  </w:style>
  <w:style w:type="paragraph" w:customStyle="1" w:styleId="ECCTabletext">
    <w:name w:val="ECC Table text"/>
    <w:basedOn w:val="Normal"/>
    <w:qFormat/>
    <w:rsid w:val="00610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jc w:val="both"/>
      <w:textAlignment w:val="auto"/>
    </w:pPr>
    <w:rPr>
      <w:rFonts w:ascii="Arial" w:eastAsia="Calibri" w:hAnsi="Arial"/>
      <w:sz w:val="20"/>
      <w:szCs w:val="22"/>
    </w:rPr>
  </w:style>
  <w:style w:type="character" w:customStyle="1" w:styleId="ECCParagraph">
    <w:name w:val="ECC Paragraph"/>
    <w:basedOn w:val="DefaultParagraphFont"/>
    <w:uiPriority w:val="1"/>
    <w:qFormat/>
    <w:rsid w:val="00610070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LetterHeadZchn">
    <w:name w:val="ECC Letter Head Zchn"/>
    <w:basedOn w:val="DefaultParagraphFont"/>
    <w:link w:val="ECCLetterHead"/>
    <w:rsid w:val="00610070"/>
    <w:rPr>
      <w:rFonts w:ascii="Arial" w:eastAsia="Calibri" w:hAnsi="Arial"/>
      <w:b/>
      <w:sz w:val="22"/>
      <w:lang w:val="en-GB" w:eastAsia="en-US"/>
    </w:rPr>
  </w:style>
  <w:style w:type="paragraph" w:customStyle="1" w:styleId="ECCpageHeader">
    <w:name w:val="ECC page Header"/>
    <w:rsid w:val="00610070"/>
    <w:pPr>
      <w:tabs>
        <w:tab w:val="left" w:pos="0"/>
        <w:tab w:val="center" w:pos="4820"/>
        <w:tab w:val="right" w:pos="9639"/>
      </w:tabs>
    </w:pPr>
    <w:rPr>
      <w:rFonts w:ascii="Arial" w:hAnsi="Arial"/>
      <w:b/>
      <w:sz w:val="16"/>
      <w:lang w:val="da-DK" w:eastAsia="en-US"/>
    </w:rPr>
  </w:style>
  <w:style w:type="paragraph" w:styleId="ListParagraph">
    <w:name w:val="List Paragraph"/>
    <w:basedOn w:val="Normal"/>
    <w:uiPriority w:val="34"/>
    <w:qFormat/>
    <w:rsid w:val="00BA2AA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12B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2BA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traz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6</Pages>
  <Words>1115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Detraz, Laurence</dc:creator>
  <cp:lastModifiedBy>ECO</cp:lastModifiedBy>
  <cp:revision>2</cp:revision>
  <cp:lastPrinted>2008-02-21T14:04:00Z</cp:lastPrinted>
  <dcterms:created xsi:type="dcterms:W3CDTF">2018-04-02T19:29:00Z</dcterms:created>
  <dcterms:modified xsi:type="dcterms:W3CDTF">2018-04-02T19:29:00Z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