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2928"/>
        <w:gridCol w:w="5034"/>
      </w:tblGrid>
      <w:tr w:rsidR="00263FFB" w:rsidRPr="00A3755D" w:rsidTr="001B0583">
        <w:trPr>
          <w:cantSplit/>
          <w:trHeight w:val="1560"/>
        </w:trPr>
        <w:tc>
          <w:tcPr>
            <w:tcW w:w="4747" w:type="dxa"/>
            <w:gridSpan w:val="2"/>
            <w:tcBorders>
              <w:top w:val="nil"/>
              <w:left w:val="nil"/>
              <w:bottom w:val="nil"/>
              <w:right w:val="nil"/>
            </w:tcBorders>
            <w:vAlign w:val="center"/>
          </w:tcPr>
          <w:p w:rsidR="00263FFB" w:rsidRPr="00263FFB" w:rsidRDefault="00FF0E5A" w:rsidP="001B0583">
            <w:pPr>
              <w:pStyle w:val="ECCLetterHead"/>
            </w:pPr>
            <w:r w:rsidRPr="00FC4F6F">
              <w:rPr>
                <w:noProof/>
                <w:lang w:val="de-DE" w:eastAsia="de-DE"/>
              </w:rPr>
              <w:drawing>
                <wp:inline distT="0" distB="0" distL="0" distR="0" wp14:anchorId="5DD5CE84" wp14:editId="6E608068">
                  <wp:extent cx="1623695" cy="82677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695" cy="826770"/>
                          </a:xfrm>
                          <a:prstGeom prst="rect">
                            <a:avLst/>
                          </a:prstGeom>
                          <a:noFill/>
                          <a:ln>
                            <a:noFill/>
                          </a:ln>
                        </pic:spPr>
                      </pic:pic>
                    </a:graphicData>
                  </a:graphic>
                </wp:inline>
              </w:drawing>
            </w:r>
            <w:r w:rsidR="001B0583">
              <w:t>CPG</w:t>
            </w:r>
            <w:r w:rsidR="004F7F5E">
              <w:t xml:space="preserve"> PTC</w:t>
            </w:r>
          </w:p>
        </w:tc>
        <w:tc>
          <w:tcPr>
            <w:tcW w:w="5034" w:type="dxa"/>
            <w:tcBorders>
              <w:top w:val="nil"/>
              <w:left w:val="nil"/>
              <w:bottom w:val="nil"/>
              <w:right w:val="nil"/>
            </w:tcBorders>
          </w:tcPr>
          <w:p w:rsidR="00263FFB" w:rsidRPr="00263FFB" w:rsidRDefault="00263FFB" w:rsidP="00A27C46">
            <w:pPr>
              <w:pStyle w:val="ECCLetterHead"/>
            </w:pPr>
            <w:r w:rsidRPr="00A3755D">
              <w:tab/>
              <w:t xml:space="preserve">Doc. </w:t>
            </w:r>
            <w:r w:rsidR="004F7F5E">
              <w:t>PTC</w:t>
            </w:r>
            <w:r w:rsidRPr="00263FFB">
              <w:t>(</w:t>
            </w:r>
            <w:r w:rsidR="00C8484D">
              <w:t>17</w:t>
            </w:r>
            <w:r w:rsidRPr="00263FFB">
              <w:t>)</w:t>
            </w:r>
            <w:r w:rsidR="00A27C46">
              <w:t>015</w:t>
            </w:r>
            <w:bookmarkStart w:id="0" w:name="_GoBack"/>
            <w:bookmarkEnd w:id="0"/>
          </w:p>
        </w:tc>
      </w:tr>
      <w:tr w:rsidR="00263FFB" w:rsidRPr="00A3755D" w:rsidTr="001B0583">
        <w:tblPrEx>
          <w:tblCellMar>
            <w:left w:w="108" w:type="dxa"/>
            <w:right w:w="108" w:type="dxa"/>
          </w:tblCellMar>
        </w:tblPrEx>
        <w:trPr>
          <w:cantSplit/>
          <w:trHeight w:val="405"/>
        </w:trPr>
        <w:tc>
          <w:tcPr>
            <w:tcW w:w="4747" w:type="dxa"/>
            <w:gridSpan w:val="2"/>
            <w:tcBorders>
              <w:top w:val="nil"/>
              <w:left w:val="nil"/>
              <w:bottom w:val="nil"/>
              <w:right w:val="nil"/>
            </w:tcBorders>
            <w:vAlign w:val="center"/>
          </w:tcPr>
          <w:p w:rsidR="00263FFB" w:rsidRPr="00263FFB" w:rsidRDefault="00A27C46" w:rsidP="004F7F5E">
            <w:pPr>
              <w:pStyle w:val="ECCLetterHead"/>
            </w:pPr>
            <w:r>
              <w:t xml:space="preserve">CPG19 </w:t>
            </w:r>
            <w:r w:rsidR="004F7F5E">
              <w:t>PTC-</w:t>
            </w:r>
            <w:r>
              <w:t>2</w:t>
            </w:r>
          </w:p>
        </w:tc>
        <w:tc>
          <w:tcPr>
            <w:tcW w:w="5034" w:type="dxa"/>
            <w:tcBorders>
              <w:top w:val="nil"/>
              <w:left w:val="nil"/>
              <w:bottom w:val="nil"/>
              <w:right w:val="nil"/>
            </w:tcBorders>
            <w:vAlign w:val="center"/>
          </w:tcPr>
          <w:p w:rsidR="00263FFB" w:rsidRPr="00A3755D" w:rsidRDefault="00263FFB" w:rsidP="00263FFB">
            <w:pPr>
              <w:pStyle w:val="ECCLetterHead"/>
            </w:pPr>
          </w:p>
        </w:tc>
      </w:tr>
      <w:tr w:rsidR="00263FFB" w:rsidRPr="00A3755D" w:rsidTr="001B0583">
        <w:tblPrEx>
          <w:tblCellMar>
            <w:left w:w="108" w:type="dxa"/>
            <w:right w:w="108" w:type="dxa"/>
          </w:tblCellMar>
        </w:tblPrEx>
        <w:trPr>
          <w:cantSplit/>
          <w:trHeight w:val="405"/>
        </w:trPr>
        <w:tc>
          <w:tcPr>
            <w:tcW w:w="4747" w:type="dxa"/>
            <w:gridSpan w:val="2"/>
            <w:tcBorders>
              <w:top w:val="nil"/>
              <w:left w:val="nil"/>
              <w:bottom w:val="nil"/>
              <w:right w:val="nil"/>
            </w:tcBorders>
            <w:vAlign w:val="center"/>
          </w:tcPr>
          <w:p w:rsidR="00263FFB" w:rsidRPr="00263FFB" w:rsidRDefault="00DE7686" w:rsidP="00DE7686">
            <w:pPr>
              <w:pStyle w:val="ECCLetterHead"/>
            </w:pPr>
            <w:r>
              <w:t>Bucharest, Romania, 31</w:t>
            </w:r>
            <w:r w:rsidR="004F7F5E" w:rsidRPr="004F7F5E">
              <w:t xml:space="preserve"> </w:t>
            </w:r>
            <w:r>
              <w:t xml:space="preserve">Jan </w:t>
            </w:r>
            <w:r w:rsidR="004F7F5E" w:rsidRPr="004F7F5E">
              <w:t xml:space="preserve">– </w:t>
            </w:r>
            <w:r>
              <w:t>02</w:t>
            </w:r>
            <w:r w:rsidR="004F7F5E" w:rsidRPr="004F7F5E">
              <w:t xml:space="preserve"> </w:t>
            </w:r>
            <w:r>
              <w:t>Feb</w:t>
            </w:r>
            <w:r w:rsidR="004F7F5E" w:rsidRPr="004F7F5E">
              <w:t xml:space="preserve"> 201</w:t>
            </w:r>
            <w:r>
              <w:t>7</w:t>
            </w:r>
          </w:p>
        </w:tc>
        <w:tc>
          <w:tcPr>
            <w:tcW w:w="5034" w:type="dxa"/>
            <w:tcBorders>
              <w:top w:val="nil"/>
              <w:left w:val="nil"/>
              <w:bottom w:val="nil"/>
              <w:right w:val="nil"/>
            </w:tcBorders>
            <w:vAlign w:val="center"/>
          </w:tcPr>
          <w:p w:rsidR="00263FFB" w:rsidRPr="00A3755D" w:rsidRDefault="00263FFB" w:rsidP="00263FFB">
            <w:pPr>
              <w:pStyle w:val="ECCLetterHead"/>
            </w:pPr>
          </w:p>
        </w:tc>
      </w:tr>
      <w:tr w:rsidR="00263FFB" w:rsidRPr="00A3755D" w:rsidTr="001B0583">
        <w:tblPrEx>
          <w:tblCellMar>
            <w:left w:w="108" w:type="dxa"/>
            <w:right w:w="108" w:type="dxa"/>
          </w:tblCellMar>
        </w:tblPrEx>
        <w:trPr>
          <w:cantSplit/>
          <w:trHeight w:hRule="exact" w:val="79"/>
        </w:trPr>
        <w:tc>
          <w:tcPr>
            <w:tcW w:w="4747" w:type="dxa"/>
            <w:gridSpan w:val="2"/>
            <w:tcBorders>
              <w:top w:val="nil"/>
              <w:left w:val="nil"/>
              <w:bottom w:val="nil"/>
              <w:right w:val="nil"/>
            </w:tcBorders>
            <w:vAlign w:val="center"/>
          </w:tcPr>
          <w:p w:rsidR="00263FFB" w:rsidRPr="00A3755D" w:rsidRDefault="00263FFB" w:rsidP="00263FFB">
            <w:pPr>
              <w:pStyle w:val="ECCLetterHead"/>
            </w:pPr>
          </w:p>
        </w:tc>
        <w:tc>
          <w:tcPr>
            <w:tcW w:w="5034" w:type="dxa"/>
            <w:tcBorders>
              <w:top w:val="nil"/>
              <w:left w:val="nil"/>
              <w:bottom w:val="nil"/>
              <w:right w:val="nil"/>
            </w:tcBorders>
            <w:vAlign w:val="center"/>
          </w:tcPr>
          <w:p w:rsidR="00263FFB" w:rsidRPr="00A3755D" w:rsidRDefault="00263FFB" w:rsidP="00263FFB">
            <w:pPr>
              <w:pStyle w:val="ECCLetterHead"/>
            </w:pP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rsidR="00263FFB" w:rsidRPr="00263FFB" w:rsidRDefault="0049430B" w:rsidP="00A27C46">
            <w:pPr>
              <w:pStyle w:val="ECCLetterHead"/>
            </w:pPr>
            <w:r>
              <w:t>2</w:t>
            </w:r>
            <w:r w:rsidR="00A27C46">
              <w:t>3</w:t>
            </w:r>
            <w:r>
              <w:t xml:space="preserve"> </w:t>
            </w:r>
            <w:r w:rsidR="00231259">
              <w:t>January 2017</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rsidR="00263FFB" w:rsidRPr="00263FFB" w:rsidRDefault="0049430B" w:rsidP="00263FFB">
            <w:pPr>
              <w:pStyle w:val="ECCLetterHead"/>
            </w:pPr>
            <w:r>
              <w:t>Iridium</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rsidR="00263FFB" w:rsidRPr="00263FFB" w:rsidRDefault="0049430B" w:rsidP="00263FFB">
            <w:pPr>
              <w:pStyle w:val="ECCLetterHead"/>
            </w:pPr>
            <w:r>
              <w:t>MSS spectrum allocations at 1.6 GHz / GMDSS</w:t>
            </w:r>
          </w:p>
        </w:tc>
      </w:tr>
      <w:tr w:rsidR="00263FFB" w:rsidRPr="00A3755D"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263FFB" w:rsidRDefault="00263FFB" w:rsidP="00263FFB">
            <w:pPr>
              <w:pStyle w:val="ECCTabletext"/>
            </w:pPr>
            <w:r w:rsidRPr="00263FFB">
              <w:rPr>
                <w:noProof/>
                <w:lang w:val="de-DE" w:eastAsia="de-DE"/>
              </w:rPr>
              <mc:AlternateContent>
                <mc:Choice Requires="wps">
                  <w:drawing>
                    <wp:anchor distT="0" distB="0" distL="114300" distR="114300" simplePos="0" relativeHeight="251662336" behindDoc="1" locked="0" layoutInCell="0" allowOverlap="1" wp14:anchorId="072B098D" wp14:editId="191A0BC4">
                      <wp:simplePos x="0" y="0"/>
                      <wp:positionH relativeFrom="column">
                        <wp:posOffset>2585085</wp:posOffset>
                      </wp:positionH>
                      <wp:positionV relativeFrom="paragraph">
                        <wp:posOffset>175895</wp:posOffset>
                      </wp:positionV>
                      <wp:extent cx="457200" cy="269875"/>
                      <wp:effectExtent l="0" t="0" r="19050" b="15875"/>
                      <wp:wrapTight wrapText="bothSides">
                        <wp:wrapPolygon edited="0">
                          <wp:start x="0" y="0"/>
                          <wp:lineTo x="0" y="21346"/>
                          <wp:lineTo x="21600" y="21346"/>
                          <wp:lineTo x="21600" y="0"/>
                          <wp:lineTo x="0" y="0"/>
                        </wp:wrapPolygon>
                      </wp:wrapTight>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45CA7D43" id="_x0000_t202" coordsize="21600,21600" o:spt="202" path="m,l,21600r21600,l21600,xe">
                      <v:stroke joinstyle="miter"/>
                      <v:path gradientshapeok="t" o:connecttype="rect"/>
                    </v:shapetype>
                    <v:shape id="Textfeld 24" o:spid="_x0000_s1026" type="#_x0000_t202" style="position:absolute;left:0;text-align:left;margin-left:203.55pt;margin-top:13.85pt;width:36pt;height:2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" o:allowincell="f">
                      <v:textbox inset="1.2mm,.8mm,1mm,2mm">
                        <w:txbxContent>
                          <w:p w:rsidR="00263FFB" w:rsidRPr="00F45561" w:rsidRDefault="00F45561" w:rsidP="00F45561">
                            <w:pPr>
                              <w:pStyle w:val="ECCTabletext"/>
                              <w:jc w:val="center"/>
                              <w:rPr>
                                <w:lang w:val="de-DE"/>
                              </w:rPr>
                            </w:pPr>
                            <w:r>
                              <w:rPr>
                                <w:lang w:val="de-DE"/>
                              </w:rPr>
                              <w:t>N</w:t>
                            </w:r>
                          </w:p>
                        </w:txbxContent>
                      </v:textbox>
                      <w10:wrap type="tight"/>
                    </v:shape>
                  </w:pict>
                </mc:Fallback>
              </mc:AlternateContent>
            </w:r>
            <w:r w:rsidRPr="00263FFB">
              <w:t>Group membership required to read? (Y/N)</w:t>
            </w:r>
          </w:p>
        </w:tc>
      </w:tr>
      <w:tr w:rsidR="00263FFB" w:rsidRPr="00A3755D"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r w:rsidR="00263FFB" w:rsidRPr="00A3755D"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rsidR="00263FFB" w:rsidRPr="00263FFB" w:rsidRDefault="001A5DC4" w:rsidP="00231259">
            <w:pPr>
              <w:pStyle w:val="ECCTabletext"/>
            </w:pPr>
            <w:r>
              <w:t xml:space="preserve">In the course of its assessment process for GMDSS approval, the IMO has considered the spectrum used by Iridium and concluded that it is sufficiently protected for the purposes of GMDSS operations. WRC-19 Agenda Item 1.8 </w:t>
            </w:r>
            <w:r w:rsidRPr="001A4016">
              <w:rPr>
                <w:rStyle w:val="SchwacheHervorhebung"/>
              </w:rPr>
              <w:t>resolves (2)</w:t>
            </w:r>
            <w:r>
              <w:t xml:space="preserve"> directs the ITU-R to con</w:t>
            </w:r>
            <w:r w:rsidR="000D0AFA">
              <w:t>sider regulatory provisions related to the introduction of new GMDSS satellite systems.</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rsidR="00263FFB" w:rsidRPr="00263FFB" w:rsidRDefault="00652FF9" w:rsidP="00185539">
            <w:pPr>
              <w:pStyle w:val="ECCTabletext"/>
            </w:pPr>
            <w:r>
              <w:t>C</w:t>
            </w:r>
            <w:r w:rsidR="000D0AFA">
              <w:t>onsider the frequency allocations used by the prospective new provider of satellite GMDSS (Iridium), and identify regulatory options for the frequency allocations</w:t>
            </w:r>
            <w:r>
              <w:t xml:space="preserve"> that will </w:t>
            </w:r>
            <w:r w:rsidR="00185539">
              <w:t xml:space="preserve">support </w:t>
            </w:r>
            <w:r>
              <w:t>provision of GMDSS services.</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rsidR="00263FFB" w:rsidRPr="00263FFB" w:rsidRDefault="001A5DC4" w:rsidP="001A5DC4">
            <w:pPr>
              <w:pStyle w:val="ECCTabletext"/>
            </w:pPr>
            <w:r>
              <w:t xml:space="preserve">WRC-19 Agenda Item 1.8 </w:t>
            </w:r>
            <w:r w:rsidRPr="00AB7017">
              <w:rPr>
                <w:rStyle w:val="SchwacheHervorhebung"/>
              </w:rPr>
              <w:t>resolves (2)</w:t>
            </w:r>
            <w:r>
              <w:t xml:space="preserve"> concerns the possible regulatory changes required to accommodate the introduction of a new GMDSS satellite provider by the IMO.  Iridium has provided global maritime communications since 1998 and has made an application to become such a GMDSS provider, using the 1616-1626.5 MHz band on its MSS satellite constellation. It is expected that IMO will have concluded their approval process in advance of WRC-19.</w:t>
            </w:r>
          </w:p>
        </w:tc>
      </w:tr>
    </w:tbl>
    <w:p w:rsidR="001B0583" w:rsidRDefault="001B0583" w:rsidP="001B0583">
      <w:pPr>
        <w:pStyle w:val="ECCTablenote"/>
        <w:rPr>
          <w:rStyle w:val="ECCParagraph"/>
        </w:rPr>
      </w:pPr>
    </w:p>
    <w:p w:rsidR="00A751C0" w:rsidRPr="001B0583" w:rsidRDefault="00A751C0" w:rsidP="001B0583">
      <w:pPr>
        <w:pStyle w:val="ECCHeadingnonumbering"/>
        <w:rPr>
          <w:rStyle w:val="ECCParagraph"/>
          <w:lang w:val="da-DK"/>
        </w:rPr>
      </w:pPr>
      <w:r w:rsidRPr="001B0583">
        <w:rPr>
          <w:rStyle w:val="ECCParagraph"/>
          <w:lang w:val="da-DK"/>
        </w:rPr>
        <w:br w:type="page"/>
      </w:r>
    </w:p>
    <w:p w:rsidR="00231259" w:rsidRDefault="00231259" w:rsidP="00231259">
      <w:pPr>
        <w:pStyle w:val="berschrift1"/>
      </w:pPr>
      <w:r>
        <w:lastRenderedPageBreak/>
        <w:t>Introduction</w:t>
      </w:r>
    </w:p>
    <w:p w:rsidR="00B45F33" w:rsidRDefault="007E5F87" w:rsidP="00231259">
      <w:r>
        <w:t>Iridium has operated a mobile satellite service in the MSS allocations in the range 1610 – 1626.5 MHz since 199</w:t>
      </w:r>
      <w:r w:rsidR="00652FF9">
        <w:t>8</w:t>
      </w:r>
      <w:r>
        <w:t xml:space="preserve">. The Iridium system is a non-geostationary </w:t>
      </w:r>
      <w:r w:rsidR="005449DB">
        <w:t xml:space="preserve">satellite </w:t>
      </w:r>
      <w:r>
        <w:t>constellation, and is filed under the ITU network name “HIBLEO-2</w:t>
      </w:r>
      <w:proofErr w:type="gramStart"/>
      <w:r>
        <w:t xml:space="preserve">” </w:t>
      </w:r>
      <w:proofErr w:type="gramEnd"/>
      <w:r>
        <w:rPr>
          <w:rStyle w:val="Funotenzeichen"/>
        </w:rPr>
        <w:footnoteReference w:id="2"/>
      </w:r>
      <w:r>
        <w:t>.</w:t>
      </w:r>
    </w:p>
    <w:p w:rsidR="005449DB" w:rsidRDefault="005449DB" w:rsidP="00231259">
      <w:r>
        <w:t>Since it began service, Iridium has provided communications to ships and aircraft as well as other vehicular and hand-held user terminals.  Iridium has applied to the International Maritime Organisation (IMO) to become a part of the Global Maritime Distress and Safety System (GMDSS); this is a “system-of-systems” which uses selected terrestrial and satellite communications networks to provide a reliable means of emergency alerting and rescue coordination</w:t>
      </w:r>
      <w:r w:rsidR="00853369">
        <w:t xml:space="preserve"> for maritime users</w:t>
      </w:r>
      <w:r>
        <w:t>.</w:t>
      </w:r>
      <w:r w:rsidR="00853369">
        <w:t xml:space="preserve"> GMDSS equipment is a mandatory </w:t>
      </w:r>
      <w:r w:rsidR="00A96E4B">
        <w:t xml:space="preserve">carriage requirement </w:t>
      </w:r>
      <w:r w:rsidR="00853369">
        <w:t>on larger maritime vessels, but is also commonly carried on a voluntary basis by many smaller vessels.  To date, there is only one satellite provider that provide</w:t>
      </w:r>
      <w:r w:rsidR="00A96E4B">
        <w:t>s</w:t>
      </w:r>
      <w:r w:rsidR="00853369">
        <w:t xml:space="preserve"> satellite GMDSS, and </w:t>
      </w:r>
      <w:r w:rsidR="00A96E4B">
        <w:t xml:space="preserve">it </w:t>
      </w:r>
      <w:r w:rsidR="00853369">
        <w:t xml:space="preserve">does so via a geostationary network. The addition of Iridium will provide </w:t>
      </w:r>
      <w:proofErr w:type="spellStart"/>
      <w:r w:rsidR="00A96E4B">
        <w:t>shipowners</w:t>
      </w:r>
      <w:proofErr w:type="spellEnd"/>
      <w:r w:rsidR="00A96E4B">
        <w:t xml:space="preserve"> </w:t>
      </w:r>
      <w:r w:rsidR="00853369">
        <w:t xml:space="preserve">an alternative </w:t>
      </w:r>
      <w:r w:rsidR="00A96E4B">
        <w:t xml:space="preserve">to using a single </w:t>
      </w:r>
      <w:r w:rsidR="00853369">
        <w:t>satellite</w:t>
      </w:r>
      <w:r w:rsidR="003B0C6E">
        <w:t xml:space="preserve"> </w:t>
      </w:r>
      <w:r w:rsidR="00A96E4B">
        <w:t>provider where no such choice exists today</w:t>
      </w:r>
      <w:r w:rsidR="00853369">
        <w:t xml:space="preserve">, and will </w:t>
      </w:r>
      <w:r w:rsidR="00A96E4B">
        <w:t xml:space="preserve">enable satellite GMDSS in </w:t>
      </w:r>
      <w:r w:rsidR="00853369">
        <w:t xml:space="preserve">Polar Regions </w:t>
      </w:r>
      <w:r w:rsidR="00A96E4B">
        <w:t xml:space="preserve">– an area of increased shipping activity where terrestrial means of distress alerting are not feasible - </w:t>
      </w:r>
      <w:r w:rsidR="00853369">
        <w:t xml:space="preserve">which </w:t>
      </w:r>
      <w:r w:rsidR="00A96E4B">
        <w:t>are not currently ser</w:t>
      </w:r>
      <w:r w:rsidR="003B0C6E">
        <w:t>ved by the sole GMDSS provider.</w:t>
      </w:r>
    </w:p>
    <w:p w:rsidR="00853369" w:rsidRDefault="00853369" w:rsidP="001F69B4">
      <w:r>
        <w:t>Iridium appli</w:t>
      </w:r>
      <w:r w:rsidR="00A96E4B">
        <w:t>ed</w:t>
      </w:r>
      <w:r>
        <w:t xml:space="preserve"> to </w:t>
      </w:r>
      <w:r w:rsidR="001F69B4">
        <w:t xml:space="preserve">the IMO to be recognised as a satellite provider of GMDSS </w:t>
      </w:r>
      <w:r>
        <w:t xml:space="preserve">in 2013.  IMO </w:t>
      </w:r>
      <w:r w:rsidR="0056398A">
        <w:t xml:space="preserve">appointed IMSO, an inter-governmental organisation </w:t>
      </w:r>
      <w:r w:rsidR="00DF5E58">
        <w:t xml:space="preserve">responsible for maritime safety communications via satellite, to assess the Iridium network for compliance with the requirements of the GMDSS, set out in IMO Resolution </w:t>
      </w:r>
      <w:proofErr w:type="gramStart"/>
      <w:r w:rsidR="00DF5E58">
        <w:t>A.1001</w:t>
      </w:r>
      <w:r w:rsidR="00A96E4B">
        <w:t>(</w:t>
      </w:r>
      <w:proofErr w:type="gramEnd"/>
      <w:r w:rsidR="00A96E4B">
        <w:t>25)</w:t>
      </w:r>
      <w:r w:rsidR="00DF5E58">
        <w:t xml:space="preserve"> </w:t>
      </w:r>
      <w:r w:rsidR="00DF5E58">
        <w:rPr>
          <w:rStyle w:val="Funotenzeichen"/>
        </w:rPr>
        <w:footnoteReference w:id="3"/>
      </w:r>
      <w:r w:rsidR="00DF5E58">
        <w:t>.</w:t>
      </w:r>
      <w:r w:rsidR="002C79E2">
        <w:t xml:space="preserve">  The assessment </w:t>
      </w:r>
      <w:r w:rsidR="00A27C66">
        <w:t>addresses a variety of technical and</w:t>
      </w:r>
      <w:r w:rsidR="00A96E4B">
        <w:t xml:space="preserve"> operational</w:t>
      </w:r>
      <w:r w:rsidR="00A27C66">
        <w:t xml:space="preserve"> requirements</w:t>
      </w:r>
      <w:r w:rsidR="00A96E4B">
        <w:t>.</w:t>
      </w:r>
    </w:p>
    <w:p w:rsidR="00104083" w:rsidRDefault="00AD17F3" w:rsidP="00231259">
      <w:r>
        <w:t xml:space="preserve">In its report, </w:t>
      </w:r>
      <w:r w:rsidR="00104083">
        <w:t xml:space="preserve">IMSO assessed the </w:t>
      </w:r>
      <w:r>
        <w:t>spectrum us</w:t>
      </w:r>
      <w:r w:rsidR="00E86AFC">
        <w:t xml:space="preserve">ed by </w:t>
      </w:r>
      <w:r>
        <w:t>Iridium</w:t>
      </w:r>
      <w:r w:rsidR="00E86AFC">
        <w:t xml:space="preserve">. </w:t>
      </w:r>
      <w:r w:rsidR="007C5F20">
        <w:t>The report noted that Iridium had filed, coordinated and notified the frequencies used by its satellite network with the ITU, and concluded that this met the protection requirements of GMDSS.</w:t>
      </w:r>
    </w:p>
    <w:p w:rsidR="00231259" w:rsidRDefault="007C5F20" w:rsidP="00231259">
      <w:pPr>
        <w:pStyle w:val="berschrift1"/>
      </w:pPr>
      <w:r>
        <w:t>iridium satellite spectrum</w:t>
      </w:r>
    </w:p>
    <w:p w:rsidR="007C5F20" w:rsidRDefault="007C5F20" w:rsidP="006F4A25">
      <w:r>
        <w:t xml:space="preserve">The Iridium satellite constellation </w:t>
      </w:r>
      <w:r w:rsidR="006F4A25">
        <w:t>operates in</w:t>
      </w:r>
      <w:r>
        <w:t xml:space="preserve"> </w:t>
      </w:r>
      <w:r w:rsidR="001F69B4">
        <w:t>the following</w:t>
      </w:r>
      <w:r>
        <w:t xml:space="preserve"> </w:t>
      </w:r>
      <w:r w:rsidR="006F4A25">
        <w:t xml:space="preserve">MSS </w:t>
      </w:r>
      <w:r>
        <w:t>frequency allocation</w:t>
      </w:r>
      <w:r w:rsidR="001F69B4">
        <w:t xml:space="preserve"> for its service, and will use it to provide GMDSS</w:t>
      </w:r>
      <w:r>
        <w:t>:</w:t>
      </w:r>
    </w:p>
    <w:p w:rsidR="007C5F20" w:rsidRDefault="00DC5DFB" w:rsidP="00042498">
      <w:pPr>
        <w:pStyle w:val="Listenabsatz"/>
        <w:numPr>
          <w:ilvl w:val="0"/>
          <w:numId w:val="10"/>
        </w:numPr>
      </w:pPr>
      <w:r>
        <w:t xml:space="preserve">MSS: </w:t>
      </w:r>
      <w:r w:rsidR="007C5F20">
        <w:t>161</w:t>
      </w:r>
      <w:r>
        <w:t>7.775</w:t>
      </w:r>
      <w:r w:rsidR="00C75192">
        <w:t>-</w:t>
      </w:r>
      <w:r>
        <w:t xml:space="preserve">1626.5 MHz (currently authorised; satellites </w:t>
      </w:r>
      <w:r w:rsidR="00042498">
        <w:t xml:space="preserve">have been coordinated and notified for </w:t>
      </w:r>
      <w:r>
        <w:t xml:space="preserve">1616-1626.5 MHz). This band is used in a bi-directional mode known as Time Division Duplex (TDD).  </w:t>
      </w:r>
      <w:r w:rsidR="00C75192">
        <w:t>This band is used for communications between the user terminals and the satellites.</w:t>
      </w:r>
    </w:p>
    <w:p w:rsidR="001F69B4" w:rsidRPr="001F69B4" w:rsidRDefault="001F69B4" w:rsidP="006F4A25">
      <w:r>
        <w:t xml:space="preserve">Additionally, the network </w:t>
      </w:r>
      <w:r w:rsidR="006F4A25">
        <w:t>operates in</w:t>
      </w:r>
      <w:r>
        <w:t xml:space="preserve"> </w:t>
      </w:r>
      <w:r w:rsidR="006F4A25">
        <w:t>fur</w:t>
      </w:r>
      <w:r>
        <w:t xml:space="preserve">ther allocations </w:t>
      </w:r>
      <w:r w:rsidR="006F4A25">
        <w:t>to connect its satellites to other networks:</w:t>
      </w:r>
    </w:p>
    <w:p w:rsidR="00DC5DFB" w:rsidRDefault="00DC5DFB" w:rsidP="00DC5DFB">
      <w:pPr>
        <w:pStyle w:val="Listenabsatz"/>
        <w:numPr>
          <w:ilvl w:val="0"/>
          <w:numId w:val="10"/>
        </w:numPr>
      </w:pPr>
      <w:r>
        <w:t xml:space="preserve">FSS: </w:t>
      </w:r>
      <w:r w:rsidR="00C75192">
        <w:t xml:space="preserve">19.4-19.6 GHz (space to Earth) / 29.1-29.3 GHz (Earth to space). These bands provide the feeder links, connecting the satellite constellation with terrestrial gateways. This </w:t>
      </w:r>
      <w:r w:rsidR="00CC4239">
        <w:t xml:space="preserve">provides trunk </w:t>
      </w:r>
      <w:r w:rsidR="00C75192">
        <w:t xml:space="preserve">interconnection </w:t>
      </w:r>
      <w:r w:rsidR="00CC4239">
        <w:t xml:space="preserve">between the satellites and terrestrial networks, including </w:t>
      </w:r>
      <w:r w:rsidR="00C75192">
        <w:t>the PSTN and maritime Rescue Control Centres (RCCs).</w:t>
      </w:r>
    </w:p>
    <w:p w:rsidR="00CC4239" w:rsidRPr="00CC4239" w:rsidRDefault="00CC4239" w:rsidP="00CC4239">
      <w:pPr>
        <w:pStyle w:val="Listenabsatz"/>
        <w:numPr>
          <w:ilvl w:val="0"/>
          <w:numId w:val="10"/>
        </w:numPr>
      </w:pPr>
      <w:r>
        <w:t>ISS: 23.18-23.38 GHz (satellite-to-satellite). These bands provide a highly robust and reliable network interconnecting all of the 66 satellites to each other, and facilitating the routing of traffic across the satellite constellation.</w:t>
      </w:r>
    </w:p>
    <w:p w:rsidR="00CC4239" w:rsidRPr="00CC4239" w:rsidRDefault="00CC4239" w:rsidP="006F4A25">
      <w:r>
        <w:t xml:space="preserve">Iridium </w:t>
      </w:r>
      <w:r w:rsidR="006F4A25">
        <w:t>operates assignments within these</w:t>
      </w:r>
      <w:r>
        <w:t xml:space="preserve"> allocations</w:t>
      </w:r>
      <w:r w:rsidR="006F4A25">
        <w:t>,</w:t>
      </w:r>
      <w:r>
        <w:t xml:space="preserve"> filed with the ITU under the network names HIBLEO-2 (</w:t>
      </w:r>
      <w:r w:rsidR="002936AC">
        <w:t>user links) and HIBLEO-2FL (feeder links and inter-satellite links).</w:t>
      </w:r>
      <w:r w:rsidR="001F080B">
        <w:t xml:space="preserve"> </w:t>
      </w:r>
      <w:r w:rsidR="001F69B4">
        <w:t xml:space="preserve">All assignments for use by the GMDSS </w:t>
      </w:r>
      <w:r w:rsidR="001F69B4">
        <w:lastRenderedPageBreak/>
        <w:t>service have been fully coordinated, and are notified</w:t>
      </w:r>
      <w:r w:rsidR="006F4A25">
        <w:t xml:space="preserve"> in accordance with Articles 9 and 11 of the Radio Regulations.</w:t>
      </w:r>
    </w:p>
    <w:p w:rsidR="006D0143" w:rsidRDefault="00067E66" w:rsidP="006D0143">
      <w:pPr>
        <w:pStyle w:val="berschrift1"/>
      </w:pPr>
      <w:r>
        <w:t>mss allocation under consideration in agenda item 1.8</w:t>
      </w:r>
    </w:p>
    <w:p w:rsidR="00067E66" w:rsidRDefault="00042498" w:rsidP="00042498">
      <w:r>
        <w:t xml:space="preserve">As highlighted above, Iridium operates MSS assignments filed in the band 1616-1626.5 MHz, which </w:t>
      </w:r>
      <w:r w:rsidR="002C57F3" w:rsidRPr="00220137">
        <w:rPr>
          <w:rStyle w:val="ECCParagraph"/>
        </w:rPr>
        <w:t>will be</w:t>
      </w:r>
      <w:r w:rsidR="002C57F3">
        <w:t xml:space="preserve"> </w:t>
      </w:r>
      <w:r>
        <w:t xml:space="preserve">used to provide GMDSS service. The allocations in which these assignments </w:t>
      </w:r>
      <w:r w:rsidR="00150E0E">
        <w:t xml:space="preserve">operate </w:t>
      </w:r>
      <w:r>
        <w:t>are as follows:</w:t>
      </w:r>
    </w:p>
    <w:p w:rsidR="00042498" w:rsidRDefault="00042498" w:rsidP="00042498">
      <w:pPr>
        <w:pStyle w:val="Listenabsatz"/>
        <w:numPr>
          <w:ilvl w:val="0"/>
          <w:numId w:val="10"/>
        </w:numPr>
      </w:pPr>
      <w:r>
        <w:t>1610.0-1626.5 MHz: MSS (Earth to space) – Primary status</w:t>
      </w:r>
    </w:p>
    <w:p w:rsidR="00042498" w:rsidRDefault="00042498" w:rsidP="00042498">
      <w:pPr>
        <w:pStyle w:val="Listenabsatz"/>
        <w:numPr>
          <w:ilvl w:val="0"/>
          <w:numId w:val="10"/>
        </w:numPr>
      </w:pPr>
      <w:r>
        <w:t>1613.8-1626.5 MHz: MSS (space to Earth) – secondary status</w:t>
      </w:r>
    </w:p>
    <w:p w:rsidR="00042498" w:rsidRDefault="00042498" w:rsidP="009D53F4">
      <w:r>
        <w:t>The Iridium system is unique amongst commercial satellite networks by operatin</w:t>
      </w:r>
      <w:r w:rsidR="009D53F4">
        <w:t>g</w:t>
      </w:r>
      <w:r>
        <w:t xml:space="preserve"> Time Division Duplex access, a method of duplexing a two-way communications channel within a single radio channel. A user terminal (</w:t>
      </w:r>
      <w:r w:rsidR="009D53F4">
        <w:t>including a</w:t>
      </w:r>
      <w:r>
        <w:t xml:space="preserve"> GMDSS terminal) </w:t>
      </w:r>
      <w:r w:rsidR="009D53F4">
        <w:t xml:space="preserve">transmits to the satellite (uplink) in half of each timeframe, and receives from the satellite (downlink) in the other, on the same </w:t>
      </w:r>
      <w:proofErr w:type="gramStart"/>
      <w:r w:rsidR="009D53F4">
        <w:t>41kHz</w:t>
      </w:r>
      <w:proofErr w:type="gramEnd"/>
      <w:r w:rsidR="009D53F4">
        <w:t xml:space="preserve"> channel.</w:t>
      </w:r>
    </w:p>
    <w:p w:rsidR="00582627" w:rsidRDefault="00582627" w:rsidP="00705119">
      <w:r>
        <w:t xml:space="preserve">Both the uplink and downlink assignments have been filed, coordinated and notified with the ITU, and have been entered in the International Master Frequency Register (MIFR). </w:t>
      </w:r>
      <w:r w:rsidR="00705119">
        <w:t xml:space="preserve">Although the downlink (space to Earth) </w:t>
      </w:r>
      <w:r w:rsidR="002F6C5C">
        <w:t xml:space="preserve">MSS </w:t>
      </w:r>
      <w:r w:rsidR="00705119">
        <w:t>allocation has a secondary status, the</w:t>
      </w:r>
      <w:r w:rsidR="000302C8">
        <w:t xml:space="preserve"> Radio</w:t>
      </w:r>
      <w:r w:rsidR="00705119">
        <w:t xml:space="preserve"> Regulations </w:t>
      </w:r>
      <w:r w:rsidR="002F6C5C">
        <w:t xml:space="preserve">provision 5.365 </w:t>
      </w:r>
      <w:r w:rsidR="00705119">
        <w:t>require</w:t>
      </w:r>
      <w:r w:rsidR="002F6C5C">
        <w:t>s</w:t>
      </w:r>
      <w:r w:rsidR="00705119">
        <w:t xml:space="preserve"> that its use be coordinated in the same way as assignments in primary allocations:</w:t>
      </w:r>
    </w:p>
    <w:p w:rsidR="00582627" w:rsidRDefault="00582627" w:rsidP="00582627">
      <w:pPr>
        <w:ind w:left="567"/>
      </w:pPr>
      <w:r w:rsidRPr="00582627">
        <w:rPr>
          <w:rStyle w:val="ECCHLbold"/>
        </w:rPr>
        <w:t>5.365</w:t>
      </w:r>
      <w:r>
        <w:tab/>
        <w:t>The use of the band 1 613.8-1 626.5 MHz by the mobile-satellite service (space-to-Earth) is subject to coordination under No. 9.11A.</w:t>
      </w:r>
    </w:p>
    <w:p w:rsidR="00582627" w:rsidRDefault="00705119" w:rsidP="00705119">
      <w:r>
        <w:t>Thus both the uplink and downlink assignments were coordinated before being notified.</w:t>
      </w:r>
    </w:p>
    <w:p w:rsidR="00705119" w:rsidRDefault="00833DA0" w:rsidP="00953A22">
      <w:r>
        <w:t>The use of the allocations was considered by the IMSO Group of Experts</w:t>
      </w:r>
      <w:r w:rsidR="00C034FF">
        <w:t xml:space="preserve"> in their assessment of Iridium’</w:t>
      </w:r>
      <w:r w:rsidR="00953A22">
        <w:t xml:space="preserve">s GMDSS application, who concluded that the </w:t>
      </w:r>
      <w:r w:rsidR="00953A22" w:rsidRPr="00953A22">
        <w:t xml:space="preserve">level of protection afforded to </w:t>
      </w:r>
      <w:r w:rsidR="00110E3A">
        <w:t xml:space="preserve">Iridium’s use of </w:t>
      </w:r>
      <w:r w:rsidR="00953A22" w:rsidRPr="00953A22">
        <w:t xml:space="preserve">those frequencies </w:t>
      </w:r>
      <w:r w:rsidR="00185539">
        <w:t>is</w:t>
      </w:r>
      <w:r w:rsidR="00185539" w:rsidRPr="00953A22">
        <w:t xml:space="preserve"> </w:t>
      </w:r>
      <w:r w:rsidR="00953A22" w:rsidRPr="00953A22">
        <w:t>sufficient for GMDSS operational purposes</w:t>
      </w:r>
      <w:r w:rsidR="00185539">
        <w:t xml:space="preserve"> (see IMSO report section 4.4, separate contribution to PTC)</w:t>
      </w:r>
      <w:r w:rsidR="00953A22">
        <w:t>.</w:t>
      </w:r>
    </w:p>
    <w:p w:rsidR="00953A22" w:rsidRDefault="00953A22" w:rsidP="00953A22">
      <w:pPr>
        <w:pStyle w:val="berschrift1"/>
      </w:pPr>
      <w:r>
        <w:t>consideration of regulatory changes required</w:t>
      </w:r>
      <w:r w:rsidR="00643590">
        <w:t xml:space="preserve"> in respect of allocations</w:t>
      </w:r>
    </w:p>
    <w:p w:rsidR="00953A22" w:rsidRDefault="00953A22" w:rsidP="00110E3A">
      <w:r>
        <w:t xml:space="preserve">In its application for GMDSS recognition, Iridium </w:t>
      </w:r>
      <w:r w:rsidR="00110E3A">
        <w:t xml:space="preserve">noted that the uplink allocation has a primary status and the downlink a secondary status. It is not a requirement of the Radio Regulations, nor of the </w:t>
      </w:r>
      <w:proofErr w:type="gramStart"/>
      <w:r w:rsidR="00110E3A">
        <w:t>IMO, that</w:t>
      </w:r>
      <w:proofErr w:type="gramEnd"/>
      <w:r w:rsidR="00110E3A">
        <w:t xml:space="preserve"> GMDSS radio systems may operate only in primary allocations; however, the </w:t>
      </w:r>
      <w:r w:rsidR="00A40A63">
        <w:t xml:space="preserve">spectrum </w:t>
      </w:r>
      <w:r w:rsidR="00110E3A">
        <w:t>availability and protection is a significant factor in ensuring the satisfactory operation of these safety-of-life systems.</w:t>
      </w:r>
    </w:p>
    <w:p w:rsidR="00110E3A" w:rsidRDefault="00110E3A" w:rsidP="00110E3A">
      <w:r>
        <w:t>Iridium satisfies the protection requirement in the following way:</w:t>
      </w:r>
    </w:p>
    <w:p w:rsidR="00110E3A" w:rsidRDefault="002531B4" w:rsidP="004E411F">
      <w:pPr>
        <w:pStyle w:val="Listenabsatz"/>
        <w:numPr>
          <w:ilvl w:val="0"/>
          <w:numId w:val="10"/>
        </w:numPr>
      </w:pPr>
      <w:r>
        <w:t xml:space="preserve">The unique bidirectional operation of the Iridium user links in 1616-1626.5 MHz </w:t>
      </w:r>
      <w:r w:rsidR="004E411F">
        <w:t>effectively provides protection for the downlink.</w:t>
      </w:r>
      <w:r w:rsidR="00C677F2">
        <w:t xml:space="preserve">  There is no satellite-to-earth </w:t>
      </w:r>
      <w:r w:rsidR="003B73F5">
        <w:t>assignment</w:t>
      </w:r>
      <w:r w:rsidR="00C677F2">
        <w:t xml:space="preserve"> in this frequency range, except </w:t>
      </w:r>
      <w:r w:rsidR="00652DC1">
        <w:t>the secondary MSS used by Iridium</w:t>
      </w:r>
      <w:r w:rsidR="00C677F2">
        <w:t>.</w:t>
      </w:r>
      <w:r w:rsidR="004E411F">
        <w:t xml:space="preserve"> An </w:t>
      </w:r>
      <w:r w:rsidR="00C677F2">
        <w:t xml:space="preserve">uplink </w:t>
      </w:r>
      <w:r w:rsidR="004E411F">
        <w:t xml:space="preserve">interference source in this frequency range will </w:t>
      </w:r>
      <w:r w:rsidR="00652DC1">
        <w:t xml:space="preserve">potentially </w:t>
      </w:r>
      <w:r w:rsidR="003B73F5">
        <w:t>cause interference at both</w:t>
      </w:r>
      <w:r w:rsidR="004E411F">
        <w:t xml:space="preserve"> the</w:t>
      </w:r>
      <w:r w:rsidR="00652DC1">
        <w:t xml:space="preserve"> Iridium</w:t>
      </w:r>
      <w:r w:rsidR="004E411F">
        <w:t xml:space="preserve"> satellite</w:t>
      </w:r>
      <w:r w:rsidR="00652DC1" w:rsidRPr="00652DC1">
        <w:t xml:space="preserve"> </w:t>
      </w:r>
      <w:r w:rsidR="00652DC1">
        <w:t xml:space="preserve">and </w:t>
      </w:r>
      <w:r w:rsidR="00220137">
        <w:t>a near</w:t>
      </w:r>
      <w:r w:rsidR="00652DC1">
        <w:t>by user terminal</w:t>
      </w:r>
      <w:r w:rsidR="004E411F">
        <w:t xml:space="preserve">; </w:t>
      </w:r>
      <w:r w:rsidR="00652DC1">
        <w:t>because of the TDD mode of operation on this frequency band, the protection of</w:t>
      </w:r>
      <w:r w:rsidR="004E411F">
        <w:t xml:space="preserve"> the Earth-to-space assignment (primary allocation)</w:t>
      </w:r>
      <w:r w:rsidR="00652DC1">
        <w:t xml:space="preserve"> would therefore effectively protect</w:t>
      </w:r>
      <w:r w:rsidR="004E411F">
        <w:t xml:space="preserve"> the space-to-Earth assignment</w:t>
      </w:r>
      <w:r w:rsidR="00652DC1">
        <w:t xml:space="preserve"> as well</w:t>
      </w:r>
      <w:r w:rsidR="004E411F">
        <w:t>.</w:t>
      </w:r>
    </w:p>
    <w:p w:rsidR="001520B4" w:rsidRPr="001520B4" w:rsidRDefault="001520B4" w:rsidP="00AB7017">
      <w:pPr>
        <w:pStyle w:val="Listenabsatz"/>
        <w:numPr>
          <w:ilvl w:val="0"/>
          <w:numId w:val="10"/>
        </w:numPr>
      </w:pPr>
      <w:r>
        <w:t>The transmission of emergency alerting messages from a vessel in distress takes place in the Earth to space direction, i.e. using an assignment allocated with primary status.</w:t>
      </w:r>
    </w:p>
    <w:p w:rsidR="004E411F" w:rsidRDefault="004E411F" w:rsidP="004E411F">
      <w:r>
        <w:t xml:space="preserve">At least </w:t>
      </w:r>
      <w:r w:rsidR="00220137">
        <w:t xml:space="preserve">two </w:t>
      </w:r>
      <w:r>
        <w:t xml:space="preserve">possible </w:t>
      </w:r>
      <w:r w:rsidR="007D5289">
        <w:t xml:space="preserve">alternative </w:t>
      </w:r>
      <w:r>
        <w:t xml:space="preserve">solutions may be considered in respect of the allocations, in order to satisfy Agenda Item 1.8 </w:t>
      </w:r>
      <w:r w:rsidRPr="00AB7017">
        <w:rPr>
          <w:rStyle w:val="SchwacheHervorhebung"/>
        </w:rPr>
        <w:t>resolves (2)</w:t>
      </w:r>
      <w:r>
        <w:t>:</w:t>
      </w:r>
    </w:p>
    <w:p w:rsidR="004E411F" w:rsidRDefault="004E411F" w:rsidP="004E411F">
      <w:pPr>
        <w:pStyle w:val="Listenabsatz"/>
        <w:numPr>
          <w:ilvl w:val="0"/>
          <w:numId w:val="11"/>
        </w:numPr>
      </w:pPr>
      <w:r>
        <w:t>Upgrade the MSS (space to Earth) allocation to primary status</w:t>
      </w:r>
      <w:r w:rsidR="00652FF9">
        <w:t xml:space="preserve"> and enter frequency range into Radio Regulations Appendix 15</w:t>
      </w:r>
      <w:r w:rsidR="00652FF9" w:rsidRPr="00652FF9">
        <w:t xml:space="preserve"> (list of frequencies used by GMDSS)</w:t>
      </w:r>
      <w:r>
        <w:t>.</w:t>
      </w:r>
    </w:p>
    <w:p w:rsidR="004E411F" w:rsidRDefault="004E411F" w:rsidP="004E411F">
      <w:pPr>
        <w:pStyle w:val="Listenabsatz"/>
        <w:numPr>
          <w:ilvl w:val="1"/>
          <w:numId w:val="11"/>
        </w:numPr>
      </w:pPr>
      <w:r>
        <w:t>Benefits: Provides a primary allocation in both directions</w:t>
      </w:r>
    </w:p>
    <w:p w:rsidR="004E411F" w:rsidRDefault="004E411F" w:rsidP="007D5289">
      <w:pPr>
        <w:pStyle w:val="Listenabsatz"/>
        <w:numPr>
          <w:ilvl w:val="1"/>
          <w:numId w:val="11"/>
        </w:numPr>
      </w:pPr>
      <w:r>
        <w:lastRenderedPageBreak/>
        <w:t xml:space="preserve">Drawbacks: </w:t>
      </w:r>
      <w:r w:rsidR="007D5289">
        <w:t>Unnecessary change to the allocations, possible consequential changes required to other allocations in the band (e.g. AMS(R</w:t>
      </w:r>
      <w:proofErr w:type="gramStart"/>
      <w:r w:rsidR="007D5289">
        <w:t>)S</w:t>
      </w:r>
      <w:proofErr w:type="gramEnd"/>
      <w:r w:rsidR="007D5289">
        <w:t xml:space="preserve">, RDSS </w:t>
      </w:r>
      <w:proofErr w:type="spellStart"/>
      <w:r w:rsidR="007D5289">
        <w:t>etc</w:t>
      </w:r>
      <w:proofErr w:type="spellEnd"/>
      <w:r w:rsidR="007D5289">
        <w:t>), possible consequential changes required to maintain protection of adjacent RAS allocation.</w:t>
      </w:r>
    </w:p>
    <w:p w:rsidR="000D0AFA" w:rsidRPr="000D0AFA" w:rsidRDefault="000D0AFA" w:rsidP="000D0AFA">
      <w:proofErr w:type="gramStart"/>
      <w:r>
        <w:t>or</w:t>
      </w:r>
      <w:proofErr w:type="gramEnd"/>
    </w:p>
    <w:p w:rsidR="00F667F2" w:rsidRDefault="00F667F2" w:rsidP="00F667F2">
      <w:pPr>
        <w:pStyle w:val="Listenabsatz"/>
        <w:numPr>
          <w:ilvl w:val="0"/>
          <w:numId w:val="11"/>
        </w:numPr>
      </w:pPr>
      <w:r>
        <w:t>Maintain current MSS allocations without change, enter frequency range into Radio Regulations Appendix 15</w:t>
      </w:r>
      <w:r w:rsidR="00DD40E3">
        <w:t xml:space="preserve"> (list of frequencies used by GMDSS)</w:t>
      </w:r>
    </w:p>
    <w:p w:rsidR="00F667F2" w:rsidRDefault="00F667F2" w:rsidP="00DD40E3">
      <w:pPr>
        <w:pStyle w:val="Listenabsatz"/>
        <w:numPr>
          <w:ilvl w:val="1"/>
          <w:numId w:val="11"/>
        </w:numPr>
      </w:pPr>
      <w:r>
        <w:t xml:space="preserve">Benefits: Avoids </w:t>
      </w:r>
      <w:r w:rsidR="00DD40E3">
        <w:t>any change to</w:t>
      </w:r>
      <w:r>
        <w:t xml:space="preserve"> the regulatory relationship between services allocated in the band</w:t>
      </w:r>
      <w:r w:rsidR="00DD40E3">
        <w:t>, provides adequate recognition of the GMDSS use of that frequency range. Avoids any change to the protection of adjacent RAS allocation.</w:t>
      </w:r>
    </w:p>
    <w:p w:rsidR="00DD40E3" w:rsidRPr="00DD40E3" w:rsidRDefault="00DD40E3" w:rsidP="00DD40E3">
      <w:pPr>
        <w:pStyle w:val="Listenabsatz"/>
        <w:numPr>
          <w:ilvl w:val="1"/>
          <w:numId w:val="11"/>
        </w:numPr>
      </w:pPr>
      <w:r>
        <w:t>Drawbacks: None.</w:t>
      </w:r>
    </w:p>
    <w:p w:rsidR="00DD40E3" w:rsidRDefault="00DD40E3" w:rsidP="00DD40E3">
      <w:r>
        <w:t xml:space="preserve">Iridium holds the view that no change in the allocation status of the MSS allocations at 1610-1626.5 MHz is necessary in order to satisfy Agenda Item 1.8 </w:t>
      </w:r>
      <w:r w:rsidRPr="00AB7017">
        <w:rPr>
          <w:rStyle w:val="SchwacheHervorhebung"/>
        </w:rPr>
        <w:t>resolves (2)</w:t>
      </w:r>
      <w:r>
        <w:t>, and therefore proposes to PTC to consider option (ii) above.</w:t>
      </w:r>
    </w:p>
    <w:p w:rsidR="009946E5" w:rsidRDefault="00643590" w:rsidP="00DD40E3">
      <w:r>
        <w:t>Other regulatory changes</w:t>
      </w:r>
      <w:r w:rsidRPr="00643590">
        <w:t xml:space="preserve"> </w:t>
      </w:r>
      <w:r>
        <w:t xml:space="preserve">may also be required to satisfy Agenda Item 1.8 </w:t>
      </w:r>
      <w:r w:rsidRPr="00AB7017">
        <w:rPr>
          <w:rStyle w:val="SchwacheHervorhebung"/>
        </w:rPr>
        <w:t>resolves (2)</w:t>
      </w:r>
      <w:r>
        <w:t>, such as a consideration of the various footnotes. These will be addressed in a later contribution.</w:t>
      </w:r>
    </w:p>
    <w:p w:rsidR="009946E5" w:rsidRPr="004E411F" w:rsidRDefault="009946E5" w:rsidP="00DD40E3">
      <w:r>
        <w:t>_______________________</w:t>
      </w:r>
    </w:p>
    <w:sectPr w:rsidR="009946E5" w:rsidRPr="004E411F" w:rsidSect="00797DEE">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251" w:rsidRDefault="00E73251" w:rsidP="00DB17F9">
      <w:r>
        <w:separator/>
      </w:r>
    </w:p>
    <w:p w:rsidR="00E73251" w:rsidRDefault="00E73251"/>
  </w:endnote>
  <w:endnote w:type="continuationSeparator" w:id="0">
    <w:p w:rsidR="00E73251" w:rsidRDefault="00E73251" w:rsidP="00DB17F9">
      <w:r>
        <w:continuationSeparator/>
      </w:r>
    </w:p>
    <w:p w:rsidR="00E73251" w:rsidRDefault="00E73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251" w:rsidRPr="00F51BD6" w:rsidRDefault="00E73251" w:rsidP="00CD07E7">
      <w:pPr>
        <w:spacing w:before="120" w:after="0"/>
      </w:pPr>
      <w:r>
        <w:separator/>
      </w:r>
    </w:p>
  </w:footnote>
  <w:footnote w:type="continuationSeparator" w:id="0">
    <w:p w:rsidR="00E73251" w:rsidRDefault="00E73251" w:rsidP="00CD07E7">
      <w:pPr>
        <w:spacing w:before="120" w:after="0"/>
      </w:pPr>
      <w:r>
        <w:continuationSeparator/>
      </w:r>
    </w:p>
  </w:footnote>
  <w:footnote w:type="continuationNotice" w:id="1">
    <w:p w:rsidR="00E73251" w:rsidRPr="00CD07E7" w:rsidRDefault="00E73251" w:rsidP="00CD07E7">
      <w:pPr>
        <w:spacing w:before="120" w:after="0"/>
      </w:pPr>
    </w:p>
  </w:footnote>
  <w:footnote w:id="2">
    <w:p w:rsidR="007E5F87" w:rsidRPr="007E5F87" w:rsidRDefault="007E5F87">
      <w:pPr>
        <w:pStyle w:val="Funotentext"/>
        <w:rPr>
          <w:lang w:val="en-GB"/>
        </w:rPr>
      </w:pPr>
      <w:r>
        <w:rPr>
          <w:rStyle w:val="Funotenzeichen"/>
        </w:rPr>
        <w:footnoteRef/>
      </w:r>
      <w:r>
        <w:t xml:space="preserve"> HIBLEO-2 contains the frequency assignments in the 1616-1626.5 MHz band.  A separate set of filings, named HIBLEO-2FL and HIBLEO-2FL2, contains frequency assignments for the feeder links and inter-satelite links operating </w:t>
      </w:r>
      <w:r w:rsidR="005449DB">
        <w:t>in separate frequency bands</w:t>
      </w:r>
      <w:r>
        <w:t>.</w:t>
      </w:r>
    </w:p>
  </w:footnote>
  <w:footnote w:id="3">
    <w:p w:rsidR="00DF5E58" w:rsidRPr="00DF5E58" w:rsidRDefault="00DF5E58">
      <w:pPr>
        <w:pStyle w:val="Funotentext"/>
        <w:rPr>
          <w:lang w:val="en-GB"/>
        </w:rPr>
      </w:pPr>
      <w:r>
        <w:rPr>
          <w:rStyle w:val="Funotenzeichen"/>
        </w:rPr>
        <w:footnoteRef/>
      </w:r>
      <w:r>
        <w:t xml:space="preserve"> IMO Resolution A.1001</w:t>
      </w:r>
      <w:r w:rsidR="00150E0E">
        <w:t>(25)</w:t>
      </w:r>
      <w:r>
        <w:t>, ”</w:t>
      </w:r>
      <w:r w:rsidRPr="00DF5E58">
        <w:t>Criteria for the Provision of Mobile Satellite Communication Systems in the Global Maritime Distress and Safety System (GMDSS)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797DEE">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A27C46">
      <w:rPr>
        <w:noProof/>
      </w:rPr>
      <w:t>2</w:t>
    </w:r>
    <w:r w:rsidRPr="00714F0F">
      <w:fldChar w:fldCharType="end"/>
    </w:r>
  </w:p>
  <w:p w:rsidR="00E11D7E" w:rsidRDefault="00E1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225.65pt;height:59.1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5020A00"/>
    <w:multiLevelType w:val="hybridMultilevel"/>
    <w:tmpl w:val="34FC06BC"/>
    <w:lvl w:ilvl="0" w:tplc="9A5E974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F0043B0"/>
    <w:multiLevelType w:val="hybridMultilevel"/>
    <w:tmpl w:val="967A3DE6"/>
    <w:lvl w:ilvl="0" w:tplc="FD72CB6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9"/>
  </w:num>
  <w:num w:numId="4">
    <w:abstractNumId w:val="5"/>
  </w:num>
  <w:num w:numId="5">
    <w:abstractNumId w:val="7"/>
  </w:num>
  <w:num w:numId="6">
    <w:abstractNumId w:val="6"/>
  </w:num>
  <w:num w:numId="7">
    <w:abstractNumId w:val="8"/>
  </w:num>
  <w:num w:numId="8">
    <w:abstractNumId w:val="3"/>
  </w:num>
  <w:num w:numId="9">
    <w:abstractNumId w:val="3"/>
  </w:num>
  <w:num w:numId="10">
    <w:abstractNumId w:val="2"/>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io9mfObHeORFqVWSPTJspEuA6Ls=" w:salt="DkEATIY2aGgybcXUZeXlow=="/>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81B"/>
    <w:rsid w:val="0001112E"/>
    <w:rsid w:val="00012E3B"/>
    <w:rsid w:val="000302C8"/>
    <w:rsid w:val="00041A18"/>
    <w:rsid w:val="00042498"/>
    <w:rsid w:val="00067793"/>
    <w:rsid w:val="00067E66"/>
    <w:rsid w:val="00080D4D"/>
    <w:rsid w:val="00082DD7"/>
    <w:rsid w:val="000916BA"/>
    <w:rsid w:val="00095620"/>
    <w:rsid w:val="000A3940"/>
    <w:rsid w:val="000B6D45"/>
    <w:rsid w:val="000C028F"/>
    <w:rsid w:val="000D0AFA"/>
    <w:rsid w:val="000D1710"/>
    <w:rsid w:val="000D43BB"/>
    <w:rsid w:val="000D4E43"/>
    <w:rsid w:val="000E42F5"/>
    <w:rsid w:val="000F0594"/>
    <w:rsid w:val="000F0CA8"/>
    <w:rsid w:val="000F24F5"/>
    <w:rsid w:val="000F2ED9"/>
    <w:rsid w:val="001006CA"/>
    <w:rsid w:val="00100F8B"/>
    <w:rsid w:val="00102172"/>
    <w:rsid w:val="00104083"/>
    <w:rsid w:val="00110652"/>
    <w:rsid w:val="00110E3A"/>
    <w:rsid w:val="00150E0E"/>
    <w:rsid w:val="001520B4"/>
    <w:rsid w:val="001526A2"/>
    <w:rsid w:val="00154F16"/>
    <w:rsid w:val="00156314"/>
    <w:rsid w:val="00172B28"/>
    <w:rsid w:val="00183FE0"/>
    <w:rsid w:val="00185539"/>
    <w:rsid w:val="0018553F"/>
    <w:rsid w:val="001A4016"/>
    <w:rsid w:val="001A5DC4"/>
    <w:rsid w:val="001B0583"/>
    <w:rsid w:val="001C30A8"/>
    <w:rsid w:val="001F080B"/>
    <w:rsid w:val="001F69B4"/>
    <w:rsid w:val="0020079A"/>
    <w:rsid w:val="00220137"/>
    <w:rsid w:val="00222F9E"/>
    <w:rsid w:val="002302A9"/>
    <w:rsid w:val="00231259"/>
    <w:rsid w:val="002531B4"/>
    <w:rsid w:val="00263FFB"/>
    <w:rsid w:val="00274F84"/>
    <w:rsid w:val="0027787F"/>
    <w:rsid w:val="0028060B"/>
    <w:rsid w:val="0028120C"/>
    <w:rsid w:val="00283417"/>
    <w:rsid w:val="002936AC"/>
    <w:rsid w:val="00295827"/>
    <w:rsid w:val="00295F16"/>
    <w:rsid w:val="00296C44"/>
    <w:rsid w:val="002A033F"/>
    <w:rsid w:val="002C57F3"/>
    <w:rsid w:val="002C6DC3"/>
    <w:rsid w:val="002C79E2"/>
    <w:rsid w:val="002D1FA9"/>
    <w:rsid w:val="002D50A3"/>
    <w:rsid w:val="002F6C5C"/>
    <w:rsid w:val="003007C0"/>
    <w:rsid w:val="00307A79"/>
    <w:rsid w:val="003204D5"/>
    <w:rsid w:val="00320ED0"/>
    <w:rsid w:val="00322E6A"/>
    <w:rsid w:val="003314A0"/>
    <w:rsid w:val="00381169"/>
    <w:rsid w:val="0038287C"/>
    <w:rsid w:val="0038358E"/>
    <w:rsid w:val="00387DDE"/>
    <w:rsid w:val="00391A01"/>
    <w:rsid w:val="003A0EB5"/>
    <w:rsid w:val="003A5711"/>
    <w:rsid w:val="003B0C6E"/>
    <w:rsid w:val="003B73F5"/>
    <w:rsid w:val="003C64D9"/>
    <w:rsid w:val="003D2201"/>
    <w:rsid w:val="003D478B"/>
    <w:rsid w:val="003E2E42"/>
    <w:rsid w:val="003E70E0"/>
    <w:rsid w:val="003F17EF"/>
    <w:rsid w:val="00403CE6"/>
    <w:rsid w:val="00405EA4"/>
    <w:rsid w:val="004110CA"/>
    <w:rsid w:val="0041160E"/>
    <w:rsid w:val="00417FDF"/>
    <w:rsid w:val="0042761F"/>
    <w:rsid w:val="00431162"/>
    <w:rsid w:val="00441EE0"/>
    <w:rsid w:val="00443482"/>
    <w:rsid w:val="00450308"/>
    <w:rsid w:val="00457AD1"/>
    <w:rsid w:val="0046427F"/>
    <w:rsid w:val="00480C94"/>
    <w:rsid w:val="00485665"/>
    <w:rsid w:val="00491977"/>
    <w:rsid w:val="0049430B"/>
    <w:rsid w:val="00496493"/>
    <w:rsid w:val="004A1329"/>
    <w:rsid w:val="004C4A2E"/>
    <w:rsid w:val="004E057E"/>
    <w:rsid w:val="004E411F"/>
    <w:rsid w:val="004E44C8"/>
    <w:rsid w:val="004E53BE"/>
    <w:rsid w:val="004E7F82"/>
    <w:rsid w:val="004F3EA9"/>
    <w:rsid w:val="004F7F5E"/>
    <w:rsid w:val="00501992"/>
    <w:rsid w:val="005101E2"/>
    <w:rsid w:val="0053062A"/>
    <w:rsid w:val="00535050"/>
    <w:rsid w:val="00536F3C"/>
    <w:rsid w:val="0054260E"/>
    <w:rsid w:val="005449DB"/>
    <w:rsid w:val="00550D79"/>
    <w:rsid w:val="005559AC"/>
    <w:rsid w:val="00555FB3"/>
    <w:rsid w:val="00557B5A"/>
    <w:rsid w:val="005611D0"/>
    <w:rsid w:val="0056398A"/>
    <w:rsid w:val="00566BD4"/>
    <w:rsid w:val="0057327C"/>
    <w:rsid w:val="00576411"/>
    <w:rsid w:val="00577CAF"/>
    <w:rsid w:val="00580223"/>
    <w:rsid w:val="00582627"/>
    <w:rsid w:val="00594186"/>
    <w:rsid w:val="00594EBE"/>
    <w:rsid w:val="005A05D1"/>
    <w:rsid w:val="005A53B8"/>
    <w:rsid w:val="005B202B"/>
    <w:rsid w:val="005C10EB"/>
    <w:rsid w:val="005C2301"/>
    <w:rsid w:val="005C5A96"/>
    <w:rsid w:val="005D371D"/>
    <w:rsid w:val="005E7495"/>
    <w:rsid w:val="00621C12"/>
    <w:rsid w:val="00623E18"/>
    <w:rsid w:val="00625C5D"/>
    <w:rsid w:val="00635A22"/>
    <w:rsid w:val="00636B30"/>
    <w:rsid w:val="00642083"/>
    <w:rsid w:val="00643590"/>
    <w:rsid w:val="00652DC1"/>
    <w:rsid w:val="00652FF9"/>
    <w:rsid w:val="0065550D"/>
    <w:rsid w:val="00664295"/>
    <w:rsid w:val="00665364"/>
    <w:rsid w:val="00667B35"/>
    <w:rsid w:val="00673A9B"/>
    <w:rsid w:val="006876A8"/>
    <w:rsid w:val="006A49E3"/>
    <w:rsid w:val="006B1EFD"/>
    <w:rsid w:val="006C14E4"/>
    <w:rsid w:val="006C6DA8"/>
    <w:rsid w:val="006C7F61"/>
    <w:rsid w:val="006D0143"/>
    <w:rsid w:val="006D407F"/>
    <w:rsid w:val="006F0442"/>
    <w:rsid w:val="006F4A25"/>
    <w:rsid w:val="00705119"/>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1AAC"/>
    <w:rsid w:val="00797D4C"/>
    <w:rsid w:val="00797DEE"/>
    <w:rsid w:val="007C0E7E"/>
    <w:rsid w:val="007C4098"/>
    <w:rsid w:val="007C5F20"/>
    <w:rsid w:val="007D17C5"/>
    <w:rsid w:val="007D5289"/>
    <w:rsid w:val="007D52EC"/>
    <w:rsid w:val="007E5F87"/>
    <w:rsid w:val="007F1CEE"/>
    <w:rsid w:val="00833DA0"/>
    <w:rsid w:val="00837537"/>
    <w:rsid w:val="00842766"/>
    <w:rsid w:val="00842D9F"/>
    <w:rsid w:val="00853369"/>
    <w:rsid w:val="00854EBF"/>
    <w:rsid w:val="0086094D"/>
    <w:rsid w:val="00872382"/>
    <w:rsid w:val="00886906"/>
    <w:rsid w:val="008912FE"/>
    <w:rsid w:val="008A245D"/>
    <w:rsid w:val="008A54FC"/>
    <w:rsid w:val="008B70CD"/>
    <w:rsid w:val="008D141C"/>
    <w:rsid w:val="008D2725"/>
    <w:rsid w:val="008D2C13"/>
    <w:rsid w:val="008E6109"/>
    <w:rsid w:val="008F47AB"/>
    <w:rsid w:val="00902444"/>
    <w:rsid w:val="009170EA"/>
    <w:rsid w:val="0092076F"/>
    <w:rsid w:val="00930439"/>
    <w:rsid w:val="00937AEB"/>
    <w:rsid w:val="00953A22"/>
    <w:rsid w:val="009662E3"/>
    <w:rsid w:val="00966DD9"/>
    <w:rsid w:val="00986677"/>
    <w:rsid w:val="0099421C"/>
    <w:rsid w:val="009946E5"/>
    <w:rsid w:val="009A2F3A"/>
    <w:rsid w:val="009A7A45"/>
    <w:rsid w:val="009C3803"/>
    <w:rsid w:val="009D2C13"/>
    <w:rsid w:val="009D3BA5"/>
    <w:rsid w:val="009D4BA1"/>
    <w:rsid w:val="009D53F4"/>
    <w:rsid w:val="009D5B00"/>
    <w:rsid w:val="009D7D5A"/>
    <w:rsid w:val="009E47EB"/>
    <w:rsid w:val="009F3A37"/>
    <w:rsid w:val="009F6EA2"/>
    <w:rsid w:val="00A02090"/>
    <w:rsid w:val="00A03731"/>
    <w:rsid w:val="00A061CE"/>
    <w:rsid w:val="00A076B5"/>
    <w:rsid w:val="00A17F69"/>
    <w:rsid w:val="00A23870"/>
    <w:rsid w:val="00A274DB"/>
    <w:rsid w:val="00A27C46"/>
    <w:rsid w:val="00A27C66"/>
    <w:rsid w:val="00A40A63"/>
    <w:rsid w:val="00A41E1E"/>
    <w:rsid w:val="00A6411D"/>
    <w:rsid w:val="00A73298"/>
    <w:rsid w:val="00A751C0"/>
    <w:rsid w:val="00A84C0C"/>
    <w:rsid w:val="00A92BAE"/>
    <w:rsid w:val="00A95ACB"/>
    <w:rsid w:val="00A96E4B"/>
    <w:rsid w:val="00A97942"/>
    <w:rsid w:val="00AA079B"/>
    <w:rsid w:val="00AA086A"/>
    <w:rsid w:val="00AB7017"/>
    <w:rsid w:val="00AC0EA5"/>
    <w:rsid w:val="00AC2686"/>
    <w:rsid w:val="00AD17F3"/>
    <w:rsid w:val="00AD1BE1"/>
    <w:rsid w:val="00AD7257"/>
    <w:rsid w:val="00AF2D0C"/>
    <w:rsid w:val="00AF4C0E"/>
    <w:rsid w:val="00B14E5E"/>
    <w:rsid w:val="00B25910"/>
    <w:rsid w:val="00B26648"/>
    <w:rsid w:val="00B26973"/>
    <w:rsid w:val="00B30D3B"/>
    <w:rsid w:val="00B34F52"/>
    <w:rsid w:val="00B432D4"/>
    <w:rsid w:val="00B45F33"/>
    <w:rsid w:val="00B5315C"/>
    <w:rsid w:val="00B576D7"/>
    <w:rsid w:val="00B80892"/>
    <w:rsid w:val="00B82735"/>
    <w:rsid w:val="00B92306"/>
    <w:rsid w:val="00B92861"/>
    <w:rsid w:val="00BA7A69"/>
    <w:rsid w:val="00BB15E2"/>
    <w:rsid w:val="00BD28DF"/>
    <w:rsid w:val="00BD6876"/>
    <w:rsid w:val="00BE2864"/>
    <w:rsid w:val="00C00565"/>
    <w:rsid w:val="00C034FF"/>
    <w:rsid w:val="00C076BF"/>
    <w:rsid w:val="00C212B5"/>
    <w:rsid w:val="00C25F81"/>
    <w:rsid w:val="00C27F02"/>
    <w:rsid w:val="00C44908"/>
    <w:rsid w:val="00C504F4"/>
    <w:rsid w:val="00C512DE"/>
    <w:rsid w:val="00C57E85"/>
    <w:rsid w:val="00C65BB4"/>
    <w:rsid w:val="00C677F2"/>
    <w:rsid w:val="00C75192"/>
    <w:rsid w:val="00C8071C"/>
    <w:rsid w:val="00C816CB"/>
    <w:rsid w:val="00C82461"/>
    <w:rsid w:val="00C8484D"/>
    <w:rsid w:val="00C91E3B"/>
    <w:rsid w:val="00C9735F"/>
    <w:rsid w:val="00CA07CC"/>
    <w:rsid w:val="00CA25B5"/>
    <w:rsid w:val="00CA4FCE"/>
    <w:rsid w:val="00CA5F8F"/>
    <w:rsid w:val="00CC4239"/>
    <w:rsid w:val="00CC5A6F"/>
    <w:rsid w:val="00CD07E7"/>
    <w:rsid w:val="00CE1DF1"/>
    <w:rsid w:val="00CE271A"/>
    <w:rsid w:val="00CE6FF5"/>
    <w:rsid w:val="00CF5245"/>
    <w:rsid w:val="00D06683"/>
    <w:rsid w:val="00D07B1A"/>
    <w:rsid w:val="00D1167E"/>
    <w:rsid w:val="00D16C28"/>
    <w:rsid w:val="00D234E7"/>
    <w:rsid w:val="00D30E46"/>
    <w:rsid w:val="00D3663D"/>
    <w:rsid w:val="00D4349F"/>
    <w:rsid w:val="00D47EF6"/>
    <w:rsid w:val="00D50AC8"/>
    <w:rsid w:val="00D60A44"/>
    <w:rsid w:val="00D7390F"/>
    <w:rsid w:val="00D74F04"/>
    <w:rsid w:val="00D806C9"/>
    <w:rsid w:val="00D90913"/>
    <w:rsid w:val="00D92BEC"/>
    <w:rsid w:val="00DA18F2"/>
    <w:rsid w:val="00DB17F9"/>
    <w:rsid w:val="00DC5DFB"/>
    <w:rsid w:val="00DD40E3"/>
    <w:rsid w:val="00DD6973"/>
    <w:rsid w:val="00DE7686"/>
    <w:rsid w:val="00DF2C67"/>
    <w:rsid w:val="00DF3AE2"/>
    <w:rsid w:val="00DF5E58"/>
    <w:rsid w:val="00DF7D21"/>
    <w:rsid w:val="00E03771"/>
    <w:rsid w:val="00E059C5"/>
    <w:rsid w:val="00E11D7E"/>
    <w:rsid w:val="00E14334"/>
    <w:rsid w:val="00E2303A"/>
    <w:rsid w:val="00E343BD"/>
    <w:rsid w:val="00E348D9"/>
    <w:rsid w:val="00E36601"/>
    <w:rsid w:val="00E46600"/>
    <w:rsid w:val="00E4781B"/>
    <w:rsid w:val="00E60351"/>
    <w:rsid w:val="00E668CE"/>
    <w:rsid w:val="00E71AE7"/>
    <w:rsid w:val="00E73251"/>
    <w:rsid w:val="00E752E6"/>
    <w:rsid w:val="00E86AFC"/>
    <w:rsid w:val="00EA2ED5"/>
    <w:rsid w:val="00EA6088"/>
    <w:rsid w:val="00EA737C"/>
    <w:rsid w:val="00EC1A2C"/>
    <w:rsid w:val="00ED2C10"/>
    <w:rsid w:val="00F12BAA"/>
    <w:rsid w:val="00F212EB"/>
    <w:rsid w:val="00F23D13"/>
    <w:rsid w:val="00F32DEC"/>
    <w:rsid w:val="00F43E24"/>
    <w:rsid w:val="00F45561"/>
    <w:rsid w:val="00F465D3"/>
    <w:rsid w:val="00F51BD6"/>
    <w:rsid w:val="00F56F06"/>
    <w:rsid w:val="00F56F62"/>
    <w:rsid w:val="00F62D48"/>
    <w:rsid w:val="00F667F2"/>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7E43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SchwacheHervorhebung">
    <w:name w:val="Subtle Emphasis"/>
    <w:basedOn w:val="Absatz-Standardschriftart"/>
    <w:uiPriority w:val="19"/>
    <w:qFormat/>
    <w:rsid w:val="001A4016"/>
    <w:rPr>
      <w:i/>
      <w:iCs/>
      <w:color w:val="404040" w:themeColor="text1" w:themeTint="BF"/>
    </w:rPr>
  </w:style>
  <w:style w:type="character" w:styleId="Kommentarzeichen">
    <w:name w:val="annotation reference"/>
    <w:basedOn w:val="Absatz-Standardschriftart"/>
    <w:uiPriority w:val="99"/>
    <w:semiHidden/>
    <w:unhideWhenUsed/>
    <w:locked/>
    <w:rsid w:val="00652FF9"/>
    <w:rPr>
      <w:sz w:val="16"/>
      <w:szCs w:val="16"/>
    </w:rPr>
  </w:style>
  <w:style w:type="paragraph" w:styleId="Kommentartext">
    <w:name w:val="annotation text"/>
    <w:basedOn w:val="Standard"/>
    <w:link w:val="KommentartextZchn"/>
    <w:uiPriority w:val="99"/>
    <w:semiHidden/>
    <w:unhideWhenUsed/>
    <w:locked/>
    <w:rsid w:val="00652FF9"/>
    <w:rPr>
      <w:szCs w:val="20"/>
    </w:rPr>
  </w:style>
  <w:style w:type="character" w:customStyle="1" w:styleId="KommentartextZchn">
    <w:name w:val="Kommentartext Zchn"/>
    <w:basedOn w:val="Absatz-Standardschriftart"/>
    <w:link w:val="Kommentartext"/>
    <w:uiPriority w:val="99"/>
    <w:semiHidden/>
    <w:rsid w:val="00652FF9"/>
    <w:rPr>
      <w:rFonts w:eastAsia="Calibri"/>
      <w:lang w:val="en-GB"/>
    </w:rPr>
  </w:style>
  <w:style w:type="paragraph" w:styleId="Kommentarthema">
    <w:name w:val="annotation subject"/>
    <w:basedOn w:val="Kommentartext"/>
    <w:next w:val="Kommentartext"/>
    <w:link w:val="KommentarthemaZchn"/>
    <w:uiPriority w:val="99"/>
    <w:semiHidden/>
    <w:unhideWhenUsed/>
    <w:locked/>
    <w:rsid w:val="00652FF9"/>
    <w:rPr>
      <w:b/>
      <w:bCs/>
    </w:rPr>
  </w:style>
  <w:style w:type="character" w:customStyle="1" w:styleId="KommentarthemaZchn">
    <w:name w:val="Kommentarthema Zchn"/>
    <w:basedOn w:val="KommentartextZchn"/>
    <w:link w:val="Kommentarthema"/>
    <w:uiPriority w:val="99"/>
    <w:semiHidden/>
    <w:rsid w:val="00652FF9"/>
    <w:rPr>
      <w:rFonts w:eastAsia="Calibri"/>
      <w:b/>
      <w:bCs/>
      <w:lang w:val="en-GB"/>
    </w:rPr>
  </w:style>
  <w:style w:type="paragraph" w:styleId="berarbeitung">
    <w:name w:val="Revision"/>
    <w:hidden/>
    <w:uiPriority w:val="99"/>
    <w:semiHidden/>
    <w:rsid w:val="00185539"/>
    <w:pPr>
      <w:spacing w:before="0" w:after="0"/>
      <w:jc w:val="left"/>
    </w:pPr>
    <w:rPr>
      <w:rFonts w:eastAsia="Calibri"/>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SchwacheHervorhebung">
    <w:name w:val="Subtle Emphasis"/>
    <w:basedOn w:val="Absatz-Standardschriftart"/>
    <w:uiPriority w:val="19"/>
    <w:qFormat/>
    <w:rsid w:val="001A4016"/>
    <w:rPr>
      <w:i/>
      <w:iCs/>
      <w:color w:val="404040" w:themeColor="text1" w:themeTint="BF"/>
    </w:rPr>
  </w:style>
  <w:style w:type="character" w:styleId="Kommentarzeichen">
    <w:name w:val="annotation reference"/>
    <w:basedOn w:val="Absatz-Standardschriftart"/>
    <w:uiPriority w:val="99"/>
    <w:semiHidden/>
    <w:unhideWhenUsed/>
    <w:locked/>
    <w:rsid w:val="00652FF9"/>
    <w:rPr>
      <w:sz w:val="16"/>
      <w:szCs w:val="16"/>
    </w:rPr>
  </w:style>
  <w:style w:type="paragraph" w:styleId="Kommentartext">
    <w:name w:val="annotation text"/>
    <w:basedOn w:val="Standard"/>
    <w:link w:val="KommentartextZchn"/>
    <w:uiPriority w:val="99"/>
    <w:semiHidden/>
    <w:unhideWhenUsed/>
    <w:locked/>
    <w:rsid w:val="00652FF9"/>
    <w:rPr>
      <w:szCs w:val="20"/>
    </w:rPr>
  </w:style>
  <w:style w:type="character" w:customStyle="1" w:styleId="KommentartextZchn">
    <w:name w:val="Kommentartext Zchn"/>
    <w:basedOn w:val="Absatz-Standardschriftart"/>
    <w:link w:val="Kommentartext"/>
    <w:uiPriority w:val="99"/>
    <w:semiHidden/>
    <w:rsid w:val="00652FF9"/>
    <w:rPr>
      <w:rFonts w:eastAsia="Calibri"/>
      <w:lang w:val="en-GB"/>
    </w:rPr>
  </w:style>
  <w:style w:type="paragraph" w:styleId="Kommentarthema">
    <w:name w:val="annotation subject"/>
    <w:basedOn w:val="Kommentartext"/>
    <w:next w:val="Kommentartext"/>
    <w:link w:val="KommentarthemaZchn"/>
    <w:uiPriority w:val="99"/>
    <w:semiHidden/>
    <w:unhideWhenUsed/>
    <w:locked/>
    <w:rsid w:val="00652FF9"/>
    <w:rPr>
      <w:b/>
      <w:bCs/>
    </w:rPr>
  </w:style>
  <w:style w:type="character" w:customStyle="1" w:styleId="KommentarthemaZchn">
    <w:name w:val="Kommentarthema Zchn"/>
    <w:basedOn w:val="KommentartextZchn"/>
    <w:link w:val="Kommentarthema"/>
    <w:uiPriority w:val="99"/>
    <w:semiHidden/>
    <w:rsid w:val="00652FF9"/>
    <w:rPr>
      <w:rFonts w:eastAsia="Calibri"/>
      <w:b/>
      <w:bCs/>
      <w:lang w:val="en-GB"/>
    </w:rPr>
  </w:style>
  <w:style w:type="paragraph" w:styleId="berarbeitung">
    <w:name w:val="Revision"/>
    <w:hidden/>
    <w:uiPriority w:val="99"/>
    <w:semiHidden/>
    <w:rsid w:val="00185539"/>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C503-E304-4C7C-B87A-92451E5B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7917</Characters>
  <Application>Microsoft Office Word</Application>
  <DocSecurity>4</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stella.lyubchenko@eco.cept.org</Manager>
  <Company>ECO</Company>
  <LinksUpToDate>false</LinksUpToDate>
  <CharactersWithSpaces>9155</CharactersWithSpaces>
  <SharedDoc>false</SharedDoc>
  <HyperlinkBase/>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CPG</dc:creator>
  <dc:description>This template is used as guidance to draft generic contributions to CEPT</dc:description>
  <cp:lastModifiedBy>PTC-Secretary</cp:lastModifiedBy>
  <cp:revision>2</cp:revision>
  <cp:lastPrinted>2017-01-22T21:46:00Z</cp:lastPrinted>
  <dcterms:created xsi:type="dcterms:W3CDTF">2017-01-23T13:58:00Z</dcterms:created>
  <dcterms:modified xsi:type="dcterms:W3CDTF">2017-01-23T13:58:00Z</dcterms:modified>
  <cp:category>protected templates</cp:category>
  <cp:contentStatus>Revision 19.10.2014</cp:contentStatus>
</cp:coreProperties>
</file>