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2" w:type="dxa"/>
        <w:tblLayout w:type="fixed"/>
        <w:tblCellMar>
          <w:left w:w="70" w:type="dxa"/>
          <w:right w:w="70" w:type="dxa"/>
        </w:tblCellMar>
        <w:tblLook w:val="0000" w:firstRow="0" w:lastRow="0" w:firstColumn="0" w:lastColumn="0" w:noHBand="0" w:noVBand="0"/>
      </w:tblPr>
      <w:tblGrid>
        <w:gridCol w:w="1819"/>
        <w:gridCol w:w="3001"/>
        <w:gridCol w:w="5528"/>
      </w:tblGrid>
      <w:tr w:rsidR="00265F50" w:rsidRPr="00A3755D" w14:paraId="2085C641" w14:textId="77777777" w:rsidTr="00734E8D">
        <w:trPr>
          <w:cantSplit/>
          <w:trHeight w:val="1560"/>
        </w:trPr>
        <w:tc>
          <w:tcPr>
            <w:tcW w:w="4820" w:type="dxa"/>
            <w:gridSpan w:val="2"/>
            <w:tcBorders>
              <w:top w:val="nil"/>
              <w:left w:val="nil"/>
              <w:bottom w:val="nil"/>
              <w:right w:val="nil"/>
            </w:tcBorders>
            <w:vAlign w:val="center"/>
          </w:tcPr>
          <w:p w14:paraId="12E7937E" w14:textId="7BD7F01D" w:rsidR="00265F50" w:rsidRPr="00265F50" w:rsidRDefault="00265F50" w:rsidP="00DD5136">
            <w:pPr>
              <w:pStyle w:val="ECCLetterHead"/>
            </w:pPr>
            <w:r w:rsidRPr="00265F50">
              <w:rPr>
                <w:noProof/>
                <w:lang w:val="da-DK"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240517">
              <w:t>ECC PT1</w:t>
            </w:r>
          </w:p>
        </w:tc>
        <w:tc>
          <w:tcPr>
            <w:tcW w:w="5528" w:type="dxa"/>
            <w:tcBorders>
              <w:top w:val="nil"/>
              <w:left w:val="nil"/>
              <w:bottom w:val="nil"/>
              <w:right w:val="nil"/>
            </w:tcBorders>
            <w:shd w:val="clear" w:color="auto" w:fill="auto"/>
          </w:tcPr>
          <w:p w14:paraId="5911F235" w14:textId="287E8C6B" w:rsidR="00265F50" w:rsidRPr="00734E8D" w:rsidRDefault="00265F50" w:rsidP="00DD5136">
            <w:pPr>
              <w:pStyle w:val="ECCLetterHead"/>
            </w:pPr>
            <w:r w:rsidRPr="00734E8D">
              <w:tab/>
            </w:r>
            <w:r w:rsidR="00240517" w:rsidRPr="00734E8D">
              <w:t>ECC PT1</w:t>
            </w:r>
            <w:r w:rsidR="00F11542" w:rsidRPr="00734E8D">
              <w:t>(</w:t>
            </w:r>
            <w:r w:rsidR="00BE0B23" w:rsidRPr="00734E8D">
              <w:t>2</w:t>
            </w:r>
            <w:r w:rsidR="00240517" w:rsidRPr="00734E8D">
              <w:t>2</w:t>
            </w:r>
            <w:r w:rsidRPr="00734E8D">
              <w:t>)</w:t>
            </w:r>
            <w:r w:rsidR="006E4BEC">
              <w:t>211</w:t>
            </w:r>
          </w:p>
        </w:tc>
      </w:tr>
      <w:tr w:rsidR="00F11542" w:rsidRPr="00A3755D" w14:paraId="4F672DAE" w14:textId="77777777" w:rsidTr="00734E8D">
        <w:tblPrEx>
          <w:tblCellMar>
            <w:left w:w="108" w:type="dxa"/>
            <w:right w:w="108" w:type="dxa"/>
          </w:tblCellMar>
        </w:tblPrEx>
        <w:trPr>
          <w:cantSplit/>
          <w:trHeight w:val="405"/>
        </w:trPr>
        <w:tc>
          <w:tcPr>
            <w:tcW w:w="10348" w:type="dxa"/>
            <w:gridSpan w:val="3"/>
            <w:tcBorders>
              <w:top w:val="nil"/>
              <w:left w:val="nil"/>
              <w:bottom w:val="nil"/>
              <w:right w:val="nil"/>
            </w:tcBorders>
            <w:shd w:val="clear" w:color="auto" w:fill="auto"/>
            <w:vAlign w:val="center"/>
          </w:tcPr>
          <w:p w14:paraId="47136DC6" w14:textId="339E50AB" w:rsidR="00F11542" w:rsidRPr="00734E8D" w:rsidRDefault="00240517" w:rsidP="00DD5136">
            <w:pPr>
              <w:pStyle w:val="ECCLetterHead"/>
            </w:pPr>
            <w:r w:rsidRPr="00734E8D">
              <w:t>ECC PT1 #7</w:t>
            </w:r>
            <w:r w:rsidR="00734E8D">
              <w:t>2</w:t>
            </w:r>
          </w:p>
        </w:tc>
      </w:tr>
      <w:tr w:rsidR="00F11542" w:rsidRPr="00A3755D" w14:paraId="563A76CA" w14:textId="77777777" w:rsidTr="00734E8D">
        <w:tblPrEx>
          <w:tblCellMar>
            <w:left w:w="108" w:type="dxa"/>
            <w:right w:w="108" w:type="dxa"/>
          </w:tblCellMar>
        </w:tblPrEx>
        <w:trPr>
          <w:cantSplit/>
          <w:trHeight w:val="405"/>
        </w:trPr>
        <w:tc>
          <w:tcPr>
            <w:tcW w:w="10348" w:type="dxa"/>
            <w:gridSpan w:val="3"/>
            <w:tcBorders>
              <w:top w:val="nil"/>
              <w:left w:val="nil"/>
              <w:bottom w:val="nil"/>
              <w:right w:val="nil"/>
            </w:tcBorders>
            <w:shd w:val="clear" w:color="auto" w:fill="auto"/>
            <w:vAlign w:val="center"/>
          </w:tcPr>
          <w:p w14:paraId="44504381" w14:textId="4B43DE16" w:rsidR="00F11542" w:rsidRPr="002D74E4" w:rsidRDefault="00240517" w:rsidP="00240517">
            <w:pPr>
              <w:pStyle w:val="ECCLetterHead"/>
            </w:pPr>
            <w:r w:rsidRPr="002D74E4">
              <w:t xml:space="preserve">Hybrid: Copenhagen and web meeting, </w:t>
            </w:r>
            <w:r w:rsidR="00734E8D" w:rsidRPr="006F3150">
              <w:t>26-30</w:t>
            </w:r>
            <w:r w:rsidRPr="006F3150">
              <w:t xml:space="preserve"> </w:t>
            </w:r>
            <w:r w:rsidR="00734E8D" w:rsidRPr="006F3150">
              <w:t>September</w:t>
            </w:r>
            <w:r w:rsidRPr="006F3150">
              <w:t xml:space="preserve"> 2022</w:t>
            </w:r>
          </w:p>
        </w:tc>
      </w:tr>
      <w:tr w:rsidR="00F11542" w:rsidRPr="00A3755D" w14:paraId="4B0D1AF6" w14:textId="77777777" w:rsidTr="00734E8D">
        <w:tblPrEx>
          <w:tblCellMar>
            <w:left w:w="108" w:type="dxa"/>
            <w:right w:w="108" w:type="dxa"/>
          </w:tblCellMar>
        </w:tblPrEx>
        <w:trPr>
          <w:cantSplit/>
          <w:trHeight w:hRule="exact" w:val="79"/>
        </w:trPr>
        <w:tc>
          <w:tcPr>
            <w:tcW w:w="10348" w:type="dxa"/>
            <w:gridSpan w:val="3"/>
            <w:tcBorders>
              <w:top w:val="nil"/>
              <w:left w:val="nil"/>
              <w:bottom w:val="nil"/>
              <w:right w:val="nil"/>
            </w:tcBorders>
            <w:shd w:val="clear" w:color="auto" w:fill="auto"/>
            <w:vAlign w:val="center"/>
          </w:tcPr>
          <w:p w14:paraId="1BEC15CD" w14:textId="77777777" w:rsidR="00F11542" w:rsidRPr="002D74E4" w:rsidRDefault="00F11542" w:rsidP="00263FFB">
            <w:pPr>
              <w:pStyle w:val="ECCLetterHead"/>
            </w:pPr>
          </w:p>
        </w:tc>
      </w:tr>
      <w:tr w:rsidR="00263FFB" w:rsidRPr="00A3755D" w14:paraId="7893EA43" w14:textId="77777777" w:rsidTr="00734E8D">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8529" w:type="dxa"/>
            <w:gridSpan w:val="2"/>
            <w:tcBorders>
              <w:top w:val="nil"/>
              <w:left w:val="nil"/>
              <w:bottom w:val="nil"/>
              <w:right w:val="nil"/>
            </w:tcBorders>
            <w:shd w:val="clear" w:color="auto" w:fill="auto"/>
            <w:vAlign w:val="center"/>
          </w:tcPr>
          <w:p w14:paraId="5B5F7838" w14:textId="28DF9237" w:rsidR="00263FFB" w:rsidRPr="002D74E4" w:rsidRDefault="00734E8D" w:rsidP="00263FFB">
            <w:pPr>
              <w:pStyle w:val="ECCLetterHead"/>
            </w:pPr>
            <w:r w:rsidRPr="006F3150">
              <w:t>20 September</w:t>
            </w:r>
            <w:r w:rsidR="00240517" w:rsidRPr="006F3150">
              <w:t xml:space="preserve"> 2022</w:t>
            </w:r>
          </w:p>
        </w:tc>
      </w:tr>
      <w:tr w:rsidR="00263FFB" w:rsidRPr="00A3755D" w14:paraId="610BD899" w14:textId="77777777" w:rsidTr="00A048A6">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8529" w:type="dxa"/>
            <w:gridSpan w:val="2"/>
            <w:tcBorders>
              <w:top w:val="nil"/>
              <w:left w:val="nil"/>
              <w:bottom w:val="nil"/>
              <w:right w:val="nil"/>
            </w:tcBorders>
            <w:vAlign w:val="center"/>
          </w:tcPr>
          <w:p w14:paraId="50D045A0" w14:textId="500EB029" w:rsidR="00263FFB" w:rsidRPr="002D74E4" w:rsidRDefault="002D74E4" w:rsidP="00263FFB">
            <w:pPr>
              <w:pStyle w:val="ECCLetterHead"/>
            </w:pPr>
            <w:r>
              <w:t>Ericsson, Huawei and Nokia</w:t>
            </w:r>
          </w:p>
        </w:tc>
      </w:tr>
      <w:tr w:rsidR="00263FFB" w:rsidRPr="00A3755D" w14:paraId="31AEFAF8" w14:textId="77777777" w:rsidTr="00A048A6">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8529" w:type="dxa"/>
            <w:gridSpan w:val="2"/>
            <w:tcBorders>
              <w:top w:val="nil"/>
              <w:left w:val="nil"/>
              <w:bottom w:val="nil"/>
              <w:right w:val="nil"/>
            </w:tcBorders>
            <w:vAlign w:val="center"/>
          </w:tcPr>
          <w:p w14:paraId="641C6DD9" w14:textId="5C2030C0" w:rsidR="00263FFB" w:rsidRPr="00263FFB" w:rsidRDefault="00734E8D" w:rsidP="00263FFB">
            <w:pPr>
              <w:pStyle w:val="ECCLetterHead"/>
            </w:pPr>
            <w:bookmarkStart w:id="0" w:name="_Hlk102372269"/>
            <w:r>
              <w:rPr>
                <w:lang w:eastAsia="zh-CN"/>
              </w:rPr>
              <w:t>Parameters assumption for s</w:t>
            </w:r>
            <w:r w:rsidR="0029245B" w:rsidRPr="00213382">
              <w:rPr>
                <w:lang w:eastAsia="zh-CN"/>
              </w:rPr>
              <w:t>haring and compatibility</w:t>
            </w:r>
            <w:r>
              <w:rPr>
                <w:lang w:eastAsia="zh-CN"/>
              </w:rPr>
              <w:t xml:space="preserve"> analysis</w:t>
            </w:r>
            <w:r w:rsidR="0029245B" w:rsidRPr="00213382">
              <w:rPr>
                <w:lang w:eastAsia="zh-CN"/>
              </w:rPr>
              <w:t xml:space="preserve"> of FSS (Earth-to-space) operating in the frequency band 6 425</w:t>
            </w:r>
            <w:r w:rsidR="00134B91">
              <w:rPr>
                <w:lang w:eastAsia="zh-CN"/>
              </w:rPr>
              <w:t xml:space="preserve"> </w:t>
            </w:r>
            <w:r w:rsidR="0029245B" w:rsidRPr="00213382">
              <w:rPr>
                <w:lang w:eastAsia="zh-CN"/>
              </w:rPr>
              <w:t>-</w:t>
            </w:r>
            <w:r w:rsidR="00134B91">
              <w:rPr>
                <w:lang w:eastAsia="zh-CN"/>
              </w:rPr>
              <w:t xml:space="preserve"> </w:t>
            </w:r>
            <w:r w:rsidR="0029245B" w:rsidRPr="00213382">
              <w:rPr>
                <w:lang w:eastAsia="zh-CN"/>
              </w:rPr>
              <w:t>7 075 MHz and IMT operating</w:t>
            </w:r>
            <w:r w:rsidR="0057287F">
              <w:rPr>
                <w:lang w:eastAsia="zh-CN"/>
              </w:rPr>
              <w:t xml:space="preserve"> </w:t>
            </w:r>
            <w:r w:rsidR="0029245B" w:rsidRPr="00213382">
              <w:rPr>
                <w:lang w:eastAsia="zh-CN"/>
              </w:rPr>
              <w:t>in the frequency band 6 425-7 125 MHz</w:t>
            </w:r>
            <w:r w:rsidR="00240517" w:rsidRPr="00F66E7D">
              <w:t xml:space="preserve"> for </w:t>
            </w:r>
            <w:r w:rsidR="00240517">
              <w:t>WRC</w:t>
            </w:r>
            <w:r w:rsidR="00240517" w:rsidRPr="00F66E7D">
              <w:t>-23 agenda item 1.2</w:t>
            </w:r>
            <w:bookmarkEnd w:id="0"/>
          </w:p>
        </w:tc>
      </w:tr>
      <w:tr w:rsidR="00263FFB" w:rsidRPr="00A3755D" w14:paraId="1E7D321D" w14:textId="77777777" w:rsidTr="00A048A6">
        <w:tblPrEx>
          <w:tblCellMar>
            <w:left w:w="108" w:type="dxa"/>
            <w:right w:w="108" w:type="dxa"/>
          </w:tblCellMar>
        </w:tblPrEx>
        <w:trPr>
          <w:cantSplit/>
          <w:trHeight w:val="1040"/>
        </w:trPr>
        <w:tc>
          <w:tcPr>
            <w:tcW w:w="10348" w:type="dxa"/>
            <w:gridSpan w:val="3"/>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val="da-DK" w:eastAsia="da-DK"/>
              </w:rPr>
              <mc:AlternateContent>
                <mc:Choice Requires="wps">
                  <w:drawing>
                    <wp:anchor distT="0" distB="0" distL="114300" distR="114300" simplePos="0" relativeHeight="251658752"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EB50F1F" w14:textId="77777777" w:rsidTr="00A048A6">
        <w:tblPrEx>
          <w:tblCellMar>
            <w:left w:w="108" w:type="dxa"/>
            <w:right w:w="108" w:type="dxa"/>
          </w:tblCellMar>
        </w:tblPrEx>
        <w:trPr>
          <w:cantSplit/>
          <w:trHeight w:hRule="exact" w:val="74"/>
        </w:trPr>
        <w:tc>
          <w:tcPr>
            <w:tcW w:w="10348" w:type="dxa"/>
            <w:gridSpan w:val="3"/>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00A0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10348"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506698">
            <w:pPr>
              <w:pStyle w:val="ECCLetterHead"/>
              <w:ind w:right="147"/>
            </w:pPr>
            <w:r w:rsidRPr="00A3755D">
              <w:t xml:space="preserve">Summary: </w:t>
            </w:r>
          </w:p>
        </w:tc>
      </w:tr>
      <w:tr w:rsidR="00263FFB" w:rsidRPr="00A3755D" w14:paraId="6E5E5CE9" w14:textId="77777777" w:rsidTr="00A0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10348" w:type="dxa"/>
            <w:gridSpan w:val="3"/>
            <w:tcBorders>
              <w:top w:val="nil"/>
              <w:left w:val="single" w:sz="6" w:space="0" w:color="C00000"/>
              <w:bottom w:val="single" w:sz="6" w:space="0" w:color="C00000"/>
              <w:right w:val="single" w:sz="6" w:space="0" w:color="C00000"/>
            </w:tcBorders>
          </w:tcPr>
          <w:p w14:paraId="6DBD90F8" w14:textId="247B3CD2" w:rsidR="00140070" w:rsidRDefault="0029245B" w:rsidP="00506698">
            <w:pPr>
              <w:ind w:right="147"/>
            </w:pPr>
            <w:r w:rsidRPr="006F53C7">
              <w:t xml:space="preserve">This input </w:t>
            </w:r>
            <w:r>
              <w:t xml:space="preserve">contribution </w:t>
            </w:r>
            <w:r w:rsidR="00506698">
              <w:t xml:space="preserve">aims to provide some information on the parameters used for the sharing studies of FSS (Earth-to-space) in the 6 GHz frequency band </w:t>
            </w:r>
            <w:r w:rsidR="00A87A4F">
              <w:t>under WRC-23 agenda item 1.2</w:t>
            </w:r>
            <w:r>
              <w:t>.</w:t>
            </w:r>
          </w:p>
          <w:p w14:paraId="117270CF" w14:textId="5C95B9B4" w:rsidR="002F70E6" w:rsidRPr="00263FFB" w:rsidRDefault="002F70E6" w:rsidP="00506698">
            <w:pPr>
              <w:ind w:right="147"/>
            </w:pPr>
          </w:p>
        </w:tc>
      </w:tr>
      <w:tr w:rsidR="00263FFB" w:rsidRPr="00A3755D" w14:paraId="0A2084F3" w14:textId="77777777" w:rsidTr="00A0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10348"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263FFB" w:rsidRDefault="00263FFB" w:rsidP="00506698">
            <w:pPr>
              <w:pStyle w:val="ECCLetterHead"/>
              <w:ind w:right="147"/>
            </w:pPr>
            <w:r w:rsidRPr="00A3755D">
              <w:t>Proposal:</w:t>
            </w:r>
          </w:p>
        </w:tc>
      </w:tr>
      <w:tr w:rsidR="00263FFB" w:rsidRPr="00A3755D" w14:paraId="55455C93" w14:textId="77777777" w:rsidTr="00A0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10348" w:type="dxa"/>
            <w:gridSpan w:val="3"/>
            <w:tcBorders>
              <w:top w:val="nil"/>
              <w:left w:val="single" w:sz="6" w:space="0" w:color="C00000"/>
              <w:bottom w:val="single" w:sz="6" w:space="0" w:color="C00000"/>
              <w:right w:val="single" w:sz="6" w:space="0" w:color="C00000"/>
            </w:tcBorders>
          </w:tcPr>
          <w:p w14:paraId="1C991F05" w14:textId="7D0E73FC" w:rsidR="00263FFB" w:rsidRDefault="00140070" w:rsidP="00506698">
            <w:pPr>
              <w:pStyle w:val="ECCTabletext"/>
              <w:ind w:right="147"/>
            </w:pPr>
            <w:r>
              <w:t xml:space="preserve">ECC PT1 is invited to </w:t>
            </w:r>
          </w:p>
          <w:p w14:paraId="6917C991" w14:textId="369737BF" w:rsidR="00D6627D" w:rsidRDefault="00D6627D" w:rsidP="00D6627D">
            <w:pPr>
              <w:pStyle w:val="ECCBulletsLv1"/>
            </w:pPr>
            <w:r>
              <w:t xml:space="preserve">consider IMT deployment </w:t>
            </w:r>
            <w:r w:rsidRPr="00D6627D">
              <w:rPr>
                <w:b/>
                <w:bCs/>
                <w:i/>
                <w:iCs/>
              </w:rPr>
              <w:t>Ra option 1</w:t>
            </w:r>
            <w:r>
              <w:t xml:space="preserve"> and </w:t>
            </w:r>
            <w:r w:rsidRPr="00D6627D">
              <w:rPr>
                <w:b/>
                <w:bCs/>
                <w:i/>
                <w:iCs/>
              </w:rPr>
              <w:t>Rb option 3</w:t>
            </w:r>
          </w:p>
          <w:p w14:paraId="2B157F5F" w14:textId="6F77CA21" w:rsidR="00D6627D" w:rsidRDefault="00D6627D" w:rsidP="00D6627D">
            <w:pPr>
              <w:pStyle w:val="ECCBulletsLv1"/>
            </w:pPr>
            <w:r>
              <w:t xml:space="preserve">consider the </w:t>
            </w:r>
            <w:r w:rsidRPr="00D6627D">
              <w:rPr>
                <w:b/>
                <w:bCs/>
                <w:i/>
                <w:iCs/>
              </w:rPr>
              <w:t>correction to Rb</w:t>
            </w:r>
            <w:r>
              <w:t xml:space="preserve"> by removing unpopulated areas when considering large study areas which includes African countries</w:t>
            </w:r>
          </w:p>
          <w:p w14:paraId="41539FFC" w14:textId="24017A70" w:rsidR="00D6627D" w:rsidRDefault="00D6627D" w:rsidP="00D6627D">
            <w:pPr>
              <w:pStyle w:val="ECCBulletsLv1"/>
            </w:pPr>
            <w:r>
              <w:t xml:space="preserve">consider not to include </w:t>
            </w:r>
            <w:r w:rsidRPr="00D6627D">
              <w:rPr>
                <w:b/>
                <w:bCs/>
                <w:i/>
                <w:iCs/>
              </w:rPr>
              <w:t>rural deployments</w:t>
            </w:r>
            <w:r>
              <w:t>.</w:t>
            </w:r>
          </w:p>
          <w:p w14:paraId="2836635F" w14:textId="2F5D9E5D" w:rsidR="00D6627D" w:rsidRDefault="00D6627D" w:rsidP="00D6627D">
            <w:pPr>
              <w:pStyle w:val="ECCBulletsLv1"/>
            </w:pPr>
            <w:r>
              <w:t xml:space="preserve">consider the sharing studies </w:t>
            </w:r>
            <w:r w:rsidRPr="00274B55">
              <w:rPr>
                <w:b/>
                <w:bCs/>
                <w:i/>
                <w:iCs/>
              </w:rPr>
              <w:t>without apportionment</w:t>
            </w:r>
            <w:r w:rsidR="00274B55">
              <w:t xml:space="preserve"> </w:t>
            </w:r>
            <w:r>
              <w:t xml:space="preserve"> </w:t>
            </w:r>
          </w:p>
          <w:p w14:paraId="0CCCCC3A" w14:textId="696DFAA0" w:rsidR="00D6627D" w:rsidRPr="00274B55" w:rsidRDefault="00274B55" w:rsidP="00D6627D">
            <w:pPr>
              <w:pStyle w:val="ECCBulletsLv1"/>
            </w:pPr>
            <w:r>
              <w:t xml:space="preserve">consider </w:t>
            </w:r>
            <w:r w:rsidRPr="00274B55">
              <w:rPr>
                <w:b/>
                <w:bCs/>
                <w:i/>
                <w:iCs/>
              </w:rPr>
              <w:t>FSS antenna</w:t>
            </w:r>
            <w:r>
              <w:t xml:space="preserve"> </w:t>
            </w:r>
            <w:r w:rsidRPr="00274B55">
              <w:rPr>
                <w:b/>
                <w:bCs/>
                <w:i/>
                <w:iCs/>
              </w:rPr>
              <w:t>normalisation/scaling</w:t>
            </w:r>
            <w:r>
              <w:t xml:space="preserve"> and account for </w:t>
            </w:r>
            <w:r w:rsidRPr="00274B55">
              <w:rPr>
                <w:b/>
                <w:bCs/>
                <w:i/>
                <w:iCs/>
              </w:rPr>
              <w:t>antenna efficiency</w:t>
            </w:r>
          </w:p>
          <w:p w14:paraId="11B7FE06" w14:textId="6B2ACEBF" w:rsidR="00D6627D" w:rsidRDefault="00274B55" w:rsidP="00274B55">
            <w:pPr>
              <w:pStyle w:val="ECCBulletsLv1"/>
            </w:pPr>
            <w:r>
              <w:t xml:space="preserve">consider the potential to use either the </w:t>
            </w:r>
            <w:r w:rsidRPr="00274B55">
              <w:rPr>
                <w:b/>
                <w:bCs/>
                <w:i/>
                <w:iCs/>
              </w:rPr>
              <w:t>Recommendation ITU-R P.2108-1</w:t>
            </w:r>
            <w:r>
              <w:t xml:space="preserve"> or </w:t>
            </w:r>
            <w:r w:rsidRPr="00274B55">
              <w:rPr>
                <w:b/>
                <w:bCs/>
                <w:i/>
                <w:iCs/>
              </w:rPr>
              <w:t>Annex 6 to document 3K/178</w:t>
            </w:r>
            <w:r>
              <w:t xml:space="preserve"> for the clutter loss model</w:t>
            </w:r>
          </w:p>
          <w:p w14:paraId="70DFD042" w14:textId="77777777" w:rsidR="002F70E6" w:rsidRPr="00263FFB" w:rsidRDefault="002F70E6" w:rsidP="00506698">
            <w:pPr>
              <w:pStyle w:val="ECCBulletsLv2"/>
              <w:numPr>
                <w:ilvl w:val="0"/>
                <w:numId w:val="0"/>
              </w:numPr>
              <w:ind w:left="680" w:right="147" w:hanging="340"/>
            </w:pPr>
          </w:p>
        </w:tc>
      </w:tr>
      <w:tr w:rsidR="00263FFB" w:rsidRPr="00A3755D" w14:paraId="73D06F6E" w14:textId="77777777" w:rsidTr="00A0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10348" w:type="dxa"/>
            <w:gridSpan w:val="3"/>
            <w:tcBorders>
              <w:top w:val="single" w:sz="6" w:space="0" w:color="C00000"/>
              <w:left w:val="single" w:sz="6" w:space="0" w:color="C00000"/>
              <w:bottom w:val="nil"/>
              <w:right w:val="single" w:sz="6" w:space="0" w:color="C00000"/>
            </w:tcBorders>
            <w:vAlign w:val="center"/>
          </w:tcPr>
          <w:p w14:paraId="60FD631E" w14:textId="77777777" w:rsidR="00263FFB" w:rsidRPr="00263FFB" w:rsidRDefault="00263FFB" w:rsidP="00506698">
            <w:pPr>
              <w:pStyle w:val="ECCLetterHead"/>
              <w:ind w:right="147"/>
            </w:pPr>
            <w:r w:rsidRPr="00A3755D">
              <w:t>Background:</w:t>
            </w:r>
          </w:p>
        </w:tc>
      </w:tr>
      <w:tr w:rsidR="00265F50" w:rsidRPr="00A3755D" w14:paraId="6DA4B9F9" w14:textId="77777777" w:rsidTr="00A0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10348" w:type="dxa"/>
            <w:gridSpan w:val="3"/>
            <w:tcBorders>
              <w:top w:val="nil"/>
              <w:left w:val="single" w:sz="6" w:space="0" w:color="C00000"/>
              <w:bottom w:val="single" w:sz="6" w:space="0" w:color="C00000"/>
              <w:right w:val="single" w:sz="6" w:space="0" w:color="C00000"/>
            </w:tcBorders>
          </w:tcPr>
          <w:p w14:paraId="749DA917" w14:textId="51E2868D" w:rsidR="00E2436C" w:rsidRDefault="00830C43" w:rsidP="00506698">
            <w:pPr>
              <w:ind w:right="147"/>
            </w:pPr>
            <w:r w:rsidRPr="00E2436C">
              <w:t>Th</w:t>
            </w:r>
            <w:r w:rsidR="00A87A4F">
              <w:t xml:space="preserve">ere </w:t>
            </w:r>
            <w:r w:rsidR="005215AF">
              <w:t>have</w:t>
            </w:r>
            <w:r w:rsidR="00A87A4F">
              <w:t xml:space="preserve"> been </w:t>
            </w:r>
            <w:r w:rsidR="005215AF">
              <w:t>18 studies (for the 6 GHz FSS uplink) submitted to ITU-R WP 5D where 14 of those studies indicat</w:t>
            </w:r>
            <w:r w:rsidR="000D4854">
              <w:t>ed</w:t>
            </w:r>
            <w:r w:rsidR="005215AF">
              <w:t xml:space="preserve"> that coexistence is feasible between the IMT and FSS uplink</w:t>
            </w:r>
            <w:r w:rsidR="000A2102">
              <w:t xml:space="preserve">. Out of these 14 studies, 10 of them are from administrations, and no studies from CEPT countries showing coexistence is not feasible, paving the way for an IMT identification in the 6 GHz frequency </w:t>
            </w:r>
            <w:r w:rsidR="00947845">
              <w:t>range</w:t>
            </w:r>
            <w:r w:rsidR="000A2102">
              <w:t xml:space="preserve"> under WRC-23 agenda item 1.2.</w:t>
            </w:r>
          </w:p>
          <w:p w14:paraId="5D51F9B8" w14:textId="41F4D80B" w:rsidR="00BE203B" w:rsidRDefault="000A2102" w:rsidP="005215AF">
            <w:pPr>
              <w:ind w:right="147"/>
              <w:rPr>
                <w:color w:val="FF0000"/>
              </w:rPr>
            </w:pPr>
            <w:r>
              <w:t xml:space="preserve">The sharing studies were done based on the parameters provided by ITU-R WP 5D along with some assumptions that </w:t>
            </w:r>
            <w:r w:rsidR="000D4854">
              <w:t>are</w:t>
            </w:r>
            <w:r>
              <w:t xml:space="preserve"> not defined. The result of the studies varies depending on </w:t>
            </w:r>
            <w:r w:rsidR="000D4854">
              <w:t>the choice of</w:t>
            </w:r>
            <w:r>
              <w:t xml:space="preserve"> parameter</w:t>
            </w:r>
            <w:r w:rsidR="000D4854">
              <w:t>s</w:t>
            </w:r>
            <w:r>
              <w:t xml:space="preserve"> and </w:t>
            </w:r>
            <w:r w:rsidR="000D4854">
              <w:t>the</w:t>
            </w:r>
            <w:r>
              <w:t xml:space="preserve"> assumptions </w:t>
            </w:r>
            <w:r w:rsidR="000D4854">
              <w:t>considered</w:t>
            </w:r>
            <w:r>
              <w:t>.</w:t>
            </w:r>
          </w:p>
          <w:p w14:paraId="5F6CD7EE" w14:textId="50E0DB82" w:rsidR="00BE203B" w:rsidRPr="00265F50" w:rsidRDefault="00BE203B" w:rsidP="00506698">
            <w:pPr>
              <w:pStyle w:val="ECCTabletext"/>
              <w:ind w:right="147"/>
            </w:pPr>
          </w:p>
        </w:tc>
      </w:tr>
    </w:tbl>
    <w:p w14:paraId="49376958" w14:textId="77777777" w:rsidR="00E2436C" w:rsidRDefault="00E2436C" w:rsidP="00E2436C">
      <w:pPr>
        <w:spacing w:after="0"/>
        <w:rPr>
          <w:rFonts w:cs="Calibri"/>
          <w:szCs w:val="20"/>
        </w:rPr>
      </w:pPr>
    </w:p>
    <w:p w14:paraId="100889D4" w14:textId="73EA94F4" w:rsidR="00E2436C" w:rsidRDefault="00E2436C" w:rsidP="00E2436C">
      <w:pPr>
        <w:pStyle w:val="Heading1"/>
      </w:pPr>
      <w:r>
        <w:lastRenderedPageBreak/>
        <w:t>Introduction</w:t>
      </w:r>
    </w:p>
    <w:p w14:paraId="4F2CC4D3" w14:textId="165B1022" w:rsidR="0021217D" w:rsidRDefault="0021217D" w:rsidP="00E2436C">
      <w:pPr>
        <w:spacing w:after="0"/>
      </w:pPr>
      <w:r w:rsidRPr="00E2436C">
        <w:t>Th</w:t>
      </w:r>
      <w:r>
        <w:t>ere have been 18 studies (for the 6 GHz FSS uplink) submitted to ITU-R WP 5D where 14 of those studies indicating that coexistence is feasible between the IMT and FSS uplink.</w:t>
      </w:r>
      <w:r w:rsidR="00BD34D6">
        <w:t xml:space="preserve"> </w:t>
      </w:r>
      <w:r w:rsidR="00F232F0">
        <w:t>10 out of these 14</w:t>
      </w:r>
      <w:r w:rsidR="00BD34D6">
        <w:t xml:space="preserve"> studies were submitted by administrations.</w:t>
      </w:r>
    </w:p>
    <w:p w14:paraId="5FDB1073" w14:textId="39BF52F7" w:rsidR="00F232F0" w:rsidRDefault="00CD2D83" w:rsidP="00E2436C">
      <w:pPr>
        <w:spacing w:after="0"/>
      </w:pPr>
      <w:r>
        <w:t xml:space="preserve">The sharing studies were done based on the parameters provided by ITU-R WP 5D along with some assumptions that </w:t>
      </w:r>
      <w:r w:rsidR="000D4854">
        <w:t>are</w:t>
      </w:r>
      <w:r>
        <w:t xml:space="preserve"> not defined. </w:t>
      </w:r>
      <w:r w:rsidR="000D4854">
        <w:t>The result of the studies varies depending on the choice of parameters and the assumptions considered.</w:t>
      </w:r>
    </w:p>
    <w:p w14:paraId="3E816BB8" w14:textId="3DD0A3F1" w:rsidR="005215AF" w:rsidRDefault="00F232F0" w:rsidP="00E2436C">
      <w:pPr>
        <w:spacing w:after="0"/>
        <w:rPr>
          <w:rFonts w:cs="Calibri"/>
          <w:szCs w:val="20"/>
        </w:rPr>
      </w:pPr>
      <w:r>
        <w:t xml:space="preserve">Although </w:t>
      </w:r>
      <w:r w:rsidR="000A2102">
        <w:t>there are no</w:t>
      </w:r>
      <w:r>
        <w:t xml:space="preserve"> studies </w:t>
      </w:r>
      <w:r w:rsidR="000A2102">
        <w:t>from</w:t>
      </w:r>
      <w:r>
        <w:t xml:space="preserve"> CEPT administrations show</w:t>
      </w:r>
      <w:r w:rsidR="000A2102">
        <w:t>ing</w:t>
      </w:r>
      <w:r>
        <w:t xml:space="preserve"> that coexistence is</w:t>
      </w:r>
      <w:r w:rsidR="000A2102">
        <w:t xml:space="preserve"> not</w:t>
      </w:r>
      <w:r>
        <w:t xml:space="preserve"> feasible, </w:t>
      </w:r>
      <w:r w:rsidR="0021217D">
        <w:t>it is</w:t>
      </w:r>
      <w:r>
        <w:t xml:space="preserve"> still</w:t>
      </w:r>
      <w:r w:rsidR="0021217D">
        <w:t xml:space="preserve"> good to provide further information to </w:t>
      </w:r>
      <w:r w:rsidR="00512AAF">
        <w:t>inform other administrations who are not too familiar with the current discussion</w:t>
      </w:r>
      <w:r w:rsidR="000D4854">
        <w:t>s</w:t>
      </w:r>
      <w:r w:rsidR="00512AAF">
        <w:t xml:space="preserve"> and disagreement</w:t>
      </w:r>
      <w:r w:rsidR="000D4854">
        <w:t>s</w:t>
      </w:r>
      <w:r w:rsidR="00512AAF">
        <w:t xml:space="preserve"> in the choice of parameters and assumption</w:t>
      </w:r>
      <w:r w:rsidR="000D4854">
        <w:t>s</w:t>
      </w:r>
      <w:r w:rsidR="0021217D">
        <w:t>.</w:t>
      </w:r>
    </w:p>
    <w:p w14:paraId="6BF35BD5" w14:textId="5C38F7CB" w:rsidR="005215AF" w:rsidRDefault="00512AAF" w:rsidP="00512AAF">
      <w:pPr>
        <w:pStyle w:val="Heading1"/>
      </w:pPr>
      <w:r>
        <w:t>Parameters and assumptions</w:t>
      </w:r>
    </w:p>
    <w:p w14:paraId="66BA5C83" w14:textId="466AF27F" w:rsidR="00E2436C" w:rsidRDefault="005215AF" w:rsidP="00E2436C">
      <w:pPr>
        <w:spacing w:after="0"/>
        <w:rPr>
          <w:rStyle w:val="ECCParagraph"/>
        </w:rPr>
      </w:pPr>
      <w:r>
        <w:rPr>
          <w:rFonts w:cs="Calibri"/>
          <w:szCs w:val="20"/>
        </w:rPr>
        <w:t>There h</w:t>
      </w:r>
      <w:r w:rsidRPr="00512AAF">
        <w:rPr>
          <w:rStyle w:val="ECCParagraph"/>
        </w:rPr>
        <w:t xml:space="preserve">ave been some </w:t>
      </w:r>
      <w:r w:rsidR="000D4854">
        <w:rPr>
          <w:rStyle w:val="ECCParagraph"/>
        </w:rPr>
        <w:t>disagreements</w:t>
      </w:r>
      <w:r w:rsidRPr="00512AAF">
        <w:rPr>
          <w:rStyle w:val="ECCParagraph"/>
        </w:rPr>
        <w:t xml:space="preserve"> in some of the parameters </w:t>
      </w:r>
      <w:r w:rsidR="00512AAF" w:rsidRPr="00512AAF">
        <w:rPr>
          <w:rStyle w:val="ECCParagraph"/>
        </w:rPr>
        <w:t xml:space="preserve">and assumptions </w:t>
      </w:r>
      <w:r w:rsidRPr="00512AAF">
        <w:rPr>
          <w:rStyle w:val="ECCParagraph"/>
        </w:rPr>
        <w:t>used in the</w:t>
      </w:r>
      <w:r w:rsidR="00E2436C" w:rsidRPr="00512AAF">
        <w:rPr>
          <w:rStyle w:val="ECCParagraph"/>
        </w:rPr>
        <w:t xml:space="preserve"> studies </w:t>
      </w:r>
      <w:r w:rsidR="00512AAF" w:rsidRPr="00512AAF">
        <w:rPr>
          <w:rStyle w:val="ECCParagraph"/>
        </w:rPr>
        <w:t>and t</w:t>
      </w:r>
      <w:r w:rsidRPr="00512AAF">
        <w:rPr>
          <w:rStyle w:val="ECCParagraph"/>
        </w:rPr>
        <w:t>hese are:</w:t>
      </w:r>
    </w:p>
    <w:p w14:paraId="2DCCE1AE" w14:textId="77777777" w:rsidR="00E2436C" w:rsidRPr="00512AAF" w:rsidRDefault="00E2436C" w:rsidP="00E2436C">
      <w:pPr>
        <w:pStyle w:val="ListParagraph"/>
        <w:numPr>
          <w:ilvl w:val="0"/>
          <w:numId w:val="16"/>
        </w:numPr>
        <w:spacing w:before="0" w:after="0"/>
        <w:rPr>
          <w:rStyle w:val="ECCParagraph"/>
        </w:rPr>
      </w:pPr>
      <w:r w:rsidRPr="00512AAF">
        <w:rPr>
          <w:rStyle w:val="ECCParagraph"/>
        </w:rPr>
        <w:t>Choice of Ra and Rb options</w:t>
      </w:r>
    </w:p>
    <w:p w14:paraId="27FA9E37" w14:textId="77777777" w:rsidR="00E2436C" w:rsidRPr="00512AAF" w:rsidRDefault="00E2436C" w:rsidP="00E2436C">
      <w:pPr>
        <w:pStyle w:val="ListParagraph"/>
        <w:numPr>
          <w:ilvl w:val="0"/>
          <w:numId w:val="16"/>
        </w:numPr>
        <w:spacing w:before="0" w:after="0"/>
        <w:rPr>
          <w:rStyle w:val="ECCParagraph"/>
        </w:rPr>
      </w:pPr>
      <w:r w:rsidRPr="00512AAF">
        <w:rPr>
          <w:rStyle w:val="ECCParagraph"/>
        </w:rPr>
        <w:t>Corrections to Rb to account for unpopulated areas</w:t>
      </w:r>
    </w:p>
    <w:p w14:paraId="54945AD4" w14:textId="77777777" w:rsidR="00E2436C" w:rsidRPr="00512AAF" w:rsidRDefault="00E2436C" w:rsidP="00E2436C">
      <w:pPr>
        <w:pStyle w:val="ListParagraph"/>
        <w:numPr>
          <w:ilvl w:val="0"/>
          <w:numId w:val="16"/>
        </w:numPr>
        <w:spacing w:before="0" w:after="0"/>
        <w:rPr>
          <w:rStyle w:val="ECCParagraph"/>
        </w:rPr>
      </w:pPr>
      <w:r w:rsidRPr="00512AAF">
        <w:rPr>
          <w:rStyle w:val="ECCParagraph"/>
        </w:rPr>
        <w:t>Deployments in rural areas</w:t>
      </w:r>
    </w:p>
    <w:p w14:paraId="5A6D4F5B" w14:textId="77777777" w:rsidR="00E2436C" w:rsidRPr="00512AAF" w:rsidRDefault="00E2436C" w:rsidP="00E2436C">
      <w:pPr>
        <w:pStyle w:val="ListParagraph"/>
        <w:numPr>
          <w:ilvl w:val="0"/>
          <w:numId w:val="16"/>
        </w:numPr>
        <w:spacing w:before="0" w:after="0"/>
        <w:rPr>
          <w:rStyle w:val="ECCParagraph"/>
        </w:rPr>
      </w:pPr>
      <w:r w:rsidRPr="00512AAF">
        <w:rPr>
          <w:rStyle w:val="ECCParagraph"/>
        </w:rPr>
        <w:t xml:space="preserve">Apportionment of the interference criterion between multiple services </w:t>
      </w:r>
    </w:p>
    <w:p w14:paraId="2E8A35D1" w14:textId="77777777" w:rsidR="00E2436C" w:rsidRPr="00512AAF" w:rsidRDefault="00E2436C" w:rsidP="00E2436C">
      <w:pPr>
        <w:pStyle w:val="ListParagraph"/>
        <w:numPr>
          <w:ilvl w:val="0"/>
          <w:numId w:val="16"/>
        </w:numPr>
        <w:spacing w:before="0" w:after="0"/>
        <w:rPr>
          <w:rStyle w:val="ECCParagraph"/>
        </w:rPr>
      </w:pPr>
      <w:r w:rsidRPr="00512AAF">
        <w:rPr>
          <w:rStyle w:val="ECCParagraph"/>
        </w:rPr>
        <w:t>Scaling of FSS antenna gain</w:t>
      </w:r>
    </w:p>
    <w:p w14:paraId="073F7203" w14:textId="77777777" w:rsidR="00E2436C" w:rsidRPr="00512AAF" w:rsidRDefault="00E2436C" w:rsidP="00E2436C">
      <w:pPr>
        <w:pStyle w:val="ListParagraph"/>
        <w:numPr>
          <w:ilvl w:val="0"/>
          <w:numId w:val="16"/>
        </w:numPr>
        <w:spacing w:before="0" w:after="0"/>
        <w:rPr>
          <w:rStyle w:val="ECCParagraph"/>
        </w:rPr>
      </w:pPr>
      <w:r w:rsidRPr="00512AAF">
        <w:rPr>
          <w:rStyle w:val="ECCParagraph"/>
        </w:rPr>
        <w:t>Modelling of clutter losses</w:t>
      </w:r>
    </w:p>
    <w:p w14:paraId="7B6A9B1C" w14:textId="77777777" w:rsidR="00E2436C" w:rsidRPr="00CF34A5" w:rsidRDefault="00E2436C" w:rsidP="00512AAF">
      <w:pPr>
        <w:pStyle w:val="Heading2"/>
      </w:pPr>
      <w:r w:rsidRPr="00CF34A5">
        <w:t>Choice of Ra and Rb options</w:t>
      </w:r>
    </w:p>
    <w:p w14:paraId="43CD699F" w14:textId="77777777" w:rsidR="00E2436C" w:rsidRDefault="00E2436C" w:rsidP="00E2436C">
      <w:pPr>
        <w:spacing w:after="0"/>
        <w:rPr>
          <w:rFonts w:cs="Calibri"/>
          <w:szCs w:val="20"/>
        </w:rPr>
      </w:pPr>
      <w:r w:rsidRPr="00F80CD4">
        <w:rPr>
          <w:rFonts w:cs="Calibri"/>
          <w:szCs w:val="20"/>
        </w:rPr>
        <w:t xml:space="preserve">Ra and Rb are two of the parameters used in the </w:t>
      </w:r>
      <w:r>
        <w:rPr>
          <w:rFonts w:cs="Calibri"/>
          <w:szCs w:val="20"/>
        </w:rPr>
        <w:t xml:space="preserve">sharing </w:t>
      </w:r>
      <w:r w:rsidRPr="00F80CD4">
        <w:rPr>
          <w:rFonts w:cs="Calibri"/>
          <w:szCs w:val="20"/>
        </w:rPr>
        <w:t>studies</w:t>
      </w:r>
      <w:r>
        <w:rPr>
          <w:rFonts w:cs="Calibri"/>
          <w:szCs w:val="20"/>
        </w:rPr>
        <w:t xml:space="preserve"> for IMT at WRC-23. They are used to</w:t>
      </w:r>
      <w:r w:rsidRPr="00F80CD4">
        <w:rPr>
          <w:rFonts w:cs="Calibri"/>
          <w:szCs w:val="20"/>
        </w:rPr>
        <w:t xml:space="preserve"> estimate the density of IMT BSs for a large area</w:t>
      </w:r>
      <w:r>
        <w:rPr>
          <w:rFonts w:cs="Calibri"/>
          <w:szCs w:val="20"/>
        </w:rPr>
        <w:t>, and hence choosing the appropriate value is important.</w:t>
      </w:r>
    </w:p>
    <w:p w14:paraId="2427A1A7" w14:textId="6DE38275" w:rsidR="00E2436C" w:rsidRPr="00F80CD4" w:rsidRDefault="00E2436C" w:rsidP="00E2436C">
      <w:pPr>
        <w:spacing w:after="0"/>
        <w:rPr>
          <w:rFonts w:cs="Calibri"/>
          <w:szCs w:val="20"/>
        </w:rPr>
      </w:pPr>
      <w:r w:rsidRPr="00F80CD4">
        <w:rPr>
          <w:rFonts w:cs="Calibri"/>
          <w:szCs w:val="20"/>
        </w:rPr>
        <w:t xml:space="preserve">They form part of the methodology agreed by WP 5D in 2021 for </w:t>
      </w:r>
      <w:bookmarkStart w:id="1" w:name="_Hlk75263250"/>
      <w:r w:rsidRPr="00F80CD4">
        <w:rPr>
          <w:rFonts w:cs="Calibri"/>
          <w:szCs w:val="20"/>
        </w:rPr>
        <w:t xml:space="preserve">the </w:t>
      </w:r>
      <w:r w:rsidRPr="009D3353">
        <w:rPr>
          <w:rFonts w:cs="Calibri"/>
          <w:i/>
          <w:iCs/>
          <w:szCs w:val="20"/>
        </w:rPr>
        <w:t>C</w:t>
      </w:r>
      <w:r w:rsidRPr="009D3353">
        <w:rPr>
          <w:i/>
          <w:iCs/>
          <w:szCs w:val="20"/>
        </w:rPr>
        <w:t>haracteristics of Terrestrial Component of IMT for Sharing and Compatibility Studies in Preparation for WRC-23</w:t>
      </w:r>
      <w:bookmarkEnd w:id="1"/>
      <w:r w:rsidRPr="009D3353">
        <w:rPr>
          <w:szCs w:val="20"/>
        </w:rPr>
        <w:t>. This methodology, and t</w:t>
      </w:r>
      <w:r w:rsidRPr="00F80CD4">
        <w:rPr>
          <w:rFonts w:cs="Calibri"/>
          <w:szCs w:val="20"/>
        </w:rPr>
        <w:t>he options for Ra and Rb</w:t>
      </w:r>
      <w:r>
        <w:rPr>
          <w:rFonts w:cs="Calibri"/>
          <w:szCs w:val="20"/>
        </w:rPr>
        <w:t>,</w:t>
      </w:r>
      <w:r w:rsidRPr="00F80CD4">
        <w:rPr>
          <w:rFonts w:cs="Calibri"/>
          <w:szCs w:val="20"/>
        </w:rPr>
        <w:t xml:space="preserve"> are given in Annex 4.4 to the </w:t>
      </w:r>
      <w:hyperlink r:id="rId9" w:history="1">
        <w:r w:rsidRPr="009D3353">
          <w:rPr>
            <w:rStyle w:val="Hyperlink"/>
          </w:rPr>
          <w:t>Chairman’s report of the 38</w:t>
        </w:r>
        <w:r w:rsidRPr="009D3353">
          <w:rPr>
            <w:rStyle w:val="Hyperlink"/>
            <w:vertAlign w:val="superscript"/>
          </w:rPr>
          <w:t>th</w:t>
        </w:r>
        <w:r w:rsidRPr="009D3353">
          <w:rPr>
            <w:rStyle w:val="Hyperlink"/>
          </w:rPr>
          <w:t xml:space="preserve"> Meeting of WP 5D</w:t>
        </w:r>
      </w:hyperlink>
      <w:r w:rsidRPr="00F80CD4">
        <w:rPr>
          <w:rStyle w:val="FootnoteReference"/>
          <w:rFonts w:cs="Calibri"/>
          <w:szCs w:val="20"/>
        </w:rPr>
        <w:footnoteReference w:id="2"/>
      </w:r>
      <w:r w:rsidRPr="00F80CD4">
        <w:rPr>
          <w:rFonts w:cs="Calibri"/>
          <w:szCs w:val="20"/>
        </w:rPr>
        <w:t xml:space="preserve">. </w:t>
      </w:r>
      <w:r>
        <w:rPr>
          <w:rFonts w:cs="Calibri"/>
          <w:szCs w:val="20"/>
        </w:rPr>
        <w:t>The options for Ra and Rb are shown in the table below</w:t>
      </w:r>
      <w:r w:rsidR="000D4854">
        <w:rPr>
          <w:rFonts w:cs="Calibri"/>
          <w:szCs w:val="20"/>
        </w:rPr>
        <w:t xml:space="preserve"> (in section 2.1.1)</w:t>
      </w:r>
      <w:r>
        <w:rPr>
          <w:rFonts w:cs="Calibri"/>
          <w:szCs w:val="20"/>
        </w:rPr>
        <w:t>. P</w:t>
      </w:r>
      <w:r w:rsidRPr="00CF34A5">
        <w:rPr>
          <w:rFonts w:cs="Calibri"/>
          <w:szCs w:val="20"/>
        </w:rPr>
        <w:t>roponents of studies mu</w:t>
      </w:r>
      <w:r>
        <w:rPr>
          <w:rFonts w:cs="Calibri"/>
          <w:szCs w:val="20"/>
        </w:rPr>
        <w:t>st</w:t>
      </w:r>
      <w:r w:rsidRPr="00CF34A5">
        <w:rPr>
          <w:rFonts w:cs="Calibri"/>
          <w:szCs w:val="20"/>
        </w:rPr>
        <w:t xml:space="preserve"> choose which value is appropriate to the </w:t>
      </w:r>
      <w:r>
        <w:rPr>
          <w:rFonts w:cs="Calibri"/>
          <w:szCs w:val="20"/>
        </w:rPr>
        <w:t>land area</w:t>
      </w:r>
      <w:r w:rsidRPr="00CF34A5">
        <w:rPr>
          <w:rFonts w:cs="Calibri"/>
          <w:szCs w:val="20"/>
        </w:rPr>
        <w:t xml:space="preserve"> under study. </w:t>
      </w:r>
      <w:r>
        <w:rPr>
          <w:rFonts w:cs="Calibri"/>
          <w:szCs w:val="20"/>
        </w:rPr>
        <w:t>As such, choosing the appropriate value for Ra and Rb is critical to the validity of the study.</w:t>
      </w:r>
    </w:p>
    <w:p w14:paraId="1F7145FB" w14:textId="77777777" w:rsidR="00E2436C" w:rsidRDefault="00E2436C" w:rsidP="00512AAF">
      <w:pPr>
        <w:pStyle w:val="Heading3"/>
      </w:pPr>
      <w:r w:rsidRPr="00997792">
        <w:t>Ra and Rb explained</w:t>
      </w:r>
    </w:p>
    <w:p w14:paraId="57967E81" w14:textId="14177568" w:rsidR="00E2436C" w:rsidRDefault="00E2436C" w:rsidP="00E2436C">
      <w:pPr>
        <w:spacing w:after="0"/>
        <w:rPr>
          <w:rFonts w:cs="Calibri"/>
          <w:szCs w:val="20"/>
        </w:rPr>
      </w:pPr>
      <w:r>
        <w:rPr>
          <w:rFonts w:cs="Calibri"/>
          <w:szCs w:val="20"/>
        </w:rPr>
        <w:t>The formula from the WP 5D for estimating the density of macro-cellular IMT BS (</w:t>
      </w:r>
      <w:r w:rsidRPr="008760AF">
        <w:rPr>
          <w:rFonts w:cs="Calibri"/>
          <w:szCs w:val="20"/>
        </w:rPr>
        <w:t>Dl</w:t>
      </w:r>
      <w:r>
        <w:rPr>
          <w:rFonts w:cs="Calibri"/>
          <w:szCs w:val="20"/>
        </w:rPr>
        <w:t>) is below. The resulting density must be multiplied by the area of the study (in km</w:t>
      </w:r>
      <w:r w:rsidRPr="006F55D3">
        <w:rPr>
          <w:rFonts w:cs="Calibri"/>
          <w:szCs w:val="20"/>
          <w:vertAlign w:val="superscript"/>
        </w:rPr>
        <w:t>2</w:t>
      </w:r>
      <w:r>
        <w:rPr>
          <w:rFonts w:cs="Calibri"/>
          <w:szCs w:val="20"/>
        </w:rPr>
        <w:t>) to arrive to the total number of BSs modelled in the area:</w:t>
      </w:r>
    </w:p>
    <w:p w14:paraId="43801047" w14:textId="77777777" w:rsidR="00E2436C" w:rsidRPr="008760AF" w:rsidRDefault="00E2436C" w:rsidP="00E2436C">
      <w:pPr>
        <w:spacing w:after="0"/>
        <w:rPr>
          <w:rFonts w:cs="Calibri"/>
          <w:szCs w:val="20"/>
        </w:rPr>
      </w:pPr>
      <w:r w:rsidRPr="008760AF">
        <w:rPr>
          <w:rFonts w:cs="Calibri"/>
          <w:szCs w:val="20"/>
        </w:rPr>
        <w:tab/>
      </w:r>
      <w:r w:rsidRPr="008760AF">
        <w:rPr>
          <w:rFonts w:cs="Calibri"/>
          <w:szCs w:val="20"/>
        </w:rPr>
        <w:tab/>
        <w:t xml:space="preserve">Dl = Ds * Ra * Rb </w:t>
      </w:r>
    </w:p>
    <w:p w14:paraId="22FD3F79" w14:textId="77777777" w:rsidR="00E2436C" w:rsidRPr="008760AF" w:rsidRDefault="00E2436C" w:rsidP="00E2436C">
      <w:pPr>
        <w:spacing w:after="0"/>
        <w:rPr>
          <w:rFonts w:cs="Calibri"/>
          <w:szCs w:val="20"/>
        </w:rPr>
      </w:pPr>
      <w:r w:rsidRPr="008760AF">
        <w:rPr>
          <w:rFonts w:cs="Calibri"/>
          <w:szCs w:val="20"/>
        </w:rPr>
        <w:t xml:space="preserve">where: </w:t>
      </w:r>
    </w:p>
    <w:p w14:paraId="6878C9F7" w14:textId="77777777" w:rsidR="00E2436C" w:rsidRPr="008760AF" w:rsidRDefault="00E2436C" w:rsidP="00E2436C">
      <w:pPr>
        <w:spacing w:after="0"/>
        <w:rPr>
          <w:rFonts w:cs="Calibri"/>
          <w:szCs w:val="20"/>
        </w:rPr>
      </w:pPr>
      <w:r w:rsidRPr="008760AF">
        <w:rPr>
          <w:rFonts w:cs="Calibri"/>
          <w:szCs w:val="20"/>
        </w:rPr>
        <w:tab/>
        <w:t xml:space="preserve">Ds = </w:t>
      </w:r>
      <w:r w:rsidRPr="008760AF">
        <w:rPr>
          <w:rFonts w:cs="Calibri"/>
          <w:szCs w:val="20"/>
        </w:rPr>
        <w:tab/>
        <w:t>density value for coverage area, i.e. density of simultaneously transmitting BS per km</w:t>
      </w:r>
      <w:r w:rsidRPr="006F55D3">
        <w:rPr>
          <w:rFonts w:cs="Calibri"/>
          <w:szCs w:val="20"/>
          <w:vertAlign w:val="superscript"/>
        </w:rPr>
        <w:t>2</w:t>
      </w:r>
      <w:r w:rsidRPr="008760AF">
        <w:rPr>
          <w:rFonts w:cs="Calibri"/>
          <w:szCs w:val="20"/>
        </w:rPr>
        <w:t>;</w:t>
      </w:r>
    </w:p>
    <w:p w14:paraId="7CE8EDBB" w14:textId="77777777" w:rsidR="00E2436C" w:rsidRPr="008760AF" w:rsidRDefault="00E2436C" w:rsidP="00E2436C">
      <w:pPr>
        <w:spacing w:after="0"/>
        <w:rPr>
          <w:rFonts w:cs="Calibri"/>
          <w:szCs w:val="20"/>
        </w:rPr>
      </w:pPr>
      <w:r w:rsidRPr="008760AF">
        <w:rPr>
          <w:rFonts w:cs="Calibri"/>
          <w:szCs w:val="20"/>
        </w:rPr>
        <w:tab/>
        <w:t xml:space="preserve">Ra (%) = </w:t>
      </w:r>
      <w:r w:rsidRPr="008760AF">
        <w:rPr>
          <w:rFonts w:cs="Calibri"/>
          <w:szCs w:val="20"/>
        </w:rPr>
        <w:tab/>
        <w:t>ratio of coverage areas to areas of cities/built areas/districts;</w:t>
      </w:r>
    </w:p>
    <w:p w14:paraId="0EF51972" w14:textId="77777777" w:rsidR="00E2436C" w:rsidRDefault="00E2436C" w:rsidP="00E2436C">
      <w:pPr>
        <w:spacing w:after="0"/>
        <w:rPr>
          <w:rFonts w:cs="Calibri"/>
          <w:szCs w:val="20"/>
        </w:rPr>
      </w:pPr>
      <w:r w:rsidRPr="008760AF">
        <w:rPr>
          <w:rFonts w:cs="Calibri"/>
          <w:szCs w:val="20"/>
        </w:rPr>
        <w:tab/>
        <w:t xml:space="preserve">Rb (%) = </w:t>
      </w:r>
      <w:r w:rsidRPr="008760AF">
        <w:rPr>
          <w:rFonts w:cs="Calibri"/>
          <w:szCs w:val="20"/>
        </w:rPr>
        <w:tab/>
        <w:t>ratio of built areas to total area of region in study.</w:t>
      </w:r>
    </w:p>
    <w:p w14:paraId="397F4689" w14:textId="77777777" w:rsidR="00E2436C" w:rsidRDefault="00E2436C" w:rsidP="00E2436C">
      <w:pPr>
        <w:spacing w:after="0"/>
        <w:rPr>
          <w:rFonts w:cs="Calibri"/>
          <w:szCs w:val="20"/>
        </w:rPr>
      </w:pPr>
      <w:r>
        <w:rPr>
          <w:rFonts w:cs="Calibri"/>
          <w:szCs w:val="20"/>
        </w:rPr>
        <w:lastRenderedPageBreak/>
        <w:t>For the formula above, WP 5D provides values for Ds, Ra and Rb for urban and suburban deployments as follows:</w:t>
      </w:r>
    </w:p>
    <w:p w14:paraId="62C1C9EA" w14:textId="77777777" w:rsidR="00E2436C" w:rsidRDefault="00E2436C" w:rsidP="00E2436C">
      <w:pPr>
        <w:spacing w:after="0"/>
        <w:rPr>
          <w:rFonts w:cs="Calibri"/>
          <w:sz w:val="16"/>
          <w:szCs w:val="20"/>
        </w:rPr>
      </w:pPr>
    </w:p>
    <w:tbl>
      <w:tblPr>
        <w:tblStyle w:val="TableGridLight"/>
        <w:tblW w:w="0" w:type="auto"/>
        <w:tblLook w:val="04A0" w:firstRow="1" w:lastRow="0" w:firstColumn="1" w:lastColumn="0" w:noHBand="0" w:noVBand="1"/>
      </w:tblPr>
      <w:tblGrid>
        <w:gridCol w:w="4634"/>
        <w:gridCol w:w="4566"/>
      </w:tblGrid>
      <w:tr w:rsidR="00E2436C" w14:paraId="21145A3D" w14:textId="77777777" w:rsidTr="00E6440A">
        <w:tc>
          <w:tcPr>
            <w:tcW w:w="4562" w:type="dxa"/>
          </w:tcPr>
          <w:p w14:paraId="3F6BEF2C" w14:textId="77777777" w:rsidR="00E2436C" w:rsidRDefault="00E2436C" w:rsidP="00E6440A">
            <w:pPr>
              <w:jc w:val="both"/>
              <w:rPr>
                <w:rFonts w:cs="Calibri"/>
                <w:sz w:val="16"/>
                <w:szCs w:val="20"/>
              </w:rPr>
            </w:pPr>
            <w:r w:rsidRPr="008249E0">
              <w:rPr>
                <w:rFonts w:cs="Calibri"/>
                <w:noProof/>
                <w:sz w:val="16"/>
                <w:szCs w:val="20"/>
              </w:rPr>
              <w:drawing>
                <wp:inline distT="0" distB="0" distL="0" distR="0" wp14:anchorId="454AA577" wp14:editId="5BBA9D4C">
                  <wp:extent cx="2805545" cy="1626074"/>
                  <wp:effectExtent l="0" t="0" r="0" b="0"/>
                  <wp:docPr id="6" name="Picture 7">
                    <a:extLst xmlns:a="http://schemas.openxmlformats.org/drawingml/2006/main">
                      <a:ext uri="{FF2B5EF4-FFF2-40B4-BE49-F238E27FC236}">
                        <a16:creationId xmlns:a16="http://schemas.microsoft.com/office/drawing/2014/main" id="{7C67AF0E-B9F3-4563-B247-802BD3045E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C67AF0E-B9F3-4563-B247-802BD3045E64}"/>
                              </a:ext>
                            </a:extLst>
                          </pic:cNvPr>
                          <pic:cNvPicPr>
                            <a:picLocks noChangeAspect="1"/>
                          </pic:cNvPicPr>
                        </pic:nvPicPr>
                        <pic:blipFill rotWithShape="1">
                          <a:blip r:embed="rId10"/>
                          <a:srcRect t="58562"/>
                          <a:stretch/>
                        </pic:blipFill>
                        <pic:spPr>
                          <a:xfrm>
                            <a:off x="0" y="0"/>
                            <a:ext cx="2833927" cy="1642524"/>
                          </a:xfrm>
                          <a:prstGeom prst="rect">
                            <a:avLst/>
                          </a:prstGeom>
                        </pic:spPr>
                      </pic:pic>
                    </a:graphicData>
                  </a:graphic>
                </wp:inline>
              </w:drawing>
            </w:r>
          </w:p>
        </w:tc>
        <w:tc>
          <w:tcPr>
            <w:tcW w:w="4562" w:type="dxa"/>
          </w:tcPr>
          <w:p w14:paraId="2AC34AAB" w14:textId="77777777" w:rsidR="00E2436C" w:rsidRDefault="00E2436C" w:rsidP="00E6440A">
            <w:pPr>
              <w:jc w:val="both"/>
              <w:rPr>
                <w:rFonts w:cs="Calibri"/>
                <w:sz w:val="16"/>
                <w:szCs w:val="20"/>
              </w:rPr>
            </w:pPr>
            <w:r w:rsidRPr="008249E0">
              <w:rPr>
                <w:rFonts w:cs="Calibri"/>
                <w:noProof/>
                <w:sz w:val="16"/>
                <w:szCs w:val="20"/>
              </w:rPr>
              <w:drawing>
                <wp:inline distT="0" distB="0" distL="0" distR="0" wp14:anchorId="21315476" wp14:editId="7C820343">
                  <wp:extent cx="2762080" cy="2165350"/>
                  <wp:effectExtent l="0" t="0" r="635" b="635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0"/>
                          <a:srcRect b="43951"/>
                          <a:stretch/>
                        </pic:blipFill>
                        <pic:spPr>
                          <a:xfrm>
                            <a:off x="0" y="0"/>
                            <a:ext cx="2777461" cy="2177408"/>
                          </a:xfrm>
                          <a:prstGeom prst="rect">
                            <a:avLst/>
                          </a:prstGeom>
                        </pic:spPr>
                      </pic:pic>
                    </a:graphicData>
                  </a:graphic>
                </wp:inline>
              </w:drawing>
            </w:r>
          </w:p>
        </w:tc>
      </w:tr>
    </w:tbl>
    <w:p w14:paraId="24D6A104" w14:textId="77777777" w:rsidR="00E2436C" w:rsidRDefault="00E2436C" w:rsidP="00E2436C">
      <w:pPr>
        <w:spacing w:after="0"/>
        <w:rPr>
          <w:rFonts w:cs="Calibri"/>
          <w:sz w:val="16"/>
          <w:szCs w:val="20"/>
        </w:rPr>
      </w:pPr>
    </w:p>
    <w:p w14:paraId="58EBDB89" w14:textId="77777777" w:rsidR="00E2436C" w:rsidRDefault="00E2436C" w:rsidP="00E2436C">
      <w:pPr>
        <w:spacing w:after="0"/>
        <w:rPr>
          <w:rFonts w:cs="Calibri"/>
          <w:szCs w:val="20"/>
        </w:rPr>
      </w:pPr>
      <w:r>
        <w:rPr>
          <w:rFonts w:cs="Calibri"/>
          <w:szCs w:val="20"/>
        </w:rPr>
        <w:t xml:space="preserve">The application of this methodology when urban and suburban deployments are considered results in a total number of IMT BSs in the area under study of </w:t>
      </w:r>
    </w:p>
    <w:p w14:paraId="6B5202BD" w14:textId="77777777" w:rsidR="00E2436C" w:rsidRDefault="00AF634C" w:rsidP="00E2436C">
      <w:pPr>
        <w:spacing w:after="0"/>
        <w:rPr>
          <w:rFonts w:cs="Calibri"/>
          <w:szCs w:val="20"/>
        </w:rPr>
      </w:pPr>
      <m:oMathPara>
        <m:oMath>
          <m:sSub>
            <m:sSubPr>
              <m:ctrlPr>
                <w:rPr>
                  <w:rFonts w:ascii="Cambria Math" w:hAnsi="Cambria Math" w:cs="Calibri"/>
                  <w:i/>
                  <w:iCs/>
                  <w:szCs w:val="20"/>
                </w:rPr>
              </m:ctrlPr>
            </m:sSubPr>
            <m:e>
              <m:r>
                <w:rPr>
                  <w:rFonts w:ascii="Cambria Math" w:hAnsi="Cambria Math" w:cs="Calibri"/>
                  <w:szCs w:val="20"/>
                </w:rPr>
                <m:t>N</m:t>
              </m:r>
            </m:e>
            <m:sub>
              <m:r>
                <w:rPr>
                  <w:rFonts w:ascii="Cambria Math" w:hAnsi="Cambria Math" w:cs="Calibri"/>
                  <w:szCs w:val="20"/>
                </w:rPr>
                <m:t>BS</m:t>
              </m:r>
            </m:sub>
          </m:sSub>
          <m:r>
            <m:rPr>
              <m:sty m:val="p"/>
            </m:rPr>
            <w:rPr>
              <w:rFonts w:ascii="Cambria Math" w:hAnsi="Cambria Math" w:cs="Calibri"/>
              <w:szCs w:val="20"/>
            </w:rPr>
            <m:t>=</m:t>
          </m:r>
          <m:sSub>
            <m:sSubPr>
              <m:ctrlPr>
                <w:rPr>
                  <w:rFonts w:ascii="Cambria Math" w:hAnsi="Cambria Math" w:cs="Calibri"/>
                  <w:i/>
                  <w:iCs/>
                  <w:szCs w:val="20"/>
                </w:rPr>
              </m:ctrlPr>
            </m:sSubPr>
            <m:e>
              <m:r>
                <w:rPr>
                  <w:rFonts w:ascii="Cambria Math" w:hAnsi="Cambria Math" w:cs="Calibri"/>
                  <w:szCs w:val="20"/>
                </w:rPr>
                <m:t>N</m:t>
              </m:r>
            </m:e>
            <m:sub>
              <m:r>
                <w:rPr>
                  <w:rFonts w:ascii="Cambria Math" w:hAnsi="Cambria Math" w:cs="Calibri"/>
                  <w:szCs w:val="20"/>
                </w:rPr>
                <m:t>BS,u</m:t>
              </m:r>
            </m:sub>
          </m:sSub>
          <m:r>
            <w:rPr>
              <w:rFonts w:ascii="Cambria Math" w:hAnsi="Cambria Math" w:cs="Calibri"/>
              <w:szCs w:val="20"/>
            </w:rPr>
            <m:t>+</m:t>
          </m:r>
          <m:sSub>
            <m:sSubPr>
              <m:ctrlPr>
                <w:rPr>
                  <w:rFonts w:ascii="Cambria Math" w:hAnsi="Cambria Math" w:cs="Calibri"/>
                  <w:i/>
                  <w:iCs/>
                  <w:szCs w:val="20"/>
                </w:rPr>
              </m:ctrlPr>
            </m:sSubPr>
            <m:e>
              <m:r>
                <w:rPr>
                  <w:rFonts w:ascii="Cambria Math" w:hAnsi="Cambria Math" w:cs="Calibri"/>
                  <w:szCs w:val="20"/>
                </w:rPr>
                <m:t>N</m:t>
              </m:r>
            </m:e>
            <m:sub>
              <m:r>
                <w:rPr>
                  <w:rFonts w:ascii="Cambria Math" w:hAnsi="Cambria Math" w:cs="Calibri"/>
                  <w:szCs w:val="20"/>
                </w:rPr>
                <m:t>BS,s</m:t>
              </m:r>
            </m:sub>
          </m:sSub>
          <m:r>
            <w:rPr>
              <w:rFonts w:ascii="Cambria Math" w:hAnsi="Cambria Math" w:cs="Calibri"/>
              <w:szCs w:val="20"/>
            </w:rPr>
            <m:t>=</m:t>
          </m:r>
          <m:d>
            <m:dPr>
              <m:ctrlPr>
                <w:rPr>
                  <w:rFonts w:ascii="Cambria Math" w:hAnsi="Cambria Math" w:cs="Calibri"/>
                  <w:i/>
                  <w:iCs/>
                  <w:szCs w:val="20"/>
                </w:rPr>
              </m:ctrlPr>
            </m:dPr>
            <m:e>
              <m:sSub>
                <m:sSubPr>
                  <m:ctrlPr>
                    <w:rPr>
                      <w:rFonts w:ascii="Cambria Math" w:hAnsi="Cambria Math" w:cs="Calibri"/>
                      <w:i/>
                      <w:iCs/>
                      <w:szCs w:val="20"/>
                    </w:rPr>
                  </m:ctrlPr>
                </m:sSubPr>
                <m:e>
                  <m:r>
                    <w:rPr>
                      <w:rFonts w:ascii="Cambria Math" w:hAnsi="Cambria Math" w:cs="Calibri"/>
                      <w:szCs w:val="20"/>
                    </w:rPr>
                    <m:t>D</m:t>
                  </m:r>
                </m:e>
                <m:sub>
                  <m:r>
                    <w:rPr>
                      <w:rFonts w:ascii="Cambria Math" w:hAnsi="Cambria Math" w:cs="Calibri"/>
                      <w:szCs w:val="20"/>
                    </w:rPr>
                    <m:t>u</m:t>
                  </m:r>
                </m:sub>
              </m:sSub>
              <m:sSub>
                <m:sSubPr>
                  <m:ctrlPr>
                    <w:rPr>
                      <w:rFonts w:ascii="Cambria Math" w:hAnsi="Cambria Math" w:cs="Calibri"/>
                      <w:i/>
                      <w:iCs/>
                      <w:szCs w:val="20"/>
                    </w:rPr>
                  </m:ctrlPr>
                </m:sSubPr>
                <m:e>
                  <m:r>
                    <w:rPr>
                      <w:rFonts w:ascii="Cambria Math" w:hAnsi="Cambria Math" w:cs="Calibri"/>
                      <w:szCs w:val="20"/>
                    </w:rPr>
                    <m:t>R</m:t>
                  </m:r>
                </m:e>
                <m:sub>
                  <m:r>
                    <w:rPr>
                      <w:rFonts w:ascii="Cambria Math" w:hAnsi="Cambria Math" w:cs="Calibri"/>
                      <w:szCs w:val="20"/>
                    </w:rPr>
                    <m:t>a,u</m:t>
                  </m:r>
                </m:sub>
              </m:sSub>
              <m:sSub>
                <m:sSubPr>
                  <m:ctrlPr>
                    <w:rPr>
                      <w:rFonts w:ascii="Cambria Math" w:hAnsi="Cambria Math" w:cs="Calibri"/>
                      <w:i/>
                      <w:iCs/>
                      <w:szCs w:val="20"/>
                    </w:rPr>
                  </m:ctrlPr>
                </m:sSubPr>
                <m:e>
                  <m:r>
                    <w:rPr>
                      <w:rFonts w:ascii="Cambria Math" w:hAnsi="Cambria Math" w:cs="Calibri"/>
                      <w:szCs w:val="20"/>
                    </w:rPr>
                    <m:t>R</m:t>
                  </m:r>
                </m:e>
                <m:sub>
                  <m:r>
                    <w:rPr>
                      <w:rFonts w:ascii="Cambria Math" w:hAnsi="Cambria Math" w:cs="Calibri"/>
                      <w:szCs w:val="20"/>
                    </w:rPr>
                    <m:t>b</m:t>
                  </m:r>
                </m:sub>
              </m:sSub>
              <m:r>
                <w:rPr>
                  <w:rFonts w:ascii="Cambria Math" w:hAnsi="Cambria Math" w:cs="Calibri"/>
                  <w:szCs w:val="20"/>
                </w:rPr>
                <m:t>+ </m:t>
              </m:r>
              <m:sSub>
                <m:sSubPr>
                  <m:ctrlPr>
                    <w:rPr>
                      <w:rFonts w:ascii="Cambria Math" w:hAnsi="Cambria Math" w:cs="Calibri"/>
                      <w:i/>
                      <w:iCs/>
                      <w:szCs w:val="20"/>
                    </w:rPr>
                  </m:ctrlPr>
                </m:sSubPr>
                <m:e>
                  <m:r>
                    <w:rPr>
                      <w:rFonts w:ascii="Cambria Math" w:hAnsi="Cambria Math" w:cs="Calibri"/>
                      <w:szCs w:val="20"/>
                    </w:rPr>
                    <m:t>D</m:t>
                  </m:r>
                </m:e>
                <m:sub>
                  <m:r>
                    <w:rPr>
                      <w:rFonts w:ascii="Cambria Math" w:hAnsi="Cambria Math" w:cs="Calibri"/>
                      <w:szCs w:val="20"/>
                    </w:rPr>
                    <m:t>s</m:t>
                  </m:r>
                </m:sub>
              </m:sSub>
              <m:sSub>
                <m:sSubPr>
                  <m:ctrlPr>
                    <w:rPr>
                      <w:rFonts w:ascii="Cambria Math" w:hAnsi="Cambria Math" w:cs="Calibri"/>
                      <w:i/>
                      <w:iCs/>
                      <w:szCs w:val="20"/>
                    </w:rPr>
                  </m:ctrlPr>
                </m:sSubPr>
                <m:e>
                  <m:r>
                    <w:rPr>
                      <w:rFonts w:ascii="Cambria Math" w:hAnsi="Cambria Math" w:cs="Calibri"/>
                      <w:szCs w:val="20"/>
                    </w:rPr>
                    <m:t>R</m:t>
                  </m:r>
                </m:e>
                <m:sub>
                  <m:r>
                    <w:rPr>
                      <w:rFonts w:ascii="Cambria Math" w:hAnsi="Cambria Math" w:cs="Calibri"/>
                      <w:szCs w:val="20"/>
                    </w:rPr>
                    <m:t>a,s</m:t>
                  </m:r>
                </m:sub>
              </m:sSub>
              <m:sSub>
                <m:sSubPr>
                  <m:ctrlPr>
                    <w:rPr>
                      <w:rFonts w:ascii="Cambria Math" w:hAnsi="Cambria Math" w:cs="Calibri"/>
                      <w:i/>
                      <w:iCs/>
                      <w:szCs w:val="20"/>
                    </w:rPr>
                  </m:ctrlPr>
                </m:sSubPr>
                <m:e>
                  <m:r>
                    <w:rPr>
                      <w:rFonts w:ascii="Cambria Math" w:hAnsi="Cambria Math" w:cs="Calibri"/>
                      <w:szCs w:val="20"/>
                    </w:rPr>
                    <m:t>R</m:t>
                  </m:r>
                </m:e>
                <m:sub>
                  <m:r>
                    <w:rPr>
                      <w:rFonts w:ascii="Cambria Math" w:hAnsi="Cambria Math" w:cs="Calibri"/>
                      <w:szCs w:val="20"/>
                    </w:rPr>
                    <m:t>b</m:t>
                  </m:r>
                </m:sub>
              </m:sSub>
            </m:e>
          </m:d>
          <m:r>
            <w:rPr>
              <w:rFonts w:ascii="Cambria Math" w:hAnsi="Cambria Math" w:cs="Calibri"/>
              <w:szCs w:val="20"/>
            </w:rPr>
            <m:t>A</m:t>
          </m:r>
        </m:oMath>
      </m:oMathPara>
    </w:p>
    <w:p w14:paraId="66C1BCE6" w14:textId="45B17A2D" w:rsidR="00E2436C" w:rsidRDefault="00E2436C" w:rsidP="00E2436C">
      <w:pPr>
        <w:spacing w:after="0"/>
        <w:rPr>
          <w:rFonts w:cs="Calibri"/>
          <w:szCs w:val="20"/>
        </w:rPr>
      </w:pPr>
      <w:r>
        <w:rPr>
          <w:rFonts w:cs="Calibri"/>
          <w:szCs w:val="20"/>
        </w:rPr>
        <w:t xml:space="preserve">Where </w:t>
      </w:r>
      <w:r w:rsidRPr="006F55D3">
        <w:rPr>
          <w:rFonts w:cs="Calibri"/>
          <w:i/>
          <w:iCs/>
          <w:szCs w:val="20"/>
        </w:rPr>
        <w:t>A</w:t>
      </w:r>
      <w:r>
        <w:rPr>
          <w:rFonts w:cs="Calibri"/>
          <w:szCs w:val="20"/>
        </w:rPr>
        <w:t xml:space="preserve"> is the area in km</w:t>
      </w:r>
      <w:r w:rsidRPr="006F55D3">
        <w:rPr>
          <w:rFonts w:cs="Calibri"/>
          <w:szCs w:val="20"/>
          <w:vertAlign w:val="superscript"/>
        </w:rPr>
        <w:t>2</w:t>
      </w:r>
      <w:r>
        <w:rPr>
          <w:rFonts w:cs="Calibri"/>
          <w:szCs w:val="20"/>
        </w:rPr>
        <w:t xml:space="preserve"> and the “u” and “s” sub</w:t>
      </w:r>
      <w:r w:rsidR="006F55D3">
        <w:rPr>
          <w:rFonts w:cs="Calibri"/>
          <w:szCs w:val="20"/>
        </w:rPr>
        <w:t>scripts</w:t>
      </w:r>
      <w:r>
        <w:rPr>
          <w:rFonts w:cs="Calibri"/>
          <w:szCs w:val="20"/>
        </w:rPr>
        <w:t xml:space="preserve"> indicate values for urban and suburban scenarios respectively.</w:t>
      </w:r>
    </w:p>
    <w:p w14:paraId="7B94195A" w14:textId="77777777" w:rsidR="00E2436C" w:rsidRPr="00525337" w:rsidRDefault="00E2436C" w:rsidP="00512AAF">
      <w:pPr>
        <w:pStyle w:val="Heading3"/>
      </w:pPr>
      <w:r w:rsidRPr="00525337">
        <w:t>Choosing Ra and Rb</w:t>
      </w:r>
    </w:p>
    <w:p w14:paraId="7B9D84C8" w14:textId="44A8EFBB" w:rsidR="00E2436C" w:rsidRDefault="00E2436C" w:rsidP="00E2436C">
      <w:pPr>
        <w:spacing w:after="0"/>
        <w:rPr>
          <w:rFonts w:cs="Calibri"/>
          <w:szCs w:val="20"/>
        </w:rPr>
      </w:pPr>
      <w:r>
        <w:rPr>
          <w:rFonts w:cs="Calibri"/>
          <w:szCs w:val="20"/>
        </w:rPr>
        <w:t>The choice of Ra and Rb values is important to the study outcome. Many of the studies in WP 5D consider very large areas, such as the entire African continent (</w:t>
      </w:r>
      <w:r w:rsidR="006F55D3">
        <w:rPr>
          <w:rFonts w:cs="Calibri"/>
          <w:szCs w:val="20"/>
        </w:rPr>
        <w:t xml:space="preserve">approximately </w:t>
      </w:r>
      <w:r>
        <w:rPr>
          <w:rFonts w:cs="Calibri"/>
          <w:szCs w:val="20"/>
        </w:rPr>
        <w:t>30 million km</w:t>
      </w:r>
      <w:r w:rsidRPr="006F55D3">
        <w:rPr>
          <w:rFonts w:cs="Calibri"/>
          <w:szCs w:val="20"/>
          <w:vertAlign w:val="superscript"/>
        </w:rPr>
        <w:t>2</w:t>
      </w:r>
      <w:r>
        <w:rPr>
          <w:rFonts w:cs="Calibri"/>
          <w:szCs w:val="20"/>
        </w:rPr>
        <w:t>) or the visible area of a satellite covering all of Region 1 and Region 2 (90 million km</w:t>
      </w:r>
      <w:r w:rsidRPr="006F55D3">
        <w:rPr>
          <w:rFonts w:cs="Calibri"/>
          <w:szCs w:val="20"/>
          <w:vertAlign w:val="superscript"/>
        </w:rPr>
        <w:t>2</w:t>
      </w:r>
      <w:r>
        <w:rPr>
          <w:rFonts w:cs="Calibri"/>
          <w:szCs w:val="20"/>
        </w:rPr>
        <w:t xml:space="preserve">). </w:t>
      </w:r>
    </w:p>
    <w:p w14:paraId="2FBA85AC" w14:textId="77777777" w:rsidR="00E2436C" w:rsidRDefault="00E2436C" w:rsidP="00E2436C">
      <w:pPr>
        <w:spacing w:after="0"/>
        <w:rPr>
          <w:rFonts w:cs="Calibri"/>
          <w:szCs w:val="20"/>
        </w:rPr>
      </w:pPr>
      <w:r>
        <w:rPr>
          <w:rFonts w:cs="Calibri"/>
          <w:szCs w:val="20"/>
        </w:rPr>
        <w:t>These areas will cover countries or regions that are highly developed, with high population density, but also deserts, forests and other unpopulated locations. It cannot be assumed that Ra &amp; Rb options that are valid for small size, highly developed countries (for instance, Germany or the Netherlands), can be used across a simulation area of millions of km</w:t>
      </w:r>
      <w:r w:rsidRPr="006F55D3">
        <w:rPr>
          <w:rFonts w:cs="Calibri"/>
          <w:szCs w:val="20"/>
          <w:vertAlign w:val="superscript"/>
        </w:rPr>
        <w:t>2</w:t>
      </w:r>
      <w:r>
        <w:rPr>
          <w:rFonts w:cs="Calibri"/>
          <w:szCs w:val="20"/>
        </w:rPr>
        <w:t>. When the simulation area is very large (such as the millions of km</w:t>
      </w:r>
      <w:r w:rsidRPr="006F55D3">
        <w:rPr>
          <w:rFonts w:cs="Calibri"/>
          <w:szCs w:val="20"/>
          <w:vertAlign w:val="superscript"/>
        </w:rPr>
        <w:t>2</w:t>
      </w:r>
      <w:r>
        <w:rPr>
          <w:rFonts w:cs="Calibri"/>
          <w:szCs w:val="20"/>
        </w:rPr>
        <w:t xml:space="preserve"> in Region 1 or just the African continent), it is only realistic to choose the Ra and Rb options that more closely represent the reality of the entire large area on average. With this in mind, the values relevant to large study areas are:</w:t>
      </w:r>
    </w:p>
    <w:p w14:paraId="17BF25CA" w14:textId="77777777" w:rsidR="00E2436C" w:rsidRPr="00512AAF" w:rsidRDefault="00E2436C" w:rsidP="006F55D3">
      <w:pPr>
        <w:spacing w:after="0"/>
        <w:ind w:left="2268"/>
        <w:rPr>
          <w:rStyle w:val="ECCParagraph"/>
        </w:rPr>
      </w:pPr>
      <w:r w:rsidRPr="00512AAF">
        <w:rPr>
          <w:rStyle w:val="ECCParagraph"/>
        </w:rPr>
        <w:t xml:space="preserve">Ra </w:t>
      </w:r>
      <w:r w:rsidRPr="00512AAF">
        <w:rPr>
          <w:rStyle w:val="ECCParagraph"/>
        </w:rPr>
        <w:tab/>
        <w:t xml:space="preserve">- </w:t>
      </w:r>
      <w:r w:rsidRPr="00512AAF">
        <w:rPr>
          <w:rStyle w:val="ECCParagraph"/>
        </w:rPr>
        <w:tab/>
        <w:t>Option 1</w:t>
      </w:r>
    </w:p>
    <w:p w14:paraId="1B198283" w14:textId="77777777" w:rsidR="00E2436C" w:rsidRPr="00512AAF" w:rsidRDefault="00E2436C" w:rsidP="006F55D3">
      <w:pPr>
        <w:spacing w:after="0"/>
        <w:ind w:left="2268"/>
        <w:rPr>
          <w:rStyle w:val="ECCParagraph"/>
        </w:rPr>
      </w:pPr>
      <w:r w:rsidRPr="00512AAF">
        <w:rPr>
          <w:rStyle w:val="ECCParagraph"/>
        </w:rPr>
        <w:t xml:space="preserve">Rb </w:t>
      </w:r>
      <w:r w:rsidRPr="00512AAF">
        <w:rPr>
          <w:rStyle w:val="ECCParagraph"/>
        </w:rPr>
        <w:tab/>
        <w:t>-</w:t>
      </w:r>
      <w:r w:rsidRPr="00512AAF">
        <w:rPr>
          <w:rStyle w:val="ECCParagraph"/>
        </w:rPr>
        <w:tab/>
        <w:t>Options 1 &amp; 3</w:t>
      </w:r>
    </w:p>
    <w:p w14:paraId="5F922CA3" w14:textId="3FAB72CA" w:rsidR="00E2436C" w:rsidRDefault="00E2436C" w:rsidP="00E2436C">
      <w:pPr>
        <w:spacing w:after="0"/>
        <w:rPr>
          <w:rFonts w:cs="Calibri"/>
          <w:szCs w:val="20"/>
        </w:rPr>
      </w:pPr>
      <w:r>
        <w:rPr>
          <w:rFonts w:cs="Calibri"/>
          <w:szCs w:val="20"/>
        </w:rPr>
        <w:t>It must be noted that:</w:t>
      </w:r>
    </w:p>
    <w:p w14:paraId="2F5F8D92" w14:textId="77777777" w:rsidR="00A77DEB" w:rsidRDefault="00A77DEB" w:rsidP="006F3150">
      <w:pPr>
        <w:spacing w:before="0" w:after="0"/>
        <w:rPr>
          <w:rFonts w:cs="Calibri"/>
          <w:szCs w:val="20"/>
        </w:rPr>
      </w:pPr>
    </w:p>
    <w:p w14:paraId="05C73F9C" w14:textId="41982169" w:rsidR="00E2436C" w:rsidRPr="0055477D" w:rsidRDefault="00E2436C">
      <w:pPr>
        <w:pStyle w:val="ListParagraph"/>
        <w:numPr>
          <w:ilvl w:val="0"/>
          <w:numId w:val="12"/>
        </w:numPr>
        <w:spacing w:before="0" w:after="0"/>
        <w:rPr>
          <w:rFonts w:cs="Calibri"/>
          <w:szCs w:val="20"/>
        </w:rPr>
      </w:pPr>
      <w:r w:rsidRPr="0055477D">
        <w:rPr>
          <w:rFonts w:cs="Calibri"/>
          <w:szCs w:val="20"/>
        </w:rPr>
        <w:t>The formula above calculates the number of BSs operating co-channel</w:t>
      </w:r>
      <w:r>
        <w:rPr>
          <w:rFonts w:cs="Calibri"/>
          <w:szCs w:val="20"/>
        </w:rPr>
        <w:t>,</w:t>
      </w:r>
      <w:r w:rsidRPr="0055477D">
        <w:rPr>
          <w:rFonts w:cs="Calibri"/>
          <w:szCs w:val="20"/>
        </w:rPr>
        <w:t xml:space="preserve"> and not the number of BSs in the band. Consequently, if one seeks to estimate the total number of BSs deployed in the 6</w:t>
      </w:r>
      <w:r w:rsidR="006F55D3">
        <w:rPr>
          <w:rFonts w:cs="Calibri"/>
          <w:szCs w:val="20"/>
        </w:rPr>
        <w:t> </w:t>
      </w:r>
      <w:r w:rsidRPr="0055477D">
        <w:rPr>
          <w:rFonts w:cs="Calibri"/>
          <w:szCs w:val="20"/>
        </w:rPr>
        <w:t>GHz band, N</w:t>
      </w:r>
      <w:r w:rsidRPr="0055477D">
        <w:rPr>
          <w:rFonts w:cs="Calibri"/>
          <w:szCs w:val="20"/>
          <w:vertAlign w:val="subscript"/>
        </w:rPr>
        <w:t>BS</w:t>
      </w:r>
      <w:r w:rsidRPr="0055477D">
        <w:rPr>
          <w:rFonts w:cs="Calibri"/>
          <w:szCs w:val="20"/>
        </w:rPr>
        <w:t xml:space="preserve"> above would need to be </w:t>
      </w:r>
      <w:r>
        <w:rPr>
          <w:rFonts w:cs="Calibri"/>
          <w:szCs w:val="20"/>
        </w:rPr>
        <w:t xml:space="preserve">adjusted taken into account of </w:t>
      </w:r>
      <w:r w:rsidRPr="00865FB1">
        <w:rPr>
          <w:rFonts w:cs="Calibri"/>
          <w:szCs w:val="20"/>
        </w:rPr>
        <w:t>multi-channels</w:t>
      </w:r>
      <w:r w:rsidRPr="0055477D">
        <w:rPr>
          <w:rFonts w:cs="Calibri"/>
          <w:szCs w:val="20"/>
        </w:rPr>
        <w:t xml:space="preserve">. </w:t>
      </w:r>
      <w:r w:rsidRPr="00C60572">
        <w:rPr>
          <w:rFonts w:cs="Calibri"/>
          <w:b/>
          <w:bCs/>
          <w:szCs w:val="20"/>
        </w:rPr>
        <w:t>It is important to take this into account if the results of the formula are compared with deployments in existing bands</w:t>
      </w:r>
    </w:p>
    <w:p w14:paraId="47E007B5" w14:textId="77777777" w:rsidR="00E2436C" w:rsidRPr="0055477D" w:rsidRDefault="00E2436C" w:rsidP="00E2436C">
      <w:pPr>
        <w:pStyle w:val="ListParagraph"/>
        <w:numPr>
          <w:ilvl w:val="0"/>
          <w:numId w:val="12"/>
        </w:numPr>
        <w:spacing w:before="0" w:after="0"/>
        <w:rPr>
          <w:rFonts w:cs="Calibri"/>
          <w:szCs w:val="20"/>
        </w:rPr>
      </w:pPr>
      <w:r w:rsidRPr="0055477D">
        <w:rPr>
          <w:rFonts w:cs="Calibri"/>
          <w:szCs w:val="20"/>
        </w:rPr>
        <w:t>WP</w:t>
      </w:r>
      <w:r>
        <w:rPr>
          <w:rFonts w:cs="Calibri"/>
          <w:szCs w:val="20"/>
        </w:rPr>
        <w:t xml:space="preserve"> </w:t>
      </w:r>
      <w:r w:rsidRPr="0055477D">
        <w:rPr>
          <w:rFonts w:cs="Calibri"/>
          <w:szCs w:val="20"/>
        </w:rPr>
        <w:t>5D has not defined the Ra and Rb values in Table 11 as high/low values of a range. Instead, these options are alternatives</w:t>
      </w:r>
      <w:r>
        <w:rPr>
          <w:rFonts w:cs="Calibri"/>
          <w:szCs w:val="20"/>
        </w:rPr>
        <w:t>, and</w:t>
      </w:r>
      <w:r w:rsidRPr="0055477D">
        <w:rPr>
          <w:rFonts w:cs="Calibri"/>
          <w:szCs w:val="20"/>
        </w:rPr>
        <w:t xml:space="preserve"> </w:t>
      </w:r>
      <w:r w:rsidRPr="00C60572">
        <w:rPr>
          <w:rFonts w:cs="Calibri"/>
          <w:b/>
          <w:bCs/>
          <w:szCs w:val="20"/>
        </w:rPr>
        <w:t>the proponents of a study must evaluate which Ra and Rb options are most appropriate for the area under consideration in their study.</w:t>
      </w:r>
    </w:p>
    <w:p w14:paraId="7448118B" w14:textId="3BC00E3B" w:rsidR="00E2436C" w:rsidRDefault="00E2436C" w:rsidP="00E2436C">
      <w:pPr>
        <w:spacing w:after="0"/>
        <w:rPr>
          <w:rFonts w:cs="Calibri"/>
          <w:szCs w:val="20"/>
        </w:rPr>
      </w:pPr>
      <w:r>
        <w:rPr>
          <w:rFonts w:cs="Calibri"/>
          <w:szCs w:val="20"/>
        </w:rPr>
        <w:t xml:space="preserve">While it can be difficult to estimate the value of Ra for a large area, Rb can be easily tested. The Rb options proposed by WP 5D can be compared with publicly available datasets of built-up ratio per country, such as the </w:t>
      </w:r>
      <w:r>
        <w:rPr>
          <w:rFonts w:cs="Calibri"/>
          <w:szCs w:val="20"/>
        </w:rPr>
        <w:lastRenderedPageBreak/>
        <w:t>data provided by the OECD</w:t>
      </w:r>
      <w:r>
        <w:rPr>
          <w:rStyle w:val="FootnoteReference"/>
          <w:rFonts w:cs="Calibri"/>
          <w:szCs w:val="20"/>
        </w:rPr>
        <w:footnoteReference w:id="3"/>
      </w:r>
      <w:r>
        <w:rPr>
          <w:rFonts w:cs="Calibri"/>
          <w:szCs w:val="20"/>
        </w:rPr>
        <w:t xml:space="preserve"> and used in contribution </w:t>
      </w:r>
      <w:hyperlink r:id="rId11" w:history="1">
        <w:r w:rsidRPr="00F60267">
          <w:rPr>
            <w:rStyle w:val="Hyperlink"/>
            <w:rFonts w:cs="Calibri"/>
            <w:szCs w:val="20"/>
          </w:rPr>
          <w:t>5D/996</w:t>
        </w:r>
      </w:hyperlink>
      <w:r>
        <w:rPr>
          <w:rFonts w:cs="Calibri"/>
          <w:szCs w:val="20"/>
        </w:rPr>
        <w:t xml:space="preserve"> from Cameroon. This data shows that the actual built-up ratio of the Region 1 plus Region 3 land area (91 million km2) is about 0.6%, and thus Rb=1% is the most appropriate value for such scenario. </w:t>
      </w:r>
    </w:p>
    <w:p w14:paraId="51EEB2BE" w14:textId="3339368A" w:rsidR="00864D96" w:rsidRPr="006F3150" w:rsidRDefault="00766449" w:rsidP="00766449">
      <w:pPr>
        <w:spacing w:after="0"/>
        <w:rPr>
          <w:rFonts w:cs="Calibri"/>
          <w:b/>
          <w:szCs w:val="20"/>
        </w:rPr>
      </w:pPr>
      <w:r w:rsidRPr="006F3150">
        <w:rPr>
          <w:rFonts w:cs="Calibri"/>
          <w:b/>
          <w:szCs w:val="20"/>
        </w:rPr>
        <w:t xml:space="preserve">2.1.2.1 </w:t>
      </w:r>
      <w:r>
        <w:rPr>
          <w:rFonts w:cs="Calibri"/>
          <w:b/>
          <w:szCs w:val="20"/>
        </w:rPr>
        <w:t xml:space="preserve"> </w:t>
      </w:r>
      <w:r w:rsidR="00686129" w:rsidRPr="006F3150">
        <w:rPr>
          <w:rFonts w:cs="Calibri"/>
          <w:b/>
          <w:szCs w:val="20"/>
        </w:rPr>
        <w:t xml:space="preserve">Example of calculations </w:t>
      </w:r>
      <w:r w:rsidRPr="006F3150">
        <w:rPr>
          <w:rFonts w:cs="Calibri"/>
          <w:b/>
          <w:szCs w:val="20"/>
        </w:rPr>
        <w:t xml:space="preserve">of a number of co-channel macro-cellular 100 MHz carriers at 6 GHz </w:t>
      </w:r>
      <w:r w:rsidR="00686129" w:rsidRPr="006F3150">
        <w:rPr>
          <w:rFonts w:cs="Calibri"/>
          <w:b/>
          <w:szCs w:val="20"/>
        </w:rPr>
        <w:t>for Region 1</w:t>
      </w:r>
    </w:p>
    <w:p w14:paraId="1E44CDBE" w14:textId="043396C8" w:rsidR="00686129" w:rsidRPr="005B7816" w:rsidRDefault="00686129" w:rsidP="006F3150">
      <w:pPr>
        <w:pStyle w:val="ListParagraph"/>
        <w:numPr>
          <w:ilvl w:val="0"/>
          <w:numId w:val="12"/>
        </w:numPr>
        <w:spacing w:after="0"/>
        <w:rPr>
          <w:rFonts w:cs="Calibri"/>
          <w:szCs w:val="20"/>
        </w:rPr>
      </w:pPr>
      <w:r w:rsidRPr="005B7816">
        <w:rPr>
          <w:rFonts w:cs="Calibri"/>
          <w:szCs w:val="20"/>
        </w:rPr>
        <w:t xml:space="preserve">Total area of </w:t>
      </w:r>
      <w:r w:rsidR="00766449">
        <w:rPr>
          <w:rFonts w:cs="Calibri"/>
          <w:szCs w:val="20"/>
        </w:rPr>
        <w:t>R</w:t>
      </w:r>
      <w:r w:rsidRPr="005B7816">
        <w:rPr>
          <w:rFonts w:cs="Calibri"/>
          <w:szCs w:val="20"/>
        </w:rPr>
        <w:t xml:space="preserve">egion </w:t>
      </w:r>
      <w:r w:rsidR="00766449">
        <w:rPr>
          <w:rFonts w:cs="Calibri"/>
          <w:szCs w:val="20"/>
        </w:rPr>
        <w:t xml:space="preserve">1 </w:t>
      </w:r>
      <w:r w:rsidRPr="005B7816">
        <w:rPr>
          <w:rFonts w:cs="Calibri"/>
          <w:szCs w:val="20"/>
        </w:rPr>
        <w:t>is 56,315,536 km</w:t>
      </w:r>
      <w:r w:rsidRPr="006F3150">
        <w:rPr>
          <w:rFonts w:cs="Calibri"/>
          <w:szCs w:val="20"/>
          <w:vertAlign w:val="superscript"/>
        </w:rPr>
        <w:t>2</w:t>
      </w:r>
      <w:r w:rsidRPr="005B7816">
        <w:rPr>
          <w:rFonts w:cs="Calibri"/>
          <w:szCs w:val="20"/>
        </w:rPr>
        <w:t>.</w:t>
      </w:r>
    </w:p>
    <w:p w14:paraId="10EBB9FE" w14:textId="26AAD566" w:rsidR="00686129" w:rsidRDefault="00766449" w:rsidP="00686129">
      <w:pPr>
        <w:pStyle w:val="ListParagraph"/>
        <w:numPr>
          <w:ilvl w:val="0"/>
          <w:numId w:val="12"/>
        </w:numPr>
        <w:spacing w:after="0"/>
        <w:rPr>
          <w:rFonts w:cs="Calibri"/>
          <w:szCs w:val="20"/>
        </w:rPr>
      </w:pPr>
      <w:r>
        <w:rPr>
          <w:rFonts w:cs="Calibri"/>
          <w:szCs w:val="20"/>
        </w:rPr>
        <w:t>Region 1 c</w:t>
      </w:r>
      <w:r w:rsidR="00686129" w:rsidRPr="005B7816">
        <w:rPr>
          <w:rFonts w:cs="Calibri"/>
          <w:szCs w:val="20"/>
        </w:rPr>
        <w:t>onsists of Europe, Sub-Saharan Africa, ASMG and RCC members.</w:t>
      </w:r>
    </w:p>
    <w:p w14:paraId="2455EFDB" w14:textId="2F8FD0C3" w:rsidR="001D5C4C" w:rsidRDefault="001D5C4C" w:rsidP="00686129">
      <w:pPr>
        <w:spacing w:after="0"/>
        <w:rPr>
          <w:rFonts w:cs="Calibri"/>
          <w:szCs w:val="20"/>
        </w:rPr>
      </w:pPr>
      <w:r>
        <w:rPr>
          <w:rFonts w:cs="Calibri"/>
          <w:szCs w:val="20"/>
        </w:rPr>
        <w:t xml:space="preserve">Table below shows </w:t>
      </w:r>
      <w:r w:rsidR="003E4602">
        <w:rPr>
          <w:rFonts w:cs="Calibri"/>
          <w:szCs w:val="20"/>
        </w:rPr>
        <w:t xml:space="preserve">the result </w:t>
      </w:r>
      <w:r>
        <w:rPr>
          <w:rFonts w:cs="Calibri"/>
          <w:szCs w:val="20"/>
        </w:rPr>
        <w:t>of calculations of e</w:t>
      </w:r>
      <w:r w:rsidRPr="001D5C4C">
        <w:rPr>
          <w:rFonts w:cs="Calibri"/>
          <w:szCs w:val="20"/>
        </w:rPr>
        <w:t>stimated numbers of co-channel macro-cellular carriers at 6 GHz in Region 1</w:t>
      </w:r>
      <w:r>
        <w:rPr>
          <w:rFonts w:cs="Calibri"/>
          <w:szCs w:val="20"/>
        </w:rPr>
        <w:t xml:space="preserve"> </w:t>
      </w:r>
      <w:r w:rsidRPr="001D5C4C">
        <w:rPr>
          <w:rFonts w:cs="Calibri"/>
          <w:szCs w:val="20"/>
        </w:rPr>
        <w:t>based on parameter value options proposed by WP 5D.</w:t>
      </w:r>
    </w:p>
    <w:p w14:paraId="3B488DA0" w14:textId="77777777" w:rsidR="003E4602" w:rsidRPr="005B7816" w:rsidRDefault="003E4602" w:rsidP="006F3150">
      <w:pPr>
        <w:spacing w:after="0"/>
        <w:rPr>
          <w:rFonts w:cs="Calibri"/>
          <w:szCs w:val="20"/>
        </w:rPr>
      </w:pPr>
    </w:p>
    <w:tbl>
      <w:tblPr>
        <w:tblStyle w:val="TableGrid"/>
        <w:tblW w:w="0" w:type="auto"/>
        <w:tblLook w:val="04A0" w:firstRow="1" w:lastRow="0" w:firstColumn="1" w:lastColumn="0" w:noHBand="0" w:noVBand="1"/>
      </w:tblPr>
      <w:tblGrid>
        <w:gridCol w:w="2065"/>
        <w:gridCol w:w="2340"/>
        <w:gridCol w:w="2610"/>
        <w:gridCol w:w="2614"/>
      </w:tblGrid>
      <w:tr w:rsidR="001D5C4C" w14:paraId="6E8EB37E" w14:textId="77777777" w:rsidTr="006F3150">
        <w:tc>
          <w:tcPr>
            <w:tcW w:w="4405" w:type="dxa"/>
            <w:gridSpan w:val="2"/>
            <w:vMerge w:val="restart"/>
          </w:tcPr>
          <w:p w14:paraId="4B7705AA" w14:textId="529681BE" w:rsidR="001D5C4C" w:rsidRPr="006F3150" w:rsidRDefault="001D5C4C" w:rsidP="006F3150">
            <w:pPr>
              <w:jc w:val="center"/>
              <w:rPr>
                <w:rFonts w:cs="Calibri"/>
                <w:sz w:val="18"/>
                <w:szCs w:val="18"/>
              </w:rPr>
            </w:pPr>
            <w:r w:rsidRPr="006F3150">
              <w:rPr>
                <w:rFonts w:cs="Calibri"/>
                <w:sz w:val="18"/>
                <w:szCs w:val="18"/>
              </w:rPr>
              <w:t xml:space="preserve">WP5D: Estimated no. of </w:t>
            </w:r>
            <w:bookmarkStart w:id="2" w:name="_Hlk114519821"/>
            <w:r w:rsidRPr="006F3150">
              <w:rPr>
                <w:rFonts w:cs="Calibri"/>
                <w:sz w:val="18"/>
                <w:szCs w:val="18"/>
              </w:rPr>
              <w:t xml:space="preserve">co-channel </w:t>
            </w:r>
            <w:r w:rsidRPr="006F3150">
              <w:rPr>
                <w:rFonts w:cs="Calibri"/>
                <w:sz w:val="18"/>
                <w:szCs w:val="18"/>
              </w:rPr>
              <w:br/>
              <w:t>macro-cellular 100 MHz carriers at 6 GHz</w:t>
            </w:r>
            <w:bookmarkEnd w:id="2"/>
          </w:p>
        </w:tc>
        <w:tc>
          <w:tcPr>
            <w:tcW w:w="5224" w:type="dxa"/>
            <w:gridSpan w:val="2"/>
          </w:tcPr>
          <w:p w14:paraId="0437DFBB" w14:textId="25687C17" w:rsidR="001D5C4C" w:rsidRDefault="00AF634C" w:rsidP="006F3150">
            <w:pPr>
              <w:jc w:val="center"/>
              <w:rPr>
                <w:rFonts w:cs="Calibri"/>
                <w:szCs w:val="20"/>
              </w:rPr>
            </w:pPr>
            <m:oMathPara>
              <m:oMath>
                <m:sSub>
                  <m:sSubPr>
                    <m:ctrlPr>
                      <w:rPr>
                        <w:rFonts w:ascii="Cambria Math" w:hAnsi="Cambria Math" w:cs="Calibri"/>
                        <w:i/>
                        <w:iCs/>
                        <w:szCs w:val="20"/>
                      </w:rPr>
                    </m:ctrlPr>
                  </m:sSubPr>
                  <m:e>
                    <m:r>
                      <w:rPr>
                        <w:rFonts w:ascii="Cambria Math" w:hAnsi="Cambria Math" w:cs="Calibri"/>
                        <w:szCs w:val="20"/>
                      </w:rPr>
                      <m:t>R</m:t>
                    </m:r>
                  </m:e>
                  <m:sub>
                    <m:r>
                      <w:rPr>
                        <w:rFonts w:ascii="Cambria Math" w:hAnsi="Cambria Math" w:cs="Calibri"/>
                        <w:szCs w:val="20"/>
                      </w:rPr>
                      <m:t>a</m:t>
                    </m:r>
                  </m:sub>
                </m:sSub>
              </m:oMath>
            </m:oMathPara>
          </w:p>
        </w:tc>
      </w:tr>
      <w:tr w:rsidR="001D5C4C" w14:paraId="0C451E71" w14:textId="77777777" w:rsidTr="006F3150">
        <w:tc>
          <w:tcPr>
            <w:tcW w:w="4405" w:type="dxa"/>
            <w:gridSpan w:val="2"/>
            <w:vMerge/>
          </w:tcPr>
          <w:p w14:paraId="619BC766" w14:textId="77777777" w:rsidR="001D5C4C" w:rsidRDefault="001D5C4C" w:rsidP="001D5C4C">
            <w:pPr>
              <w:rPr>
                <w:rFonts w:cs="Calibri"/>
                <w:szCs w:val="20"/>
              </w:rPr>
            </w:pPr>
          </w:p>
        </w:tc>
        <w:tc>
          <w:tcPr>
            <w:tcW w:w="2610" w:type="dxa"/>
            <w:vAlign w:val="center"/>
          </w:tcPr>
          <w:p w14:paraId="303D8978" w14:textId="1826212F" w:rsidR="001D5C4C" w:rsidRPr="006F3150" w:rsidRDefault="001D5C4C" w:rsidP="006F3150">
            <w:pPr>
              <w:jc w:val="center"/>
              <w:rPr>
                <w:rFonts w:cs="Calibri"/>
                <w:sz w:val="18"/>
                <w:szCs w:val="18"/>
              </w:rPr>
            </w:pPr>
            <w:r w:rsidRPr="006F3150">
              <w:rPr>
                <w:rFonts w:cs="Calibri"/>
                <w:sz w:val="18"/>
                <w:szCs w:val="18"/>
              </w:rPr>
              <w:t>Option 1</w:t>
            </w:r>
          </w:p>
        </w:tc>
        <w:tc>
          <w:tcPr>
            <w:tcW w:w="2614" w:type="dxa"/>
            <w:vAlign w:val="center"/>
          </w:tcPr>
          <w:p w14:paraId="43CF8C45" w14:textId="09D3BB2E" w:rsidR="001D5C4C" w:rsidRPr="006F3150" w:rsidRDefault="001D5C4C" w:rsidP="006F3150">
            <w:pPr>
              <w:jc w:val="center"/>
              <w:rPr>
                <w:rFonts w:cs="Calibri"/>
                <w:sz w:val="18"/>
                <w:szCs w:val="18"/>
              </w:rPr>
            </w:pPr>
            <w:r w:rsidRPr="006F3150">
              <w:rPr>
                <w:rFonts w:cs="Calibri"/>
                <w:sz w:val="18"/>
                <w:szCs w:val="18"/>
              </w:rPr>
              <w:t>Option 2</w:t>
            </w:r>
          </w:p>
        </w:tc>
      </w:tr>
      <w:tr w:rsidR="001D5C4C" w14:paraId="49EC6FE5" w14:textId="77777777" w:rsidTr="006F3150">
        <w:tc>
          <w:tcPr>
            <w:tcW w:w="2065" w:type="dxa"/>
            <w:vMerge w:val="restart"/>
            <w:vAlign w:val="center"/>
          </w:tcPr>
          <w:p w14:paraId="52AD93B1" w14:textId="5C14D4C6" w:rsidR="001D5C4C" w:rsidRDefault="00AF634C" w:rsidP="006F3150">
            <w:pPr>
              <w:jc w:val="center"/>
              <w:rPr>
                <w:rFonts w:cs="Calibri"/>
                <w:szCs w:val="20"/>
              </w:rPr>
            </w:pPr>
            <m:oMathPara>
              <m:oMath>
                <m:sSub>
                  <m:sSubPr>
                    <m:ctrlPr>
                      <w:rPr>
                        <w:rFonts w:ascii="Cambria Math" w:hAnsi="Cambria Math" w:cs="Calibri"/>
                        <w:i/>
                        <w:iCs/>
                        <w:szCs w:val="20"/>
                      </w:rPr>
                    </m:ctrlPr>
                  </m:sSubPr>
                  <m:e>
                    <m:r>
                      <w:rPr>
                        <w:rFonts w:ascii="Cambria Math" w:hAnsi="Cambria Math" w:cs="Calibri"/>
                        <w:szCs w:val="20"/>
                      </w:rPr>
                      <m:t>R</m:t>
                    </m:r>
                  </m:e>
                  <m:sub>
                    <m:r>
                      <w:rPr>
                        <w:rFonts w:ascii="Cambria Math" w:hAnsi="Cambria Math" w:cs="Calibri"/>
                        <w:szCs w:val="20"/>
                      </w:rPr>
                      <m:t>b</m:t>
                    </m:r>
                  </m:sub>
                </m:sSub>
              </m:oMath>
            </m:oMathPara>
          </w:p>
        </w:tc>
        <w:tc>
          <w:tcPr>
            <w:tcW w:w="2340" w:type="dxa"/>
            <w:vAlign w:val="center"/>
          </w:tcPr>
          <w:p w14:paraId="6807C171" w14:textId="73DFEB19" w:rsidR="001D5C4C" w:rsidRPr="006F3150" w:rsidRDefault="001D5C4C" w:rsidP="006F3150">
            <w:pPr>
              <w:jc w:val="center"/>
              <w:rPr>
                <w:rFonts w:cs="Calibri"/>
                <w:sz w:val="18"/>
                <w:szCs w:val="18"/>
              </w:rPr>
            </w:pPr>
            <w:r w:rsidRPr="006F3150">
              <w:rPr>
                <w:rFonts w:cs="Calibri"/>
                <w:sz w:val="18"/>
                <w:szCs w:val="18"/>
              </w:rPr>
              <w:t>Option 1</w:t>
            </w:r>
          </w:p>
        </w:tc>
        <w:tc>
          <w:tcPr>
            <w:tcW w:w="2610" w:type="dxa"/>
            <w:vAlign w:val="bottom"/>
          </w:tcPr>
          <w:p w14:paraId="0C950B95" w14:textId="704B0987" w:rsidR="001D5C4C" w:rsidRPr="006F3150" w:rsidRDefault="001D5C4C" w:rsidP="006F3150">
            <w:pPr>
              <w:jc w:val="center"/>
              <w:rPr>
                <w:rFonts w:cs="Calibri"/>
                <w:b/>
                <w:sz w:val="18"/>
                <w:szCs w:val="18"/>
              </w:rPr>
            </w:pPr>
            <w:r w:rsidRPr="006F3150">
              <w:rPr>
                <w:rFonts w:cs="Calibri"/>
                <w:b/>
                <w:sz w:val="18"/>
                <w:szCs w:val="18"/>
              </w:rPr>
              <w:t>630,734</w:t>
            </w:r>
          </w:p>
        </w:tc>
        <w:tc>
          <w:tcPr>
            <w:tcW w:w="2614" w:type="dxa"/>
            <w:vAlign w:val="bottom"/>
          </w:tcPr>
          <w:p w14:paraId="4CEA0C73" w14:textId="09B96C2B" w:rsidR="001D5C4C" w:rsidRPr="006F3150" w:rsidRDefault="001D5C4C" w:rsidP="006F3150">
            <w:pPr>
              <w:jc w:val="center"/>
              <w:rPr>
                <w:rFonts w:cs="Calibri"/>
                <w:sz w:val="18"/>
                <w:szCs w:val="18"/>
              </w:rPr>
            </w:pPr>
            <w:r w:rsidRPr="006F3150">
              <w:rPr>
                <w:rFonts w:cs="Calibri"/>
                <w:sz w:val="18"/>
                <w:szCs w:val="18"/>
              </w:rPr>
              <w:t>2,804,514</w:t>
            </w:r>
          </w:p>
        </w:tc>
      </w:tr>
      <w:tr w:rsidR="001D5C4C" w14:paraId="46E5296E" w14:textId="77777777" w:rsidTr="00F83AD4">
        <w:tc>
          <w:tcPr>
            <w:tcW w:w="2065" w:type="dxa"/>
            <w:vMerge/>
          </w:tcPr>
          <w:p w14:paraId="0E8D6F0C" w14:textId="77777777" w:rsidR="001D5C4C" w:rsidRDefault="001D5C4C" w:rsidP="00686129">
            <w:pPr>
              <w:rPr>
                <w:rFonts w:cs="Calibri"/>
                <w:szCs w:val="20"/>
              </w:rPr>
            </w:pPr>
          </w:p>
        </w:tc>
        <w:tc>
          <w:tcPr>
            <w:tcW w:w="2340" w:type="dxa"/>
            <w:vAlign w:val="center"/>
          </w:tcPr>
          <w:p w14:paraId="62E9E471" w14:textId="2977654B" w:rsidR="001D5C4C" w:rsidRPr="006F3150" w:rsidRDefault="001D5C4C" w:rsidP="006F3150">
            <w:pPr>
              <w:jc w:val="center"/>
              <w:rPr>
                <w:rFonts w:cs="Calibri"/>
                <w:sz w:val="18"/>
                <w:szCs w:val="18"/>
              </w:rPr>
            </w:pPr>
            <w:r w:rsidRPr="006F3150">
              <w:rPr>
                <w:rFonts w:cs="Calibri"/>
                <w:sz w:val="18"/>
                <w:szCs w:val="18"/>
              </w:rPr>
              <w:t>Option 2</w:t>
            </w:r>
          </w:p>
        </w:tc>
        <w:tc>
          <w:tcPr>
            <w:tcW w:w="2610" w:type="dxa"/>
            <w:vAlign w:val="bottom"/>
          </w:tcPr>
          <w:p w14:paraId="41EDAF06" w14:textId="6475C682" w:rsidR="001D5C4C" w:rsidRPr="006F3150" w:rsidRDefault="001D5C4C" w:rsidP="006F3150">
            <w:pPr>
              <w:jc w:val="center"/>
              <w:rPr>
                <w:rFonts w:cs="Calibri"/>
                <w:sz w:val="18"/>
                <w:szCs w:val="18"/>
              </w:rPr>
            </w:pPr>
            <w:r w:rsidRPr="006F3150">
              <w:rPr>
                <w:rFonts w:cs="Calibri"/>
                <w:sz w:val="18"/>
                <w:szCs w:val="18"/>
              </w:rPr>
              <w:t>1,892,202</w:t>
            </w:r>
          </w:p>
        </w:tc>
        <w:tc>
          <w:tcPr>
            <w:tcW w:w="2614" w:type="dxa"/>
            <w:vAlign w:val="bottom"/>
          </w:tcPr>
          <w:p w14:paraId="56604934" w14:textId="154D6862" w:rsidR="001D5C4C" w:rsidRPr="006F3150" w:rsidRDefault="001D5C4C" w:rsidP="006F3150">
            <w:pPr>
              <w:jc w:val="center"/>
              <w:rPr>
                <w:rFonts w:cs="Calibri"/>
                <w:sz w:val="18"/>
                <w:szCs w:val="18"/>
              </w:rPr>
            </w:pPr>
            <w:r w:rsidRPr="006F3150">
              <w:rPr>
                <w:rFonts w:cs="Calibri"/>
                <w:sz w:val="18"/>
                <w:szCs w:val="18"/>
              </w:rPr>
              <w:t>8,413,541</w:t>
            </w:r>
          </w:p>
        </w:tc>
      </w:tr>
      <w:tr w:rsidR="001D5C4C" w14:paraId="00A9DF81" w14:textId="77777777" w:rsidTr="00F83AD4">
        <w:tc>
          <w:tcPr>
            <w:tcW w:w="2065" w:type="dxa"/>
            <w:vMerge/>
          </w:tcPr>
          <w:p w14:paraId="60733D1F" w14:textId="77777777" w:rsidR="001D5C4C" w:rsidRDefault="001D5C4C" w:rsidP="00686129">
            <w:pPr>
              <w:rPr>
                <w:rFonts w:cs="Calibri"/>
                <w:szCs w:val="20"/>
              </w:rPr>
            </w:pPr>
          </w:p>
        </w:tc>
        <w:tc>
          <w:tcPr>
            <w:tcW w:w="2340" w:type="dxa"/>
            <w:vAlign w:val="center"/>
          </w:tcPr>
          <w:p w14:paraId="3FFCB823" w14:textId="55AA3471" w:rsidR="001D5C4C" w:rsidRPr="006F3150" w:rsidRDefault="001D5C4C" w:rsidP="006F3150">
            <w:pPr>
              <w:jc w:val="center"/>
              <w:rPr>
                <w:rFonts w:cs="Calibri"/>
                <w:sz w:val="18"/>
                <w:szCs w:val="18"/>
              </w:rPr>
            </w:pPr>
            <w:r w:rsidRPr="006F3150">
              <w:rPr>
                <w:rFonts w:cs="Calibri"/>
                <w:sz w:val="18"/>
                <w:szCs w:val="18"/>
              </w:rPr>
              <w:t>Option 3</w:t>
            </w:r>
          </w:p>
        </w:tc>
        <w:tc>
          <w:tcPr>
            <w:tcW w:w="2610" w:type="dxa"/>
            <w:vAlign w:val="bottom"/>
          </w:tcPr>
          <w:p w14:paraId="5D30E371" w14:textId="7DAABFC5" w:rsidR="001D5C4C" w:rsidRPr="006F3150" w:rsidRDefault="001D5C4C" w:rsidP="006F3150">
            <w:pPr>
              <w:jc w:val="center"/>
              <w:rPr>
                <w:rFonts w:cs="Calibri"/>
                <w:sz w:val="18"/>
                <w:szCs w:val="18"/>
              </w:rPr>
            </w:pPr>
            <w:r w:rsidRPr="006F3150">
              <w:rPr>
                <w:rFonts w:cs="Calibri"/>
                <w:sz w:val="18"/>
                <w:szCs w:val="18"/>
              </w:rPr>
              <w:t>630,734</w:t>
            </w:r>
          </w:p>
        </w:tc>
        <w:tc>
          <w:tcPr>
            <w:tcW w:w="2614" w:type="dxa"/>
            <w:vAlign w:val="bottom"/>
          </w:tcPr>
          <w:p w14:paraId="37923FE4" w14:textId="1A8BD7EA" w:rsidR="001D5C4C" w:rsidRPr="006F3150" w:rsidRDefault="001D5C4C" w:rsidP="006F3150">
            <w:pPr>
              <w:jc w:val="center"/>
              <w:rPr>
                <w:rFonts w:cs="Calibri"/>
                <w:sz w:val="18"/>
                <w:szCs w:val="18"/>
              </w:rPr>
            </w:pPr>
            <w:r w:rsidRPr="006F3150">
              <w:rPr>
                <w:rFonts w:cs="Calibri"/>
                <w:sz w:val="18"/>
                <w:szCs w:val="18"/>
              </w:rPr>
              <w:t>2,804,514</w:t>
            </w:r>
          </w:p>
        </w:tc>
      </w:tr>
    </w:tbl>
    <w:p w14:paraId="3BD29510" w14:textId="17919096" w:rsidR="00686129" w:rsidRDefault="00686129" w:rsidP="00686129">
      <w:pPr>
        <w:spacing w:after="0"/>
        <w:rPr>
          <w:rFonts w:cs="Calibri"/>
          <w:szCs w:val="20"/>
        </w:rPr>
      </w:pPr>
      <w:r w:rsidRPr="00686129">
        <w:rPr>
          <w:rFonts w:cs="Calibri"/>
          <w:szCs w:val="20"/>
        </w:rPr>
        <w:t xml:space="preserve">We have compared the above numbers with corresponding commercially available data from Ookla for Region 1. </w:t>
      </w:r>
      <w:r w:rsidR="00E54F57">
        <w:rPr>
          <w:rFonts w:cs="Calibri"/>
          <w:szCs w:val="20"/>
        </w:rPr>
        <w:t xml:space="preserve">The </w:t>
      </w:r>
      <w:r w:rsidRPr="00686129">
        <w:rPr>
          <w:rFonts w:cs="Calibri"/>
          <w:szCs w:val="20"/>
        </w:rPr>
        <w:t>analysis indicates that:</w:t>
      </w:r>
    </w:p>
    <w:p w14:paraId="3018AD1C" w14:textId="77777777" w:rsidR="00686129" w:rsidRPr="005B7816" w:rsidRDefault="00686129" w:rsidP="006F3150">
      <w:pPr>
        <w:pStyle w:val="ListParagraph"/>
        <w:numPr>
          <w:ilvl w:val="0"/>
          <w:numId w:val="12"/>
        </w:numPr>
        <w:spacing w:after="0"/>
        <w:rPr>
          <w:rFonts w:cs="Calibri"/>
          <w:szCs w:val="20"/>
        </w:rPr>
      </w:pPr>
      <w:r w:rsidRPr="005B7816">
        <w:rPr>
          <w:rFonts w:cs="Calibri"/>
          <w:szCs w:val="20"/>
        </w:rPr>
        <w:t>(Ra1, Rb1) is readily justified in Region 1 for the 6 GHz band, when comparing with IMT deployments in the most mature and similar bands; namely 2.6 GHz band in Europe/Russia and the 1.8 GHz band in ASMG, Sub-Saharan Africa and the rest of RCC.</w:t>
      </w:r>
    </w:p>
    <w:p w14:paraId="37F84F6F" w14:textId="3ACF6EB0" w:rsidR="00686129" w:rsidRPr="005B7816" w:rsidRDefault="00686129" w:rsidP="006F3150">
      <w:pPr>
        <w:pStyle w:val="ListParagraph"/>
        <w:numPr>
          <w:ilvl w:val="0"/>
          <w:numId w:val="12"/>
        </w:numPr>
        <w:spacing w:after="0"/>
        <w:rPr>
          <w:rFonts w:cs="Calibri"/>
          <w:szCs w:val="20"/>
        </w:rPr>
      </w:pPr>
      <w:r w:rsidRPr="00792D42">
        <w:rPr>
          <w:rFonts w:cs="Calibri"/>
          <w:szCs w:val="20"/>
        </w:rPr>
        <w:t>(Ra2, Rb2) over-estimates the number of BSs by</w:t>
      </w:r>
      <w:r w:rsidRPr="006F3150">
        <w:rPr>
          <w:rFonts w:cs="Calibri"/>
          <w:szCs w:val="20"/>
        </w:rPr>
        <w:t xml:space="preserve"> a factor </w:t>
      </w:r>
      <w:r w:rsidR="00766449">
        <w:rPr>
          <w:rFonts w:cs="Calibri"/>
          <w:szCs w:val="20"/>
        </w:rPr>
        <w:t>greater than</w:t>
      </w:r>
      <w:r w:rsidRPr="005B7816">
        <w:rPr>
          <w:rFonts w:cs="Calibri"/>
          <w:szCs w:val="20"/>
        </w:rPr>
        <w:t xml:space="preserve"> 13</w:t>
      </w:r>
      <w:r w:rsidR="00766449">
        <w:rPr>
          <w:rFonts w:cs="Calibri"/>
          <w:szCs w:val="20"/>
        </w:rPr>
        <w:t xml:space="preserve">. </w:t>
      </w:r>
    </w:p>
    <w:p w14:paraId="2B3D0B16" w14:textId="77777777" w:rsidR="00E2436C" w:rsidRPr="00A958C7" w:rsidRDefault="00E2436C" w:rsidP="00512AAF">
      <w:pPr>
        <w:pStyle w:val="Heading2"/>
      </w:pPr>
      <w:r w:rsidRPr="00A958C7">
        <w:t>Corrections to Rb</w:t>
      </w:r>
      <w:r>
        <w:t xml:space="preserve"> </w:t>
      </w:r>
      <w:r w:rsidRPr="00D133AE">
        <w:t>to account for unpopulated areas</w:t>
      </w:r>
    </w:p>
    <w:p w14:paraId="23C390BC" w14:textId="6DFBC226" w:rsidR="006F55D3" w:rsidRDefault="006F55D3" w:rsidP="00E2436C">
      <w:pPr>
        <w:spacing w:after="0"/>
        <w:rPr>
          <w:rFonts w:cs="Calibri"/>
          <w:szCs w:val="20"/>
        </w:rPr>
      </w:pPr>
      <w:r>
        <w:rPr>
          <w:rFonts w:cs="Calibri"/>
          <w:szCs w:val="20"/>
        </w:rPr>
        <w:t>There were comments in the discussions during PT1 #71 where some studies consider a correction to Rb where the study area includes the Africa continent.</w:t>
      </w:r>
    </w:p>
    <w:p w14:paraId="5FDF2128" w14:textId="04469B61" w:rsidR="00E2436C" w:rsidRDefault="00E2436C" w:rsidP="00E2436C">
      <w:pPr>
        <w:spacing w:after="0"/>
        <w:rPr>
          <w:rFonts w:cs="Calibri"/>
          <w:szCs w:val="20"/>
        </w:rPr>
      </w:pPr>
      <w:r>
        <w:rPr>
          <w:rFonts w:cs="Calibri"/>
          <w:szCs w:val="20"/>
        </w:rPr>
        <w:t xml:space="preserve">The topography of Africa is also a unique challenge when making choices for assumptions. As noted in </w:t>
      </w:r>
      <w:hyperlink r:id="rId12" w:history="1">
        <w:r w:rsidRPr="00C360CD">
          <w:rPr>
            <w:rStyle w:val="Hyperlink"/>
            <w:rFonts w:cs="Calibri"/>
            <w:szCs w:val="20"/>
          </w:rPr>
          <w:t xml:space="preserve"> </w:t>
        </w:r>
        <w:r>
          <w:rPr>
            <w:rStyle w:val="Hyperlink"/>
            <w:rFonts w:cs="Calibri"/>
            <w:szCs w:val="20"/>
          </w:rPr>
          <w:t>5D/</w:t>
        </w:r>
        <w:r w:rsidRPr="00C360CD">
          <w:rPr>
            <w:rStyle w:val="Hyperlink"/>
            <w:rFonts w:cs="Calibri"/>
            <w:szCs w:val="20"/>
          </w:rPr>
          <w:t>996</w:t>
        </w:r>
      </w:hyperlink>
      <w:r>
        <w:rPr>
          <w:rStyle w:val="FootnoteReference"/>
          <w:rFonts w:cs="Calibri"/>
          <w:szCs w:val="20"/>
        </w:rPr>
        <w:footnoteReference w:id="4"/>
      </w:r>
      <w:r>
        <w:rPr>
          <w:rFonts w:cs="Calibri"/>
          <w:szCs w:val="20"/>
        </w:rPr>
        <w:t>, the real built up ratio</w:t>
      </w:r>
      <w:r w:rsidRPr="00493F53">
        <w:rPr>
          <w:rFonts w:cs="Calibri"/>
          <w:szCs w:val="20"/>
        </w:rPr>
        <w:t xml:space="preserve"> </w:t>
      </w:r>
      <w:r>
        <w:rPr>
          <w:rFonts w:cs="Calibri"/>
          <w:szCs w:val="20"/>
        </w:rPr>
        <w:t xml:space="preserve">for most African countries </w:t>
      </w:r>
      <w:r w:rsidRPr="00493F53">
        <w:rPr>
          <w:rFonts w:cs="Calibri"/>
          <w:szCs w:val="20"/>
        </w:rPr>
        <w:t>is below 1%</w:t>
      </w:r>
      <w:r>
        <w:rPr>
          <w:rFonts w:cs="Calibri"/>
          <w:szCs w:val="20"/>
        </w:rPr>
        <w:t>. On</w:t>
      </w:r>
      <w:r w:rsidRPr="00493F53">
        <w:rPr>
          <w:rFonts w:cs="Calibri"/>
          <w:szCs w:val="20"/>
        </w:rPr>
        <w:t>ly 3 countries of small size (Gambia, Mauritius and Comoros) have a built-up ratio higher than 1%</w:t>
      </w:r>
      <w:r>
        <w:rPr>
          <w:rFonts w:cs="Calibri"/>
          <w:szCs w:val="20"/>
        </w:rPr>
        <w:t xml:space="preserve"> in Africa, and the African average is 0.15%. However, the minimum allowed by the Rb parameters, which is 1%, exceeds these values significantly.</w:t>
      </w:r>
    </w:p>
    <w:p w14:paraId="62AA7478" w14:textId="77777777" w:rsidR="00E2436C" w:rsidRDefault="00E2436C" w:rsidP="00E2436C">
      <w:pPr>
        <w:spacing w:after="0"/>
        <w:rPr>
          <w:rFonts w:cs="Calibri"/>
          <w:szCs w:val="20"/>
        </w:rPr>
      </w:pPr>
      <w:r>
        <w:rPr>
          <w:rFonts w:cs="Calibri"/>
          <w:szCs w:val="20"/>
        </w:rPr>
        <w:t xml:space="preserve">The smallest value of Rb tends to overestimate the built-up ratio when the area under study is very large (millions of km2), but importantly it also overestimates the built-up ratio for African countries. A study that models IMT in the Africa land area and uses Rb=1% to calculate the number of BSs </w:t>
      </w:r>
      <w:r w:rsidRPr="00493F53">
        <w:rPr>
          <w:rFonts w:cs="Calibri"/>
          <w:szCs w:val="20"/>
        </w:rPr>
        <w:t>would grossly overestimate the</w:t>
      </w:r>
      <w:r>
        <w:rPr>
          <w:rFonts w:cs="Calibri"/>
          <w:szCs w:val="20"/>
        </w:rPr>
        <w:t xml:space="preserve"> p</w:t>
      </w:r>
      <w:r w:rsidRPr="00493F53">
        <w:rPr>
          <w:rFonts w:cs="Calibri"/>
          <w:szCs w:val="20"/>
        </w:rPr>
        <w:t>roportion of built-up areas</w:t>
      </w:r>
      <w:r>
        <w:rPr>
          <w:rFonts w:cs="Calibri"/>
          <w:szCs w:val="20"/>
        </w:rPr>
        <w:t xml:space="preserve"> in Africa and subsequently the number of BSs and the interference at the satellite. The same problem arises when area under study a satellite visible area, which can cover for instance Africa, Europe, Middle East and Asia.</w:t>
      </w:r>
    </w:p>
    <w:p w14:paraId="65A9DA82" w14:textId="027BF850" w:rsidR="00E2436C" w:rsidRDefault="00E2436C" w:rsidP="00E2436C">
      <w:pPr>
        <w:spacing w:after="0"/>
        <w:rPr>
          <w:rFonts w:cs="Calibri"/>
          <w:szCs w:val="20"/>
        </w:rPr>
      </w:pPr>
      <w:r w:rsidRPr="00493F53">
        <w:rPr>
          <w:rFonts w:cs="Calibri"/>
          <w:szCs w:val="20"/>
        </w:rPr>
        <w:t>Some WP</w:t>
      </w:r>
      <w:r>
        <w:rPr>
          <w:rFonts w:cs="Calibri"/>
          <w:szCs w:val="20"/>
        </w:rPr>
        <w:t xml:space="preserve"> </w:t>
      </w:r>
      <w:r w:rsidRPr="00493F53">
        <w:rPr>
          <w:rFonts w:cs="Calibri"/>
          <w:szCs w:val="20"/>
        </w:rPr>
        <w:t>5D participants have addressed this inaccuracy with the removal of unpopulated areas from the simulation</w:t>
      </w:r>
      <w:r>
        <w:rPr>
          <w:rFonts w:cs="Calibri"/>
          <w:szCs w:val="20"/>
        </w:rPr>
        <w:t xml:space="preserve"> (for instance </w:t>
      </w:r>
      <w:hyperlink r:id="rId13" w:history="1">
        <w:r w:rsidRPr="00F60267">
          <w:rPr>
            <w:rStyle w:val="Hyperlink"/>
            <w:rFonts w:cs="Calibri"/>
            <w:szCs w:val="20"/>
          </w:rPr>
          <w:t>5D/782</w:t>
        </w:r>
      </w:hyperlink>
      <w:r w:rsidRPr="00A23B60">
        <w:rPr>
          <w:rFonts w:cs="Calibri"/>
          <w:szCs w:val="20"/>
        </w:rPr>
        <w:t xml:space="preserve"> from Cameroon, Nigeria, South Africa and Zimbabwe</w:t>
      </w:r>
      <w:r>
        <w:rPr>
          <w:rStyle w:val="FootnoteReference"/>
          <w:rFonts w:cs="Calibri"/>
          <w:szCs w:val="20"/>
        </w:rPr>
        <w:footnoteReference w:id="5"/>
      </w:r>
      <w:r>
        <w:rPr>
          <w:rFonts w:cs="Calibri"/>
          <w:szCs w:val="20"/>
        </w:rPr>
        <w:t xml:space="preserve">, </w:t>
      </w:r>
      <w:hyperlink r:id="rId14" w:history="1">
        <w:r w:rsidRPr="00F60267">
          <w:rPr>
            <w:rStyle w:val="Hyperlink"/>
            <w:rFonts w:cs="Calibri"/>
            <w:szCs w:val="20"/>
          </w:rPr>
          <w:t>5D/1042</w:t>
        </w:r>
      </w:hyperlink>
      <w:r w:rsidRPr="00A23B60">
        <w:rPr>
          <w:rFonts w:cs="Calibri"/>
          <w:szCs w:val="20"/>
        </w:rPr>
        <w:t xml:space="preserve"> from France</w:t>
      </w:r>
      <w:r>
        <w:rPr>
          <w:rStyle w:val="FootnoteReference"/>
          <w:rFonts w:cs="Calibri"/>
          <w:szCs w:val="20"/>
        </w:rPr>
        <w:footnoteReference w:id="6"/>
      </w:r>
      <w:r w:rsidRPr="0046129A">
        <w:rPr>
          <w:rFonts w:cs="Calibri"/>
          <w:szCs w:val="20"/>
        </w:rPr>
        <w:t>)</w:t>
      </w:r>
      <w:r w:rsidRPr="00493F53">
        <w:rPr>
          <w:rFonts w:cs="Calibri"/>
          <w:szCs w:val="20"/>
        </w:rPr>
        <w:t xml:space="preserve">. This makes sense: </w:t>
      </w:r>
      <w:r w:rsidRPr="00A23B60">
        <w:rPr>
          <w:rFonts w:cs="Calibri"/>
          <w:b/>
          <w:szCs w:val="20"/>
        </w:rPr>
        <w:t>if an area is unpopulated (pop. density less than 1 person/km</w:t>
      </w:r>
      <w:r w:rsidRPr="00F60267">
        <w:rPr>
          <w:rFonts w:cs="Calibri"/>
          <w:b/>
          <w:szCs w:val="20"/>
          <w:vertAlign w:val="superscript"/>
        </w:rPr>
        <w:t>2</w:t>
      </w:r>
      <w:r w:rsidRPr="00A23B60">
        <w:rPr>
          <w:rFonts w:cs="Calibri"/>
          <w:b/>
          <w:szCs w:val="20"/>
        </w:rPr>
        <w:t>), then it will not have any built-up and its Rb would be 0%.</w:t>
      </w:r>
      <w:r>
        <w:rPr>
          <w:rFonts w:cs="Calibri"/>
          <w:szCs w:val="20"/>
        </w:rPr>
        <w:t xml:space="preserve"> </w:t>
      </w:r>
    </w:p>
    <w:p w14:paraId="263AE97B" w14:textId="62F4E253" w:rsidR="00E2436C" w:rsidRDefault="00E2436C" w:rsidP="00E2436C">
      <w:pPr>
        <w:spacing w:after="0"/>
        <w:rPr>
          <w:rFonts w:cs="Calibri"/>
          <w:szCs w:val="20"/>
        </w:rPr>
      </w:pPr>
      <w:r>
        <w:rPr>
          <w:rFonts w:cs="Calibri"/>
          <w:szCs w:val="20"/>
        </w:rPr>
        <w:t xml:space="preserve">It has been argued that the </w:t>
      </w:r>
      <w:r w:rsidRPr="00A23B60">
        <w:rPr>
          <w:rFonts w:cs="Calibri"/>
          <w:szCs w:val="20"/>
        </w:rPr>
        <w:t xml:space="preserve">use of Rb=1% together with the removal of unpopulated areas is double counting. This is not correct. For instance, the area of study in </w:t>
      </w:r>
      <w:hyperlink r:id="rId15" w:history="1">
        <w:r w:rsidRPr="00F60267">
          <w:rPr>
            <w:rStyle w:val="Hyperlink"/>
            <w:rFonts w:cs="Calibri"/>
            <w:szCs w:val="20"/>
          </w:rPr>
          <w:t>5D/782</w:t>
        </w:r>
      </w:hyperlink>
      <w:r w:rsidRPr="00A23B60">
        <w:rPr>
          <w:rFonts w:cs="Calibri"/>
          <w:szCs w:val="20"/>
        </w:rPr>
        <w:t xml:space="preserve"> </w:t>
      </w:r>
      <w:r>
        <w:rPr>
          <w:rFonts w:cs="Calibri"/>
          <w:szCs w:val="20"/>
        </w:rPr>
        <w:t xml:space="preserve">consists of the </w:t>
      </w:r>
      <w:r w:rsidRPr="00A23B60">
        <w:rPr>
          <w:rFonts w:cs="Calibri"/>
          <w:szCs w:val="20"/>
        </w:rPr>
        <w:t>African continent</w:t>
      </w:r>
      <w:r>
        <w:rPr>
          <w:rFonts w:cs="Calibri"/>
          <w:szCs w:val="20"/>
        </w:rPr>
        <w:t xml:space="preserve"> after the removal of unpopulated pixels in the Sahara desert. The built up ratio of this area of study (Africa excluding unpopulated </w:t>
      </w:r>
      <w:r>
        <w:rPr>
          <w:rFonts w:cs="Calibri"/>
          <w:szCs w:val="20"/>
        </w:rPr>
        <w:lastRenderedPageBreak/>
        <w:t>pixels in the Sahara) is still below 1%. Therefore, using Rb=1% still overestimates built up even after unpopulated areas are removed.</w:t>
      </w:r>
    </w:p>
    <w:p w14:paraId="3D1BD4A6" w14:textId="77777777" w:rsidR="00E2436C" w:rsidRPr="00D41C4C" w:rsidRDefault="00E2436C" w:rsidP="00512AAF">
      <w:pPr>
        <w:pStyle w:val="Heading2"/>
      </w:pPr>
      <w:r w:rsidRPr="00D41C4C">
        <w:t>Deployments in rural areas</w:t>
      </w:r>
    </w:p>
    <w:p w14:paraId="6FB9AA49" w14:textId="77777777" w:rsidR="00E2436C" w:rsidRDefault="00E2436C" w:rsidP="00E2436C">
      <w:pPr>
        <w:spacing w:after="0"/>
        <w:rPr>
          <w:rFonts w:cs="Calibri"/>
          <w:szCs w:val="20"/>
        </w:rPr>
      </w:pPr>
      <w:r>
        <w:rPr>
          <w:rFonts w:cs="Calibri"/>
          <w:szCs w:val="20"/>
        </w:rPr>
        <w:t xml:space="preserve">6 GHz is an upper mid-band that will typically be used to provide city-wide coverage. Rural areas will rely on lower bands, especially those below 1 GHz, as these have better propagation characteristics for covering sparsely populated areas. </w:t>
      </w:r>
    </w:p>
    <w:p w14:paraId="1FC38BFA" w14:textId="77777777" w:rsidR="00E2436C" w:rsidRDefault="00E2436C" w:rsidP="00E2436C">
      <w:pPr>
        <w:spacing w:after="0"/>
        <w:rPr>
          <w:rFonts w:cs="Calibri"/>
          <w:szCs w:val="20"/>
        </w:rPr>
      </w:pPr>
      <w:r>
        <w:rPr>
          <w:rFonts w:cs="Calibri"/>
          <w:szCs w:val="20"/>
        </w:rPr>
        <w:t>If studies assume a deployment of 6 GHz with extensive rural coverage, they will significantly overestimate the total number of base stations that will be deployed and thus produce more negative sharing results.</w:t>
      </w:r>
    </w:p>
    <w:p w14:paraId="7360E702" w14:textId="77777777" w:rsidR="00E2436C" w:rsidRDefault="00E2436C" w:rsidP="00E2436C">
      <w:pPr>
        <w:spacing w:after="0"/>
        <w:rPr>
          <w:rFonts w:cs="Calibri"/>
          <w:szCs w:val="20"/>
        </w:rPr>
      </w:pPr>
      <w:r>
        <w:rPr>
          <w:rFonts w:cs="Calibri"/>
          <w:szCs w:val="20"/>
        </w:rPr>
        <w:t>There are two aspects to consider with regards to the potential inclusion of rural deployments in the studies:</w:t>
      </w:r>
    </w:p>
    <w:p w14:paraId="62D39872" w14:textId="77777777" w:rsidR="00E2436C" w:rsidRPr="00FC3BF2" w:rsidRDefault="00E2436C" w:rsidP="00E2436C">
      <w:pPr>
        <w:pStyle w:val="ListParagraph"/>
        <w:numPr>
          <w:ilvl w:val="0"/>
          <w:numId w:val="14"/>
        </w:numPr>
        <w:spacing w:before="0" w:after="200" w:line="276" w:lineRule="auto"/>
        <w:jc w:val="left"/>
      </w:pPr>
      <w:r w:rsidRPr="00FC3BF2">
        <w:t>The guidance from WP</w:t>
      </w:r>
      <w:r>
        <w:t xml:space="preserve"> </w:t>
      </w:r>
      <w:r w:rsidRPr="00FC3BF2">
        <w:t>5D in the IMT parameters document (</w:t>
      </w:r>
      <w:hyperlink r:id="rId16" w:history="1">
        <w:r w:rsidRPr="000A5A3A">
          <w:rPr>
            <w:rStyle w:val="Hyperlink"/>
          </w:rPr>
          <w:t>Annex 4.4 to 5D/716</w:t>
        </w:r>
      </w:hyperlink>
      <w:r w:rsidRPr="00FC3BF2">
        <w:t>)</w:t>
      </w:r>
    </w:p>
    <w:p w14:paraId="1F9F4535" w14:textId="61383C57" w:rsidR="00E2436C" w:rsidRPr="000A5A3A" w:rsidRDefault="00E2436C" w:rsidP="00512AAF">
      <w:pPr>
        <w:pStyle w:val="ListParagraph"/>
        <w:numPr>
          <w:ilvl w:val="0"/>
          <w:numId w:val="14"/>
        </w:numPr>
        <w:spacing w:before="0" w:after="200" w:line="276" w:lineRule="auto"/>
        <w:jc w:val="left"/>
      </w:pPr>
      <w:r w:rsidRPr="00FC3BF2">
        <w:t>The reality and experience of mobile deployments in rural areas</w:t>
      </w:r>
    </w:p>
    <w:p w14:paraId="3C2EC816" w14:textId="77777777" w:rsidR="00E2436C" w:rsidRPr="006E0EDB" w:rsidRDefault="00E2436C" w:rsidP="00512AAF">
      <w:pPr>
        <w:pStyle w:val="Heading3"/>
      </w:pPr>
      <w:r w:rsidRPr="00D41C4C">
        <w:t>WP</w:t>
      </w:r>
      <w:r>
        <w:t xml:space="preserve"> </w:t>
      </w:r>
      <w:r w:rsidRPr="00D41C4C">
        <w:t>5D guidance</w:t>
      </w:r>
    </w:p>
    <w:p w14:paraId="69BED8EB" w14:textId="34866B75" w:rsidR="00E2436C" w:rsidRDefault="00E2436C" w:rsidP="00E2436C">
      <w:pPr>
        <w:spacing w:after="0"/>
        <w:rPr>
          <w:rFonts w:cs="Calibri"/>
          <w:szCs w:val="20"/>
        </w:rPr>
      </w:pPr>
      <w:r>
        <w:rPr>
          <w:rFonts w:cs="Calibri"/>
          <w:szCs w:val="20"/>
        </w:rPr>
        <w:t>WP 5D</w:t>
      </w:r>
      <w:r w:rsidRPr="000909C0">
        <w:rPr>
          <w:rFonts w:cs="Calibri"/>
          <w:szCs w:val="20"/>
        </w:rPr>
        <w:t xml:space="preserve"> </w:t>
      </w:r>
      <w:r>
        <w:rPr>
          <w:rFonts w:cs="Calibri"/>
          <w:szCs w:val="20"/>
        </w:rPr>
        <w:t xml:space="preserve">work on IMT parameters in Annex 4.4 to </w:t>
      </w:r>
      <w:hyperlink r:id="rId17" w:history="1">
        <w:r w:rsidRPr="00F60267">
          <w:rPr>
            <w:rStyle w:val="Hyperlink"/>
            <w:rFonts w:cs="Calibri"/>
            <w:szCs w:val="20"/>
          </w:rPr>
          <w:t>5D/716</w:t>
        </w:r>
      </w:hyperlink>
      <w:r>
        <w:rPr>
          <w:rFonts w:cs="Calibri"/>
          <w:szCs w:val="20"/>
        </w:rPr>
        <w:t xml:space="preserve"> </w:t>
      </w:r>
      <w:r w:rsidRPr="000909C0">
        <w:rPr>
          <w:rFonts w:cs="Calibri"/>
          <w:szCs w:val="20"/>
        </w:rPr>
        <w:t>assume</w:t>
      </w:r>
      <w:r>
        <w:rPr>
          <w:rFonts w:cs="Calibri"/>
          <w:szCs w:val="20"/>
        </w:rPr>
        <w:t>s</w:t>
      </w:r>
      <w:r w:rsidRPr="000909C0">
        <w:rPr>
          <w:rFonts w:cs="Calibri"/>
          <w:szCs w:val="20"/>
        </w:rPr>
        <w:t xml:space="preserve"> that rural areas will not be the target deployment scenario for 6-8</w:t>
      </w:r>
      <w:r>
        <w:rPr>
          <w:rFonts w:cs="Calibri"/>
          <w:szCs w:val="20"/>
        </w:rPr>
        <w:t xml:space="preserve"> </w:t>
      </w:r>
      <w:r w:rsidRPr="000909C0">
        <w:rPr>
          <w:rFonts w:cs="Calibri"/>
          <w:szCs w:val="20"/>
        </w:rPr>
        <w:t>GHz</w:t>
      </w:r>
      <w:r>
        <w:rPr>
          <w:rFonts w:cs="Calibri"/>
          <w:szCs w:val="20"/>
        </w:rPr>
        <w:t>. Annex 4.4</w:t>
      </w:r>
      <w:r w:rsidRPr="000909C0">
        <w:rPr>
          <w:rFonts w:cs="Calibri"/>
          <w:szCs w:val="20"/>
        </w:rPr>
        <w:t xml:space="preserve"> states that</w:t>
      </w:r>
      <w:r>
        <w:rPr>
          <w:rFonts w:cs="Calibri"/>
          <w:szCs w:val="20"/>
        </w:rPr>
        <w:t>:</w:t>
      </w:r>
    </w:p>
    <w:p w14:paraId="363AA1EE" w14:textId="77777777" w:rsidR="00E2436C" w:rsidRDefault="00E2436C" w:rsidP="00E2436C">
      <w:pPr>
        <w:spacing w:after="0"/>
        <w:ind w:left="720" w:right="880"/>
        <w:rPr>
          <w:rFonts w:cs="Calibri"/>
          <w:szCs w:val="20"/>
        </w:rPr>
      </w:pPr>
      <w:r>
        <w:rPr>
          <w:rFonts w:cs="Calibri"/>
          <w:szCs w:val="20"/>
        </w:rPr>
        <w:t>“</w:t>
      </w:r>
      <w:r w:rsidRPr="000909C0">
        <w:rPr>
          <w:rFonts w:cs="Calibri"/>
          <w:i/>
          <w:iCs/>
          <w:szCs w:val="20"/>
        </w:rPr>
        <w:t>contiguous coverage is not expected in this frequency range in rural areas, and any such base stations that may exist in small numbers will be isolated installations at specific locations</w:t>
      </w:r>
      <w:r>
        <w:rPr>
          <w:rFonts w:cs="Calibri"/>
          <w:i/>
          <w:iCs/>
          <w:szCs w:val="20"/>
        </w:rPr>
        <w:t>”</w:t>
      </w:r>
      <w:r>
        <w:rPr>
          <w:rFonts w:cs="Calibri"/>
          <w:szCs w:val="20"/>
        </w:rPr>
        <w:t xml:space="preserve">. </w:t>
      </w:r>
    </w:p>
    <w:p w14:paraId="2C078F35" w14:textId="77777777" w:rsidR="00E2436C" w:rsidRDefault="00E2436C" w:rsidP="00E2436C">
      <w:pPr>
        <w:spacing w:after="0"/>
        <w:rPr>
          <w:rFonts w:cs="Calibri"/>
          <w:iCs/>
          <w:szCs w:val="20"/>
        </w:rPr>
      </w:pPr>
      <w:r w:rsidRPr="000A5A3A">
        <w:rPr>
          <w:szCs w:val="20"/>
        </w:rPr>
        <w:t>It also notes that If the rural deployment environment is modelled in a sharing study, it should assume the BS density (per sector) of 0.001 - 0.006 BS per km</w:t>
      </w:r>
      <w:r w:rsidRPr="000A5A3A">
        <w:rPr>
          <w:szCs w:val="20"/>
          <w:vertAlign w:val="superscript"/>
        </w:rPr>
        <w:t>2</w:t>
      </w:r>
      <w:r w:rsidRPr="000A5A3A">
        <w:rPr>
          <w:szCs w:val="20"/>
        </w:rPr>
        <w:t xml:space="preserve"> . </w:t>
      </w:r>
      <w:r w:rsidRPr="00DA42A1">
        <w:rPr>
          <w:rFonts w:cs="Calibri"/>
          <w:iCs/>
          <w:szCs w:val="20"/>
        </w:rPr>
        <w:t>However, the document clarifies</w:t>
      </w:r>
      <w:r>
        <w:rPr>
          <w:rFonts w:cs="Calibri"/>
          <w:iCs/>
          <w:szCs w:val="20"/>
        </w:rPr>
        <w:t xml:space="preserve"> that: </w:t>
      </w:r>
    </w:p>
    <w:p w14:paraId="5A5A5FE8" w14:textId="77777777" w:rsidR="00E2436C" w:rsidRDefault="00E2436C" w:rsidP="00E2436C">
      <w:pPr>
        <w:spacing w:after="0"/>
        <w:ind w:left="720" w:right="880"/>
        <w:rPr>
          <w:rFonts w:cs="Calibri"/>
          <w:iCs/>
          <w:szCs w:val="20"/>
        </w:rPr>
      </w:pPr>
      <w:r>
        <w:rPr>
          <w:rFonts w:cs="Calibri"/>
          <w:iCs/>
          <w:szCs w:val="20"/>
        </w:rPr>
        <w:t>“</w:t>
      </w:r>
      <w:r w:rsidRPr="00DA42A1">
        <w:rPr>
          <w:rFonts w:cs="Calibri"/>
          <w:i/>
          <w:iCs/>
          <w:szCs w:val="20"/>
        </w:rPr>
        <w:t>These BS density (per sector) values have been derived for an area of around 100 000-500 000 km</w:t>
      </w:r>
      <w:r w:rsidRPr="00DA42A1">
        <w:rPr>
          <w:rFonts w:cs="Calibri"/>
          <w:i/>
          <w:iCs/>
          <w:szCs w:val="20"/>
          <w:vertAlign w:val="superscript"/>
        </w:rPr>
        <w:t>2</w:t>
      </w:r>
      <w:r w:rsidRPr="00DA42A1">
        <w:rPr>
          <w:rFonts w:cs="Calibri"/>
          <w:i/>
          <w:iCs/>
          <w:szCs w:val="20"/>
        </w:rPr>
        <w:t> and some initial analysis subject to further verification showed it could be applicable up to 2 000 000 km</w:t>
      </w:r>
      <w:r w:rsidRPr="00DA42A1">
        <w:rPr>
          <w:rFonts w:cs="Calibri"/>
          <w:i/>
          <w:iCs/>
          <w:szCs w:val="20"/>
          <w:vertAlign w:val="superscript"/>
        </w:rPr>
        <w:t>2</w:t>
      </w:r>
      <w:r>
        <w:rPr>
          <w:rFonts w:cs="Calibri"/>
          <w:iCs/>
          <w:szCs w:val="20"/>
        </w:rPr>
        <w:t>.”</w:t>
      </w:r>
    </w:p>
    <w:p w14:paraId="1AE8C5E5" w14:textId="77777777" w:rsidR="00E2436C" w:rsidRDefault="00E2436C" w:rsidP="00E2436C">
      <w:pPr>
        <w:spacing w:after="0"/>
        <w:ind w:right="880"/>
        <w:rPr>
          <w:rFonts w:cs="Calibri"/>
          <w:iCs/>
          <w:szCs w:val="20"/>
        </w:rPr>
      </w:pPr>
      <w:r>
        <w:rPr>
          <w:rFonts w:cs="Calibri"/>
          <w:iCs/>
          <w:szCs w:val="20"/>
        </w:rPr>
        <w:t>It further states that:</w:t>
      </w:r>
    </w:p>
    <w:p w14:paraId="6F50A163" w14:textId="77777777" w:rsidR="00E2436C" w:rsidRDefault="00E2436C" w:rsidP="00E2436C">
      <w:pPr>
        <w:spacing w:after="0"/>
        <w:ind w:left="720" w:right="880"/>
        <w:rPr>
          <w:rFonts w:cs="Calibri"/>
          <w:i/>
          <w:iCs/>
          <w:szCs w:val="20"/>
        </w:rPr>
      </w:pPr>
      <w:r>
        <w:rPr>
          <w:rFonts w:cs="Calibri"/>
          <w:iCs/>
          <w:szCs w:val="20"/>
        </w:rPr>
        <w:t>“</w:t>
      </w:r>
      <w:r w:rsidRPr="000909C0">
        <w:rPr>
          <w:rFonts w:cs="Calibri"/>
          <w:i/>
          <w:iCs/>
          <w:szCs w:val="20"/>
        </w:rPr>
        <w:t>For studies involving IMT deployments over smaller or larger areas</w:t>
      </w:r>
      <w:r>
        <w:rPr>
          <w:rFonts w:cs="Calibri"/>
          <w:i/>
          <w:iCs/>
          <w:szCs w:val="20"/>
        </w:rPr>
        <w:t xml:space="preserve"> (than 500 000 km2)</w:t>
      </w:r>
      <w:r w:rsidRPr="000909C0">
        <w:rPr>
          <w:rFonts w:cs="Calibri"/>
          <w:i/>
          <w:iCs/>
          <w:szCs w:val="20"/>
        </w:rPr>
        <w:t>, including the case where mixed environments of urban, sub-urban and rural are considered in the satellite footprint, it may not be appropriate to assume that IMT base stations will be deployed at the same density as the above across the whole area, and thus, the deployment density values may need to be adjusted. This adjustment should be explained together with the results of studies.</w:t>
      </w:r>
      <w:r>
        <w:rPr>
          <w:rFonts w:cs="Calibri"/>
          <w:i/>
          <w:iCs/>
          <w:szCs w:val="20"/>
        </w:rPr>
        <w:t>”</w:t>
      </w:r>
    </w:p>
    <w:p w14:paraId="21DA6D79" w14:textId="73764696" w:rsidR="00E2436C" w:rsidRPr="000A5A3A" w:rsidRDefault="00E2436C" w:rsidP="00E2436C">
      <w:pPr>
        <w:spacing w:after="0"/>
        <w:ind w:right="880"/>
        <w:rPr>
          <w:rFonts w:cs="Calibri"/>
          <w:szCs w:val="20"/>
        </w:rPr>
      </w:pPr>
      <w:r>
        <w:rPr>
          <w:rFonts w:cs="Calibri"/>
          <w:szCs w:val="20"/>
        </w:rPr>
        <w:t xml:space="preserve">Finally it is worth emphasising that Annex 4.4 to </w:t>
      </w:r>
      <w:hyperlink r:id="rId18" w:history="1">
        <w:r w:rsidRPr="00F60267">
          <w:rPr>
            <w:rStyle w:val="Hyperlink"/>
            <w:rFonts w:cs="Calibri"/>
            <w:szCs w:val="20"/>
          </w:rPr>
          <w:t>5D/716</w:t>
        </w:r>
      </w:hyperlink>
      <w:r>
        <w:rPr>
          <w:rFonts w:cs="Calibri"/>
          <w:szCs w:val="20"/>
        </w:rPr>
        <w:t xml:space="preserve"> states</w:t>
      </w:r>
      <w:r w:rsidRPr="000A5A3A">
        <w:rPr>
          <w:rFonts w:cs="Calibri"/>
          <w:szCs w:val="20"/>
        </w:rPr>
        <w:t>:</w:t>
      </w:r>
    </w:p>
    <w:p w14:paraId="37346F78" w14:textId="77777777" w:rsidR="00E2436C" w:rsidRDefault="00E2436C" w:rsidP="00E2436C">
      <w:pPr>
        <w:spacing w:after="0"/>
        <w:ind w:left="720" w:right="880"/>
        <w:rPr>
          <w:rFonts w:cs="Calibri"/>
          <w:i/>
          <w:iCs/>
          <w:szCs w:val="20"/>
        </w:rPr>
      </w:pPr>
      <w:r>
        <w:rPr>
          <w:rFonts w:cs="Calibri"/>
          <w:i/>
          <w:iCs/>
          <w:szCs w:val="20"/>
        </w:rPr>
        <w:t>“</w:t>
      </w:r>
      <w:r w:rsidRPr="000909C0">
        <w:rPr>
          <w:rFonts w:cs="Calibri"/>
          <w:i/>
          <w:iCs/>
          <w:szCs w:val="20"/>
        </w:rPr>
        <w:t>It should be noted that the 'Ra, Rb methodology' described in Section 3.3 needs to be further developed in order to fully accommodate the rural deployment scenario</w:t>
      </w:r>
      <w:r>
        <w:rPr>
          <w:rFonts w:cs="Calibri"/>
          <w:i/>
          <w:iCs/>
          <w:szCs w:val="20"/>
        </w:rPr>
        <w:t>”</w:t>
      </w:r>
    </w:p>
    <w:p w14:paraId="65CE15DC" w14:textId="77777777" w:rsidR="00E2436C" w:rsidRDefault="00E2436C" w:rsidP="00E2436C">
      <w:pPr>
        <w:rPr>
          <w:rFonts w:cs="Calibri"/>
          <w:szCs w:val="20"/>
        </w:rPr>
      </w:pPr>
      <w:r>
        <w:rPr>
          <w:rFonts w:cs="Calibri"/>
          <w:szCs w:val="20"/>
        </w:rPr>
        <w:t xml:space="preserve">The </w:t>
      </w:r>
      <w:r w:rsidRPr="000909C0">
        <w:rPr>
          <w:rFonts w:cs="Calibri"/>
          <w:szCs w:val="20"/>
        </w:rPr>
        <w:t>Ra/Rb</w:t>
      </w:r>
      <w:r>
        <w:rPr>
          <w:rFonts w:cs="Calibri"/>
          <w:szCs w:val="20"/>
        </w:rPr>
        <w:t xml:space="preserve"> methodology thus </w:t>
      </w:r>
      <w:r w:rsidRPr="000909C0">
        <w:rPr>
          <w:rFonts w:cs="Calibri"/>
          <w:szCs w:val="20"/>
        </w:rPr>
        <w:t xml:space="preserve">needs to be further developed to fully accommodate the rural scenario, </w:t>
      </w:r>
      <w:r>
        <w:rPr>
          <w:rFonts w:cs="Calibri"/>
          <w:szCs w:val="20"/>
        </w:rPr>
        <w:t>and, as it stands, using</w:t>
      </w:r>
      <w:r w:rsidRPr="000909C0">
        <w:rPr>
          <w:rFonts w:cs="Calibri"/>
          <w:szCs w:val="20"/>
        </w:rPr>
        <w:t xml:space="preserve"> Ra or Rb</w:t>
      </w:r>
      <w:r>
        <w:rPr>
          <w:rFonts w:cs="Calibri"/>
          <w:szCs w:val="20"/>
        </w:rPr>
        <w:t xml:space="preserve"> equal to</w:t>
      </w:r>
      <w:r w:rsidRPr="000909C0">
        <w:rPr>
          <w:rFonts w:cs="Calibri"/>
          <w:szCs w:val="20"/>
        </w:rPr>
        <w:t xml:space="preserve"> 100% </w:t>
      </w:r>
      <w:r>
        <w:rPr>
          <w:rFonts w:cs="Calibri"/>
          <w:szCs w:val="20"/>
        </w:rPr>
        <w:t xml:space="preserve">together with the rural densities above </w:t>
      </w:r>
      <w:r w:rsidRPr="000909C0">
        <w:rPr>
          <w:rFonts w:cs="Calibri"/>
          <w:szCs w:val="20"/>
        </w:rPr>
        <w:t>would overestimat</w:t>
      </w:r>
      <w:r>
        <w:rPr>
          <w:rFonts w:cs="Calibri"/>
          <w:szCs w:val="20"/>
        </w:rPr>
        <w:t>e</w:t>
      </w:r>
      <w:r w:rsidRPr="000909C0">
        <w:rPr>
          <w:rFonts w:cs="Calibri"/>
          <w:szCs w:val="20"/>
        </w:rPr>
        <w:t xml:space="preserve"> the numbers of BSs in rural areas.</w:t>
      </w:r>
    </w:p>
    <w:p w14:paraId="2E29850B" w14:textId="77777777" w:rsidR="00E2436C" w:rsidRPr="00D41C4C" w:rsidRDefault="00E2436C" w:rsidP="00512AAF">
      <w:pPr>
        <w:pStyle w:val="Heading3"/>
      </w:pPr>
      <w:r>
        <w:t>The reality of r</w:t>
      </w:r>
      <w:r w:rsidRPr="00D41C4C">
        <w:t>ural mobile deployments</w:t>
      </w:r>
    </w:p>
    <w:p w14:paraId="09E1D4F6" w14:textId="77777777" w:rsidR="00E2436C" w:rsidRDefault="00E2436C" w:rsidP="00E2436C">
      <w:pPr>
        <w:spacing w:after="0"/>
        <w:rPr>
          <w:rFonts w:cs="Calibri"/>
          <w:szCs w:val="20"/>
        </w:rPr>
      </w:pPr>
      <w:r>
        <w:rPr>
          <w:rFonts w:cs="Calibri"/>
          <w:szCs w:val="20"/>
        </w:rPr>
        <w:t>In practice the</w:t>
      </w:r>
      <w:r w:rsidRPr="000168C4">
        <w:rPr>
          <w:rFonts w:cs="Calibri"/>
          <w:szCs w:val="20"/>
        </w:rPr>
        <w:t xml:space="preserve"> 6</w:t>
      </w:r>
      <w:r>
        <w:rPr>
          <w:rFonts w:cs="Calibri"/>
          <w:szCs w:val="20"/>
        </w:rPr>
        <w:t xml:space="preserve"> </w:t>
      </w:r>
      <w:r w:rsidRPr="000168C4">
        <w:rPr>
          <w:rFonts w:cs="Calibri"/>
          <w:szCs w:val="20"/>
        </w:rPr>
        <w:t xml:space="preserve">GHz </w:t>
      </w:r>
      <w:r>
        <w:rPr>
          <w:rFonts w:cs="Calibri"/>
          <w:szCs w:val="20"/>
        </w:rPr>
        <w:t xml:space="preserve">band is unlikely to be chosen by mobile operators for deployment in </w:t>
      </w:r>
      <w:r w:rsidRPr="000168C4">
        <w:rPr>
          <w:rFonts w:cs="Calibri"/>
          <w:szCs w:val="20"/>
        </w:rPr>
        <w:t>rural areas</w:t>
      </w:r>
      <w:r>
        <w:rPr>
          <w:rFonts w:cs="Calibri"/>
          <w:szCs w:val="20"/>
        </w:rPr>
        <w:t xml:space="preserve">. </w:t>
      </w:r>
      <w:r w:rsidRPr="000168C4">
        <w:rPr>
          <w:rFonts w:cs="Calibri"/>
          <w:szCs w:val="20"/>
        </w:rPr>
        <w:t>Population density is a key driver of traffic demand in any given area</w:t>
      </w:r>
      <w:r>
        <w:rPr>
          <w:rFonts w:cs="Calibri"/>
          <w:szCs w:val="20"/>
        </w:rPr>
        <w:t>: t</w:t>
      </w:r>
      <w:r w:rsidRPr="000168C4">
        <w:rPr>
          <w:rFonts w:cs="Calibri"/>
          <w:szCs w:val="20"/>
        </w:rPr>
        <w:t>he higher the density, the higher the demand</w:t>
      </w:r>
      <w:r>
        <w:rPr>
          <w:rFonts w:cs="Calibri"/>
          <w:szCs w:val="20"/>
        </w:rPr>
        <w:t xml:space="preserve">. </w:t>
      </w:r>
      <w:r w:rsidRPr="000168C4">
        <w:rPr>
          <w:rFonts w:cs="Calibri"/>
          <w:szCs w:val="20"/>
        </w:rPr>
        <w:t>Operators will fulfil the demand with the most efficient technology solution. Low frequencies provide better coverage and are cheaper to deploy, so they will be used first</w:t>
      </w:r>
      <w:r>
        <w:rPr>
          <w:rFonts w:cs="Calibri"/>
          <w:szCs w:val="20"/>
        </w:rPr>
        <w:t xml:space="preserve">. </w:t>
      </w:r>
      <w:r w:rsidRPr="000168C4">
        <w:rPr>
          <w:rFonts w:cs="Calibri"/>
          <w:szCs w:val="20"/>
        </w:rPr>
        <w:t>If traffic demand exceeds the capacity in the low frequencies, then operators would use lower mid-bands (2100</w:t>
      </w:r>
      <w:r>
        <w:rPr>
          <w:rFonts w:cs="Calibri"/>
          <w:szCs w:val="20"/>
        </w:rPr>
        <w:t xml:space="preserve"> MHz</w:t>
      </w:r>
      <w:r w:rsidRPr="000168C4">
        <w:rPr>
          <w:rFonts w:cs="Calibri"/>
          <w:szCs w:val="20"/>
        </w:rPr>
        <w:t>, 2600</w:t>
      </w:r>
      <w:r>
        <w:rPr>
          <w:rFonts w:cs="Calibri"/>
          <w:szCs w:val="20"/>
        </w:rPr>
        <w:t xml:space="preserve"> MHz</w:t>
      </w:r>
      <w:r w:rsidRPr="000168C4">
        <w:rPr>
          <w:rFonts w:cs="Calibri"/>
          <w:szCs w:val="20"/>
        </w:rPr>
        <w:t xml:space="preserve">) which will </w:t>
      </w:r>
      <w:r>
        <w:rPr>
          <w:rFonts w:cs="Calibri"/>
          <w:szCs w:val="20"/>
        </w:rPr>
        <w:t xml:space="preserve">have a </w:t>
      </w:r>
      <w:r>
        <w:rPr>
          <w:rFonts w:cs="Calibri"/>
          <w:szCs w:val="20"/>
        </w:rPr>
        <w:lastRenderedPageBreak/>
        <w:t>better coverage and cost than higher bands. Upper mid-bands like 6 GHz will, in reality, be used in denser urban and suburban usage areas.</w:t>
      </w:r>
    </w:p>
    <w:p w14:paraId="7E1A42E1" w14:textId="77777777" w:rsidR="00E2436C" w:rsidRPr="000168C4" w:rsidRDefault="00E2436C" w:rsidP="00E2436C">
      <w:pPr>
        <w:spacing w:after="0"/>
        <w:rPr>
          <w:rFonts w:cs="Calibri"/>
          <w:szCs w:val="20"/>
        </w:rPr>
      </w:pPr>
      <w:r>
        <w:rPr>
          <w:rFonts w:cs="Calibri"/>
          <w:szCs w:val="20"/>
        </w:rPr>
        <w:t>This is because in practice d</w:t>
      </w:r>
      <w:r w:rsidRPr="000168C4">
        <w:rPr>
          <w:rFonts w:cs="Calibri"/>
          <w:szCs w:val="20"/>
        </w:rPr>
        <w:t xml:space="preserve">emand from rural areas </w:t>
      </w:r>
      <w:r>
        <w:rPr>
          <w:rFonts w:cs="Calibri"/>
          <w:szCs w:val="20"/>
        </w:rPr>
        <w:t>(which by definition have lower population density than urban/suburban areas) will not</w:t>
      </w:r>
      <w:r w:rsidRPr="000168C4">
        <w:rPr>
          <w:rFonts w:cs="Calibri"/>
          <w:szCs w:val="20"/>
        </w:rPr>
        <w:t xml:space="preserve"> be so high </w:t>
      </w:r>
      <w:r>
        <w:rPr>
          <w:rFonts w:cs="Calibri"/>
          <w:szCs w:val="20"/>
        </w:rPr>
        <w:t xml:space="preserve">as </w:t>
      </w:r>
      <w:r w:rsidRPr="000168C4">
        <w:rPr>
          <w:rFonts w:cs="Calibri"/>
          <w:szCs w:val="20"/>
        </w:rPr>
        <w:t xml:space="preserve">to require deployment of high frequencies such as C-band, 6 GHz or mmWave. </w:t>
      </w:r>
    </w:p>
    <w:p w14:paraId="0F042CC8" w14:textId="77777777" w:rsidR="00E2436C" w:rsidRPr="00512AAF" w:rsidRDefault="00E2436C" w:rsidP="00E2436C">
      <w:pPr>
        <w:spacing w:after="0"/>
        <w:rPr>
          <w:rStyle w:val="IntenseEmphasis"/>
        </w:rPr>
      </w:pPr>
      <w:r w:rsidRPr="00512AAF">
        <w:rPr>
          <w:rStyle w:val="IntenseEmphasis"/>
        </w:rPr>
        <w:t>It is highly improbable, either from a demand perspective or an economic feasibility perspective, that the 6 GHz band will be used to provide contiguous rural coverage. Any deployment for a small rural town or isolated population centre would not stretch to coverage of uninhabited locations such as fields or wild areas. The WP 5D parameters document clearly states this, and only provides tentative BS densities that cannot be directly applied to large areas.</w:t>
      </w:r>
    </w:p>
    <w:p w14:paraId="0377FF89" w14:textId="77777777" w:rsidR="00E2436C" w:rsidRPr="008B1283" w:rsidRDefault="00E2436C" w:rsidP="00512AAF">
      <w:pPr>
        <w:pStyle w:val="Heading2"/>
      </w:pPr>
      <w:r w:rsidRPr="008B1283">
        <w:t xml:space="preserve">Apportionment of the interference criterion between multiple services </w:t>
      </w:r>
    </w:p>
    <w:p w14:paraId="2D92CFEF" w14:textId="77777777" w:rsidR="00E2436C" w:rsidRDefault="00E2436C" w:rsidP="00E2436C">
      <w:pPr>
        <w:spacing w:after="0"/>
        <w:rPr>
          <w:rFonts w:cs="Calibri"/>
          <w:szCs w:val="20"/>
        </w:rPr>
      </w:pPr>
      <w:r w:rsidRPr="00613067">
        <w:rPr>
          <w:rFonts w:cs="Calibri"/>
          <w:szCs w:val="20"/>
        </w:rPr>
        <w:t xml:space="preserve">Apportionment is the process of defining how much of the total </w:t>
      </w:r>
      <w:r>
        <w:rPr>
          <w:rFonts w:cs="Calibri"/>
          <w:szCs w:val="20"/>
        </w:rPr>
        <w:t xml:space="preserve">theoretical </w:t>
      </w:r>
      <w:r w:rsidRPr="00613067">
        <w:rPr>
          <w:rFonts w:cs="Calibri"/>
          <w:szCs w:val="20"/>
        </w:rPr>
        <w:t>interference</w:t>
      </w:r>
      <w:r>
        <w:rPr>
          <w:rFonts w:cs="Calibri"/>
          <w:szCs w:val="20"/>
        </w:rPr>
        <w:t xml:space="preserve"> allowance </w:t>
      </w:r>
      <w:r w:rsidRPr="00613067">
        <w:rPr>
          <w:rFonts w:cs="Calibri"/>
          <w:szCs w:val="20"/>
        </w:rPr>
        <w:t xml:space="preserve">to one service can come from </w:t>
      </w:r>
      <w:r>
        <w:rPr>
          <w:rFonts w:cs="Calibri"/>
          <w:szCs w:val="20"/>
        </w:rPr>
        <w:t>any other</w:t>
      </w:r>
      <w:r w:rsidRPr="00613067">
        <w:rPr>
          <w:rFonts w:cs="Calibri"/>
          <w:szCs w:val="20"/>
        </w:rPr>
        <w:t xml:space="preserve"> specific service.</w:t>
      </w:r>
      <w:r>
        <w:rPr>
          <w:rFonts w:cs="Calibri"/>
          <w:szCs w:val="20"/>
        </w:rPr>
        <w:t xml:space="preserve"> In the case of 6 425-7 125 MHz, this means defining how much of the protection criteria assigned to existing primary allocations, e.g. FSS, may apportioned to the other services to which the band is allocated e.g. MS and FS. </w:t>
      </w:r>
    </w:p>
    <w:p w14:paraId="51B18E39" w14:textId="77777777" w:rsidR="00E2436C" w:rsidRDefault="00E2436C" w:rsidP="00E2436C">
      <w:pPr>
        <w:spacing w:after="0"/>
        <w:rPr>
          <w:rFonts w:cs="Calibri"/>
          <w:szCs w:val="20"/>
        </w:rPr>
      </w:pPr>
      <w:r>
        <w:rPr>
          <w:rFonts w:cs="Calibri"/>
          <w:szCs w:val="20"/>
        </w:rPr>
        <w:t xml:space="preserve">The question of apportionment of theoretical interference is a delicate balance that merits careful study and must not be done arbitrarily (such as splitting the apportionment on a 50:50 basis between two services). The precise characteristics of the services involved must be taken into account. </w:t>
      </w:r>
    </w:p>
    <w:p w14:paraId="4A0C2965" w14:textId="77777777" w:rsidR="00E2436C" w:rsidRDefault="00E2436C" w:rsidP="00E2436C">
      <w:pPr>
        <w:spacing w:after="0"/>
        <w:rPr>
          <w:rFonts w:cs="Calibri"/>
          <w:szCs w:val="20"/>
        </w:rPr>
      </w:pPr>
      <w:r w:rsidRPr="00267AC0">
        <w:rPr>
          <w:rFonts w:cs="Calibri"/>
          <w:szCs w:val="20"/>
        </w:rPr>
        <w:t>WP</w:t>
      </w:r>
      <w:r>
        <w:rPr>
          <w:rFonts w:cs="Calibri"/>
          <w:szCs w:val="20"/>
        </w:rPr>
        <w:t xml:space="preserve"> </w:t>
      </w:r>
      <w:r w:rsidRPr="00267AC0">
        <w:rPr>
          <w:rFonts w:cs="Calibri"/>
          <w:szCs w:val="20"/>
        </w:rPr>
        <w:t>4A has provided protection criteria for satellite receivers. The criteria specify the interference power level that should not be exceeded for a percentage of time. The criteria used by most studies</w:t>
      </w:r>
      <w:r>
        <w:rPr>
          <w:rFonts w:cs="Calibri"/>
          <w:szCs w:val="20"/>
        </w:rPr>
        <w:t xml:space="preserve"> in WP 5D</w:t>
      </w:r>
      <w:r w:rsidRPr="00267AC0">
        <w:rPr>
          <w:rFonts w:cs="Calibri"/>
          <w:szCs w:val="20"/>
        </w:rPr>
        <w:t xml:space="preserve"> is </w:t>
      </w:r>
      <w:r>
        <w:rPr>
          <w:rFonts w:cs="Calibri"/>
          <w:szCs w:val="20"/>
        </w:rPr>
        <w:t>“</w:t>
      </w:r>
      <w:r w:rsidRPr="00267AC0">
        <w:rPr>
          <w:rFonts w:cs="Calibri"/>
          <w:szCs w:val="20"/>
        </w:rPr>
        <w:t>I/N=-10.5 dB not exceeded more than 20% of the time</w:t>
      </w:r>
      <w:r>
        <w:rPr>
          <w:rFonts w:cs="Calibri"/>
          <w:szCs w:val="20"/>
        </w:rPr>
        <w:t>”.</w:t>
      </w:r>
    </w:p>
    <w:p w14:paraId="50962F4D" w14:textId="77777777" w:rsidR="00E2436C" w:rsidRDefault="00E2436C" w:rsidP="00E2436C">
      <w:pPr>
        <w:spacing w:after="0"/>
        <w:rPr>
          <w:rFonts w:cs="Calibri"/>
          <w:szCs w:val="20"/>
        </w:rPr>
      </w:pPr>
      <w:r w:rsidRPr="00267AC0">
        <w:rPr>
          <w:rFonts w:cs="Calibri"/>
          <w:szCs w:val="20"/>
        </w:rPr>
        <w:t>This criteria accounts for all possible interference sources</w:t>
      </w:r>
      <w:r>
        <w:rPr>
          <w:rFonts w:cs="Calibri"/>
          <w:szCs w:val="20"/>
        </w:rPr>
        <w:t xml:space="preserve"> meaning that, i</w:t>
      </w:r>
      <w:r w:rsidRPr="00267AC0">
        <w:rPr>
          <w:rFonts w:cs="Calibri"/>
          <w:szCs w:val="20"/>
        </w:rPr>
        <w:t>f there are several services in the band, then the aggregated interference should not exceed the criteria. The 6</w:t>
      </w:r>
      <w:r>
        <w:rPr>
          <w:rFonts w:cs="Calibri"/>
          <w:szCs w:val="20"/>
        </w:rPr>
        <w:t xml:space="preserve"> </w:t>
      </w:r>
      <w:r w:rsidRPr="00267AC0">
        <w:rPr>
          <w:rFonts w:cs="Calibri"/>
          <w:szCs w:val="20"/>
        </w:rPr>
        <w:t>425-7</w:t>
      </w:r>
      <w:r>
        <w:rPr>
          <w:rFonts w:cs="Calibri"/>
          <w:szCs w:val="20"/>
        </w:rPr>
        <w:t xml:space="preserve"> </w:t>
      </w:r>
      <w:r w:rsidRPr="00267AC0">
        <w:rPr>
          <w:rFonts w:cs="Calibri"/>
          <w:szCs w:val="20"/>
        </w:rPr>
        <w:t>125 MHz is allocated to the Fixed Service on a primary basis</w:t>
      </w:r>
      <w:r>
        <w:rPr>
          <w:rFonts w:cs="Calibri"/>
          <w:szCs w:val="20"/>
        </w:rPr>
        <w:t>, as well as Mobile</w:t>
      </w:r>
      <w:r w:rsidRPr="00267AC0">
        <w:rPr>
          <w:rFonts w:cs="Calibri"/>
          <w:szCs w:val="20"/>
        </w:rPr>
        <w:t xml:space="preserve">. </w:t>
      </w:r>
      <w:r>
        <w:rPr>
          <w:rFonts w:cs="Calibri"/>
          <w:szCs w:val="20"/>
        </w:rPr>
        <w:t xml:space="preserve">As the fixed </w:t>
      </w:r>
      <w:r w:rsidRPr="00267AC0">
        <w:rPr>
          <w:rFonts w:cs="Calibri"/>
          <w:szCs w:val="20"/>
        </w:rPr>
        <w:t>service is widely deployed</w:t>
      </w:r>
      <w:r>
        <w:rPr>
          <w:rFonts w:cs="Calibri"/>
          <w:szCs w:val="20"/>
        </w:rPr>
        <w:t xml:space="preserve">, </w:t>
      </w:r>
      <w:r w:rsidRPr="00267AC0">
        <w:rPr>
          <w:rFonts w:cs="Calibri"/>
          <w:szCs w:val="20"/>
        </w:rPr>
        <w:t>aggregated interference into satellite receivers from FS transmitters and potential IMT deployments must not exceed the criteria.</w:t>
      </w:r>
    </w:p>
    <w:p w14:paraId="4B51C479" w14:textId="77777777" w:rsidR="00E2436C" w:rsidRDefault="00E2436C" w:rsidP="00E2436C">
      <w:pPr>
        <w:spacing w:after="0"/>
        <w:rPr>
          <w:rFonts w:cs="Calibri"/>
          <w:szCs w:val="20"/>
        </w:rPr>
      </w:pPr>
      <w:r w:rsidRPr="00267AC0">
        <w:rPr>
          <w:rFonts w:cs="Calibri"/>
          <w:szCs w:val="20"/>
        </w:rPr>
        <w:t xml:space="preserve">There is a question of how much </w:t>
      </w:r>
      <w:r>
        <w:rPr>
          <w:rFonts w:cs="Calibri"/>
          <w:szCs w:val="20"/>
        </w:rPr>
        <w:t xml:space="preserve">of the total </w:t>
      </w:r>
      <w:r w:rsidRPr="00267AC0">
        <w:rPr>
          <w:rFonts w:cs="Calibri"/>
          <w:szCs w:val="20"/>
        </w:rPr>
        <w:t xml:space="preserve">interference </w:t>
      </w:r>
      <w:r>
        <w:rPr>
          <w:rFonts w:cs="Calibri"/>
          <w:szCs w:val="20"/>
        </w:rPr>
        <w:t xml:space="preserve">that is allowed </w:t>
      </w:r>
      <w:r w:rsidRPr="00267AC0">
        <w:rPr>
          <w:rFonts w:cs="Calibri"/>
          <w:szCs w:val="20"/>
        </w:rPr>
        <w:t xml:space="preserve">at the satellite receiver </w:t>
      </w:r>
      <w:r>
        <w:rPr>
          <w:rFonts w:cs="Calibri"/>
          <w:szCs w:val="20"/>
        </w:rPr>
        <w:t xml:space="preserve">should be apportioned to </w:t>
      </w:r>
      <w:r w:rsidRPr="00267AC0">
        <w:rPr>
          <w:rFonts w:cs="Calibri"/>
          <w:szCs w:val="20"/>
        </w:rPr>
        <w:t>each service. Some studies</w:t>
      </w:r>
      <w:r>
        <w:rPr>
          <w:rFonts w:cs="Calibri"/>
          <w:szCs w:val="20"/>
        </w:rPr>
        <w:t xml:space="preserve"> in WP 5D</w:t>
      </w:r>
      <w:r w:rsidRPr="00267AC0">
        <w:rPr>
          <w:rFonts w:cs="Calibri"/>
          <w:szCs w:val="20"/>
        </w:rPr>
        <w:t xml:space="preserve"> consider that FS and IMT are each allowed half of the interference power </w:t>
      </w:r>
      <w:r>
        <w:rPr>
          <w:rFonts w:cs="Calibri"/>
          <w:szCs w:val="20"/>
        </w:rPr>
        <w:t>allowed</w:t>
      </w:r>
      <w:r w:rsidRPr="00267AC0">
        <w:rPr>
          <w:rFonts w:cs="Calibri"/>
          <w:szCs w:val="20"/>
        </w:rPr>
        <w:t xml:space="preserve"> by the criteria. This approach would mean that IMT </w:t>
      </w:r>
      <w:r>
        <w:rPr>
          <w:rFonts w:cs="Calibri"/>
          <w:szCs w:val="20"/>
        </w:rPr>
        <w:t>interference</w:t>
      </w:r>
      <w:r w:rsidRPr="00267AC0">
        <w:rPr>
          <w:rFonts w:cs="Calibri"/>
          <w:szCs w:val="20"/>
        </w:rPr>
        <w:t xml:space="preserve"> must be lower than </w:t>
      </w:r>
      <w:r>
        <w:rPr>
          <w:rFonts w:cs="Calibri"/>
          <w:szCs w:val="20"/>
        </w:rPr>
        <w:t>-10.5 dB –</w:t>
      </w:r>
      <w:r w:rsidRPr="00267AC0">
        <w:rPr>
          <w:rFonts w:cs="Calibri"/>
          <w:szCs w:val="20"/>
        </w:rPr>
        <w:t xml:space="preserve"> 3 dB</w:t>
      </w:r>
      <w:r>
        <w:rPr>
          <w:rFonts w:cs="Calibri"/>
          <w:szCs w:val="20"/>
        </w:rPr>
        <w:t xml:space="preserve"> below the Noise level</w:t>
      </w:r>
      <w:r w:rsidRPr="00267AC0">
        <w:rPr>
          <w:rFonts w:cs="Calibri"/>
          <w:szCs w:val="20"/>
        </w:rPr>
        <w:t xml:space="preserve">. </w:t>
      </w:r>
    </w:p>
    <w:p w14:paraId="4C0E3159" w14:textId="77777777" w:rsidR="00E2436C" w:rsidRPr="00267AC0" w:rsidRDefault="00E2436C" w:rsidP="00E2436C">
      <w:pPr>
        <w:spacing w:after="0"/>
        <w:rPr>
          <w:rFonts w:cs="Calibri"/>
          <w:szCs w:val="20"/>
        </w:rPr>
      </w:pPr>
      <w:r w:rsidRPr="00267AC0">
        <w:rPr>
          <w:rFonts w:cs="Calibri"/>
          <w:szCs w:val="20"/>
        </w:rPr>
        <w:t xml:space="preserve">However, </w:t>
      </w:r>
      <w:r>
        <w:rPr>
          <w:rFonts w:cs="Calibri"/>
          <w:szCs w:val="20"/>
        </w:rPr>
        <w:t>this is a very coarse approach</w:t>
      </w:r>
      <w:r w:rsidRPr="00267AC0">
        <w:rPr>
          <w:rFonts w:cs="Calibri"/>
          <w:szCs w:val="20"/>
        </w:rPr>
        <w:t xml:space="preserve">. If </w:t>
      </w:r>
      <w:r>
        <w:rPr>
          <w:rFonts w:cs="Calibri"/>
          <w:szCs w:val="20"/>
        </w:rPr>
        <w:t xml:space="preserve">FS interference </w:t>
      </w:r>
      <w:r w:rsidRPr="00267AC0">
        <w:rPr>
          <w:rFonts w:cs="Calibri"/>
          <w:szCs w:val="20"/>
        </w:rPr>
        <w:t xml:space="preserve">is very low, then IMT can be allowed to get close to the </w:t>
      </w:r>
      <w:r>
        <w:rPr>
          <w:rFonts w:cs="Calibri"/>
          <w:szCs w:val="20"/>
        </w:rPr>
        <w:t xml:space="preserve">-10.5 dB </w:t>
      </w:r>
      <w:r w:rsidRPr="00267AC0">
        <w:rPr>
          <w:rFonts w:cs="Calibri"/>
          <w:szCs w:val="20"/>
        </w:rPr>
        <w:t xml:space="preserve">criteria. For instance, if FS interference is </w:t>
      </w:r>
      <w:r>
        <w:rPr>
          <w:rFonts w:cs="Calibri"/>
          <w:szCs w:val="20"/>
        </w:rPr>
        <w:t>2</w:t>
      </w:r>
      <w:r w:rsidRPr="00267AC0">
        <w:rPr>
          <w:rFonts w:cs="Calibri"/>
          <w:szCs w:val="20"/>
        </w:rPr>
        <w:t>0 dB below the criteria, then IMT interference could be 9</w:t>
      </w:r>
      <w:r>
        <w:rPr>
          <w:rFonts w:cs="Calibri"/>
          <w:szCs w:val="20"/>
        </w:rPr>
        <w:t>9</w:t>
      </w:r>
      <w:r w:rsidRPr="00267AC0">
        <w:rPr>
          <w:rFonts w:cs="Calibri"/>
          <w:szCs w:val="20"/>
        </w:rPr>
        <w:t xml:space="preserve">% of the criteria and the aggregated interference would still respect the </w:t>
      </w:r>
      <w:r>
        <w:rPr>
          <w:rFonts w:cs="Calibri"/>
          <w:szCs w:val="20"/>
        </w:rPr>
        <w:t xml:space="preserve">-10.5 dB </w:t>
      </w:r>
      <w:r w:rsidRPr="00267AC0">
        <w:rPr>
          <w:rFonts w:cs="Calibri"/>
          <w:szCs w:val="20"/>
        </w:rPr>
        <w:t xml:space="preserve">criteria. </w:t>
      </w:r>
      <w:r>
        <w:rPr>
          <w:rFonts w:cs="Calibri"/>
          <w:szCs w:val="20"/>
        </w:rPr>
        <w:t>On the other hand, if the FS interference is half of the total allowed interference (-13.5 dB) , then IMT interference will need to be capped at half as well. This is shown graphically below.</w:t>
      </w:r>
    </w:p>
    <w:p w14:paraId="19C5B31A" w14:textId="77777777" w:rsidR="00E2436C" w:rsidRDefault="00E2436C" w:rsidP="00E2436C">
      <w:pPr>
        <w:spacing w:after="0"/>
        <w:rPr>
          <w:rFonts w:cs="Calibri"/>
          <w:szCs w:val="20"/>
        </w:rPr>
      </w:pPr>
      <w:r>
        <w:rPr>
          <w:rFonts w:cs="Calibri"/>
          <w:noProof/>
          <w:szCs w:val="20"/>
        </w:rPr>
        <w:lastRenderedPageBreak/>
        <w:drawing>
          <wp:inline distT="0" distB="0" distL="0" distR="0" wp14:anchorId="22C41DB9" wp14:editId="58B509C3">
            <wp:extent cx="5832763" cy="24438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0482" cy="2455430"/>
                    </a:xfrm>
                    <a:prstGeom prst="rect">
                      <a:avLst/>
                    </a:prstGeom>
                    <a:noFill/>
                  </pic:spPr>
                </pic:pic>
              </a:graphicData>
            </a:graphic>
          </wp:inline>
        </w:drawing>
      </w:r>
    </w:p>
    <w:p w14:paraId="299FFEF0" w14:textId="0D1335A9" w:rsidR="00E2436C" w:rsidRDefault="00F60267" w:rsidP="00512AAF">
      <w:pPr>
        <w:pStyle w:val="Heading3"/>
      </w:pPr>
      <w:r>
        <w:t xml:space="preserve">Understanding </w:t>
      </w:r>
      <w:r w:rsidR="00E2436C">
        <w:t>FS and IMT characteristics</w:t>
      </w:r>
    </w:p>
    <w:p w14:paraId="7A03F9A7" w14:textId="34FE4DCA" w:rsidR="00E2436C" w:rsidRDefault="00E2436C" w:rsidP="00E2436C">
      <w:pPr>
        <w:spacing w:after="0"/>
        <w:rPr>
          <w:rFonts w:cs="Calibri"/>
          <w:szCs w:val="20"/>
        </w:rPr>
      </w:pPr>
      <w:r>
        <w:rPr>
          <w:rFonts w:cs="Calibri"/>
          <w:szCs w:val="20"/>
        </w:rPr>
        <w:t>The characteristics of FS interference towards the satellite are very different from potential IMT deployments. First, the number of FS transmitters in the band is not high, in particular when compared to the IMT deployments being considered in WP 5D. Also, the FS antennas are very directive (3 dB BW of less than 3 degrees) and face different azimuth directions and hence the probability of directly pointing towards a satellite is very low. Moreover, the fixed links are spread over the whole band, and only a fraction of FS transmitters would be operating in the same channel as the FSS receiver.</w:t>
      </w:r>
    </w:p>
    <w:p w14:paraId="1D71A762" w14:textId="77777777" w:rsidR="00E2436C" w:rsidRDefault="00E2436C" w:rsidP="00E2436C">
      <w:pPr>
        <w:spacing w:after="0"/>
        <w:rPr>
          <w:rFonts w:cs="Calibri"/>
          <w:szCs w:val="20"/>
        </w:rPr>
      </w:pPr>
      <w:r>
        <w:rPr>
          <w:rFonts w:cs="Calibri"/>
          <w:szCs w:val="20"/>
        </w:rPr>
        <w:t xml:space="preserve">As a consequence, the level of interference from all FS transmitters in the band will be much lower than the potential interference from IMT. </w:t>
      </w:r>
    </w:p>
    <w:p w14:paraId="2591F78D" w14:textId="77777777" w:rsidR="00E2436C" w:rsidRDefault="00E2436C" w:rsidP="00E2436C">
      <w:pPr>
        <w:spacing w:after="0"/>
        <w:rPr>
          <w:rFonts w:cs="Calibri"/>
          <w:bCs/>
          <w:szCs w:val="20"/>
        </w:rPr>
      </w:pPr>
      <w:r w:rsidRPr="00525337">
        <w:rPr>
          <w:rFonts w:cs="Calibri"/>
          <w:bCs/>
          <w:szCs w:val="20"/>
        </w:rPr>
        <w:t xml:space="preserve">It must be noted that a worst-case scenario where 1) several FS transmitters are directly pointing towards a satellite, 2) the satellite is also pointing to their location (with maximum antenna gain), and 3) there are no obstacles in the way, is extremely unlikely to occur. </w:t>
      </w:r>
    </w:p>
    <w:p w14:paraId="6BD29790" w14:textId="77777777" w:rsidR="00E2436C" w:rsidRPr="00525337" w:rsidRDefault="00E2436C" w:rsidP="00E2436C">
      <w:pPr>
        <w:spacing w:after="0"/>
        <w:rPr>
          <w:rFonts w:cs="Calibri"/>
          <w:bCs/>
          <w:szCs w:val="20"/>
        </w:rPr>
      </w:pPr>
    </w:p>
    <w:p w14:paraId="090D6A20" w14:textId="77777777" w:rsidR="00E2436C" w:rsidRPr="00910879" w:rsidRDefault="00E2436C" w:rsidP="00512AAF">
      <w:pPr>
        <w:pStyle w:val="Heading2"/>
      </w:pPr>
      <w:r w:rsidRPr="00910879">
        <w:t>Scaling of FSS antenna gain</w:t>
      </w:r>
    </w:p>
    <w:p w14:paraId="62ACF602" w14:textId="77777777" w:rsidR="00E2436C" w:rsidRDefault="00E2436C" w:rsidP="00E2436C">
      <w:pPr>
        <w:spacing w:after="0"/>
        <w:rPr>
          <w:rFonts w:cs="Calibri"/>
          <w:szCs w:val="20"/>
        </w:rPr>
      </w:pPr>
      <w:r>
        <w:rPr>
          <w:rFonts w:cs="Calibri"/>
          <w:szCs w:val="20"/>
        </w:rPr>
        <w:t xml:space="preserve">Realistic assumptions on antenna gain will also positively impact studies. It is not possible to produce antennas that are 100% efficient. </w:t>
      </w:r>
      <w:r w:rsidRPr="001710A0">
        <w:rPr>
          <w:rFonts w:cs="Calibri"/>
          <w:szCs w:val="20"/>
        </w:rPr>
        <w:t xml:space="preserve">In </w:t>
      </w:r>
      <w:r>
        <w:rPr>
          <w:rFonts w:cs="Calibri"/>
          <w:szCs w:val="20"/>
        </w:rPr>
        <w:t>the real world</w:t>
      </w:r>
      <w:r w:rsidRPr="001710A0">
        <w:rPr>
          <w:rFonts w:cs="Calibri"/>
          <w:szCs w:val="20"/>
        </w:rPr>
        <w:t xml:space="preserve">, antennas </w:t>
      </w:r>
      <w:r>
        <w:rPr>
          <w:rFonts w:cs="Calibri"/>
          <w:szCs w:val="20"/>
        </w:rPr>
        <w:t>have losses and s</w:t>
      </w:r>
      <w:r w:rsidRPr="001710A0">
        <w:rPr>
          <w:rFonts w:cs="Calibri"/>
          <w:szCs w:val="20"/>
        </w:rPr>
        <w:t>ome of the energy incident on the antenna’s aperture is</w:t>
      </w:r>
      <w:r>
        <w:rPr>
          <w:rFonts w:cs="Calibri"/>
          <w:szCs w:val="20"/>
        </w:rPr>
        <w:t xml:space="preserve">, in fact, </w:t>
      </w:r>
      <w:r w:rsidRPr="001710A0">
        <w:rPr>
          <w:rFonts w:cs="Calibri"/>
          <w:szCs w:val="20"/>
        </w:rPr>
        <w:t>reflected or otherwise not conducted to the antenna’s connector as electrical output power</w:t>
      </w:r>
      <w:r>
        <w:rPr>
          <w:rFonts w:cs="Calibri"/>
          <w:szCs w:val="20"/>
        </w:rPr>
        <w:t xml:space="preserve">. </w:t>
      </w:r>
    </w:p>
    <w:p w14:paraId="1D2B6479" w14:textId="77777777" w:rsidR="00E2436C" w:rsidRDefault="00E2436C" w:rsidP="00E2436C">
      <w:pPr>
        <w:spacing w:after="0"/>
        <w:rPr>
          <w:rFonts w:cs="Calibri"/>
          <w:szCs w:val="20"/>
        </w:rPr>
      </w:pPr>
      <w:r>
        <w:rPr>
          <w:rFonts w:cs="Calibri"/>
          <w:szCs w:val="20"/>
        </w:rPr>
        <w:t>The Total Integrated Gain (TIG) of an antenna r</w:t>
      </w:r>
      <w:r w:rsidRPr="001710A0">
        <w:rPr>
          <w:rFonts w:cs="Calibri"/>
          <w:szCs w:val="20"/>
        </w:rPr>
        <w:t xml:space="preserve">epresents the integration of the antenna gain </w:t>
      </w:r>
      <m:oMath>
        <m:r>
          <w:rPr>
            <w:rFonts w:ascii="Cambria Math" w:hAnsi="Cambria Math" w:cs="Calibri"/>
            <w:szCs w:val="20"/>
          </w:rPr>
          <m:t>G</m:t>
        </m:r>
        <m:d>
          <m:dPr>
            <m:ctrlPr>
              <w:rPr>
                <w:rFonts w:ascii="Cambria Math" w:hAnsi="Cambria Math" w:cs="Calibri"/>
                <w:szCs w:val="20"/>
              </w:rPr>
            </m:ctrlPr>
          </m:dPr>
          <m:e>
            <m:r>
              <w:rPr>
                <w:rFonts w:ascii="Cambria Math" w:hAnsi="Cambria Math" w:cs="Calibri"/>
                <w:szCs w:val="20"/>
              </w:rPr>
              <m:t>θ</m:t>
            </m:r>
            <m:r>
              <m:rPr>
                <m:sty m:val="p"/>
              </m:rPr>
              <w:rPr>
                <w:rFonts w:ascii="Cambria Math" w:hAnsi="Cambria Math" w:cs="Calibri"/>
                <w:szCs w:val="20"/>
              </w:rPr>
              <m:t>,</m:t>
            </m:r>
            <m:r>
              <w:rPr>
                <w:rFonts w:ascii="Cambria Math" w:hAnsi="Cambria Math" w:cs="Calibri"/>
                <w:szCs w:val="20"/>
              </w:rPr>
              <m:t>φ</m:t>
            </m:r>
          </m:e>
        </m:d>
      </m:oMath>
      <w:r w:rsidRPr="001710A0">
        <w:rPr>
          <w:rFonts w:cs="Calibri"/>
          <w:szCs w:val="20"/>
        </w:rPr>
        <w:t xml:space="preserve"> over the entire radiated sphere</w:t>
      </w:r>
      <w:r>
        <w:rPr>
          <w:rFonts w:cs="Calibri"/>
          <w:szCs w:val="20"/>
        </w:rPr>
        <w:t>.</w:t>
      </w:r>
      <w:r w:rsidRPr="001710A0">
        <w:rPr>
          <w:rFonts w:cs="Calibri"/>
          <w:szCs w:val="20"/>
        </w:rPr>
        <w:t xml:space="preserve"> For a loss-less </w:t>
      </w:r>
      <w:r>
        <w:rPr>
          <w:rFonts w:cs="Calibri"/>
          <w:szCs w:val="20"/>
        </w:rPr>
        <w:t xml:space="preserve">(perfect) </w:t>
      </w:r>
      <w:r w:rsidRPr="001710A0">
        <w:rPr>
          <w:rFonts w:cs="Calibri"/>
          <w:szCs w:val="20"/>
        </w:rPr>
        <w:t>antenna this value is equal to unity</w:t>
      </w:r>
      <w:r>
        <w:rPr>
          <w:rFonts w:cs="Calibri"/>
          <w:szCs w:val="20"/>
        </w:rPr>
        <w:t>, however t</w:t>
      </w:r>
      <w:r w:rsidRPr="001710A0">
        <w:rPr>
          <w:rFonts w:cs="Calibri"/>
          <w:szCs w:val="20"/>
        </w:rPr>
        <w:t>he TIG of a real antenna will always be less than 1.</w:t>
      </w:r>
    </w:p>
    <w:p w14:paraId="16472851" w14:textId="77777777" w:rsidR="00E2436C" w:rsidRPr="0041050F" w:rsidRDefault="00E2436C" w:rsidP="00E2436C">
      <w:pPr>
        <w:spacing w:after="0"/>
        <w:rPr>
          <w:rFonts w:cs="Calibri"/>
          <w:szCs w:val="24"/>
        </w:rPr>
      </w:pPr>
      <m:oMathPara>
        <m:oMath>
          <m:r>
            <w:rPr>
              <w:rFonts w:ascii="Cambria Math" w:hAnsi="Cambria Math"/>
              <w:szCs w:val="24"/>
            </w:rPr>
            <m:t>TIG</m:t>
          </m:r>
          <m:r>
            <m:rPr>
              <m:sty m:val="p"/>
            </m:rPr>
            <w:rPr>
              <w:rFonts w:ascii="Cambria Math" w:hAnsi="Cambria Math"/>
              <w:szCs w:val="24"/>
            </w:rPr>
            <m:t>=</m:t>
          </m:r>
          <m:f>
            <m:fPr>
              <m:ctrlPr>
                <w:rPr>
                  <w:rFonts w:ascii="Cambria Math" w:eastAsia="Cambria Math" w:hAnsi="Cambria Math"/>
                  <w:szCs w:val="24"/>
                </w:rPr>
              </m:ctrlPr>
            </m:fPr>
            <m:num>
              <m:r>
                <m:rPr>
                  <m:sty m:val="p"/>
                </m:rPr>
                <w:rPr>
                  <w:rFonts w:ascii="Cambria Math" w:eastAsia="Cambria Math" w:hAnsi="Cambria Math"/>
                  <w:szCs w:val="24"/>
                </w:rPr>
                <m:t>1</m:t>
              </m:r>
            </m:num>
            <m:den>
              <m:r>
                <m:rPr>
                  <m:sty m:val="p"/>
                </m:rPr>
                <w:rPr>
                  <w:rFonts w:ascii="Cambria Math" w:eastAsia="Cambria Math" w:hAnsi="Cambria Math"/>
                  <w:szCs w:val="24"/>
                </w:rPr>
                <m:t>4</m:t>
              </m:r>
              <m:r>
                <w:rPr>
                  <w:rFonts w:ascii="Cambria Math" w:eastAsia="Cambria Math" w:hAnsi="Cambria Math"/>
                  <w:szCs w:val="24"/>
                </w:rPr>
                <m:t>π</m:t>
              </m:r>
            </m:den>
          </m:f>
          <m:nary>
            <m:naryPr>
              <m:limLoc m:val="undOvr"/>
              <m:ctrlPr>
                <w:rPr>
                  <w:rFonts w:ascii="Cambria Math" w:eastAsia="Cambria Math" w:hAnsi="Cambria Math"/>
                  <w:szCs w:val="24"/>
                </w:rPr>
              </m:ctrlPr>
            </m:naryPr>
            <m:sub>
              <m:r>
                <m:rPr>
                  <m:sty m:val="p"/>
                </m:rPr>
                <w:rPr>
                  <w:rFonts w:ascii="Cambria Math" w:eastAsia="Cambria Math" w:hAnsi="Cambria Math"/>
                  <w:szCs w:val="24"/>
                </w:rPr>
                <m:t>-</m:t>
              </m:r>
              <m:r>
                <w:rPr>
                  <w:rFonts w:ascii="Cambria Math" w:eastAsia="Cambria Math" w:hAnsi="Cambria Math"/>
                  <w:szCs w:val="24"/>
                </w:rPr>
                <m:t>π</m:t>
              </m:r>
            </m:sub>
            <m:sup>
              <m:r>
                <w:rPr>
                  <w:rFonts w:ascii="Cambria Math" w:eastAsia="Cambria Math" w:hAnsi="Cambria Math"/>
                  <w:szCs w:val="24"/>
                </w:rPr>
                <m:t>π</m:t>
              </m:r>
            </m:sup>
            <m:e>
              <m:nary>
                <m:naryPr>
                  <m:limLoc m:val="undOvr"/>
                  <m:ctrlPr>
                    <w:rPr>
                      <w:rFonts w:ascii="Cambria Math" w:eastAsia="Cambria Math" w:hAnsi="Cambria Math"/>
                      <w:szCs w:val="24"/>
                    </w:rPr>
                  </m:ctrlPr>
                </m:naryPr>
                <m:sub>
                  <m:r>
                    <m:rPr>
                      <m:sty m:val="p"/>
                    </m:rPr>
                    <w:rPr>
                      <w:rFonts w:ascii="Cambria Math" w:eastAsia="Cambria Math" w:hAnsi="Cambria Math"/>
                      <w:szCs w:val="24"/>
                    </w:rPr>
                    <m:t>0</m:t>
                  </m:r>
                </m:sub>
                <m:sup>
                  <m:r>
                    <w:rPr>
                      <w:rFonts w:ascii="Cambria Math" w:eastAsia="Cambria Math" w:hAnsi="Cambria Math"/>
                      <w:szCs w:val="24"/>
                    </w:rPr>
                    <m:t>π</m:t>
                  </m:r>
                </m:sup>
                <m:e>
                  <m:r>
                    <w:rPr>
                      <w:rFonts w:ascii="Cambria Math" w:eastAsia="Cambria Math" w:hAnsi="Cambria Math"/>
                      <w:szCs w:val="24"/>
                    </w:rPr>
                    <m:t>G</m:t>
                  </m:r>
                  <m:d>
                    <m:dPr>
                      <m:ctrlPr>
                        <w:rPr>
                          <w:rFonts w:ascii="Cambria Math" w:eastAsia="Cambria Math" w:hAnsi="Cambria Math"/>
                          <w:szCs w:val="24"/>
                        </w:rPr>
                      </m:ctrlPr>
                    </m:dPr>
                    <m:e>
                      <m:r>
                        <w:rPr>
                          <w:rFonts w:ascii="Cambria Math" w:hAnsi="Cambria Math"/>
                          <w:szCs w:val="24"/>
                        </w:rPr>
                        <m:t>θ</m:t>
                      </m:r>
                      <m:r>
                        <m:rPr>
                          <m:sty m:val="p"/>
                        </m:rPr>
                        <w:rPr>
                          <w:rFonts w:ascii="Cambria Math" w:hAnsi="Cambria Math"/>
                          <w:szCs w:val="24"/>
                        </w:rPr>
                        <m:t>,</m:t>
                      </m:r>
                      <m:r>
                        <w:rPr>
                          <w:rFonts w:ascii="Cambria Math" w:hAnsi="Cambria Math"/>
                          <w:szCs w:val="24"/>
                        </w:rPr>
                        <m:t>φ</m:t>
                      </m:r>
                      <m:ctrlPr>
                        <w:rPr>
                          <w:rFonts w:ascii="Cambria Math" w:hAnsi="Cambria Math"/>
                          <w:szCs w:val="24"/>
                        </w:rPr>
                      </m:ctrlPr>
                    </m:e>
                  </m:d>
                  <m:func>
                    <m:funcPr>
                      <m:ctrlPr>
                        <w:rPr>
                          <w:rFonts w:ascii="Cambria Math" w:hAnsi="Cambria Math"/>
                          <w:szCs w:val="24"/>
                        </w:rPr>
                      </m:ctrlPr>
                    </m:funcPr>
                    <m:fName>
                      <m:r>
                        <m:rPr>
                          <m:sty m:val="p"/>
                        </m:rPr>
                        <w:rPr>
                          <w:rFonts w:ascii="Cambria Math" w:hAnsi="Cambria Math"/>
                          <w:szCs w:val="24"/>
                        </w:rPr>
                        <m:t>sin</m:t>
                      </m:r>
                    </m:fName>
                    <m:e>
                      <m:d>
                        <m:dPr>
                          <m:ctrlPr>
                            <w:rPr>
                              <w:rFonts w:ascii="Cambria Math" w:hAnsi="Cambria Math"/>
                              <w:szCs w:val="24"/>
                            </w:rPr>
                          </m:ctrlPr>
                        </m:dPr>
                        <m:e>
                          <m:r>
                            <w:rPr>
                              <w:rFonts w:ascii="Cambria Math" w:hAnsi="Cambria Math"/>
                              <w:szCs w:val="24"/>
                            </w:rPr>
                            <m:t>θ</m:t>
                          </m:r>
                        </m:e>
                      </m:d>
                      <m:ctrlPr>
                        <w:rPr>
                          <w:rFonts w:ascii="Cambria Math" w:eastAsia="Cambria Math" w:hAnsi="Cambria Math"/>
                          <w:szCs w:val="24"/>
                        </w:rPr>
                      </m:ctrlPr>
                    </m:e>
                  </m:func>
                  <m:r>
                    <w:rPr>
                      <w:rFonts w:ascii="Cambria Math" w:hAnsi="Cambria Math"/>
                      <w:szCs w:val="24"/>
                    </w:rPr>
                    <m:t>dθdφ</m:t>
                  </m:r>
                </m:e>
              </m:nary>
            </m:e>
          </m:nary>
        </m:oMath>
      </m:oMathPara>
    </w:p>
    <w:p w14:paraId="02202CEE" w14:textId="77777777" w:rsidR="00E2436C" w:rsidRDefault="00E2436C" w:rsidP="00E2436C">
      <w:pPr>
        <w:spacing w:after="0"/>
        <w:rPr>
          <w:rFonts w:cs="Calibri"/>
          <w:szCs w:val="20"/>
        </w:rPr>
      </w:pPr>
      <w:r>
        <w:rPr>
          <w:rFonts w:cs="Calibri"/>
          <w:szCs w:val="20"/>
        </w:rPr>
        <w:t xml:space="preserve">Past practice – such as that carried out by TG 5/1 in the WRC-19 process – has been to scale the antenna patterns to ensure that the TIG figure is less than one, and thus correspond to real-life antennas. </w:t>
      </w:r>
    </w:p>
    <w:p w14:paraId="681B8BB3" w14:textId="77777777" w:rsidR="00E2436C" w:rsidRDefault="00E2436C" w:rsidP="00E2436C">
      <w:pPr>
        <w:spacing w:after="0"/>
        <w:rPr>
          <w:rFonts w:cs="Calibri"/>
          <w:szCs w:val="20"/>
        </w:rPr>
      </w:pPr>
      <w:r>
        <w:rPr>
          <w:rFonts w:cs="Calibri"/>
          <w:szCs w:val="20"/>
        </w:rPr>
        <w:t>However, the models in the studies of IMT – FSS UL coexistence in 6 GHz do not take this into account. The FSS antenna models used in the simulations in WP 5D are based on the parameters provided by ITU-R WP 4A and on the parameters in Appendix 30B. We have calculated the TIG of these antenna models and found that, in all cases, it is higher than one. The tables below show the results for the some of the satellite carriers specified by WP 4A (in 5D/734) and some Appendix 30B allotments for African countries.</w:t>
      </w:r>
    </w:p>
    <w:p w14:paraId="24D76FE4" w14:textId="77777777" w:rsidR="00E2436C" w:rsidRDefault="00E2436C" w:rsidP="00E2436C">
      <w:pPr>
        <w:spacing w:after="0"/>
        <w:rPr>
          <w:rFonts w:cs="Calibri"/>
          <w:szCs w:val="20"/>
        </w:rPr>
      </w:pPr>
    </w:p>
    <w:tbl>
      <w:tblPr>
        <w:tblStyle w:val="TableGrid3"/>
        <w:tblW w:w="5000" w:type="pct"/>
        <w:tblInd w:w="0" w:type="dxa"/>
        <w:tblCellMar>
          <w:top w:w="28" w:type="dxa"/>
          <w:left w:w="57" w:type="dxa"/>
          <w:bottom w:w="28" w:type="dxa"/>
          <w:right w:w="57" w:type="dxa"/>
        </w:tblCellMar>
        <w:tblLook w:val="04A0" w:firstRow="1" w:lastRow="0" w:firstColumn="1" w:lastColumn="0" w:noHBand="0" w:noVBand="1"/>
      </w:tblPr>
      <w:tblGrid>
        <w:gridCol w:w="1979"/>
        <w:gridCol w:w="1275"/>
        <w:gridCol w:w="1275"/>
        <w:gridCol w:w="1275"/>
        <w:gridCol w:w="1275"/>
        <w:gridCol w:w="1275"/>
        <w:gridCol w:w="1275"/>
      </w:tblGrid>
      <w:tr w:rsidR="00E2436C" w:rsidRPr="008D7BBA" w14:paraId="5444A1DA" w14:textId="77777777" w:rsidTr="00E6440A">
        <w:tc>
          <w:tcPr>
            <w:tcW w:w="1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EC4395" w14:textId="77777777" w:rsidR="00E2436C" w:rsidRPr="00910879" w:rsidRDefault="00E2436C" w:rsidP="00E6440A">
            <w:pPr>
              <w:pStyle w:val="Tablehead"/>
              <w:spacing w:before="0" w:after="0"/>
              <w:rPr>
                <w:sz w:val="18"/>
                <w:szCs w:val="18"/>
              </w:rPr>
            </w:pPr>
            <w:r w:rsidRPr="00910879">
              <w:rPr>
                <w:sz w:val="18"/>
                <w:szCs w:val="18"/>
              </w:rPr>
              <w:t>WP</w:t>
            </w:r>
            <w:r>
              <w:rPr>
                <w:sz w:val="18"/>
                <w:szCs w:val="18"/>
              </w:rPr>
              <w:t xml:space="preserve"> </w:t>
            </w:r>
            <w:r w:rsidRPr="00910879">
              <w:rPr>
                <w:sz w:val="18"/>
                <w:szCs w:val="18"/>
              </w:rPr>
              <w:t>4A Carrier</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E9AF74" w14:textId="77777777" w:rsidR="00E2436C" w:rsidRPr="00910879" w:rsidRDefault="00E2436C" w:rsidP="00E6440A">
            <w:pPr>
              <w:pStyle w:val="Tablehead"/>
              <w:spacing w:before="0" w:after="0"/>
              <w:rPr>
                <w:sz w:val="18"/>
                <w:szCs w:val="18"/>
              </w:rPr>
            </w:pPr>
            <w:r w:rsidRPr="00910879">
              <w:rPr>
                <w:sz w:val="18"/>
                <w:szCs w:val="18"/>
              </w:rPr>
              <w:t>1</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FCC696" w14:textId="77777777" w:rsidR="00E2436C" w:rsidRPr="00910879" w:rsidRDefault="00E2436C" w:rsidP="00E6440A">
            <w:pPr>
              <w:pStyle w:val="Tablehead"/>
              <w:spacing w:before="0" w:after="0"/>
              <w:rPr>
                <w:sz w:val="18"/>
                <w:szCs w:val="18"/>
              </w:rPr>
            </w:pPr>
            <w:r w:rsidRPr="00910879">
              <w:rPr>
                <w:sz w:val="18"/>
                <w:szCs w:val="18"/>
              </w:rPr>
              <w:t>2</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B5358" w14:textId="77777777" w:rsidR="00E2436C" w:rsidRPr="00910879" w:rsidRDefault="00E2436C" w:rsidP="00E6440A">
            <w:pPr>
              <w:pStyle w:val="Tablehead"/>
              <w:spacing w:before="0" w:after="0"/>
              <w:rPr>
                <w:sz w:val="18"/>
                <w:szCs w:val="18"/>
              </w:rPr>
            </w:pPr>
            <w:r w:rsidRPr="00910879">
              <w:rPr>
                <w:sz w:val="18"/>
                <w:szCs w:val="18"/>
              </w:rPr>
              <w:t>3</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990B31" w14:textId="77777777" w:rsidR="00E2436C" w:rsidRPr="00910879" w:rsidRDefault="00E2436C" w:rsidP="00E6440A">
            <w:pPr>
              <w:pStyle w:val="Tablehead"/>
              <w:spacing w:before="0" w:after="0"/>
              <w:rPr>
                <w:sz w:val="18"/>
                <w:szCs w:val="18"/>
              </w:rPr>
            </w:pPr>
            <w:r w:rsidRPr="00910879">
              <w:rPr>
                <w:sz w:val="18"/>
                <w:szCs w:val="18"/>
              </w:rPr>
              <w:t>7</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F47CB" w14:textId="77777777" w:rsidR="00E2436C" w:rsidRPr="00910879" w:rsidRDefault="00E2436C" w:rsidP="00E6440A">
            <w:pPr>
              <w:pStyle w:val="Tablehead"/>
              <w:spacing w:before="0" w:after="0"/>
              <w:rPr>
                <w:sz w:val="18"/>
                <w:szCs w:val="18"/>
              </w:rPr>
            </w:pPr>
            <w:r w:rsidRPr="00910879">
              <w:rPr>
                <w:sz w:val="18"/>
                <w:szCs w:val="18"/>
              </w:rPr>
              <w:t>8</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20D49" w14:textId="77777777" w:rsidR="00E2436C" w:rsidRPr="00910879" w:rsidRDefault="00E2436C" w:rsidP="00E6440A">
            <w:pPr>
              <w:pStyle w:val="Tablehead"/>
              <w:spacing w:before="0" w:after="0"/>
              <w:rPr>
                <w:sz w:val="18"/>
                <w:szCs w:val="18"/>
              </w:rPr>
            </w:pPr>
            <w:r w:rsidRPr="00910879">
              <w:rPr>
                <w:sz w:val="18"/>
                <w:szCs w:val="18"/>
              </w:rPr>
              <w:t>12</w:t>
            </w:r>
          </w:p>
        </w:tc>
      </w:tr>
      <w:tr w:rsidR="00E2436C" w:rsidRPr="008D7BBA" w14:paraId="373DCD78" w14:textId="77777777" w:rsidTr="00E6440A">
        <w:trPr>
          <w:trHeight w:val="454"/>
        </w:trPr>
        <w:tc>
          <w:tcPr>
            <w:tcW w:w="1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021D9B" w14:textId="77777777" w:rsidR="00E2436C" w:rsidRPr="00910879" w:rsidRDefault="00E2436C" w:rsidP="00E6440A">
            <w:pPr>
              <w:pStyle w:val="Tabletext"/>
              <w:spacing w:before="0" w:after="0"/>
              <w:jc w:val="center"/>
              <w:rPr>
                <w:sz w:val="18"/>
                <w:szCs w:val="18"/>
              </w:rPr>
            </w:pPr>
            <w:r w:rsidRPr="00910879">
              <w:rPr>
                <w:sz w:val="18"/>
                <w:szCs w:val="18"/>
              </w:rPr>
              <w:t>WP</w:t>
            </w:r>
            <w:r>
              <w:rPr>
                <w:sz w:val="18"/>
                <w:szCs w:val="18"/>
              </w:rPr>
              <w:t xml:space="preserve"> </w:t>
            </w:r>
            <w:r w:rsidRPr="00910879">
              <w:rPr>
                <w:sz w:val="18"/>
                <w:szCs w:val="18"/>
              </w:rPr>
              <w:t xml:space="preserve">4A </w:t>
            </w:r>
          </w:p>
          <w:p w14:paraId="3436B55A" w14:textId="77777777" w:rsidR="00E2436C" w:rsidRPr="00910879" w:rsidRDefault="00E2436C" w:rsidP="00E6440A">
            <w:pPr>
              <w:pStyle w:val="Tabletext"/>
              <w:spacing w:before="0" w:after="0"/>
              <w:jc w:val="center"/>
              <w:rPr>
                <w:sz w:val="18"/>
                <w:szCs w:val="18"/>
              </w:rPr>
            </w:pPr>
            <w:r w:rsidRPr="00910879">
              <w:rPr>
                <w:sz w:val="18"/>
                <w:szCs w:val="18"/>
              </w:rPr>
              <w:t xml:space="preserve">peak receive </w:t>
            </w:r>
            <w:r w:rsidRPr="00910879">
              <w:rPr>
                <w:sz w:val="18"/>
                <w:szCs w:val="18"/>
              </w:rPr>
              <w:br/>
              <w:t xml:space="preserve">antenna gain, </w:t>
            </w:r>
            <m:oMath>
              <m:sSub>
                <m:sSubPr>
                  <m:ctrlPr>
                    <w:rPr>
                      <w:rFonts w:ascii="Cambria Math" w:eastAsia="Cambria Math" w:hAnsi="Cambria Math"/>
                      <w:i/>
                      <w:sz w:val="18"/>
                      <w:szCs w:val="18"/>
                    </w:rPr>
                  </m:ctrlPr>
                </m:sSubPr>
                <m:e>
                  <m:r>
                    <w:rPr>
                      <w:rFonts w:ascii="Cambria Math" w:eastAsia="Cambria Math" w:hAnsi="Cambria Math"/>
                      <w:sz w:val="18"/>
                      <w:szCs w:val="18"/>
                    </w:rPr>
                    <m:t>G</m:t>
                  </m:r>
                </m:e>
                <m:sub>
                  <m:r>
                    <w:rPr>
                      <w:rFonts w:ascii="Cambria Math" w:eastAsia="Cambria Math" w:hAnsi="Cambria Math"/>
                      <w:sz w:val="18"/>
                      <w:szCs w:val="18"/>
                    </w:rPr>
                    <m:t>m</m:t>
                  </m:r>
                </m:sub>
              </m:sSub>
            </m:oMath>
            <w:r w:rsidRPr="00910879">
              <w:rPr>
                <w:sz w:val="18"/>
                <w:szCs w:val="18"/>
              </w:rPr>
              <w:t xml:space="preserve"> (dBi)</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D802B5" w14:textId="77777777" w:rsidR="00E2436C" w:rsidRPr="00910879" w:rsidRDefault="00E2436C" w:rsidP="00E6440A">
            <w:pPr>
              <w:pStyle w:val="Tabletext"/>
              <w:spacing w:before="0" w:after="0"/>
              <w:jc w:val="center"/>
              <w:rPr>
                <w:sz w:val="18"/>
                <w:szCs w:val="18"/>
              </w:rPr>
            </w:pPr>
            <w:r w:rsidRPr="00910879">
              <w:rPr>
                <w:sz w:val="18"/>
                <w:szCs w:val="18"/>
              </w:rPr>
              <w:t>22</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EC9865" w14:textId="77777777" w:rsidR="00E2436C" w:rsidRPr="00910879" w:rsidRDefault="00E2436C" w:rsidP="00E6440A">
            <w:pPr>
              <w:pStyle w:val="Tabletext"/>
              <w:spacing w:before="0" w:after="0"/>
              <w:jc w:val="center"/>
              <w:rPr>
                <w:sz w:val="18"/>
                <w:szCs w:val="18"/>
              </w:rPr>
            </w:pPr>
            <w:r w:rsidRPr="00910879">
              <w:rPr>
                <w:sz w:val="18"/>
                <w:szCs w:val="18"/>
              </w:rPr>
              <w:t>28</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9F2ED5" w14:textId="77777777" w:rsidR="00E2436C" w:rsidRPr="00910879" w:rsidRDefault="00E2436C" w:rsidP="00E6440A">
            <w:pPr>
              <w:pStyle w:val="Tabletext"/>
              <w:spacing w:before="0" w:after="0"/>
              <w:jc w:val="center"/>
              <w:rPr>
                <w:sz w:val="18"/>
                <w:szCs w:val="18"/>
              </w:rPr>
            </w:pPr>
            <w:r w:rsidRPr="00910879">
              <w:rPr>
                <w:sz w:val="18"/>
                <w:szCs w:val="18"/>
              </w:rPr>
              <w:t>32</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4A0E8" w14:textId="77777777" w:rsidR="00E2436C" w:rsidRPr="00910879" w:rsidRDefault="00E2436C" w:rsidP="00E6440A">
            <w:pPr>
              <w:pStyle w:val="Tabletext"/>
              <w:spacing w:before="0" w:after="0"/>
              <w:jc w:val="center"/>
              <w:rPr>
                <w:sz w:val="18"/>
                <w:szCs w:val="18"/>
              </w:rPr>
            </w:pPr>
            <w:r w:rsidRPr="00910879">
              <w:rPr>
                <w:sz w:val="18"/>
                <w:szCs w:val="18"/>
              </w:rPr>
              <w:t>22</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2DC41E" w14:textId="77777777" w:rsidR="00E2436C" w:rsidRPr="00910879" w:rsidRDefault="00E2436C" w:rsidP="00E6440A">
            <w:pPr>
              <w:pStyle w:val="Tabletext"/>
              <w:spacing w:before="0" w:after="0"/>
              <w:jc w:val="center"/>
              <w:rPr>
                <w:sz w:val="18"/>
                <w:szCs w:val="18"/>
              </w:rPr>
            </w:pPr>
            <w:r w:rsidRPr="00910879">
              <w:rPr>
                <w:sz w:val="18"/>
                <w:szCs w:val="18"/>
              </w:rPr>
              <w:t>32</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C97296" w14:textId="77777777" w:rsidR="00E2436C" w:rsidRPr="00910879" w:rsidRDefault="00E2436C" w:rsidP="00E6440A">
            <w:pPr>
              <w:pStyle w:val="Tabletext"/>
              <w:spacing w:before="0" w:after="0"/>
              <w:jc w:val="center"/>
              <w:rPr>
                <w:sz w:val="18"/>
                <w:szCs w:val="18"/>
              </w:rPr>
            </w:pPr>
            <w:r w:rsidRPr="00910879">
              <w:rPr>
                <w:sz w:val="18"/>
                <w:szCs w:val="18"/>
              </w:rPr>
              <w:t>20/36.4</w:t>
            </w:r>
          </w:p>
        </w:tc>
      </w:tr>
      <w:tr w:rsidR="00E2436C" w:rsidRPr="008D7BBA" w14:paraId="395AD5C8" w14:textId="77777777" w:rsidTr="00E6440A">
        <w:trPr>
          <w:trHeight w:val="20"/>
        </w:trPr>
        <w:tc>
          <w:tcPr>
            <w:tcW w:w="102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03A6D" w14:textId="77777777" w:rsidR="00E2436C" w:rsidRPr="00910879" w:rsidRDefault="00E2436C" w:rsidP="00E6440A">
            <w:pPr>
              <w:pStyle w:val="Tabletext"/>
              <w:spacing w:before="0" w:after="0"/>
              <w:jc w:val="center"/>
              <w:rPr>
                <w:sz w:val="18"/>
                <w:szCs w:val="18"/>
              </w:rPr>
            </w:pPr>
            <w:r w:rsidRPr="00910879">
              <w:rPr>
                <w:sz w:val="18"/>
                <w:szCs w:val="18"/>
              </w:rPr>
              <w:t>WP</w:t>
            </w:r>
            <w:r>
              <w:rPr>
                <w:sz w:val="18"/>
                <w:szCs w:val="18"/>
              </w:rPr>
              <w:t xml:space="preserve"> </w:t>
            </w:r>
            <w:r w:rsidRPr="00910879">
              <w:rPr>
                <w:sz w:val="18"/>
                <w:szCs w:val="18"/>
              </w:rPr>
              <w:t xml:space="preserve">4A </w:t>
            </w:r>
          </w:p>
          <w:p w14:paraId="78CE4C86" w14:textId="77777777" w:rsidR="00E2436C" w:rsidRPr="00910879" w:rsidRDefault="00E2436C" w:rsidP="00E6440A">
            <w:pPr>
              <w:pStyle w:val="Tabletext"/>
              <w:spacing w:before="0" w:after="0"/>
              <w:jc w:val="center"/>
              <w:rPr>
                <w:sz w:val="18"/>
                <w:szCs w:val="18"/>
              </w:rPr>
            </w:pPr>
            <w:r w:rsidRPr="00910879">
              <w:rPr>
                <w:sz w:val="18"/>
                <w:szCs w:val="18"/>
              </w:rPr>
              <w:t xml:space="preserve">receive antenna </w:t>
            </w:r>
            <w:r w:rsidRPr="00910879">
              <w:rPr>
                <w:sz w:val="18"/>
                <w:szCs w:val="18"/>
              </w:rPr>
              <w:br/>
              <w:t xml:space="preserve">gain pattern, </w:t>
            </w:r>
            <m:oMath>
              <m:r>
                <w:rPr>
                  <w:rFonts w:ascii="Cambria Math" w:eastAsia="Cambria Math" w:hAnsi="Cambria Math"/>
                  <w:sz w:val="18"/>
                  <w:szCs w:val="18"/>
                </w:rPr>
                <m:t>a</m:t>
              </m:r>
              <m:d>
                <m:dPr>
                  <m:ctrlPr>
                    <w:rPr>
                      <w:rFonts w:ascii="Cambria Math" w:eastAsia="Cambria Math" w:hAnsi="Cambria Math"/>
                      <w:i/>
                      <w:sz w:val="18"/>
                      <w:szCs w:val="18"/>
                    </w:rPr>
                  </m:ctrlPr>
                </m:dPr>
                <m:e>
                  <m:r>
                    <w:rPr>
                      <w:rFonts w:ascii="Cambria Math" w:eastAsia="Calibri" w:hAnsi="Cambria Math"/>
                      <w:sz w:val="18"/>
                      <w:szCs w:val="18"/>
                    </w:rPr>
                    <m:t>θ</m:t>
                  </m:r>
                  <m:r>
                    <m:rPr>
                      <m:sty m:val="p"/>
                    </m:rPr>
                    <w:rPr>
                      <w:rFonts w:ascii="Cambria Math" w:eastAsia="Calibri" w:hAnsi="Cambria Math"/>
                      <w:sz w:val="18"/>
                      <w:szCs w:val="18"/>
                    </w:rPr>
                    <m:t>,</m:t>
                  </m:r>
                  <m:r>
                    <w:rPr>
                      <w:rFonts w:ascii="Cambria Math" w:eastAsia="Calibri" w:hAnsi="Cambria Math"/>
                      <w:sz w:val="18"/>
                      <w:szCs w:val="18"/>
                    </w:rPr>
                    <m:t>φ</m:t>
                  </m:r>
                  <m:ctrlPr>
                    <w:rPr>
                      <w:rFonts w:ascii="Cambria Math" w:eastAsia="Calibri" w:hAnsi="Cambria Math"/>
                      <w:i/>
                      <w:sz w:val="18"/>
                      <w:szCs w:val="18"/>
                    </w:rPr>
                  </m:ctrlPr>
                </m:e>
              </m:d>
            </m:oMath>
          </w:p>
        </w:tc>
        <w:tc>
          <w:tcPr>
            <w:tcW w:w="3972" w:type="pct"/>
            <w:gridSpan w:val="6"/>
            <w:tcBorders>
              <w:top w:val="single" w:sz="4" w:space="0" w:color="auto"/>
              <w:left w:val="single" w:sz="4" w:space="0" w:color="auto"/>
              <w:bottom w:val="single" w:sz="4" w:space="0" w:color="auto"/>
              <w:right w:val="single" w:sz="4" w:space="0" w:color="auto"/>
            </w:tcBorders>
            <w:vAlign w:val="center"/>
            <w:hideMark/>
          </w:tcPr>
          <w:p w14:paraId="1D5AA439" w14:textId="77777777" w:rsidR="00E2436C" w:rsidRPr="00910879" w:rsidRDefault="00E2436C" w:rsidP="00E6440A">
            <w:pPr>
              <w:pStyle w:val="Tabletext"/>
              <w:spacing w:before="0" w:after="0"/>
              <w:jc w:val="center"/>
              <w:rPr>
                <w:sz w:val="18"/>
                <w:szCs w:val="18"/>
              </w:rPr>
            </w:pPr>
            <w:r w:rsidRPr="00910879">
              <w:rPr>
                <w:sz w:val="18"/>
                <w:szCs w:val="18"/>
              </w:rPr>
              <w:t>Recommendation ITU-R S.672-4</w:t>
            </w:r>
          </w:p>
        </w:tc>
      </w:tr>
      <w:tr w:rsidR="00E2436C" w:rsidRPr="009D3353" w14:paraId="3B9B21DE" w14:textId="77777777" w:rsidTr="00E6440A">
        <w:trPr>
          <w:trHeight w:val="20"/>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6CC82089" w14:textId="77777777" w:rsidR="00E2436C" w:rsidRPr="00910879" w:rsidRDefault="00E2436C" w:rsidP="00E6440A">
            <w:pPr>
              <w:pStyle w:val="Tabletext"/>
              <w:spacing w:before="0" w:after="0"/>
              <w:jc w:val="center"/>
              <w:rPr>
                <w:sz w:val="18"/>
                <w:szCs w:val="18"/>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54952187" w14:textId="77777777" w:rsidR="00E2436C" w:rsidRPr="00910879" w:rsidRDefault="00E2436C" w:rsidP="00E6440A">
            <w:pPr>
              <w:pStyle w:val="Tabletext"/>
              <w:spacing w:before="0" w:after="0"/>
              <w:jc w:val="center"/>
              <w:rPr>
                <w:sz w:val="18"/>
                <w:szCs w:val="18"/>
              </w:rPr>
            </w:pPr>
            <w:r w:rsidRPr="00910879">
              <w:rPr>
                <w:sz w:val="18"/>
                <w:szCs w:val="18"/>
              </w:rPr>
              <w:t>Global beam,</w:t>
            </w:r>
          </w:p>
          <w:p w14:paraId="78341853" w14:textId="77777777" w:rsidR="00E2436C" w:rsidRPr="00910879" w:rsidRDefault="00E2436C" w:rsidP="00E6440A">
            <w:pPr>
              <w:pStyle w:val="Tabletext"/>
              <w:spacing w:before="0" w:after="0"/>
              <w:jc w:val="center"/>
              <w:rPr>
                <w:sz w:val="18"/>
                <w:szCs w:val="18"/>
              </w:rPr>
            </w:pPr>
            <w:r w:rsidRPr="00910879">
              <w:rPr>
                <w:sz w:val="18"/>
                <w:szCs w:val="18"/>
              </w:rPr>
              <w:t>Single-feed, Circular,</w:t>
            </w:r>
          </w:p>
          <w:p w14:paraId="019611A8" w14:textId="77777777" w:rsidR="00E2436C" w:rsidRPr="00910879" w:rsidRDefault="00E2436C" w:rsidP="00E6440A">
            <w:pPr>
              <w:pStyle w:val="Tabletext"/>
              <w:spacing w:before="0" w:after="0"/>
              <w:jc w:val="center"/>
              <w:rPr>
                <w:sz w:val="18"/>
                <w:szCs w:val="18"/>
              </w:rPr>
            </w:pPr>
            <w:r w:rsidRPr="00910879">
              <w:rPr>
                <w:sz w:val="18"/>
                <w:szCs w:val="18"/>
              </w:rPr>
              <w:t>BW = 15</w:t>
            </w:r>
            <w:r w:rsidRPr="00910879">
              <w:rPr>
                <w:sz w:val="18"/>
                <w:szCs w:val="18"/>
              </w:rPr>
              <w:sym w:font="Symbol" w:char="F0B0"/>
            </w:r>
            <w:r w:rsidRPr="00910879">
              <w:rPr>
                <w:sz w:val="18"/>
                <w:szCs w:val="18"/>
              </w:rPr>
              <w:t>.</w:t>
            </w:r>
          </w:p>
        </w:tc>
        <w:tc>
          <w:tcPr>
            <w:tcW w:w="662" w:type="pct"/>
            <w:tcBorders>
              <w:top w:val="single" w:sz="4" w:space="0" w:color="auto"/>
              <w:left w:val="single" w:sz="4" w:space="0" w:color="auto"/>
              <w:bottom w:val="single" w:sz="4" w:space="0" w:color="auto"/>
              <w:right w:val="single" w:sz="4" w:space="0" w:color="auto"/>
            </w:tcBorders>
            <w:vAlign w:val="center"/>
            <w:hideMark/>
          </w:tcPr>
          <w:p w14:paraId="753003EA" w14:textId="77777777" w:rsidR="00E2436C" w:rsidRPr="00910879" w:rsidRDefault="00E2436C" w:rsidP="00E6440A">
            <w:pPr>
              <w:pStyle w:val="Tabletext"/>
              <w:spacing w:before="0" w:after="0"/>
              <w:jc w:val="center"/>
              <w:rPr>
                <w:sz w:val="18"/>
                <w:szCs w:val="18"/>
              </w:rPr>
            </w:pPr>
            <w:r w:rsidRPr="00910879">
              <w:rPr>
                <w:sz w:val="18"/>
                <w:szCs w:val="18"/>
              </w:rPr>
              <w:t>Hemi beam, Elliptical</w:t>
            </w:r>
            <w:r w:rsidRPr="00910879">
              <w:rPr>
                <w:sz w:val="18"/>
                <w:szCs w:val="18"/>
                <w:vertAlign w:val="superscript"/>
              </w:rPr>
              <w:t>(a)(b)</w:t>
            </w:r>
            <w:r w:rsidRPr="00910879">
              <w:rPr>
                <w:sz w:val="18"/>
                <w:szCs w:val="18"/>
              </w:rPr>
              <w:t>,</w:t>
            </w:r>
          </w:p>
          <w:p w14:paraId="4E131674" w14:textId="77777777" w:rsidR="00E2436C" w:rsidRPr="00910879" w:rsidRDefault="00E2436C" w:rsidP="00E6440A">
            <w:pPr>
              <w:pStyle w:val="Tabletext"/>
              <w:spacing w:before="0" w:after="0"/>
              <w:jc w:val="center"/>
              <w:rPr>
                <w:sz w:val="18"/>
                <w:szCs w:val="18"/>
              </w:rPr>
            </w:pPr>
            <w:r w:rsidRPr="00910879">
              <w:rPr>
                <w:sz w:val="18"/>
                <w:szCs w:val="18"/>
              </w:rPr>
              <w:t>BW: 6</w:t>
            </w:r>
            <w:r w:rsidRPr="00910879">
              <w:rPr>
                <w:sz w:val="18"/>
                <w:szCs w:val="18"/>
              </w:rPr>
              <w:sym w:font="Symbol" w:char="F0B0"/>
            </w:r>
            <w:r w:rsidRPr="00910879">
              <w:rPr>
                <w:sz w:val="18"/>
                <w:szCs w:val="18"/>
              </w:rPr>
              <w:sym w:font="Symbol" w:char="F0B4"/>
            </w:r>
            <w:r w:rsidRPr="00910879">
              <w:rPr>
                <w:sz w:val="18"/>
                <w:szCs w:val="18"/>
              </w:rPr>
              <w:t>7</w:t>
            </w:r>
            <w:r w:rsidRPr="00910879">
              <w:rPr>
                <w:sz w:val="18"/>
                <w:szCs w:val="18"/>
              </w:rPr>
              <w:sym w:font="Symbol" w:char="F0B0"/>
            </w:r>
            <w:r w:rsidRPr="00910879">
              <w:rPr>
                <w:sz w:val="18"/>
                <w:szCs w:val="18"/>
              </w:rPr>
              <w:t>.</w:t>
            </w:r>
          </w:p>
          <w:p w14:paraId="4D513B7A" w14:textId="77777777" w:rsidR="00E2436C" w:rsidRPr="00910879" w:rsidRDefault="00E2436C" w:rsidP="00E6440A">
            <w:pPr>
              <w:pStyle w:val="Tabletext"/>
              <w:spacing w:before="0" w:after="0"/>
              <w:jc w:val="center"/>
              <w:rPr>
                <w:sz w:val="18"/>
                <w:szCs w:val="18"/>
              </w:rPr>
            </w:pPr>
            <w:r w:rsidRPr="00910879">
              <w:rPr>
                <w:sz w:val="18"/>
                <w:szCs w:val="18"/>
              </w:rPr>
              <w:t>(a)(b)</w:t>
            </w:r>
          </w:p>
        </w:tc>
        <w:tc>
          <w:tcPr>
            <w:tcW w:w="662" w:type="pct"/>
            <w:tcBorders>
              <w:top w:val="single" w:sz="4" w:space="0" w:color="auto"/>
              <w:left w:val="single" w:sz="4" w:space="0" w:color="auto"/>
              <w:bottom w:val="single" w:sz="4" w:space="0" w:color="auto"/>
              <w:right w:val="single" w:sz="4" w:space="0" w:color="auto"/>
            </w:tcBorders>
            <w:vAlign w:val="center"/>
            <w:hideMark/>
          </w:tcPr>
          <w:p w14:paraId="4063A145" w14:textId="77777777" w:rsidR="00E2436C" w:rsidRPr="00910879" w:rsidRDefault="00E2436C" w:rsidP="00E6440A">
            <w:pPr>
              <w:pStyle w:val="Tabletext"/>
              <w:spacing w:before="0" w:after="0"/>
              <w:jc w:val="center"/>
              <w:rPr>
                <w:sz w:val="18"/>
                <w:szCs w:val="18"/>
              </w:rPr>
            </w:pPr>
            <w:r w:rsidRPr="00910879">
              <w:rPr>
                <w:sz w:val="18"/>
                <w:szCs w:val="18"/>
              </w:rPr>
              <w:t>Zone beam, Elliptical,</w:t>
            </w:r>
          </w:p>
          <w:p w14:paraId="492EA7C3" w14:textId="77777777" w:rsidR="00E2436C" w:rsidRPr="00910879" w:rsidRDefault="00E2436C" w:rsidP="00E6440A">
            <w:pPr>
              <w:pStyle w:val="Tabletext"/>
              <w:spacing w:before="0" w:after="0"/>
              <w:jc w:val="center"/>
              <w:rPr>
                <w:sz w:val="18"/>
                <w:szCs w:val="18"/>
              </w:rPr>
            </w:pPr>
            <w:r w:rsidRPr="00910879">
              <w:rPr>
                <w:sz w:val="18"/>
                <w:szCs w:val="18"/>
              </w:rPr>
              <w:t>BW: 3</w:t>
            </w:r>
            <w:r w:rsidRPr="00910879">
              <w:rPr>
                <w:sz w:val="18"/>
                <w:szCs w:val="18"/>
              </w:rPr>
              <w:sym w:font="Symbol" w:char="F0B0"/>
            </w:r>
            <w:r w:rsidRPr="00910879">
              <w:rPr>
                <w:sz w:val="18"/>
                <w:szCs w:val="18"/>
              </w:rPr>
              <w:sym w:font="Symbol" w:char="F0B4"/>
            </w:r>
            <w:r w:rsidRPr="00910879">
              <w:rPr>
                <w:sz w:val="18"/>
                <w:szCs w:val="18"/>
              </w:rPr>
              <w:t>7</w:t>
            </w:r>
            <w:r w:rsidRPr="00910879">
              <w:rPr>
                <w:sz w:val="18"/>
                <w:szCs w:val="18"/>
              </w:rPr>
              <w:sym w:font="Symbol" w:char="F0B0"/>
            </w:r>
            <w:r w:rsidRPr="00910879">
              <w:rPr>
                <w:sz w:val="18"/>
                <w:szCs w:val="18"/>
              </w:rPr>
              <w:t>.</w:t>
            </w:r>
            <w:r w:rsidRPr="00910879">
              <w:rPr>
                <w:sz w:val="18"/>
                <w:szCs w:val="18"/>
              </w:rPr>
              <w:br/>
              <w:t>(a)(c)</w:t>
            </w:r>
          </w:p>
        </w:tc>
        <w:tc>
          <w:tcPr>
            <w:tcW w:w="662" w:type="pct"/>
            <w:tcBorders>
              <w:top w:val="single" w:sz="4" w:space="0" w:color="auto"/>
              <w:left w:val="single" w:sz="4" w:space="0" w:color="auto"/>
              <w:bottom w:val="single" w:sz="4" w:space="0" w:color="auto"/>
              <w:right w:val="single" w:sz="4" w:space="0" w:color="auto"/>
            </w:tcBorders>
            <w:vAlign w:val="center"/>
            <w:hideMark/>
          </w:tcPr>
          <w:p w14:paraId="1DE6B98F" w14:textId="77777777" w:rsidR="00E2436C" w:rsidRPr="00910879" w:rsidRDefault="00E2436C" w:rsidP="00E6440A">
            <w:pPr>
              <w:pStyle w:val="Tabletext"/>
              <w:spacing w:before="0" w:after="0"/>
              <w:jc w:val="center"/>
              <w:rPr>
                <w:sz w:val="18"/>
                <w:szCs w:val="18"/>
                <w:lang w:val="fr-FR"/>
              </w:rPr>
            </w:pPr>
            <w:r w:rsidRPr="00910879">
              <w:rPr>
                <w:sz w:val="18"/>
                <w:szCs w:val="18"/>
                <w:lang w:val="fr-FR"/>
              </w:rPr>
              <w:t>Annex 1 Section 1.1,</w:t>
            </w:r>
          </w:p>
          <w:p w14:paraId="376974FF" w14:textId="77777777" w:rsidR="00E2436C" w:rsidRPr="00910879" w:rsidRDefault="00AF634C" w:rsidP="00E6440A">
            <w:pPr>
              <w:pStyle w:val="Tabletext"/>
              <w:spacing w:before="0" w:after="0"/>
              <w:jc w:val="center"/>
              <w:rPr>
                <w:sz w:val="18"/>
                <w:szCs w:val="18"/>
                <w:lang w:val="fr-FR"/>
              </w:rPr>
            </w:pPr>
            <m:oMath>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S</m:t>
                  </m:r>
                </m:sub>
              </m:sSub>
            </m:oMath>
            <w:r w:rsidR="00E2436C" w:rsidRPr="00910879">
              <w:rPr>
                <w:sz w:val="18"/>
                <w:szCs w:val="18"/>
                <w:lang w:val="fr-FR"/>
              </w:rPr>
              <w:t xml:space="preserve"> = -25,</w:t>
            </w:r>
          </w:p>
          <w:p w14:paraId="63BA3081" w14:textId="77777777" w:rsidR="00E2436C" w:rsidRPr="00910879" w:rsidRDefault="00E2436C" w:rsidP="00E6440A">
            <w:pPr>
              <w:pStyle w:val="Tabletext"/>
              <w:spacing w:before="0" w:after="0"/>
              <w:jc w:val="center"/>
              <w:rPr>
                <w:sz w:val="18"/>
                <w:szCs w:val="18"/>
                <w:lang w:val="fr-FR"/>
              </w:rPr>
            </w:pPr>
            <w:r w:rsidRPr="00910879">
              <w:rPr>
                <w:sz w:val="18"/>
                <w:szCs w:val="18"/>
                <w:lang w:val="fr-FR"/>
              </w:rPr>
              <w:t>BW: 14</w:t>
            </w:r>
            <w:r w:rsidRPr="00910879">
              <w:rPr>
                <w:sz w:val="18"/>
                <w:szCs w:val="18"/>
              </w:rPr>
              <w:sym w:font="Symbol" w:char="F0B0"/>
            </w:r>
            <w:r w:rsidRPr="00910879">
              <w:rPr>
                <w:sz w:val="18"/>
                <w:szCs w:val="18"/>
                <w:lang w:val="fr-FR"/>
              </w:rPr>
              <w:t>.</w:t>
            </w:r>
          </w:p>
        </w:tc>
        <w:tc>
          <w:tcPr>
            <w:tcW w:w="662" w:type="pct"/>
            <w:tcBorders>
              <w:top w:val="single" w:sz="4" w:space="0" w:color="auto"/>
              <w:left w:val="single" w:sz="4" w:space="0" w:color="auto"/>
              <w:bottom w:val="single" w:sz="4" w:space="0" w:color="auto"/>
              <w:right w:val="single" w:sz="4" w:space="0" w:color="auto"/>
            </w:tcBorders>
            <w:vAlign w:val="center"/>
            <w:hideMark/>
          </w:tcPr>
          <w:p w14:paraId="78E3A4D8" w14:textId="77777777" w:rsidR="00E2436C" w:rsidRPr="00910879" w:rsidRDefault="00E2436C" w:rsidP="00E6440A">
            <w:pPr>
              <w:pStyle w:val="Tabletext"/>
              <w:spacing w:before="0" w:after="0"/>
              <w:jc w:val="center"/>
              <w:rPr>
                <w:sz w:val="18"/>
                <w:szCs w:val="18"/>
                <w:lang w:val="fr-FR"/>
              </w:rPr>
            </w:pPr>
            <w:r w:rsidRPr="00910879">
              <w:rPr>
                <w:sz w:val="18"/>
                <w:szCs w:val="18"/>
                <w:lang w:val="fr-FR"/>
              </w:rPr>
              <w:t>Annex 1 Section 1.1,</w:t>
            </w:r>
          </w:p>
          <w:p w14:paraId="5037E675" w14:textId="77777777" w:rsidR="00E2436C" w:rsidRPr="00910879" w:rsidRDefault="00AF634C" w:rsidP="00E6440A">
            <w:pPr>
              <w:pStyle w:val="Tabletext"/>
              <w:spacing w:before="0" w:after="0"/>
              <w:jc w:val="center"/>
              <w:rPr>
                <w:sz w:val="18"/>
                <w:szCs w:val="18"/>
                <w:lang w:val="fr-FR"/>
              </w:rPr>
            </w:pPr>
            <m:oMath>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S</m:t>
                  </m:r>
                </m:sub>
              </m:sSub>
            </m:oMath>
            <w:r w:rsidR="00E2436C" w:rsidRPr="00910879">
              <w:rPr>
                <w:sz w:val="18"/>
                <w:szCs w:val="18"/>
                <w:lang w:val="fr-FR"/>
              </w:rPr>
              <w:t xml:space="preserve"> = -25,</w:t>
            </w:r>
          </w:p>
          <w:p w14:paraId="0B90F73D" w14:textId="77777777" w:rsidR="00E2436C" w:rsidRPr="00910879" w:rsidRDefault="00E2436C" w:rsidP="00E6440A">
            <w:pPr>
              <w:pStyle w:val="Tabletext"/>
              <w:spacing w:before="0" w:after="0"/>
              <w:jc w:val="center"/>
              <w:rPr>
                <w:sz w:val="18"/>
                <w:szCs w:val="18"/>
                <w:lang w:val="fr-FR"/>
              </w:rPr>
            </w:pPr>
            <w:r w:rsidRPr="00910879">
              <w:rPr>
                <w:sz w:val="18"/>
                <w:szCs w:val="18"/>
                <w:lang w:val="fr-FR"/>
              </w:rPr>
              <w:t>BW: 4.5</w:t>
            </w:r>
            <w:r w:rsidRPr="00910879">
              <w:rPr>
                <w:sz w:val="18"/>
                <w:szCs w:val="18"/>
              </w:rPr>
              <w:sym w:font="Symbol" w:char="F0B0"/>
            </w:r>
            <w:r w:rsidRPr="00910879">
              <w:rPr>
                <w:sz w:val="18"/>
                <w:szCs w:val="18"/>
                <w:lang w:val="fr-FR"/>
              </w:rPr>
              <w:t>.</w:t>
            </w:r>
          </w:p>
        </w:tc>
        <w:tc>
          <w:tcPr>
            <w:tcW w:w="662" w:type="pct"/>
            <w:tcBorders>
              <w:top w:val="single" w:sz="4" w:space="0" w:color="auto"/>
              <w:left w:val="single" w:sz="4" w:space="0" w:color="auto"/>
              <w:bottom w:val="single" w:sz="4" w:space="0" w:color="auto"/>
              <w:right w:val="single" w:sz="4" w:space="0" w:color="auto"/>
            </w:tcBorders>
            <w:vAlign w:val="center"/>
            <w:hideMark/>
          </w:tcPr>
          <w:p w14:paraId="5369A5BE" w14:textId="77777777" w:rsidR="00E2436C" w:rsidRPr="00910879" w:rsidRDefault="00E2436C" w:rsidP="00E6440A">
            <w:pPr>
              <w:pStyle w:val="Tabletext"/>
              <w:spacing w:before="0" w:after="0"/>
              <w:jc w:val="center"/>
              <w:rPr>
                <w:sz w:val="18"/>
                <w:szCs w:val="18"/>
                <w:lang w:val="fr-FR"/>
              </w:rPr>
            </w:pPr>
            <w:r w:rsidRPr="00910879">
              <w:rPr>
                <w:sz w:val="18"/>
                <w:szCs w:val="18"/>
                <w:lang w:val="fr-FR"/>
              </w:rPr>
              <w:t>Annex 1</w:t>
            </w:r>
          </w:p>
          <w:p w14:paraId="170847E9" w14:textId="77777777" w:rsidR="00E2436C" w:rsidRPr="00910879" w:rsidRDefault="00E2436C" w:rsidP="00E6440A">
            <w:pPr>
              <w:pStyle w:val="Tabletext"/>
              <w:spacing w:before="0" w:after="0"/>
              <w:jc w:val="center"/>
              <w:rPr>
                <w:sz w:val="18"/>
                <w:szCs w:val="18"/>
                <w:lang w:val="fr-FR"/>
              </w:rPr>
            </w:pPr>
            <w:r w:rsidRPr="00910879">
              <w:rPr>
                <w:sz w:val="18"/>
                <w:szCs w:val="18"/>
                <w:lang w:val="fr-FR"/>
              </w:rPr>
              <w:t>Section 1.1,</w:t>
            </w:r>
          </w:p>
          <w:p w14:paraId="33BB7FF9" w14:textId="77777777" w:rsidR="00E2436C" w:rsidRPr="00910879" w:rsidRDefault="00AF634C" w:rsidP="00E6440A">
            <w:pPr>
              <w:pStyle w:val="Tabletext"/>
              <w:spacing w:before="0" w:after="0"/>
              <w:jc w:val="center"/>
              <w:rPr>
                <w:sz w:val="18"/>
                <w:szCs w:val="18"/>
                <w:lang w:val="fr-FR"/>
              </w:rPr>
            </w:pPr>
            <m:oMath>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S</m:t>
                  </m:r>
                </m:sub>
              </m:sSub>
            </m:oMath>
            <w:r w:rsidR="00E2436C" w:rsidRPr="00910879">
              <w:rPr>
                <w:sz w:val="18"/>
                <w:szCs w:val="18"/>
                <w:lang w:val="fr-FR"/>
              </w:rPr>
              <w:t xml:space="preserve"> = -25,</w:t>
            </w:r>
          </w:p>
          <w:p w14:paraId="3B29547D" w14:textId="77777777" w:rsidR="00E2436C" w:rsidRPr="00910879" w:rsidRDefault="00E2436C" w:rsidP="00E6440A">
            <w:pPr>
              <w:pStyle w:val="Tabletext"/>
              <w:spacing w:before="0" w:after="0"/>
              <w:jc w:val="center"/>
              <w:rPr>
                <w:sz w:val="18"/>
                <w:szCs w:val="18"/>
                <w:lang w:val="fr-FR"/>
              </w:rPr>
            </w:pPr>
            <w:r w:rsidRPr="00910879">
              <w:rPr>
                <w:sz w:val="18"/>
                <w:szCs w:val="18"/>
                <w:lang w:val="fr-FR"/>
              </w:rPr>
              <w:t>BW: 17.7</w:t>
            </w:r>
            <w:r w:rsidRPr="00910879">
              <w:rPr>
                <w:sz w:val="18"/>
                <w:szCs w:val="18"/>
              </w:rPr>
              <w:sym w:font="Symbol" w:char="F0B0"/>
            </w:r>
            <w:r w:rsidRPr="00910879">
              <w:rPr>
                <w:sz w:val="18"/>
                <w:szCs w:val="18"/>
                <w:lang w:val="fr-FR"/>
              </w:rPr>
              <w:t>/2.6</w:t>
            </w:r>
            <w:r w:rsidRPr="00910879">
              <w:rPr>
                <w:sz w:val="18"/>
                <w:szCs w:val="18"/>
              </w:rPr>
              <w:sym w:font="Symbol" w:char="F0B0"/>
            </w:r>
            <w:r w:rsidRPr="00910879">
              <w:rPr>
                <w:sz w:val="18"/>
                <w:szCs w:val="18"/>
                <w:lang w:val="fr-FR"/>
              </w:rPr>
              <w:t>.</w:t>
            </w:r>
          </w:p>
        </w:tc>
      </w:tr>
      <w:tr w:rsidR="00E2436C" w:rsidRPr="002844A8" w14:paraId="35BDEADF" w14:textId="77777777" w:rsidTr="00E6440A">
        <w:trPr>
          <w:trHeight w:val="20"/>
        </w:trPr>
        <w:tc>
          <w:tcPr>
            <w:tcW w:w="1028" w:type="pct"/>
            <w:tcBorders>
              <w:top w:val="single" w:sz="4" w:space="0" w:color="auto"/>
              <w:left w:val="single" w:sz="4" w:space="0" w:color="auto"/>
              <w:bottom w:val="single" w:sz="4" w:space="0" w:color="auto"/>
              <w:right w:val="single" w:sz="4" w:space="0" w:color="auto"/>
            </w:tcBorders>
            <w:vAlign w:val="center"/>
          </w:tcPr>
          <w:p w14:paraId="496F0F0D" w14:textId="77777777" w:rsidR="00E2436C" w:rsidRPr="00910879" w:rsidRDefault="00E2436C" w:rsidP="00E6440A">
            <w:pPr>
              <w:pStyle w:val="Tabletext"/>
              <w:spacing w:before="0" w:after="0"/>
              <w:jc w:val="center"/>
              <w:rPr>
                <w:sz w:val="18"/>
                <w:szCs w:val="18"/>
              </w:rPr>
            </w:pPr>
            <w:r w:rsidRPr="00910879">
              <w:rPr>
                <w:sz w:val="18"/>
                <w:szCs w:val="18"/>
              </w:rPr>
              <w:t>TIG (dBi)</w:t>
            </w:r>
          </w:p>
        </w:tc>
        <w:tc>
          <w:tcPr>
            <w:tcW w:w="662" w:type="pct"/>
            <w:tcBorders>
              <w:top w:val="single" w:sz="4" w:space="0" w:color="auto"/>
              <w:left w:val="single" w:sz="4" w:space="0" w:color="auto"/>
              <w:bottom w:val="single" w:sz="4" w:space="0" w:color="auto"/>
              <w:right w:val="single" w:sz="4" w:space="0" w:color="auto"/>
            </w:tcBorders>
            <w:vAlign w:val="center"/>
          </w:tcPr>
          <w:p w14:paraId="44A1318D" w14:textId="77777777" w:rsidR="00E2436C" w:rsidRPr="00910879" w:rsidRDefault="00E2436C" w:rsidP="00E6440A">
            <w:pPr>
              <w:pStyle w:val="Tabletext"/>
              <w:spacing w:before="0" w:after="0"/>
              <w:jc w:val="center"/>
              <w:rPr>
                <w:sz w:val="18"/>
                <w:szCs w:val="18"/>
              </w:rPr>
            </w:pPr>
            <w:r w:rsidRPr="00910879">
              <w:rPr>
                <w:rFonts w:eastAsia="Cambria"/>
                <w:bCs/>
                <w:kern w:val="24"/>
                <w:sz w:val="18"/>
                <w:szCs w:val="18"/>
              </w:rPr>
              <w:t>+3.1</w:t>
            </w:r>
          </w:p>
        </w:tc>
        <w:tc>
          <w:tcPr>
            <w:tcW w:w="662" w:type="pct"/>
            <w:tcBorders>
              <w:top w:val="single" w:sz="4" w:space="0" w:color="auto"/>
              <w:left w:val="single" w:sz="4" w:space="0" w:color="auto"/>
              <w:bottom w:val="single" w:sz="4" w:space="0" w:color="auto"/>
              <w:right w:val="single" w:sz="4" w:space="0" w:color="auto"/>
            </w:tcBorders>
            <w:vAlign w:val="center"/>
          </w:tcPr>
          <w:p w14:paraId="76F6C12A" w14:textId="77777777" w:rsidR="00E2436C" w:rsidRPr="00910879" w:rsidRDefault="00E2436C" w:rsidP="00E6440A">
            <w:pPr>
              <w:pStyle w:val="Tabletext"/>
              <w:spacing w:before="0" w:after="0"/>
              <w:jc w:val="center"/>
              <w:rPr>
                <w:sz w:val="18"/>
                <w:szCs w:val="18"/>
              </w:rPr>
            </w:pPr>
            <w:r w:rsidRPr="00910879">
              <w:rPr>
                <w:rFonts w:eastAsia="Cambria"/>
                <w:kern w:val="24"/>
                <w:sz w:val="18"/>
                <w:szCs w:val="18"/>
              </w:rPr>
              <w:t>+2.5</w:t>
            </w:r>
          </w:p>
        </w:tc>
        <w:tc>
          <w:tcPr>
            <w:tcW w:w="662" w:type="pct"/>
            <w:tcBorders>
              <w:top w:val="single" w:sz="4" w:space="0" w:color="auto"/>
              <w:left w:val="single" w:sz="4" w:space="0" w:color="auto"/>
              <w:bottom w:val="single" w:sz="4" w:space="0" w:color="auto"/>
              <w:right w:val="single" w:sz="4" w:space="0" w:color="auto"/>
            </w:tcBorders>
            <w:vAlign w:val="center"/>
          </w:tcPr>
          <w:p w14:paraId="735D6B61" w14:textId="77777777" w:rsidR="00E2436C" w:rsidRPr="00910879" w:rsidRDefault="00E2436C" w:rsidP="00E6440A">
            <w:pPr>
              <w:pStyle w:val="Tabletext"/>
              <w:spacing w:before="0" w:after="0"/>
              <w:jc w:val="center"/>
              <w:rPr>
                <w:sz w:val="18"/>
                <w:szCs w:val="18"/>
              </w:rPr>
            </w:pPr>
            <w:r w:rsidRPr="00910879">
              <w:rPr>
                <w:rFonts w:eastAsia="Cambria"/>
                <w:kern w:val="24"/>
                <w:sz w:val="18"/>
                <w:szCs w:val="18"/>
              </w:rPr>
              <w:t>+3.0</w:t>
            </w:r>
          </w:p>
        </w:tc>
        <w:tc>
          <w:tcPr>
            <w:tcW w:w="662" w:type="pct"/>
            <w:tcBorders>
              <w:top w:val="single" w:sz="4" w:space="0" w:color="auto"/>
              <w:left w:val="single" w:sz="4" w:space="0" w:color="auto"/>
              <w:bottom w:val="single" w:sz="4" w:space="0" w:color="auto"/>
              <w:right w:val="single" w:sz="4" w:space="0" w:color="auto"/>
            </w:tcBorders>
            <w:vAlign w:val="center"/>
          </w:tcPr>
          <w:p w14:paraId="61ED63A5" w14:textId="77777777" w:rsidR="00E2436C" w:rsidRPr="00910879" w:rsidRDefault="00E2436C" w:rsidP="00E6440A">
            <w:pPr>
              <w:pStyle w:val="Tabletext"/>
              <w:spacing w:before="0" w:after="0"/>
              <w:jc w:val="center"/>
              <w:rPr>
                <w:sz w:val="18"/>
                <w:szCs w:val="18"/>
              </w:rPr>
            </w:pPr>
            <w:r w:rsidRPr="00910879">
              <w:rPr>
                <w:rFonts w:eastAsia="Cambria"/>
                <w:kern w:val="24"/>
                <w:sz w:val="18"/>
                <w:szCs w:val="18"/>
              </w:rPr>
              <w:t>+2.8</w:t>
            </w:r>
          </w:p>
        </w:tc>
        <w:tc>
          <w:tcPr>
            <w:tcW w:w="662" w:type="pct"/>
            <w:tcBorders>
              <w:top w:val="single" w:sz="4" w:space="0" w:color="auto"/>
              <w:left w:val="single" w:sz="4" w:space="0" w:color="auto"/>
              <w:bottom w:val="single" w:sz="4" w:space="0" w:color="auto"/>
              <w:right w:val="single" w:sz="4" w:space="0" w:color="auto"/>
            </w:tcBorders>
            <w:vAlign w:val="center"/>
          </w:tcPr>
          <w:p w14:paraId="6B149112" w14:textId="77777777" w:rsidR="00E2436C" w:rsidRPr="00910879" w:rsidRDefault="00E2436C" w:rsidP="00E6440A">
            <w:pPr>
              <w:pStyle w:val="Tabletext"/>
              <w:spacing w:before="0" w:after="0"/>
              <w:jc w:val="center"/>
              <w:rPr>
                <w:sz w:val="18"/>
                <w:szCs w:val="18"/>
              </w:rPr>
            </w:pPr>
            <w:r w:rsidRPr="00910879">
              <w:rPr>
                <w:rFonts w:eastAsia="Cambria"/>
                <w:bCs/>
                <w:kern w:val="24"/>
                <w:sz w:val="18"/>
                <w:szCs w:val="18"/>
              </w:rPr>
              <w:t>+2.9</w:t>
            </w:r>
          </w:p>
        </w:tc>
        <w:tc>
          <w:tcPr>
            <w:tcW w:w="662" w:type="pct"/>
            <w:tcBorders>
              <w:top w:val="single" w:sz="4" w:space="0" w:color="auto"/>
              <w:left w:val="single" w:sz="4" w:space="0" w:color="auto"/>
              <w:bottom w:val="single" w:sz="4" w:space="0" w:color="auto"/>
              <w:right w:val="single" w:sz="4" w:space="0" w:color="auto"/>
            </w:tcBorders>
            <w:vAlign w:val="center"/>
          </w:tcPr>
          <w:p w14:paraId="0F0E6178" w14:textId="77777777" w:rsidR="00E2436C" w:rsidRPr="00910879" w:rsidRDefault="00E2436C" w:rsidP="00E6440A">
            <w:pPr>
              <w:pStyle w:val="Tabletext"/>
              <w:spacing w:before="0" w:after="0"/>
              <w:jc w:val="center"/>
              <w:rPr>
                <w:sz w:val="18"/>
                <w:szCs w:val="18"/>
              </w:rPr>
            </w:pPr>
            <w:r w:rsidRPr="00910879">
              <w:rPr>
                <w:rFonts w:eastAsia="Cambria"/>
                <w:kern w:val="24"/>
                <w:sz w:val="18"/>
                <w:szCs w:val="18"/>
              </w:rPr>
              <w:t>+2.6/+2.9</w:t>
            </w:r>
          </w:p>
        </w:tc>
      </w:tr>
    </w:tbl>
    <w:p w14:paraId="564392C1" w14:textId="77777777" w:rsidR="00E2436C" w:rsidRDefault="00E2436C" w:rsidP="00E2436C">
      <w:pPr>
        <w:spacing w:after="0"/>
        <w:rPr>
          <w:rFonts w:cs="Calibri"/>
          <w:szCs w:val="20"/>
          <w:lang w:val="fr-FR"/>
        </w:rPr>
      </w:pPr>
    </w:p>
    <w:tbl>
      <w:tblPr>
        <w:tblStyle w:val="TableGrid"/>
        <w:tblW w:w="0" w:type="auto"/>
        <w:tblInd w:w="562" w:type="dxa"/>
        <w:tblLook w:val="04A0" w:firstRow="1" w:lastRow="0" w:firstColumn="1" w:lastColumn="0" w:noHBand="0" w:noVBand="1"/>
      </w:tblPr>
      <w:tblGrid>
        <w:gridCol w:w="1774"/>
        <w:gridCol w:w="1505"/>
        <w:gridCol w:w="1506"/>
        <w:gridCol w:w="1506"/>
        <w:gridCol w:w="1506"/>
      </w:tblGrid>
      <w:tr w:rsidR="00E2436C" w:rsidRPr="00011137" w14:paraId="2D2F593B" w14:textId="77777777" w:rsidTr="00E6440A">
        <w:trPr>
          <w:trHeight w:val="20"/>
        </w:trPr>
        <w:tc>
          <w:tcPr>
            <w:tcW w:w="1774" w:type="dxa"/>
            <w:shd w:val="clear" w:color="auto" w:fill="F2F2F2" w:themeFill="background1" w:themeFillShade="F2"/>
            <w:vAlign w:val="center"/>
          </w:tcPr>
          <w:p w14:paraId="7961E4B4" w14:textId="77777777" w:rsidR="00E2436C" w:rsidRPr="00011137" w:rsidRDefault="00E2436C" w:rsidP="00E6440A">
            <w:pPr>
              <w:spacing w:line="228" w:lineRule="auto"/>
              <w:jc w:val="center"/>
              <w:rPr>
                <w:color w:val="000000" w:themeColor="text1"/>
                <w:sz w:val="18"/>
                <w:szCs w:val="18"/>
              </w:rPr>
            </w:pPr>
            <w:r w:rsidRPr="00011137">
              <w:rPr>
                <w:sz w:val="18"/>
                <w:szCs w:val="18"/>
              </w:rPr>
              <w:t>AP</w:t>
            </w:r>
            <w:r w:rsidRPr="00011137">
              <w:rPr>
                <w:b/>
                <w:bCs/>
                <w:sz w:val="18"/>
                <w:szCs w:val="18"/>
              </w:rPr>
              <w:t>30B</w:t>
            </w:r>
            <w:r w:rsidRPr="00011137">
              <w:rPr>
                <w:color w:val="000000" w:themeColor="text1"/>
                <w:sz w:val="18"/>
                <w:szCs w:val="18"/>
              </w:rPr>
              <w:t xml:space="preserve"> allotment</w:t>
            </w:r>
          </w:p>
        </w:tc>
        <w:tc>
          <w:tcPr>
            <w:tcW w:w="1505" w:type="dxa"/>
            <w:shd w:val="clear" w:color="auto" w:fill="F2F2F2" w:themeFill="background1" w:themeFillShade="F2"/>
            <w:vAlign w:val="center"/>
          </w:tcPr>
          <w:p w14:paraId="3B8FD17D" w14:textId="77777777" w:rsidR="00E2436C" w:rsidRPr="00011137" w:rsidRDefault="00E2436C" w:rsidP="00E6440A">
            <w:pPr>
              <w:spacing w:line="228" w:lineRule="auto"/>
              <w:jc w:val="center"/>
              <w:rPr>
                <w:color w:val="000000" w:themeColor="text1"/>
                <w:sz w:val="18"/>
                <w:szCs w:val="18"/>
              </w:rPr>
            </w:pPr>
            <w:r w:rsidRPr="00011137">
              <w:rPr>
                <w:color w:val="000000" w:themeColor="text1"/>
                <w:sz w:val="18"/>
                <w:szCs w:val="18"/>
              </w:rPr>
              <w:t xml:space="preserve">Major axis beamwidth </w:t>
            </w: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φ</m:t>
                  </m:r>
                </m:e>
                <m:sub>
                  <m:r>
                    <w:rPr>
                      <w:rFonts w:ascii="Cambria Math" w:hAnsi="Cambria Math"/>
                      <w:color w:val="000000" w:themeColor="text1"/>
                      <w:sz w:val="18"/>
                      <w:szCs w:val="18"/>
                    </w:rPr>
                    <m:t>01</m:t>
                  </m:r>
                </m:sub>
              </m:sSub>
            </m:oMath>
            <w:r w:rsidRPr="00011137">
              <w:rPr>
                <w:color w:val="000000" w:themeColor="text1"/>
                <w:sz w:val="18"/>
                <w:szCs w:val="18"/>
              </w:rPr>
              <w:t xml:space="preserve"> (degrees)</w:t>
            </w:r>
          </w:p>
        </w:tc>
        <w:tc>
          <w:tcPr>
            <w:tcW w:w="1506" w:type="dxa"/>
            <w:shd w:val="clear" w:color="auto" w:fill="F2F2F2" w:themeFill="background1" w:themeFillShade="F2"/>
            <w:vAlign w:val="center"/>
          </w:tcPr>
          <w:p w14:paraId="17648B3E" w14:textId="77777777" w:rsidR="00E2436C" w:rsidRPr="00011137" w:rsidRDefault="00E2436C" w:rsidP="00E6440A">
            <w:pPr>
              <w:spacing w:line="228" w:lineRule="auto"/>
              <w:jc w:val="center"/>
              <w:rPr>
                <w:color w:val="000000" w:themeColor="text1"/>
                <w:sz w:val="18"/>
                <w:szCs w:val="18"/>
              </w:rPr>
            </w:pPr>
            <w:r w:rsidRPr="00011137">
              <w:rPr>
                <w:color w:val="000000" w:themeColor="text1"/>
                <w:sz w:val="18"/>
                <w:szCs w:val="18"/>
              </w:rPr>
              <w:t xml:space="preserve">Minor axis beamwidth </w:t>
            </w: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φ</m:t>
                  </m:r>
                </m:e>
                <m:sub>
                  <m:r>
                    <w:rPr>
                      <w:rFonts w:ascii="Cambria Math" w:hAnsi="Cambria Math"/>
                      <w:color w:val="000000" w:themeColor="text1"/>
                      <w:sz w:val="18"/>
                      <w:szCs w:val="18"/>
                    </w:rPr>
                    <m:t>02</m:t>
                  </m:r>
                </m:sub>
              </m:sSub>
            </m:oMath>
            <w:r w:rsidRPr="00011137">
              <w:rPr>
                <w:color w:val="000000" w:themeColor="text1"/>
                <w:sz w:val="18"/>
                <w:szCs w:val="18"/>
              </w:rPr>
              <w:t xml:space="preserve"> (degrees)</w:t>
            </w:r>
          </w:p>
        </w:tc>
        <w:tc>
          <w:tcPr>
            <w:tcW w:w="1506" w:type="dxa"/>
            <w:shd w:val="clear" w:color="auto" w:fill="F2F2F2" w:themeFill="background1" w:themeFillShade="F2"/>
            <w:vAlign w:val="center"/>
          </w:tcPr>
          <w:p w14:paraId="073E9368" w14:textId="77777777" w:rsidR="00E2436C" w:rsidRPr="00011137" w:rsidRDefault="00AF634C" w:rsidP="00E6440A">
            <w:pPr>
              <w:spacing w:line="228" w:lineRule="auto"/>
              <w:jc w:val="center"/>
              <w:rPr>
                <w:color w:val="000000" w:themeColor="text1"/>
                <w:sz w:val="18"/>
                <w:szCs w:val="18"/>
              </w:rPr>
            </w:pPr>
            <m:oMath>
              <m:sSub>
                <m:sSubPr>
                  <m:ctrlPr>
                    <w:rPr>
                      <w:rFonts w:ascii="Cambria Math" w:eastAsia="Cambria Math" w:hAnsi="Cambria Math"/>
                      <w:i/>
                      <w:sz w:val="18"/>
                      <w:szCs w:val="18"/>
                    </w:rPr>
                  </m:ctrlPr>
                </m:sSubPr>
                <m:e>
                  <m:r>
                    <w:rPr>
                      <w:rFonts w:ascii="Cambria Math" w:eastAsia="Cambria Math" w:hAnsi="Cambria Math"/>
                      <w:sz w:val="18"/>
                      <w:szCs w:val="18"/>
                    </w:rPr>
                    <m:t>G</m:t>
                  </m:r>
                </m:e>
                <m:sub>
                  <m:r>
                    <w:rPr>
                      <w:rFonts w:ascii="Cambria Math" w:eastAsia="Cambria Math" w:hAnsi="Cambria Math"/>
                      <w:sz w:val="18"/>
                      <w:szCs w:val="18"/>
                    </w:rPr>
                    <m:t>max</m:t>
                  </m:r>
                </m:sub>
              </m:sSub>
            </m:oMath>
            <w:r w:rsidR="00E2436C" w:rsidRPr="00011137">
              <w:rPr>
                <w:color w:val="000000" w:themeColor="text1"/>
                <w:sz w:val="18"/>
                <w:szCs w:val="18"/>
              </w:rPr>
              <w:t xml:space="preserve"> (dBi)</w:t>
            </w:r>
          </w:p>
        </w:tc>
        <w:tc>
          <w:tcPr>
            <w:tcW w:w="1506" w:type="dxa"/>
            <w:shd w:val="clear" w:color="auto" w:fill="F2F2F2" w:themeFill="background1" w:themeFillShade="F2"/>
          </w:tcPr>
          <w:p w14:paraId="06A9B402" w14:textId="77777777" w:rsidR="00E2436C" w:rsidRPr="00011137" w:rsidRDefault="00E2436C" w:rsidP="00E6440A">
            <w:pPr>
              <w:spacing w:line="228" w:lineRule="auto"/>
              <w:jc w:val="center"/>
              <w:rPr>
                <w:sz w:val="18"/>
                <w:szCs w:val="18"/>
              </w:rPr>
            </w:pPr>
            <w:r w:rsidRPr="00011137">
              <w:rPr>
                <w:sz w:val="18"/>
                <w:szCs w:val="18"/>
              </w:rPr>
              <w:t>TIG</w:t>
            </w:r>
          </w:p>
          <w:p w14:paraId="376B5F2F" w14:textId="77777777" w:rsidR="00E2436C" w:rsidRPr="00011137" w:rsidRDefault="00E2436C" w:rsidP="00E6440A">
            <w:pPr>
              <w:spacing w:line="228" w:lineRule="auto"/>
              <w:jc w:val="center"/>
              <w:rPr>
                <w:sz w:val="18"/>
                <w:szCs w:val="18"/>
              </w:rPr>
            </w:pPr>
            <w:r w:rsidRPr="00011137">
              <w:rPr>
                <w:sz w:val="18"/>
                <w:szCs w:val="18"/>
              </w:rPr>
              <w:t>(dBi)</w:t>
            </w:r>
          </w:p>
        </w:tc>
      </w:tr>
      <w:tr w:rsidR="00E2436C" w:rsidRPr="00011137" w14:paraId="52912FD3" w14:textId="77777777" w:rsidTr="00E6440A">
        <w:trPr>
          <w:trHeight w:val="20"/>
        </w:trPr>
        <w:tc>
          <w:tcPr>
            <w:tcW w:w="1774" w:type="dxa"/>
            <w:shd w:val="clear" w:color="auto" w:fill="F2F2F2" w:themeFill="background1" w:themeFillShade="F2"/>
            <w:vAlign w:val="center"/>
          </w:tcPr>
          <w:p w14:paraId="0C7EE708" w14:textId="77777777" w:rsidR="00E2436C" w:rsidRPr="00011137" w:rsidRDefault="00E2436C" w:rsidP="00E6440A">
            <w:pPr>
              <w:jc w:val="center"/>
              <w:rPr>
                <w:color w:val="000000" w:themeColor="text1"/>
                <w:sz w:val="18"/>
                <w:szCs w:val="18"/>
              </w:rPr>
            </w:pPr>
            <w:r w:rsidRPr="00011137">
              <w:rPr>
                <w:color w:val="000000" w:themeColor="text1"/>
                <w:sz w:val="18"/>
                <w:szCs w:val="18"/>
              </w:rPr>
              <w:t>BFA00000</w:t>
            </w:r>
          </w:p>
        </w:tc>
        <w:tc>
          <w:tcPr>
            <w:tcW w:w="1505" w:type="dxa"/>
            <w:shd w:val="clear" w:color="auto" w:fill="auto"/>
            <w:vAlign w:val="center"/>
          </w:tcPr>
          <w:p w14:paraId="7B71D307" w14:textId="77777777" w:rsidR="00E2436C" w:rsidRPr="00011137" w:rsidRDefault="00E2436C" w:rsidP="00E6440A">
            <w:pPr>
              <w:jc w:val="center"/>
              <w:rPr>
                <w:color w:val="000000" w:themeColor="text1"/>
                <w:sz w:val="18"/>
                <w:szCs w:val="18"/>
              </w:rPr>
            </w:pPr>
            <w:r w:rsidRPr="00011137">
              <w:rPr>
                <w:color w:val="000000" w:themeColor="text1"/>
                <w:sz w:val="18"/>
                <w:szCs w:val="18"/>
              </w:rPr>
              <w:t>1.7</w:t>
            </w:r>
          </w:p>
        </w:tc>
        <w:tc>
          <w:tcPr>
            <w:tcW w:w="1506" w:type="dxa"/>
            <w:shd w:val="clear" w:color="auto" w:fill="auto"/>
            <w:vAlign w:val="center"/>
          </w:tcPr>
          <w:p w14:paraId="58B9AB6D"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vAlign w:val="center"/>
          </w:tcPr>
          <w:p w14:paraId="65F26669" w14:textId="77777777" w:rsidR="00E2436C" w:rsidRPr="00011137" w:rsidRDefault="00E2436C" w:rsidP="00E6440A">
            <w:pPr>
              <w:jc w:val="center"/>
              <w:rPr>
                <w:color w:val="000000" w:themeColor="text1"/>
                <w:sz w:val="18"/>
                <w:szCs w:val="18"/>
              </w:rPr>
            </w:pPr>
            <w:r w:rsidRPr="00011137">
              <w:rPr>
                <w:color w:val="000000" w:themeColor="text1"/>
                <w:sz w:val="18"/>
                <w:szCs w:val="18"/>
              </w:rPr>
              <w:t>40.1</w:t>
            </w:r>
          </w:p>
        </w:tc>
        <w:tc>
          <w:tcPr>
            <w:tcW w:w="1506" w:type="dxa"/>
            <w:vAlign w:val="center"/>
          </w:tcPr>
          <w:p w14:paraId="1F4FC6FA" w14:textId="77777777" w:rsidR="00E2436C" w:rsidRPr="00011137" w:rsidRDefault="00E2436C" w:rsidP="00E6440A">
            <w:pPr>
              <w:jc w:val="center"/>
              <w:rPr>
                <w:sz w:val="18"/>
                <w:szCs w:val="18"/>
              </w:rPr>
            </w:pPr>
            <w:r>
              <w:rPr>
                <w:color w:val="000000"/>
                <w:sz w:val="18"/>
                <w:szCs w:val="18"/>
              </w:rPr>
              <w:t>+</w:t>
            </w:r>
            <w:r w:rsidRPr="00011137">
              <w:rPr>
                <w:color w:val="000000"/>
                <w:sz w:val="18"/>
                <w:szCs w:val="18"/>
              </w:rPr>
              <w:t>2.5</w:t>
            </w:r>
          </w:p>
        </w:tc>
      </w:tr>
      <w:tr w:rsidR="00E2436C" w:rsidRPr="00011137" w14:paraId="46AEB80A" w14:textId="77777777" w:rsidTr="00E6440A">
        <w:trPr>
          <w:trHeight w:val="20"/>
        </w:trPr>
        <w:tc>
          <w:tcPr>
            <w:tcW w:w="1774" w:type="dxa"/>
            <w:shd w:val="clear" w:color="auto" w:fill="F2F2F2" w:themeFill="background1" w:themeFillShade="F2"/>
            <w:vAlign w:val="center"/>
          </w:tcPr>
          <w:p w14:paraId="26E484AD" w14:textId="77777777" w:rsidR="00E2436C" w:rsidRPr="00011137" w:rsidRDefault="00E2436C" w:rsidP="00E6440A">
            <w:pPr>
              <w:jc w:val="center"/>
              <w:rPr>
                <w:color w:val="000000" w:themeColor="text1"/>
                <w:sz w:val="18"/>
                <w:szCs w:val="18"/>
              </w:rPr>
            </w:pPr>
            <w:r w:rsidRPr="00011137">
              <w:rPr>
                <w:color w:val="000000" w:themeColor="text1"/>
                <w:sz w:val="18"/>
                <w:szCs w:val="18"/>
              </w:rPr>
              <w:t>CTI00000</w:t>
            </w:r>
          </w:p>
        </w:tc>
        <w:tc>
          <w:tcPr>
            <w:tcW w:w="1505" w:type="dxa"/>
            <w:shd w:val="clear" w:color="auto" w:fill="auto"/>
            <w:vAlign w:val="center"/>
          </w:tcPr>
          <w:p w14:paraId="27C29E37"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vAlign w:val="center"/>
          </w:tcPr>
          <w:p w14:paraId="703C74C0"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vAlign w:val="center"/>
          </w:tcPr>
          <w:p w14:paraId="5A57E29C" w14:textId="77777777" w:rsidR="00E2436C" w:rsidRPr="00011137" w:rsidRDefault="00E2436C" w:rsidP="00E6440A">
            <w:pPr>
              <w:jc w:val="center"/>
              <w:rPr>
                <w:color w:val="000000" w:themeColor="text1"/>
                <w:sz w:val="18"/>
                <w:szCs w:val="18"/>
              </w:rPr>
            </w:pPr>
            <w:r w:rsidRPr="00011137">
              <w:rPr>
                <w:color w:val="000000" w:themeColor="text1"/>
                <w:sz w:val="18"/>
                <w:szCs w:val="18"/>
              </w:rPr>
              <w:t>40.4</w:t>
            </w:r>
          </w:p>
        </w:tc>
        <w:tc>
          <w:tcPr>
            <w:tcW w:w="1506" w:type="dxa"/>
            <w:vAlign w:val="center"/>
          </w:tcPr>
          <w:p w14:paraId="789D540F" w14:textId="77777777" w:rsidR="00E2436C" w:rsidRPr="00011137" w:rsidRDefault="00E2436C" w:rsidP="00E6440A">
            <w:pPr>
              <w:jc w:val="center"/>
              <w:rPr>
                <w:sz w:val="18"/>
                <w:szCs w:val="18"/>
              </w:rPr>
            </w:pPr>
            <w:r>
              <w:rPr>
                <w:color w:val="000000"/>
                <w:sz w:val="18"/>
                <w:szCs w:val="18"/>
              </w:rPr>
              <w:t>+</w:t>
            </w:r>
            <w:r w:rsidRPr="00011137">
              <w:rPr>
                <w:color w:val="000000"/>
                <w:sz w:val="18"/>
                <w:szCs w:val="18"/>
              </w:rPr>
              <w:t>2.6</w:t>
            </w:r>
          </w:p>
        </w:tc>
      </w:tr>
      <w:tr w:rsidR="00E2436C" w:rsidRPr="00011137" w14:paraId="460E7B9D" w14:textId="77777777" w:rsidTr="00E6440A">
        <w:trPr>
          <w:trHeight w:val="20"/>
        </w:trPr>
        <w:tc>
          <w:tcPr>
            <w:tcW w:w="1774" w:type="dxa"/>
            <w:shd w:val="clear" w:color="auto" w:fill="F2F2F2" w:themeFill="background1" w:themeFillShade="F2"/>
            <w:vAlign w:val="center"/>
          </w:tcPr>
          <w:p w14:paraId="37D72363" w14:textId="77777777" w:rsidR="00E2436C" w:rsidRPr="00011137" w:rsidRDefault="00E2436C" w:rsidP="00E6440A">
            <w:pPr>
              <w:jc w:val="center"/>
              <w:rPr>
                <w:color w:val="000000" w:themeColor="text1"/>
                <w:sz w:val="18"/>
                <w:szCs w:val="18"/>
              </w:rPr>
            </w:pPr>
            <w:r w:rsidRPr="00011137">
              <w:rPr>
                <w:color w:val="000000" w:themeColor="text1"/>
                <w:sz w:val="18"/>
                <w:szCs w:val="18"/>
              </w:rPr>
              <w:t>GHA00000</w:t>
            </w:r>
          </w:p>
        </w:tc>
        <w:tc>
          <w:tcPr>
            <w:tcW w:w="1505" w:type="dxa"/>
            <w:shd w:val="clear" w:color="auto" w:fill="auto"/>
          </w:tcPr>
          <w:p w14:paraId="537558F1"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tcPr>
          <w:p w14:paraId="57E1F66F"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tcPr>
          <w:p w14:paraId="12B7D4D9" w14:textId="77777777" w:rsidR="00E2436C" w:rsidRPr="00011137" w:rsidRDefault="00E2436C" w:rsidP="00E6440A">
            <w:pPr>
              <w:jc w:val="center"/>
              <w:rPr>
                <w:color w:val="000000" w:themeColor="text1"/>
                <w:sz w:val="18"/>
                <w:szCs w:val="18"/>
              </w:rPr>
            </w:pPr>
            <w:r w:rsidRPr="00011137">
              <w:rPr>
                <w:color w:val="000000" w:themeColor="text1"/>
                <w:sz w:val="18"/>
                <w:szCs w:val="18"/>
              </w:rPr>
              <w:t>40.4</w:t>
            </w:r>
          </w:p>
        </w:tc>
        <w:tc>
          <w:tcPr>
            <w:tcW w:w="1506" w:type="dxa"/>
            <w:vAlign w:val="center"/>
          </w:tcPr>
          <w:p w14:paraId="316D381D" w14:textId="77777777" w:rsidR="00E2436C" w:rsidRPr="00011137" w:rsidRDefault="00E2436C" w:rsidP="00E6440A">
            <w:pPr>
              <w:jc w:val="center"/>
              <w:rPr>
                <w:sz w:val="18"/>
                <w:szCs w:val="18"/>
              </w:rPr>
            </w:pPr>
            <w:r>
              <w:rPr>
                <w:color w:val="000000"/>
                <w:sz w:val="18"/>
                <w:szCs w:val="18"/>
              </w:rPr>
              <w:t>+</w:t>
            </w:r>
            <w:r w:rsidRPr="00011137">
              <w:rPr>
                <w:color w:val="000000"/>
                <w:sz w:val="18"/>
                <w:szCs w:val="18"/>
              </w:rPr>
              <w:t>2.6</w:t>
            </w:r>
          </w:p>
        </w:tc>
      </w:tr>
      <w:tr w:rsidR="00E2436C" w:rsidRPr="00011137" w14:paraId="0094AD32" w14:textId="77777777" w:rsidTr="00E6440A">
        <w:trPr>
          <w:trHeight w:val="20"/>
        </w:trPr>
        <w:tc>
          <w:tcPr>
            <w:tcW w:w="1774" w:type="dxa"/>
            <w:shd w:val="clear" w:color="auto" w:fill="F2F2F2" w:themeFill="background1" w:themeFillShade="F2"/>
            <w:vAlign w:val="center"/>
          </w:tcPr>
          <w:p w14:paraId="34A91006" w14:textId="77777777" w:rsidR="00E2436C" w:rsidRPr="00011137" w:rsidRDefault="00E2436C" w:rsidP="00E6440A">
            <w:pPr>
              <w:jc w:val="center"/>
              <w:rPr>
                <w:color w:val="000000" w:themeColor="text1"/>
                <w:sz w:val="18"/>
                <w:szCs w:val="18"/>
              </w:rPr>
            </w:pPr>
            <w:r w:rsidRPr="00011137">
              <w:rPr>
                <w:color w:val="000000" w:themeColor="text1"/>
                <w:sz w:val="18"/>
                <w:szCs w:val="18"/>
              </w:rPr>
              <w:t>GUI00000</w:t>
            </w:r>
          </w:p>
        </w:tc>
        <w:tc>
          <w:tcPr>
            <w:tcW w:w="1505" w:type="dxa"/>
            <w:shd w:val="clear" w:color="auto" w:fill="auto"/>
          </w:tcPr>
          <w:p w14:paraId="54D895CA"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tcPr>
          <w:p w14:paraId="13F73788"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tcPr>
          <w:p w14:paraId="0E1A2B62" w14:textId="77777777" w:rsidR="00E2436C" w:rsidRPr="00011137" w:rsidRDefault="00E2436C" w:rsidP="00E6440A">
            <w:pPr>
              <w:jc w:val="center"/>
              <w:rPr>
                <w:color w:val="000000" w:themeColor="text1"/>
                <w:sz w:val="18"/>
                <w:szCs w:val="18"/>
              </w:rPr>
            </w:pPr>
            <w:r w:rsidRPr="00011137">
              <w:rPr>
                <w:color w:val="000000" w:themeColor="text1"/>
                <w:sz w:val="18"/>
                <w:szCs w:val="18"/>
              </w:rPr>
              <w:t>40.4</w:t>
            </w:r>
          </w:p>
        </w:tc>
        <w:tc>
          <w:tcPr>
            <w:tcW w:w="1506" w:type="dxa"/>
            <w:vAlign w:val="center"/>
          </w:tcPr>
          <w:p w14:paraId="1CFF1350" w14:textId="77777777" w:rsidR="00E2436C" w:rsidRPr="00011137" w:rsidRDefault="00E2436C" w:rsidP="00E6440A">
            <w:pPr>
              <w:jc w:val="center"/>
              <w:rPr>
                <w:sz w:val="18"/>
                <w:szCs w:val="18"/>
              </w:rPr>
            </w:pPr>
            <w:r>
              <w:rPr>
                <w:color w:val="000000"/>
                <w:sz w:val="18"/>
                <w:szCs w:val="18"/>
              </w:rPr>
              <w:t>+</w:t>
            </w:r>
            <w:r w:rsidRPr="00011137">
              <w:rPr>
                <w:color w:val="000000"/>
                <w:sz w:val="18"/>
                <w:szCs w:val="18"/>
              </w:rPr>
              <w:t>2.6</w:t>
            </w:r>
          </w:p>
        </w:tc>
      </w:tr>
      <w:tr w:rsidR="00E2436C" w:rsidRPr="00011137" w14:paraId="1330D063" w14:textId="77777777" w:rsidTr="00E6440A">
        <w:trPr>
          <w:trHeight w:val="20"/>
        </w:trPr>
        <w:tc>
          <w:tcPr>
            <w:tcW w:w="1774" w:type="dxa"/>
            <w:shd w:val="clear" w:color="auto" w:fill="F2F2F2" w:themeFill="background1" w:themeFillShade="F2"/>
            <w:vAlign w:val="center"/>
          </w:tcPr>
          <w:p w14:paraId="62C5156D" w14:textId="77777777" w:rsidR="00E2436C" w:rsidRPr="00011137" w:rsidRDefault="00E2436C" w:rsidP="00E6440A">
            <w:pPr>
              <w:jc w:val="center"/>
              <w:rPr>
                <w:color w:val="000000" w:themeColor="text1"/>
                <w:sz w:val="18"/>
                <w:szCs w:val="18"/>
              </w:rPr>
            </w:pPr>
            <w:r w:rsidRPr="00011137">
              <w:rPr>
                <w:color w:val="000000" w:themeColor="text1"/>
                <w:sz w:val="18"/>
                <w:szCs w:val="18"/>
              </w:rPr>
              <w:t>MLI00000</w:t>
            </w:r>
          </w:p>
        </w:tc>
        <w:tc>
          <w:tcPr>
            <w:tcW w:w="1505" w:type="dxa"/>
            <w:shd w:val="clear" w:color="auto" w:fill="auto"/>
            <w:vAlign w:val="center"/>
          </w:tcPr>
          <w:p w14:paraId="3DD3F4A1" w14:textId="77777777" w:rsidR="00E2436C" w:rsidRPr="00011137" w:rsidRDefault="00E2436C" w:rsidP="00E6440A">
            <w:pPr>
              <w:jc w:val="center"/>
              <w:rPr>
                <w:color w:val="000000" w:themeColor="text1"/>
                <w:sz w:val="18"/>
                <w:szCs w:val="18"/>
              </w:rPr>
            </w:pPr>
            <w:r w:rsidRPr="00011137">
              <w:rPr>
                <w:color w:val="000000" w:themeColor="text1"/>
                <w:sz w:val="18"/>
                <w:szCs w:val="18"/>
              </w:rPr>
              <w:t>3.3</w:t>
            </w:r>
          </w:p>
        </w:tc>
        <w:tc>
          <w:tcPr>
            <w:tcW w:w="1506" w:type="dxa"/>
            <w:shd w:val="clear" w:color="auto" w:fill="auto"/>
            <w:vAlign w:val="center"/>
          </w:tcPr>
          <w:p w14:paraId="075C975D" w14:textId="77777777" w:rsidR="00E2436C" w:rsidRPr="00011137" w:rsidRDefault="00E2436C" w:rsidP="00E6440A">
            <w:pPr>
              <w:jc w:val="center"/>
              <w:rPr>
                <w:color w:val="000000" w:themeColor="text1"/>
                <w:sz w:val="18"/>
                <w:szCs w:val="18"/>
              </w:rPr>
            </w:pPr>
            <w:r w:rsidRPr="00011137">
              <w:rPr>
                <w:color w:val="000000" w:themeColor="text1"/>
                <w:sz w:val="18"/>
                <w:szCs w:val="18"/>
              </w:rPr>
              <w:t>2.5</w:t>
            </w:r>
          </w:p>
        </w:tc>
        <w:tc>
          <w:tcPr>
            <w:tcW w:w="1506" w:type="dxa"/>
            <w:shd w:val="clear" w:color="auto" w:fill="auto"/>
            <w:vAlign w:val="center"/>
          </w:tcPr>
          <w:p w14:paraId="06277A38" w14:textId="77777777" w:rsidR="00E2436C" w:rsidRPr="00011137" w:rsidRDefault="00E2436C" w:rsidP="00E6440A">
            <w:pPr>
              <w:jc w:val="center"/>
              <w:rPr>
                <w:color w:val="000000" w:themeColor="text1"/>
                <w:sz w:val="18"/>
                <w:szCs w:val="18"/>
              </w:rPr>
            </w:pPr>
            <w:r w:rsidRPr="00011137">
              <w:rPr>
                <w:color w:val="000000" w:themeColor="text1"/>
                <w:sz w:val="18"/>
                <w:szCs w:val="18"/>
              </w:rPr>
              <w:t>35.3</w:t>
            </w:r>
          </w:p>
        </w:tc>
        <w:tc>
          <w:tcPr>
            <w:tcW w:w="1506" w:type="dxa"/>
            <w:vAlign w:val="center"/>
          </w:tcPr>
          <w:p w14:paraId="338868FF" w14:textId="77777777" w:rsidR="00E2436C" w:rsidRPr="00011137" w:rsidRDefault="00E2436C" w:rsidP="00E6440A">
            <w:pPr>
              <w:jc w:val="center"/>
              <w:rPr>
                <w:sz w:val="18"/>
                <w:szCs w:val="18"/>
              </w:rPr>
            </w:pPr>
            <w:r>
              <w:rPr>
                <w:color w:val="000000"/>
                <w:sz w:val="18"/>
                <w:szCs w:val="18"/>
              </w:rPr>
              <w:t>+</w:t>
            </w:r>
            <w:r w:rsidRPr="00011137">
              <w:rPr>
                <w:color w:val="000000"/>
                <w:sz w:val="18"/>
                <w:szCs w:val="18"/>
              </w:rPr>
              <w:t>2</w:t>
            </w:r>
          </w:p>
        </w:tc>
      </w:tr>
      <w:tr w:rsidR="00E2436C" w:rsidRPr="00011137" w14:paraId="7E1C3B7A" w14:textId="77777777" w:rsidTr="00E6440A">
        <w:trPr>
          <w:trHeight w:val="20"/>
        </w:trPr>
        <w:tc>
          <w:tcPr>
            <w:tcW w:w="1774" w:type="dxa"/>
            <w:shd w:val="clear" w:color="auto" w:fill="F2F2F2" w:themeFill="background1" w:themeFillShade="F2"/>
            <w:vAlign w:val="center"/>
          </w:tcPr>
          <w:p w14:paraId="52B71FF5" w14:textId="77777777" w:rsidR="00E2436C" w:rsidRPr="00011137" w:rsidRDefault="00E2436C" w:rsidP="00E6440A">
            <w:pPr>
              <w:jc w:val="center"/>
              <w:rPr>
                <w:color w:val="000000" w:themeColor="text1"/>
                <w:sz w:val="18"/>
                <w:szCs w:val="18"/>
              </w:rPr>
            </w:pPr>
            <w:r w:rsidRPr="00011137">
              <w:rPr>
                <w:color w:val="000000" w:themeColor="text1"/>
                <w:sz w:val="18"/>
                <w:szCs w:val="18"/>
              </w:rPr>
              <w:t>NGR00000</w:t>
            </w:r>
          </w:p>
        </w:tc>
        <w:tc>
          <w:tcPr>
            <w:tcW w:w="1505" w:type="dxa"/>
            <w:shd w:val="clear" w:color="auto" w:fill="auto"/>
            <w:vAlign w:val="center"/>
          </w:tcPr>
          <w:p w14:paraId="5651EA78" w14:textId="77777777" w:rsidR="00E2436C" w:rsidRPr="00011137" w:rsidRDefault="00E2436C" w:rsidP="00E6440A">
            <w:pPr>
              <w:jc w:val="center"/>
              <w:rPr>
                <w:color w:val="000000" w:themeColor="text1"/>
                <w:sz w:val="18"/>
                <w:szCs w:val="18"/>
              </w:rPr>
            </w:pPr>
            <w:r w:rsidRPr="00011137">
              <w:rPr>
                <w:color w:val="000000" w:themeColor="text1"/>
                <w:sz w:val="18"/>
                <w:szCs w:val="18"/>
              </w:rPr>
              <w:t>2.10</w:t>
            </w:r>
          </w:p>
        </w:tc>
        <w:tc>
          <w:tcPr>
            <w:tcW w:w="1506" w:type="dxa"/>
            <w:shd w:val="clear" w:color="auto" w:fill="auto"/>
            <w:vAlign w:val="center"/>
          </w:tcPr>
          <w:p w14:paraId="1F9CF016" w14:textId="77777777" w:rsidR="00E2436C" w:rsidRPr="00011137" w:rsidRDefault="00E2436C" w:rsidP="00E6440A">
            <w:pPr>
              <w:jc w:val="center"/>
              <w:rPr>
                <w:color w:val="000000" w:themeColor="text1"/>
                <w:sz w:val="18"/>
                <w:szCs w:val="18"/>
              </w:rPr>
            </w:pPr>
            <w:r w:rsidRPr="00011137">
              <w:rPr>
                <w:color w:val="000000" w:themeColor="text1"/>
                <w:sz w:val="18"/>
                <w:szCs w:val="18"/>
              </w:rPr>
              <w:t>1.70</w:t>
            </w:r>
          </w:p>
        </w:tc>
        <w:tc>
          <w:tcPr>
            <w:tcW w:w="1506" w:type="dxa"/>
            <w:shd w:val="clear" w:color="auto" w:fill="auto"/>
            <w:vAlign w:val="center"/>
          </w:tcPr>
          <w:p w14:paraId="62B34472" w14:textId="77777777" w:rsidR="00E2436C" w:rsidRPr="00011137" w:rsidRDefault="00E2436C" w:rsidP="00E6440A">
            <w:pPr>
              <w:jc w:val="center"/>
              <w:rPr>
                <w:color w:val="000000" w:themeColor="text1"/>
                <w:sz w:val="18"/>
                <w:szCs w:val="18"/>
              </w:rPr>
            </w:pPr>
            <w:r w:rsidRPr="00011137">
              <w:rPr>
                <w:color w:val="000000" w:themeColor="text1"/>
                <w:sz w:val="18"/>
                <w:szCs w:val="18"/>
              </w:rPr>
              <w:t>38.9</w:t>
            </w:r>
          </w:p>
        </w:tc>
        <w:tc>
          <w:tcPr>
            <w:tcW w:w="1506" w:type="dxa"/>
            <w:vAlign w:val="center"/>
          </w:tcPr>
          <w:p w14:paraId="1255BC0F" w14:textId="77777777" w:rsidR="00E2436C" w:rsidRPr="00011137" w:rsidRDefault="00E2436C" w:rsidP="00E6440A">
            <w:pPr>
              <w:jc w:val="center"/>
              <w:rPr>
                <w:sz w:val="18"/>
                <w:szCs w:val="18"/>
              </w:rPr>
            </w:pPr>
            <w:r>
              <w:rPr>
                <w:color w:val="000000"/>
                <w:sz w:val="18"/>
                <w:szCs w:val="18"/>
              </w:rPr>
              <w:t>+</w:t>
            </w:r>
            <w:r w:rsidRPr="00011137">
              <w:rPr>
                <w:color w:val="000000"/>
                <w:sz w:val="18"/>
                <w:szCs w:val="18"/>
              </w:rPr>
              <w:t>2.4</w:t>
            </w:r>
          </w:p>
        </w:tc>
      </w:tr>
      <w:tr w:rsidR="00E2436C" w:rsidRPr="00011137" w14:paraId="3BA90A11" w14:textId="77777777" w:rsidTr="00E6440A">
        <w:trPr>
          <w:trHeight w:val="20"/>
        </w:trPr>
        <w:tc>
          <w:tcPr>
            <w:tcW w:w="1774" w:type="dxa"/>
            <w:shd w:val="clear" w:color="auto" w:fill="F2F2F2" w:themeFill="background1" w:themeFillShade="F2"/>
            <w:vAlign w:val="center"/>
          </w:tcPr>
          <w:p w14:paraId="1C22A1B9" w14:textId="77777777" w:rsidR="00E2436C" w:rsidRPr="00011137" w:rsidRDefault="00E2436C" w:rsidP="00E6440A">
            <w:pPr>
              <w:jc w:val="center"/>
              <w:rPr>
                <w:color w:val="000000" w:themeColor="text1"/>
                <w:sz w:val="18"/>
                <w:szCs w:val="18"/>
              </w:rPr>
            </w:pPr>
            <w:r w:rsidRPr="00011137">
              <w:rPr>
                <w:color w:val="000000" w:themeColor="text1"/>
                <w:sz w:val="18"/>
                <w:szCs w:val="18"/>
              </w:rPr>
              <w:t>SEN00000</w:t>
            </w:r>
          </w:p>
        </w:tc>
        <w:tc>
          <w:tcPr>
            <w:tcW w:w="1505" w:type="dxa"/>
            <w:shd w:val="clear" w:color="auto" w:fill="auto"/>
          </w:tcPr>
          <w:p w14:paraId="77A2E6FB"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tcPr>
          <w:p w14:paraId="3F8434E7" w14:textId="77777777" w:rsidR="00E2436C" w:rsidRPr="00011137" w:rsidRDefault="00E2436C" w:rsidP="00E6440A">
            <w:pPr>
              <w:jc w:val="center"/>
              <w:rPr>
                <w:color w:val="000000" w:themeColor="text1"/>
                <w:sz w:val="18"/>
                <w:szCs w:val="18"/>
              </w:rPr>
            </w:pPr>
            <w:r w:rsidRPr="00011137">
              <w:rPr>
                <w:color w:val="000000" w:themeColor="text1"/>
                <w:sz w:val="18"/>
                <w:szCs w:val="18"/>
              </w:rPr>
              <w:t>1.6</w:t>
            </w:r>
          </w:p>
        </w:tc>
        <w:tc>
          <w:tcPr>
            <w:tcW w:w="1506" w:type="dxa"/>
            <w:shd w:val="clear" w:color="auto" w:fill="auto"/>
          </w:tcPr>
          <w:p w14:paraId="4DEE565D" w14:textId="77777777" w:rsidR="00E2436C" w:rsidRPr="00011137" w:rsidRDefault="00E2436C" w:rsidP="00E6440A">
            <w:pPr>
              <w:jc w:val="center"/>
              <w:rPr>
                <w:color w:val="000000" w:themeColor="text1"/>
                <w:sz w:val="18"/>
                <w:szCs w:val="18"/>
              </w:rPr>
            </w:pPr>
            <w:r w:rsidRPr="00011137">
              <w:rPr>
                <w:color w:val="000000" w:themeColor="text1"/>
                <w:sz w:val="18"/>
                <w:szCs w:val="18"/>
              </w:rPr>
              <w:t>40.4</w:t>
            </w:r>
          </w:p>
        </w:tc>
        <w:tc>
          <w:tcPr>
            <w:tcW w:w="1506" w:type="dxa"/>
            <w:vAlign w:val="center"/>
          </w:tcPr>
          <w:p w14:paraId="4B73FC76" w14:textId="77777777" w:rsidR="00E2436C" w:rsidRPr="00011137" w:rsidRDefault="00E2436C" w:rsidP="00E6440A">
            <w:pPr>
              <w:jc w:val="center"/>
              <w:rPr>
                <w:sz w:val="18"/>
                <w:szCs w:val="18"/>
              </w:rPr>
            </w:pPr>
            <w:r>
              <w:rPr>
                <w:color w:val="000000"/>
                <w:sz w:val="18"/>
                <w:szCs w:val="18"/>
              </w:rPr>
              <w:t>+</w:t>
            </w:r>
            <w:r w:rsidRPr="00011137">
              <w:rPr>
                <w:color w:val="000000"/>
                <w:sz w:val="18"/>
                <w:szCs w:val="18"/>
              </w:rPr>
              <w:t>2.6</w:t>
            </w:r>
          </w:p>
        </w:tc>
      </w:tr>
    </w:tbl>
    <w:p w14:paraId="51828E57" w14:textId="77777777" w:rsidR="00E2436C" w:rsidRDefault="00E2436C" w:rsidP="00E2436C">
      <w:pPr>
        <w:spacing w:after="0"/>
        <w:rPr>
          <w:rFonts w:cs="Calibri"/>
          <w:szCs w:val="20"/>
        </w:rPr>
      </w:pPr>
      <w:r>
        <w:rPr>
          <w:rFonts w:cs="Calibri"/>
          <w:szCs w:val="20"/>
        </w:rPr>
        <w:t>This means that the models from WP 4A and AP30B do not represent real antennas. The effect of this in the simulations is that interference will be overestimated because the gain of the FSS receiving antenna is modelled higher than it actually is.</w:t>
      </w:r>
    </w:p>
    <w:p w14:paraId="2365EFDC" w14:textId="77777777" w:rsidR="00E2436C" w:rsidRDefault="00E2436C" w:rsidP="00E2436C">
      <w:pPr>
        <w:spacing w:after="0"/>
        <w:rPr>
          <w:rFonts w:cs="Calibri"/>
          <w:szCs w:val="20"/>
        </w:rPr>
      </w:pPr>
      <w:r>
        <w:rPr>
          <w:rFonts w:cs="Calibri"/>
          <w:szCs w:val="20"/>
        </w:rPr>
        <w:t xml:space="preserve">A solution to this problem is to scale the FSS antenna pattern to ensure that TIG is below 1 (0dB), and that antenna efficiency is accounted for. As noted above this approach was applied during the previous study cycle </w:t>
      </w:r>
      <w:r w:rsidRPr="002D1711">
        <w:rPr>
          <w:rFonts w:cs="Calibri"/>
          <w:szCs w:val="20"/>
        </w:rPr>
        <w:t>in TG</w:t>
      </w:r>
      <w:r>
        <w:rPr>
          <w:rFonts w:cs="Calibri"/>
          <w:szCs w:val="20"/>
        </w:rPr>
        <w:t xml:space="preserve"> </w:t>
      </w:r>
      <w:r w:rsidRPr="002D1711">
        <w:rPr>
          <w:rFonts w:cs="Calibri"/>
          <w:szCs w:val="20"/>
        </w:rPr>
        <w:t xml:space="preserve">5/1 </w:t>
      </w:r>
      <w:r>
        <w:rPr>
          <w:rFonts w:cs="Calibri"/>
          <w:szCs w:val="20"/>
        </w:rPr>
        <w:t xml:space="preserve">to ensure that </w:t>
      </w:r>
      <w:r w:rsidRPr="002D1711">
        <w:rPr>
          <w:rFonts w:cs="Calibri"/>
          <w:szCs w:val="20"/>
        </w:rPr>
        <w:t xml:space="preserve">AAS </w:t>
      </w:r>
      <w:r>
        <w:rPr>
          <w:rFonts w:cs="Calibri"/>
          <w:szCs w:val="20"/>
        </w:rPr>
        <w:t xml:space="preserve">IMT BSs have a TIG&lt;1. </w:t>
      </w:r>
    </w:p>
    <w:p w14:paraId="2100D02D" w14:textId="5332E25E" w:rsidR="00E2436C" w:rsidRDefault="00E2436C" w:rsidP="00E2436C">
      <w:pPr>
        <w:spacing w:after="0"/>
        <w:rPr>
          <w:rFonts w:cs="Calibri"/>
          <w:szCs w:val="20"/>
        </w:rPr>
      </w:pPr>
      <w:r>
        <w:rPr>
          <w:rFonts w:cs="Calibri"/>
          <w:szCs w:val="20"/>
        </w:rPr>
        <w:t>It is also considered in this cycle at least in two models: the current IMT parameters document (</w:t>
      </w:r>
      <w:hyperlink r:id="rId20" w:history="1">
        <w:r w:rsidRPr="00654E53">
          <w:rPr>
            <w:rStyle w:val="Hyperlink"/>
            <w:rFonts w:cs="Calibri"/>
            <w:szCs w:val="20"/>
          </w:rPr>
          <w:t>Annex 4.4 to 5D/716</w:t>
        </w:r>
      </w:hyperlink>
      <w:r>
        <w:rPr>
          <w:rFonts w:cs="Calibri"/>
          <w:szCs w:val="20"/>
        </w:rPr>
        <w:t xml:space="preserve">) for AAS antennas in 6 to 10 GHz take account of antenna efficiency with the inclusion of ohmic losses of 2 dB, and </w:t>
      </w:r>
      <w:r w:rsidR="00F60267">
        <w:rPr>
          <w:rFonts w:cs="Calibri"/>
          <w:szCs w:val="20"/>
        </w:rPr>
        <w:t xml:space="preserve">ITU-R </w:t>
      </w:r>
      <w:r>
        <w:rPr>
          <w:rFonts w:cs="Calibri"/>
          <w:szCs w:val="20"/>
        </w:rPr>
        <w:t>WP</w:t>
      </w:r>
      <w:r w:rsidR="00F60267">
        <w:rPr>
          <w:rFonts w:cs="Calibri"/>
          <w:szCs w:val="20"/>
        </w:rPr>
        <w:t xml:space="preserve"> </w:t>
      </w:r>
      <w:r>
        <w:rPr>
          <w:rFonts w:cs="Calibri"/>
          <w:szCs w:val="20"/>
        </w:rPr>
        <w:t>7C has applied an efficiency scaling to the EESS antenna models that are used for studies for the 10-10.5 GHz band.</w:t>
      </w:r>
    </w:p>
    <w:p w14:paraId="08947D8D" w14:textId="63A34226" w:rsidR="00E2436C" w:rsidRDefault="00E2436C" w:rsidP="00E2436C">
      <w:pPr>
        <w:spacing w:after="0"/>
        <w:rPr>
          <w:rFonts w:cs="Calibri"/>
          <w:szCs w:val="20"/>
        </w:rPr>
      </w:pPr>
      <w:r>
        <w:rPr>
          <w:rFonts w:cs="Calibri"/>
          <w:szCs w:val="20"/>
        </w:rPr>
        <w:t xml:space="preserve">A methodology to apply the scaling factor to the FSS antenna patterns used in the AI1.2 studies has been submitted to WP 5D (document </w:t>
      </w:r>
      <w:hyperlink r:id="rId21" w:history="1">
        <w:r w:rsidRPr="00F60267">
          <w:rPr>
            <w:rStyle w:val="Hyperlink"/>
            <w:rFonts w:cs="Calibri"/>
            <w:szCs w:val="20"/>
          </w:rPr>
          <w:t>5D/1318</w:t>
        </w:r>
      </w:hyperlink>
      <w:r w:rsidRPr="00A51446">
        <w:rPr>
          <w:rStyle w:val="FootnoteReference"/>
          <w:rFonts w:cs="Calibri"/>
          <w:szCs w:val="20"/>
        </w:rPr>
        <w:footnoteReference w:id="7"/>
      </w:r>
      <w:r>
        <w:rPr>
          <w:rFonts w:cs="Calibri"/>
          <w:szCs w:val="20"/>
        </w:rPr>
        <w:t xml:space="preserve">). The methodology ensures that a) the antenna patterns are normalized so that TIG=1, and b) the efficiency of real antennas is taken into account. A scaling factor such those derived with this methodology should be applied when the antenna models in </w:t>
      </w:r>
      <w:r w:rsidRPr="007B45F0">
        <w:rPr>
          <w:rFonts w:cs="Calibri"/>
          <w:szCs w:val="20"/>
        </w:rPr>
        <w:t>Rec. ITU-R</w:t>
      </w:r>
      <w:r>
        <w:rPr>
          <w:rFonts w:cs="Calibri"/>
          <w:szCs w:val="20"/>
        </w:rPr>
        <w:t xml:space="preserve"> </w:t>
      </w:r>
      <w:r w:rsidRPr="00D133AE">
        <w:rPr>
          <w:rFonts w:cs="Calibri"/>
          <w:szCs w:val="20"/>
        </w:rPr>
        <w:t xml:space="preserve">S.672 and AP30B </w:t>
      </w:r>
      <w:r>
        <w:rPr>
          <w:rFonts w:cs="Calibri"/>
          <w:szCs w:val="20"/>
        </w:rPr>
        <w:t xml:space="preserve">are used in the </w:t>
      </w:r>
      <w:r w:rsidRPr="006F102E">
        <w:rPr>
          <w:rFonts w:cs="Calibri"/>
          <w:szCs w:val="20"/>
        </w:rPr>
        <w:t>studies of sharing between IMT and FSS (Earth-to-space) in the band 6 425-7 125 MHz</w:t>
      </w:r>
      <w:r w:rsidRPr="00D133AE">
        <w:rPr>
          <w:rFonts w:cs="Calibri"/>
          <w:szCs w:val="20"/>
        </w:rPr>
        <w:t xml:space="preserve">. </w:t>
      </w:r>
    </w:p>
    <w:p w14:paraId="1B1C5576" w14:textId="77777777" w:rsidR="00E2436C" w:rsidRDefault="00E2436C" w:rsidP="00E2436C">
      <w:pPr>
        <w:spacing w:after="0"/>
        <w:rPr>
          <w:rFonts w:cs="Calibri"/>
          <w:szCs w:val="20"/>
        </w:rPr>
      </w:pPr>
      <w:r>
        <w:rPr>
          <w:rFonts w:cs="Calibri"/>
          <w:szCs w:val="20"/>
        </w:rPr>
        <w:t>It must be noted that t</w:t>
      </w:r>
      <w:r w:rsidRPr="00D133AE">
        <w:rPr>
          <w:rFonts w:cs="Calibri"/>
          <w:szCs w:val="20"/>
        </w:rPr>
        <w:t>he application of “scaling factor” does not violate the guidance from WP 4A</w:t>
      </w:r>
      <w:r>
        <w:rPr>
          <w:rFonts w:cs="Calibri"/>
          <w:szCs w:val="20"/>
        </w:rPr>
        <w:t>. N</w:t>
      </w:r>
      <w:r w:rsidRPr="00D133AE">
        <w:rPr>
          <w:rFonts w:cs="Calibri"/>
          <w:szCs w:val="20"/>
        </w:rPr>
        <w:t xml:space="preserve">o consensus was reached in </w:t>
      </w:r>
      <w:r>
        <w:rPr>
          <w:rFonts w:cs="Calibri"/>
          <w:szCs w:val="20"/>
        </w:rPr>
        <w:t xml:space="preserve">WP </w:t>
      </w:r>
      <w:r w:rsidRPr="00D133AE">
        <w:rPr>
          <w:rFonts w:cs="Calibri"/>
          <w:szCs w:val="20"/>
        </w:rPr>
        <w:t>4A regarding this</w:t>
      </w:r>
      <w:r>
        <w:rPr>
          <w:rFonts w:cs="Calibri"/>
          <w:szCs w:val="20"/>
        </w:rPr>
        <w:t xml:space="preserve"> topic and as a result WP 4A produced no guidance, leaving TIG figures unrealistically high and thus the studies that used such figures more negative than reality.</w:t>
      </w:r>
    </w:p>
    <w:p w14:paraId="192D7BEF" w14:textId="77777777" w:rsidR="00E2436C" w:rsidRPr="00525337" w:rsidRDefault="00E2436C" w:rsidP="00512AAF">
      <w:pPr>
        <w:pStyle w:val="Heading2"/>
      </w:pPr>
      <w:r w:rsidRPr="00525337">
        <w:t>Modelling of clutter losses</w:t>
      </w:r>
    </w:p>
    <w:p w14:paraId="00F838B3" w14:textId="77777777" w:rsidR="00E2436C" w:rsidRDefault="00E2436C" w:rsidP="00E2436C">
      <w:pPr>
        <w:spacing w:after="0"/>
        <w:rPr>
          <w:rFonts w:cs="Calibri"/>
          <w:szCs w:val="20"/>
        </w:rPr>
      </w:pPr>
      <w:r w:rsidRPr="00C60572">
        <w:rPr>
          <w:rFonts w:cs="Calibri"/>
          <w:szCs w:val="20"/>
        </w:rPr>
        <w:t>Clutter loss is the degree to which natural or man-made obstacles or ‘clutter’ impact the radio signal.</w:t>
      </w:r>
      <w:r>
        <w:rPr>
          <w:rFonts w:cs="Calibri"/>
          <w:szCs w:val="20"/>
        </w:rPr>
        <w:t xml:space="preserve"> </w:t>
      </w:r>
    </w:p>
    <w:p w14:paraId="21D57576" w14:textId="1BB9E552" w:rsidR="00E2436C" w:rsidRDefault="00E2436C" w:rsidP="00E2436C">
      <w:pPr>
        <w:spacing w:after="0"/>
        <w:rPr>
          <w:rFonts w:cs="Calibri"/>
          <w:szCs w:val="20"/>
        </w:rPr>
      </w:pPr>
      <w:r>
        <w:rPr>
          <w:rFonts w:cs="Calibri"/>
          <w:szCs w:val="20"/>
        </w:rPr>
        <w:t xml:space="preserve">Theoretically the </w:t>
      </w:r>
      <w:r w:rsidRPr="00910879">
        <w:rPr>
          <w:rFonts w:cs="Calibri"/>
          <w:szCs w:val="20"/>
        </w:rPr>
        <w:t xml:space="preserve">application of clutter loss model is driven by the Line of </w:t>
      </w:r>
      <w:r w:rsidR="00F60267">
        <w:rPr>
          <w:rFonts w:cs="Calibri"/>
          <w:szCs w:val="20"/>
        </w:rPr>
        <w:t>S</w:t>
      </w:r>
      <w:r w:rsidRPr="00910879">
        <w:rPr>
          <w:rFonts w:cs="Calibri"/>
          <w:szCs w:val="20"/>
        </w:rPr>
        <w:t>ight/Non-</w:t>
      </w:r>
      <w:r w:rsidR="00F60267">
        <w:rPr>
          <w:rFonts w:cs="Calibri"/>
          <w:szCs w:val="20"/>
        </w:rPr>
        <w:t>L</w:t>
      </w:r>
      <w:r w:rsidRPr="00910879">
        <w:rPr>
          <w:rFonts w:cs="Calibri"/>
          <w:szCs w:val="20"/>
        </w:rPr>
        <w:t xml:space="preserve">ine of </w:t>
      </w:r>
      <w:r w:rsidR="00F60267">
        <w:rPr>
          <w:rFonts w:cs="Calibri"/>
          <w:szCs w:val="20"/>
        </w:rPr>
        <w:t>S</w:t>
      </w:r>
      <w:r w:rsidRPr="00910879">
        <w:rPr>
          <w:rFonts w:cs="Calibri"/>
          <w:szCs w:val="20"/>
        </w:rPr>
        <w:t xml:space="preserve">ight (LOS / NLOS) conditions between the interferer and the victim. </w:t>
      </w:r>
      <w:r>
        <w:rPr>
          <w:rFonts w:cs="Calibri"/>
          <w:szCs w:val="20"/>
        </w:rPr>
        <w:t xml:space="preserve">This is different from </w:t>
      </w:r>
      <w:r w:rsidRPr="00910879">
        <w:rPr>
          <w:rFonts w:cs="Calibri"/>
          <w:szCs w:val="20"/>
        </w:rPr>
        <w:t xml:space="preserve">“above/below rooftop </w:t>
      </w:r>
      <w:r>
        <w:rPr>
          <w:rFonts w:cs="Calibri"/>
          <w:szCs w:val="20"/>
        </w:rPr>
        <w:t>position</w:t>
      </w:r>
      <w:r w:rsidRPr="00910879">
        <w:rPr>
          <w:rFonts w:cs="Calibri"/>
          <w:szCs w:val="20"/>
        </w:rPr>
        <w:t>”</w:t>
      </w:r>
      <w:r>
        <w:rPr>
          <w:rFonts w:cs="Calibri"/>
          <w:szCs w:val="20"/>
        </w:rPr>
        <w:t xml:space="preserve">, which </w:t>
      </w:r>
      <w:r w:rsidRPr="00910879">
        <w:rPr>
          <w:rFonts w:cs="Calibri"/>
          <w:szCs w:val="20"/>
        </w:rPr>
        <w:t xml:space="preserve">reflects an IMT station deployment status rather than typical propagation conditions. </w:t>
      </w:r>
    </w:p>
    <w:p w14:paraId="1A038250" w14:textId="2D1B8CBE" w:rsidR="00E71ECC" w:rsidRDefault="00E2436C" w:rsidP="00E2436C">
      <w:pPr>
        <w:spacing w:after="0"/>
        <w:rPr>
          <w:rFonts w:cs="Calibri"/>
          <w:szCs w:val="20"/>
        </w:rPr>
      </w:pPr>
      <w:r w:rsidRPr="00910879">
        <w:rPr>
          <w:rFonts w:cs="Calibri"/>
          <w:szCs w:val="20"/>
        </w:rPr>
        <w:t xml:space="preserve">There is no </w:t>
      </w:r>
      <w:r>
        <w:rPr>
          <w:rFonts w:cs="Calibri"/>
          <w:szCs w:val="20"/>
        </w:rPr>
        <w:t xml:space="preserve">direct </w:t>
      </w:r>
      <w:r w:rsidRPr="00910879">
        <w:rPr>
          <w:rFonts w:cs="Calibri"/>
          <w:szCs w:val="20"/>
        </w:rPr>
        <w:t>link between ‘above/below rooftop deployment’ and ‘LOS/NLOS’ concepts</w:t>
      </w:r>
      <w:r>
        <w:rPr>
          <w:rFonts w:cs="Calibri"/>
          <w:szCs w:val="20"/>
        </w:rPr>
        <w:t>. F</w:t>
      </w:r>
      <w:r w:rsidRPr="00910879">
        <w:rPr>
          <w:rFonts w:cs="Calibri"/>
          <w:szCs w:val="20"/>
        </w:rPr>
        <w:t xml:space="preserve">or a BS deployed above roof, there </w:t>
      </w:r>
      <w:r>
        <w:rPr>
          <w:rFonts w:cs="Calibri"/>
          <w:szCs w:val="20"/>
        </w:rPr>
        <w:t>can</w:t>
      </w:r>
      <w:r w:rsidRPr="00910879">
        <w:rPr>
          <w:rFonts w:cs="Calibri"/>
          <w:szCs w:val="20"/>
        </w:rPr>
        <w:t xml:space="preserve"> be buildings higher than such base station acting as a clutter or shielding. </w:t>
      </w:r>
      <w:r>
        <w:rPr>
          <w:rFonts w:cs="Calibri"/>
          <w:szCs w:val="20"/>
        </w:rPr>
        <w:t>As an example, a</w:t>
      </w:r>
      <w:r w:rsidRPr="00910879">
        <w:rPr>
          <w:rFonts w:cs="Calibri"/>
          <w:szCs w:val="20"/>
        </w:rPr>
        <w:t xml:space="preserve">ccording to Rec. </w:t>
      </w:r>
      <w:r>
        <w:rPr>
          <w:rFonts w:cs="Calibri"/>
          <w:szCs w:val="20"/>
        </w:rPr>
        <w:t xml:space="preserve">ITU-R </w:t>
      </w:r>
      <w:r w:rsidRPr="00910879">
        <w:rPr>
          <w:rFonts w:cs="Calibri"/>
          <w:szCs w:val="20"/>
        </w:rPr>
        <w:t>P.452-17 (Table 4), the nominal clutter height for urban areas is 20-25 metres</w:t>
      </w:r>
      <w:r>
        <w:rPr>
          <w:rFonts w:cs="Calibri"/>
          <w:szCs w:val="20"/>
        </w:rPr>
        <w:t xml:space="preserve"> which is</w:t>
      </w:r>
      <w:r w:rsidRPr="00910879">
        <w:rPr>
          <w:rFonts w:cs="Calibri"/>
          <w:szCs w:val="20"/>
        </w:rPr>
        <w:t xml:space="preserve"> higher than IMT BS height of 18 metres. Therefore, an IMT BS deployed above rooftop can still be below the surrounding clutter height and NLOS conditions would apply. </w:t>
      </w:r>
      <w:r>
        <w:rPr>
          <w:rFonts w:cs="Calibri"/>
          <w:szCs w:val="20"/>
        </w:rPr>
        <w:t>Furthermore, depending on building statistics of a specific area, the distribution of buildings can vary with buildings taller than the nominal clutter height.</w:t>
      </w:r>
      <w:r w:rsidR="00622658">
        <w:rPr>
          <w:rFonts w:cs="Calibri"/>
          <w:szCs w:val="20"/>
        </w:rPr>
        <w:t xml:space="preserve"> </w:t>
      </w:r>
      <w:r w:rsidR="00E71ECC">
        <w:rPr>
          <w:rFonts w:cs="Calibri"/>
          <w:szCs w:val="20"/>
        </w:rPr>
        <w:t>Therefore,</w:t>
      </w:r>
      <w:r w:rsidR="00E71ECC" w:rsidRPr="00AE791D">
        <w:rPr>
          <w:rFonts w:cs="Calibri"/>
          <w:szCs w:val="20"/>
        </w:rPr>
        <w:t xml:space="preserve"> </w:t>
      </w:r>
      <w:r w:rsidR="00E71ECC">
        <w:rPr>
          <w:rFonts w:cs="Calibri"/>
          <w:szCs w:val="20"/>
        </w:rPr>
        <w:t>t</w:t>
      </w:r>
      <w:r w:rsidR="00E71ECC" w:rsidRPr="007216CA">
        <w:rPr>
          <w:rFonts w:cs="Calibri"/>
          <w:szCs w:val="20"/>
        </w:rPr>
        <w:t xml:space="preserve">he </w:t>
      </w:r>
      <w:r w:rsidR="00E71ECC">
        <w:rPr>
          <w:rFonts w:cs="Calibri"/>
          <w:szCs w:val="20"/>
        </w:rPr>
        <w:t xml:space="preserve">3K/178 </w:t>
      </w:r>
      <w:r w:rsidR="00E71ECC" w:rsidRPr="007216CA">
        <w:rPr>
          <w:rFonts w:cs="Calibri"/>
          <w:szCs w:val="20"/>
        </w:rPr>
        <w:t xml:space="preserve">model </w:t>
      </w:r>
      <w:r w:rsidR="00E71ECC">
        <w:rPr>
          <w:rFonts w:cs="Calibri"/>
          <w:szCs w:val="20"/>
        </w:rPr>
        <w:t xml:space="preserve">addresses this and the following figure illustrates the CDF curves of the clutter loss for urban macro BS. </w:t>
      </w:r>
    </w:p>
    <w:p w14:paraId="1D420499" w14:textId="2F33987F" w:rsidR="00622658" w:rsidRDefault="00622658" w:rsidP="006F3150">
      <w:pPr>
        <w:spacing w:after="0"/>
        <w:jc w:val="center"/>
        <w:rPr>
          <w:rFonts w:cs="Calibri"/>
          <w:szCs w:val="20"/>
        </w:rPr>
      </w:pPr>
      <w:r>
        <w:rPr>
          <w:rFonts w:cs="Calibri"/>
          <w:noProof/>
          <w:szCs w:val="20"/>
        </w:rPr>
        <w:drawing>
          <wp:inline distT="0" distB="0" distL="0" distR="0" wp14:anchorId="696E104F" wp14:editId="3E748E2D">
            <wp:extent cx="3044190" cy="23863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044190" cy="2386330"/>
                    </a:xfrm>
                    <a:prstGeom prst="rect">
                      <a:avLst/>
                    </a:prstGeom>
                    <a:noFill/>
                  </pic:spPr>
                </pic:pic>
              </a:graphicData>
            </a:graphic>
          </wp:inline>
        </w:drawing>
      </w:r>
    </w:p>
    <w:p w14:paraId="217B9528" w14:textId="32366185" w:rsidR="00622658" w:rsidRDefault="00E2436C" w:rsidP="00E2436C">
      <w:pPr>
        <w:spacing w:after="0"/>
        <w:rPr>
          <w:rFonts w:cs="Calibri"/>
          <w:szCs w:val="20"/>
        </w:rPr>
      </w:pPr>
      <w:r>
        <w:rPr>
          <w:rFonts w:cs="Calibri"/>
          <w:szCs w:val="20"/>
        </w:rPr>
        <w:t>For the studies considering the 6 GHz band under AI 1.2, the current model in Rec. ITU-R P</w:t>
      </w:r>
      <w:r w:rsidRPr="00AE791D">
        <w:rPr>
          <w:rFonts w:cs="Calibri"/>
          <w:szCs w:val="20"/>
        </w:rPr>
        <w:t xml:space="preserve">.2108-1 </w:t>
      </w:r>
      <w:r w:rsidR="002E6AD9" w:rsidRPr="00AE791D">
        <w:rPr>
          <w:rFonts w:cs="Calibri"/>
          <w:szCs w:val="20"/>
        </w:rPr>
        <w:t xml:space="preserve">was </w:t>
      </w:r>
      <w:r w:rsidRPr="00AE791D">
        <w:rPr>
          <w:rFonts w:cs="Calibri"/>
          <w:szCs w:val="20"/>
        </w:rPr>
        <w:t xml:space="preserve">originally </w:t>
      </w:r>
      <w:r w:rsidR="002E6AD9" w:rsidRPr="00AE791D">
        <w:rPr>
          <w:rFonts w:cs="Calibri"/>
          <w:szCs w:val="20"/>
        </w:rPr>
        <w:t xml:space="preserve">meant </w:t>
      </w:r>
      <w:r w:rsidRPr="00AE791D">
        <w:rPr>
          <w:rFonts w:cs="Calibri"/>
          <w:szCs w:val="20"/>
        </w:rPr>
        <w:t xml:space="preserve">for frequencies above 10 GHz considering low terminal heights, whereas the scenarios considered for the 6 GHz studies under AI 1.2 are different. </w:t>
      </w:r>
      <w:r w:rsidR="00E71ECC">
        <w:rPr>
          <w:rFonts w:cs="Calibri"/>
          <w:szCs w:val="20"/>
        </w:rPr>
        <w:t>This is also addressed in the updated model</w:t>
      </w:r>
      <w:r w:rsidR="006D26A3" w:rsidRPr="00AE791D">
        <w:rPr>
          <w:rFonts w:cs="Calibri"/>
          <w:szCs w:val="20"/>
        </w:rPr>
        <w:t xml:space="preserve"> (Annex 6 to Document 3K/178)</w:t>
      </w:r>
      <w:r w:rsidR="006D26A3">
        <w:rPr>
          <w:rFonts w:cs="Calibri"/>
          <w:szCs w:val="20"/>
        </w:rPr>
        <w:t xml:space="preserve">. </w:t>
      </w:r>
    </w:p>
    <w:p w14:paraId="073194FD" w14:textId="2225710E" w:rsidR="00E2436C" w:rsidRDefault="00AE791D" w:rsidP="00E2436C">
      <w:pPr>
        <w:spacing w:after="0"/>
        <w:rPr>
          <w:rFonts w:cs="Calibri"/>
          <w:szCs w:val="20"/>
        </w:rPr>
      </w:pPr>
      <w:r>
        <w:rPr>
          <w:rFonts w:cs="Calibri"/>
          <w:szCs w:val="20"/>
        </w:rPr>
        <w:t>B</w:t>
      </w:r>
      <w:r w:rsidR="00E2436C">
        <w:rPr>
          <w:rFonts w:cs="Calibri"/>
          <w:szCs w:val="20"/>
        </w:rPr>
        <w:t xml:space="preserve">oth the model in Rec. ITU-R P.2108-1 and </w:t>
      </w:r>
      <w:r w:rsidR="00E2436C" w:rsidRPr="00AE791D">
        <w:rPr>
          <w:rFonts w:cs="Calibri"/>
          <w:szCs w:val="20"/>
        </w:rPr>
        <w:t>the clutter</w:t>
      </w:r>
      <w:r w:rsidR="00E2436C">
        <w:rPr>
          <w:rFonts w:cs="Calibri"/>
          <w:szCs w:val="20"/>
        </w:rPr>
        <w:t xml:space="preserve"> loss model in Annex 6 to Document 3K/178 (3K/178 model) could be used to model the clutter loss in sharing studies with equal status. </w:t>
      </w:r>
    </w:p>
    <w:p w14:paraId="0158C358" w14:textId="2F245BCE" w:rsidR="00E2436C" w:rsidRDefault="00E2436C" w:rsidP="001D6AD7">
      <w:pPr>
        <w:spacing w:after="0"/>
        <w:rPr>
          <w:rFonts w:cs="Calibri"/>
          <w:szCs w:val="20"/>
        </w:rPr>
      </w:pPr>
    </w:p>
    <w:p w14:paraId="73FF0252" w14:textId="6AD32E48" w:rsidR="00FF6FB6" w:rsidRDefault="00947845" w:rsidP="00947845">
      <w:pPr>
        <w:pStyle w:val="Heading1"/>
        <w:rPr>
          <w:rStyle w:val="ECCParagraph"/>
        </w:rPr>
      </w:pPr>
      <w:r>
        <w:rPr>
          <w:rStyle w:val="ECCParagraph"/>
        </w:rPr>
        <w:t>Conclusion</w:t>
      </w:r>
    </w:p>
    <w:p w14:paraId="65D47F2D" w14:textId="77777777" w:rsidR="00947845" w:rsidRPr="00947845" w:rsidRDefault="00947845" w:rsidP="00947845">
      <w:pPr>
        <w:spacing w:after="0"/>
        <w:rPr>
          <w:rFonts w:cs="Arial"/>
          <w:szCs w:val="20"/>
        </w:rPr>
      </w:pPr>
      <w:r>
        <w:rPr>
          <w:rFonts w:cs="Calibri"/>
          <w:szCs w:val="20"/>
        </w:rPr>
        <w:t xml:space="preserve">The choice of parameters and assumptions in a study is key to achieve meaningful results. The assumptions must be realistic and based on evidence as much as possible. Studies should use the most advanced </w:t>
      </w:r>
      <w:r w:rsidRPr="00947845">
        <w:rPr>
          <w:rFonts w:cs="Arial"/>
          <w:szCs w:val="20"/>
        </w:rPr>
        <w:t>propagation and clutter models, which benefit from the progress in our understanding of the subject over the years. On the other hand, if worst case assumptions are used, then studies will not be representative of real scenarios and will invariably conclude on a negative assessment of coexistence.</w:t>
      </w:r>
    </w:p>
    <w:p w14:paraId="722BBD49" w14:textId="194A9235" w:rsidR="00947845" w:rsidRPr="00947845" w:rsidRDefault="00947845" w:rsidP="00947845">
      <w:pPr>
        <w:spacing w:after="0"/>
        <w:rPr>
          <w:rFonts w:cs="Arial"/>
          <w:szCs w:val="20"/>
        </w:rPr>
      </w:pPr>
      <w:r w:rsidRPr="00947845">
        <w:rPr>
          <w:rFonts w:cs="Arial"/>
          <w:szCs w:val="20"/>
        </w:rPr>
        <w:t xml:space="preserve">With this in mind, it is proposed that </w:t>
      </w:r>
      <w:r>
        <w:rPr>
          <w:rFonts w:cs="Arial"/>
          <w:szCs w:val="20"/>
        </w:rPr>
        <w:t>studies should</w:t>
      </w:r>
      <w:r w:rsidRPr="00947845">
        <w:rPr>
          <w:rFonts w:cs="Arial"/>
          <w:szCs w:val="20"/>
        </w:rPr>
        <w:t xml:space="preserve"> converge to a set of assumptions that allows to model IMT deployments and FSS characteristics realistically, and that uses the most recent clutter model. Such set of assumptions could be used to assess the suitability of existing studies, or to conduct additional studies in the future. The following assumptions are proposed:</w:t>
      </w:r>
    </w:p>
    <w:p w14:paraId="13098DF6" w14:textId="77777777" w:rsidR="00947845" w:rsidRPr="00947845" w:rsidRDefault="00947845" w:rsidP="00947845">
      <w:pPr>
        <w:pStyle w:val="Chapter2Heading"/>
        <w:rPr>
          <w:rFonts w:ascii="Arial" w:hAnsi="Arial" w:cs="Arial"/>
        </w:rPr>
      </w:pPr>
      <w:r w:rsidRPr="00947845">
        <w:rPr>
          <w:rFonts w:ascii="Arial" w:hAnsi="Arial" w:cs="Arial"/>
        </w:rPr>
        <w:t>Ra / Rb options</w:t>
      </w:r>
    </w:p>
    <w:p w14:paraId="7097D455" w14:textId="77777777" w:rsidR="00947845" w:rsidRPr="00947845" w:rsidRDefault="00947845" w:rsidP="00947845">
      <w:pPr>
        <w:pStyle w:val="ListParagraph"/>
        <w:numPr>
          <w:ilvl w:val="0"/>
          <w:numId w:val="17"/>
        </w:numPr>
        <w:spacing w:before="0" w:after="200" w:line="276" w:lineRule="auto"/>
        <w:jc w:val="left"/>
        <w:rPr>
          <w:rFonts w:cs="Arial"/>
        </w:rPr>
      </w:pPr>
      <w:r w:rsidRPr="00947845">
        <w:rPr>
          <w:rFonts w:cs="Arial"/>
        </w:rPr>
        <w:t>Ra option 1</w:t>
      </w:r>
    </w:p>
    <w:p w14:paraId="0BB9A30A" w14:textId="77777777" w:rsidR="00947845" w:rsidRPr="00947845" w:rsidRDefault="00947845" w:rsidP="00947845">
      <w:pPr>
        <w:pStyle w:val="ListParagraph"/>
        <w:numPr>
          <w:ilvl w:val="0"/>
          <w:numId w:val="17"/>
        </w:numPr>
        <w:spacing w:before="0" w:after="200" w:line="276" w:lineRule="auto"/>
        <w:jc w:val="left"/>
        <w:rPr>
          <w:rFonts w:cs="Arial"/>
        </w:rPr>
      </w:pPr>
      <w:r w:rsidRPr="00947845">
        <w:rPr>
          <w:rFonts w:cs="Arial"/>
        </w:rPr>
        <w:t>Rb option 3</w:t>
      </w:r>
    </w:p>
    <w:p w14:paraId="6BB0684F" w14:textId="77777777" w:rsidR="00947845" w:rsidRPr="00947845" w:rsidRDefault="00947845" w:rsidP="00947845">
      <w:pPr>
        <w:pStyle w:val="Chapter2Heading"/>
        <w:rPr>
          <w:rFonts w:ascii="Arial" w:hAnsi="Arial" w:cs="Arial"/>
        </w:rPr>
      </w:pPr>
      <w:r w:rsidRPr="00947845">
        <w:rPr>
          <w:rFonts w:ascii="Arial" w:hAnsi="Arial" w:cs="Arial"/>
        </w:rPr>
        <w:t>Corrections to Rb</w:t>
      </w:r>
    </w:p>
    <w:p w14:paraId="699E88F2" w14:textId="77777777" w:rsidR="00947845" w:rsidRPr="00947845" w:rsidRDefault="00947845" w:rsidP="00947845">
      <w:pPr>
        <w:pStyle w:val="Chappara"/>
        <w:rPr>
          <w:rFonts w:ascii="Arial" w:hAnsi="Arial" w:cs="Arial"/>
        </w:rPr>
      </w:pPr>
      <w:r w:rsidRPr="00947845">
        <w:rPr>
          <w:rFonts w:ascii="Arial" w:hAnsi="Arial" w:cs="Arial"/>
        </w:rPr>
        <w:t>Unpopulated areas can be removed for large study areas</w:t>
      </w:r>
    </w:p>
    <w:p w14:paraId="01F89BA3" w14:textId="77777777" w:rsidR="00947845" w:rsidRPr="00947845" w:rsidRDefault="00947845" w:rsidP="00947845">
      <w:pPr>
        <w:pStyle w:val="Chapter2Heading"/>
        <w:rPr>
          <w:rFonts w:ascii="Arial" w:hAnsi="Arial" w:cs="Arial"/>
        </w:rPr>
      </w:pPr>
      <w:r w:rsidRPr="00947845">
        <w:rPr>
          <w:rFonts w:ascii="Arial" w:hAnsi="Arial" w:cs="Arial"/>
        </w:rPr>
        <w:t>Rural deployments</w:t>
      </w:r>
    </w:p>
    <w:p w14:paraId="39776906" w14:textId="77777777" w:rsidR="00947845" w:rsidRPr="00947845" w:rsidRDefault="00947845" w:rsidP="00947845">
      <w:pPr>
        <w:pStyle w:val="Chappara"/>
        <w:rPr>
          <w:rFonts w:ascii="Arial" w:hAnsi="Arial" w:cs="Arial"/>
        </w:rPr>
      </w:pPr>
      <w:r w:rsidRPr="00947845">
        <w:rPr>
          <w:rFonts w:ascii="Arial" w:hAnsi="Arial" w:cs="Arial"/>
        </w:rPr>
        <w:t>Not included / If rural deployments are included in the studies, the IMT BS densities in Annex 4.4 to 5D/716 should be corrected to account for the large areas under study (the BS densities in Annex 4.4 were derived for areas up to 500 000 km2 whereas AI1.2 studies typically consider a satellite visible area, with a landmass of several million km2)</w:t>
      </w:r>
    </w:p>
    <w:p w14:paraId="3504D67C" w14:textId="77777777" w:rsidR="00947845" w:rsidRPr="00947845" w:rsidRDefault="00947845" w:rsidP="00947845">
      <w:pPr>
        <w:pStyle w:val="Chapter2Heading"/>
        <w:rPr>
          <w:rFonts w:ascii="Arial" w:hAnsi="Arial" w:cs="Arial"/>
        </w:rPr>
      </w:pPr>
      <w:r w:rsidRPr="00947845">
        <w:rPr>
          <w:rFonts w:ascii="Arial" w:hAnsi="Arial" w:cs="Arial"/>
        </w:rPr>
        <w:t>Apportionment of the interference budget</w:t>
      </w:r>
    </w:p>
    <w:p w14:paraId="15A53295" w14:textId="77777777" w:rsidR="00947845" w:rsidRPr="00947845" w:rsidRDefault="00947845" w:rsidP="00947845">
      <w:pPr>
        <w:pStyle w:val="Chappara"/>
        <w:rPr>
          <w:rFonts w:ascii="Arial" w:hAnsi="Arial" w:cs="Arial"/>
        </w:rPr>
      </w:pPr>
      <w:r w:rsidRPr="00947845">
        <w:rPr>
          <w:rFonts w:ascii="Arial" w:hAnsi="Arial" w:cs="Arial"/>
        </w:rPr>
        <w:t>No apportionment</w:t>
      </w:r>
    </w:p>
    <w:p w14:paraId="7D92484E" w14:textId="77777777" w:rsidR="00947845" w:rsidRPr="00947845" w:rsidRDefault="00947845" w:rsidP="00947845">
      <w:pPr>
        <w:pStyle w:val="Chapter2Heading"/>
        <w:rPr>
          <w:rFonts w:ascii="Arial" w:hAnsi="Arial" w:cs="Arial"/>
        </w:rPr>
      </w:pPr>
      <w:r w:rsidRPr="00947845">
        <w:rPr>
          <w:rFonts w:ascii="Arial" w:hAnsi="Arial" w:cs="Arial"/>
        </w:rPr>
        <w:t xml:space="preserve">FSS antenna TIG: </w:t>
      </w:r>
    </w:p>
    <w:p w14:paraId="6FECD1CB" w14:textId="77777777" w:rsidR="00947845" w:rsidRPr="00947845" w:rsidRDefault="00947845" w:rsidP="00947845">
      <w:pPr>
        <w:pStyle w:val="Chappara"/>
        <w:rPr>
          <w:rFonts w:ascii="Arial" w:hAnsi="Arial" w:cs="Arial"/>
        </w:rPr>
      </w:pPr>
      <w:r w:rsidRPr="00947845">
        <w:rPr>
          <w:rFonts w:ascii="Arial" w:hAnsi="Arial" w:cs="Arial"/>
        </w:rPr>
        <w:t>Scaling factor to normalize TIG and account for antenna efficiency</w:t>
      </w:r>
    </w:p>
    <w:p w14:paraId="6B394384" w14:textId="77777777" w:rsidR="00947845" w:rsidRPr="00947845" w:rsidRDefault="00947845" w:rsidP="00947845">
      <w:pPr>
        <w:pStyle w:val="Chapter2Heading"/>
        <w:rPr>
          <w:rFonts w:ascii="Arial" w:hAnsi="Arial" w:cs="Arial"/>
        </w:rPr>
      </w:pPr>
      <w:r w:rsidRPr="00947845">
        <w:rPr>
          <w:rFonts w:ascii="Arial" w:hAnsi="Arial" w:cs="Arial"/>
        </w:rPr>
        <w:t>Clutter loss model:</w:t>
      </w:r>
    </w:p>
    <w:p w14:paraId="339E955A" w14:textId="0EE01904" w:rsidR="00947845" w:rsidRPr="00947845" w:rsidRDefault="00947845" w:rsidP="00947845">
      <w:pPr>
        <w:rPr>
          <w:rStyle w:val="ECCParagraph"/>
          <w:rFonts w:cs="Arial"/>
        </w:rPr>
      </w:pPr>
      <w:r w:rsidRPr="00947845">
        <w:rPr>
          <w:rFonts w:cs="Arial"/>
        </w:rPr>
        <w:t xml:space="preserve">Annex 6 to document 3K/178 or </w:t>
      </w:r>
      <w:r w:rsidRPr="00947845">
        <w:rPr>
          <w:rFonts w:cs="Arial"/>
          <w:szCs w:val="20"/>
        </w:rPr>
        <w:t>Rec. ITU-R P.2108-1. Application of clutter loss model is not directly related to ‘above/below rooftop deployment’.</w:t>
      </w:r>
    </w:p>
    <w:p w14:paraId="2EDC6D6F" w14:textId="77D0ADA9" w:rsidR="00FF6FB6" w:rsidRPr="00947845" w:rsidRDefault="00FF6FB6" w:rsidP="00DD5136">
      <w:pPr>
        <w:rPr>
          <w:rStyle w:val="ECCParagraph"/>
          <w:rFonts w:cs="Arial"/>
        </w:rPr>
      </w:pPr>
    </w:p>
    <w:sectPr w:rsidR="00FF6FB6" w:rsidRPr="00947845" w:rsidSect="00797DEE">
      <w:headerReference w:type="even" r:id="rId23"/>
      <w:headerReference w:type="default" r:id="rId24"/>
      <w:headerReference w:type="first" r:id="rId2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16BF" w14:textId="77777777" w:rsidR="0028478D" w:rsidRDefault="0028478D" w:rsidP="00DB17F9">
      <w:r>
        <w:separator/>
      </w:r>
    </w:p>
    <w:p w14:paraId="13596E03" w14:textId="77777777" w:rsidR="0028478D" w:rsidRDefault="0028478D"/>
  </w:endnote>
  <w:endnote w:type="continuationSeparator" w:id="0">
    <w:p w14:paraId="2E8A1ADD" w14:textId="77777777" w:rsidR="0028478D" w:rsidRDefault="0028478D" w:rsidP="00DB17F9">
      <w:r>
        <w:continuationSeparator/>
      </w:r>
    </w:p>
    <w:p w14:paraId="033556CC" w14:textId="77777777" w:rsidR="0028478D" w:rsidRDefault="00284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1C44" w14:textId="77777777" w:rsidR="0028478D" w:rsidRPr="00F51BD6" w:rsidRDefault="0028478D" w:rsidP="00CD07E7">
      <w:pPr>
        <w:spacing w:before="120" w:after="0"/>
      </w:pPr>
      <w:r>
        <w:separator/>
      </w:r>
    </w:p>
  </w:footnote>
  <w:footnote w:type="continuationSeparator" w:id="0">
    <w:p w14:paraId="65647D20" w14:textId="77777777" w:rsidR="0028478D" w:rsidRDefault="0028478D" w:rsidP="00CD07E7">
      <w:pPr>
        <w:spacing w:before="120" w:after="0"/>
      </w:pPr>
      <w:r>
        <w:continuationSeparator/>
      </w:r>
    </w:p>
  </w:footnote>
  <w:footnote w:type="continuationNotice" w:id="1">
    <w:p w14:paraId="22596D2F" w14:textId="77777777" w:rsidR="0028478D" w:rsidRPr="00CD07E7" w:rsidRDefault="0028478D" w:rsidP="00CD07E7">
      <w:pPr>
        <w:spacing w:before="120" w:after="0"/>
      </w:pPr>
    </w:p>
  </w:footnote>
  <w:footnote w:id="2">
    <w:p w14:paraId="18C7B65D" w14:textId="77777777" w:rsidR="00E2436C" w:rsidRPr="009D3353" w:rsidRDefault="00E2436C" w:rsidP="00E2436C">
      <w:pPr>
        <w:pStyle w:val="FootnoteText"/>
        <w:rPr>
          <w:lang w:val="en-GB"/>
        </w:rPr>
      </w:pPr>
      <w:r w:rsidRPr="009D3353">
        <w:rPr>
          <w:rStyle w:val="FootnoteReference"/>
        </w:rPr>
        <w:footnoteRef/>
      </w:r>
      <w:r w:rsidRPr="009D3353">
        <w:t xml:space="preserve"> </w:t>
      </w:r>
      <w:hyperlink r:id="rId1" w:history="1">
        <w:r w:rsidRPr="009D3353">
          <w:rPr>
            <w:rStyle w:val="Hyperlink"/>
          </w:rPr>
          <w:t>https://www.itu.int/md/R19-WP5D-C-0716/en</w:t>
        </w:r>
      </w:hyperlink>
      <w:r>
        <w:t xml:space="preserve"> </w:t>
      </w:r>
    </w:p>
  </w:footnote>
  <w:footnote w:id="3">
    <w:p w14:paraId="40ABC276" w14:textId="77777777" w:rsidR="00E2436C" w:rsidRPr="000A5A3A" w:rsidRDefault="00E2436C" w:rsidP="00F60267">
      <w:pPr>
        <w:pStyle w:val="FootnoteText"/>
        <w:spacing w:before="0"/>
        <w:rPr>
          <w:lang w:val="en-GB"/>
        </w:rPr>
      </w:pPr>
      <w:r w:rsidRPr="000A5A3A">
        <w:rPr>
          <w:rStyle w:val="FootnoteReference"/>
        </w:rPr>
        <w:footnoteRef/>
      </w:r>
      <w:r w:rsidRPr="000A5A3A">
        <w:t xml:space="preserve"> </w:t>
      </w:r>
      <w:hyperlink r:id="rId2" w:history="1">
        <w:r w:rsidRPr="000A5A3A">
          <w:rPr>
            <w:rStyle w:val="Hyperlink"/>
            <w:lang w:val="en-GB"/>
          </w:rPr>
          <w:t>https://stats.oecd.org/Index.aspx?DataSetCode=BUILT_UP#</w:t>
        </w:r>
      </w:hyperlink>
    </w:p>
  </w:footnote>
  <w:footnote w:id="4">
    <w:p w14:paraId="184FF6F2" w14:textId="77777777" w:rsidR="00E2436C" w:rsidRPr="000A5A3A" w:rsidRDefault="00E2436C" w:rsidP="00F60267">
      <w:pPr>
        <w:pStyle w:val="FootnoteText"/>
        <w:spacing w:before="0"/>
        <w:rPr>
          <w:lang w:val="en-GB"/>
        </w:rPr>
      </w:pPr>
      <w:r w:rsidRPr="000A5A3A">
        <w:rPr>
          <w:rStyle w:val="FootnoteReference"/>
        </w:rPr>
        <w:footnoteRef/>
      </w:r>
      <w:r w:rsidRPr="000A5A3A">
        <w:t xml:space="preserve"> </w:t>
      </w:r>
      <w:hyperlink r:id="rId3" w:history="1">
        <w:r w:rsidRPr="000A5A3A">
          <w:rPr>
            <w:rStyle w:val="Hyperlink"/>
          </w:rPr>
          <w:t>https://www.itu.int/md/R19-WP5D-C-0996/en</w:t>
        </w:r>
      </w:hyperlink>
      <w:r w:rsidRPr="000A5A3A">
        <w:t xml:space="preserve"> </w:t>
      </w:r>
    </w:p>
  </w:footnote>
  <w:footnote w:id="5">
    <w:p w14:paraId="4EC15FBB" w14:textId="77777777" w:rsidR="00E2436C" w:rsidRPr="000A5A3A" w:rsidRDefault="00E2436C" w:rsidP="00F60267">
      <w:pPr>
        <w:pStyle w:val="FootnoteText"/>
        <w:spacing w:before="0"/>
        <w:rPr>
          <w:lang w:val="en-GB"/>
        </w:rPr>
      </w:pPr>
      <w:r w:rsidRPr="000A5A3A">
        <w:rPr>
          <w:rStyle w:val="FootnoteReference"/>
        </w:rPr>
        <w:footnoteRef/>
      </w:r>
      <w:r w:rsidRPr="000A5A3A">
        <w:t xml:space="preserve"> </w:t>
      </w:r>
      <w:hyperlink r:id="rId4" w:history="1">
        <w:r w:rsidRPr="000A5A3A">
          <w:rPr>
            <w:rStyle w:val="Hyperlink"/>
          </w:rPr>
          <w:t>https://www.itu.int/md/R19-WP5D-C-0782/en</w:t>
        </w:r>
      </w:hyperlink>
      <w:r w:rsidRPr="000A5A3A">
        <w:t xml:space="preserve"> </w:t>
      </w:r>
    </w:p>
  </w:footnote>
  <w:footnote w:id="6">
    <w:p w14:paraId="6B825D27" w14:textId="77777777" w:rsidR="00E2436C" w:rsidRPr="000A5A3A" w:rsidRDefault="00E2436C" w:rsidP="00F60267">
      <w:pPr>
        <w:pStyle w:val="FootnoteText"/>
        <w:spacing w:before="0"/>
        <w:rPr>
          <w:lang w:val="en-GB"/>
        </w:rPr>
      </w:pPr>
      <w:r w:rsidRPr="000A5A3A">
        <w:rPr>
          <w:rStyle w:val="FootnoteReference"/>
        </w:rPr>
        <w:footnoteRef/>
      </w:r>
      <w:r w:rsidRPr="000A5A3A">
        <w:t xml:space="preserve"> </w:t>
      </w:r>
      <w:hyperlink r:id="rId5" w:history="1">
        <w:r w:rsidRPr="000A5A3A">
          <w:rPr>
            <w:rStyle w:val="Hyperlink"/>
          </w:rPr>
          <w:t>https://www.itu.int/md/R19-WP5D-C-1042/en</w:t>
        </w:r>
      </w:hyperlink>
      <w:r w:rsidRPr="000A5A3A">
        <w:t xml:space="preserve"> </w:t>
      </w:r>
    </w:p>
  </w:footnote>
  <w:footnote w:id="7">
    <w:p w14:paraId="4339429C" w14:textId="77777777" w:rsidR="00E2436C" w:rsidRDefault="00E2436C" w:rsidP="00F60267">
      <w:pPr>
        <w:pStyle w:val="FootnoteText"/>
        <w:spacing w:before="0"/>
        <w:rPr>
          <w:lang w:eastAsia="zh-CN"/>
        </w:rPr>
      </w:pPr>
      <w:r>
        <w:rPr>
          <w:rStyle w:val="FootnoteReference"/>
        </w:rPr>
        <w:footnoteRef/>
      </w:r>
      <w:r w:rsidRPr="00D133AE">
        <w:t xml:space="preserve"> https://www.itu.int/md/R19-WP5D-C-1318/en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4B54035A" w:rsidR="00102172" w:rsidRPr="00714F0F" w:rsidRDefault="00AF634C" w:rsidP="00714F0F">
    <w:pPr>
      <w:pStyle w:val="ECCpageHeader"/>
    </w:pPr>
    <w:r>
      <w:rPr>
        <w:noProof/>
      </w:rPr>
      <mc:AlternateContent>
        <mc:Choice Requires="wps">
          <w:drawing>
            <wp:anchor distT="0" distB="0" distL="114300" distR="114300" simplePos="0" relativeHeight="251659264" behindDoc="0" locked="0" layoutInCell="0" allowOverlap="1" wp14:anchorId="71116703" wp14:editId="1CF3DB80">
              <wp:simplePos x="0" y="0"/>
              <wp:positionH relativeFrom="page">
                <wp:posOffset>0</wp:posOffset>
              </wp:positionH>
              <wp:positionV relativeFrom="page">
                <wp:posOffset>190500</wp:posOffset>
              </wp:positionV>
              <wp:extent cx="7560945" cy="273050"/>
              <wp:effectExtent l="0" t="0" r="0" b="12700"/>
              <wp:wrapNone/>
              <wp:docPr id="4" name="MSIPCMe1814ae7ab11df6c00561ecb" descr="{&quot;HashCode&quot;:-1754928040,&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DE1355" w14:textId="4247582D" w:rsidR="00AF634C" w:rsidRPr="00AF634C" w:rsidRDefault="00AF634C" w:rsidP="00AF634C">
                          <w:pPr>
                            <w:spacing w:before="0" w:after="0"/>
                            <w:jc w:val="left"/>
                            <w:rPr>
                              <w:rFonts w:ascii="Calibri" w:hAnsi="Calibri" w:cs="Calibri"/>
                              <w:color w:val="000000"/>
                              <w:sz w:val="24"/>
                            </w:rPr>
                          </w:pPr>
                          <w:r w:rsidRPr="00AF634C">
                            <w:rPr>
                              <w:rFonts w:ascii="Calibri" w:hAnsi="Calibri" w:cs="Calibri"/>
                              <w:color w:val="000000"/>
                              <w:sz w:val="24"/>
                            </w:rPr>
                            <w:t>Classification: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116703" id="_x0000_t202" coordsize="21600,21600" o:spt="202" path="m,l,21600r21600,l21600,xe">
              <v:stroke joinstyle="miter"/>
              <v:path gradientshapeok="t" o:connecttype="rect"/>
            </v:shapetype>
            <v:shape id="MSIPCMe1814ae7ab11df6c00561ecb" o:spid="_x0000_s1027" type="#_x0000_t202" alt="{&quot;HashCode&quot;:-1754928040,&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" o:allowincell="f" filled="f" stroked="f" strokeweight=".5pt">
              <v:fill o:detectmouseclick="t"/>
              <v:textbox inset="20pt,0,,0">
                <w:txbxContent>
                  <w:p w14:paraId="6DDE1355" w14:textId="4247582D" w:rsidR="00AF634C" w:rsidRPr="00AF634C" w:rsidRDefault="00AF634C" w:rsidP="00AF634C">
                    <w:pPr>
                      <w:spacing w:before="0" w:after="0"/>
                      <w:jc w:val="left"/>
                      <w:rPr>
                        <w:rFonts w:ascii="Calibri" w:hAnsi="Calibri" w:cs="Calibri"/>
                        <w:color w:val="000000"/>
                        <w:sz w:val="24"/>
                      </w:rPr>
                    </w:pPr>
                    <w:r w:rsidRPr="00AF634C">
                      <w:rPr>
                        <w:rFonts w:ascii="Calibri" w:hAnsi="Calibri" w:cs="Calibri"/>
                        <w:color w:val="000000"/>
                        <w:sz w:val="24"/>
                      </w:rPr>
                      <w:t>Classification: CONFIDENTIAL</w:t>
                    </w:r>
                  </w:p>
                </w:txbxContent>
              </v:textbox>
              <w10:wrap anchorx="page" anchory="page"/>
            </v:shape>
          </w:pict>
        </mc:Fallback>
      </mc:AlternateContent>
    </w:r>
    <w:r w:rsidR="00102172" w:rsidRPr="00714F0F">
      <w:tab/>
      <w:t xml:space="preserve">Page </w:t>
    </w:r>
    <w:r w:rsidR="00102172" w:rsidRPr="00714F0F">
      <w:fldChar w:fldCharType="begin"/>
    </w:r>
    <w:r w:rsidR="00102172" w:rsidRPr="00714F0F">
      <w:instrText xml:space="preserve"> PAGE  \* Arabic  \* MERGEFORMAT </w:instrText>
    </w:r>
    <w:r w:rsidR="00102172" w:rsidRPr="00714F0F">
      <w:fldChar w:fldCharType="separate"/>
    </w:r>
    <w:r w:rsidR="00231A0F">
      <w:rPr>
        <w:noProof/>
      </w:rPr>
      <w:t>2</w:t>
    </w:r>
    <w:r w:rsidR="00102172" w:rsidRPr="00714F0F">
      <w:fldChar w:fldCharType="end"/>
    </w:r>
  </w:p>
  <w:p w14:paraId="74496E01" w14:textId="77777777"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1AE8" w14:textId="5E5DC9EF" w:rsidR="00A048A6" w:rsidRDefault="00AF634C">
    <w:pPr>
      <w:pStyle w:val="Header"/>
    </w:pPr>
    <w:r>
      <w:rPr>
        <w:noProof/>
      </w:rPr>
      <mc:AlternateContent>
        <mc:Choice Requires="wps">
          <w:drawing>
            <wp:anchor distT="0" distB="0" distL="114300" distR="114300" simplePos="0" relativeHeight="251660288" behindDoc="0" locked="0" layoutInCell="0" allowOverlap="1" wp14:anchorId="4F18BBCD" wp14:editId="030D6930">
              <wp:simplePos x="0" y="0"/>
              <wp:positionH relativeFrom="page">
                <wp:posOffset>0</wp:posOffset>
              </wp:positionH>
              <wp:positionV relativeFrom="page">
                <wp:posOffset>190500</wp:posOffset>
              </wp:positionV>
              <wp:extent cx="7560945" cy="273050"/>
              <wp:effectExtent l="0" t="0" r="0" b="12700"/>
              <wp:wrapNone/>
              <wp:docPr id="5" name="MSIPCM4b034d5cbb3ddf01187393a8" descr="{&quot;HashCode&quot;:-1754928040,&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4E3AC6" w14:textId="6AB79E20" w:rsidR="00AF634C" w:rsidRPr="00AF634C" w:rsidRDefault="00AF634C" w:rsidP="00AF634C">
                          <w:pPr>
                            <w:spacing w:before="0" w:after="0"/>
                            <w:jc w:val="left"/>
                            <w:rPr>
                              <w:rFonts w:ascii="Calibri" w:hAnsi="Calibri" w:cs="Calibri"/>
                              <w:color w:val="000000"/>
                              <w:sz w:val="24"/>
                            </w:rPr>
                          </w:pPr>
                          <w:r w:rsidRPr="00AF634C">
                            <w:rPr>
                              <w:rFonts w:ascii="Calibri" w:hAnsi="Calibri" w:cs="Calibri"/>
                              <w:color w:val="000000"/>
                              <w:sz w:val="24"/>
                            </w:rPr>
                            <w:t>Classification: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F18BBCD" id="_x0000_t202" coordsize="21600,21600" o:spt="202" path="m,l,21600r21600,l21600,xe">
              <v:stroke joinstyle="miter"/>
              <v:path gradientshapeok="t" o:connecttype="rect"/>
            </v:shapetype>
            <v:shape id="MSIPCM4b034d5cbb3ddf01187393a8" o:spid="_x0000_s1028" type="#_x0000_t202" alt="{&quot;HashCode&quot;:-1754928040,&quot;Height&quot;:842.0,&quot;Width&quot;:595.0,&quot;Placement&quot;:&quot;Header&quot;,&quot;Index&quot;:&quot;FirstPage&quot;,&quot;Section&quot;:1,&quot;Top&quot;:0.0,&quot;Left&quot;:0.0}" style="position:absolute;left:0;text-align:left;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" o:allowincell="f" filled="f" stroked="f" strokeweight=".5pt">
              <v:fill o:detectmouseclick="t"/>
              <v:textbox inset="20pt,0,,0">
                <w:txbxContent>
                  <w:p w14:paraId="024E3AC6" w14:textId="6AB79E20" w:rsidR="00AF634C" w:rsidRPr="00AF634C" w:rsidRDefault="00AF634C" w:rsidP="00AF634C">
                    <w:pPr>
                      <w:spacing w:before="0" w:after="0"/>
                      <w:jc w:val="left"/>
                      <w:rPr>
                        <w:rFonts w:ascii="Calibri" w:hAnsi="Calibri" w:cs="Calibri"/>
                        <w:color w:val="000000"/>
                        <w:sz w:val="24"/>
                      </w:rPr>
                    </w:pPr>
                    <w:r w:rsidRPr="00AF634C">
                      <w:rPr>
                        <w:rFonts w:ascii="Calibri" w:hAnsi="Calibri" w:cs="Calibri"/>
                        <w:color w:val="000000"/>
                        <w:sz w:val="24"/>
                      </w:rPr>
                      <w:t>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59.2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D06606"/>
    <w:multiLevelType w:val="hybridMultilevel"/>
    <w:tmpl w:val="53E86DFE"/>
    <w:lvl w:ilvl="0" w:tplc="3F8C3794">
      <w:start w:val="1"/>
      <w:numFmt w:val="bullet"/>
      <w:pStyle w:val="Chappar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8E4D33"/>
    <w:multiLevelType w:val="hybridMultilevel"/>
    <w:tmpl w:val="3078E36C"/>
    <w:lvl w:ilvl="0" w:tplc="FEFCB8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91238C4"/>
    <w:multiLevelType w:val="hybridMultilevel"/>
    <w:tmpl w:val="E8602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DB445B"/>
    <w:multiLevelType w:val="hybridMultilevel"/>
    <w:tmpl w:val="4036C226"/>
    <w:lvl w:ilvl="0" w:tplc="2A9A9DA6">
      <w:start w:val="1"/>
      <w:numFmt w:val="decimal"/>
      <w:pStyle w:val="ChapterHeading"/>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F04898"/>
    <w:multiLevelType w:val="hybridMultilevel"/>
    <w:tmpl w:val="E2927D20"/>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6670F79"/>
    <w:multiLevelType w:val="hybridMultilevel"/>
    <w:tmpl w:val="8E40BE5C"/>
    <w:lvl w:ilvl="0" w:tplc="F02EA6A4">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6AAE6F8C"/>
    <w:multiLevelType w:val="hybridMultilevel"/>
    <w:tmpl w:val="376EDB8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3"/>
  </w:num>
  <w:num w:numId="2">
    <w:abstractNumId w:val="0"/>
  </w:num>
  <w:num w:numId="3">
    <w:abstractNumId w:val="13"/>
  </w:num>
  <w:num w:numId="4">
    <w:abstractNumId w:val="5"/>
  </w:num>
  <w:num w:numId="5">
    <w:abstractNumId w:val="11"/>
  </w:num>
  <w:num w:numId="6">
    <w:abstractNumId w:val="7"/>
  </w:num>
  <w:num w:numId="7">
    <w:abstractNumId w:val="12"/>
  </w:num>
  <w:num w:numId="8">
    <w:abstractNumId w:val="4"/>
  </w:num>
  <w:num w:numId="9">
    <w:abstractNumId w:val="4"/>
  </w:num>
  <w:num w:numId="10">
    <w:abstractNumId w:val="15"/>
  </w:num>
  <w:num w:numId="11">
    <w:abstractNumId w:val="10"/>
  </w:num>
  <w:num w:numId="12">
    <w:abstractNumId w:val="6"/>
  </w:num>
  <w:num w:numId="13">
    <w:abstractNumId w:val="8"/>
  </w:num>
  <w:num w:numId="14">
    <w:abstractNumId w:val="9"/>
  </w:num>
  <w:num w:numId="15">
    <w:abstractNumId w:val="2"/>
  </w:num>
  <w:num w:numId="16">
    <w:abstractNumId w:val="14"/>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E3B"/>
    <w:rsid w:val="00041A18"/>
    <w:rsid w:val="0004622B"/>
    <w:rsid w:val="0005490C"/>
    <w:rsid w:val="00067793"/>
    <w:rsid w:val="00080D4D"/>
    <w:rsid w:val="00082DD7"/>
    <w:rsid w:val="00095620"/>
    <w:rsid w:val="000A2102"/>
    <w:rsid w:val="000A3940"/>
    <w:rsid w:val="000B6D45"/>
    <w:rsid w:val="000C028F"/>
    <w:rsid w:val="000D1710"/>
    <w:rsid w:val="000D43BB"/>
    <w:rsid w:val="000D4854"/>
    <w:rsid w:val="000E1A49"/>
    <w:rsid w:val="000E3E4D"/>
    <w:rsid w:val="000E42F5"/>
    <w:rsid w:val="000E4D91"/>
    <w:rsid w:val="000F0594"/>
    <w:rsid w:val="000F0CA8"/>
    <w:rsid w:val="000F24F5"/>
    <w:rsid w:val="000F2ED9"/>
    <w:rsid w:val="001006CA"/>
    <w:rsid w:val="00100F8B"/>
    <w:rsid w:val="00102172"/>
    <w:rsid w:val="00104E3A"/>
    <w:rsid w:val="00110652"/>
    <w:rsid w:val="00134B91"/>
    <w:rsid w:val="00140070"/>
    <w:rsid w:val="001526A2"/>
    <w:rsid w:val="00154F13"/>
    <w:rsid w:val="00154F16"/>
    <w:rsid w:val="001561CC"/>
    <w:rsid w:val="00156314"/>
    <w:rsid w:val="00172B28"/>
    <w:rsid w:val="00183FE0"/>
    <w:rsid w:val="0018553F"/>
    <w:rsid w:val="001A01CA"/>
    <w:rsid w:val="001A11D5"/>
    <w:rsid w:val="001B0583"/>
    <w:rsid w:val="001C30A8"/>
    <w:rsid w:val="001D5C4C"/>
    <w:rsid w:val="001D6AD7"/>
    <w:rsid w:val="0020079A"/>
    <w:rsid w:val="0021217D"/>
    <w:rsid w:val="00222F9E"/>
    <w:rsid w:val="002302A9"/>
    <w:rsid w:val="00231A0F"/>
    <w:rsid w:val="002363C9"/>
    <w:rsid w:val="00240517"/>
    <w:rsid w:val="00247B0B"/>
    <w:rsid w:val="00251A8F"/>
    <w:rsid w:val="002611B6"/>
    <w:rsid w:val="00263FFB"/>
    <w:rsid w:val="00265F50"/>
    <w:rsid w:val="00274B55"/>
    <w:rsid w:val="00274F84"/>
    <w:rsid w:val="0027787F"/>
    <w:rsid w:val="0028060B"/>
    <w:rsid w:val="0028120C"/>
    <w:rsid w:val="00283417"/>
    <w:rsid w:val="0028478D"/>
    <w:rsid w:val="0029245B"/>
    <w:rsid w:val="00295827"/>
    <w:rsid w:val="00295F16"/>
    <w:rsid w:val="00296C44"/>
    <w:rsid w:val="002A033F"/>
    <w:rsid w:val="002C6DC3"/>
    <w:rsid w:val="002D1FA9"/>
    <w:rsid w:val="002D50A3"/>
    <w:rsid w:val="002D74E4"/>
    <w:rsid w:val="002E6AD9"/>
    <w:rsid w:val="002F70E6"/>
    <w:rsid w:val="003007C0"/>
    <w:rsid w:val="003062F6"/>
    <w:rsid w:val="00307A79"/>
    <w:rsid w:val="003204D5"/>
    <w:rsid w:val="00320ED0"/>
    <w:rsid w:val="00322E6A"/>
    <w:rsid w:val="003314A0"/>
    <w:rsid w:val="00334F38"/>
    <w:rsid w:val="00381169"/>
    <w:rsid w:val="0038287C"/>
    <w:rsid w:val="0038358E"/>
    <w:rsid w:val="00387DDE"/>
    <w:rsid w:val="00391A01"/>
    <w:rsid w:val="003A0EB5"/>
    <w:rsid w:val="003A5711"/>
    <w:rsid w:val="003B1131"/>
    <w:rsid w:val="003C64D9"/>
    <w:rsid w:val="003D0CD0"/>
    <w:rsid w:val="003E2E42"/>
    <w:rsid w:val="003E4602"/>
    <w:rsid w:val="003E70E0"/>
    <w:rsid w:val="00403CE6"/>
    <w:rsid w:val="004110CA"/>
    <w:rsid w:val="0041160E"/>
    <w:rsid w:val="0042761F"/>
    <w:rsid w:val="00431162"/>
    <w:rsid w:val="00441EE0"/>
    <w:rsid w:val="00443482"/>
    <w:rsid w:val="00450308"/>
    <w:rsid w:val="00457AD1"/>
    <w:rsid w:val="0046427F"/>
    <w:rsid w:val="00485665"/>
    <w:rsid w:val="00491977"/>
    <w:rsid w:val="004A1329"/>
    <w:rsid w:val="004C1A87"/>
    <w:rsid w:val="004C4A2E"/>
    <w:rsid w:val="004C7B09"/>
    <w:rsid w:val="004E057E"/>
    <w:rsid w:val="004E44C8"/>
    <w:rsid w:val="004E53BE"/>
    <w:rsid w:val="004E77C1"/>
    <w:rsid w:val="004E7F82"/>
    <w:rsid w:val="004F3EA9"/>
    <w:rsid w:val="00501992"/>
    <w:rsid w:val="005026AC"/>
    <w:rsid w:val="00502D08"/>
    <w:rsid w:val="00506698"/>
    <w:rsid w:val="00510AE7"/>
    <w:rsid w:val="00512AAF"/>
    <w:rsid w:val="00520EFD"/>
    <w:rsid w:val="005215AF"/>
    <w:rsid w:val="0053062A"/>
    <w:rsid w:val="00535050"/>
    <w:rsid w:val="00536F3C"/>
    <w:rsid w:val="0054260E"/>
    <w:rsid w:val="00550D79"/>
    <w:rsid w:val="0055194D"/>
    <w:rsid w:val="005559AC"/>
    <w:rsid w:val="00555FB3"/>
    <w:rsid w:val="00557685"/>
    <w:rsid w:val="00557B5A"/>
    <w:rsid w:val="005611D0"/>
    <w:rsid w:val="00562823"/>
    <w:rsid w:val="00566BD4"/>
    <w:rsid w:val="0057287F"/>
    <w:rsid w:val="00576411"/>
    <w:rsid w:val="00577CAF"/>
    <w:rsid w:val="00580223"/>
    <w:rsid w:val="00594186"/>
    <w:rsid w:val="005948D8"/>
    <w:rsid w:val="005A05D1"/>
    <w:rsid w:val="005A53B8"/>
    <w:rsid w:val="005B202B"/>
    <w:rsid w:val="005B7816"/>
    <w:rsid w:val="005C10EB"/>
    <w:rsid w:val="005C2301"/>
    <w:rsid w:val="005C5A96"/>
    <w:rsid w:val="005D371D"/>
    <w:rsid w:val="005E7495"/>
    <w:rsid w:val="00621C12"/>
    <w:rsid w:val="00622658"/>
    <w:rsid w:val="00623E18"/>
    <w:rsid w:val="00625C5D"/>
    <w:rsid w:val="00635A22"/>
    <w:rsid w:val="00642083"/>
    <w:rsid w:val="00643B38"/>
    <w:rsid w:val="0065550D"/>
    <w:rsid w:val="00664295"/>
    <w:rsid w:val="00665364"/>
    <w:rsid w:val="00667B35"/>
    <w:rsid w:val="006713EB"/>
    <w:rsid w:val="00673A9B"/>
    <w:rsid w:val="00686129"/>
    <w:rsid w:val="00686D59"/>
    <w:rsid w:val="006876A8"/>
    <w:rsid w:val="006A3B77"/>
    <w:rsid w:val="006A49E3"/>
    <w:rsid w:val="006B1EFD"/>
    <w:rsid w:val="006B3E8D"/>
    <w:rsid w:val="006B5056"/>
    <w:rsid w:val="006C14E4"/>
    <w:rsid w:val="006C6DA8"/>
    <w:rsid w:val="006C76A4"/>
    <w:rsid w:val="006C7F61"/>
    <w:rsid w:val="006D26A3"/>
    <w:rsid w:val="006D407F"/>
    <w:rsid w:val="006E4BEC"/>
    <w:rsid w:val="006F0442"/>
    <w:rsid w:val="006F3150"/>
    <w:rsid w:val="006F55D3"/>
    <w:rsid w:val="00714F0F"/>
    <w:rsid w:val="007160BE"/>
    <w:rsid w:val="00722F65"/>
    <w:rsid w:val="007257CD"/>
    <w:rsid w:val="00734A4F"/>
    <w:rsid w:val="00734E8D"/>
    <w:rsid w:val="007414C6"/>
    <w:rsid w:val="00745CE3"/>
    <w:rsid w:val="00762BCC"/>
    <w:rsid w:val="00763BA3"/>
    <w:rsid w:val="00765B66"/>
    <w:rsid w:val="00766449"/>
    <w:rsid w:val="00767BB2"/>
    <w:rsid w:val="0077159C"/>
    <w:rsid w:val="00776D23"/>
    <w:rsid w:val="00777DC2"/>
    <w:rsid w:val="00780376"/>
    <w:rsid w:val="00780EE3"/>
    <w:rsid w:val="00791AAC"/>
    <w:rsid w:val="00792D42"/>
    <w:rsid w:val="00797D4C"/>
    <w:rsid w:val="00797DEE"/>
    <w:rsid w:val="007B7AC3"/>
    <w:rsid w:val="007C0E7E"/>
    <w:rsid w:val="007C4098"/>
    <w:rsid w:val="007D17C5"/>
    <w:rsid w:val="007D52EC"/>
    <w:rsid w:val="007E1A57"/>
    <w:rsid w:val="007F1CEE"/>
    <w:rsid w:val="00807C77"/>
    <w:rsid w:val="0081206D"/>
    <w:rsid w:val="00830C43"/>
    <w:rsid w:val="00837537"/>
    <w:rsid w:val="00842766"/>
    <w:rsid w:val="00847140"/>
    <w:rsid w:val="00852FBE"/>
    <w:rsid w:val="00854EBF"/>
    <w:rsid w:val="0086094D"/>
    <w:rsid w:val="00864D96"/>
    <w:rsid w:val="00866BD8"/>
    <w:rsid w:val="0086731C"/>
    <w:rsid w:val="00872382"/>
    <w:rsid w:val="00886906"/>
    <w:rsid w:val="008912FE"/>
    <w:rsid w:val="008A0667"/>
    <w:rsid w:val="008A245D"/>
    <w:rsid w:val="008A54FC"/>
    <w:rsid w:val="008B70CD"/>
    <w:rsid w:val="008D141C"/>
    <w:rsid w:val="008D2C13"/>
    <w:rsid w:val="008E6109"/>
    <w:rsid w:val="008F47AB"/>
    <w:rsid w:val="00907A34"/>
    <w:rsid w:val="009120D2"/>
    <w:rsid w:val="009170EA"/>
    <w:rsid w:val="0092076F"/>
    <w:rsid w:val="0092090D"/>
    <w:rsid w:val="00930439"/>
    <w:rsid w:val="00937AEB"/>
    <w:rsid w:val="00947845"/>
    <w:rsid w:val="009662E3"/>
    <w:rsid w:val="00966DD9"/>
    <w:rsid w:val="00986677"/>
    <w:rsid w:val="00991276"/>
    <w:rsid w:val="0099421C"/>
    <w:rsid w:val="009A2F3A"/>
    <w:rsid w:val="009A4925"/>
    <w:rsid w:val="009A7A45"/>
    <w:rsid w:val="009C3803"/>
    <w:rsid w:val="009C7C31"/>
    <w:rsid w:val="009D2C13"/>
    <w:rsid w:val="009D3BA5"/>
    <w:rsid w:val="009D4BA1"/>
    <w:rsid w:val="009D7D5A"/>
    <w:rsid w:val="009E47EB"/>
    <w:rsid w:val="009F3A37"/>
    <w:rsid w:val="009F6EA2"/>
    <w:rsid w:val="00A02090"/>
    <w:rsid w:val="00A03731"/>
    <w:rsid w:val="00A048A6"/>
    <w:rsid w:val="00A061CE"/>
    <w:rsid w:val="00A076B5"/>
    <w:rsid w:val="00A17F69"/>
    <w:rsid w:val="00A23870"/>
    <w:rsid w:val="00A274DB"/>
    <w:rsid w:val="00A30543"/>
    <w:rsid w:val="00A36D34"/>
    <w:rsid w:val="00A41E1E"/>
    <w:rsid w:val="00A435EC"/>
    <w:rsid w:val="00A6411D"/>
    <w:rsid w:val="00A673EB"/>
    <w:rsid w:val="00A73298"/>
    <w:rsid w:val="00A751C0"/>
    <w:rsid w:val="00A763EC"/>
    <w:rsid w:val="00A77DEB"/>
    <w:rsid w:val="00A87A4F"/>
    <w:rsid w:val="00A95ACB"/>
    <w:rsid w:val="00A97942"/>
    <w:rsid w:val="00AA079B"/>
    <w:rsid w:val="00AA086A"/>
    <w:rsid w:val="00AC0EA5"/>
    <w:rsid w:val="00AC2686"/>
    <w:rsid w:val="00AD1BE1"/>
    <w:rsid w:val="00AD7257"/>
    <w:rsid w:val="00AE791D"/>
    <w:rsid w:val="00AF0889"/>
    <w:rsid w:val="00AF2D0C"/>
    <w:rsid w:val="00AF3A59"/>
    <w:rsid w:val="00AF4C0E"/>
    <w:rsid w:val="00AF634C"/>
    <w:rsid w:val="00B14E5E"/>
    <w:rsid w:val="00B25910"/>
    <w:rsid w:val="00B26973"/>
    <w:rsid w:val="00B30D3B"/>
    <w:rsid w:val="00B372BB"/>
    <w:rsid w:val="00B432D4"/>
    <w:rsid w:val="00B5315C"/>
    <w:rsid w:val="00B576D7"/>
    <w:rsid w:val="00B80892"/>
    <w:rsid w:val="00B82735"/>
    <w:rsid w:val="00B91685"/>
    <w:rsid w:val="00B92306"/>
    <w:rsid w:val="00B92861"/>
    <w:rsid w:val="00BA7A69"/>
    <w:rsid w:val="00BB15E2"/>
    <w:rsid w:val="00BD28DF"/>
    <w:rsid w:val="00BD34D6"/>
    <w:rsid w:val="00BD403C"/>
    <w:rsid w:val="00BD6876"/>
    <w:rsid w:val="00BE0B23"/>
    <w:rsid w:val="00BE203B"/>
    <w:rsid w:val="00BE2864"/>
    <w:rsid w:val="00C00565"/>
    <w:rsid w:val="00C076BF"/>
    <w:rsid w:val="00C133C2"/>
    <w:rsid w:val="00C212B5"/>
    <w:rsid w:val="00C25F81"/>
    <w:rsid w:val="00C27F02"/>
    <w:rsid w:val="00C32C20"/>
    <w:rsid w:val="00C44908"/>
    <w:rsid w:val="00C504F4"/>
    <w:rsid w:val="00C512DE"/>
    <w:rsid w:val="00C56E9C"/>
    <w:rsid w:val="00C57E85"/>
    <w:rsid w:val="00C65BB4"/>
    <w:rsid w:val="00C66691"/>
    <w:rsid w:val="00C8071C"/>
    <w:rsid w:val="00C816CB"/>
    <w:rsid w:val="00C82461"/>
    <w:rsid w:val="00C91E3B"/>
    <w:rsid w:val="00CA07CC"/>
    <w:rsid w:val="00CA25B5"/>
    <w:rsid w:val="00CA419D"/>
    <w:rsid w:val="00CA4FCE"/>
    <w:rsid w:val="00CA5F8F"/>
    <w:rsid w:val="00CC5A6F"/>
    <w:rsid w:val="00CD07E7"/>
    <w:rsid w:val="00CD2D83"/>
    <w:rsid w:val="00CE271A"/>
    <w:rsid w:val="00CE6FF5"/>
    <w:rsid w:val="00CF5245"/>
    <w:rsid w:val="00D06683"/>
    <w:rsid w:val="00D07B1A"/>
    <w:rsid w:val="00D1101B"/>
    <w:rsid w:val="00D1167E"/>
    <w:rsid w:val="00D234E7"/>
    <w:rsid w:val="00D30E46"/>
    <w:rsid w:val="00D3663D"/>
    <w:rsid w:val="00D4349F"/>
    <w:rsid w:val="00D47EF6"/>
    <w:rsid w:val="00D50AC8"/>
    <w:rsid w:val="00D60A44"/>
    <w:rsid w:val="00D6627D"/>
    <w:rsid w:val="00D7390F"/>
    <w:rsid w:val="00D74F04"/>
    <w:rsid w:val="00D84EC9"/>
    <w:rsid w:val="00D90913"/>
    <w:rsid w:val="00D91883"/>
    <w:rsid w:val="00D92BEC"/>
    <w:rsid w:val="00DA18F2"/>
    <w:rsid w:val="00DB17F9"/>
    <w:rsid w:val="00DD5136"/>
    <w:rsid w:val="00DD6973"/>
    <w:rsid w:val="00DF2C67"/>
    <w:rsid w:val="00DF35BC"/>
    <w:rsid w:val="00DF3AE2"/>
    <w:rsid w:val="00DF7D21"/>
    <w:rsid w:val="00E03771"/>
    <w:rsid w:val="00E059C5"/>
    <w:rsid w:val="00E11D7E"/>
    <w:rsid w:val="00E14334"/>
    <w:rsid w:val="00E2303A"/>
    <w:rsid w:val="00E2436C"/>
    <w:rsid w:val="00E343BD"/>
    <w:rsid w:val="00E348D9"/>
    <w:rsid w:val="00E36601"/>
    <w:rsid w:val="00E46600"/>
    <w:rsid w:val="00E54F57"/>
    <w:rsid w:val="00E60351"/>
    <w:rsid w:val="00E668CE"/>
    <w:rsid w:val="00E71AE7"/>
    <w:rsid w:val="00E71ECC"/>
    <w:rsid w:val="00E752E6"/>
    <w:rsid w:val="00EA2ED5"/>
    <w:rsid w:val="00EA6088"/>
    <w:rsid w:val="00EB177E"/>
    <w:rsid w:val="00EC1A2C"/>
    <w:rsid w:val="00ED2C10"/>
    <w:rsid w:val="00F11542"/>
    <w:rsid w:val="00F212EB"/>
    <w:rsid w:val="00F232F0"/>
    <w:rsid w:val="00F23D13"/>
    <w:rsid w:val="00F32DEC"/>
    <w:rsid w:val="00F358C2"/>
    <w:rsid w:val="00F43E24"/>
    <w:rsid w:val="00F45561"/>
    <w:rsid w:val="00F465D3"/>
    <w:rsid w:val="00F51BD6"/>
    <w:rsid w:val="00F56F06"/>
    <w:rsid w:val="00F56F62"/>
    <w:rsid w:val="00F60267"/>
    <w:rsid w:val="00F60FB6"/>
    <w:rsid w:val="00F62D48"/>
    <w:rsid w:val="00F73815"/>
    <w:rsid w:val="00F743B5"/>
    <w:rsid w:val="00F7770D"/>
    <w:rsid w:val="00F841F1"/>
    <w:rsid w:val="00F905E7"/>
    <w:rsid w:val="00F91FDD"/>
    <w:rsid w:val="00F93115"/>
    <w:rsid w:val="00FA4E32"/>
    <w:rsid w:val="00FA5140"/>
    <w:rsid w:val="00FA5792"/>
    <w:rsid w:val="00FB04BE"/>
    <w:rsid w:val="00FB200D"/>
    <w:rsid w:val="00FB3571"/>
    <w:rsid w:val="00FB4F1D"/>
    <w:rsid w:val="00FE7EEC"/>
    <w:rsid w:val="00FF0E5A"/>
    <w:rsid w:val="00FF6FB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uiPriority w:val="99"/>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rsid w:val="001526A2"/>
    <w:rPr>
      <w:rFonts w:eastAsia="Calibri"/>
      <w:sz w:val="16"/>
      <w:szCs w:val="16"/>
      <w14:cntxtAlts/>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link w:val="ListParagraphChar"/>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qFormat/>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Parttitle">
    <w:name w:val="Part_title"/>
    <w:basedOn w:val="Normal"/>
    <w:next w:val="Normal"/>
    <w:rsid w:val="00240517"/>
    <w:pPr>
      <w:keepNext/>
      <w:keepLines/>
      <w:tabs>
        <w:tab w:val="left" w:pos="1134"/>
        <w:tab w:val="left" w:pos="1871"/>
        <w:tab w:val="left" w:pos="2268"/>
      </w:tabs>
      <w:overflowPunct w:val="0"/>
      <w:autoSpaceDE w:val="0"/>
      <w:autoSpaceDN w:val="0"/>
      <w:adjustRightInd w:val="0"/>
      <w:spacing w:after="280"/>
      <w:jc w:val="center"/>
      <w:textAlignment w:val="baseline"/>
    </w:pPr>
    <w:rPr>
      <w:rFonts w:ascii="Times New Roman Bold" w:eastAsia="Times New Roman" w:hAnsi="Times New Roman Bold"/>
      <w:b/>
      <w:sz w:val="28"/>
      <w:szCs w:val="20"/>
    </w:rPr>
  </w:style>
  <w:style w:type="table" w:customStyle="1" w:styleId="Grilledutableau25">
    <w:name w:val="Grille du tableau25"/>
    <w:basedOn w:val="TableNormal"/>
    <w:next w:val="TableGrid"/>
    <w:uiPriority w:val="3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next w:val="TableGrid"/>
    <w:uiPriority w:val="5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Normal"/>
    <w:next w:val="TableGrid"/>
    <w:uiPriority w:val="5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next w:val="TableGrid"/>
    <w:uiPriority w:val="5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ref">
    <w:name w:val="Rec_ref"/>
    <w:basedOn w:val="Normal"/>
    <w:next w:val="Normal"/>
    <w:rsid w:val="00140070"/>
    <w:pPr>
      <w:keepNext/>
      <w:keepLines/>
      <w:tabs>
        <w:tab w:val="left" w:pos="1134"/>
        <w:tab w:val="left" w:pos="1871"/>
        <w:tab w:val="left" w:pos="2268"/>
      </w:tabs>
      <w:overflowPunct w:val="0"/>
      <w:autoSpaceDE w:val="0"/>
      <w:autoSpaceDN w:val="0"/>
      <w:adjustRightInd w:val="0"/>
      <w:spacing w:before="120" w:after="0"/>
      <w:jc w:val="center"/>
      <w:textAlignment w:val="baseline"/>
    </w:pPr>
    <w:rPr>
      <w:rFonts w:ascii="Times New Roman" w:eastAsia="Times New Roman" w:hAnsi="Times New Roman"/>
      <w:sz w:val="24"/>
      <w:szCs w:val="20"/>
    </w:rPr>
  </w:style>
  <w:style w:type="character" w:styleId="UnresolvedMention">
    <w:name w:val="Unresolved Mention"/>
    <w:basedOn w:val="DefaultParagraphFont"/>
    <w:uiPriority w:val="99"/>
    <w:semiHidden/>
    <w:unhideWhenUsed/>
    <w:rsid w:val="00104E3A"/>
    <w:rPr>
      <w:color w:val="605E5C"/>
      <w:shd w:val="clear" w:color="auto" w:fill="E1DFDD"/>
    </w:rPr>
  </w:style>
  <w:style w:type="paragraph" w:customStyle="1" w:styleId="Tabletext">
    <w:name w:val="Table_text"/>
    <w:basedOn w:val="Normal"/>
    <w:link w:val="TabletextChar"/>
    <w:qFormat/>
    <w:rsid w:val="0029245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eastAsia="Times New Roman" w:hAnsi="Times New Roman"/>
      <w:szCs w:val="20"/>
    </w:rPr>
  </w:style>
  <w:style w:type="paragraph" w:customStyle="1" w:styleId="Tablehead">
    <w:name w:val="Table_head"/>
    <w:basedOn w:val="Normal"/>
    <w:link w:val="TableheadChar"/>
    <w:qFormat/>
    <w:rsid w:val="0029245B"/>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imes New Roman" w:hAnsi="Times New Roman Bold" w:cs="Times New Roman Bold"/>
      <w:b/>
      <w:szCs w:val="20"/>
    </w:rPr>
  </w:style>
  <w:style w:type="paragraph" w:customStyle="1" w:styleId="Tabletitle">
    <w:name w:val="Table_title"/>
    <w:basedOn w:val="Normal"/>
    <w:next w:val="Tabletext"/>
    <w:link w:val="TabletitleChar"/>
    <w:qFormat/>
    <w:rsid w:val="0029245B"/>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rPr>
  </w:style>
  <w:style w:type="character" w:customStyle="1" w:styleId="TableheadChar">
    <w:name w:val="Table_head Char"/>
    <w:basedOn w:val="DefaultParagraphFont"/>
    <w:link w:val="Tablehead"/>
    <w:qFormat/>
    <w:locked/>
    <w:rsid w:val="0029245B"/>
    <w:rPr>
      <w:rFonts w:ascii="Times New Roman Bold" w:hAnsi="Times New Roman Bold" w:cs="Times New Roman Bold"/>
      <w:b/>
      <w:lang w:val="en-GB"/>
    </w:rPr>
  </w:style>
  <w:style w:type="character" w:customStyle="1" w:styleId="TabletitleChar">
    <w:name w:val="Table_title Char"/>
    <w:basedOn w:val="DefaultParagraphFont"/>
    <w:link w:val="Tabletitle"/>
    <w:qFormat/>
    <w:locked/>
    <w:rsid w:val="0029245B"/>
    <w:rPr>
      <w:rFonts w:ascii="Times New Roman Bold" w:hAnsi="Times New Roman Bold"/>
      <w:b/>
      <w:lang w:val="en-GB"/>
    </w:rPr>
  </w:style>
  <w:style w:type="character" w:customStyle="1" w:styleId="TabletextChar">
    <w:name w:val="Table_text Char"/>
    <w:basedOn w:val="DefaultParagraphFont"/>
    <w:link w:val="Tabletext"/>
    <w:qFormat/>
    <w:locked/>
    <w:rsid w:val="0029245B"/>
    <w:rPr>
      <w:rFonts w:ascii="Times New Roman" w:hAnsi="Times New Roman"/>
      <w:lang w:val="en-GB"/>
    </w:rPr>
  </w:style>
  <w:style w:type="paragraph" w:customStyle="1" w:styleId="Rientra1">
    <w:name w:val="Rientra1"/>
    <w:basedOn w:val="Normal"/>
    <w:uiPriority w:val="99"/>
    <w:rsid w:val="0029245B"/>
    <w:pPr>
      <w:numPr>
        <w:numId w:val="10"/>
      </w:numPr>
      <w:tabs>
        <w:tab w:val="left" w:pos="0"/>
      </w:tabs>
      <w:suppressAutoHyphens/>
      <w:autoSpaceDN w:val="0"/>
      <w:spacing w:before="60"/>
    </w:pPr>
    <w:rPr>
      <w:rFonts w:ascii="Times New Roman" w:eastAsia="SimSun" w:hAnsi="Times New Roman"/>
      <w:szCs w:val="20"/>
    </w:rPr>
  </w:style>
  <w:style w:type="numbering" w:customStyle="1" w:styleId="LFO19">
    <w:name w:val="LFO19"/>
    <w:basedOn w:val="NoList"/>
    <w:rsid w:val="0029245B"/>
    <w:pPr>
      <w:numPr>
        <w:numId w:val="10"/>
      </w:numPr>
    </w:pPr>
  </w:style>
  <w:style w:type="paragraph" w:styleId="Footer">
    <w:name w:val="footer"/>
    <w:basedOn w:val="Normal"/>
    <w:link w:val="FooterChar"/>
    <w:uiPriority w:val="99"/>
    <w:unhideWhenUsed/>
    <w:locked/>
    <w:rsid w:val="00A048A6"/>
    <w:pPr>
      <w:tabs>
        <w:tab w:val="center" w:pos="4513"/>
        <w:tab w:val="right" w:pos="9026"/>
      </w:tabs>
      <w:spacing w:before="0" w:after="0"/>
    </w:pPr>
  </w:style>
  <w:style w:type="character" w:customStyle="1" w:styleId="FooterChar">
    <w:name w:val="Footer Char"/>
    <w:basedOn w:val="DefaultParagraphFont"/>
    <w:link w:val="Footer"/>
    <w:uiPriority w:val="99"/>
    <w:rsid w:val="00A048A6"/>
    <w:rPr>
      <w:rFonts w:eastAsia="Calibri"/>
      <w:szCs w:val="22"/>
      <w:lang w:val="en-GB"/>
    </w:rPr>
  </w:style>
  <w:style w:type="table" w:styleId="TableGridLight">
    <w:name w:val="Grid Table Light"/>
    <w:basedOn w:val="TableNormal"/>
    <w:uiPriority w:val="40"/>
    <w:rsid w:val="00E2436C"/>
    <w:pPr>
      <w:spacing w:before="0" w:after="0"/>
      <w:jc w:val="left"/>
    </w:pPr>
    <w:rPr>
      <w:rFonts w:ascii="Calibri" w:eastAsia="SimSu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ListParagraphChar">
    <w:name w:val="List Paragraph Char"/>
    <w:link w:val="ListParagraph"/>
    <w:uiPriority w:val="34"/>
    <w:locked/>
    <w:rsid w:val="00E2436C"/>
    <w:rPr>
      <w:rFonts w:eastAsia="Calibri"/>
      <w:szCs w:val="22"/>
      <w:lang w:val="en-GB"/>
    </w:rPr>
  </w:style>
  <w:style w:type="table" w:customStyle="1" w:styleId="TableGrid3">
    <w:name w:val="Table Grid3"/>
    <w:basedOn w:val="TableNormal"/>
    <w:qFormat/>
    <w:rsid w:val="00E2436C"/>
    <w:pPr>
      <w:spacing w:before="0" w:after="0"/>
      <w:jc w:val="left"/>
    </w:pPr>
    <w:rPr>
      <w:rFonts w:ascii="CG Times" w:eastAsia="SimSun" w:hAnsi="CG Times"/>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basedOn w:val="ListParagraph"/>
    <w:qFormat/>
    <w:rsid w:val="00E2436C"/>
    <w:pPr>
      <w:numPr>
        <w:numId w:val="13"/>
      </w:numPr>
      <w:spacing w:after="240"/>
    </w:pPr>
    <w:rPr>
      <w:rFonts w:ascii="Calibri" w:eastAsia="SimSun" w:hAnsi="Calibri" w:cs="Calibri"/>
      <w:b/>
      <w:sz w:val="24"/>
      <w:szCs w:val="24"/>
      <w:lang w:val="en-US"/>
    </w:rPr>
  </w:style>
  <w:style w:type="paragraph" w:customStyle="1" w:styleId="Chapter2Heading">
    <w:name w:val="Chapter 2 Heading"/>
    <w:basedOn w:val="Normal"/>
    <w:qFormat/>
    <w:rsid w:val="00E2436C"/>
    <w:pPr>
      <w:spacing w:after="120"/>
    </w:pPr>
    <w:rPr>
      <w:rFonts w:ascii="Calibri" w:eastAsia="SimSun" w:hAnsi="Calibri" w:cs="Calibri"/>
      <w:b/>
      <w:bCs/>
      <w:szCs w:val="20"/>
      <w:lang w:val="en-US"/>
    </w:rPr>
  </w:style>
  <w:style w:type="character" w:styleId="IntenseEmphasis">
    <w:name w:val="Intense Emphasis"/>
    <w:basedOn w:val="DefaultParagraphFont"/>
    <w:uiPriority w:val="21"/>
    <w:qFormat/>
    <w:locked/>
    <w:rsid w:val="00512AAF"/>
    <w:rPr>
      <w:i/>
      <w:iCs/>
      <w:color w:val="4F81BD" w:themeColor="accent1"/>
    </w:rPr>
  </w:style>
  <w:style w:type="paragraph" w:customStyle="1" w:styleId="Chappara">
    <w:name w:val="Chap para"/>
    <w:basedOn w:val="ListParagraph"/>
    <w:qFormat/>
    <w:rsid w:val="00947845"/>
    <w:pPr>
      <w:numPr>
        <w:numId w:val="17"/>
      </w:numPr>
      <w:spacing w:before="0" w:after="200" w:line="276" w:lineRule="auto"/>
      <w:jc w:val="left"/>
    </w:pPr>
    <w:rPr>
      <w:rFonts w:ascii="Calibri" w:eastAsia="SimSun" w:hAnsi="Calibri"/>
      <w:lang w:val="en-US"/>
    </w:rPr>
  </w:style>
  <w:style w:type="paragraph" w:styleId="NormalWeb">
    <w:name w:val="Normal (Web)"/>
    <w:basedOn w:val="Normal"/>
    <w:uiPriority w:val="99"/>
    <w:semiHidden/>
    <w:unhideWhenUsed/>
    <w:locked/>
    <w:rsid w:val="00686129"/>
    <w:pPr>
      <w:spacing w:before="100" w:beforeAutospacing="1" w:after="100" w:afterAutospacing="1"/>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7429">
      <w:bodyDiv w:val="1"/>
      <w:marLeft w:val="0"/>
      <w:marRight w:val="0"/>
      <w:marTop w:val="0"/>
      <w:marBottom w:val="0"/>
      <w:divBdr>
        <w:top w:val="none" w:sz="0" w:space="0" w:color="auto"/>
        <w:left w:val="none" w:sz="0" w:space="0" w:color="auto"/>
        <w:bottom w:val="none" w:sz="0" w:space="0" w:color="auto"/>
        <w:right w:val="none" w:sz="0" w:space="0" w:color="auto"/>
      </w:divBdr>
    </w:div>
    <w:div w:id="487795056">
      <w:bodyDiv w:val="1"/>
      <w:marLeft w:val="0"/>
      <w:marRight w:val="0"/>
      <w:marTop w:val="0"/>
      <w:marBottom w:val="0"/>
      <w:divBdr>
        <w:top w:val="none" w:sz="0" w:space="0" w:color="auto"/>
        <w:left w:val="none" w:sz="0" w:space="0" w:color="auto"/>
        <w:bottom w:val="none" w:sz="0" w:space="0" w:color="auto"/>
        <w:right w:val="none" w:sz="0" w:space="0" w:color="auto"/>
      </w:divBdr>
    </w:div>
    <w:div w:id="1220896600">
      <w:bodyDiv w:val="1"/>
      <w:marLeft w:val="0"/>
      <w:marRight w:val="0"/>
      <w:marTop w:val="0"/>
      <w:marBottom w:val="0"/>
      <w:divBdr>
        <w:top w:val="none" w:sz="0" w:space="0" w:color="auto"/>
        <w:left w:val="none" w:sz="0" w:space="0" w:color="auto"/>
        <w:bottom w:val="none" w:sz="0" w:space="0" w:color="auto"/>
        <w:right w:val="none" w:sz="0" w:space="0" w:color="auto"/>
      </w:divBdr>
      <w:divsChild>
        <w:div w:id="1622540930">
          <w:marLeft w:val="446"/>
          <w:marRight w:val="0"/>
          <w:marTop w:val="0"/>
          <w:marBottom w:val="0"/>
          <w:divBdr>
            <w:top w:val="none" w:sz="0" w:space="0" w:color="auto"/>
            <w:left w:val="none" w:sz="0" w:space="0" w:color="auto"/>
            <w:bottom w:val="none" w:sz="0" w:space="0" w:color="auto"/>
            <w:right w:val="none" w:sz="0" w:space="0" w:color="auto"/>
          </w:divBdr>
        </w:div>
        <w:div w:id="712383228">
          <w:marLeft w:val="446"/>
          <w:marRight w:val="0"/>
          <w:marTop w:val="0"/>
          <w:marBottom w:val="0"/>
          <w:divBdr>
            <w:top w:val="none" w:sz="0" w:space="0" w:color="auto"/>
            <w:left w:val="none" w:sz="0" w:space="0" w:color="auto"/>
            <w:bottom w:val="none" w:sz="0" w:space="0" w:color="auto"/>
            <w:right w:val="none" w:sz="0" w:space="0" w:color="auto"/>
          </w:divBdr>
        </w:div>
      </w:divsChild>
    </w:div>
    <w:div w:id="1303266132">
      <w:bodyDiv w:val="1"/>
      <w:marLeft w:val="0"/>
      <w:marRight w:val="0"/>
      <w:marTop w:val="0"/>
      <w:marBottom w:val="0"/>
      <w:divBdr>
        <w:top w:val="none" w:sz="0" w:space="0" w:color="auto"/>
        <w:left w:val="none" w:sz="0" w:space="0" w:color="auto"/>
        <w:bottom w:val="none" w:sz="0" w:space="0" w:color="auto"/>
        <w:right w:val="none" w:sz="0" w:space="0" w:color="auto"/>
      </w:divBdr>
      <w:divsChild>
        <w:div w:id="667633329">
          <w:marLeft w:val="446"/>
          <w:marRight w:val="0"/>
          <w:marTop w:val="0"/>
          <w:marBottom w:val="0"/>
          <w:divBdr>
            <w:top w:val="none" w:sz="0" w:space="0" w:color="auto"/>
            <w:left w:val="none" w:sz="0" w:space="0" w:color="auto"/>
            <w:bottom w:val="none" w:sz="0" w:space="0" w:color="auto"/>
            <w:right w:val="none" w:sz="0" w:space="0" w:color="auto"/>
          </w:divBdr>
        </w:div>
        <w:div w:id="1013143957">
          <w:marLeft w:val="446"/>
          <w:marRight w:val="0"/>
          <w:marTop w:val="0"/>
          <w:marBottom w:val="0"/>
          <w:divBdr>
            <w:top w:val="none" w:sz="0" w:space="0" w:color="auto"/>
            <w:left w:val="none" w:sz="0" w:space="0" w:color="auto"/>
            <w:bottom w:val="none" w:sz="0" w:space="0" w:color="auto"/>
            <w:right w:val="none" w:sz="0" w:space="0" w:color="auto"/>
          </w:divBdr>
        </w:div>
      </w:divsChild>
    </w:div>
    <w:div w:id="1377436958">
      <w:bodyDiv w:val="1"/>
      <w:marLeft w:val="0"/>
      <w:marRight w:val="0"/>
      <w:marTop w:val="0"/>
      <w:marBottom w:val="0"/>
      <w:divBdr>
        <w:top w:val="none" w:sz="0" w:space="0" w:color="auto"/>
        <w:left w:val="none" w:sz="0" w:space="0" w:color="auto"/>
        <w:bottom w:val="none" w:sz="0" w:space="0" w:color="auto"/>
        <w:right w:val="none" w:sz="0" w:space="0" w:color="auto"/>
      </w:divBdr>
      <w:divsChild>
        <w:div w:id="801073005">
          <w:marLeft w:val="446"/>
          <w:marRight w:val="0"/>
          <w:marTop w:val="0"/>
          <w:marBottom w:val="0"/>
          <w:divBdr>
            <w:top w:val="none" w:sz="0" w:space="0" w:color="auto"/>
            <w:left w:val="none" w:sz="0" w:space="0" w:color="auto"/>
            <w:bottom w:val="none" w:sz="0" w:space="0" w:color="auto"/>
            <w:right w:val="none" w:sz="0" w:space="0" w:color="auto"/>
          </w:divBdr>
        </w:div>
        <w:div w:id="1531527735">
          <w:marLeft w:val="446"/>
          <w:marRight w:val="0"/>
          <w:marTop w:val="0"/>
          <w:marBottom w:val="0"/>
          <w:divBdr>
            <w:top w:val="none" w:sz="0" w:space="0" w:color="auto"/>
            <w:left w:val="none" w:sz="0" w:space="0" w:color="auto"/>
            <w:bottom w:val="none" w:sz="0" w:space="0" w:color="auto"/>
            <w:right w:val="none" w:sz="0" w:space="0" w:color="auto"/>
          </w:divBdr>
        </w:div>
      </w:divsChild>
    </w:div>
    <w:div w:id="1509637654">
      <w:bodyDiv w:val="1"/>
      <w:marLeft w:val="0"/>
      <w:marRight w:val="0"/>
      <w:marTop w:val="0"/>
      <w:marBottom w:val="0"/>
      <w:divBdr>
        <w:top w:val="none" w:sz="0" w:space="0" w:color="auto"/>
        <w:left w:val="none" w:sz="0" w:space="0" w:color="auto"/>
        <w:bottom w:val="none" w:sz="0" w:space="0" w:color="auto"/>
        <w:right w:val="none" w:sz="0" w:space="0" w:color="auto"/>
      </w:divBdr>
      <w:divsChild>
        <w:div w:id="770978452">
          <w:marLeft w:val="446"/>
          <w:marRight w:val="0"/>
          <w:marTop w:val="0"/>
          <w:marBottom w:val="0"/>
          <w:divBdr>
            <w:top w:val="none" w:sz="0" w:space="0" w:color="auto"/>
            <w:left w:val="none" w:sz="0" w:space="0" w:color="auto"/>
            <w:bottom w:val="none" w:sz="0" w:space="0" w:color="auto"/>
            <w:right w:val="none" w:sz="0" w:space="0" w:color="auto"/>
          </w:divBdr>
        </w:div>
        <w:div w:id="1449162226">
          <w:marLeft w:val="446"/>
          <w:marRight w:val="0"/>
          <w:marTop w:val="0"/>
          <w:marBottom w:val="0"/>
          <w:divBdr>
            <w:top w:val="none" w:sz="0" w:space="0" w:color="auto"/>
            <w:left w:val="none" w:sz="0" w:space="0" w:color="auto"/>
            <w:bottom w:val="none" w:sz="0" w:space="0" w:color="auto"/>
            <w:right w:val="none" w:sz="0" w:space="0" w:color="auto"/>
          </w:divBdr>
        </w:div>
      </w:divsChild>
    </w:div>
    <w:div w:id="1631399608">
      <w:bodyDiv w:val="1"/>
      <w:marLeft w:val="0"/>
      <w:marRight w:val="0"/>
      <w:marTop w:val="0"/>
      <w:marBottom w:val="0"/>
      <w:divBdr>
        <w:top w:val="none" w:sz="0" w:space="0" w:color="auto"/>
        <w:left w:val="none" w:sz="0" w:space="0" w:color="auto"/>
        <w:bottom w:val="none" w:sz="0" w:space="0" w:color="auto"/>
        <w:right w:val="none" w:sz="0" w:space="0" w:color="auto"/>
      </w:divBdr>
    </w:div>
    <w:div w:id="17088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itu.int/md/R19-WP5D-C-0782/en" TargetMode="External"/><Relationship Id="rId18" Type="http://schemas.openxmlformats.org/officeDocument/2006/relationships/hyperlink" Target="https://www.itu.int/md/R19-WP5D-C-0716/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R19-WP5D-C-1318/en" TargetMode="External"/><Relationship Id="rId7" Type="http://schemas.openxmlformats.org/officeDocument/2006/relationships/endnotes" Target="endnotes.xml"/><Relationship Id="rId12" Type="http://schemas.openxmlformats.org/officeDocument/2006/relationships/hyperlink" Target="https://www.itu.int/md/R19-WP5D-C-0996/en" TargetMode="External"/><Relationship Id="rId17" Type="http://schemas.openxmlformats.org/officeDocument/2006/relationships/hyperlink" Target="https://www.itu.int/md/R19-WP5D-C-0716/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md/R19-WP5D-C-0716/en" TargetMode="External"/><Relationship Id="rId20" Type="http://schemas.openxmlformats.org/officeDocument/2006/relationships/hyperlink" Target="https://www.itu.int/md/R19-WP5D-C-071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WP5D-C-0996/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md/R19-WP5D-C-0782/en"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tu.int/md/R19-WP5D-C-0716/en" TargetMode="External"/><Relationship Id="rId14" Type="http://schemas.openxmlformats.org/officeDocument/2006/relationships/hyperlink" Target="https://www.itu.int/md/R19-WP5D-C-1042/en" TargetMode="External"/><Relationship Id="rId22" Type="http://schemas.openxmlformats.org/officeDocument/2006/relationships/image" Target="media/image5.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R19-WP5D-C-0996/en" TargetMode="External"/><Relationship Id="rId2" Type="http://schemas.openxmlformats.org/officeDocument/2006/relationships/hyperlink" Target="https://stats.oecd.org/Index.aspx?DataSetCode=BUILT_UP" TargetMode="External"/><Relationship Id="rId1" Type="http://schemas.openxmlformats.org/officeDocument/2006/relationships/hyperlink" Target="https://www.itu.int/md/R19-WP5D-C-0716/en" TargetMode="External"/><Relationship Id="rId5" Type="http://schemas.openxmlformats.org/officeDocument/2006/relationships/hyperlink" Target="https://www.itu.int/md/R19-WP5D-C-1042/en" TargetMode="External"/><Relationship Id="rId4" Type="http://schemas.openxmlformats.org/officeDocument/2006/relationships/hyperlink" Target="https://www.itu.int/md/R19-WP5D-C-0782/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54D3-B61A-4AC2-9D73-75A1FB0D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19</TotalTime>
  <Pages>10</Pages>
  <Words>3786</Words>
  <Characters>21581</Characters>
  <Application>Microsoft Office Word</Application>
  <DocSecurity>4</DocSecurity>
  <Lines>179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25317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Faye Tendall</cp:lastModifiedBy>
  <cp:revision>2</cp:revision>
  <cp:lastPrinted>2016-10-04T08:55:00Z</cp:lastPrinted>
  <dcterms:created xsi:type="dcterms:W3CDTF">2022-09-20T13:55:00Z</dcterms:created>
  <dcterms:modified xsi:type="dcterms:W3CDTF">2022-09-20T13:55:00Z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(2)0Y9WAv6CZny0XxtYhra8xfRgx0hHeKfBwXoM0qABMurXXSHpop00x/ADRFR57p3XWWv++IQT
zeXSAmPtqg4STFeim+F5sdQIU108atXSi8HiSQJH0UEwYTkV0LQ7ayIz7q5siEjW3lkutou2
51TeAHkENWsVNtKzZymsAWhihi8vhLbSlrr2f3eW9SkpDVrSM+WDRL91uPbGphRZUK9P3XS+
Fv23LMOYKNgjaU0dp7</vt:lpwstr>
  </property>
  <property fmtid="{D5CDD505-2E9C-101B-9397-08002B2CF9AE}" pid="3" name="_2015_ms_pID_7253431">
    <vt:lpwstr>HE55IU+HWeUYjZ43XfbNucuPxSVLylVuiW3Ie9cTQ83I0FBG6142LO
ndDSx/uXuwVSDnG2RkYRGMIG6CNHZbsNVfixak+IjLlDOiaB1CrTIiOkNclIe4IEGrkmovsD
g8kSS6Zlx6MkARoBgEzvLQ4Ab5ue38e/khqlat5OiXmAnY3GkJ9UzYca8/SEZFAQJSxmS9Yl
dS979EL59RKwigoE</vt:lpwstr>
  </property>
  <property fmtid="{D5CDD505-2E9C-101B-9397-08002B2CF9AE}" pid="4" name="MSIP_Label_fd62d909-8ced-407f-8be5-423ea0394e59_Enabled">
    <vt:lpwstr>true</vt:lpwstr>
  </property>
  <property fmtid="{D5CDD505-2E9C-101B-9397-08002B2CF9AE}" pid="5" name="MSIP_Label_fd62d909-8ced-407f-8be5-423ea0394e59_SetDate">
    <vt:lpwstr>2022-09-20T13:55:33Z</vt:lpwstr>
  </property>
  <property fmtid="{D5CDD505-2E9C-101B-9397-08002B2CF9AE}" pid="6" name="MSIP_Label_fd62d909-8ced-407f-8be5-423ea0394e59_Method">
    <vt:lpwstr>Privileged</vt:lpwstr>
  </property>
  <property fmtid="{D5CDD505-2E9C-101B-9397-08002B2CF9AE}" pid="7" name="MSIP_Label_fd62d909-8ced-407f-8be5-423ea0394e59_Name">
    <vt:lpwstr>fd62d909-8ced-407f-8be5-423ea0394e59</vt:lpwstr>
  </property>
  <property fmtid="{D5CDD505-2E9C-101B-9397-08002B2CF9AE}" pid="8" name="MSIP_Label_fd62d909-8ced-407f-8be5-423ea0394e59_SiteId">
    <vt:lpwstr>0af648de-310c-4068-8ae4-f9418bae24cc</vt:lpwstr>
  </property>
  <property fmtid="{D5CDD505-2E9C-101B-9397-08002B2CF9AE}" pid="9" name="MSIP_Label_fd62d909-8ced-407f-8be5-423ea0394e59_ActionId">
    <vt:lpwstr>d9cd04cc-d075-4d9d-852d-35f7d766abfa</vt:lpwstr>
  </property>
  <property fmtid="{D5CDD505-2E9C-101B-9397-08002B2CF9AE}" pid="10" name="MSIP_Label_fd62d909-8ced-407f-8be5-423ea0394e59_ContentBits">
    <vt:lpwstr>1</vt:lpwstr>
  </property>
</Properties>
</file>