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Default="000C0823">
      <w:r w:rsidRPr="000C0823">
        <w:rPr>
          <w:b/>
          <w:noProof/>
          <w:sz w:val="24"/>
          <w:lang w:val="en-GB" w:eastAsia="en-GB"/>
        </w:rPr>
        <mc:AlternateContent>
          <mc:Choice Requires="wps">
            <w:drawing>
              <wp:anchor distT="0" distB="0" distL="114300" distR="114300" simplePos="0" relativeHeight="251660288" behindDoc="0" locked="0" layoutInCell="1" allowOverlap="1" wp14:anchorId="1E537DB7" wp14:editId="040A9686">
                <wp:simplePos x="0" y="0"/>
                <wp:positionH relativeFrom="column">
                  <wp:posOffset>4288638</wp:posOffset>
                </wp:positionH>
                <wp:positionV relativeFrom="paragraph">
                  <wp:posOffset>-634621</wp:posOffset>
                </wp:positionV>
                <wp:extent cx="2170610" cy="1403985"/>
                <wp:effectExtent l="0" t="0" r="127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610" cy="1403985"/>
                        </a:xfrm>
                        <a:prstGeom prst="rect">
                          <a:avLst/>
                        </a:prstGeom>
                        <a:solidFill>
                          <a:srgbClr val="FFFFFF"/>
                        </a:solidFill>
                        <a:ln w="9525">
                          <a:noFill/>
                          <a:miter lim="800000"/>
                          <a:headEnd/>
                          <a:tailEnd/>
                        </a:ln>
                      </wps:spPr>
                      <wps:txbx>
                        <w:txbxContent>
                          <w:p w:rsidR="0033647A" w:rsidRPr="004A4A1F" w:rsidRDefault="00E4274A" w:rsidP="000C0823">
                            <w:pPr>
                              <w:jc w:val="right"/>
                              <w:rPr>
                                <w:b/>
                                <w:sz w:val="24"/>
                                <w:lang w:val="de-DE"/>
                              </w:rPr>
                            </w:pPr>
                            <w:r>
                              <w:rPr>
                                <w:b/>
                                <w:sz w:val="24"/>
                                <w:lang w:val="de-DE"/>
                              </w:rPr>
                              <w:t>ECC(14)061 Annex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37.7pt;margin-top:-49.95pt;width:170.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" stroked="f">
                <v:textbox style="mso-fit-shape-to-text:t">
                  <w:txbxContent>
                    <w:p w:rsidR="0033647A" w:rsidRPr="004A4A1F" w:rsidRDefault="00E4274A" w:rsidP="000C0823">
                      <w:pPr>
                        <w:jc w:val="right"/>
                        <w:rPr>
                          <w:b/>
                          <w:sz w:val="24"/>
                          <w:lang w:val="de-DE"/>
                        </w:rPr>
                      </w:pPr>
                      <w:r>
                        <w:rPr>
                          <w:b/>
                          <w:sz w:val="24"/>
                          <w:lang w:val="de-DE"/>
                        </w:rPr>
                        <w:t>ECC(14)061 Annex 4</w:t>
                      </w:r>
                    </w:p>
                  </w:txbxContent>
                </v:textbox>
              </v:shape>
            </w:pict>
          </mc:Fallback>
        </mc:AlternateContent>
      </w:r>
    </w:p>
    <w:p w:rsidR="00AB46DF" w:rsidRPr="0010769E" w:rsidRDefault="00AB46DF" w:rsidP="00AB46DF">
      <w:pPr>
        <w:jc w:val="center"/>
      </w:pPr>
    </w:p>
    <w:p w:rsidR="00AB46DF" w:rsidRPr="0010769E" w:rsidRDefault="00AB46DF" w:rsidP="00AB46DF">
      <w:pPr>
        <w:jc w:val="center"/>
      </w:pPr>
    </w:p>
    <w:p w:rsidR="00AB46DF" w:rsidRPr="0010769E" w:rsidRDefault="00FC336F" w:rsidP="00AB46DF">
      <w:r>
        <w:rPr>
          <w:noProof/>
          <w:lang w:val="en-GB" w:eastAsia="en-GB"/>
        </w:rPr>
        <mc:AlternateContent>
          <mc:Choice Requires="wps">
            <w:drawing>
              <wp:anchor distT="0" distB="0" distL="114300" distR="114300" simplePos="0" relativeHeight="251661312" behindDoc="0" locked="0" layoutInCell="1" allowOverlap="1" wp14:anchorId="253D3945" wp14:editId="38CAD473">
                <wp:simplePos x="0" y="0"/>
                <wp:positionH relativeFrom="column">
                  <wp:posOffset>4626610</wp:posOffset>
                </wp:positionH>
                <wp:positionV relativeFrom="paragraph">
                  <wp:posOffset>62230</wp:posOffset>
                </wp:positionV>
                <wp:extent cx="2095500" cy="203200"/>
                <wp:effectExtent l="0" t="0" r="0" b="6350"/>
                <wp:wrapNone/>
                <wp:docPr id="3" name="Textfeld 3"/>
                <wp:cNvGraphicFramePr/>
                <a:graphic xmlns:a="http://schemas.openxmlformats.org/drawingml/2006/main">
                  <a:graphicData uri="http://schemas.microsoft.com/office/word/2010/wordprocessingShape">
                    <wps:wsp>
                      <wps:cNvSpPr txBox="1"/>
                      <wps:spPr>
                        <a:xfrm>
                          <a:off x="0" y="0"/>
                          <a:ext cx="20955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336F" w:rsidRPr="00FC336F" w:rsidRDefault="00FC336F">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 o:spid="_x0000_s1027" type="#_x0000_t202" style="position:absolute;margin-left:364.3pt;margin-top:4.9pt;width:165pt;height: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" fillcolor="white [3201]" stroked="f" strokeweight=".5pt">
                <v:textbox>
                  <w:txbxContent>
                    <w:p w:rsidR="00FC336F" w:rsidRPr="00FC336F" w:rsidRDefault="00FC336F">
                      <w:pPr>
                        <w:rPr>
                          <w:lang w:val="de-DE"/>
                        </w:rPr>
                      </w:pPr>
                    </w:p>
                  </w:txbxContent>
                </v:textbox>
              </v:shape>
            </w:pict>
          </mc:Fallback>
        </mc:AlternateContent>
      </w:r>
    </w:p>
    <w:p w:rsidR="00AB46DF" w:rsidRPr="0010769E" w:rsidRDefault="00AB46DF" w:rsidP="00AB46DF"/>
    <w:p w:rsidR="00AB46DF" w:rsidRPr="0010769E" w:rsidRDefault="00D20E3B" w:rsidP="00AB46DF">
      <w:pPr>
        <w:jc w:val="center"/>
        <w:rPr>
          <w:b/>
          <w:sz w:val="24"/>
        </w:rPr>
      </w:pPr>
      <w:r>
        <w:rPr>
          <w:b/>
          <w:noProof/>
          <w:sz w:val="24"/>
          <w:szCs w:val="20"/>
          <w:lang w:val="en-GB" w:eastAsia="en-GB"/>
        </w:rPr>
        <mc:AlternateContent>
          <mc:Choice Requires="wpg">
            <w:drawing>
              <wp:anchor distT="0" distB="0" distL="114300" distR="114300" simplePos="0" relativeHeight="251658240" behindDoc="0" locked="0" layoutInCell="1" allowOverlap="1" wp14:anchorId="58450516" wp14:editId="6AE0F781">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647A" w:rsidRPr="00FE1795" w:rsidRDefault="0033647A" w:rsidP="00AB46DF">
                              <w:pPr>
                                <w:rPr>
                                  <w:color w:val="57433E"/>
                                  <w:sz w:val="68"/>
                                </w:rPr>
                              </w:pPr>
                              <w:r w:rsidRPr="00FE1795">
                                <w:rPr>
                                  <w:color w:val="FFFFFF"/>
                                  <w:sz w:val="68"/>
                                </w:rPr>
                                <w:t xml:space="preserve">CEPT Report </w:t>
                              </w:r>
                              <w:r w:rsidR="0065027B">
                                <w:rPr>
                                  <w:color w:val="D2232A"/>
                                  <w:sz w:val="68"/>
                                </w:rPr>
                                <w:t>56</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8"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">
                <v:rect id="Rectangle 24" o:spid="_x0000_s1029"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30"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33647A" w:rsidRPr="00FE1795" w:rsidRDefault="0033647A" w:rsidP="00AB46DF">
                        <w:pPr>
                          <w:rPr>
                            <w:color w:val="57433E"/>
                            <w:sz w:val="68"/>
                          </w:rPr>
                        </w:pPr>
                        <w:r w:rsidRPr="00FE1795">
                          <w:rPr>
                            <w:color w:val="FFFFFF"/>
                            <w:sz w:val="68"/>
                          </w:rPr>
                          <w:t xml:space="preserve">CEPT Report </w:t>
                        </w:r>
                        <w:r w:rsidR="0065027B">
                          <w:rPr>
                            <w:color w:val="D2232A"/>
                            <w:sz w:val="68"/>
                          </w:rPr>
                          <w:t>56</w:t>
                        </w:r>
                      </w:p>
                    </w:txbxContent>
                  </v:textbox>
                </v:shape>
                <v:group id="Group 36" o:spid="_x0000_s1031"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2"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3"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4"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5"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6"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rPr>
          <w:b/>
          <w:sz w:val="24"/>
        </w:rPr>
      </w:pPr>
    </w:p>
    <w:p w:rsidR="00AB46DF" w:rsidRPr="0010769E" w:rsidRDefault="00AB46DF" w:rsidP="00AB46DF">
      <w:pPr>
        <w:jc w:val="center"/>
        <w:rPr>
          <w:b/>
          <w:sz w:val="24"/>
        </w:rPr>
      </w:pPr>
    </w:p>
    <w:p w:rsidR="00AB46DF" w:rsidRDefault="00340B1C" w:rsidP="00AB46DF">
      <w:pPr>
        <w:pStyle w:val="Reporttitledescription"/>
      </w:pPr>
      <w:r>
        <w:fldChar w:fldCharType="begin">
          <w:ffData>
            <w:name w:val="Text7"/>
            <w:enabled/>
            <w:calcOnExit w:val="0"/>
            <w:textInput>
              <w:default w:val="Report B1 from CEPT to the European Commission in response to the Mandate on ‘Harmonised technical conditions for the 2300-2400 MHz (‘2.3 GHz’) frequency band in the EU for the provision of wireless broadband electronic communications services’"/>
            </w:textInput>
          </w:ffData>
        </w:fldChar>
      </w:r>
      <w:bookmarkStart w:id="0" w:name="Text7"/>
      <w:r>
        <w:instrText xml:space="preserve"> FORMTEXT </w:instrText>
      </w:r>
      <w:r>
        <w:fldChar w:fldCharType="separate"/>
      </w:r>
      <w:r w:rsidR="000C0823">
        <w:rPr>
          <w:noProof/>
        </w:rPr>
        <w:t>Report B1 from CEPT to the European Commission in response to the Mandate on ‘Harmonised technical conditions for the 2300-2400 MHz (‘2.3 GHz’) frequency band in the EU for the provision of wireless broadband electronic communications services’</w:t>
      </w:r>
      <w:r>
        <w:fldChar w:fldCharType="end"/>
      </w:r>
      <w:bookmarkEnd w:id="0"/>
      <w:r w:rsidR="003C3EE4" w:rsidRPr="005A00E5">
        <w:t xml:space="preserve"> </w:t>
      </w:r>
    </w:p>
    <w:p w:rsidR="006F5883" w:rsidRDefault="00340B1C" w:rsidP="00AB46DF">
      <w:pPr>
        <w:pStyle w:val="Reporttitledescription"/>
      </w:pPr>
      <w:r>
        <w:t>T</w:t>
      </w:r>
      <w:r w:rsidRPr="00340B1C">
        <w:t>echnological and regulatory options facilitating sharing between W</w:t>
      </w:r>
      <w:r w:rsidR="00833580">
        <w:t>ireless broadband applications (W</w:t>
      </w:r>
      <w:r w:rsidRPr="00340B1C">
        <w:t>BB</w:t>
      </w:r>
      <w:r w:rsidR="00833580">
        <w:t>)</w:t>
      </w:r>
      <w:r w:rsidRPr="00340B1C">
        <w:t xml:space="preserve"> and the relevant incumbent service/application</w:t>
      </w:r>
      <w:r>
        <w:t xml:space="preserve"> in the 2.3 GHz band</w:t>
      </w:r>
    </w:p>
    <w:p w:rsidR="006F5883" w:rsidRPr="005A00E5" w:rsidRDefault="006F5883" w:rsidP="00AB46DF">
      <w:pPr>
        <w:pStyle w:val="Reporttitledescription"/>
      </w:pPr>
    </w:p>
    <w:p w:rsidR="00AB46DF" w:rsidRPr="005A00E5" w:rsidRDefault="00A575C5" w:rsidP="00AB46DF">
      <w:pPr>
        <w:pStyle w:val="Reporttitledescription"/>
        <w:rPr>
          <w:b/>
          <w:sz w:val="18"/>
        </w:rPr>
      </w:pPr>
      <w:r>
        <w:rPr>
          <w:b/>
          <w:sz w:val="18"/>
        </w:rPr>
        <w:fldChar w:fldCharType="begin">
          <w:ffData>
            <w:name w:val="Text8"/>
            <w:enabled/>
            <w:calcOnExit w:val="0"/>
            <w:textInput>
              <w:default w:val="Report approved on DD Month YYYY by the ECC"/>
            </w:textInput>
          </w:ffData>
        </w:fldChar>
      </w:r>
      <w:bookmarkStart w:id="1" w:name="Text8"/>
      <w:r>
        <w:rPr>
          <w:b/>
          <w:sz w:val="18"/>
        </w:rPr>
        <w:instrText xml:space="preserve"> FORMTEXT </w:instrText>
      </w:r>
      <w:r>
        <w:rPr>
          <w:b/>
          <w:sz w:val="18"/>
        </w:rPr>
      </w:r>
      <w:r>
        <w:rPr>
          <w:b/>
          <w:sz w:val="18"/>
        </w:rPr>
        <w:fldChar w:fldCharType="separate"/>
      </w:r>
      <w:r w:rsidR="000C0823">
        <w:rPr>
          <w:b/>
          <w:noProof/>
          <w:sz w:val="18"/>
        </w:rPr>
        <w:t>Report approved on DD Month YYYY by the ECC</w:t>
      </w:r>
      <w:r>
        <w:rPr>
          <w:b/>
          <w:sz w:val="18"/>
        </w:rPr>
        <w:fldChar w:fldCharType="end"/>
      </w:r>
      <w:bookmarkEnd w:id="1"/>
      <w:r w:rsidR="00512677">
        <w:rPr>
          <w:b/>
          <w:sz w:val="18"/>
        </w:rPr>
        <w:tab/>
      </w:r>
    </w:p>
    <w:p w:rsidR="00AB46DF" w:rsidRPr="00C079CF" w:rsidRDefault="00AB46DF" w:rsidP="00AB46DF">
      <w:pPr>
        <w:pStyle w:val="Lastupdated"/>
        <w:rPr>
          <w:b/>
        </w:rPr>
      </w:pPr>
    </w:p>
    <w:p w:rsidR="00AB46DF" w:rsidRDefault="00AB46DF">
      <w:pPr>
        <w:rPr>
          <w:lang w:val="en-GB"/>
        </w:rPr>
        <w:sectPr w:rsidR="00AB46DF">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Default="003C3EE4" w:rsidP="00AB46DF">
      <w:pPr>
        <w:pStyle w:val="berschrift1"/>
      </w:pPr>
      <w:bookmarkStart w:id="2" w:name="_Toc398907396"/>
      <w:r w:rsidRPr="00D20E3B">
        <w:lastRenderedPageBreak/>
        <w:t>Execut</w:t>
      </w:r>
      <w:r>
        <w:t>ive summary</w:t>
      </w:r>
      <w:bookmarkEnd w:id="2"/>
      <w:r>
        <w:t xml:space="preserve"> </w:t>
      </w:r>
    </w:p>
    <w:p w:rsidR="00206F31" w:rsidRDefault="00206F31" w:rsidP="00206F31">
      <w:pPr>
        <w:pStyle w:val="ECCParagraph"/>
      </w:pPr>
      <w:r w:rsidRPr="001079E0">
        <w:t xml:space="preserve">This CEPT Report is the </w:t>
      </w:r>
      <w:r>
        <w:t>second</w:t>
      </w:r>
      <w:r w:rsidRPr="001079E0">
        <w:t xml:space="preserve"> part of the response to the Mandate issued by the European Commission on harmonised technical conditions for the 2300-2400 MHz ('2.3 GHz') frequency band in the EU for the provision of wireless broadband (WBB) electronic communications services. </w:t>
      </w:r>
    </w:p>
    <w:p w:rsidR="00206F31" w:rsidRDefault="00206F31" w:rsidP="00206F31">
      <w:pPr>
        <w:pStyle w:val="ECCParagraph"/>
      </w:pPr>
      <w:r w:rsidRPr="001079E0">
        <w:t xml:space="preserve">This EC Mandate (see </w:t>
      </w:r>
      <w:r w:rsidR="0033647A">
        <w:fldChar w:fldCharType="begin"/>
      </w:r>
      <w:r w:rsidR="0033647A">
        <w:instrText xml:space="preserve"> REF _Ref398277389 \r \h </w:instrText>
      </w:r>
      <w:r w:rsidR="0033647A">
        <w:fldChar w:fldCharType="separate"/>
      </w:r>
      <w:r w:rsidR="0033647A">
        <w:t>ANNEX 3:</w:t>
      </w:r>
      <w:r w:rsidR="0033647A">
        <w:fldChar w:fldCharType="end"/>
      </w:r>
      <w:r w:rsidR="0033647A">
        <w:t xml:space="preserve"> </w:t>
      </w:r>
      <w:r w:rsidRPr="001079E0">
        <w:t>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206F31" w:rsidRDefault="00206F31" w:rsidP="00206F31">
      <w:pPr>
        <w:spacing w:before="120" w:after="60"/>
        <w:jc w:val="both"/>
        <w:rPr>
          <w:lang w:val="en-GB"/>
        </w:rPr>
      </w:pPr>
      <w:r w:rsidRPr="001079E0">
        <w:rPr>
          <w:lang w:val="en-GB"/>
        </w:rPr>
        <w:t xml:space="preserve">Specifically, this CEPT Report </w:t>
      </w:r>
      <w:r>
        <w:rPr>
          <w:lang w:val="en-GB"/>
        </w:rPr>
        <w:t xml:space="preserve">addresses </w:t>
      </w:r>
      <w:r w:rsidRPr="001079E0">
        <w:rPr>
          <w:lang w:val="en-GB"/>
        </w:rPr>
        <w:t>the task</w:t>
      </w:r>
      <w:r>
        <w:rPr>
          <w:lang w:val="en-GB"/>
        </w:rPr>
        <w:t>s 2.1 and</w:t>
      </w:r>
      <w:r w:rsidRPr="001079E0">
        <w:rPr>
          <w:lang w:val="en-GB"/>
        </w:rPr>
        <w:t xml:space="preserve"> </w:t>
      </w:r>
      <w:r>
        <w:rPr>
          <w:lang w:val="en-GB"/>
        </w:rPr>
        <w:t>2.2</w:t>
      </w:r>
      <w:r w:rsidRPr="001079E0">
        <w:rPr>
          <w:lang w:val="en-GB"/>
        </w:rPr>
        <w:t xml:space="preserve"> of the EC Mandate</w:t>
      </w:r>
      <w:r>
        <w:rPr>
          <w:lang w:val="en-GB"/>
        </w:rPr>
        <w:t>:</w:t>
      </w:r>
    </w:p>
    <w:p w:rsidR="00206F31" w:rsidRPr="00E24A22" w:rsidRDefault="00206F31" w:rsidP="00206F31">
      <w:pPr>
        <w:spacing w:before="120" w:after="60"/>
        <w:jc w:val="both"/>
        <w:rPr>
          <w:i/>
          <w:lang w:val="en-GB"/>
        </w:rPr>
      </w:pPr>
      <w:r w:rsidRPr="00E24A22">
        <w:rPr>
          <w:i/>
          <w:lang w:val="en-GB"/>
        </w:rPr>
        <w:t>2.1</w:t>
      </w:r>
      <w:r w:rsidRPr="00E24A22">
        <w:rPr>
          <w:i/>
          <w:lang w:val="en-GB"/>
        </w:rPr>
        <w:tab/>
        <w:t>For each of the relevant incumbent services/applications in the Member States including military use, PMSE, fixed links, and radio amateur services: (</w:t>
      </w:r>
      <w:proofErr w:type="spellStart"/>
      <w:r w:rsidRPr="00E24A22">
        <w:rPr>
          <w:i/>
          <w:lang w:val="en-GB"/>
        </w:rPr>
        <w:t>i</w:t>
      </w:r>
      <w:proofErr w:type="spellEnd"/>
      <w:r w:rsidRPr="00E24A22">
        <w:rPr>
          <w:i/>
          <w:lang w:val="en-GB"/>
        </w:rPr>
        <w:t>) assess the deployment assumptions and the operational footprint and (ii) take stock of the situation and future plans in the Member States regarding the application of the LSA concept to enable the deployment of WBB.</w:t>
      </w:r>
    </w:p>
    <w:p w:rsidR="00206F31" w:rsidRDefault="00206F31" w:rsidP="00206F31">
      <w:pPr>
        <w:spacing w:before="120" w:after="60"/>
        <w:jc w:val="both"/>
        <w:rPr>
          <w:lang w:val="en-GB"/>
        </w:rPr>
      </w:pPr>
      <w:r w:rsidRPr="00E24A22">
        <w:rPr>
          <w:i/>
          <w:lang w:val="en-GB"/>
        </w:rPr>
        <w:t>2.2</w:t>
      </w:r>
      <w:r w:rsidRPr="00E24A22">
        <w:rPr>
          <w:i/>
          <w:lang w:val="en-GB"/>
        </w:rPr>
        <w:tab/>
        <w:t>For each incumbent service/application considered under 2.1: (</w:t>
      </w:r>
      <w:proofErr w:type="spellStart"/>
      <w:r w:rsidRPr="00E24A22">
        <w:rPr>
          <w:i/>
          <w:lang w:val="en-GB"/>
        </w:rPr>
        <w:t>i</w:t>
      </w:r>
      <w:proofErr w:type="spellEnd"/>
      <w:r w:rsidRPr="00E24A22">
        <w:rPr>
          <w:i/>
          <w:lang w:val="en-GB"/>
        </w:rPr>
        <w:t>) identify technological and regulatory options facilitating sharing between WBB and the relevant incumbent service/application including mutual dynamic coordination mechanisms between WBB operators and incumbents; (ii) assess the scope for harmonisation of technical sharing parameters and solutions through standardisation and/or an implementing decision;</w:t>
      </w:r>
    </w:p>
    <w:p w:rsidR="00206F31" w:rsidRPr="00CF10ED" w:rsidRDefault="00206F31" w:rsidP="00206F31">
      <w:pPr>
        <w:pStyle w:val="ECCParagraph"/>
        <w:ind w:left="426" w:hanging="426"/>
      </w:pPr>
      <w:r w:rsidRPr="00CF10ED">
        <w:t>CEPT countries currently use all or parts of the band for a variety of applications including:</w:t>
      </w:r>
    </w:p>
    <w:p w:rsidR="00206F31" w:rsidRDefault="00206F31" w:rsidP="00206F31">
      <w:pPr>
        <w:pStyle w:val="ECCParBulleted"/>
        <w:ind w:left="426" w:hanging="426"/>
      </w:pPr>
      <w:r w:rsidRPr="00CF10ED">
        <w:t>PMSE (Commercial SAP/SAB video links);</w:t>
      </w:r>
    </w:p>
    <w:p w:rsidR="00206F31" w:rsidRPr="00CF10ED" w:rsidRDefault="00206F31" w:rsidP="00206F31">
      <w:pPr>
        <w:pStyle w:val="ECCParBulleted"/>
        <w:ind w:left="426" w:hanging="426"/>
      </w:pPr>
      <w:r w:rsidRPr="00CF10ED">
        <w:t>Telemetry, both terrestrial and aeronautical telemetry;</w:t>
      </w:r>
    </w:p>
    <w:p w:rsidR="00206F31" w:rsidRPr="00F54E4B" w:rsidRDefault="00206F31" w:rsidP="00206F31">
      <w:pPr>
        <w:pStyle w:val="ECCParBulleted"/>
        <w:ind w:left="426" w:hanging="426"/>
      </w:pPr>
      <w:r w:rsidRPr="00F54E4B">
        <w:t>Fixed links</w:t>
      </w:r>
    </w:p>
    <w:p w:rsidR="00206F31" w:rsidRPr="00CF10ED" w:rsidRDefault="00206F31" w:rsidP="00206F31">
      <w:pPr>
        <w:pStyle w:val="ECCParBulleted"/>
        <w:ind w:left="426" w:hanging="426"/>
      </w:pPr>
      <w:r w:rsidRPr="00CF10ED">
        <w:t>Other governmental use, e.g. Unmanned Aircraft Systems (UAS);</w:t>
      </w:r>
    </w:p>
    <w:p w:rsidR="00206F31" w:rsidRPr="00CF10ED" w:rsidRDefault="00206F31" w:rsidP="00206F31">
      <w:pPr>
        <w:pStyle w:val="ECCParBulleted"/>
        <w:ind w:left="426" w:hanging="426"/>
      </w:pPr>
      <w:r w:rsidRPr="00CF10ED">
        <w:t>Amateur, as a secondary service.</w:t>
      </w:r>
    </w:p>
    <w:p w:rsidR="00206F31" w:rsidRDefault="00206F31" w:rsidP="001E1D91">
      <w:pPr>
        <w:pStyle w:val="ECCParagraph"/>
      </w:pPr>
      <w:r w:rsidRPr="001079E0">
        <w:t xml:space="preserve">Licensed Shared Access (LSA), as defined by RSPG in </w:t>
      </w:r>
      <w:r>
        <w:fldChar w:fldCharType="begin"/>
      </w:r>
      <w:r>
        <w:instrText xml:space="preserve"> REF _Ref392682296 \r \h </w:instrText>
      </w:r>
      <w:r>
        <w:fldChar w:fldCharType="separate"/>
      </w:r>
      <w:r w:rsidR="000C0823">
        <w:t>[4]</w:t>
      </w:r>
      <w:r>
        <w:fldChar w:fldCharType="end"/>
      </w:r>
      <w:r w:rsidRPr="001079E0">
        <w:t xml:space="preserve"> and further described in ECC Report 205 </w:t>
      </w:r>
      <w:r>
        <w:fldChar w:fldCharType="begin"/>
      </w:r>
      <w:r>
        <w:instrText xml:space="preserve"> REF _Ref387301720 \r \h </w:instrText>
      </w:r>
      <w:r>
        <w:fldChar w:fldCharType="separate"/>
      </w:r>
      <w:r w:rsidR="000C0823">
        <w:t>[5]</w:t>
      </w:r>
      <w:r>
        <w:fldChar w:fldCharType="end"/>
      </w:r>
      <w:r w:rsidRPr="001079E0">
        <w:fldChar w:fldCharType="begin"/>
      </w:r>
      <w:r w:rsidRPr="001079E0">
        <w:instrText xml:space="preserve"> REF _Ref387301720 \r \h </w:instrText>
      </w:r>
      <w:r w:rsidRPr="001079E0">
        <w:fldChar w:fldCharType="separate"/>
      </w:r>
      <w:r w:rsidR="000C0823">
        <w:t>[5]</w:t>
      </w:r>
      <w:r w:rsidRPr="001079E0">
        <w:fldChar w:fldCharType="end"/>
      </w:r>
      <w:r w:rsidRPr="001079E0">
        <w:t xml:space="preserve">, is the recognised approach </w:t>
      </w:r>
      <w:r w:rsidR="0065027B">
        <w:t xml:space="preserve">on the </w:t>
      </w:r>
      <w:r w:rsidRPr="001079E0">
        <w:t xml:space="preserve">CEPT </w:t>
      </w:r>
      <w:r w:rsidR="0065027B">
        <w:t xml:space="preserve">level </w:t>
      </w:r>
      <w:r w:rsidRPr="001079E0">
        <w:t xml:space="preserve">for administrations wishing to introduce WBB while maintaining the current incumbent use. </w:t>
      </w:r>
      <w:r>
        <w:t>Guidance for the implementation of LSA is contained in the following sections.</w:t>
      </w:r>
    </w:p>
    <w:p w:rsidR="002D34D3" w:rsidRDefault="002D34D3" w:rsidP="002D34D3">
      <w:pPr>
        <w:pStyle w:val="ECCParagraph"/>
      </w:pPr>
      <w:r>
        <w:t>Possible sharing options are described in this Report for the shared use of the band between WBB and the incumbent use. Measures like the utili</w:t>
      </w:r>
      <w:r w:rsidR="004866A1">
        <w:t>s</w:t>
      </w:r>
      <w:r>
        <w:t xml:space="preserve">ation of exclusion, protection and restriction zones can apply on a general basis and can be used as part of a LSA sharing framework. </w:t>
      </w:r>
    </w:p>
    <w:p w:rsidR="002D34D3" w:rsidRDefault="002D34D3" w:rsidP="002D34D3">
      <w:pPr>
        <w:pStyle w:val="ECCParagraph"/>
      </w:pPr>
      <w:r>
        <w:t xml:space="preserve">Technical conditions and details of implementation of the LSA sharing framework should be defined at the national level to reflect the national sharing scenarios, which depend strictly upon the types of incumbent use. This would contribute to the efficient use of the band. </w:t>
      </w:r>
    </w:p>
    <w:p w:rsidR="00AB46DF" w:rsidRDefault="002D34D3" w:rsidP="002D34D3">
      <w:pPr>
        <w:pStyle w:val="ECCParagraph"/>
      </w:pPr>
      <w:r w:rsidRPr="008819AE">
        <w:t>Standardisation a</w:t>
      </w:r>
      <w:r>
        <w:t>ctivities on LSA will facilitate the availability and interoperability</w:t>
      </w:r>
      <w:r w:rsidRPr="008819AE">
        <w:t xml:space="preserve"> of technical solutions for implementation of LSA</w:t>
      </w:r>
      <w:r>
        <w:t>, allowing the national implementations to be specific</w:t>
      </w:r>
      <w:r w:rsidRPr="008819AE">
        <w:t xml:space="preserve"> depending on the national conditions and incumbent usage o</w:t>
      </w:r>
      <w:r>
        <w:t>f</w:t>
      </w:r>
      <w:r w:rsidRPr="008819AE">
        <w:t xml:space="preserve"> the band.</w:t>
      </w:r>
    </w:p>
    <w:p w:rsidR="00D07572" w:rsidRDefault="00206F31" w:rsidP="00206F31">
      <w:pPr>
        <w:spacing w:before="120" w:after="60"/>
        <w:jc w:val="both"/>
        <w:rPr>
          <w:lang w:val="en-GB"/>
        </w:rPr>
      </w:pPr>
      <w:r>
        <w:rPr>
          <w:lang w:val="en-GB"/>
        </w:rPr>
        <w:t xml:space="preserve">On the basis of the options for sharing identified in this Report and their assessment, </w:t>
      </w:r>
      <w:r w:rsidR="0033647A">
        <w:rPr>
          <w:lang w:val="en-GB"/>
        </w:rPr>
        <w:t xml:space="preserve">further work is expected, in response to task 2.3 of the EC Mandate, on </w:t>
      </w:r>
      <w:r>
        <w:rPr>
          <w:lang w:val="en-GB"/>
        </w:rPr>
        <w:t>t</w:t>
      </w:r>
      <w:r w:rsidRPr="001079E0">
        <w:rPr>
          <w:lang w:val="en-GB"/>
        </w:rPr>
        <w:t>he development, where appropriate, of common technical sharing solutions for the shared use of the 2300-2400 MHz band for WBB and incumbent services/applications</w:t>
      </w:r>
      <w:r w:rsidR="0033647A">
        <w:rPr>
          <w:lang w:val="en-GB"/>
        </w:rPr>
        <w:t xml:space="preserve">, in particular PMSE. This will </w:t>
      </w:r>
      <w:r w:rsidRPr="001079E0">
        <w:rPr>
          <w:lang w:val="en-GB"/>
        </w:rPr>
        <w:t>be addressed in a subsequent CEPT Report.</w:t>
      </w:r>
    </w:p>
    <w:p w:rsidR="00206F31" w:rsidRDefault="00206F31" w:rsidP="00206F31">
      <w:pPr>
        <w:spacing w:before="120" w:after="60"/>
        <w:jc w:val="both"/>
        <w:rPr>
          <w:lang w:val="en-GB"/>
        </w:rPr>
      </w:pPr>
      <w:r>
        <w:rPr>
          <w:lang w:val="en-GB"/>
        </w:rPr>
        <w:t xml:space="preserve">The development of </w:t>
      </w:r>
      <w:r w:rsidRPr="001079E0">
        <w:rPr>
          <w:lang w:val="en-GB"/>
        </w:rPr>
        <w:t xml:space="preserve">common and minimal (least restrictive) technical conditions for </w:t>
      </w:r>
      <w:r>
        <w:rPr>
          <w:lang w:val="en-GB"/>
        </w:rPr>
        <w:t>WBB</w:t>
      </w:r>
      <w:r w:rsidRPr="001079E0">
        <w:rPr>
          <w:lang w:val="en-GB"/>
        </w:rPr>
        <w:t xml:space="preserve"> usage of the 2300-2400 MHz frequency band</w:t>
      </w:r>
      <w:r>
        <w:rPr>
          <w:lang w:val="en-GB"/>
        </w:rPr>
        <w:t xml:space="preserve"> is addressed in CEPT Report 55 </w:t>
      </w:r>
      <w:r>
        <w:rPr>
          <w:lang w:val="en-GB"/>
        </w:rPr>
        <w:fldChar w:fldCharType="begin"/>
      </w:r>
      <w:r>
        <w:rPr>
          <w:lang w:val="en-GB"/>
        </w:rPr>
        <w:instrText xml:space="preserve"> REF _Ref392679207 \r \h </w:instrText>
      </w:r>
      <w:r>
        <w:rPr>
          <w:lang w:val="en-GB"/>
        </w:rPr>
      </w:r>
      <w:r>
        <w:rPr>
          <w:lang w:val="en-GB"/>
        </w:rPr>
        <w:fldChar w:fldCharType="separate"/>
      </w:r>
      <w:r w:rsidR="000C0823">
        <w:rPr>
          <w:lang w:val="en-GB"/>
        </w:rPr>
        <w:t>[1]</w:t>
      </w:r>
      <w:r>
        <w:rPr>
          <w:lang w:val="en-GB"/>
        </w:rPr>
        <w:fldChar w:fldCharType="end"/>
      </w:r>
      <w:r>
        <w:rPr>
          <w:lang w:val="en-GB"/>
        </w:rPr>
        <w:t>.</w:t>
      </w:r>
    </w:p>
    <w:p w:rsidR="00AB46DF" w:rsidRDefault="00AB46DF" w:rsidP="00AB46DF">
      <w:pPr>
        <w:pStyle w:val="ECCParagraph"/>
      </w:pPr>
    </w:p>
    <w:p w:rsidR="00AB46DF" w:rsidRDefault="003C3EE4" w:rsidP="00AB46DF">
      <w:r>
        <w:br w:type="page"/>
      </w:r>
    </w:p>
    <w:p w:rsidR="00AB46DF" w:rsidRPr="009B4646" w:rsidRDefault="00D20E3B" w:rsidP="00AB46DF">
      <w:pPr>
        <w:rPr>
          <w:b/>
          <w:color w:val="FFFFFF"/>
        </w:rPr>
      </w:pPr>
      <w:r>
        <w:rPr>
          <w:b/>
          <w:noProof/>
          <w:color w:val="FFFFFF"/>
          <w:szCs w:val="20"/>
          <w:lang w:val="en-GB" w:eastAsia="en-GB"/>
        </w:rPr>
        <w:lastRenderedPageBreak/>
        <mc:AlternateContent>
          <mc:Choice Requires="wps">
            <w:drawing>
              <wp:anchor distT="0" distB="0" distL="114300" distR="114300" simplePos="0" relativeHeight="251656192" behindDoc="1" locked="0" layoutInCell="1" allowOverlap="1" wp14:anchorId="528E1DA6" wp14:editId="3114537B">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Default="00D20E3B" w:rsidP="00AB46DF">
      <w:pPr>
        <w:rPr>
          <w:b/>
          <w:color w:val="FFFFFF"/>
          <w:szCs w:val="20"/>
        </w:rPr>
      </w:pPr>
    </w:p>
    <w:p w:rsidR="00AB46DF" w:rsidRDefault="002209A7" w:rsidP="00AB46DF">
      <w:pPr>
        <w:rPr>
          <w:b/>
          <w:color w:val="FFFFFF"/>
          <w:szCs w:val="20"/>
        </w:rPr>
      </w:pPr>
      <w:r>
        <w:rPr>
          <w:b/>
          <w:color w:val="FFFFFF"/>
          <w:szCs w:val="20"/>
        </w:rPr>
        <w:t>TABLE OF CONTENTS</w:t>
      </w:r>
    </w:p>
    <w:p w:rsidR="00512677" w:rsidRDefault="00512677" w:rsidP="00AB46DF">
      <w:pPr>
        <w:rPr>
          <w:b/>
          <w:color w:val="FFFFFF"/>
          <w:szCs w:val="20"/>
        </w:rPr>
      </w:pPr>
    </w:p>
    <w:p w:rsidR="00512677" w:rsidRPr="009B4646" w:rsidRDefault="00512677" w:rsidP="00AB46DF">
      <w:pPr>
        <w:rPr>
          <w:b/>
          <w:color w:val="FFFFFF"/>
          <w:szCs w:val="20"/>
        </w:rPr>
      </w:pPr>
    </w:p>
    <w:p w:rsidR="00AB46DF" w:rsidRDefault="00AB46DF">
      <w:pPr>
        <w:rPr>
          <w:lang w:val="en-GB"/>
        </w:rPr>
      </w:pPr>
    </w:p>
    <w:p w:rsidR="000C0823" w:rsidRDefault="003C3EE4">
      <w:pPr>
        <w:pStyle w:val="Verzeichnis1"/>
        <w:rPr>
          <w:rFonts w:asciiTheme="minorHAnsi" w:eastAsiaTheme="minorEastAsia" w:hAnsiTheme="minorHAnsi" w:cstheme="minorBidi"/>
          <w:b w:val="0"/>
          <w:caps w:val="0"/>
          <w:noProof/>
          <w:sz w:val="22"/>
          <w:szCs w:val="22"/>
          <w:lang w:val="en-GB" w:eastAsia="en-GB"/>
        </w:rPr>
      </w:pPr>
      <w:r>
        <w:rPr>
          <w:caps w:val="0"/>
          <w:lang w:val="en-GB"/>
        </w:rPr>
        <w:fldChar w:fldCharType="begin"/>
      </w:r>
      <w:r>
        <w:rPr>
          <w:caps w:val="0"/>
          <w:lang w:val="en-GB"/>
        </w:rPr>
        <w:instrText xml:space="preserve"> TOC \o "1-4" \h \z \u </w:instrText>
      </w:r>
      <w:r>
        <w:rPr>
          <w:caps w:val="0"/>
          <w:lang w:val="en-GB"/>
        </w:rPr>
        <w:fldChar w:fldCharType="separate"/>
      </w:r>
      <w:hyperlink w:anchor="_Toc398907396" w:history="1">
        <w:r w:rsidR="000C0823" w:rsidRPr="00B46809">
          <w:rPr>
            <w:rStyle w:val="Hyperlink"/>
            <w:noProof/>
          </w:rPr>
          <w:t>0</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Executive summary</w:t>
        </w:r>
        <w:r w:rsidR="000C0823">
          <w:rPr>
            <w:noProof/>
            <w:webHidden/>
          </w:rPr>
          <w:tab/>
        </w:r>
        <w:r w:rsidR="000C0823">
          <w:rPr>
            <w:noProof/>
            <w:webHidden/>
          </w:rPr>
          <w:fldChar w:fldCharType="begin"/>
        </w:r>
        <w:r w:rsidR="000C0823">
          <w:rPr>
            <w:noProof/>
            <w:webHidden/>
          </w:rPr>
          <w:instrText xml:space="preserve"> PAGEREF _Toc398907396 \h </w:instrText>
        </w:r>
        <w:r w:rsidR="000C0823">
          <w:rPr>
            <w:noProof/>
            <w:webHidden/>
          </w:rPr>
        </w:r>
        <w:r w:rsidR="000C0823">
          <w:rPr>
            <w:noProof/>
            <w:webHidden/>
          </w:rPr>
          <w:fldChar w:fldCharType="separate"/>
        </w:r>
        <w:r w:rsidR="000C0823">
          <w:rPr>
            <w:noProof/>
            <w:webHidden/>
          </w:rPr>
          <w:t>2</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397" w:history="1">
        <w:r w:rsidR="000C0823" w:rsidRPr="00B46809">
          <w:rPr>
            <w:rStyle w:val="Hyperlink"/>
            <w:noProof/>
          </w:rPr>
          <w:t>1</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Introduction</w:t>
        </w:r>
        <w:r w:rsidR="000C0823">
          <w:rPr>
            <w:noProof/>
            <w:webHidden/>
          </w:rPr>
          <w:tab/>
        </w:r>
        <w:r w:rsidR="000C0823">
          <w:rPr>
            <w:noProof/>
            <w:webHidden/>
          </w:rPr>
          <w:fldChar w:fldCharType="begin"/>
        </w:r>
        <w:r w:rsidR="000C0823">
          <w:rPr>
            <w:noProof/>
            <w:webHidden/>
          </w:rPr>
          <w:instrText xml:space="preserve"> PAGEREF _Toc398907397 \h </w:instrText>
        </w:r>
        <w:r w:rsidR="000C0823">
          <w:rPr>
            <w:noProof/>
            <w:webHidden/>
          </w:rPr>
        </w:r>
        <w:r w:rsidR="000C0823">
          <w:rPr>
            <w:noProof/>
            <w:webHidden/>
          </w:rPr>
          <w:fldChar w:fldCharType="separate"/>
        </w:r>
        <w:r w:rsidR="000C0823">
          <w:rPr>
            <w:noProof/>
            <w:webHidden/>
          </w:rPr>
          <w:t>7</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398" w:history="1">
        <w:r w:rsidR="000C0823" w:rsidRPr="00B46809">
          <w:rPr>
            <w:rStyle w:val="Hyperlink"/>
            <w:noProof/>
          </w:rPr>
          <w:t>2</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Background</w:t>
        </w:r>
        <w:r w:rsidR="000C0823">
          <w:rPr>
            <w:noProof/>
            <w:webHidden/>
          </w:rPr>
          <w:tab/>
        </w:r>
        <w:r w:rsidR="000C0823">
          <w:rPr>
            <w:noProof/>
            <w:webHidden/>
          </w:rPr>
          <w:fldChar w:fldCharType="begin"/>
        </w:r>
        <w:r w:rsidR="000C0823">
          <w:rPr>
            <w:noProof/>
            <w:webHidden/>
          </w:rPr>
          <w:instrText xml:space="preserve"> PAGEREF _Toc398907398 \h </w:instrText>
        </w:r>
        <w:r w:rsidR="000C0823">
          <w:rPr>
            <w:noProof/>
            <w:webHidden/>
          </w:rPr>
        </w:r>
        <w:r w:rsidR="000C0823">
          <w:rPr>
            <w:noProof/>
            <w:webHidden/>
          </w:rPr>
          <w:fldChar w:fldCharType="separate"/>
        </w:r>
        <w:r w:rsidR="000C0823">
          <w:rPr>
            <w:noProof/>
            <w:webHidden/>
          </w:rPr>
          <w:t>8</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399" w:history="1">
        <w:r w:rsidR="000C0823" w:rsidRPr="00B46809">
          <w:rPr>
            <w:rStyle w:val="Hyperlink"/>
            <w:noProof/>
          </w:rPr>
          <w:t>3</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General considerations</w:t>
        </w:r>
        <w:r w:rsidR="000C0823">
          <w:rPr>
            <w:noProof/>
            <w:webHidden/>
          </w:rPr>
          <w:tab/>
        </w:r>
        <w:r w:rsidR="000C0823">
          <w:rPr>
            <w:noProof/>
            <w:webHidden/>
          </w:rPr>
          <w:fldChar w:fldCharType="begin"/>
        </w:r>
        <w:r w:rsidR="000C0823">
          <w:rPr>
            <w:noProof/>
            <w:webHidden/>
          </w:rPr>
          <w:instrText xml:space="preserve"> PAGEREF _Toc398907399 \h </w:instrText>
        </w:r>
        <w:r w:rsidR="000C0823">
          <w:rPr>
            <w:noProof/>
            <w:webHidden/>
          </w:rPr>
        </w:r>
        <w:r w:rsidR="000C0823">
          <w:rPr>
            <w:noProof/>
            <w:webHidden/>
          </w:rPr>
          <w:fldChar w:fldCharType="separate"/>
        </w:r>
        <w:r w:rsidR="000C0823">
          <w:rPr>
            <w:noProof/>
            <w:webHidden/>
          </w:rPr>
          <w:t>9</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00" w:history="1">
        <w:r w:rsidR="000C0823" w:rsidRPr="00B46809">
          <w:rPr>
            <w:rStyle w:val="Hyperlink"/>
            <w:noProof/>
          </w:rPr>
          <w:t>3.1</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Shared use of the 2.3 GHz band</w:t>
        </w:r>
        <w:r w:rsidR="000C0823">
          <w:rPr>
            <w:noProof/>
            <w:webHidden/>
          </w:rPr>
          <w:tab/>
        </w:r>
        <w:r w:rsidR="000C0823">
          <w:rPr>
            <w:noProof/>
            <w:webHidden/>
          </w:rPr>
          <w:fldChar w:fldCharType="begin"/>
        </w:r>
        <w:r w:rsidR="000C0823">
          <w:rPr>
            <w:noProof/>
            <w:webHidden/>
          </w:rPr>
          <w:instrText xml:space="preserve"> PAGEREF _Toc398907400 \h </w:instrText>
        </w:r>
        <w:r w:rsidR="000C0823">
          <w:rPr>
            <w:noProof/>
            <w:webHidden/>
          </w:rPr>
        </w:r>
        <w:r w:rsidR="000C0823">
          <w:rPr>
            <w:noProof/>
            <w:webHidden/>
          </w:rPr>
          <w:fldChar w:fldCharType="separate"/>
        </w:r>
        <w:r w:rsidR="000C0823">
          <w:rPr>
            <w:noProof/>
            <w:webHidden/>
          </w:rPr>
          <w:t>9</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01" w:history="1">
        <w:r w:rsidR="000C0823" w:rsidRPr="00B46809">
          <w:rPr>
            <w:rStyle w:val="Hyperlink"/>
            <w:noProof/>
          </w:rPr>
          <w:t>3.2</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Licensed Shared Access</w:t>
        </w:r>
        <w:r w:rsidR="000C0823">
          <w:rPr>
            <w:noProof/>
            <w:webHidden/>
          </w:rPr>
          <w:tab/>
        </w:r>
        <w:r w:rsidR="000C0823">
          <w:rPr>
            <w:noProof/>
            <w:webHidden/>
          </w:rPr>
          <w:fldChar w:fldCharType="begin"/>
        </w:r>
        <w:r w:rsidR="000C0823">
          <w:rPr>
            <w:noProof/>
            <w:webHidden/>
          </w:rPr>
          <w:instrText xml:space="preserve"> PAGEREF _Toc398907401 \h </w:instrText>
        </w:r>
        <w:r w:rsidR="000C0823">
          <w:rPr>
            <w:noProof/>
            <w:webHidden/>
          </w:rPr>
        </w:r>
        <w:r w:rsidR="000C0823">
          <w:rPr>
            <w:noProof/>
            <w:webHidden/>
          </w:rPr>
          <w:fldChar w:fldCharType="separate"/>
        </w:r>
        <w:r w:rsidR="000C0823">
          <w:rPr>
            <w:noProof/>
            <w:webHidden/>
          </w:rPr>
          <w:t>9</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02" w:history="1">
        <w:r w:rsidR="000C0823" w:rsidRPr="00B46809">
          <w:rPr>
            <w:rStyle w:val="Hyperlink"/>
            <w:noProof/>
          </w:rPr>
          <w:t>3.3</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Options for sharing</w:t>
        </w:r>
        <w:r w:rsidR="000C0823">
          <w:rPr>
            <w:noProof/>
            <w:webHidden/>
          </w:rPr>
          <w:tab/>
        </w:r>
        <w:r w:rsidR="000C0823">
          <w:rPr>
            <w:noProof/>
            <w:webHidden/>
          </w:rPr>
          <w:fldChar w:fldCharType="begin"/>
        </w:r>
        <w:r w:rsidR="000C0823">
          <w:rPr>
            <w:noProof/>
            <w:webHidden/>
          </w:rPr>
          <w:instrText xml:space="preserve"> PAGEREF _Toc398907402 \h </w:instrText>
        </w:r>
        <w:r w:rsidR="000C0823">
          <w:rPr>
            <w:noProof/>
            <w:webHidden/>
          </w:rPr>
        </w:r>
        <w:r w:rsidR="000C0823">
          <w:rPr>
            <w:noProof/>
            <w:webHidden/>
          </w:rPr>
          <w:fldChar w:fldCharType="separate"/>
        </w:r>
        <w:r w:rsidR="000C0823">
          <w:rPr>
            <w:noProof/>
            <w:webHidden/>
          </w:rPr>
          <w:t>10</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03" w:history="1">
        <w:r w:rsidR="000C0823" w:rsidRPr="00B46809">
          <w:rPr>
            <w:rStyle w:val="Hyperlink"/>
            <w:noProof/>
          </w:rPr>
          <w:t>3.3.1</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Basis for implementation</w:t>
        </w:r>
        <w:r w:rsidR="000C0823">
          <w:rPr>
            <w:noProof/>
            <w:webHidden/>
          </w:rPr>
          <w:tab/>
        </w:r>
        <w:r w:rsidR="000C0823">
          <w:rPr>
            <w:noProof/>
            <w:webHidden/>
          </w:rPr>
          <w:fldChar w:fldCharType="begin"/>
        </w:r>
        <w:r w:rsidR="000C0823">
          <w:rPr>
            <w:noProof/>
            <w:webHidden/>
          </w:rPr>
          <w:instrText xml:space="preserve"> PAGEREF _Toc398907403 \h </w:instrText>
        </w:r>
        <w:r w:rsidR="000C0823">
          <w:rPr>
            <w:noProof/>
            <w:webHidden/>
          </w:rPr>
        </w:r>
        <w:r w:rsidR="000C0823">
          <w:rPr>
            <w:noProof/>
            <w:webHidden/>
          </w:rPr>
          <w:fldChar w:fldCharType="separate"/>
        </w:r>
        <w:r w:rsidR="000C0823">
          <w:rPr>
            <w:noProof/>
            <w:webHidden/>
          </w:rPr>
          <w:t>10</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04" w:history="1">
        <w:r w:rsidR="000C0823" w:rsidRPr="00B46809">
          <w:rPr>
            <w:rStyle w:val="Hyperlink"/>
            <w:noProof/>
          </w:rPr>
          <w:t>3.3.2</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LSA functional blocks and interaction</w:t>
        </w:r>
        <w:r w:rsidR="000C0823">
          <w:rPr>
            <w:noProof/>
            <w:webHidden/>
          </w:rPr>
          <w:tab/>
        </w:r>
        <w:r w:rsidR="000C0823">
          <w:rPr>
            <w:noProof/>
            <w:webHidden/>
          </w:rPr>
          <w:fldChar w:fldCharType="begin"/>
        </w:r>
        <w:r w:rsidR="000C0823">
          <w:rPr>
            <w:noProof/>
            <w:webHidden/>
          </w:rPr>
          <w:instrText xml:space="preserve"> PAGEREF _Toc398907404 \h </w:instrText>
        </w:r>
        <w:r w:rsidR="000C0823">
          <w:rPr>
            <w:noProof/>
            <w:webHidden/>
          </w:rPr>
        </w:r>
        <w:r w:rsidR="000C0823">
          <w:rPr>
            <w:noProof/>
            <w:webHidden/>
          </w:rPr>
          <w:fldChar w:fldCharType="separate"/>
        </w:r>
        <w:r w:rsidR="000C0823">
          <w:rPr>
            <w:noProof/>
            <w:webHidden/>
          </w:rPr>
          <w:t>11</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05" w:history="1">
        <w:r w:rsidR="000C0823" w:rsidRPr="00B46809">
          <w:rPr>
            <w:rStyle w:val="Hyperlink"/>
            <w:noProof/>
          </w:rPr>
          <w:t>3.4</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Management of cross-border coordination</w:t>
        </w:r>
        <w:r w:rsidR="000C0823">
          <w:rPr>
            <w:noProof/>
            <w:webHidden/>
          </w:rPr>
          <w:tab/>
        </w:r>
        <w:r w:rsidR="000C0823">
          <w:rPr>
            <w:noProof/>
            <w:webHidden/>
          </w:rPr>
          <w:fldChar w:fldCharType="begin"/>
        </w:r>
        <w:r w:rsidR="000C0823">
          <w:rPr>
            <w:noProof/>
            <w:webHidden/>
          </w:rPr>
          <w:instrText xml:space="preserve"> PAGEREF _Toc398907405 \h </w:instrText>
        </w:r>
        <w:r w:rsidR="000C0823">
          <w:rPr>
            <w:noProof/>
            <w:webHidden/>
          </w:rPr>
        </w:r>
        <w:r w:rsidR="000C0823">
          <w:rPr>
            <w:noProof/>
            <w:webHidden/>
          </w:rPr>
          <w:fldChar w:fldCharType="separate"/>
        </w:r>
        <w:r w:rsidR="000C0823">
          <w:rPr>
            <w:noProof/>
            <w:webHidden/>
          </w:rPr>
          <w:t>12</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06" w:history="1">
        <w:r w:rsidR="000C0823" w:rsidRPr="00B46809">
          <w:rPr>
            <w:rStyle w:val="Hyperlink"/>
            <w:noProof/>
          </w:rPr>
          <w:t>4</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Sharing scenarios for the coexistence between PMSE and WBB</w:t>
        </w:r>
        <w:r w:rsidR="000C0823">
          <w:rPr>
            <w:noProof/>
            <w:webHidden/>
          </w:rPr>
          <w:tab/>
        </w:r>
        <w:r w:rsidR="000C0823">
          <w:rPr>
            <w:noProof/>
            <w:webHidden/>
          </w:rPr>
          <w:fldChar w:fldCharType="begin"/>
        </w:r>
        <w:r w:rsidR="000C0823">
          <w:rPr>
            <w:noProof/>
            <w:webHidden/>
          </w:rPr>
          <w:instrText xml:space="preserve"> PAGEREF _Toc398907406 \h </w:instrText>
        </w:r>
        <w:r w:rsidR="000C0823">
          <w:rPr>
            <w:noProof/>
            <w:webHidden/>
          </w:rPr>
        </w:r>
        <w:r w:rsidR="000C0823">
          <w:rPr>
            <w:noProof/>
            <w:webHidden/>
          </w:rPr>
          <w:fldChar w:fldCharType="separate"/>
        </w:r>
        <w:r w:rsidR="000C0823">
          <w:rPr>
            <w:noProof/>
            <w:webHidden/>
          </w:rPr>
          <w:t>13</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07" w:history="1">
        <w:r w:rsidR="000C0823" w:rsidRPr="00B46809">
          <w:rPr>
            <w:rStyle w:val="Hyperlink"/>
            <w:noProof/>
            <w:lang w:val="en-GB"/>
          </w:rPr>
          <w:t>4.1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Scenarios for PMSE</w:t>
        </w:r>
        <w:r w:rsidR="000C0823">
          <w:rPr>
            <w:noProof/>
            <w:webHidden/>
          </w:rPr>
          <w:tab/>
        </w:r>
        <w:r w:rsidR="000C0823">
          <w:rPr>
            <w:noProof/>
            <w:webHidden/>
          </w:rPr>
          <w:fldChar w:fldCharType="begin"/>
        </w:r>
        <w:r w:rsidR="000C0823">
          <w:rPr>
            <w:noProof/>
            <w:webHidden/>
          </w:rPr>
          <w:instrText xml:space="preserve"> PAGEREF _Toc398907407 \h </w:instrText>
        </w:r>
        <w:r w:rsidR="000C0823">
          <w:rPr>
            <w:noProof/>
            <w:webHidden/>
          </w:rPr>
        </w:r>
        <w:r w:rsidR="000C0823">
          <w:rPr>
            <w:noProof/>
            <w:webHidden/>
          </w:rPr>
          <w:fldChar w:fldCharType="separate"/>
        </w:r>
        <w:r w:rsidR="000C0823">
          <w:rPr>
            <w:noProof/>
            <w:webHidden/>
          </w:rPr>
          <w:t>13</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08" w:history="1">
        <w:r w:rsidR="000C0823" w:rsidRPr="00B46809">
          <w:rPr>
            <w:rStyle w:val="Hyperlink"/>
            <w:noProof/>
            <w:lang w:val="en-GB"/>
          </w:rPr>
          <w:t>4.1.1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Deployment assumptions for PMSE</w:t>
        </w:r>
        <w:r w:rsidR="000C0823">
          <w:rPr>
            <w:noProof/>
            <w:webHidden/>
          </w:rPr>
          <w:tab/>
        </w:r>
        <w:r w:rsidR="000C0823">
          <w:rPr>
            <w:noProof/>
            <w:webHidden/>
          </w:rPr>
          <w:fldChar w:fldCharType="begin"/>
        </w:r>
        <w:r w:rsidR="000C0823">
          <w:rPr>
            <w:noProof/>
            <w:webHidden/>
          </w:rPr>
          <w:instrText xml:space="preserve"> PAGEREF _Toc398907408 \h </w:instrText>
        </w:r>
        <w:r w:rsidR="000C0823">
          <w:rPr>
            <w:noProof/>
            <w:webHidden/>
          </w:rPr>
        </w:r>
        <w:r w:rsidR="000C0823">
          <w:rPr>
            <w:noProof/>
            <w:webHidden/>
          </w:rPr>
          <w:fldChar w:fldCharType="separate"/>
        </w:r>
        <w:r w:rsidR="000C0823">
          <w:rPr>
            <w:noProof/>
            <w:webHidden/>
          </w:rPr>
          <w:t>13</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09" w:history="1">
        <w:r w:rsidR="000C0823" w:rsidRPr="00B46809">
          <w:rPr>
            <w:rStyle w:val="Hyperlink"/>
            <w:noProof/>
            <w:lang w:val="en-GB"/>
          </w:rPr>
          <w:t>4.1.2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Operational footprint for PMSE</w:t>
        </w:r>
        <w:r w:rsidR="000C0823">
          <w:rPr>
            <w:noProof/>
            <w:webHidden/>
          </w:rPr>
          <w:tab/>
        </w:r>
        <w:r w:rsidR="000C0823">
          <w:rPr>
            <w:noProof/>
            <w:webHidden/>
          </w:rPr>
          <w:fldChar w:fldCharType="begin"/>
        </w:r>
        <w:r w:rsidR="000C0823">
          <w:rPr>
            <w:noProof/>
            <w:webHidden/>
          </w:rPr>
          <w:instrText xml:space="preserve"> PAGEREF _Toc398907409 \h </w:instrText>
        </w:r>
        <w:r w:rsidR="000C0823">
          <w:rPr>
            <w:noProof/>
            <w:webHidden/>
          </w:rPr>
        </w:r>
        <w:r w:rsidR="000C0823">
          <w:rPr>
            <w:noProof/>
            <w:webHidden/>
          </w:rPr>
          <w:fldChar w:fldCharType="separate"/>
        </w:r>
        <w:r w:rsidR="000C0823">
          <w:rPr>
            <w:noProof/>
            <w:webHidden/>
          </w:rPr>
          <w:t>15</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10" w:history="1">
        <w:r w:rsidR="000C0823" w:rsidRPr="00B46809">
          <w:rPr>
            <w:rStyle w:val="Hyperlink"/>
            <w:noProof/>
          </w:rPr>
          <w:t>4.2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Options for sharing</w:t>
        </w:r>
        <w:r w:rsidR="000C0823">
          <w:rPr>
            <w:noProof/>
            <w:webHidden/>
          </w:rPr>
          <w:tab/>
        </w:r>
        <w:r w:rsidR="000C0823">
          <w:rPr>
            <w:noProof/>
            <w:webHidden/>
          </w:rPr>
          <w:fldChar w:fldCharType="begin"/>
        </w:r>
        <w:r w:rsidR="000C0823">
          <w:rPr>
            <w:noProof/>
            <w:webHidden/>
          </w:rPr>
          <w:instrText xml:space="preserve"> PAGEREF _Toc398907410 \h </w:instrText>
        </w:r>
        <w:r w:rsidR="000C0823">
          <w:rPr>
            <w:noProof/>
            <w:webHidden/>
          </w:rPr>
        </w:r>
        <w:r w:rsidR="000C0823">
          <w:rPr>
            <w:noProof/>
            <w:webHidden/>
          </w:rPr>
          <w:fldChar w:fldCharType="separate"/>
        </w:r>
        <w:r w:rsidR="000C0823">
          <w:rPr>
            <w:noProof/>
            <w:webHidden/>
          </w:rPr>
          <w:t>16</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11" w:history="1">
        <w:r w:rsidR="000C0823" w:rsidRPr="00B46809">
          <w:rPr>
            <w:rStyle w:val="Hyperlink"/>
            <w:noProof/>
            <w:lang w:val="en-GB"/>
          </w:rPr>
          <w:t>4.2.1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Possible scenarios</w:t>
        </w:r>
        <w:r w:rsidR="000C0823">
          <w:rPr>
            <w:noProof/>
            <w:webHidden/>
          </w:rPr>
          <w:tab/>
        </w:r>
        <w:r w:rsidR="000C0823">
          <w:rPr>
            <w:noProof/>
            <w:webHidden/>
          </w:rPr>
          <w:fldChar w:fldCharType="begin"/>
        </w:r>
        <w:r w:rsidR="000C0823">
          <w:rPr>
            <w:noProof/>
            <w:webHidden/>
          </w:rPr>
          <w:instrText xml:space="preserve"> PAGEREF _Toc398907411 \h </w:instrText>
        </w:r>
        <w:r w:rsidR="000C0823">
          <w:rPr>
            <w:noProof/>
            <w:webHidden/>
          </w:rPr>
        </w:r>
        <w:r w:rsidR="000C0823">
          <w:rPr>
            <w:noProof/>
            <w:webHidden/>
          </w:rPr>
          <w:fldChar w:fldCharType="separate"/>
        </w:r>
        <w:r w:rsidR="000C0823">
          <w:rPr>
            <w:noProof/>
            <w:webHidden/>
          </w:rPr>
          <w:t>16</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12" w:history="1">
        <w:r w:rsidR="000C0823" w:rsidRPr="00B46809">
          <w:rPr>
            <w:rStyle w:val="Hyperlink"/>
            <w:noProof/>
            <w:lang w:val="en-GB"/>
          </w:rPr>
          <w:t>4.2.2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Considerations for implementation</w:t>
        </w:r>
        <w:r w:rsidR="000C0823">
          <w:rPr>
            <w:noProof/>
            <w:webHidden/>
          </w:rPr>
          <w:tab/>
        </w:r>
        <w:r w:rsidR="000C0823">
          <w:rPr>
            <w:noProof/>
            <w:webHidden/>
          </w:rPr>
          <w:fldChar w:fldCharType="begin"/>
        </w:r>
        <w:r w:rsidR="000C0823">
          <w:rPr>
            <w:noProof/>
            <w:webHidden/>
          </w:rPr>
          <w:instrText xml:space="preserve"> PAGEREF _Toc398907412 \h </w:instrText>
        </w:r>
        <w:r w:rsidR="000C0823">
          <w:rPr>
            <w:noProof/>
            <w:webHidden/>
          </w:rPr>
        </w:r>
        <w:r w:rsidR="000C0823">
          <w:rPr>
            <w:noProof/>
            <w:webHidden/>
          </w:rPr>
          <w:fldChar w:fldCharType="separate"/>
        </w:r>
        <w:r w:rsidR="000C0823">
          <w:rPr>
            <w:noProof/>
            <w:webHidden/>
          </w:rPr>
          <w:t>18</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13" w:history="1">
        <w:r w:rsidR="000C0823" w:rsidRPr="00B46809">
          <w:rPr>
            <w:rStyle w:val="Hyperlink"/>
            <w:noProof/>
          </w:rPr>
          <w:t>4.3</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Example of implementation</w:t>
        </w:r>
        <w:r w:rsidR="000C0823">
          <w:rPr>
            <w:noProof/>
            <w:webHidden/>
          </w:rPr>
          <w:tab/>
        </w:r>
        <w:r w:rsidR="000C0823">
          <w:rPr>
            <w:noProof/>
            <w:webHidden/>
          </w:rPr>
          <w:fldChar w:fldCharType="begin"/>
        </w:r>
        <w:r w:rsidR="000C0823">
          <w:rPr>
            <w:noProof/>
            <w:webHidden/>
          </w:rPr>
          <w:instrText xml:space="preserve"> PAGEREF _Toc398907413 \h </w:instrText>
        </w:r>
        <w:r w:rsidR="000C0823">
          <w:rPr>
            <w:noProof/>
            <w:webHidden/>
          </w:rPr>
        </w:r>
        <w:r w:rsidR="000C0823">
          <w:rPr>
            <w:noProof/>
            <w:webHidden/>
          </w:rPr>
          <w:fldChar w:fldCharType="separate"/>
        </w:r>
        <w:r w:rsidR="000C0823">
          <w:rPr>
            <w:noProof/>
            <w:webHidden/>
          </w:rPr>
          <w:t>19</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14" w:history="1">
        <w:r w:rsidR="000C0823" w:rsidRPr="00B46809">
          <w:rPr>
            <w:rStyle w:val="Hyperlink"/>
            <w:noProof/>
          </w:rPr>
          <w:t>5</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Sharing scenarios for the coexistence between telemetry systems and WBB</w:t>
        </w:r>
        <w:r w:rsidR="000C0823">
          <w:rPr>
            <w:noProof/>
            <w:webHidden/>
          </w:rPr>
          <w:tab/>
        </w:r>
        <w:r w:rsidR="000C0823">
          <w:rPr>
            <w:noProof/>
            <w:webHidden/>
          </w:rPr>
          <w:fldChar w:fldCharType="begin"/>
        </w:r>
        <w:r w:rsidR="000C0823">
          <w:rPr>
            <w:noProof/>
            <w:webHidden/>
          </w:rPr>
          <w:instrText xml:space="preserve"> PAGEREF _Toc398907414 \h </w:instrText>
        </w:r>
        <w:r w:rsidR="000C0823">
          <w:rPr>
            <w:noProof/>
            <w:webHidden/>
          </w:rPr>
        </w:r>
        <w:r w:rsidR="000C0823">
          <w:rPr>
            <w:noProof/>
            <w:webHidden/>
          </w:rPr>
          <w:fldChar w:fldCharType="separate"/>
        </w:r>
        <w:r w:rsidR="000C0823">
          <w:rPr>
            <w:noProof/>
            <w:webHidden/>
          </w:rPr>
          <w:t>20</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15" w:history="1">
        <w:r w:rsidR="000C0823" w:rsidRPr="00B46809">
          <w:rPr>
            <w:rStyle w:val="Hyperlink"/>
            <w:noProof/>
            <w:lang w:val="en-GB"/>
          </w:rPr>
          <w:t>5.1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Scenarios for telemetry</w:t>
        </w:r>
        <w:r w:rsidR="000C0823">
          <w:rPr>
            <w:noProof/>
            <w:webHidden/>
          </w:rPr>
          <w:tab/>
        </w:r>
        <w:r w:rsidR="000C0823">
          <w:rPr>
            <w:noProof/>
            <w:webHidden/>
          </w:rPr>
          <w:fldChar w:fldCharType="begin"/>
        </w:r>
        <w:r w:rsidR="000C0823">
          <w:rPr>
            <w:noProof/>
            <w:webHidden/>
          </w:rPr>
          <w:instrText xml:space="preserve"> PAGEREF _Toc398907415 \h </w:instrText>
        </w:r>
        <w:r w:rsidR="000C0823">
          <w:rPr>
            <w:noProof/>
            <w:webHidden/>
          </w:rPr>
        </w:r>
        <w:r w:rsidR="000C0823">
          <w:rPr>
            <w:noProof/>
            <w:webHidden/>
          </w:rPr>
          <w:fldChar w:fldCharType="separate"/>
        </w:r>
        <w:r w:rsidR="000C0823">
          <w:rPr>
            <w:noProof/>
            <w:webHidden/>
          </w:rPr>
          <w:t>20</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16" w:history="1">
        <w:r w:rsidR="000C0823" w:rsidRPr="00B46809">
          <w:rPr>
            <w:rStyle w:val="Hyperlink"/>
            <w:noProof/>
            <w:lang w:val="en-GB"/>
          </w:rPr>
          <w:t>5.1.1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Deployment assumptions for Telemetry</w:t>
        </w:r>
        <w:r w:rsidR="000C0823">
          <w:rPr>
            <w:noProof/>
            <w:webHidden/>
          </w:rPr>
          <w:tab/>
        </w:r>
        <w:r w:rsidR="000C0823">
          <w:rPr>
            <w:noProof/>
            <w:webHidden/>
          </w:rPr>
          <w:fldChar w:fldCharType="begin"/>
        </w:r>
        <w:r w:rsidR="000C0823">
          <w:rPr>
            <w:noProof/>
            <w:webHidden/>
          </w:rPr>
          <w:instrText xml:space="preserve"> PAGEREF _Toc398907416 \h </w:instrText>
        </w:r>
        <w:r w:rsidR="000C0823">
          <w:rPr>
            <w:noProof/>
            <w:webHidden/>
          </w:rPr>
        </w:r>
        <w:r w:rsidR="000C0823">
          <w:rPr>
            <w:noProof/>
            <w:webHidden/>
          </w:rPr>
          <w:fldChar w:fldCharType="separate"/>
        </w:r>
        <w:r w:rsidR="000C0823">
          <w:rPr>
            <w:noProof/>
            <w:webHidden/>
          </w:rPr>
          <w:t>20</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17" w:history="1">
        <w:r w:rsidR="000C0823" w:rsidRPr="00B46809">
          <w:rPr>
            <w:rStyle w:val="Hyperlink"/>
            <w:noProof/>
            <w:lang w:val="en-GB"/>
          </w:rPr>
          <w:t>5.1.2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Operational footprint for Telemetry</w:t>
        </w:r>
        <w:r w:rsidR="000C0823">
          <w:rPr>
            <w:noProof/>
            <w:webHidden/>
          </w:rPr>
          <w:tab/>
        </w:r>
        <w:r w:rsidR="000C0823">
          <w:rPr>
            <w:noProof/>
            <w:webHidden/>
          </w:rPr>
          <w:fldChar w:fldCharType="begin"/>
        </w:r>
        <w:r w:rsidR="000C0823">
          <w:rPr>
            <w:noProof/>
            <w:webHidden/>
          </w:rPr>
          <w:instrText xml:space="preserve"> PAGEREF _Toc398907417 \h </w:instrText>
        </w:r>
        <w:r w:rsidR="000C0823">
          <w:rPr>
            <w:noProof/>
            <w:webHidden/>
          </w:rPr>
        </w:r>
        <w:r w:rsidR="000C0823">
          <w:rPr>
            <w:noProof/>
            <w:webHidden/>
          </w:rPr>
          <w:fldChar w:fldCharType="separate"/>
        </w:r>
        <w:r w:rsidR="000C0823">
          <w:rPr>
            <w:noProof/>
            <w:webHidden/>
          </w:rPr>
          <w:t>21</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18" w:history="1">
        <w:r w:rsidR="000C0823" w:rsidRPr="00B46809">
          <w:rPr>
            <w:rStyle w:val="Hyperlink"/>
            <w:noProof/>
            <w:lang w:val="en-GB"/>
          </w:rPr>
          <w:t>5.2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Options for sharing</w:t>
        </w:r>
        <w:r w:rsidR="000C0823">
          <w:rPr>
            <w:noProof/>
            <w:webHidden/>
          </w:rPr>
          <w:tab/>
        </w:r>
        <w:r w:rsidR="000C0823">
          <w:rPr>
            <w:noProof/>
            <w:webHidden/>
          </w:rPr>
          <w:fldChar w:fldCharType="begin"/>
        </w:r>
        <w:r w:rsidR="000C0823">
          <w:rPr>
            <w:noProof/>
            <w:webHidden/>
          </w:rPr>
          <w:instrText xml:space="preserve"> PAGEREF _Toc398907418 \h </w:instrText>
        </w:r>
        <w:r w:rsidR="000C0823">
          <w:rPr>
            <w:noProof/>
            <w:webHidden/>
          </w:rPr>
        </w:r>
        <w:r w:rsidR="000C0823">
          <w:rPr>
            <w:noProof/>
            <w:webHidden/>
          </w:rPr>
          <w:fldChar w:fldCharType="separate"/>
        </w:r>
        <w:r w:rsidR="000C0823">
          <w:rPr>
            <w:noProof/>
            <w:webHidden/>
          </w:rPr>
          <w:t>21</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19" w:history="1">
        <w:r w:rsidR="000C0823" w:rsidRPr="00B46809">
          <w:rPr>
            <w:rStyle w:val="Hyperlink"/>
            <w:noProof/>
            <w:lang w:val="en-GB"/>
          </w:rPr>
          <w:t>5.2.1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Interference from WBB to Telemetry</w:t>
        </w:r>
        <w:r w:rsidR="000C0823">
          <w:rPr>
            <w:noProof/>
            <w:webHidden/>
          </w:rPr>
          <w:tab/>
        </w:r>
        <w:r w:rsidR="000C0823">
          <w:rPr>
            <w:noProof/>
            <w:webHidden/>
          </w:rPr>
          <w:fldChar w:fldCharType="begin"/>
        </w:r>
        <w:r w:rsidR="000C0823">
          <w:rPr>
            <w:noProof/>
            <w:webHidden/>
          </w:rPr>
          <w:instrText xml:space="preserve"> PAGEREF _Toc398907419 \h </w:instrText>
        </w:r>
        <w:r w:rsidR="000C0823">
          <w:rPr>
            <w:noProof/>
            <w:webHidden/>
          </w:rPr>
        </w:r>
        <w:r w:rsidR="000C0823">
          <w:rPr>
            <w:noProof/>
            <w:webHidden/>
          </w:rPr>
          <w:fldChar w:fldCharType="separate"/>
        </w:r>
        <w:r w:rsidR="000C0823">
          <w:rPr>
            <w:noProof/>
            <w:webHidden/>
          </w:rPr>
          <w:t>21</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20" w:history="1">
        <w:r w:rsidR="000C0823" w:rsidRPr="00B46809">
          <w:rPr>
            <w:rStyle w:val="Hyperlink"/>
            <w:noProof/>
            <w:lang w:val="en-GB"/>
          </w:rPr>
          <w:t>5.2.2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Interference from Telemetry to WBB</w:t>
        </w:r>
        <w:r w:rsidR="000C0823">
          <w:rPr>
            <w:noProof/>
            <w:webHidden/>
          </w:rPr>
          <w:tab/>
        </w:r>
        <w:r w:rsidR="000C0823">
          <w:rPr>
            <w:noProof/>
            <w:webHidden/>
          </w:rPr>
          <w:fldChar w:fldCharType="begin"/>
        </w:r>
        <w:r w:rsidR="000C0823">
          <w:rPr>
            <w:noProof/>
            <w:webHidden/>
          </w:rPr>
          <w:instrText xml:space="preserve"> PAGEREF _Toc398907420 \h </w:instrText>
        </w:r>
        <w:r w:rsidR="000C0823">
          <w:rPr>
            <w:noProof/>
            <w:webHidden/>
          </w:rPr>
        </w:r>
        <w:r w:rsidR="000C0823">
          <w:rPr>
            <w:noProof/>
            <w:webHidden/>
          </w:rPr>
          <w:fldChar w:fldCharType="separate"/>
        </w:r>
        <w:r w:rsidR="000C0823">
          <w:rPr>
            <w:noProof/>
            <w:webHidden/>
          </w:rPr>
          <w:t>22</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21" w:history="1">
        <w:r w:rsidR="000C0823" w:rsidRPr="00B46809">
          <w:rPr>
            <w:rStyle w:val="Hyperlink"/>
            <w:noProof/>
            <w:highlight w:val="yellow"/>
            <w:lang w:val="en-GB"/>
          </w:rPr>
          <w:t>5.2.3</w:t>
        </w:r>
        <w:r w:rsidR="000C0823">
          <w:rPr>
            <w:rFonts w:asciiTheme="minorHAnsi" w:eastAsiaTheme="minorEastAsia" w:hAnsiTheme="minorHAnsi" w:cstheme="minorBidi"/>
            <w:noProof/>
            <w:sz w:val="22"/>
            <w:szCs w:val="22"/>
            <w:lang w:val="en-GB" w:eastAsia="en-GB"/>
          </w:rPr>
          <w:tab/>
        </w:r>
        <w:r w:rsidR="000C0823" w:rsidRPr="00B46809">
          <w:rPr>
            <w:rStyle w:val="Hyperlink"/>
            <w:noProof/>
            <w:highlight w:val="yellow"/>
            <w:lang w:val="en-GB"/>
          </w:rPr>
          <w:t>[Example of implementation</w:t>
        </w:r>
        <w:r w:rsidR="000C0823">
          <w:rPr>
            <w:noProof/>
            <w:webHidden/>
          </w:rPr>
          <w:tab/>
        </w:r>
        <w:r w:rsidR="000C0823">
          <w:rPr>
            <w:noProof/>
            <w:webHidden/>
          </w:rPr>
          <w:fldChar w:fldCharType="begin"/>
        </w:r>
        <w:r w:rsidR="000C0823">
          <w:rPr>
            <w:noProof/>
            <w:webHidden/>
          </w:rPr>
          <w:instrText xml:space="preserve"> PAGEREF _Toc398907421 \h </w:instrText>
        </w:r>
        <w:r w:rsidR="000C0823">
          <w:rPr>
            <w:noProof/>
            <w:webHidden/>
          </w:rPr>
        </w:r>
        <w:r w:rsidR="000C0823">
          <w:rPr>
            <w:noProof/>
            <w:webHidden/>
          </w:rPr>
          <w:fldChar w:fldCharType="separate"/>
        </w:r>
        <w:r w:rsidR="000C0823">
          <w:rPr>
            <w:noProof/>
            <w:webHidden/>
          </w:rPr>
          <w:t>23</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22" w:history="1">
        <w:r w:rsidR="000C0823" w:rsidRPr="00B46809">
          <w:rPr>
            <w:rStyle w:val="Hyperlink"/>
            <w:noProof/>
          </w:rPr>
          <w:t>6</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Sharing scenarios for the coexistence between Fixed Service and WBB</w:t>
        </w:r>
        <w:r w:rsidR="000C0823">
          <w:rPr>
            <w:noProof/>
            <w:webHidden/>
          </w:rPr>
          <w:tab/>
        </w:r>
        <w:r w:rsidR="000C0823">
          <w:rPr>
            <w:noProof/>
            <w:webHidden/>
          </w:rPr>
          <w:fldChar w:fldCharType="begin"/>
        </w:r>
        <w:r w:rsidR="000C0823">
          <w:rPr>
            <w:noProof/>
            <w:webHidden/>
          </w:rPr>
          <w:instrText xml:space="preserve"> PAGEREF _Toc398907422 \h </w:instrText>
        </w:r>
        <w:r w:rsidR="000C0823">
          <w:rPr>
            <w:noProof/>
            <w:webHidden/>
          </w:rPr>
        </w:r>
        <w:r w:rsidR="000C0823">
          <w:rPr>
            <w:noProof/>
            <w:webHidden/>
          </w:rPr>
          <w:fldChar w:fldCharType="separate"/>
        </w:r>
        <w:r w:rsidR="000C0823">
          <w:rPr>
            <w:noProof/>
            <w:webHidden/>
          </w:rPr>
          <w:t>24</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23" w:history="1">
        <w:r w:rsidR="000C0823" w:rsidRPr="00B46809">
          <w:rPr>
            <w:rStyle w:val="Hyperlink"/>
            <w:noProof/>
          </w:rPr>
          <w:t>6.1</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Scenarios for the fixed service</w:t>
        </w:r>
        <w:r w:rsidR="000C0823">
          <w:rPr>
            <w:noProof/>
            <w:webHidden/>
          </w:rPr>
          <w:tab/>
        </w:r>
        <w:r w:rsidR="000C0823">
          <w:rPr>
            <w:noProof/>
            <w:webHidden/>
          </w:rPr>
          <w:fldChar w:fldCharType="begin"/>
        </w:r>
        <w:r w:rsidR="000C0823">
          <w:rPr>
            <w:noProof/>
            <w:webHidden/>
          </w:rPr>
          <w:instrText xml:space="preserve"> PAGEREF _Toc398907423 \h </w:instrText>
        </w:r>
        <w:r w:rsidR="000C0823">
          <w:rPr>
            <w:noProof/>
            <w:webHidden/>
          </w:rPr>
        </w:r>
        <w:r w:rsidR="000C0823">
          <w:rPr>
            <w:noProof/>
            <w:webHidden/>
          </w:rPr>
          <w:fldChar w:fldCharType="separate"/>
        </w:r>
        <w:r w:rsidR="000C0823">
          <w:rPr>
            <w:noProof/>
            <w:webHidden/>
          </w:rPr>
          <w:t>24</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24" w:history="1">
        <w:r w:rsidR="000C0823" w:rsidRPr="00B46809">
          <w:rPr>
            <w:rStyle w:val="Hyperlink"/>
            <w:noProof/>
            <w:lang w:val="en-GB"/>
          </w:rPr>
          <w:t>6.1.1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Deployment assumptions for the Fixed Service</w:t>
        </w:r>
        <w:r w:rsidR="000C0823">
          <w:rPr>
            <w:noProof/>
            <w:webHidden/>
          </w:rPr>
          <w:tab/>
        </w:r>
        <w:r w:rsidR="000C0823">
          <w:rPr>
            <w:noProof/>
            <w:webHidden/>
          </w:rPr>
          <w:fldChar w:fldCharType="begin"/>
        </w:r>
        <w:r w:rsidR="000C0823">
          <w:rPr>
            <w:noProof/>
            <w:webHidden/>
          </w:rPr>
          <w:instrText xml:space="preserve"> PAGEREF _Toc398907424 \h </w:instrText>
        </w:r>
        <w:r w:rsidR="000C0823">
          <w:rPr>
            <w:noProof/>
            <w:webHidden/>
          </w:rPr>
        </w:r>
        <w:r w:rsidR="000C0823">
          <w:rPr>
            <w:noProof/>
            <w:webHidden/>
          </w:rPr>
          <w:fldChar w:fldCharType="separate"/>
        </w:r>
        <w:r w:rsidR="000C0823">
          <w:rPr>
            <w:noProof/>
            <w:webHidden/>
          </w:rPr>
          <w:t>24</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25" w:history="1">
        <w:r w:rsidR="000C0823" w:rsidRPr="00B46809">
          <w:rPr>
            <w:rStyle w:val="Hyperlink"/>
            <w:noProof/>
            <w:lang w:val="en-GB"/>
          </w:rPr>
          <w:t>6.1.2</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 xml:space="preserve">Operational footprint for </w:t>
        </w:r>
        <w:r w:rsidR="000C0823" w:rsidRPr="00B46809">
          <w:rPr>
            <w:rStyle w:val="Hyperlink"/>
            <w:noProof/>
            <w:lang w:val="en-GB"/>
          </w:rPr>
          <w:t>the Fixed Service</w:t>
        </w:r>
        <w:r w:rsidR="000C0823">
          <w:rPr>
            <w:noProof/>
            <w:webHidden/>
          </w:rPr>
          <w:tab/>
        </w:r>
        <w:r w:rsidR="000C0823">
          <w:rPr>
            <w:noProof/>
            <w:webHidden/>
          </w:rPr>
          <w:fldChar w:fldCharType="begin"/>
        </w:r>
        <w:r w:rsidR="000C0823">
          <w:rPr>
            <w:noProof/>
            <w:webHidden/>
          </w:rPr>
          <w:instrText xml:space="preserve"> PAGEREF _Toc398907425 \h </w:instrText>
        </w:r>
        <w:r w:rsidR="000C0823">
          <w:rPr>
            <w:noProof/>
            <w:webHidden/>
          </w:rPr>
        </w:r>
        <w:r w:rsidR="000C0823">
          <w:rPr>
            <w:noProof/>
            <w:webHidden/>
          </w:rPr>
          <w:fldChar w:fldCharType="separate"/>
        </w:r>
        <w:r w:rsidR="000C0823">
          <w:rPr>
            <w:noProof/>
            <w:webHidden/>
          </w:rPr>
          <w:t>24</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26" w:history="1">
        <w:r w:rsidR="000C0823" w:rsidRPr="00B46809">
          <w:rPr>
            <w:rStyle w:val="Hyperlink"/>
            <w:noProof/>
          </w:rPr>
          <w:t>6.2</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Options for sharing</w:t>
        </w:r>
        <w:r w:rsidR="000C0823">
          <w:rPr>
            <w:noProof/>
            <w:webHidden/>
          </w:rPr>
          <w:tab/>
        </w:r>
        <w:r w:rsidR="000C0823">
          <w:rPr>
            <w:noProof/>
            <w:webHidden/>
          </w:rPr>
          <w:fldChar w:fldCharType="begin"/>
        </w:r>
        <w:r w:rsidR="000C0823">
          <w:rPr>
            <w:noProof/>
            <w:webHidden/>
          </w:rPr>
          <w:instrText xml:space="preserve"> PAGEREF _Toc398907426 \h </w:instrText>
        </w:r>
        <w:r w:rsidR="000C0823">
          <w:rPr>
            <w:noProof/>
            <w:webHidden/>
          </w:rPr>
        </w:r>
        <w:r w:rsidR="000C0823">
          <w:rPr>
            <w:noProof/>
            <w:webHidden/>
          </w:rPr>
          <w:fldChar w:fldCharType="separate"/>
        </w:r>
        <w:r w:rsidR="000C0823">
          <w:rPr>
            <w:noProof/>
            <w:webHidden/>
          </w:rPr>
          <w:t>25</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27" w:history="1">
        <w:r w:rsidR="000C0823" w:rsidRPr="00B46809">
          <w:rPr>
            <w:rStyle w:val="Hyperlink"/>
            <w:noProof/>
          </w:rPr>
          <w:t>6.3</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Example of implementation</w:t>
        </w:r>
        <w:r w:rsidR="000C0823">
          <w:rPr>
            <w:noProof/>
            <w:webHidden/>
          </w:rPr>
          <w:tab/>
        </w:r>
        <w:r w:rsidR="000C0823">
          <w:rPr>
            <w:noProof/>
            <w:webHidden/>
          </w:rPr>
          <w:fldChar w:fldCharType="begin"/>
        </w:r>
        <w:r w:rsidR="000C0823">
          <w:rPr>
            <w:noProof/>
            <w:webHidden/>
          </w:rPr>
          <w:instrText xml:space="preserve"> PAGEREF _Toc398907427 \h </w:instrText>
        </w:r>
        <w:r w:rsidR="000C0823">
          <w:rPr>
            <w:noProof/>
            <w:webHidden/>
          </w:rPr>
        </w:r>
        <w:r w:rsidR="000C0823">
          <w:rPr>
            <w:noProof/>
            <w:webHidden/>
          </w:rPr>
          <w:fldChar w:fldCharType="separate"/>
        </w:r>
        <w:r w:rsidR="000C0823">
          <w:rPr>
            <w:noProof/>
            <w:webHidden/>
          </w:rPr>
          <w:t>25</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28" w:history="1">
        <w:r w:rsidR="000C0823" w:rsidRPr="00B46809">
          <w:rPr>
            <w:rStyle w:val="Hyperlink"/>
            <w:noProof/>
          </w:rPr>
          <w:t>7</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Sharing scenarios for the coexistence between OTHER GOVERNMENTAL use and WBB</w:t>
        </w:r>
        <w:r w:rsidR="000C0823">
          <w:rPr>
            <w:noProof/>
            <w:webHidden/>
          </w:rPr>
          <w:tab/>
        </w:r>
        <w:r w:rsidR="000C0823">
          <w:rPr>
            <w:noProof/>
            <w:webHidden/>
          </w:rPr>
          <w:fldChar w:fldCharType="begin"/>
        </w:r>
        <w:r w:rsidR="000C0823">
          <w:rPr>
            <w:noProof/>
            <w:webHidden/>
          </w:rPr>
          <w:instrText xml:space="preserve"> PAGEREF _Toc398907428 \h </w:instrText>
        </w:r>
        <w:r w:rsidR="000C0823">
          <w:rPr>
            <w:noProof/>
            <w:webHidden/>
          </w:rPr>
        </w:r>
        <w:r w:rsidR="000C0823">
          <w:rPr>
            <w:noProof/>
            <w:webHidden/>
          </w:rPr>
          <w:fldChar w:fldCharType="separate"/>
        </w:r>
        <w:r w:rsidR="000C0823">
          <w:rPr>
            <w:noProof/>
            <w:webHidden/>
          </w:rPr>
          <w:t>26</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29" w:history="1">
        <w:r w:rsidR="000C0823" w:rsidRPr="00B46809">
          <w:rPr>
            <w:rStyle w:val="Hyperlink"/>
            <w:noProof/>
          </w:rPr>
          <w:t>7.1</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Unmanned Aircraft Systems (UAS):</w:t>
        </w:r>
        <w:r w:rsidR="000C0823">
          <w:rPr>
            <w:noProof/>
            <w:webHidden/>
          </w:rPr>
          <w:tab/>
        </w:r>
        <w:r w:rsidR="000C0823">
          <w:rPr>
            <w:noProof/>
            <w:webHidden/>
          </w:rPr>
          <w:fldChar w:fldCharType="begin"/>
        </w:r>
        <w:r w:rsidR="000C0823">
          <w:rPr>
            <w:noProof/>
            <w:webHidden/>
          </w:rPr>
          <w:instrText xml:space="preserve"> PAGEREF _Toc398907429 \h </w:instrText>
        </w:r>
        <w:r w:rsidR="000C0823">
          <w:rPr>
            <w:noProof/>
            <w:webHidden/>
          </w:rPr>
        </w:r>
        <w:r w:rsidR="000C0823">
          <w:rPr>
            <w:noProof/>
            <w:webHidden/>
          </w:rPr>
          <w:fldChar w:fldCharType="separate"/>
        </w:r>
        <w:r w:rsidR="000C0823">
          <w:rPr>
            <w:noProof/>
            <w:webHidden/>
          </w:rPr>
          <w:t>26</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30" w:history="1">
        <w:r w:rsidR="000C0823" w:rsidRPr="00B46809">
          <w:rPr>
            <w:rStyle w:val="Hyperlink"/>
            <w:noProof/>
          </w:rPr>
          <w:t>7.2</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Video links for governmental use:</w:t>
        </w:r>
        <w:r w:rsidR="000C0823">
          <w:rPr>
            <w:noProof/>
            <w:webHidden/>
          </w:rPr>
          <w:tab/>
        </w:r>
        <w:r w:rsidR="000C0823">
          <w:rPr>
            <w:noProof/>
            <w:webHidden/>
          </w:rPr>
          <w:fldChar w:fldCharType="begin"/>
        </w:r>
        <w:r w:rsidR="000C0823">
          <w:rPr>
            <w:noProof/>
            <w:webHidden/>
          </w:rPr>
          <w:instrText xml:space="preserve"> PAGEREF _Toc398907430 \h </w:instrText>
        </w:r>
        <w:r w:rsidR="000C0823">
          <w:rPr>
            <w:noProof/>
            <w:webHidden/>
          </w:rPr>
        </w:r>
        <w:r w:rsidR="000C0823">
          <w:rPr>
            <w:noProof/>
            <w:webHidden/>
          </w:rPr>
          <w:fldChar w:fldCharType="separate"/>
        </w:r>
        <w:r w:rsidR="000C0823">
          <w:rPr>
            <w:noProof/>
            <w:webHidden/>
          </w:rPr>
          <w:t>26</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31" w:history="1">
        <w:r w:rsidR="000C0823" w:rsidRPr="00B46809">
          <w:rPr>
            <w:rStyle w:val="Hyperlink"/>
            <w:noProof/>
          </w:rPr>
          <w:t>7.3</w:t>
        </w:r>
        <w:r w:rsidR="000C0823">
          <w:rPr>
            <w:rFonts w:asciiTheme="minorHAnsi" w:eastAsiaTheme="minorEastAsia" w:hAnsiTheme="minorHAnsi" w:cstheme="minorBidi"/>
            <w:noProof/>
            <w:sz w:val="22"/>
            <w:szCs w:val="22"/>
            <w:lang w:val="en-GB" w:eastAsia="en-GB"/>
          </w:rPr>
          <w:tab/>
        </w:r>
        <w:r w:rsidR="000C0823" w:rsidRPr="00B46809">
          <w:rPr>
            <w:rStyle w:val="Hyperlink"/>
            <w:noProof/>
          </w:rPr>
          <w:t>Other considerations:</w:t>
        </w:r>
        <w:r w:rsidR="000C0823">
          <w:rPr>
            <w:noProof/>
            <w:webHidden/>
          </w:rPr>
          <w:tab/>
        </w:r>
        <w:r w:rsidR="000C0823">
          <w:rPr>
            <w:noProof/>
            <w:webHidden/>
          </w:rPr>
          <w:fldChar w:fldCharType="begin"/>
        </w:r>
        <w:r w:rsidR="000C0823">
          <w:rPr>
            <w:noProof/>
            <w:webHidden/>
          </w:rPr>
          <w:instrText xml:space="preserve"> PAGEREF _Toc398907431 \h </w:instrText>
        </w:r>
        <w:r w:rsidR="000C0823">
          <w:rPr>
            <w:noProof/>
            <w:webHidden/>
          </w:rPr>
        </w:r>
        <w:r w:rsidR="000C0823">
          <w:rPr>
            <w:noProof/>
            <w:webHidden/>
          </w:rPr>
          <w:fldChar w:fldCharType="separate"/>
        </w:r>
        <w:r w:rsidR="000C0823">
          <w:rPr>
            <w:noProof/>
            <w:webHidden/>
          </w:rPr>
          <w:t>26</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32" w:history="1">
        <w:r w:rsidR="000C0823" w:rsidRPr="00B46809">
          <w:rPr>
            <w:rStyle w:val="Hyperlink"/>
            <w:noProof/>
          </w:rPr>
          <w:t>8</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Sharing scenarios for the coexistence between WBB and Amateur service</w:t>
        </w:r>
        <w:r w:rsidR="000C0823">
          <w:rPr>
            <w:noProof/>
            <w:webHidden/>
          </w:rPr>
          <w:tab/>
        </w:r>
        <w:r w:rsidR="000C0823">
          <w:rPr>
            <w:noProof/>
            <w:webHidden/>
          </w:rPr>
          <w:fldChar w:fldCharType="begin"/>
        </w:r>
        <w:r w:rsidR="000C0823">
          <w:rPr>
            <w:noProof/>
            <w:webHidden/>
          </w:rPr>
          <w:instrText xml:space="preserve"> PAGEREF _Toc398907432 \h </w:instrText>
        </w:r>
        <w:r w:rsidR="000C0823">
          <w:rPr>
            <w:noProof/>
            <w:webHidden/>
          </w:rPr>
        </w:r>
        <w:r w:rsidR="000C0823">
          <w:rPr>
            <w:noProof/>
            <w:webHidden/>
          </w:rPr>
          <w:fldChar w:fldCharType="separate"/>
        </w:r>
        <w:r w:rsidR="000C0823">
          <w:rPr>
            <w:noProof/>
            <w:webHidden/>
          </w:rPr>
          <w:t>27</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33" w:history="1">
        <w:r w:rsidR="000C0823" w:rsidRPr="00B46809">
          <w:rPr>
            <w:rStyle w:val="Hyperlink"/>
            <w:noProof/>
            <w:lang w:val="en-GB"/>
          </w:rPr>
          <w:t>8.1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Scenarios for the amateur service</w:t>
        </w:r>
        <w:r w:rsidR="000C0823">
          <w:rPr>
            <w:noProof/>
            <w:webHidden/>
          </w:rPr>
          <w:tab/>
        </w:r>
        <w:r w:rsidR="000C0823">
          <w:rPr>
            <w:noProof/>
            <w:webHidden/>
          </w:rPr>
          <w:fldChar w:fldCharType="begin"/>
        </w:r>
        <w:r w:rsidR="000C0823">
          <w:rPr>
            <w:noProof/>
            <w:webHidden/>
          </w:rPr>
          <w:instrText xml:space="preserve"> PAGEREF _Toc398907433 \h </w:instrText>
        </w:r>
        <w:r w:rsidR="000C0823">
          <w:rPr>
            <w:noProof/>
            <w:webHidden/>
          </w:rPr>
        </w:r>
        <w:r w:rsidR="000C0823">
          <w:rPr>
            <w:noProof/>
            <w:webHidden/>
          </w:rPr>
          <w:fldChar w:fldCharType="separate"/>
        </w:r>
        <w:r w:rsidR="000C0823">
          <w:rPr>
            <w:noProof/>
            <w:webHidden/>
          </w:rPr>
          <w:t>27</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34" w:history="1">
        <w:r w:rsidR="000C0823" w:rsidRPr="00B46809">
          <w:rPr>
            <w:rStyle w:val="Hyperlink"/>
            <w:noProof/>
            <w:lang w:val="en-GB"/>
          </w:rPr>
          <w:t>8.1.1</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Deployment assumptions for the amateur service</w:t>
        </w:r>
        <w:r w:rsidR="000C0823">
          <w:rPr>
            <w:noProof/>
            <w:webHidden/>
          </w:rPr>
          <w:tab/>
        </w:r>
        <w:r w:rsidR="000C0823">
          <w:rPr>
            <w:noProof/>
            <w:webHidden/>
          </w:rPr>
          <w:fldChar w:fldCharType="begin"/>
        </w:r>
        <w:r w:rsidR="000C0823">
          <w:rPr>
            <w:noProof/>
            <w:webHidden/>
          </w:rPr>
          <w:instrText xml:space="preserve"> PAGEREF _Toc398907434 \h </w:instrText>
        </w:r>
        <w:r w:rsidR="000C0823">
          <w:rPr>
            <w:noProof/>
            <w:webHidden/>
          </w:rPr>
        </w:r>
        <w:r w:rsidR="000C0823">
          <w:rPr>
            <w:noProof/>
            <w:webHidden/>
          </w:rPr>
          <w:fldChar w:fldCharType="separate"/>
        </w:r>
        <w:r w:rsidR="000C0823">
          <w:rPr>
            <w:noProof/>
            <w:webHidden/>
          </w:rPr>
          <w:t>27</w:t>
        </w:r>
        <w:r w:rsidR="000C0823">
          <w:rPr>
            <w:noProof/>
            <w:webHidden/>
          </w:rPr>
          <w:fldChar w:fldCharType="end"/>
        </w:r>
      </w:hyperlink>
    </w:p>
    <w:p w:rsidR="000C0823" w:rsidRDefault="002F5FCA">
      <w:pPr>
        <w:pStyle w:val="Verzeichnis3"/>
        <w:rPr>
          <w:rFonts w:asciiTheme="minorHAnsi" w:eastAsiaTheme="minorEastAsia" w:hAnsiTheme="minorHAnsi" w:cstheme="minorBidi"/>
          <w:noProof/>
          <w:sz w:val="22"/>
          <w:szCs w:val="22"/>
          <w:lang w:val="en-GB" w:eastAsia="en-GB"/>
        </w:rPr>
      </w:pPr>
      <w:hyperlink w:anchor="_Toc398907435" w:history="1">
        <w:r w:rsidR="000C0823" w:rsidRPr="00B46809">
          <w:rPr>
            <w:rStyle w:val="Hyperlink"/>
            <w:noProof/>
            <w:lang w:val="en-GB"/>
          </w:rPr>
          <w:t>8.1.2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Operational footprint for the amateur service</w:t>
        </w:r>
        <w:r w:rsidR="000C0823">
          <w:rPr>
            <w:noProof/>
            <w:webHidden/>
          </w:rPr>
          <w:tab/>
        </w:r>
        <w:r w:rsidR="000C0823">
          <w:rPr>
            <w:noProof/>
            <w:webHidden/>
          </w:rPr>
          <w:fldChar w:fldCharType="begin"/>
        </w:r>
        <w:r w:rsidR="000C0823">
          <w:rPr>
            <w:noProof/>
            <w:webHidden/>
          </w:rPr>
          <w:instrText xml:space="preserve"> PAGEREF _Toc398907435 \h </w:instrText>
        </w:r>
        <w:r w:rsidR="000C0823">
          <w:rPr>
            <w:noProof/>
            <w:webHidden/>
          </w:rPr>
        </w:r>
        <w:r w:rsidR="000C0823">
          <w:rPr>
            <w:noProof/>
            <w:webHidden/>
          </w:rPr>
          <w:fldChar w:fldCharType="separate"/>
        </w:r>
        <w:r w:rsidR="000C0823">
          <w:rPr>
            <w:noProof/>
            <w:webHidden/>
          </w:rPr>
          <w:t>27</w:t>
        </w:r>
        <w:r w:rsidR="000C0823">
          <w:rPr>
            <w:noProof/>
            <w:webHidden/>
          </w:rPr>
          <w:fldChar w:fldCharType="end"/>
        </w:r>
      </w:hyperlink>
    </w:p>
    <w:p w:rsidR="000C0823" w:rsidRDefault="002F5FCA">
      <w:pPr>
        <w:pStyle w:val="Verzeichnis2"/>
        <w:rPr>
          <w:rFonts w:asciiTheme="minorHAnsi" w:eastAsiaTheme="minorEastAsia" w:hAnsiTheme="minorHAnsi" w:cstheme="minorBidi"/>
          <w:noProof/>
          <w:sz w:val="22"/>
          <w:szCs w:val="22"/>
          <w:lang w:val="en-GB" w:eastAsia="en-GB"/>
        </w:rPr>
      </w:pPr>
      <w:hyperlink w:anchor="_Toc398907436" w:history="1">
        <w:r w:rsidR="000C0823" w:rsidRPr="00B46809">
          <w:rPr>
            <w:rStyle w:val="Hyperlink"/>
            <w:noProof/>
            <w:lang w:val="en-GB"/>
          </w:rPr>
          <w:t>8.2</w:t>
        </w:r>
        <w:r w:rsidR="000C0823">
          <w:rPr>
            <w:rFonts w:asciiTheme="minorHAnsi" w:eastAsiaTheme="minorEastAsia" w:hAnsiTheme="minorHAnsi" w:cstheme="minorBidi"/>
            <w:noProof/>
            <w:sz w:val="22"/>
            <w:szCs w:val="22"/>
            <w:lang w:val="en-GB" w:eastAsia="en-GB"/>
          </w:rPr>
          <w:tab/>
        </w:r>
        <w:r w:rsidR="000C0823" w:rsidRPr="00B46809">
          <w:rPr>
            <w:rStyle w:val="Hyperlink"/>
            <w:noProof/>
            <w:lang w:val="en-GB"/>
          </w:rPr>
          <w:t>Options for sharing</w:t>
        </w:r>
        <w:r w:rsidR="000C0823">
          <w:rPr>
            <w:noProof/>
            <w:webHidden/>
          </w:rPr>
          <w:tab/>
        </w:r>
        <w:r w:rsidR="000C0823">
          <w:rPr>
            <w:noProof/>
            <w:webHidden/>
          </w:rPr>
          <w:fldChar w:fldCharType="begin"/>
        </w:r>
        <w:r w:rsidR="000C0823">
          <w:rPr>
            <w:noProof/>
            <w:webHidden/>
          </w:rPr>
          <w:instrText xml:space="preserve"> PAGEREF _Toc398907436 \h </w:instrText>
        </w:r>
        <w:r w:rsidR="000C0823">
          <w:rPr>
            <w:noProof/>
            <w:webHidden/>
          </w:rPr>
        </w:r>
        <w:r w:rsidR="000C0823">
          <w:rPr>
            <w:noProof/>
            <w:webHidden/>
          </w:rPr>
          <w:fldChar w:fldCharType="separate"/>
        </w:r>
        <w:r w:rsidR="000C0823">
          <w:rPr>
            <w:noProof/>
            <w:webHidden/>
          </w:rPr>
          <w:t>27</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37" w:history="1">
        <w:r w:rsidR="000C0823" w:rsidRPr="00B46809">
          <w:rPr>
            <w:rStyle w:val="Hyperlink"/>
            <w:noProof/>
          </w:rPr>
          <w:t>9</w:t>
        </w:r>
        <w:r w:rsidR="000C0823">
          <w:rPr>
            <w:rFonts w:asciiTheme="minorHAnsi" w:eastAsiaTheme="minorEastAsia" w:hAnsiTheme="minorHAnsi" w:cstheme="minorBidi"/>
            <w:b w:val="0"/>
            <w:caps w:val="0"/>
            <w:noProof/>
            <w:sz w:val="22"/>
            <w:szCs w:val="22"/>
            <w:lang w:val="en-GB" w:eastAsia="en-GB"/>
          </w:rPr>
          <w:tab/>
        </w:r>
        <w:r w:rsidR="000C0823" w:rsidRPr="00B46809">
          <w:rPr>
            <w:rStyle w:val="Hyperlink"/>
            <w:noProof/>
          </w:rPr>
          <w:t>Conclusions</w:t>
        </w:r>
        <w:r w:rsidR="000C0823">
          <w:rPr>
            <w:noProof/>
            <w:webHidden/>
          </w:rPr>
          <w:tab/>
        </w:r>
        <w:r w:rsidR="000C0823">
          <w:rPr>
            <w:noProof/>
            <w:webHidden/>
          </w:rPr>
          <w:fldChar w:fldCharType="begin"/>
        </w:r>
        <w:r w:rsidR="000C0823">
          <w:rPr>
            <w:noProof/>
            <w:webHidden/>
          </w:rPr>
          <w:instrText xml:space="preserve"> PAGEREF _Toc398907437 \h </w:instrText>
        </w:r>
        <w:r w:rsidR="000C0823">
          <w:rPr>
            <w:noProof/>
            <w:webHidden/>
          </w:rPr>
        </w:r>
        <w:r w:rsidR="000C0823">
          <w:rPr>
            <w:noProof/>
            <w:webHidden/>
          </w:rPr>
          <w:fldChar w:fldCharType="separate"/>
        </w:r>
        <w:r w:rsidR="000C0823">
          <w:rPr>
            <w:noProof/>
            <w:webHidden/>
          </w:rPr>
          <w:t>29</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38" w:history="1">
        <w:r w:rsidR="000C0823" w:rsidRPr="00B46809">
          <w:rPr>
            <w:rStyle w:val="Hyperlink"/>
            <w:noProof/>
          </w:rPr>
          <w:t>ANNEX 1: Summary of the usage of the 2.3-2.4 GHz band</w:t>
        </w:r>
        <w:r w:rsidR="000C0823">
          <w:rPr>
            <w:noProof/>
            <w:webHidden/>
          </w:rPr>
          <w:tab/>
        </w:r>
        <w:r w:rsidR="000C0823">
          <w:rPr>
            <w:noProof/>
            <w:webHidden/>
          </w:rPr>
          <w:fldChar w:fldCharType="begin"/>
        </w:r>
        <w:r w:rsidR="000C0823">
          <w:rPr>
            <w:noProof/>
            <w:webHidden/>
          </w:rPr>
          <w:instrText xml:space="preserve"> PAGEREF _Toc398907438 \h </w:instrText>
        </w:r>
        <w:r w:rsidR="000C0823">
          <w:rPr>
            <w:noProof/>
            <w:webHidden/>
          </w:rPr>
        </w:r>
        <w:r w:rsidR="000C0823">
          <w:rPr>
            <w:noProof/>
            <w:webHidden/>
          </w:rPr>
          <w:fldChar w:fldCharType="separate"/>
        </w:r>
        <w:r w:rsidR="000C0823">
          <w:rPr>
            <w:noProof/>
            <w:webHidden/>
          </w:rPr>
          <w:t>30</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39" w:history="1">
        <w:r w:rsidR="000C0823" w:rsidRPr="00B46809">
          <w:rPr>
            <w:rStyle w:val="Hyperlink"/>
            <w:noProof/>
          </w:rPr>
          <w:t>ANNEX 3: cept mandate</w:t>
        </w:r>
        <w:r w:rsidR="000C0823">
          <w:rPr>
            <w:noProof/>
            <w:webHidden/>
          </w:rPr>
          <w:tab/>
        </w:r>
        <w:r w:rsidR="000C0823">
          <w:rPr>
            <w:noProof/>
            <w:webHidden/>
          </w:rPr>
          <w:fldChar w:fldCharType="begin"/>
        </w:r>
        <w:r w:rsidR="000C0823">
          <w:rPr>
            <w:noProof/>
            <w:webHidden/>
          </w:rPr>
          <w:instrText xml:space="preserve"> PAGEREF _Toc398907439 \h </w:instrText>
        </w:r>
        <w:r w:rsidR="000C0823">
          <w:rPr>
            <w:noProof/>
            <w:webHidden/>
          </w:rPr>
        </w:r>
        <w:r w:rsidR="000C0823">
          <w:rPr>
            <w:noProof/>
            <w:webHidden/>
          </w:rPr>
          <w:fldChar w:fldCharType="separate"/>
        </w:r>
        <w:r w:rsidR="000C0823">
          <w:rPr>
            <w:noProof/>
            <w:webHidden/>
          </w:rPr>
          <w:t>36</w:t>
        </w:r>
        <w:r w:rsidR="000C0823">
          <w:rPr>
            <w:noProof/>
            <w:webHidden/>
          </w:rPr>
          <w:fldChar w:fldCharType="end"/>
        </w:r>
      </w:hyperlink>
    </w:p>
    <w:p w:rsidR="000C0823" w:rsidRDefault="002F5FCA">
      <w:pPr>
        <w:pStyle w:val="Verzeichnis1"/>
        <w:rPr>
          <w:rFonts w:asciiTheme="minorHAnsi" w:eastAsiaTheme="minorEastAsia" w:hAnsiTheme="minorHAnsi" w:cstheme="minorBidi"/>
          <w:b w:val="0"/>
          <w:caps w:val="0"/>
          <w:noProof/>
          <w:sz w:val="22"/>
          <w:szCs w:val="22"/>
          <w:lang w:val="en-GB" w:eastAsia="en-GB"/>
        </w:rPr>
      </w:pPr>
      <w:hyperlink w:anchor="_Toc398907440" w:history="1">
        <w:r w:rsidR="000C0823" w:rsidRPr="00B46809">
          <w:rPr>
            <w:rStyle w:val="Hyperlink"/>
            <w:noProof/>
          </w:rPr>
          <w:t>ANNEX 4: List of reference</w:t>
        </w:r>
        <w:r w:rsidR="000C0823">
          <w:rPr>
            <w:noProof/>
            <w:webHidden/>
          </w:rPr>
          <w:tab/>
        </w:r>
        <w:r w:rsidR="000C0823">
          <w:rPr>
            <w:noProof/>
            <w:webHidden/>
          </w:rPr>
          <w:fldChar w:fldCharType="begin"/>
        </w:r>
        <w:r w:rsidR="000C0823">
          <w:rPr>
            <w:noProof/>
            <w:webHidden/>
          </w:rPr>
          <w:instrText xml:space="preserve"> PAGEREF _Toc398907440 \h </w:instrText>
        </w:r>
        <w:r w:rsidR="000C0823">
          <w:rPr>
            <w:noProof/>
            <w:webHidden/>
          </w:rPr>
        </w:r>
        <w:r w:rsidR="000C0823">
          <w:rPr>
            <w:noProof/>
            <w:webHidden/>
          </w:rPr>
          <w:fldChar w:fldCharType="separate"/>
        </w:r>
        <w:r w:rsidR="000C0823">
          <w:rPr>
            <w:noProof/>
            <w:webHidden/>
          </w:rPr>
          <w:t>41</w:t>
        </w:r>
        <w:r w:rsidR="000C0823">
          <w:rPr>
            <w:noProof/>
            <w:webHidden/>
          </w:rPr>
          <w:fldChar w:fldCharType="end"/>
        </w:r>
      </w:hyperlink>
    </w:p>
    <w:p w:rsidR="00AB46DF" w:rsidRDefault="003C3EE4" w:rsidP="00AB46DF">
      <w:r>
        <w:rPr>
          <w:caps/>
          <w:lang w:val="en-GB"/>
        </w:rPr>
        <w:fldChar w:fldCharType="end"/>
      </w:r>
    </w:p>
    <w:p w:rsidR="00AB46DF" w:rsidRDefault="003C3EE4" w:rsidP="00AB46DF">
      <w:r>
        <w:br w:type="page"/>
      </w:r>
    </w:p>
    <w:p w:rsidR="00AB46DF" w:rsidRPr="009B4646" w:rsidRDefault="00AB46DF" w:rsidP="00AB46DF">
      <w:pPr>
        <w:rPr>
          <w:b/>
          <w:color w:val="FFFFFF"/>
          <w:szCs w:val="20"/>
        </w:rPr>
      </w:pPr>
    </w:p>
    <w:p w:rsidR="00D20E3B" w:rsidRDefault="00D20E3B" w:rsidP="00AB46DF">
      <w:pPr>
        <w:rPr>
          <w:b/>
          <w:color w:val="FFFFFF"/>
          <w:szCs w:val="20"/>
        </w:rPr>
      </w:pPr>
    </w:p>
    <w:p w:rsidR="00AB46DF" w:rsidRPr="009B4646" w:rsidRDefault="00D20E3B" w:rsidP="00AB46DF">
      <w:pPr>
        <w:rPr>
          <w:b/>
          <w:color w:val="FFFFFF"/>
          <w:szCs w:val="20"/>
        </w:rPr>
      </w:pPr>
      <w:r>
        <w:rPr>
          <w:b/>
          <w:noProof/>
          <w:color w:val="FFFFFF"/>
          <w:szCs w:val="20"/>
          <w:lang w:val="en-GB" w:eastAsia="en-GB"/>
        </w:rPr>
        <mc:AlternateContent>
          <mc:Choice Requires="wps">
            <w:drawing>
              <wp:anchor distT="0" distB="0" distL="114300" distR="114300" simplePos="0" relativeHeight="251657216" behindDoc="1" locked="0" layoutInCell="1" allowOverlap="1" wp14:anchorId="73D357EB" wp14:editId="0DE0C218">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9B4646">
        <w:rPr>
          <w:b/>
          <w:color w:val="FFFFFF"/>
          <w:szCs w:val="20"/>
        </w:rPr>
        <w:t>LIST OF ABBREVIATIONS</w:t>
      </w:r>
    </w:p>
    <w:p w:rsidR="00AB46DF" w:rsidRPr="00C95C7C" w:rsidRDefault="00AB46DF" w:rsidP="00AB46DF">
      <w:pPr>
        <w:rPr>
          <w:b/>
          <w:color w:val="FFFFFF"/>
          <w:szCs w:val="20"/>
        </w:rPr>
      </w:pPr>
    </w:p>
    <w:p w:rsidR="00AB46DF" w:rsidRPr="00C95C7C" w:rsidRDefault="00AB46DF" w:rsidP="00AB46DF">
      <w:pPr>
        <w:rPr>
          <w:b/>
          <w:color w:val="FFFFFF"/>
          <w:szCs w:val="20"/>
        </w:rPr>
      </w:pPr>
    </w:p>
    <w:p w:rsidR="00AB46DF" w:rsidRDefault="00AB46DF" w:rsidP="00AB46DF"/>
    <w:p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AB46DF">
        <w:trPr>
          <w:trHeight w:val="76"/>
        </w:trPr>
        <w:tc>
          <w:tcPr>
            <w:tcW w:w="2088" w:type="dxa"/>
          </w:tcPr>
          <w:p w:rsidR="00AB46DF" w:rsidRPr="00CB0AD7" w:rsidRDefault="003C3EE4" w:rsidP="00AB46DF">
            <w:pPr>
              <w:spacing w:line="288" w:lineRule="auto"/>
              <w:rPr>
                <w:b/>
                <w:color w:val="D2232A"/>
              </w:rPr>
            </w:pPr>
            <w:r w:rsidRPr="00CB0AD7">
              <w:rPr>
                <w:b/>
                <w:color w:val="D2232A"/>
              </w:rPr>
              <w:t>Abbreviation</w:t>
            </w:r>
          </w:p>
        </w:tc>
        <w:tc>
          <w:tcPr>
            <w:tcW w:w="7767" w:type="dxa"/>
          </w:tcPr>
          <w:p w:rsidR="00AB46DF" w:rsidRPr="00CB0AD7" w:rsidRDefault="00A575C5" w:rsidP="00A575C5">
            <w:pPr>
              <w:spacing w:line="288" w:lineRule="auto"/>
              <w:rPr>
                <w:b/>
                <w:color w:val="D2232A"/>
              </w:rPr>
            </w:pPr>
            <w:r>
              <w:rPr>
                <w:b/>
                <w:color w:val="D2232A"/>
              </w:rPr>
              <w:t>Explanation</w:t>
            </w:r>
          </w:p>
        </w:tc>
      </w:tr>
      <w:tr w:rsidR="00BE13CF">
        <w:tc>
          <w:tcPr>
            <w:tcW w:w="2088" w:type="dxa"/>
          </w:tcPr>
          <w:p w:rsidR="00BE13CF" w:rsidRDefault="008C0390" w:rsidP="00AB46DF">
            <w:pPr>
              <w:spacing w:line="288" w:lineRule="auto"/>
              <w:rPr>
                <w:b/>
              </w:rPr>
            </w:pPr>
            <w:r>
              <w:rPr>
                <w:b/>
              </w:rPr>
              <w:t>3GPP</w:t>
            </w:r>
          </w:p>
        </w:tc>
        <w:tc>
          <w:tcPr>
            <w:tcW w:w="7767" w:type="dxa"/>
          </w:tcPr>
          <w:p w:rsidR="00BE13CF" w:rsidRDefault="00034A77" w:rsidP="00F749D7">
            <w:pPr>
              <w:spacing w:line="288" w:lineRule="auto"/>
              <w:rPr>
                <w:szCs w:val="20"/>
              </w:rPr>
            </w:pPr>
            <w:r w:rsidRPr="00034A77">
              <w:rPr>
                <w:szCs w:val="20"/>
              </w:rPr>
              <w:t>3rd Generation Partnership Project</w:t>
            </w:r>
          </w:p>
        </w:tc>
      </w:tr>
      <w:tr w:rsidR="008C0390">
        <w:tc>
          <w:tcPr>
            <w:tcW w:w="2088" w:type="dxa"/>
          </w:tcPr>
          <w:p w:rsidR="008C0390" w:rsidRDefault="008C0390" w:rsidP="00AB46DF">
            <w:pPr>
              <w:spacing w:line="288" w:lineRule="auto"/>
              <w:rPr>
                <w:b/>
              </w:rPr>
            </w:pPr>
            <w:r>
              <w:rPr>
                <w:b/>
              </w:rPr>
              <w:t>ACLR</w:t>
            </w:r>
          </w:p>
        </w:tc>
        <w:tc>
          <w:tcPr>
            <w:tcW w:w="7767" w:type="dxa"/>
          </w:tcPr>
          <w:p w:rsidR="008C0390" w:rsidRDefault="008C0390" w:rsidP="00F749D7">
            <w:pPr>
              <w:spacing w:line="288" w:lineRule="auto"/>
              <w:rPr>
                <w:szCs w:val="20"/>
              </w:rPr>
            </w:pPr>
            <w:r>
              <w:rPr>
                <w:szCs w:val="20"/>
              </w:rPr>
              <w:t>Adjacent Channel Leakage Ratio</w:t>
            </w:r>
          </w:p>
        </w:tc>
      </w:tr>
      <w:tr w:rsidR="008C0390">
        <w:tc>
          <w:tcPr>
            <w:tcW w:w="2088" w:type="dxa"/>
          </w:tcPr>
          <w:p w:rsidR="008C0390" w:rsidRDefault="008C0390" w:rsidP="00AB46DF">
            <w:pPr>
              <w:spacing w:line="288" w:lineRule="auto"/>
              <w:rPr>
                <w:b/>
              </w:rPr>
            </w:pPr>
            <w:r>
              <w:rPr>
                <w:b/>
              </w:rPr>
              <w:t>ACS</w:t>
            </w:r>
          </w:p>
        </w:tc>
        <w:tc>
          <w:tcPr>
            <w:tcW w:w="7767" w:type="dxa"/>
          </w:tcPr>
          <w:p w:rsidR="008C0390" w:rsidRDefault="008C0390" w:rsidP="00F749D7">
            <w:pPr>
              <w:spacing w:line="288" w:lineRule="auto"/>
              <w:rPr>
                <w:szCs w:val="20"/>
              </w:rPr>
            </w:pPr>
            <w:r>
              <w:rPr>
                <w:szCs w:val="20"/>
              </w:rPr>
              <w:t>Adjacent Channel Selectivity</w:t>
            </w:r>
          </w:p>
        </w:tc>
      </w:tr>
      <w:tr w:rsidR="008C0390">
        <w:tc>
          <w:tcPr>
            <w:tcW w:w="2088" w:type="dxa"/>
          </w:tcPr>
          <w:p w:rsidR="008C0390" w:rsidRDefault="008C0390" w:rsidP="00AB46DF">
            <w:pPr>
              <w:spacing w:line="288" w:lineRule="auto"/>
              <w:rPr>
                <w:b/>
              </w:rPr>
            </w:pPr>
            <w:r>
              <w:rPr>
                <w:b/>
              </w:rPr>
              <w:t>BS</w:t>
            </w:r>
          </w:p>
        </w:tc>
        <w:tc>
          <w:tcPr>
            <w:tcW w:w="7767" w:type="dxa"/>
          </w:tcPr>
          <w:p w:rsidR="008C0390" w:rsidRDefault="008C0390" w:rsidP="00F749D7">
            <w:pPr>
              <w:spacing w:line="288" w:lineRule="auto"/>
              <w:rPr>
                <w:szCs w:val="20"/>
              </w:rPr>
            </w:pPr>
            <w:r>
              <w:rPr>
                <w:szCs w:val="20"/>
              </w:rPr>
              <w:t>Base Station</w:t>
            </w:r>
          </w:p>
        </w:tc>
      </w:tr>
      <w:tr w:rsidR="00034A77">
        <w:tc>
          <w:tcPr>
            <w:tcW w:w="2088" w:type="dxa"/>
          </w:tcPr>
          <w:p w:rsidR="00034A77" w:rsidRDefault="00034A77" w:rsidP="00AB46DF">
            <w:pPr>
              <w:spacing w:line="288" w:lineRule="auto"/>
              <w:rPr>
                <w:b/>
              </w:rPr>
            </w:pPr>
            <w:r>
              <w:rPr>
                <w:b/>
              </w:rPr>
              <w:t>BWA</w:t>
            </w:r>
          </w:p>
        </w:tc>
        <w:tc>
          <w:tcPr>
            <w:tcW w:w="7767" w:type="dxa"/>
          </w:tcPr>
          <w:p w:rsidR="00034A77" w:rsidRDefault="00034A77" w:rsidP="00F749D7">
            <w:pPr>
              <w:spacing w:line="288" w:lineRule="auto"/>
              <w:rPr>
                <w:szCs w:val="20"/>
              </w:rPr>
            </w:pPr>
            <w:r>
              <w:rPr>
                <w:szCs w:val="20"/>
              </w:rPr>
              <w:t>Broadband Wireless Access</w:t>
            </w:r>
          </w:p>
        </w:tc>
      </w:tr>
      <w:tr w:rsidR="00F749D7">
        <w:tc>
          <w:tcPr>
            <w:tcW w:w="2088" w:type="dxa"/>
          </w:tcPr>
          <w:p w:rsidR="00F749D7" w:rsidRPr="00C95C7C" w:rsidRDefault="00F749D7" w:rsidP="00AB46DF">
            <w:pPr>
              <w:spacing w:line="288" w:lineRule="auto"/>
              <w:rPr>
                <w:b/>
              </w:rPr>
            </w:pPr>
            <w:r>
              <w:rPr>
                <w:b/>
              </w:rPr>
              <w:t>BWS</w:t>
            </w:r>
          </w:p>
        </w:tc>
        <w:tc>
          <w:tcPr>
            <w:tcW w:w="7767" w:type="dxa"/>
          </w:tcPr>
          <w:p w:rsidR="00F749D7" w:rsidRPr="00485067" w:rsidRDefault="00F749D7" w:rsidP="00F749D7">
            <w:pPr>
              <w:spacing w:line="288" w:lineRule="auto"/>
              <w:rPr>
                <w:szCs w:val="20"/>
              </w:rPr>
            </w:pPr>
            <w:r>
              <w:rPr>
                <w:szCs w:val="20"/>
              </w:rPr>
              <w:t>Broadband Wireless Systems</w:t>
            </w:r>
          </w:p>
        </w:tc>
      </w:tr>
      <w:tr w:rsidR="00AB46DF">
        <w:tc>
          <w:tcPr>
            <w:tcW w:w="2088" w:type="dxa"/>
          </w:tcPr>
          <w:p w:rsidR="00AB46DF" w:rsidRPr="00C95C7C" w:rsidRDefault="003C3EE4" w:rsidP="00AB46DF">
            <w:pPr>
              <w:spacing w:line="288" w:lineRule="auto"/>
              <w:rPr>
                <w:b/>
              </w:rPr>
            </w:pPr>
            <w:r w:rsidRPr="00C95C7C">
              <w:rPr>
                <w:b/>
              </w:rPr>
              <w:t>CEPT</w:t>
            </w:r>
          </w:p>
        </w:tc>
        <w:tc>
          <w:tcPr>
            <w:tcW w:w="7767" w:type="dxa"/>
          </w:tcPr>
          <w:p w:rsidR="00AB46DF" w:rsidRPr="00485067" w:rsidRDefault="003C3EE4" w:rsidP="00AB46DF">
            <w:pPr>
              <w:spacing w:line="288" w:lineRule="auto"/>
              <w:rPr>
                <w:szCs w:val="20"/>
              </w:rPr>
            </w:pPr>
            <w:r w:rsidRPr="00485067">
              <w:rPr>
                <w:szCs w:val="20"/>
              </w:rPr>
              <w:t>European Conference of Postal and Telecommunications Administrations</w:t>
            </w:r>
          </w:p>
        </w:tc>
      </w:tr>
      <w:tr w:rsidR="00635F23">
        <w:tc>
          <w:tcPr>
            <w:tcW w:w="2088" w:type="dxa"/>
          </w:tcPr>
          <w:p w:rsidR="00635F23" w:rsidRPr="00C95C7C" w:rsidRDefault="00635F23" w:rsidP="00AB46DF">
            <w:pPr>
              <w:spacing w:line="288" w:lineRule="auto"/>
              <w:rPr>
                <w:b/>
              </w:rPr>
            </w:pPr>
            <w:r>
              <w:rPr>
                <w:b/>
              </w:rPr>
              <w:t>CW</w:t>
            </w:r>
          </w:p>
        </w:tc>
        <w:tc>
          <w:tcPr>
            <w:tcW w:w="7767" w:type="dxa"/>
          </w:tcPr>
          <w:p w:rsidR="00635F23" w:rsidRPr="00A45B9B" w:rsidRDefault="00034A77" w:rsidP="00AB46DF">
            <w:pPr>
              <w:pStyle w:val="ECCParagraph"/>
              <w:spacing w:after="0" w:line="288" w:lineRule="auto"/>
              <w:jc w:val="left"/>
            </w:pPr>
            <w:r>
              <w:t>Continuous Wave</w:t>
            </w:r>
          </w:p>
        </w:tc>
      </w:tr>
      <w:tr w:rsidR="00AB46DF">
        <w:tc>
          <w:tcPr>
            <w:tcW w:w="2088" w:type="dxa"/>
          </w:tcPr>
          <w:p w:rsidR="00AB46DF" w:rsidRPr="00C95C7C" w:rsidRDefault="003C3EE4" w:rsidP="00AB46DF">
            <w:pPr>
              <w:spacing w:line="288" w:lineRule="auto"/>
              <w:rPr>
                <w:b/>
              </w:rPr>
            </w:pPr>
            <w:r w:rsidRPr="00C95C7C">
              <w:rPr>
                <w:b/>
              </w:rPr>
              <w:t>ECC</w:t>
            </w:r>
          </w:p>
        </w:tc>
        <w:tc>
          <w:tcPr>
            <w:tcW w:w="7767" w:type="dxa"/>
          </w:tcPr>
          <w:p w:rsidR="00AB46DF" w:rsidRPr="00485067" w:rsidRDefault="003C3EE4" w:rsidP="00AB46DF">
            <w:pPr>
              <w:pStyle w:val="ECCParagraph"/>
              <w:spacing w:after="0" w:line="288" w:lineRule="auto"/>
              <w:jc w:val="left"/>
              <w:rPr>
                <w:szCs w:val="20"/>
              </w:rPr>
            </w:pPr>
            <w:r w:rsidRPr="00A45B9B">
              <w:t>Electronic Communications Committee</w:t>
            </w:r>
          </w:p>
        </w:tc>
      </w:tr>
      <w:tr w:rsidR="00635F23">
        <w:tc>
          <w:tcPr>
            <w:tcW w:w="2088" w:type="dxa"/>
          </w:tcPr>
          <w:p w:rsidR="00635F23" w:rsidRPr="00C95C7C" w:rsidRDefault="00635F23" w:rsidP="00AB46DF">
            <w:pPr>
              <w:spacing w:line="288" w:lineRule="auto"/>
              <w:rPr>
                <w:b/>
              </w:rPr>
            </w:pPr>
            <w:r>
              <w:rPr>
                <w:b/>
              </w:rPr>
              <w:t>EME</w:t>
            </w:r>
          </w:p>
        </w:tc>
        <w:tc>
          <w:tcPr>
            <w:tcW w:w="7767" w:type="dxa"/>
          </w:tcPr>
          <w:p w:rsidR="00635F23" w:rsidRPr="00A45B9B" w:rsidRDefault="00635F23" w:rsidP="00AB46DF">
            <w:pPr>
              <w:pStyle w:val="ECCParagraph"/>
              <w:spacing w:after="0" w:line="288" w:lineRule="auto"/>
              <w:jc w:val="left"/>
            </w:pPr>
            <w:r w:rsidRPr="00CF10ED">
              <w:t>Earth-Moon-Earth</w:t>
            </w:r>
          </w:p>
        </w:tc>
      </w:tr>
      <w:tr w:rsidR="00BE13CF">
        <w:tc>
          <w:tcPr>
            <w:tcW w:w="2088" w:type="dxa"/>
          </w:tcPr>
          <w:p w:rsidR="00BE13CF" w:rsidRDefault="00BE13CF" w:rsidP="00AB46DF">
            <w:pPr>
              <w:spacing w:line="288" w:lineRule="auto"/>
              <w:rPr>
                <w:b/>
              </w:rPr>
            </w:pPr>
            <w:proofErr w:type="spellStart"/>
            <w:r>
              <w:rPr>
                <w:b/>
              </w:rPr>
              <w:t>eNB</w:t>
            </w:r>
            <w:proofErr w:type="spellEnd"/>
          </w:p>
        </w:tc>
        <w:tc>
          <w:tcPr>
            <w:tcW w:w="7767" w:type="dxa"/>
          </w:tcPr>
          <w:p w:rsidR="00BE13CF" w:rsidRPr="00A45B9B" w:rsidRDefault="00B02F63" w:rsidP="00AB46DF">
            <w:pPr>
              <w:pStyle w:val="ECCParagraph"/>
              <w:spacing w:after="0" w:line="288" w:lineRule="auto"/>
              <w:jc w:val="left"/>
            </w:pPr>
            <w:r w:rsidRPr="00B02F63">
              <w:t>Evolved Node B</w:t>
            </w:r>
          </w:p>
        </w:tc>
      </w:tr>
      <w:tr w:rsidR="00BE13CF">
        <w:tc>
          <w:tcPr>
            <w:tcW w:w="2088" w:type="dxa"/>
          </w:tcPr>
          <w:p w:rsidR="00BE13CF" w:rsidRPr="00C95C7C" w:rsidRDefault="00BE13CF" w:rsidP="00AB46DF">
            <w:pPr>
              <w:spacing w:line="288" w:lineRule="auto"/>
              <w:rPr>
                <w:b/>
              </w:rPr>
            </w:pPr>
            <w:r>
              <w:rPr>
                <w:b/>
              </w:rPr>
              <w:t>ETSI</w:t>
            </w:r>
          </w:p>
        </w:tc>
        <w:tc>
          <w:tcPr>
            <w:tcW w:w="7767" w:type="dxa"/>
          </w:tcPr>
          <w:p w:rsidR="00BE13CF" w:rsidRPr="00A45B9B" w:rsidRDefault="00034A77" w:rsidP="00AB46DF">
            <w:pPr>
              <w:pStyle w:val="ECCParagraph"/>
              <w:spacing w:after="0" w:line="288" w:lineRule="auto"/>
              <w:jc w:val="left"/>
            </w:pPr>
            <w:r>
              <w:t>European Telecommunications Standards Institute</w:t>
            </w:r>
          </w:p>
        </w:tc>
      </w:tr>
      <w:tr w:rsidR="00BE13CF">
        <w:tc>
          <w:tcPr>
            <w:tcW w:w="2088" w:type="dxa"/>
          </w:tcPr>
          <w:p w:rsidR="00BE13CF" w:rsidRDefault="00BE13CF" w:rsidP="00AB46DF">
            <w:pPr>
              <w:spacing w:line="288" w:lineRule="auto"/>
              <w:rPr>
                <w:b/>
              </w:rPr>
            </w:pPr>
            <w:r>
              <w:rPr>
                <w:b/>
              </w:rPr>
              <w:t>FDD-LTE</w:t>
            </w:r>
          </w:p>
        </w:tc>
        <w:tc>
          <w:tcPr>
            <w:tcW w:w="7767" w:type="dxa"/>
          </w:tcPr>
          <w:p w:rsidR="00BE13CF" w:rsidRPr="00A45B9B" w:rsidRDefault="00C16CD9" w:rsidP="00AB46DF">
            <w:pPr>
              <w:pStyle w:val="ECCParagraph"/>
              <w:spacing w:after="0" w:line="288" w:lineRule="auto"/>
              <w:jc w:val="left"/>
            </w:pPr>
            <w:r w:rsidRPr="00C16CD9">
              <w:rPr>
                <w:lang w:val="en-US"/>
              </w:rPr>
              <w:t>Frequency Division Duplexing LTE</w:t>
            </w:r>
          </w:p>
        </w:tc>
      </w:tr>
      <w:tr w:rsidR="005E3863">
        <w:tc>
          <w:tcPr>
            <w:tcW w:w="2088" w:type="dxa"/>
          </w:tcPr>
          <w:p w:rsidR="005E3863" w:rsidRDefault="005E3863" w:rsidP="00AB46DF">
            <w:pPr>
              <w:spacing w:line="288" w:lineRule="auto"/>
              <w:rPr>
                <w:b/>
              </w:rPr>
            </w:pPr>
            <w:r>
              <w:rPr>
                <w:b/>
              </w:rPr>
              <w:t>FS</w:t>
            </w:r>
          </w:p>
        </w:tc>
        <w:tc>
          <w:tcPr>
            <w:tcW w:w="7767" w:type="dxa"/>
          </w:tcPr>
          <w:p w:rsidR="005E3863" w:rsidRPr="00C16CD9" w:rsidRDefault="005E3863" w:rsidP="00AB46DF">
            <w:pPr>
              <w:pStyle w:val="ECCParagraph"/>
              <w:spacing w:after="0" w:line="288" w:lineRule="auto"/>
              <w:jc w:val="left"/>
              <w:rPr>
                <w:lang w:val="en-US"/>
              </w:rPr>
            </w:pPr>
            <w:r>
              <w:rPr>
                <w:lang w:val="en-US"/>
              </w:rPr>
              <w:t>Fixed Service</w:t>
            </w:r>
          </w:p>
        </w:tc>
      </w:tr>
      <w:tr w:rsidR="00034A77">
        <w:tc>
          <w:tcPr>
            <w:tcW w:w="2088" w:type="dxa"/>
          </w:tcPr>
          <w:p w:rsidR="00034A77" w:rsidRDefault="00034A77" w:rsidP="00AB46DF">
            <w:pPr>
              <w:spacing w:line="288" w:lineRule="auto"/>
              <w:rPr>
                <w:b/>
              </w:rPr>
            </w:pPr>
            <w:r>
              <w:rPr>
                <w:b/>
              </w:rPr>
              <w:t>GPS</w:t>
            </w:r>
          </w:p>
        </w:tc>
        <w:tc>
          <w:tcPr>
            <w:tcW w:w="7767" w:type="dxa"/>
          </w:tcPr>
          <w:p w:rsidR="00034A77" w:rsidRDefault="00B02F63" w:rsidP="00833580">
            <w:pPr>
              <w:pStyle w:val="ECCParagraph"/>
              <w:spacing w:after="0" w:line="288" w:lineRule="auto"/>
              <w:jc w:val="left"/>
            </w:pPr>
            <w:r w:rsidRPr="00B02F63">
              <w:t>Global Positioning System</w:t>
            </w:r>
          </w:p>
        </w:tc>
      </w:tr>
      <w:tr w:rsidR="00635F23">
        <w:tc>
          <w:tcPr>
            <w:tcW w:w="2088" w:type="dxa"/>
          </w:tcPr>
          <w:p w:rsidR="00635F23" w:rsidRDefault="00635F23" w:rsidP="00AB46DF">
            <w:pPr>
              <w:spacing w:line="288" w:lineRule="auto"/>
              <w:rPr>
                <w:b/>
              </w:rPr>
            </w:pPr>
            <w:r>
              <w:rPr>
                <w:b/>
              </w:rPr>
              <w:t>GS</w:t>
            </w:r>
          </w:p>
        </w:tc>
        <w:tc>
          <w:tcPr>
            <w:tcW w:w="7767" w:type="dxa"/>
          </w:tcPr>
          <w:p w:rsidR="00635F23" w:rsidRDefault="00635F23" w:rsidP="00833580">
            <w:pPr>
              <w:pStyle w:val="ECCParagraph"/>
              <w:spacing w:after="0" w:line="288" w:lineRule="auto"/>
              <w:jc w:val="left"/>
            </w:pPr>
            <w:r>
              <w:t>Ground Station</w:t>
            </w:r>
          </w:p>
        </w:tc>
      </w:tr>
      <w:tr w:rsidR="00635F23">
        <w:tc>
          <w:tcPr>
            <w:tcW w:w="2088" w:type="dxa"/>
          </w:tcPr>
          <w:p w:rsidR="00635F23" w:rsidRDefault="00635F23" w:rsidP="00AB46DF">
            <w:pPr>
              <w:spacing w:line="288" w:lineRule="auto"/>
              <w:rPr>
                <w:b/>
              </w:rPr>
            </w:pPr>
            <w:r>
              <w:rPr>
                <w:b/>
              </w:rPr>
              <w:t>IARU</w:t>
            </w:r>
          </w:p>
        </w:tc>
        <w:tc>
          <w:tcPr>
            <w:tcW w:w="7767" w:type="dxa"/>
          </w:tcPr>
          <w:p w:rsidR="00635F23" w:rsidRDefault="00635F23" w:rsidP="00833580">
            <w:pPr>
              <w:pStyle w:val="ECCParagraph"/>
              <w:spacing w:after="0" w:line="288" w:lineRule="auto"/>
              <w:jc w:val="left"/>
            </w:pPr>
            <w:r>
              <w:t>International Amateur Radio Union</w:t>
            </w:r>
          </w:p>
        </w:tc>
      </w:tr>
      <w:tr w:rsidR="00635F23">
        <w:tc>
          <w:tcPr>
            <w:tcW w:w="2088" w:type="dxa"/>
          </w:tcPr>
          <w:p w:rsidR="00635F23" w:rsidRDefault="00635F23" w:rsidP="00AB46DF">
            <w:pPr>
              <w:spacing w:line="288" w:lineRule="auto"/>
              <w:rPr>
                <w:b/>
              </w:rPr>
            </w:pPr>
            <w:r>
              <w:rPr>
                <w:b/>
              </w:rPr>
              <w:t>ITU</w:t>
            </w:r>
          </w:p>
        </w:tc>
        <w:tc>
          <w:tcPr>
            <w:tcW w:w="7767" w:type="dxa"/>
          </w:tcPr>
          <w:p w:rsidR="00635F23" w:rsidRDefault="00635F23" w:rsidP="00833580">
            <w:pPr>
              <w:pStyle w:val="ECCParagraph"/>
              <w:spacing w:after="0" w:line="288" w:lineRule="auto"/>
              <w:jc w:val="left"/>
            </w:pPr>
            <w:r>
              <w:t>International Telecommunications Union</w:t>
            </w:r>
          </w:p>
        </w:tc>
      </w:tr>
      <w:tr w:rsidR="00A575C5">
        <w:tc>
          <w:tcPr>
            <w:tcW w:w="2088" w:type="dxa"/>
          </w:tcPr>
          <w:p w:rsidR="00A575C5" w:rsidRPr="00C95C7C" w:rsidRDefault="00A575C5" w:rsidP="00AB46DF">
            <w:pPr>
              <w:spacing w:line="288" w:lineRule="auto"/>
              <w:rPr>
                <w:b/>
              </w:rPr>
            </w:pPr>
            <w:r>
              <w:rPr>
                <w:b/>
              </w:rPr>
              <w:t>LSA</w:t>
            </w:r>
          </w:p>
        </w:tc>
        <w:tc>
          <w:tcPr>
            <w:tcW w:w="7767" w:type="dxa"/>
          </w:tcPr>
          <w:p w:rsidR="00A575C5" w:rsidRPr="00A45B9B" w:rsidRDefault="00833580" w:rsidP="00833580">
            <w:pPr>
              <w:pStyle w:val="ECCParagraph"/>
              <w:spacing w:after="0" w:line="288" w:lineRule="auto"/>
              <w:jc w:val="left"/>
            </w:pPr>
            <w:r>
              <w:t>Licensed Shared Access</w:t>
            </w:r>
          </w:p>
        </w:tc>
      </w:tr>
      <w:tr w:rsidR="00BE13CF">
        <w:tc>
          <w:tcPr>
            <w:tcW w:w="2088" w:type="dxa"/>
          </w:tcPr>
          <w:p w:rsidR="00BE13CF" w:rsidRDefault="00BE13CF" w:rsidP="00AB46DF">
            <w:pPr>
              <w:spacing w:line="288" w:lineRule="auto"/>
              <w:rPr>
                <w:b/>
              </w:rPr>
            </w:pPr>
            <w:r>
              <w:rPr>
                <w:b/>
              </w:rPr>
              <w:t>LTE</w:t>
            </w:r>
          </w:p>
        </w:tc>
        <w:tc>
          <w:tcPr>
            <w:tcW w:w="7767" w:type="dxa"/>
          </w:tcPr>
          <w:p w:rsidR="00BE13CF" w:rsidRDefault="00C16CD9" w:rsidP="00833580">
            <w:pPr>
              <w:pStyle w:val="ECCParagraph"/>
              <w:spacing w:after="0" w:line="288" w:lineRule="auto"/>
              <w:jc w:val="left"/>
            </w:pPr>
            <w:r w:rsidRPr="00C16CD9">
              <w:rPr>
                <w:lang w:val="en-US"/>
              </w:rPr>
              <w:t>Long-Term Evolution</w:t>
            </w:r>
          </w:p>
        </w:tc>
      </w:tr>
      <w:tr w:rsidR="00635F23">
        <w:tc>
          <w:tcPr>
            <w:tcW w:w="2088" w:type="dxa"/>
          </w:tcPr>
          <w:p w:rsidR="00635F23" w:rsidRDefault="00635F23" w:rsidP="00AB46DF">
            <w:pPr>
              <w:spacing w:line="288" w:lineRule="auto"/>
              <w:rPr>
                <w:b/>
              </w:rPr>
            </w:pPr>
            <w:r>
              <w:rPr>
                <w:b/>
              </w:rPr>
              <w:t>MCL</w:t>
            </w:r>
          </w:p>
        </w:tc>
        <w:tc>
          <w:tcPr>
            <w:tcW w:w="7767" w:type="dxa"/>
          </w:tcPr>
          <w:p w:rsidR="00635F23" w:rsidRDefault="00635F23" w:rsidP="00833580">
            <w:pPr>
              <w:pStyle w:val="ECCParagraph"/>
              <w:spacing w:after="0" w:line="288" w:lineRule="auto"/>
              <w:jc w:val="left"/>
            </w:pPr>
            <w:r>
              <w:t>M</w:t>
            </w:r>
            <w:r w:rsidRPr="00F54E4B">
              <w:t>inimum Coupling Loss</w:t>
            </w:r>
          </w:p>
        </w:tc>
      </w:tr>
      <w:tr w:rsidR="004D22A8">
        <w:tc>
          <w:tcPr>
            <w:tcW w:w="2088" w:type="dxa"/>
          </w:tcPr>
          <w:p w:rsidR="004D22A8" w:rsidRDefault="00E71F33" w:rsidP="00AB46DF">
            <w:pPr>
              <w:spacing w:line="288" w:lineRule="auto"/>
              <w:rPr>
                <w:b/>
              </w:rPr>
            </w:pPr>
            <w:r>
              <w:rPr>
                <w:b/>
              </w:rPr>
              <w:t>MNO</w:t>
            </w:r>
          </w:p>
        </w:tc>
        <w:tc>
          <w:tcPr>
            <w:tcW w:w="7767" w:type="dxa"/>
          </w:tcPr>
          <w:p w:rsidR="004D22A8" w:rsidRDefault="00034A77" w:rsidP="00833580">
            <w:pPr>
              <w:pStyle w:val="ECCParagraph"/>
              <w:spacing w:after="0" w:line="288" w:lineRule="auto"/>
              <w:jc w:val="left"/>
            </w:pPr>
            <w:r>
              <w:t>Mobile Network Operator</w:t>
            </w:r>
          </w:p>
        </w:tc>
      </w:tr>
      <w:tr w:rsidR="004D22A8">
        <w:tc>
          <w:tcPr>
            <w:tcW w:w="2088" w:type="dxa"/>
          </w:tcPr>
          <w:p w:rsidR="004D22A8" w:rsidRDefault="00E71F33" w:rsidP="00AB46DF">
            <w:pPr>
              <w:spacing w:line="288" w:lineRule="auto"/>
              <w:rPr>
                <w:b/>
              </w:rPr>
            </w:pPr>
            <w:r>
              <w:rPr>
                <w:b/>
              </w:rPr>
              <w:t>NRA</w:t>
            </w:r>
          </w:p>
        </w:tc>
        <w:tc>
          <w:tcPr>
            <w:tcW w:w="7767" w:type="dxa"/>
          </w:tcPr>
          <w:p w:rsidR="004D22A8" w:rsidRDefault="00034A77" w:rsidP="00833580">
            <w:pPr>
              <w:pStyle w:val="ECCParagraph"/>
              <w:spacing w:after="0" w:line="288" w:lineRule="auto"/>
              <w:jc w:val="left"/>
            </w:pPr>
            <w:r>
              <w:t>National Regulatory Authority</w:t>
            </w:r>
          </w:p>
        </w:tc>
      </w:tr>
      <w:tr w:rsidR="00BE13CF">
        <w:tc>
          <w:tcPr>
            <w:tcW w:w="2088" w:type="dxa"/>
          </w:tcPr>
          <w:p w:rsidR="00BE13CF" w:rsidRDefault="00BE13CF" w:rsidP="00AB46DF">
            <w:pPr>
              <w:spacing w:line="288" w:lineRule="auto"/>
              <w:rPr>
                <w:b/>
              </w:rPr>
            </w:pPr>
            <w:r>
              <w:rPr>
                <w:b/>
              </w:rPr>
              <w:t>OAM</w:t>
            </w:r>
          </w:p>
        </w:tc>
        <w:tc>
          <w:tcPr>
            <w:tcW w:w="7767" w:type="dxa"/>
          </w:tcPr>
          <w:p w:rsidR="00BE13CF" w:rsidRPr="00C16CD9" w:rsidRDefault="00C16CD9" w:rsidP="00C16CD9">
            <w:pPr>
              <w:pStyle w:val="ECCParagraph"/>
              <w:spacing w:after="0" w:line="288" w:lineRule="auto"/>
              <w:jc w:val="left"/>
              <w:rPr>
                <w:lang w:val="en-US"/>
              </w:rPr>
            </w:pPr>
            <w:r w:rsidRPr="00C16CD9">
              <w:rPr>
                <w:lang w:val="en-US"/>
              </w:rPr>
              <w:t>Operations, Administration and Management system</w:t>
            </w:r>
          </w:p>
        </w:tc>
      </w:tr>
      <w:tr w:rsidR="00BE13CF">
        <w:tc>
          <w:tcPr>
            <w:tcW w:w="2088" w:type="dxa"/>
          </w:tcPr>
          <w:p w:rsidR="00BE13CF" w:rsidRDefault="00BE13CF" w:rsidP="00AB46DF">
            <w:pPr>
              <w:spacing w:line="288" w:lineRule="auto"/>
              <w:rPr>
                <w:b/>
              </w:rPr>
            </w:pPr>
            <w:r>
              <w:rPr>
                <w:b/>
              </w:rPr>
              <w:t>OB</w:t>
            </w:r>
          </w:p>
        </w:tc>
        <w:tc>
          <w:tcPr>
            <w:tcW w:w="7767" w:type="dxa"/>
          </w:tcPr>
          <w:p w:rsidR="00BE13CF" w:rsidRDefault="00B02F63" w:rsidP="00833580">
            <w:pPr>
              <w:pStyle w:val="ECCParagraph"/>
              <w:spacing w:after="0" w:line="288" w:lineRule="auto"/>
              <w:jc w:val="left"/>
            </w:pPr>
            <w:r>
              <w:t>Outside Broadcast</w:t>
            </w:r>
          </w:p>
        </w:tc>
      </w:tr>
      <w:tr w:rsidR="005E3863">
        <w:tc>
          <w:tcPr>
            <w:tcW w:w="2088" w:type="dxa"/>
          </w:tcPr>
          <w:p w:rsidR="005E3863" w:rsidRDefault="005E3863" w:rsidP="00AB46DF">
            <w:pPr>
              <w:spacing w:line="288" w:lineRule="auto"/>
              <w:rPr>
                <w:b/>
              </w:rPr>
            </w:pPr>
            <w:r>
              <w:rPr>
                <w:b/>
              </w:rPr>
              <w:t>PMP</w:t>
            </w:r>
          </w:p>
        </w:tc>
        <w:tc>
          <w:tcPr>
            <w:tcW w:w="7767" w:type="dxa"/>
          </w:tcPr>
          <w:p w:rsidR="005E3863" w:rsidRPr="00A45B9B" w:rsidRDefault="005E3863" w:rsidP="00AB46DF">
            <w:pPr>
              <w:pStyle w:val="ECCParagraph"/>
              <w:spacing w:after="0" w:line="288" w:lineRule="auto"/>
              <w:jc w:val="left"/>
            </w:pPr>
            <w:r w:rsidRPr="00F15F0D">
              <w:rPr>
                <w:rFonts w:ascii="ArialMT" w:hAnsi="ArialMT" w:cs="ArialMT"/>
                <w:szCs w:val="20"/>
                <w:lang w:val="en-US"/>
              </w:rPr>
              <w:t>Point-to-multipoint</w:t>
            </w:r>
          </w:p>
        </w:tc>
      </w:tr>
      <w:tr w:rsidR="00A575C5">
        <w:tc>
          <w:tcPr>
            <w:tcW w:w="2088" w:type="dxa"/>
          </w:tcPr>
          <w:p w:rsidR="00A575C5" w:rsidRDefault="00A575C5" w:rsidP="00AB46DF">
            <w:pPr>
              <w:spacing w:line="288" w:lineRule="auto"/>
              <w:rPr>
                <w:b/>
              </w:rPr>
            </w:pPr>
            <w:r>
              <w:rPr>
                <w:b/>
              </w:rPr>
              <w:t>PMSE</w:t>
            </w:r>
          </w:p>
        </w:tc>
        <w:tc>
          <w:tcPr>
            <w:tcW w:w="7767" w:type="dxa"/>
          </w:tcPr>
          <w:p w:rsidR="00A575C5" w:rsidRPr="00A45B9B" w:rsidRDefault="00B02F63" w:rsidP="00AB46DF">
            <w:pPr>
              <w:pStyle w:val="ECCParagraph"/>
              <w:spacing w:after="0" w:line="288" w:lineRule="auto"/>
              <w:jc w:val="left"/>
            </w:pPr>
            <w:r w:rsidRPr="00B02F63">
              <w:t>Programme Making Special Events</w:t>
            </w:r>
          </w:p>
        </w:tc>
      </w:tr>
      <w:tr w:rsidR="00BE13CF">
        <w:tc>
          <w:tcPr>
            <w:tcW w:w="2088" w:type="dxa"/>
          </w:tcPr>
          <w:p w:rsidR="00BE13CF" w:rsidRDefault="00BE13CF" w:rsidP="00AB46DF">
            <w:pPr>
              <w:spacing w:line="288" w:lineRule="auto"/>
              <w:rPr>
                <w:b/>
              </w:rPr>
            </w:pPr>
            <w:r>
              <w:rPr>
                <w:b/>
              </w:rPr>
              <w:t>PPDR</w:t>
            </w:r>
          </w:p>
        </w:tc>
        <w:tc>
          <w:tcPr>
            <w:tcW w:w="7767" w:type="dxa"/>
          </w:tcPr>
          <w:p w:rsidR="00BE13CF" w:rsidRPr="00A45B9B" w:rsidRDefault="00635F23" w:rsidP="00AB46DF">
            <w:pPr>
              <w:pStyle w:val="ECCParagraph"/>
              <w:spacing w:after="0" w:line="288" w:lineRule="auto"/>
              <w:jc w:val="left"/>
            </w:pPr>
            <w:r>
              <w:t>Public Protection and Disaster Relief</w:t>
            </w:r>
          </w:p>
        </w:tc>
      </w:tr>
      <w:tr w:rsidR="00F749D7">
        <w:tc>
          <w:tcPr>
            <w:tcW w:w="2088" w:type="dxa"/>
          </w:tcPr>
          <w:p w:rsidR="00F749D7" w:rsidRDefault="00F749D7" w:rsidP="00AB46DF">
            <w:pPr>
              <w:spacing w:line="288" w:lineRule="auto"/>
              <w:rPr>
                <w:b/>
              </w:rPr>
            </w:pPr>
            <w:r>
              <w:rPr>
                <w:b/>
              </w:rPr>
              <w:t>RSPG</w:t>
            </w:r>
          </w:p>
        </w:tc>
        <w:tc>
          <w:tcPr>
            <w:tcW w:w="7767" w:type="dxa"/>
          </w:tcPr>
          <w:p w:rsidR="00F749D7" w:rsidRPr="00A45B9B" w:rsidRDefault="00F749D7" w:rsidP="00AB46DF">
            <w:pPr>
              <w:pStyle w:val="ECCParagraph"/>
              <w:spacing w:after="0" w:line="288" w:lineRule="auto"/>
              <w:jc w:val="left"/>
            </w:pPr>
            <w:r>
              <w:t>Radio Spectrum Policy Group</w:t>
            </w:r>
          </w:p>
        </w:tc>
      </w:tr>
      <w:tr w:rsidR="00F749D7">
        <w:tc>
          <w:tcPr>
            <w:tcW w:w="2088" w:type="dxa"/>
          </w:tcPr>
          <w:p w:rsidR="00F749D7" w:rsidRDefault="00F749D7" w:rsidP="00AB46DF">
            <w:pPr>
              <w:spacing w:line="288" w:lineRule="auto"/>
              <w:rPr>
                <w:b/>
              </w:rPr>
            </w:pPr>
            <w:r>
              <w:rPr>
                <w:b/>
              </w:rPr>
              <w:t>SAB</w:t>
            </w:r>
          </w:p>
        </w:tc>
        <w:tc>
          <w:tcPr>
            <w:tcW w:w="7767" w:type="dxa"/>
          </w:tcPr>
          <w:p w:rsidR="00F749D7" w:rsidRPr="00A45B9B" w:rsidRDefault="00B02F63" w:rsidP="00AB46DF">
            <w:pPr>
              <w:pStyle w:val="ECCParagraph"/>
              <w:spacing w:after="0" w:line="288" w:lineRule="auto"/>
              <w:jc w:val="left"/>
            </w:pPr>
            <w:r>
              <w:rPr>
                <w:rStyle w:val="st"/>
              </w:rPr>
              <w:t>Services Ancillary to Broadcasting</w:t>
            </w:r>
          </w:p>
        </w:tc>
      </w:tr>
      <w:tr w:rsidR="00F749D7">
        <w:tc>
          <w:tcPr>
            <w:tcW w:w="2088" w:type="dxa"/>
          </w:tcPr>
          <w:p w:rsidR="00F749D7" w:rsidRDefault="00F749D7" w:rsidP="00AB46DF">
            <w:pPr>
              <w:spacing w:line="288" w:lineRule="auto"/>
              <w:rPr>
                <w:b/>
              </w:rPr>
            </w:pPr>
            <w:r>
              <w:rPr>
                <w:b/>
              </w:rPr>
              <w:t>SAP</w:t>
            </w:r>
          </w:p>
        </w:tc>
        <w:tc>
          <w:tcPr>
            <w:tcW w:w="7767" w:type="dxa"/>
          </w:tcPr>
          <w:p w:rsidR="00F749D7" w:rsidRPr="00A45B9B" w:rsidRDefault="00B02F63" w:rsidP="00B02F63">
            <w:pPr>
              <w:pStyle w:val="ECCParagraph"/>
              <w:spacing w:after="0" w:line="288" w:lineRule="auto"/>
              <w:jc w:val="left"/>
            </w:pPr>
            <w:r>
              <w:rPr>
                <w:rStyle w:val="st"/>
              </w:rPr>
              <w:t xml:space="preserve">Services Ancillary to </w:t>
            </w:r>
            <w:r w:rsidRPr="00B02F63">
              <w:t xml:space="preserve">Programme </w:t>
            </w:r>
            <w:r>
              <w:t>m</w:t>
            </w:r>
            <w:r w:rsidRPr="00B02F63">
              <w:t>aking</w:t>
            </w:r>
          </w:p>
        </w:tc>
      </w:tr>
      <w:tr w:rsidR="00635F23">
        <w:tc>
          <w:tcPr>
            <w:tcW w:w="2088" w:type="dxa"/>
          </w:tcPr>
          <w:p w:rsidR="00635F23" w:rsidRDefault="00635F23" w:rsidP="00AB46DF">
            <w:pPr>
              <w:spacing w:line="288" w:lineRule="auto"/>
              <w:rPr>
                <w:b/>
              </w:rPr>
            </w:pPr>
            <w:r>
              <w:rPr>
                <w:b/>
              </w:rPr>
              <w:t>SSB</w:t>
            </w:r>
          </w:p>
        </w:tc>
        <w:tc>
          <w:tcPr>
            <w:tcW w:w="7767" w:type="dxa"/>
          </w:tcPr>
          <w:p w:rsidR="00635F23" w:rsidRPr="00A45B9B" w:rsidRDefault="00034A77" w:rsidP="00AB46DF">
            <w:pPr>
              <w:pStyle w:val="ECCParagraph"/>
              <w:spacing w:after="0" w:line="288" w:lineRule="auto"/>
              <w:jc w:val="left"/>
            </w:pPr>
            <w:r>
              <w:t>Single Sideband</w:t>
            </w:r>
          </w:p>
        </w:tc>
      </w:tr>
      <w:tr w:rsidR="00BE13CF">
        <w:tc>
          <w:tcPr>
            <w:tcW w:w="2088" w:type="dxa"/>
          </w:tcPr>
          <w:p w:rsidR="00BE13CF" w:rsidRDefault="00BE13CF" w:rsidP="00AB46DF">
            <w:pPr>
              <w:spacing w:line="288" w:lineRule="auto"/>
              <w:rPr>
                <w:b/>
              </w:rPr>
            </w:pPr>
            <w:r>
              <w:rPr>
                <w:b/>
              </w:rPr>
              <w:t>TC RRS</w:t>
            </w:r>
          </w:p>
        </w:tc>
        <w:tc>
          <w:tcPr>
            <w:tcW w:w="7767" w:type="dxa"/>
          </w:tcPr>
          <w:p w:rsidR="00BE13CF" w:rsidRPr="00A45B9B" w:rsidRDefault="00034A77" w:rsidP="00AB46DF">
            <w:pPr>
              <w:pStyle w:val="ECCParagraph"/>
              <w:spacing w:after="0" w:line="288" w:lineRule="auto"/>
              <w:jc w:val="left"/>
            </w:pPr>
            <w:r>
              <w:t xml:space="preserve">Technical Committee </w:t>
            </w:r>
            <w:r w:rsidRPr="00034A77">
              <w:t>Reconfigurable Radio Systems</w:t>
            </w:r>
          </w:p>
        </w:tc>
      </w:tr>
      <w:tr w:rsidR="00BE13CF">
        <w:tc>
          <w:tcPr>
            <w:tcW w:w="2088" w:type="dxa"/>
          </w:tcPr>
          <w:p w:rsidR="00BE13CF" w:rsidRDefault="00BE13CF" w:rsidP="00AB46DF">
            <w:pPr>
              <w:spacing w:line="288" w:lineRule="auto"/>
              <w:rPr>
                <w:b/>
              </w:rPr>
            </w:pPr>
            <w:r>
              <w:rPr>
                <w:b/>
              </w:rPr>
              <w:t>TD-LTE</w:t>
            </w:r>
          </w:p>
        </w:tc>
        <w:tc>
          <w:tcPr>
            <w:tcW w:w="7767" w:type="dxa"/>
          </w:tcPr>
          <w:p w:rsidR="00BE13CF" w:rsidRPr="00A45B9B" w:rsidRDefault="00BE13CF" w:rsidP="00AB46DF">
            <w:pPr>
              <w:pStyle w:val="ECCParagraph"/>
              <w:spacing w:after="0" w:line="288" w:lineRule="auto"/>
              <w:jc w:val="left"/>
            </w:pPr>
            <w:r w:rsidRPr="00BE13CF">
              <w:rPr>
                <w:lang w:val="en-US"/>
              </w:rPr>
              <w:t>Time-Division</w:t>
            </w:r>
            <w:r w:rsidR="00C16CD9">
              <w:rPr>
                <w:lang w:val="en-US"/>
              </w:rPr>
              <w:t xml:space="preserve"> LTE</w:t>
            </w:r>
          </w:p>
        </w:tc>
      </w:tr>
      <w:tr w:rsidR="00A575C5">
        <w:tc>
          <w:tcPr>
            <w:tcW w:w="2088" w:type="dxa"/>
          </w:tcPr>
          <w:p w:rsidR="00A575C5" w:rsidRDefault="00A575C5" w:rsidP="00AB46DF">
            <w:pPr>
              <w:spacing w:line="288" w:lineRule="auto"/>
              <w:rPr>
                <w:b/>
              </w:rPr>
            </w:pPr>
            <w:r>
              <w:rPr>
                <w:b/>
              </w:rPr>
              <w:t>UAS</w:t>
            </w:r>
          </w:p>
        </w:tc>
        <w:tc>
          <w:tcPr>
            <w:tcW w:w="7767" w:type="dxa"/>
          </w:tcPr>
          <w:p w:rsidR="00A575C5" w:rsidRPr="00A45B9B" w:rsidRDefault="00F749D7" w:rsidP="00AB46DF">
            <w:pPr>
              <w:pStyle w:val="ECCParagraph"/>
              <w:spacing w:after="0" w:line="288" w:lineRule="auto"/>
              <w:jc w:val="left"/>
            </w:pPr>
            <w:r w:rsidRPr="00CF10ED">
              <w:t>Unmanned Aircraft Systems</w:t>
            </w:r>
          </w:p>
        </w:tc>
      </w:tr>
      <w:tr w:rsidR="00A575C5">
        <w:tc>
          <w:tcPr>
            <w:tcW w:w="2088" w:type="dxa"/>
          </w:tcPr>
          <w:p w:rsidR="00A575C5" w:rsidRDefault="00A575C5" w:rsidP="00AB46DF">
            <w:pPr>
              <w:spacing w:line="288" w:lineRule="auto"/>
              <w:rPr>
                <w:b/>
              </w:rPr>
            </w:pPr>
            <w:r>
              <w:rPr>
                <w:b/>
              </w:rPr>
              <w:t>UAV</w:t>
            </w:r>
          </w:p>
        </w:tc>
        <w:tc>
          <w:tcPr>
            <w:tcW w:w="7767" w:type="dxa"/>
          </w:tcPr>
          <w:p w:rsidR="00A575C5" w:rsidRPr="00A45B9B" w:rsidRDefault="00635F23" w:rsidP="00AB46DF">
            <w:pPr>
              <w:pStyle w:val="ECCParagraph"/>
              <w:spacing w:after="0" w:line="288" w:lineRule="auto"/>
              <w:jc w:val="left"/>
            </w:pPr>
            <w:r w:rsidRPr="00F15F0D">
              <w:t>Unmanned Aircraft Vehicle</w:t>
            </w:r>
          </w:p>
        </w:tc>
      </w:tr>
      <w:tr w:rsidR="008C0390">
        <w:tc>
          <w:tcPr>
            <w:tcW w:w="2088" w:type="dxa"/>
          </w:tcPr>
          <w:p w:rsidR="008C0390" w:rsidRDefault="008C0390" w:rsidP="00AB46DF">
            <w:pPr>
              <w:spacing w:line="288" w:lineRule="auto"/>
              <w:rPr>
                <w:b/>
              </w:rPr>
            </w:pPr>
            <w:r>
              <w:rPr>
                <w:b/>
              </w:rPr>
              <w:t>UE</w:t>
            </w:r>
          </w:p>
        </w:tc>
        <w:tc>
          <w:tcPr>
            <w:tcW w:w="7767" w:type="dxa"/>
          </w:tcPr>
          <w:p w:rsidR="008C0390" w:rsidRPr="00A45B9B" w:rsidRDefault="008C0390" w:rsidP="00AB46DF">
            <w:pPr>
              <w:pStyle w:val="ECCParagraph"/>
              <w:spacing w:after="0" w:line="288" w:lineRule="auto"/>
              <w:jc w:val="left"/>
            </w:pPr>
            <w:r>
              <w:t>User Equipment</w:t>
            </w:r>
          </w:p>
        </w:tc>
      </w:tr>
      <w:tr w:rsidR="00A575C5">
        <w:tc>
          <w:tcPr>
            <w:tcW w:w="2088" w:type="dxa"/>
          </w:tcPr>
          <w:p w:rsidR="00A575C5" w:rsidRDefault="00A575C5" w:rsidP="00AB46DF">
            <w:pPr>
              <w:spacing w:line="288" w:lineRule="auto"/>
              <w:rPr>
                <w:b/>
              </w:rPr>
            </w:pPr>
            <w:r>
              <w:rPr>
                <w:b/>
              </w:rPr>
              <w:t>WBB</w:t>
            </w:r>
          </w:p>
        </w:tc>
        <w:tc>
          <w:tcPr>
            <w:tcW w:w="7767" w:type="dxa"/>
          </w:tcPr>
          <w:p w:rsidR="00A575C5" w:rsidRPr="00A45B9B" w:rsidRDefault="00833580" w:rsidP="00833580">
            <w:pPr>
              <w:pStyle w:val="ECCParagraph"/>
              <w:spacing w:after="0" w:line="288" w:lineRule="auto"/>
              <w:jc w:val="left"/>
            </w:pPr>
            <w:r>
              <w:t xml:space="preserve">Wireless Broadband </w:t>
            </w:r>
          </w:p>
        </w:tc>
      </w:tr>
      <w:tr w:rsidR="008C0390">
        <w:tc>
          <w:tcPr>
            <w:tcW w:w="2088" w:type="dxa"/>
          </w:tcPr>
          <w:p w:rsidR="008C0390" w:rsidRDefault="008C0390" w:rsidP="00AB46DF">
            <w:pPr>
              <w:spacing w:line="288" w:lineRule="auto"/>
              <w:rPr>
                <w:b/>
              </w:rPr>
            </w:pPr>
            <w:r>
              <w:rPr>
                <w:b/>
              </w:rPr>
              <w:t>WGS84</w:t>
            </w:r>
          </w:p>
        </w:tc>
        <w:tc>
          <w:tcPr>
            <w:tcW w:w="7767" w:type="dxa"/>
          </w:tcPr>
          <w:p w:rsidR="008C0390" w:rsidRDefault="00034A77" w:rsidP="00833580">
            <w:pPr>
              <w:pStyle w:val="ECCParagraph"/>
              <w:spacing w:after="0" w:line="288" w:lineRule="auto"/>
              <w:jc w:val="left"/>
            </w:pPr>
            <w:r>
              <w:rPr>
                <w:rStyle w:val="st"/>
              </w:rPr>
              <w:t>World Geodetic System 1984</w:t>
            </w:r>
          </w:p>
        </w:tc>
      </w:tr>
    </w:tbl>
    <w:p w:rsidR="00AB46DF" w:rsidRDefault="00AB46DF" w:rsidP="00AB46DF"/>
    <w:p w:rsidR="00AB46DF" w:rsidRDefault="003C3EE4" w:rsidP="00AB46DF">
      <w:pPr>
        <w:pStyle w:val="berschrift1"/>
      </w:pPr>
      <w:bookmarkStart w:id="3" w:name="_Toc398907397"/>
      <w:r>
        <w:lastRenderedPageBreak/>
        <w:t>Introduction</w:t>
      </w:r>
      <w:bookmarkEnd w:id="3"/>
      <w:r>
        <w:t xml:space="preserve"> </w:t>
      </w:r>
    </w:p>
    <w:p w:rsidR="002B5370" w:rsidRDefault="002B5370" w:rsidP="002B5370">
      <w:pPr>
        <w:pStyle w:val="ECCParagraph"/>
      </w:pPr>
      <w:r w:rsidRPr="001079E0">
        <w:t xml:space="preserve">This CEPT Report is the </w:t>
      </w:r>
      <w:r>
        <w:t>second</w:t>
      </w:r>
      <w:r w:rsidRPr="001079E0">
        <w:t xml:space="preserve"> part of the response to the Mandate issued by the European Commission on harmonised technical conditions for the 2300-2400 MHz ('2.3 GHz') frequency band in the EU for the provision of wireless broadband (WBB) electronic communications services. This EC Mandate (see </w:t>
      </w:r>
      <w:r w:rsidR="007F1C68">
        <w:fldChar w:fldCharType="begin"/>
      </w:r>
      <w:r w:rsidR="007F1C68">
        <w:instrText xml:space="preserve"> REF _Ref398277389 \r \h </w:instrText>
      </w:r>
      <w:r w:rsidR="007F1C68">
        <w:fldChar w:fldCharType="separate"/>
      </w:r>
      <w:r w:rsidR="000C0823">
        <w:t>ANNEX 3:</w:t>
      </w:r>
      <w:r w:rsidR="007F1C68">
        <w:fldChar w:fldCharType="end"/>
      </w:r>
      <w:r w:rsidRPr="001079E0">
        <w:t xml:space="preserve"> 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E24A22" w:rsidRDefault="002B5370" w:rsidP="002B5370">
      <w:pPr>
        <w:spacing w:before="120" w:after="60"/>
        <w:jc w:val="both"/>
        <w:rPr>
          <w:lang w:val="en-GB"/>
        </w:rPr>
      </w:pPr>
      <w:r w:rsidRPr="001079E0">
        <w:rPr>
          <w:lang w:val="en-GB"/>
        </w:rPr>
        <w:t xml:space="preserve">Specifically, this CEPT Report </w:t>
      </w:r>
      <w:r w:rsidR="00E24A22">
        <w:rPr>
          <w:lang w:val="en-GB"/>
        </w:rPr>
        <w:t xml:space="preserve">addresses </w:t>
      </w:r>
      <w:r w:rsidRPr="001079E0">
        <w:rPr>
          <w:lang w:val="en-GB"/>
        </w:rPr>
        <w:t>the task</w:t>
      </w:r>
      <w:r w:rsidR="00E24A22">
        <w:rPr>
          <w:lang w:val="en-GB"/>
        </w:rPr>
        <w:t>s 2.1 and</w:t>
      </w:r>
      <w:r w:rsidRPr="001079E0">
        <w:rPr>
          <w:lang w:val="en-GB"/>
        </w:rPr>
        <w:t xml:space="preserve"> </w:t>
      </w:r>
      <w:r w:rsidR="00E24A22">
        <w:rPr>
          <w:lang w:val="en-GB"/>
        </w:rPr>
        <w:t>2.2</w:t>
      </w:r>
      <w:r w:rsidRPr="001079E0">
        <w:rPr>
          <w:lang w:val="en-GB"/>
        </w:rPr>
        <w:t xml:space="preserve"> of the EC Mandate</w:t>
      </w:r>
      <w:r w:rsidR="00E24A22">
        <w:rPr>
          <w:lang w:val="en-GB"/>
        </w:rPr>
        <w:t>:</w:t>
      </w:r>
    </w:p>
    <w:p w:rsidR="00E24A22" w:rsidRPr="00E24A22" w:rsidRDefault="00E24A22" w:rsidP="00E24A22">
      <w:pPr>
        <w:spacing w:before="120" w:after="60"/>
        <w:jc w:val="both"/>
        <w:rPr>
          <w:i/>
          <w:lang w:val="en-GB"/>
        </w:rPr>
      </w:pPr>
      <w:r w:rsidRPr="00E24A22">
        <w:rPr>
          <w:i/>
          <w:lang w:val="en-GB"/>
        </w:rPr>
        <w:t>2.1</w:t>
      </w:r>
      <w:r w:rsidRPr="00E24A22">
        <w:rPr>
          <w:i/>
          <w:lang w:val="en-GB"/>
        </w:rPr>
        <w:tab/>
        <w:t>For each of the relevant incumbent services/applications in the Member States including military use, PMSE, fixed links, and radio amateur services: (</w:t>
      </w:r>
      <w:proofErr w:type="spellStart"/>
      <w:r w:rsidRPr="00E24A22">
        <w:rPr>
          <w:i/>
          <w:lang w:val="en-GB"/>
        </w:rPr>
        <w:t>i</w:t>
      </w:r>
      <w:proofErr w:type="spellEnd"/>
      <w:r w:rsidRPr="00E24A22">
        <w:rPr>
          <w:i/>
          <w:lang w:val="en-GB"/>
        </w:rPr>
        <w:t>) assess the deployment assumptions and the operational footprint and (ii) take stock of the situation and future plans in the Member States regarding the application of the LSA concept to enable the deployment of WBB.</w:t>
      </w:r>
    </w:p>
    <w:p w:rsidR="00E24A22" w:rsidRDefault="00E24A22" w:rsidP="00E24A22">
      <w:pPr>
        <w:spacing w:before="120" w:after="60"/>
        <w:jc w:val="both"/>
        <w:rPr>
          <w:lang w:val="en-GB"/>
        </w:rPr>
      </w:pPr>
      <w:r w:rsidRPr="00E24A22">
        <w:rPr>
          <w:i/>
          <w:lang w:val="en-GB"/>
        </w:rPr>
        <w:t>2.2</w:t>
      </w:r>
      <w:r w:rsidRPr="00E24A22">
        <w:rPr>
          <w:i/>
          <w:lang w:val="en-GB"/>
        </w:rPr>
        <w:tab/>
        <w:t>For each incumbent service/application considered under 2.1: (</w:t>
      </w:r>
      <w:proofErr w:type="spellStart"/>
      <w:r w:rsidRPr="00E24A22">
        <w:rPr>
          <w:i/>
          <w:lang w:val="en-GB"/>
        </w:rPr>
        <w:t>i</w:t>
      </w:r>
      <w:proofErr w:type="spellEnd"/>
      <w:r w:rsidRPr="00E24A22">
        <w:rPr>
          <w:i/>
          <w:lang w:val="en-GB"/>
        </w:rPr>
        <w:t>) identify technological and regulatory options facilitating sharing between WBB and the relevant incumbent service/application including mutual dynamic coordination mechanisms between WBB operators and incumbents; (ii) assess the scope for harmonisation of technical sharing parameters and solutions through standardisation and/or an implementing decision;</w:t>
      </w:r>
    </w:p>
    <w:p w:rsidR="00160E7B" w:rsidRDefault="00FF2AFF" w:rsidP="002B5370">
      <w:pPr>
        <w:spacing w:before="120" w:after="60"/>
        <w:jc w:val="both"/>
        <w:rPr>
          <w:lang w:val="en-GB"/>
        </w:rPr>
      </w:pPr>
      <w:r>
        <w:rPr>
          <w:lang w:val="en-GB"/>
        </w:rPr>
        <w:t>On the basis of the options for sharing identified in this Report and their assessment, further work is expected, in response to task 2.3 of the EC Mandate, on t</w:t>
      </w:r>
      <w:r w:rsidRPr="001079E0">
        <w:rPr>
          <w:lang w:val="en-GB"/>
        </w:rPr>
        <w:t>he development, where appropriate, of common technical sharing solutions for the shared use of the 2300-2400 MHz band for WBB and incumbent services/applications</w:t>
      </w:r>
      <w:r>
        <w:rPr>
          <w:lang w:val="en-GB"/>
        </w:rPr>
        <w:t xml:space="preserve">, in particular PMSE. This will </w:t>
      </w:r>
      <w:r w:rsidRPr="001079E0">
        <w:rPr>
          <w:lang w:val="en-GB"/>
        </w:rPr>
        <w:t>be addressed in a subsequent CEPT Report.</w:t>
      </w:r>
    </w:p>
    <w:p w:rsidR="00160E7B" w:rsidRDefault="00160E7B" w:rsidP="002B5370">
      <w:pPr>
        <w:spacing w:before="120" w:after="60"/>
        <w:jc w:val="both"/>
        <w:rPr>
          <w:lang w:val="en-GB"/>
        </w:rPr>
      </w:pPr>
      <w:r>
        <w:rPr>
          <w:lang w:val="en-GB"/>
        </w:rPr>
        <w:t xml:space="preserve">The development of </w:t>
      </w:r>
      <w:r w:rsidRPr="001079E0">
        <w:rPr>
          <w:lang w:val="en-GB"/>
        </w:rPr>
        <w:t xml:space="preserve">common and minimal (least restrictive) technical conditions for </w:t>
      </w:r>
      <w:r>
        <w:rPr>
          <w:lang w:val="en-GB"/>
        </w:rPr>
        <w:t>WBB</w:t>
      </w:r>
      <w:r w:rsidRPr="001079E0">
        <w:rPr>
          <w:lang w:val="en-GB"/>
        </w:rPr>
        <w:t xml:space="preserve"> usage of the 2300-2400 MHz frequency band</w:t>
      </w:r>
      <w:r>
        <w:rPr>
          <w:lang w:val="en-GB"/>
        </w:rPr>
        <w:t xml:space="preserve"> is addressed in CEPT Report 55 </w:t>
      </w:r>
      <w:r>
        <w:rPr>
          <w:lang w:val="en-GB"/>
        </w:rPr>
        <w:fldChar w:fldCharType="begin"/>
      </w:r>
      <w:r>
        <w:rPr>
          <w:lang w:val="en-GB"/>
        </w:rPr>
        <w:instrText xml:space="preserve"> REF _Ref392679207 \r \h </w:instrText>
      </w:r>
      <w:r>
        <w:rPr>
          <w:lang w:val="en-GB"/>
        </w:rPr>
      </w:r>
      <w:r>
        <w:rPr>
          <w:lang w:val="en-GB"/>
        </w:rPr>
        <w:fldChar w:fldCharType="separate"/>
      </w:r>
      <w:r w:rsidR="000C0823">
        <w:rPr>
          <w:lang w:val="en-GB"/>
        </w:rPr>
        <w:t>[1]</w:t>
      </w:r>
      <w:r>
        <w:rPr>
          <w:lang w:val="en-GB"/>
        </w:rPr>
        <w:fldChar w:fldCharType="end"/>
      </w:r>
      <w:r>
        <w:rPr>
          <w:lang w:val="en-GB"/>
        </w:rPr>
        <w:t>.</w:t>
      </w:r>
    </w:p>
    <w:p w:rsidR="004D75CE" w:rsidRDefault="004D75CE" w:rsidP="002B5370">
      <w:pPr>
        <w:spacing w:before="120" w:after="60"/>
        <w:jc w:val="both"/>
        <w:rPr>
          <w:lang w:val="en-GB"/>
        </w:rPr>
      </w:pPr>
    </w:p>
    <w:p w:rsidR="004D75CE" w:rsidRDefault="004D75CE" w:rsidP="002B5370">
      <w:pPr>
        <w:spacing w:before="120" w:after="60"/>
        <w:jc w:val="both"/>
        <w:rPr>
          <w:lang w:val="en-GB"/>
        </w:rPr>
      </w:pPr>
    </w:p>
    <w:p w:rsidR="002B5370" w:rsidRDefault="002B5370" w:rsidP="002B5370">
      <w:pPr>
        <w:pStyle w:val="ECCParagraph"/>
      </w:pPr>
    </w:p>
    <w:p w:rsidR="00AB46DF" w:rsidRPr="00E27EC9" w:rsidRDefault="00AB46DF" w:rsidP="00216BE1">
      <w:pPr>
        <w:pStyle w:val="ECCParagraph"/>
        <w:rPr>
          <w:lang w:val="en-US"/>
        </w:rPr>
      </w:pPr>
    </w:p>
    <w:p w:rsidR="00AB46DF" w:rsidRDefault="004D75CE" w:rsidP="00AB46DF">
      <w:pPr>
        <w:pStyle w:val="berschrift1"/>
      </w:pPr>
      <w:bookmarkStart w:id="4" w:name="_Toc398907398"/>
      <w:bookmarkStart w:id="5" w:name="_Ref274743743"/>
      <w:r>
        <w:lastRenderedPageBreak/>
        <w:t>Background</w:t>
      </w:r>
      <w:bookmarkEnd w:id="4"/>
    </w:p>
    <w:p w:rsidR="008C388B" w:rsidRDefault="008C388B" w:rsidP="008C388B">
      <w:pPr>
        <w:pStyle w:val="ECCParagraph"/>
      </w:pPr>
      <w:r>
        <w:t xml:space="preserve">Information on the ECC activities and deliverables relevant for the introduction of WBB in the 2.3-2.4 GHz band </w:t>
      </w:r>
      <w:r w:rsidR="00A575C5">
        <w:t xml:space="preserve">(such as ECC </w:t>
      </w:r>
      <w:proofErr w:type="gramStart"/>
      <w:r w:rsidR="00A575C5">
        <w:t>Decision(</w:t>
      </w:r>
      <w:proofErr w:type="gramEnd"/>
      <w:r w:rsidR="00A575C5">
        <w:t xml:space="preserve">14)02 </w:t>
      </w:r>
      <w:r w:rsidR="00A575C5">
        <w:fldChar w:fldCharType="begin"/>
      </w:r>
      <w:r w:rsidR="00A575C5">
        <w:instrText xml:space="preserve"> REF _Ref387301529 \r \h </w:instrText>
      </w:r>
      <w:r w:rsidR="00A575C5">
        <w:fldChar w:fldCharType="separate"/>
      </w:r>
      <w:r w:rsidR="000C0823">
        <w:t>[2]</w:t>
      </w:r>
      <w:r w:rsidR="00A575C5">
        <w:fldChar w:fldCharType="end"/>
      </w:r>
      <w:r w:rsidR="00A575C5">
        <w:t xml:space="preserve">, </w:t>
      </w:r>
      <w:r w:rsidR="00A575C5" w:rsidRPr="001079E0">
        <w:t>ECC Report 172</w:t>
      </w:r>
      <w:r w:rsidR="00A575C5">
        <w:t xml:space="preserve"> </w:t>
      </w:r>
      <w:r w:rsidR="00A575C5">
        <w:fldChar w:fldCharType="begin"/>
      </w:r>
      <w:r w:rsidR="00A575C5">
        <w:instrText xml:space="preserve"> REF _Ref377653985 \r \h </w:instrText>
      </w:r>
      <w:r w:rsidR="00A575C5">
        <w:fldChar w:fldCharType="separate"/>
      </w:r>
      <w:r w:rsidR="000C0823">
        <w:t>[6]</w:t>
      </w:r>
      <w:r w:rsidR="00A575C5">
        <w:fldChar w:fldCharType="end"/>
      </w:r>
      <w:r w:rsidR="00A575C5">
        <w:t xml:space="preserve"> and ECC Report 205 </w:t>
      </w:r>
      <w:r w:rsidR="00A575C5">
        <w:fldChar w:fldCharType="begin"/>
      </w:r>
      <w:r w:rsidR="00A575C5">
        <w:instrText xml:space="preserve"> REF _Ref387301720 \r \h </w:instrText>
      </w:r>
      <w:r w:rsidR="00A575C5">
        <w:fldChar w:fldCharType="separate"/>
      </w:r>
      <w:r w:rsidR="000C0823">
        <w:t>[5]</w:t>
      </w:r>
      <w:r w:rsidR="00A575C5">
        <w:fldChar w:fldCharType="end"/>
      </w:r>
      <w:r w:rsidR="00A575C5">
        <w:t xml:space="preserve">) </w:t>
      </w:r>
      <w:r>
        <w:t xml:space="preserve">is available in CEPT Report 55 </w:t>
      </w:r>
      <w:r w:rsidR="007F1C68">
        <w:fldChar w:fldCharType="begin"/>
      </w:r>
      <w:r w:rsidR="007F1C68">
        <w:instrText xml:space="preserve"> REF _Ref392679207 \r \h </w:instrText>
      </w:r>
      <w:r w:rsidR="007F1C68">
        <w:fldChar w:fldCharType="separate"/>
      </w:r>
      <w:r w:rsidR="000C0823">
        <w:t>[1]</w:t>
      </w:r>
      <w:r w:rsidR="007F1C68">
        <w:fldChar w:fldCharType="end"/>
      </w:r>
      <w:r>
        <w:t>, section 2.</w:t>
      </w:r>
    </w:p>
    <w:p w:rsidR="00EF44B1" w:rsidRPr="00CF10ED" w:rsidRDefault="00EF44B1" w:rsidP="00EF44B1">
      <w:pPr>
        <w:pStyle w:val="ECCParagraph"/>
        <w:ind w:left="426" w:hanging="426"/>
      </w:pPr>
      <w:r w:rsidRPr="00CF10ED">
        <w:t>CEPT countries currently use all or parts of the band for a variety of applications including:</w:t>
      </w:r>
    </w:p>
    <w:p w:rsidR="00643482" w:rsidRDefault="00643482" w:rsidP="00643482">
      <w:pPr>
        <w:pStyle w:val="ECCParBulleted"/>
        <w:ind w:left="426" w:hanging="426"/>
      </w:pPr>
      <w:r w:rsidRPr="00CF10ED">
        <w:t>PMSE (Commercial SAP/SAB video links);</w:t>
      </w:r>
    </w:p>
    <w:p w:rsidR="00EF44B1" w:rsidRPr="00CF10ED" w:rsidRDefault="00EF44B1" w:rsidP="00EF44B1">
      <w:pPr>
        <w:pStyle w:val="ECCParBulleted"/>
        <w:ind w:left="426" w:hanging="426"/>
      </w:pPr>
      <w:r w:rsidRPr="00CF10ED">
        <w:t>Telemetry, both terrestrial and aeronautical telemetry;</w:t>
      </w:r>
    </w:p>
    <w:p w:rsidR="00643482" w:rsidRPr="00F54E4B" w:rsidRDefault="00643482" w:rsidP="00643482">
      <w:pPr>
        <w:pStyle w:val="ECCParBulleted"/>
        <w:ind w:left="426" w:hanging="426"/>
      </w:pPr>
      <w:r w:rsidRPr="00F54E4B">
        <w:t>Fixed links</w:t>
      </w:r>
    </w:p>
    <w:p w:rsidR="00EF44B1" w:rsidRPr="00CF10ED" w:rsidRDefault="00EF44B1" w:rsidP="00EF44B1">
      <w:pPr>
        <w:pStyle w:val="ECCParBulleted"/>
        <w:ind w:left="426" w:hanging="426"/>
      </w:pPr>
      <w:r w:rsidRPr="00CF10ED">
        <w:t>Other governmental use, e.g. Unmanned Aircraft Systems (UAS);</w:t>
      </w:r>
    </w:p>
    <w:p w:rsidR="00EF44B1" w:rsidRPr="00CF10ED" w:rsidRDefault="00EF44B1" w:rsidP="00EF44B1">
      <w:pPr>
        <w:pStyle w:val="ECCParBulleted"/>
        <w:ind w:left="426" w:hanging="426"/>
      </w:pPr>
      <w:r w:rsidRPr="00CF10ED">
        <w:t>Amateur, as a secondary service.</w:t>
      </w:r>
    </w:p>
    <w:p w:rsidR="00EF44B1" w:rsidRPr="00CF10ED" w:rsidRDefault="00EF44B1" w:rsidP="00EF44B1">
      <w:pPr>
        <w:pStyle w:val="ECCParBulleted"/>
        <w:numPr>
          <w:ilvl w:val="0"/>
          <w:numId w:val="0"/>
        </w:numPr>
        <w:ind w:left="426"/>
      </w:pPr>
    </w:p>
    <w:p w:rsidR="00F243C6" w:rsidRDefault="00F243C6" w:rsidP="00EF44B1">
      <w:pPr>
        <w:pStyle w:val="ECCParagraph"/>
      </w:pPr>
      <w:r>
        <w:rPr>
          <w:bCs/>
        </w:rPr>
        <w:t xml:space="preserve">In 2012, a questionnaire to CEPT administrations was issued </w:t>
      </w:r>
      <w:r w:rsidRPr="00252930">
        <w:rPr>
          <w:bCs/>
        </w:rPr>
        <w:t xml:space="preserve">on </w:t>
      </w:r>
      <w:r w:rsidRPr="00252930">
        <w:rPr>
          <w:rFonts w:cs="Arial"/>
        </w:rPr>
        <w:t xml:space="preserve">the current and future usage of frequency band 2300-2400 MHz. </w:t>
      </w:r>
      <w:r>
        <w:rPr>
          <w:rFonts w:cs="Arial"/>
        </w:rPr>
        <w:t>The responses are provided in</w:t>
      </w:r>
      <w:r w:rsidR="00252930">
        <w:rPr>
          <w:rFonts w:cs="Arial"/>
        </w:rPr>
        <w:t xml:space="preserve"> </w:t>
      </w:r>
      <w:r w:rsidR="00252930">
        <w:rPr>
          <w:rFonts w:cs="Arial"/>
        </w:rPr>
        <w:fldChar w:fldCharType="begin"/>
      </w:r>
      <w:r w:rsidR="00252930">
        <w:rPr>
          <w:rFonts w:cs="Arial"/>
        </w:rPr>
        <w:instrText xml:space="preserve"> REF _Ref392685551 \r \h </w:instrText>
      </w:r>
      <w:r w:rsidR="00252930">
        <w:rPr>
          <w:rFonts w:cs="Arial"/>
        </w:rPr>
      </w:r>
      <w:r w:rsidR="00252930">
        <w:rPr>
          <w:rFonts w:cs="Arial"/>
        </w:rPr>
        <w:fldChar w:fldCharType="separate"/>
      </w:r>
      <w:r w:rsidR="000C0823">
        <w:rPr>
          <w:rFonts w:cs="Arial"/>
        </w:rPr>
        <w:t>[3]</w:t>
      </w:r>
      <w:r w:rsidR="00252930">
        <w:rPr>
          <w:rFonts w:cs="Arial"/>
        </w:rPr>
        <w:fldChar w:fldCharType="end"/>
      </w:r>
      <w:r>
        <w:rPr>
          <w:rFonts w:cs="Arial"/>
        </w:rPr>
        <w:t>.</w:t>
      </w:r>
      <w:r w:rsidR="007F1C68">
        <w:rPr>
          <w:rFonts w:cs="Arial"/>
        </w:rPr>
        <w:t xml:space="preserve"> A summary of the responses, taking also into account updated information provided in 2014 by some CEPT administrations, is available as </w:t>
      </w:r>
      <w:r w:rsidR="007F1C68">
        <w:rPr>
          <w:rFonts w:cs="Arial"/>
        </w:rPr>
        <w:fldChar w:fldCharType="begin"/>
      </w:r>
      <w:r w:rsidR="007F1C68">
        <w:rPr>
          <w:rFonts w:cs="Arial"/>
        </w:rPr>
        <w:instrText xml:space="preserve"> REF _Ref398245283 \r \h </w:instrText>
      </w:r>
      <w:r w:rsidR="007F1C68">
        <w:rPr>
          <w:rFonts w:cs="Arial"/>
        </w:rPr>
      </w:r>
      <w:r w:rsidR="007F1C68">
        <w:rPr>
          <w:rFonts w:cs="Arial"/>
        </w:rPr>
        <w:fldChar w:fldCharType="separate"/>
      </w:r>
      <w:r w:rsidR="000C0823">
        <w:rPr>
          <w:rFonts w:cs="Arial"/>
        </w:rPr>
        <w:t>ANNEX 1:</w:t>
      </w:r>
      <w:r w:rsidR="007F1C68">
        <w:rPr>
          <w:rFonts w:cs="Arial"/>
        </w:rPr>
        <w:fldChar w:fldCharType="end"/>
      </w:r>
      <w:r w:rsidR="007F1C68">
        <w:rPr>
          <w:rFonts w:cs="Arial"/>
        </w:rPr>
        <w:t>.</w:t>
      </w:r>
    </w:p>
    <w:p w:rsidR="00EF44B1" w:rsidRPr="00CF10ED" w:rsidRDefault="00EF44B1" w:rsidP="00EF44B1">
      <w:pPr>
        <w:pStyle w:val="ECCParagraph"/>
      </w:pPr>
      <w:r w:rsidRPr="00CF10ED">
        <w:t xml:space="preserve">Administrations wishing to </w:t>
      </w:r>
      <w:r>
        <w:t xml:space="preserve">introduce WBB in the 2.3-2.4 GHz band while </w:t>
      </w:r>
      <w:r w:rsidRPr="001079E0">
        <w:t>maintaining the current incumbent use</w:t>
      </w:r>
      <w:r w:rsidRPr="00CF10ED">
        <w:t xml:space="preserve"> </w:t>
      </w:r>
      <w:r>
        <w:t>should</w:t>
      </w:r>
      <w:r w:rsidRPr="00CF10ED">
        <w:t xml:space="preserve"> identify which existing applications need to be considered as incumbent and maintained in the long term. </w:t>
      </w:r>
    </w:p>
    <w:p w:rsidR="00EF44B1" w:rsidRDefault="00EF44B1" w:rsidP="00EF44B1">
      <w:pPr>
        <w:pStyle w:val="ECCParagraph"/>
      </w:pPr>
      <w:r w:rsidRPr="00CF10ED">
        <w:t xml:space="preserve">Once the incumbent applications have been identified, sharing opportunities have to be assessed through studies to be performed.  </w:t>
      </w:r>
    </w:p>
    <w:p w:rsidR="00EF44B1" w:rsidRDefault="00EF44B1" w:rsidP="00EF44B1">
      <w:pPr>
        <w:pStyle w:val="ECCParagraph"/>
      </w:pPr>
      <w:r w:rsidRPr="001079E0">
        <w:t xml:space="preserve">Licensed Shared Access (LSA), as defined by RSPG in </w:t>
      </w:r>
      <w:r w:rsidR="00F243C6">
        <w:fldChar w:fldCharType="begin"/>
      </w:r>
      <w:r w:rsidR="00F243C6">
        <w:instrText xml:space="preserve"> REF _Ref392682296 \r \h </w:instrText>
      </w:r>
      <w:r w:rsidR="00F243C6">
        <w:fldChar w:fldCharType="separate"/>
      </w:r>
      <w:r w:rsidR="000C0823">
        <w:t>[4]</w:t>
      </w:r>
      <w:r w:rsidR="00F243C6">
        <w:fldChar w:fldCharType="end"/>
      </w:r>
      <w:r w:rsidRPr="001079E0">
        <w:t xml:space="preserve"> and further described in ECC Report 205 </w:t>
      </w:r>
      <w:r w:rsidR="00F243C6">
        <w:fldChar w:fldCharType="begin"/>
      </w:r>
      <w:r w:rsidR="00F243C6">
        <w:instrText xml:space="preserve"> REF _Ref387301720 \r \h </w:instrText>
      </w:r>
      <w:r w:rsidR="00F243C6">
        <w:fldChar w:fldCharType="separate"/>
      </w:r>
      <w:r w:rsidR="000C0823">
        <w:t>[5]</w:t>
      </w:r>
      <w:r w:rsidR="00F243C6">
        <w:fldChar w:fldCharType="end"/>
      </w:r>
      <w:r w:rsidRPr="001079E0">
        <w:fldChar w:fldCharType="begin"/>
      </w:r>
      <w:r w:rsidRPr="001079E0">
        <w:instrText xml:space="preserve"> REF _Ref387301720 \r \h </w:instrText>
      </w:r>
      <w:r w:rsidRPr="001079E0">
        <w:fldChar w:fldCharType="separate"/>
      </w:r>
      <w:r w:rsidR="000C0823">
        <w:t>[5]</w:t>
      </w:r>
      <w:r w:rsidRPr="001079E0">
        <w:fldChar w:fldCharType="end"/>
      </w:r>
      <w:r w:rsidRPr="001079E0">
        <w:t xml:space="preserve">, is the recognised approach </w:t>
      </w:r>
      <w:r w:rsidR="0065027B">
        <w:t xml:space="preserve">on the </w:t>
      </w:r>
      <w:r w:rsidRPr="001079E0">
        <w:t xml:space="preserve">CEPT </w:t>
      </w:r>
      <w:r w:rsidR="0065027B">
        <w:t xml:space="preserve">level </w:t>
      </w:r>
      <w:r w:rsidRPr="001079E0">
        <w:t xml:space="preserve">for administrations wishing to introduce WBB while maintaining the current incumbent use. </w:t>
      </w:r>
      <w:r w:rsidR="008C6AA6">
        <w:t xml:space="preserve">Guidance for the implementation of LSA is contained in the following sections. </w:t>
      </w:r>
    </w:p>
    <w:p w:rsidR="008C6AA6" w:rsidRDefault="008C6AA6" w:rsidP="00EF44B1">
      <w:pPr>
        <w:pStyle w:val="ECCParagraph"/>
      </w:pPr>
      <w:r>
        <w:t>Administrations may also accommodate WBB in part of the band by consolidating incumbent use in other spectrum. This may be done to facilitate the availability of spectrum for certain part of the band to be used under LSA, or to make part of the spectrum band exclusively available for WBB.</w:t>
      </w:r>
    </w:p>
    <w:p w:rsidR="00AB46DF" w:rsidRDefault="00AB46DF" w:rsidP="00EF44B1">
      <w:pPr>
        <w:pStyle w:val="ECCParagraph"/>
      </w:pPr>
    </w:p>
    <w:p w:rsidR="00415A78" w:rsidRDefault="005274B2" w:rsidP="005274B2">
      <w:pPr>
        <w:pStyle w:val="berschrift1"/>
      </w:pPr>
      <w:bookmarkStart w:id="6" w:name="_Toc398907399"/>
      <w:r w:rsidRPr="003E4424">
        <w:lastRenderedPageBreak/>
        <w:t xml:space="preserve">General </w:t>
      </w:r>
      <w:r>
        <w:t>considerations</w:t>
      </w:r>
      <w:bookmarkEnd w:id="6"/>
      <w:r>
        <w:t xml:space="preserve"> </w:t>
      </w:r>
    </w:p>
    <w:p w:rsidR="005274B2" w:rsidRDefault="00B87CAB" w:rsidP="00415A78">
      <w:pPr>
        <w:pStyle w:val="berschrift2"/>
      </w:pPr>
      <w:bookmarkStart w:id="7" w:name="_Toc398907400"/>
      <w:r>
        <w:t>S</w:t>
      </w:r>
      <w:r w:rsidR="005274B2">
        <w:t>hared use of the 2.3 GHz band</w:t>
      </w:r>
      <w:bookmarkEnd w:id="7"/>
    </w:p>
    <w:p w:rsidR="005274B2" w:rsidRDefault="005274B2" w:rsidP="005274B2">
      <w:pPr>
        <w:pStyle w:val="ECCParagraph"/>
      </w:pPr>
      <w:r>
        <w:t xml:space="preserve">Sharing scenarios are summarised in the following sections based upon the sharing studies reported in ECC Report 172 </w:t>
      </w:r>
      <w:r w:rsidR="00A575C5">
        <w:fldChar w:fldCharType="begin"/>
      </w:r>
      <w:r w:rsidR="00A575C5">
        <w:instrText xml:space="preserve"> REF _Ref377653985 \r \h </w:instrText>
      </w:r>
      <w:r w:rsidR="00A575C5">
        <w:fldChar w:fldCharType="separate"/>
      </w:r>
      <w:r w:rsidR="000C0823">
        <w:t>[6]</w:t>
      </w:r>
      <w:r w:rsidR="00A575C5">
        <w:fldChar w:fldCharType="end"/>
      </w:r>
      <w:r>
        <w:t xml:space="preserve">. LSA provides additional </w:t>
      </w:r>
      <w:r w:rsidR="008C6AA6">
        <w:t>s</w:t>
      </w:r>
      <w:r w:rsidR="008C6AA6" w:rsidRPr="00CF10ED">
        <w:t>haring opportunities</w:t>
      </w:r>
      <w:r w:rsidR="008C6AA6">
        <w:t>, which</w:t>
      </w:r>
      <w:r w:rsidR="008C6AA6" w:rsidRPr="00CF10ED">
        <w:t xml:space="preserve"> can be in time domain, frequency domain or by geographical separation</w:t>
      </w:r>
      <w:r w:rsidR="008C6AA6">
        <w:t xml:space="preserve">. </w:t>
      </w:r>
      <w:r w:rsidR="008C6AA6" w:rsidRPr="00CF10ED">
        <w:t>It is a principle of LSA that for any single location or geographic area, an incumbent and an LSA licensee will not make use of the spectrum at the same time.</w:t>
      </w:r>
      <w:r w:rsidR="008C6AA6" w:rsidDel="008C6AA6">
        <w:t xml:space="preserve"> </w:t>
      </w:r>
    </w:p>
    <w:p w:rsidR="005274B2" w:rsidRDefault="005274B2" w:rsidP="005274B2">
      <w:pPr>
        <w:pStyle w:val="ECCParagraph"/>
      </w:pPr>
      <w:r>
        <w:t xml:space="preserve">Administrations wishing to implement </w:t>
      </w:r>
      <w:r w:rsidR="00F749D7">
        <w:t>WBB</w:t>
      </w:r>
      <w:r>
        <w:t xml:space="preserve"> under LSA are strongly advised to conduct national studies in order to get a more efficient sharing and to consider in their studies the impact of </w:t>
      </w:r>
      <w:r w:rsidR="00F749D7">
        <w:t>WBB</w:t>
      </w:r>
      <w:r>
        <w:t xml:space="preserve"> topologies as coexistence between BWS and current users of the band has been studied in ECC Report 172 </w:t>
      </w:r>
      <w:r w:rsidR="00A575C5">
        <w:fldChar w:fldCharType="begin"/>
      </w:r>
      <w:r w:rsidR="00A575C5">
        <w:instrText xml:space="preserve"> REF _Ref377653985 \r \h </w:instrText>
      </w:r>
      <w:r w:rsidR="00A575C5">
        <w:fldChar w:fldCharType="separate"/>
      </w:r>
      <w:r w:rsidR="000C0823">
        <w:t>[6]</w:t>
      </w:r>
      <w:r w:rsidR="00A575C5">
        <w:fldChar w:fldCharType="end"/>
      </w:r>
      <w:r>
        <w:t xml:space="preserve"> in a worst-case analysis. </w:t>
      </w:r>
    </w:p>
    <w:p w:rsidR="00415A78" w:rsidRPr="005A7746" w:rsidRDefault="00415A78" w:rsidP="00415A78">
      <w:pPr>
        <w:pStyle w:val="berschrift2"/>
        <w:spacing w:after="60"/>
      </w:pPr>
      <w:bookmarkStart w:id="8" w:name="_Toc397762913"/>
      <w:bookmarkStart w:id="9" w:name="_Ref398562011"/>
      <w:bookmarkStart w:id="10" w:name="_Toc398907401"/>
      <w:r w:rsidRPr="005A7746">
        <w:t xml:space="preserve">Licensed </w:t>
      </w:r>
      <w:r w:rsidR="00B87CAB">
        <w:t>S</w:t>
      </w:r>
      <w:r w:rsidRPr="005A7746">
        <w:t>hared Access</w:t>
      </w:r>
      <w:bookmarkEnd w:id="8"/>
      <w:bookmarkEnd w:id="9"/>
      <w:bookmarkEnd w:id="10"/>
    </w:p>
    <w:p w:rsidR="00415A78" w:rsidRPr="00D823AE" w:rsidRDefault="00415A78" w:rsidP="00415A78">
      <w:pPr>
        <w:pStyle w:val="ECCParagraph"/>
      </w:pPr>
      <w:r w:rsidRPr="00D823AE">
        <w:t xml:space="preserve">LSA is a licensing scheme aiming to allow sharing between the incumbent services and WBB. </w:t>
      </w:r>
      <w:r w:rsidR="00430FB7">
        <w:t>T</w:t>
      </w:r>
      <w:r w:rsidRPr="00D823AE">
        <w:t xml:space="preserve">he decision to introduce that concept is voluntary and lies by the national administrations. </w:t>
      </w:r>
    </w:p>
    <w:p w:rsidR="00415A78" w:rsidRDefault="00415A78" w:rsidP="00415A78">
      <w:pPr>
        <w:pStyle w:val="ECCParagraph"/>
      </w:pPr>
      <w:r w:rsidRPr="00D823AE">
        <w:t xml:space="preserve">An introduction of the LSA concept might be promoted from a technical point of view, if sharing is proved feasible. Respective </w:t>
      </w:r>
      <w:r w:rsidR="002B60AD">
        <w:t>technical</w:t>
      </w:r>
      <w:r w:rsidRPr="00D823AE">
        <w:t xml:space="preserve"> studies ha</w:t>
      </w:r>
      <w:r w:rsidR="00A46169">
        <w:t>ve</w:t>
      </w:r>
      <w:r w:rsidRPr="00D823AE">
        <w:t xml:space="preserve"> to be performed </w:t>
      </w:r>
      <w:r w:rsidR="00430FB7">
        <w:t xml:space="preserve">at national level </w:t>
      </w:r>
      <w:r w:rsidRPr="00D823AE">
        <w:t>regarding a concrete frequency band under consideration for introduction of LSA.</w:t>
      </w:r>
      <w:r w:rsidR="002B60AD">
        <w:t xml:space="preserve"> This may require </w:t>
      </w:r>
      <w:proofErr w:type="gramStart"/>
      <w:r w:rsidR="002B60AD">
        <w:t>to consider</w:t>
      </w:r>
      <w:proofErr w:type="gramEnd"/>
      <w:r w:rsidR="002B60AD">
        <w:t xml:space="preserve">, as appropriate, the co-channel and adjacent channel compatibility scenarios. </w:t>
      </w:r>
    </w:p>
    <w:p w:rsidR="00415A78" w:rsidRDefault="00415A78" w:rsidP="00415A78">
      <w:r w:rsidRPr="00A67FD6">
        <w:t xml:space="preserve">The </w:t>
      </w:r>
      <w:r>
        <w:t>s</w:t>
      </w:r>
      <w:r w:rsidRPr="00A67FD6">
        <w:t xml:space="preserve">haring </w:t>
      </w:r>
      <w:r>
        <w:t>f</w:t>
      </w:r>
      <w:r w:rsidRPr="00A67FD6">
        <w:t xml:space="preserve">ramework is the </w:t>
      </w:r>
      <w:r w:rsidRPr="000B0C6D">
        <w:t xml:space="preserve">principal element </w:t>
      </w:r>
      <w:r w:rsidRPr="00A67FD6">
        <w:t>for the implementation of LSA at national level. It will define</w:t>
      </w:r>
      <w:r>
        <w:t>,</w:t>
      </w:r>
      <w:r w:rsidRPr="00A67FD6">
        <w:t xml:space="preserve"> for a given frequency band</w:t>
      </w:r>
      <w:r w:rsidR="0075101E">
        <w:t>,</w:t>
      </w:r>
      <w:r w:rsidRPr="00A67FD6">
        <w:t xml:space="preserve"> the spectrum, with corresponding technical and operational conditions, that can be made available for LSA. National administrations should decide which existing applications need to be considered as Incumbents within the </w:t>
      </w:r>
      <w:r>
        <w:t>s</w:t>
      </w:r>
      <w:r w:rsidRPr="00A67FD6">
        <w:t xml:space="preserve">haring </w:t>
      </w:r>
      <w:r>
        <w:t>f</w:t>
      </w:r>
      <w:r w:rsidRPr="00A67FD6">
        <w:t>ramework and maintained in the long term according to national policy objectives, and taking into account international obligations and community law in the case of EU Member States.</w:t>
      </w:r>
    </w:p>
    <w:p w:rsidR="00967D82" w:rsidRDefault="00967D82" w:rsidP="00415A78"/>
    <w:p w:rsidR="00967D82" w:rsidRPr="006F3D23" w:rsidRDefault="00967D82" w:rsidP="00967D82">
      <w:pPr>
        <w:pStyle w:val="ECCParagraph"/>
        <w:spacing w:after="120"/>
      </w:pPr>
      <w:r w:rsidRPr="006F3D23">
        <w:t xml:space="preserve">Several stakeholders must cooperate closely together at national level in order to introduce </w:t>
      </w:r>
      <w:r w:rsidR="00E71F33">
        <w:t>WBB</w:t>
      </w:r>
      <w:r w:rsidRPr="006F3D23">
        <w:t xml:space="preserve"> in a band under LSA:</w:t>
      </w:r>
    </w:p>
    <w:p w:rsidR="00967D82" w:rsidRPr="006F3D23" w:rsidRDefault="00967D82" w:rsidP="0075101E">
      <w:pPr>
        <w:pStyle w:val="ECCBulletsLv1"/>
      </w:pPr>
      <w:r>
        <w:t>The A</w:t>
      </w:r>
      <w:r w:rsidRPr="006F3D23">
        <w:t>dministration</w:t>
      </w:r>
      <w:r>
        <w:t xml:space="preserve"> </w:t>
      </w:r>
      <w:r w:rsidRPr="006F3D23">
        <w:t>/</w:t>
      </w:r>
      <w:r>
        <w:t xml:space="preserve"> </w:t>
      </w:r>
      <w:r w:rsidRPr="006F3D23">
        <w:t>NRA;</w:t>
      </w:r>
    </w:p>
    <w:p w:rsidR="00967D82" w:rsidRPr="006F3D23" w:rsidRDefault="00967D82" w:rsidP="0075101E">
      <w:pPr>
        <w:pStyle w:val="ECCBulletsLv1"/>
      </w:pPr>
      <w:r w:rsidRPr="006F3D23">
        <w:t>The incumbent</w:t>
      </w:r>
      <w:r>
        <w:t>(s) (i.e. non MNOs)</w:t>
      </w:r>
      <w:r w:rsidRPr="006F3D23">
        <w:t>;</w:t>
      </w:r>
    </w:p>
    <w:p w:rsidR="00967D82" w:rsidRPr="006F3D23" w:rsidRDefault="00967D82" w:rsidP="0075101E">
      <w:pPr>
        <w:pStyle w:val="ECCBulletsLv1"/>
      </w:pPr>
      <w:r w:rsidRPr="006F3D23">
        <w:t xml:space="preserve">The </w:t>
      </w:r>
      <w:r>
        <w:t>prospective</w:t>
      </w:r>
      <w:r w:rsidRPr="006F3D23">
        <w:t xml:space="preserve"> LSA licensee</w:t>
      </w:r>
      <w:r>
        <w:t>(</w:t>
      </w:r>
      <w:r w:rsidRPr="006F3D23">
        <w:t>s</w:t>
      </w:r>
      <w:r>
        <w:t>) (i.e. MNOs)</w:t>
      </w:r>
      <w:r w:rsidRPr="006F3D23">
        <w:t>.</w:t>
      </w:r>
    </w:p>
    <w:p w:rsidR="00967D82" w:rsidRDefault="00967D82" w:rsidP="00967D82">
      <w:pPr>
        <w:pStyle w:val="ECCParagraph"/>
      </w:pPr>
    </w:p>
    <w:p w:rsidR="00967D82" w:rsidRPr="006F3D23" w:rsidRDefault="00967D82" w:rsidP="00967D82">
      <w:pPr>
        <w:pStyle w:val="ECCParagraph"/>
      </w:pPr>
      <w:r w:rsidRPr="006F3D23">
        <w:t xml:space="preserve">The exact nature and implementation of LSA is likely to differ from country to country, in order to adapt to national circumstances. In any case, the introduction of </w:t>
      </w:r>
      <w:r w:rsidR="00E71F33">
        <w:t>WBB</w:t>
      </w:r>
      <w:r w:rsidRPr="006F3D23">
        <w:t xml:space="preserve"> under LSA will always require:</w:t>
      </w:r>
    </w:p>
    <w:p w:rsidR="00967D82" w:rsidRPr="006F3D23" w:rsidRDefault="00967D82" w:rsidP="0075101E">
      <w:pPr>
        <w:pStyle w:val="ECCBulletsLv1"/>
      </w:pPr>
      <w:r w:rsidRPr="006F3D23">
        <w:t>a dialogue involving Administration</w:t>
      </w:r>
      <w:r>
        <w:t xml:space="preserve"> </w:t>
      </w:r>
      <w:r w:rsidRPr="006F3D23">
        <w:t>/</w:t>
      </w:r>
      <w:r>
        <w:t xml:space="preserve"> </w:t>
      </w:r>
      <w:r w:rsidRPr="006F3D23">
        <w:t>NRA, Incumbent(s) and prospective LSA Licensees, in order to define the sharing framework</w:t>
      </w:r>
      <w:r>
        <w:t>;</w:t>
      </w:r>
    </w:p>
    <w:p w:rsidR="00967D82" w:rsidRDefault="00967D82" w:rsidP="0075101E">
      <w:pPr>
        <w:pStyle w:val="ECCBulletsLv1"/>
      </w:pPr>
      <w:proofErr w:type="gramStart"/>
      <w:r w:rsidRPr="006F3D23">
        <w:t>the</w:t>
      </w:r>
      <w:proofErr w:type="gramEnd"/>
      <w:r w:rsidRPr="006F3D23">
        <w:t xml:space="preserve"> Administration</w:t>
      </w:r>
      <w:r>
        <w:t xml:space="preserve"> </w:t>
      </w:r>
      <w:r w:rsidRPr="006F3D23">
        <w:t>/</w:t>
      </w:r>
      <w:r>
        <w:t xml:space="preserve"> </w:t>
      </w:r>
      <w:r w:rsidRPr="006F3D23">
        <w:t>NRA issuing an individual right of use to the LSA Licensee, following a procedure that is compliant with the Authorisation Directive.</w:t>
      </w:r>
    </w:p>
    <w:p w:rsidR="00967D82" w:rsidRDefault="00967D82" w:rsidP="0075101E">
      <w:pPr>
        <w:pStyle w:val="ECCBulletsLv1"/>
        <w:numPr>
          <w:ilvl w:val="0"/>
          <w:numId w:val="0"/>
        </w:numPr>
        <w:tabs>
          <w:tab w:val="clear" w:pos="340"/>
          <w:tab w:val="left" w:pos="0"/>
        </w:tabs>
      </w:pPr>
      <w:r>
        <w:t xml:space="preserve">Further details are available in ECC Report 205 </w:t>
      </w:r>
      <w:r w:rsidR="008B2BF7">
        <w:fldChar w:fldCharType="begin"/>
      </w:r>
      <w:r w:rsidR="008B2BF7">
        <w:instrText xml:space="preserve"> REF _Ref387301720 \r \h </w:instrText>
      </w:r>
      <w:r w:rsidR="008B2BF7">
        <w:fldChar w:fldCharType="separate"/>
      </w:r>
      <w:r w:rsidR="000C0823">
        <w:t>[5]</w:t>
      </w:r>
      <w:r w:rsidR="008B2BF7">
        <w:fldChar w:fldCharType="end"/>
      </w:r>
      <w:r w:rsidR="00761F6C">
        <w:t>.</w:t>
      </w:r>
    </w:p>
    <w:p w:rsidR="00967D82" w:rsidRPr="00C8086D" w:rsidRDefault="00967D82" w:rsidP="00967D82">
      <w:pPr>
        <w:spacing w:before="120"/>
        <w:rPr>
          <w:lang w:val="en-GB"/>
        </w:rPr>
      </w:pPr>
    </w:p>
    <w:p w:rsidR="00967D82" w:rsidRDefault="00967D82" w:rsidP="00967D82">
      <w:pPr>
        <w:pStyle w:val="ECCParagraph"/>
        <w:jc w:val="center"/>
      </w:pPr>
      <w:r>
        <w:rPr>
          <w:noProof/>
          <w:lang w:eastAsia="en-GB"/>
        </w:rPr>
        <w:lastRenderedPageBreak/>
        <w:drawing>
          <wp:inline distT="0" distB="0" distL="0" distR="0" wp14:anchorId="130B225C" wp14:editId="2D31DD1E">
            <wp:extent cx="5158800" cy="2638800"/>
            <wp:effectExtent l="0" t="0" r="3810" b="9525"/>
            <wp:docPr id="2097" name="Imag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800" cy="2638800"/>
                    </a:xfrm>
                    <a:prstGeom prst="rect">
                      <a:avLst/>
                    </a:prstGeom>
                    <a:noFill/>
                  </pic:spPr>
                </pic:pic>
              </a:graphicData>
            </a:graphic>
          </wp:inline>
        </w:drawing>
      </w:r>
    </w:p>
    <w:p w:rsidR="00967D82" w:rsidRPr="006F3D23" w:rsidRDefault="00631CCB" w:rsidP="00631CCB">
      <w:pPr>
        <w:pStyle w:val="ECCFiguretitle"/>
        <w:numPr>
          <w:ilvl w:val="0"/>
          <w:numId w:val="0"/>
        </w:numPr>
        <w:ind w:left="360"/>
        <w:jc w:val="left"/>
      </w:pPr>
      <w:r w:rsidRPr="00A0230A">
        <w:t xml:space="preserve">Figure </w:t>
      </w:r>
      <w:fldSimple w:instr=" SEQ Figure \* ARABIC ">
        <w:r w:rsidR="000C0823">
          <w:rPr>
            <w:noProof/>
          </w:rPr>
          <w:t>1</w:t>
        </w:r>
      </w:fldSimple>
      <w:r w:rsidRPr="00A0230A">
        <w:t xml:space="preserve">: </w:t>
      </w:r>
      <w:r w:rsidR="00967D82" w:rsidRPr="006F3D23">
        <w:t xml:space="preserve">Regulatory process required before the introduction of </w:t>
      </w:r>
      <w:r w:rsidR="00BE13CF">
        <w:t>WBB</w:t>
      </w:r>
      <w:r w:rsidR="00967D82" w:rsidRPr="006F3D23">
        <w:t xml:space="preserve"> in a band under LSA </w:t>
      </w:r>
    </w:p>
    <w:p w:rsidR="00BF3779" w:rsidRDefault="000E5D81" w:rsidP="00415A78">
      <w:r>
        <w:rPr>
          <w:lang w:val="en-GB"/>
        </w:rPr>
        <w:t xml:space="preserve">It should be noted that this process would require that the three parties are well identified. </w:t>
      </w:r>
      <w:r w:rsidR="005473EB">
        <w:rPr>
          <w:lang w:val="en-GB"/>
        </w:rPr>
        <w:t xml:space="preserve">However, </w:t>
      </w:r>
      <w:r w:rsidR="005473EB" w:rsidRPr="009F4308">
        <w:t xml:space="preserve">in some countries, </w:t>
      </w:r>
      <w:r w:rsidR="005473EB">
        <w:t xml:space="preserve">it may be difficult to identify </w:t>
      </w:r>
      <w:r w:rsidR="005473EB" w:rsidRPr="009F4308">
        <w:t xml:space="preserve">a single focal point representing the incumbent user(s). </w:t>
      </w:r>
      <w:r w:rsidR="005473EB">
        <w:t xml:space="preserve">For example, some CEPT administrations reported </w:t>
      </w:r>
      <w:r w:rsidR="005473EB" w:rsidRPr="009F4308">
        <w:t xml:space="preserve">the fact that </w:t>
      </w:r>
      <w:r w:rsidR="005473EB">
        <w:t>video applications can be</w:t>
      </w:r>
      <w:r w:rsidR="005473EB" w:rsidRPr="009F4308">
        <w:t xml:space="preserve"> used by different entities for different purposes, i.e. for broadcasting production (SAB/SAP), in the industrial area (e.g. in nuclear power plants) and for PPDR (police, other PPDR </w:t>
      </w:r>
      <w:proofErr w:type="spellStart"/>
      <w:r w:rsidR="005473EB" w:rsidRPr="009F4308">
        <w:t>organisations</w:t>
      </w:r>
      <w:proofErr w:type="spellEnd"/>
      <w:r w:rsidR="005473EB" w:rsidRPr="009F4308">
        <w:t>).</w:t>
      </w:r>
      <w:r w:rsidR="00430FB7">
        <w:t xml:space="preserve"> In certain cases, the NRA may also have to act on behalf of the incumbent(s). </w:t>
      </w:r>
    </w:p>
    <w:p w:rsidR="00BF3779" w:rsidRDefault="00BF3779" w:rsidP="00415A78"/>
    <w:p w:rsidR="008C6AA6" w:rsidRDefault="008C6AA6" w:rsidP="00415A78"/>
    <w:p w:rsidR="008C6AA6" w:rsidRPr="00A67FD6" w:rsidRDefault="008C6AA6" w:rsidP="00415A78">
      <w:r>
        <w:t>It is important to note that the level of the service that can be delivered by a LSA licensee is dependent on the situation in the band; it will be determined by the usage scenarios of the incumbent(s) and the corresponding sharing framework</w:t>
      </w:r>
      <w:r w:rsidR="00430FB7">
        <w:t xml:space="preserve"> and LSA licensee need to have the knowledge of the level of interference they may face. </w:t>
      </w:r>
    </w:p>
    <w:p w:rsidR="00415A78" w:rsidRDefault="00415A78" w:rsidP="00415A78">
      <w:pPr>
        <w:pStyle w:val="berschrift2"/>
        <w:spacing w:after="60"/>
      </w:pPr>
      <w:bookmarkStart w:id="11" w:name="_Toc397762914"/>
      <w:bookmarkStart w:id="12" w:name="_Toc398907402"/>
      <w:r>
        <w:t xml:space="preserve">Options </w:t>
      </w:r>
      <w:r w:rsidR="00B87CAB">
        <w:t>f</w:t>
      </w:r>
      <w:r w:rsidR="0075101E">
        <w:t>or</w:t>
      </w:r>
      <w:r>
        <w:t xml:space="preserve"> sharing</w:t>
      </w:r>
      <w:bookmarkEnd w:id="11"/>
      <w:bookmarkEnd w:id="12"/>
    </w:p>
    <w:p w:rsidR="00415A78" w:rsidRPr="004E2E1F" w:rsidRDefault="00415A78" w:rsidP="00415A78">
      <w:pPr>
        <w:pStyle w:val="berschrift3"/>
        <w:spacing w:after="60"/>
      </w:pPr>
      <w:bookmarkStart w:id="13" w:name="_Toc397762915"/>
      <w:bookmarkStart w:id="14" w:name="_Ref398279035"/>
      <w:bookmarkStart w:id="15" w:name="_Ref398279601"/>
      <w:bookmarkStart w:id="16" w:name="_Ref398279716"/>
      <w:bookmarkStart w:id="17" w:name="_Ref398280501"/>
      <w:bookmarkStart w:id="18" w:name="_Ref398561729"/>
      <w:bookmarkStart w:id="19" w:name="_Ref398562082"/>
      <w:bookmarkStart w:id="20" w:name="_Toc398907403"/>
      <w:r>
        <w:t xml:space="preserve">Basis for </w:t>
      </w:r>
      <w:r w:rsidR="00B87CAB">
        <w:t>i</w:t>
      </w:r>
      <w:r w:rsidRPr="004E2E1F">
        <w:t>mplementation</w:t>
      </w:r>
      <w:bookmarkEnd w:id="13"/>
      <w:bookmarkEnd w:id="14"/>
      <w:bookmarkEnd w:id="15"/>
      <w:bookmarkEnd w:id="16"/>
      <w:bookmarkEnd w:id="17"/>
      <w:bookmarkEnd w:id="18"/>
      <w:bookmarkEnd w:id="19"/>
      <w:bookmarkEnd w:id="20"/>
    </w:p>
    <w:p w:rsidR="00991179" w:rsidRPr="008B2BF7" w:rsidRDefault="00991179" w:rsidP="00415A78">
      <w:pPr>
        <w:pStyle w:val="ECCParagraph"/>
      </w:pPr>
      <w:r w:rsidRPr="008B2BF7">
        <w:t>The approach described below applies to assess the protection of the incumbent from potential interference from LSA licensee(s)</w:t>
      </w:r>
    </w:p>
    <w:p w:rsidR="0075101E" w:rsidRDefault="00C27676" w:rsidP="00C27676">
      <w:r w:rsidRPr="008B2BF7">
        <w:rPr>
          <w:lang w:val="en-GB"/>
        </w:rPr>
        <w:t xml:space="preserve">In order to protect victims (e.g. the incumbent) from harmful interferences, an exclusion zone and a protection zone are defined for each victim’s site. An exclusion zone (or protection zone) is typically defined as a circle of few </w:t>
      </w:r>
      <w:r w:rsidR="008B2BF7" w:rsidRPr="008B2BF7">
        <w:rPr>
          <w:lang w:val="en-GB"/>
        </w:rPr>
        <w:t>kilometres</w:t>
      </w:r>
      <w:r w:rsidRPr="008B2BF7">
        <w:rPr>
          <w:lang w:val="en-GB"/>
        </w:rPr>
        <w:t xml:space="preserve"> and where the victim sits at the </w:t>
      </w:r>
      <w:r w:rsidR="008B2BF7" w:rsidRPr="008B2BF7">
        <w:rPr>
          <w:lang w:val="en-GB"/>
        </w:rPr>
        <w:t>centre</w:t>
      </w:r>
      <w:r w:rsidRPr="008B2BF7">
        <w:rPr>
          <w:lang w:val="en-GB"/>
        </w:rPr>
        <w:t>. When necessary e.g. for victims located nearby a potential high density interfering deployment area (e.g.</w:t>
      </w:r>
      <w:r w:rsidR="008B2BF7">
        <w:rPr>
          <w:lang w:val="en-GB"/>
        </w:rPr>
        <w:t xml:space="preserve"> </w:t>
      </w:r>
      <w:r w:rsidRPr="008B2BF7">
        <w:rPr>
          <w:lang w:val="en-GB"/>
        </w:rPr>
        <w:t>the LSA licensee' network), an additional and larger restriction zone can be defined.</w:t>
      </w:r>
      <w:r w:rsidRPr="008B2BF7">
        <w:rPr>
          <w:lang w:val="en-GB"/>
        </w:rPr>
        <w:br/>
      </w:r>
      <w:r w:rsidRPr="008B2BF7">
        <w:rPr>
          <w:lang w:val="en-GB"/>
        </w:rPr>
        <w:br/>
        <w:t>A definition for each type of zone is given below</w:t>
      </w:r>
      <w:proofErr w:type="gramStart"/>
      <w:r w:rsidRPr="008B2BF7">
        <w:rPr>
          <w:lang w:val="en-GB"/>
        </w:rPr>
        <w:t>:</w:t>
      </w:r>
      <w:proofErr w:type="gramEnd"/>
      <w:r w:rsidRPr="008B2BF7">
        <w:rPr>
          <w:lang w:val="en-GB"/>
        </w:rPr>
        <w:br/>
      </w:r>
      <w:r w:rsidRPr="008B2BF7">
        <w:rPr>
          <w:lang w:val="en-GB"/>
        </w:rPr>
        <w:br/>
      </w:r>
      <w:r w:rsidRPr="008B2BF7">
        <w:rPr>
          <w:b/>
          <w:lang w:val="en-GB"/>
        </w:rPr>
        <w:t>Exclusion Zone</w:t>
      </w:r>
      <w:r w:rsidRPr="008B2BF7">
        <w:rPr>
          <w:lang w:val="en-GB"/>
        </w:rPr>
        <w:t>: a geographical area within which interferer are not allowed to have active radio transmitters. An exclusion zone is normally applicable for a defined frequency</w:t>
      </w:r>
      <w:r>
        <w:t xml:space="preserve"> range and time period.</w:t>
      </w:r>
      <w:r>
        <w:br/>
      </w:r>
      <w:r>
        <w:br/>
      </w:r>
      <w:r w:rsidRPr="0075101E">
        <w:rPr>
          <w:b/>
        </w:rPr>
        <w:t>Protection Zone</w:t>
      </w:r>
      <w:r>
        <w:t>: a geographical area within which victim receivers will not be subject to harmful interference caused by interferer transmissions. A protection zone is normally applicable for a defined frequency range and time period.</w:t>
      </w:r>
      <w:r>
        <w:br/>
      </w:r>
      <w:r>
        <w:br/>
        <w:t>NRA imposes that the electromagnetic field (E) emitted by all interferer transmitters operating in</w:t>
      </w:r>
      <w:proofErr w:type="gramStart"/>
      <w:r>
        <w:t>  co</w:t>
      </w:r>
      <w:proofErr w:type="gramEnd"/>
      <w:r>
        <w:t xml:space="preserve">-channel and/or adjacent channels of the victim receivers does not exceed a level </w:t>
      </w:r>
      <w:proofErr w:type="spellStart"/>
      <w:r>
        <w:t>dBuV</w:t>
      </w:r>
      <w:proofErr w:type="spellEnd"/>
      <w:r>
        <w:t xml:space="preserve">/m/MHz within the defined </w:t>
      </w:r>
      <w:r>
        <w:lastRenderedPageBreak/>
        <w:t>protection zones i.e. a mean field strength that does not exceed a defined value in dBµV/m/MHz at a defined receiver antenna height above ground level.</w:t>
      </w:r>
      <w:r>
        <w:br/>
      </w:r>
      <w:r>
        <w:br/>
        <w:t>For each site, victim receiver sensitivity is converted from receiver’s received power level in dBm to field strength E (in dBµV/m) using the following equation</w:t>
      </w:r>
      <w:proofErr w:type="gramStart"/>
      <w:r>
        <w:t>:</w:t>
      </w:r>
      <w:proofErr w:type="gramEnd"/>
      <w:r>
        <w:br/>
      </w:r>
      <w:r>
        <w:br/>
        <w:t xml:space="preserve">E (dBµV/m) = (IC – Gr + </w:t>
      </w:r>
      <w:proofErr w:type="spellStart"/>
      <w:r>
        <w:t>Pfr</w:t>
      </w:r>
      <w:proofErr w:type="spellEnd"/>
      <w:r>
        <w:t>) + 20 log10 (</w:t>
      </w:r>
      <w:proofErr w:type="spellStart"/>
      <w:r>
        <w:t>freqInMHz</w:t>
      </w:r>
      <w:proofErr w:type="spellEnd"/>
      <w:r>
        <w:t>) + 77,21</w:t>
      </w:r>
      <w:r>
        <w:br/>
        <w:t>with:</w:t>
      </w:r>
    </w:p>
    <w:p w:rsidR="0075101E" w:rsidRPr="006F3D23" w:rsidRDefault="0075101E" w:rsidP="0075101E">
      <w:pPr>
        <w:pStyle w:val="ECCBulletsLv1"/>
      </w:pPr>
      <w:r w:rsidRPr="0075101E">
        <w:t>IC is the Interference Criteria at receiver</w:t>
      </w:r>
    </w:p>
    <w:p w:rsidR="0075101E" w:rsidRPr="006F3D23" w:rsidRDefault="0075101E" w:rsidP="0075101E">
      <w:pPr>
        <w:pStyle w:val="ECCBulletsLv1"/>
      </w:pPr>
      <w:r w:rsidRPr="0075101E">
        <w:t>Gr is receiver antenna gain</w:t>
      </w:r>
    </w:p>
    <w:p w:rsidR="0075101E" w:rsidRPr="006F3D23" w:rsidRDefault="008B2BF7" w:rsidP="0075101E">
      <w:pPr>
        <w:pStyle w:val="ECCBulletsLv1"/>
      </w:pPr>
      <w:proofErr w:type="spellStart"/>
      <w:r>
        <w:t>Pfr</w:t>
      </w:r>
      <w:proofErr w:type="spellEnd"/>
      <w:r>
        <w:t xml:space="preserve"> is cable and feeder loss at receiver</w:t>
      </w:r>
      <w:r w:rsidR="0075101E" w:rsidRPr="006F3D23">
        <w:t>.</w:t>
      </w:r>
    </w:p>
    <w:p w:rsidR="00C27676" w:rsidRDefault="00C27676" w:rsidP="00C27676">
      <w:r>
        <w:br/>
        <w:t>E (dBµV/m) above is given for co-channel situation. For 1st adjacent channel situation, a computed margin should be added.</w:t>
      </w:r>
      <w:r>
        <w:br/>
      </w:r>
      <w:r>
        <w:br/>
      </w:r>
      <w:r w:rsidRPr="0075101E">
        <w:rPr>
          <w:b/>
        </w:rPr>
        <w:t>Restriction Zone:</w:t>
      </w:r>
      <w:r>
        <w:t xml:space="preserve"> a geographical area within which LSA Licensees are allowed to operate radio transmitters, under certain restrictive conditions (e.g. maximum EIRP limits and/or constraints on antenna parameters). A restriction zone is normally applicable for a defined frequency range and time period.</w:t>
      </w:r>
    </w:p>
    <w:p w:rsidR="00991179" w:rsidRDefault="00991179" w:rsidP="00C27676"/>
    <w:p w:rsidR="00991179" w:rsidRDefault="00991179" w:rsidP="00C27676">
      <w:r>
        <w:t>This may also be applicable on a national level to provide protection to the LSA licensee(s).</w:t>
      </w:r>
    </w:p>
    <w:p w:rsidR="00C27676" w:rsidRPr="0075101E" w:rsidRDefault="00C27676" w:rsidP="00415A78">
      <w:pPr>
        <w:pStyle w:val="ECCParagraph"/>
        <w:rPr>
          <w:lang w:val="en-US"/>
        </w:rPr>
      </w:pPr>
    </w:p>
    <w:p w:rsidR="00415A78" w:rsidRDefault="005473EB" w:rsidP="0075101E">
      <w:pPr>
        <w:pStyle w:val="berschrift3"/>
        <w:spacing w:after="60"/>
      </w:pPr>
      <w:bookmarkStart w:id="21" w:name="_Ref398279821"/>
      <w:bookmarkStart w:id="22" w:name="_Toc398907404"/>
      <w:r>
        <w:t>LSA functional blocks and interaction</w:t>
      </w:r>
      <w:bookmarkEnd w:id="21"/>
      <w:bookmarkEnd w:id="22"/>
    </w:p>
    <w:p w:rsidR="005473EB" w:rsidRPr="006F3D23" w:rsidRDefault="005473EB" w:rsidP="005473EB">
      <w:pPr>
        <w:pStyle w:val="ECCParagraph"/>
      </w:pPr>
      <w:r w:rsidRPr="006F3D23">
        <w:t xml:space="preserve">The following </w:t>
      </w:r>
      <w:r w:rsidRPr="000E33B6">
        <w:t>f</w:t>
      </w:r>
      <w:r>
        <w:t>unctional blocks may</w:t>
      </w:r>
      <w:r w:rsidRPr="006F3D23">
        <w:t xml:space="preserve"> be </w:t>
      </w:r>
      <w:r>
        <w:t>required</w:t>
      </w:r>
      <w:r w:rsidRPr="006F3D23">
        <w:t xml:space="preserve"> when implementing LSA on a national basis. </w:t>
      </w:r>
    </w:p>
    <w:p w:rsidR="005473EB" w:rsidRDefault="005473EB" w:rsidP="005473EB">
      <w:pPr>
        <w:pStyle w:val="ECCParagraph"/>
      </w:pPr>
      <w:r w:rsidRPr="006F3D23">
        <w:t xml:space="preserve">A LSA repository is required to deliver the information on spectrum availability </w:t>
      </w:r>
      <w:r>
        <w:t xml:space="preserve">and associated conditions </w:t>
      </w:r>
      <w:r w:rsidRPr="006F3D23">
        <w:t xml:space="preserve">when this information is subject to changes over time. </w:t>
      </w:r>
      <w:r w:rsidRPr="00170334">
        <w:t xml:space="preserve">The LSA repository may be managed by the Administration, the NRA or the incumbent, or be delegated to a trusted third party. </w:t>
      </w:r>
    </w:p>
    <w:p w:rsidR="005473EB" w:rsidRDefault="005473EB" w:rsidP="005473EB">
      <w:pPr>
        <w:pStyle w:val="ECCParagraph"/>
      </w:pPr>
      <w:r w:rsidRPr="00170334">
        <w:t>The LSA controller manages the access to the spectrum made available to the LSA licensee based on sharing rules and information on the incumbent’s use provided by the LSA repository. It retrieves information about spectrum from the LSA repository through a secure and reliable communication path.</w:t>
      </w:r>
    </w:p>
    <w:p w:rsidR="005473EB" w:rsidRDefault="005473EB" w:rsidP="005473EB">
      <w:pPr>
        <w:pStyle w:val="ECCParagraph"/>
      </w:pPr>
      <w:r w:rsidRPr="00170334">
        <w:t xml:space="preserve">The LSA </w:t>
      </w:r>
      <w:r>
        <w:t>c</w:t>
      </w:r>
      <w:r w:rsidRPr="00170334">
        <w:t xml:space="preserve">ontroller can interface with one or multiple LSA </w:t>
      </w:r>
      <w:r>
        <w:t>r</w:t>
      </w:r>
      <w:r w:rsidRPr="00170334">
        <w:t xml:space="preserve">epositories as well as with one or multiple LSA licensee’s networks. The LSA </w:t>
      </w:r>
      <w:r>
        <w:t>c</w:t>
      </w:r>
      <w:r w:rsidRPr="00170334">
        <w:t xml:space="preserve">ontroller may be managed by the Administration, the NRA, </w:t>
      </w:r>
      <w:r w:rsidRPr="004D6067">
        <w:t>the incumbent</w:t>
      </w:r>
      <w:r>
        <w:t xml:space="preserve">, </w:t>
      </w:r>
      <w:proofErr w:type="gramStart"/>
      <w:r w:rsidRPr="00170334">
        <w:t>the LSA licensee(s)</w:t>
      </w:r>
      <w:proofErr w:type="gramEnd"/>
      <w:r w:rsidRPr="00170334">
        <w:t xml:space="preserve"> or </w:t>
      </w:r>
      <w:r w:rsidRPr="004D6067">
        <w:t>be delegated to</w:t>
      </w:r>
      <w:r w:rsidRPr="00DC3E09">
        <w:t xml:space="preserve"> </w:t>
      </w:r>
      <w:r w:rsidRPr="00170334">
        <w:t xml:space="preserve">a trusted third party. </w:t>
      </w:r>
    </w:p>
    <w:p w:rsidR="005473EB" w:rsidRDefault="005473EB" w:rsidP="005473EB">
      <w:pPr>
        <w:pStyle w:val="ECCParagraph"/>
      </w:pPr>
      <w:r w:rsidRPr="00094CDA">
        <w:t>There could be one or more repositories and/or controllers per country, depending e.g. on the LSA band and the incumbents’ nature.</w:t>
      </w:r>
      <w:r w:rsidRPr="00170334">
        <w:t xml:space="preserve"> </w:t>
      </w:r>
      <w:r w:rsidRPr="008E4A9D">
        <w:t xml:space="preserve">The </w:t>
      </w:r>
      <w:r>
        <w:t xml:space="preserve">following figure depicts </w:t>
      </w:r>
      <w:r w:rsidRPr="008E4A9D">
        <w:t>an example of implementation of LSA with repository and controller.</w:t>
      </w:r>
    </w:p>
    <w:p w:rsidR="00034334" w:rsidRDefault="00034334" w:rsidP="00034334">
      <w:pPr>
        <w:pStyle w:val="ECCParagraph"/>
      </w:pPr>
      <w:r w:rsidRPr="006F3D23">
        <w:t xml:space="preserve">Steps </w:t>
      </w:r>
      <w:r>
        <w:t>should be</w:t>
      </w:r>
      <w:r w:rsidRPr="006F3D23">
        <w:t xml:space="preserve"> taken such that confidentiality and information sensitivity</w:t>
      </w:r>
      <w:r>
        <w:t>/security</w:t>
      </w:r>
      <w:r w:rsidRPr="006F3D23">
        <w:t xml:space="preserve"> requirements are met.</w:t>
      </w:r>
    </w:p>
    <w:p w:rsidR="00034334" w:rsidRPr="006F3D23" w:rsidRDefault="00034334" w:rsidP="005473EB">
      <w:pPr>
        <w:pStyle w:val="ECCParagraph"/>
      </w:pPr>
    </w:p>
    <w:p w:rsidR="005473EB" w:rsidRPr="006F3D23" w:rsidRDefault="005473EB" w:rsidP="005473EB">
      <w:pPr>
        <w:pStyle w:val="ECCParagraph"/>
        <w:keepNext/>
      </w:pPr>
    </w:p>
    <w:p w:rsidR="005473EB" w:rsidRDefault="005473EB" w:rsidP="005473EB">
      <w:pPr>
        <w:jc w:val="center"/>
        <w:rPr>
          <w:szCs w:val="20"/>
          <w:lang w:val="en-GB"/>
        </w:rPr>
      </w:pPr>
      <w:r>
        <w:rPr>
          <w:noProof/>
          <w:lang w:val="en-GB" w:eastAsia="en-GB"/>
        </w:rPr>
        <w:drawing>
          <wp:inline distT="0" distB="0" distL="0" distR="0" wp14:anchorId="6CFC9C7D" wp14:editId="320C6A63">
            <wp:extent cx="4019266" cy="4305767"/>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645" cy="4304030"/>
                    </a:xfrm>
                    <a:prstGeom prst="rect">
                      <a:avLst/>
                    </a:prstGeom>
                    <a:noFill/>
                  </pic:spPr>
                </pic:pic>
              </a:graphicData>
            </a:graphic>
          </wp:inline>
        </w:drawing>
      </w:r>
    </w:p>
    <w:p w:rsidR="005473EB" w:rsidRPr="006F3D23" w:rsidRDefault="00631CCB" w:rsidP="00631CCB">
      <w:pPr>
        <w:pStyle w:val="ECCFiguretitle"/>
        <w:numPr>
          <w:ilvl w:val="0"/>
          <w:numId w:val="0"/>
        </w:numPr>
        <w:ind w:left="360"/>
        <w:jc w:val="left"/>
      </w:pPr>
      <w:r w:rsidRPr="00A0230A">
        <w:t xml:space="preserve">Figure </w:t>
      </w:r>
      <w:fldSimple w:instr=" SEQ Figure \* ARABIC ">
        <w:r w:rsidR="000C0823">
          <w:rPr>
            <w:noProof/>
          </w:rPr>
          <w:t>2</w:t>
        </w:r>
      </w:fldSimple>
      <w:r w:rsidRPr="00A0230A">
        <w:t xml:space="preserve">: </w:t>
      </w:r>
      <w:r w:rsidR="005473EB" w:rsidRPr="006F3D23">
        <w:t xml:space="preserve"> </w:t>
      </w:r>
      <w:r w:rsidR="005473EB" w:rsidRPr="004F5649">
        <w:t>An example of LSA functional blocks and interactions</w:t>
      </w:r>
    </w:p>
    <w:p w:rsidR="005473EB" w:rsidRDefault="005473EB" w:rsidP="005473EB">
      <w:pPr>
        <w:spacing w:after="240"/>
        <w:jc w:val="both"/>
        <w:rPr>
          <w:rFonts w:cs="Arial"/>
          <w:szCs w:val="20"/>
          <w:lang w:val="en-GB" w:eastAsia="de-DE"/>
        </w:rPr>
      </w:pPr>
      <w:r w:rsidRPr="004F5649">
        <w:rPr>
          <w:rFonts w:cs="Arial"/>
          <w:szCs w:val="20"/>
          <w:lang w:val="en-GB" w:eastAsia="de-DE"/>
        </w:rPr>
        <w:t>The LSA repository contains in particular the relevant information on LSA spectrum that must be protected together with the level of protection provided by the incumbent(s).</w:t>
      </w:r>
    </w:p>
    <w:p w:rsidR="005473EB" w:rsidRDefault="005473EB" w:rsidP="005473EB">
      <w:pPr>
        <w:rPr>
          <w:szCs w:val="26"/>
          <w:lang w:val="en-GB"/>
        </w:rPr>
      </w:pPr>
      <w:r>
        <w:rPr>
          <w:lang w:val="en-GB" w:eastAsia="de-DE"/>
        </w:rPr>
        <w:t xml:space="preserve">It should be noted that </w:t>
      </w:r>
      <w:r w:rsidRPr="001F7E75">
        <w:rPr>
          <w:szCs w:val="26"/>
          <w:lang w:val="en-GB"/>
        </w:rPr>
        <w:t xml:space="preserve">ETSI </w:t>
      </w:r>
      <w:r w:rsidR="00761F6C">
        <w:rPr>
          <w:szCs w:val="26"/>
          <w:lang w:val="en-GB"/>
        </w:rPr>
        <w:t xml:space="preserve">TC </w:t>
      </w:r>
      <w:r w:rsidRPr="001F7E75">
        <w:rPr>
          <w:szCs w:val="26"/>
          <w:lang w:val="en-GB"/>
        </w:rPr>
        <w:t xml:space="preserve">RRS has presented possible architecture that enables the LSA concept in document TR 103 113 (“System Reference Document </w:t>
      </w:r>
      <w:r>
        <w:rPr>
          <w:szCs w:val="26"/>
          <w:lang w:val="en-GB"/>
        </w:rPr>
        <w:t xml:space="preserve">on </w:t>
      </w:r>
      <w:r w:rsidRPr="001F7E75">
        <w:rPr>
          <w:szCs w:val="26"/>
          <w:lang w:val="en-GB"/>
        </w:rPr>
        <w:t xml:space="preserve"> Mobile broadband services in the 2300 – 2400 MHz frequency band under Licensed Shared Access regime</w:t>
      </w:r>
      <w:r w:rsidRPr="005E775D">
        <w:rPr>
          <w:szCs w:val="26"/>
          <w:lang w:val="en-GB"/>
        </w:rPr>
        <w:t xml:space="preserve">”) </w:t>
      </w:r>
      <w:r w:rsidR="00A575C5">
        <w:rPr>
          <w:szCs w:val="26"/>
          <w:highlight w:val="yellow"/>
          <w:lang w:val="en-GB"/>
        </w:rPr>
        <w:fldChar w:fldCharType="begin"/>
      </w:r>
      <w:r w:rsidR="00A575C5">
        <w:rPr>
          <w:szCs w:val="26"/>
          <w:lang w:val="en-GB"/>
        </w:rPr>
        <w:instrText xml:space="preserve"> REF _Ref398291983 \r \h </w:instrText>
      </w:r>
      <w:r w:rsidR="00A575C5">
        <w:rPr>
          <w:szCs w:val="26"/>
          <w:highlight w:val="yellow"/>
          <w:lang w:val="en-GB"/>
        </w:rPr>
      </w:r>
      <w:r w:rsidR="00A575C5">
        <w:rPr>
          <w:szCs w:val="26"/>
          <w:highlight w:val="yellow"/>
          <w:lang w:val="en-GB"/>
        </w:rPr>
        <w:fldChar w:fldCharType="separate"/>
      </w:r>
      <w:r w:rsidR="000C0823">
        <w:rPr>
          <w:szCs w:val="26"/>
          <w:lang w:val="en-GB"/>
        </w:rPr>
        <w:t>[7]</w:t>
      </w:r>
      <w:r w:rsidR="00A575C5">
        <w:rPr>
          <w:szCs w:val="26"/>
          <w:highlight w:val="yellow"/>
          <w:lang w:val="en-GB"/>
        </w:rPr>
        <w:fldChar w:fldCharType="end"/>
      </w:r>
      <w:r w:rsidRPr="005E775D">
        <w:rPr>
          <w:szCs w:val="26"/>
          <w:lang w:val="en-GB"/>
        </w:rPr>
        <w:t>.</w:t>
      </w:r>
      <w:r w:rsidRPr="001F7E75">
        <w:rPr>
          <w:szCs w:val="26"/>
          <w:lang w:val="en-GB"/>
        </w:rPr>
        <w:t xml:space="preserve"> </w:t>
      </w:r>
    </w:p>
    <w:p w:rsidR="00BE611C" w:rsidRDefault="00BE611C" w:rsidP="005473EB">
      <w:pPr>
        <w:rPr>
          <w:szCs w:val="26"/>
          <w:lang w:val="en-GB"/>
        </w:rPr>
      </w:pPr>
    </w:p>
    <w:p w:rsidR="00BE611C" w:rsidRDefault="00034334" w:rsidP="00BE611C">
      <w:pPr>
        <w:rPr>
          <w:lang w:val="en-GB" w:eastAsia="de-DE"/>
        </w:rPr>
      </w:pPr>
      <w:r>
        <w:rPr>
          <w:lang w:val="en-GB" w:eastAsia="de-DE"/>
        </w:rPr>
        <w:t>F</w:t>
      </w:r>
      <w:r w:rsidR="00BE611C">
        <w:rPr>
          <w:lang w:val="en-GB" w:eastAsia="de-DE"/>
        </w:rPr>
        <w:t xml:space="preserve">urther consideration for the standardisation of the </w:t>
      </w:r>
      <w:r>
        <w:rPr>
          <w:lang w:val="en-GB" w:eastAsia="de-DE"/>
        </w:rPr>
        <w:t xml:space="preserve">LSA system requirements, architecture and </w:t>
      </w:r>
      <w:r w:rsidR="00BE611C">
        <w:rPr>
          <w:lang w:val="en-GB" w:eastAsia="de-DE"/>
        </w:rPr>
        <w:t xml:space="preserve">interfaces </w:t>
      </w:r>
      <w:r>
        <w:rPr>
          <w:lang w:val="en-GB" w:eastAsia="de-DE"/>
        </w:rPr>
        <w:t xml:space="preserve">is currently ongoing within ETSI. </w:t>
      </w:r>
      <w:r w:rsidRPr="0075101E">
        <w:rPr>
          <w:highlight w:val="yellow"/>
          <w:lang w:val="en-GB" w:eastAsia="de-DE"/>
        </w:rPr>
        <w:t>[Editor’s note: proper reference to ETSI deliverables to be included when work is finalised]</w:t>
      </w:r>
    </w:p>
    <w:p w:rsidR="00BE611C" w:rsidRDefault="00BE611C" w:rsidP="005473EB">
      <w:pPr>
        <w:rPr>
          <w:szCs w:val="26"/>
          <w:lang w:val="en-GB"/>
        </w:rPr>
      </w:pPr>
    </w:p>
    <w:p w:rsidR="00501BF1" w:rsidRDefault="00501BF1" w:rsidP="00501BF1">
      <w:pPr>
        <w:pStyle w:val="berschrift2"/>
        <w:spacing w:after="60"/>
      </w:pPr>
      <w:bookmarkStart w:id="23" w:name="_Toc398907405"/>
      <w:r w:rsidRPr="006F3D23">
        <w:t>Management of cross-border coordination</w:t>
      </w:r>
      <w:bookmarkEnd w:id="23"/>
    </w:p>
    <w:p w:rsidR="005473EB" w:rsidRPr="006F3D23" w:rsidRDefault="005473EB" w:rsidP="005473EB">
      <w:pPr>
        <w:rPr>
          <w:szCs w:val="20"/>
          <w:lang w:val="en-GB"/>
        </w:rPr>
      </w:pPr>
    </w:p>
    <w:p w:rsidR="00501BF1" w:rsidRPr="006F3D23" w:rsidRDefault="00501BF1" w:rsidP="00501BF1">
      <w:pPr>
        <w:pStyle w:val="ECCParagraph"/>
      </w:pPr>
      <w:r w:rsidRPr="006F3D23">
        <w:t>Cross-border coordination is usually conducted throug</w:t>
      </w:r>
      <w:r>
        <w:t>h bilateral agreements between a</w:t>
      </w:r>
      <w:r w:rsidRPr="006F3D23">
        <w:t>dministrations</w:t>
      </w:r>
      <w:r>
        <w:t xml:space="preserve"> </w:t>
      </w:r>
      <w:r w:rsidRPr="006F3D23">
        <w:t>/</w:t>
      </w:r>
      <w:r>
        <w:t xml:space="preserve"> </w:t>
      </w:r>
      <w:r w:rsidRPr="006F3D23">
        <w:t xml:space="preserve">NRAs. Individual right of use delivered at national level request MNOs to respect the terms and conditions of such agreements. In traditional </w:t>
      </w:r>
      <w:r w:rsidR="00BE13CF">
        <w:t>WBB</w:t>
      </w:r>
      <w:r w:rsidRPr="006F3D23">
        <w:t xml:space="preserve"> bands, the CEPT may conduct studies and product guidelines in order to support </w:t>
      </w:r>
      <w:r>
        <w:t xml:space="preserve">administrations / NRAs </w:t>
      </w:r>
      <w:r w:rsidRPr="006F3D23">
        <w:t>in their bilateral/multilateral negotiations.</w:t>
      </w:r>
    </w:p>
    <w:p w:rsidR="005274B2" w:rsidRPr="005274B2" w:rsidRDefault="00501BF1" w:rsidP="005274B2">
      <w:pPr>
        <w:pStyle w:val="ECCParagraph"/>
      </w:pPr>
      <w:r w:rsidRPr="006F3D23">
        <w:t xml:space="preserve">Cross border coordination for </w:t>
      </w:r>
      <w:r w:rsidR="00BE13CF">
        <w:t>WBB</w:t>
      </w:r>
      <w:r w:rsidRPr="006F3D23">
        <w:t xml:space="preserve"> services introduced in a band under LSA follows the exact same framework. Bilateral/multilateral agreements must </w:t>
      </w:r>
      <w:r>
        <w:t xml:space="preserve">be contracted between relevant administrations / NRAs </w:t>
      </w:r>
      <w:r w:rsidRPr="006F3D23">
        <w:t>and the LSA licensee will be requested to comply with such agreement under its individual right of use.</w:t>
      </w:r>
    </w:p>
    <w:p w:rsidR="005274B2" w:rsidRDefault="005274B2" w:rsidP="005274B2">
      <w:pPr>
        <w:pStyle w:val="berschrift1"/>
      </w:pPr>
      <w:bookmarkStart w:id="24" w:name="_Ref398246188"/>
      <w:bookmarkStart w:id="25" w:name="_Toc398907406"/>
      <w:r>
        <w:lastRenderedPageBreak/>
        <w:t>Sharing scenarios</w:t>
      </w:r>
      <w:r w:rsidRPr="00CF10ED">
        <w:t xml:space="preserve"> for the </w:t>
      </w:r>
      <w:r>
        <w:t>coexistence between PMSE</w:t>
      </w:r>
      <w:r w:rsidR="0073230C">
        <w:t xml:space="preserve"> and WBB</w:t>
      </w:r>
      <w:bookmarkEnd w:id="24"/>
      <w:bookmarkEnd w:id="25"/>
    </w:p>
    <w:p w:rsidR="00AB46DF" w:rsidRDefault="005274B2" w:rsidP="00AB46DF">
      <w:pPr>
        <w:pStyle w:val="berschrift2"/>
        <w:rPr>
          <w:lang w:val="en-GB"/>
        </w:rPr>
      </w:pPr>
      <w:bookmarkStart w:id="26" w:name="_Ref398245975"/>
      <w:bookmarkStart w:id="27" w:name="_Toc398907407"/>
      <w:r>
        <w:rPr>
          <w:lang w:val="en-GB"/>
        </w:rPr>
        <w:t>S</w:t>
      </w:r>
      <w:r w:rsidRPr="00CF10ED">
        <w:rPr>
          <w:lang w:val="en-GB"/>
        </w:rPr>
        <w:t>cenarios for PMSE</w:t>
      </w:r>
      <w:bookmarkEnd w:id="26"/>
      <w:bookmarkEnd w:id="27"/>
    </w:p>
    <w:p w:rsidR="004E7799" w:rsidRPr="00415A78" w:rsidRDefault="004E7799" w:rsidP="00415A78">
      <w:pPr>
        <w:pStyle w:val="ECCParagraph"/>
      </w:pPr>
      <w:r w:rsidRPr="004E2E1F">
        <w:t>The application of PMSE and the wireless broadband systems (</w:t>
      </w:r>
      <w:r w:rsidR="00F70EE6">
        <w:t>WBB</w:t>
      </w:r>
      <w:r w:rsidRPr="004E2E1F">
        <w:t>) are usually deployed in the same geographical area</w:t>
      </w:r>
      <w:r>
        <w:t>, most likely in areas with a higher population density</w:t>
      </w:r>
      <w:r w:rsidRPr="004E2E1F">
        <w:t xml:space="preserve">. </w:t>
      </w:r>
      <w:r>
        <w:t xml:space="preserve">It has to be taken into account </w:t>
      </w:r>
      <w:r w:rsidRPr="004E2E1F">
        <w:t xml:space="preserve">that </w:t>
      </w:r>
      <w:r>
        <w:t xml:space="preserve">the various types of </w:t>
      </w:r>
      <w:r w:rsidR="000E5580">
        <w:t>PMSE video links</w:t>
      </w:r>
      <w:r w:rsidRPr="004E2E1F">
        <w:t xml:space="preserve"> </w:t>
      </w:r>
      <w:r w:rsidR="000E5580">
        <w:t>may be</w:t>
      </w:r>
      <w:r w:rsidRPr="004E2E1F">
        <w:t xml:space="preserve"> allowed to use the full </w:t>
      </w:r>
      <w:r>
        <w:t xml:space="preserve">frequency </w:t>
      </w:r>
      <w:r w:rsidRPr="004E2E1F">
        <w:t xml:space="preserve">range </w:t>
      </w:r>
      <w:r>
        <w:t>identified.</w:t>
      </w:r>
    </w:p>
    <w:p w:rsidR="00AB46DF" w:rsidRDefault="005274B2" w:rsidP="00AB46DF">
      <w:pPr>
        <w:pStyle w:val="berschrift3"/>
        <w:rPr>
          <w:lang w:val="en-GB"/>
        </w:rPr>
      </w:pPr>
      <w:bookmarkStart w:id="28" w:name="_Ref398562826"/>
      <w:bookmarkStart w:id="29" w:name="_Toc398907408"/>
      <w:r>
        <w:rPr>
          <w:lang w:val="en-GB"/>
        </w:rPr>
        <w:t xml:space="preserve">Deployment assumptions </w:t>
      </w:r>
      <w:r w:rsidRPr="00CF10ED">
        <w:rPr>
          <w:lang w:val="en-GB"/>
        </w:rPr>
        <w:t>for PMSE</w:t>
      </w:r>
      <w:bookmarkEnd w:id="28"/>
      <w:bookmarkEnd w:id="29"/>
    </w:p>
    <w:p w:rsidR="005274B2" w:rsidRDefault="005274B2" w:rsidP="005274B2">
      <w:pPr>
        <w:pStyle w:val="ECCParagraph"/>
      </w:pPr>
      <w:r w:rsidRPr="00CF10ED">
        <w:t xml:space="preserve">The main type of PMSE applications used in the 2300-2400 MHz band is related to temporary video links (portable, mobile with some allowance for airborne use) and cordless </w:t>
      </w:r>
      <w:r w:rsidR="00BE13CF">
        <w:t>cameras as referred to in ERC/Recommendation</w:t>
      </w:r>
      <w:r w:rsidRPr="00CF10ED">
        <w:t xml:space="preserve"> 25-10 </w:t>
      </w:r>
      <w:r w:rsidR="00A575C5">
        <w:fldChar w:fldCharType="begin"/>
      </w:r>
      <w:r w:rsidR="00A575C5">
        <w:instrText xml:space="preserve"> REF _Ref398292068 \r \h </w:instrText>
      </w:r>
      <w:r w:rsidR="00A575C5">
        <w:fldChar w:fldCharType="separate"/>
      </w:r>
      <w:r w:rsidR="000C0823">
        <w:t>[8]</w:t>
      </w:r>
      <w:r w:rsidR="00A575C5">
        <w:fldChar w:fldCharType="end"/>
      </w:r>
      <w:r w:rsidRPr="00FC336F">
        <w:rPr>
          <w:lang w:val="de-DE"/>
        </w:rPr>
        <w:t xml:space="preserve">, ECC Report 204 </w:t>
      </w:r>
      <w:r w:rsidR="002F06CE">
        <w:fldChar w:fldCharType="begin"/>
      </w:r>
      <w:r w:rsidR="002F06CE" w:rsidRPr="00FC336F">
        <w:rPr>
          <w:lang w:val="de-DE"/>
        </w:rPr>
        <w:instrText xml:space="preserve"> REF _Ref398292079 \r \h </w:instrText>
      </w:r>
      <w:r w:rsidR="002F06CE">
        <w:fldChar w:fldCharType="separate"/>
      </w:r>
      <w:r w:rsidR="000C0823" w:rsidRPr="00FC336F">
        <w:rPr>
          <w:lang w:val="de-DE"/>
        </w:rPr>
        <w:t>[9]</w:t>
      </w:r>
      <w:r w:rsidR="002F06CE">
        <w:fldChar w:fldCharType="end"/>
      </w:r>
      <w:r w:rsidRPr="00FC336F">
        <w:rPr>
          <w:lang w:val="de-DE"/>
        </w:rPr>
        <w:t xml:space="preserve"> and CEPT Report 51</w:t>
      </w:r>
      <w:r w:rsidR="002F06CE" w:rsidRPr="00FC336F">
        <w:rPr>
          <w:lang w:val="de-DE"/>
        </w:rPr>
        <w:t xml:space="preserve"> </w:t>
      </w:r>
      <w:r w:rsidR="002F06CE">
        <w:fldChar w:fldCharType="begin"/>
      </w:r>
      <w:r w:rsidR="002F06CE" w:rsidRPr="00FC336F">
        <w:rPr>
          <w:lang w:val="de-DE"/>
        </w:rPr>
        <w:instrText xml:space="preserve"> REF _Ref398292091 \r \h </w:instrText>
      </w:r>
      <w:r w:rsidR="002F06CE">
        <w:fldChar w:fldCharType="separate"/>
      </w:r>
      <w:r w:rsidR="000C0823" w:rsidRPr="00FC336F">
        <w:rPr>
          <w:lang w:val="de-DE"/>
        </w:rPr>
        <w:t>[10]</w:t>
      </w:r>
      <w:r w:rsidR="002F06CE">
        <w:fldChar w:fldCharType="end"/>
      </w:r>
      <w:r w:rsidRPr="00FC336F">
        <w:rPr>
          <w:lang w:val="de-DE"/>
        </w:rPr>
        <w:t xml:space="preserve">. </w:t>
      </w:r>
      <w:r w:rsidRPr="00A0230A">
        <w:t xml:space="preserve">Digital video links are now the industry standard for </w:t>
      </w:r>
      <w:r>
        <w:t xml:space="preserve">video </w:t>
      </w:r>
      <w:r w:rsidRPr="00A0230A">
        <w:t xml:space="preserve">PMSE use. </w:t>
      </w:r>
      <w:r>
        <w:t xml:space="preserve">ECC Report 219 </w:t>
      </w:r>
      <w:r w:rsidR="002F06CE">
        <w:fldChar w:fldCharType="begin"/>
      </w:r>
      <w:r w:rsidR="002F06CE">
        <w:instrText xml:space="preserve"> REF _Ref398292147 \r \h </w:instrText>
      </w:r>
      <w:r w:rsidR="002F06CE">
        <w:fldChar w:fldCharType="separate"/>
      </w:r>
      <w:r w:rsidR="000C0823">
        <w:t>[11]</w:t>
      </w:r>
      <w:r w:rsidR="002F06CE">
        <w:fldChar w:fldCharType="end"/>
      </w:r>
      <w:r w:rsidR="002F06CE">
        <w:t xml:space="preserve"> </w:t>
      </w:r>
      <w:r w:rsidRPr="00A0230A">
        <w:t>provides technical characteristics, which should be used in any future compatibility studies.</w:t>
      </w:r>
    </w:p>
    <w:p w:rsidR="005274B2" w:rsidRDefault="005274B2" w:rsidP="005274B2">
      <w:pPr>
        <w:pStyle w:val="ECCParagraph"/>
      </w:pPr>
      <w:r>
        <w:t>This is further described in the table and figures below.</w:t>
      </w:r>
    </w:p>
    <w:p w:rsidR="005274B2" w:rsidRPr="00A0230A" w:rsidRDefault="005274B2" w:rsidP="005274B2">
      <w:pPr>
        <w:pStyle w:val="Beschriftung"/>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0C0823">
        <w:rPr>
          <w:noProof/>
          <w:lang w:val="en-GB"/>
        </w:rPr>
        <w:t>1</w:t>
      </w:r>
      <w:r w:rsidRPr="00A0230A">
        <w:rPr>
          <w:noProof/>
          <w:lang w:val="en-GB"/>
        </w:rPr>
        <w:fldChar w:fldCharType="end"/>
      </w:r>
      <w:r w:rsidRPr="00A0230A">
        <w:rPr>
          <w:lang w:val="en-GB"/>
        </w:rPr>
        <w:t>: Categories of PMSE video links for spectrum study purposes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36"/>
        <w:gridCol w:w="8519"/>
      </w:tblGrid>
      <w:tr w:rsidR="005274B2" w:rsidRPr="00A0230A" w:rsidTr="00415A78">
        <w:trPr>
          <w:trHeight w:val="424"/>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274B2" w:rsidRPr="00A0230A" w:rsidRDefault="005274B2" w:rsidP="00415A78">
            <w:pPr>
              <w:spacing w:before="60" w:line="288" w:lineRule="auto"/>
              <w:jc w:val="center"/>
              <w:rPr>
                <w:rFonts w:cs="Arial"/>
                <w:b/>
                <w:color w:val="FFFFFF"/>
                <w:lang w:val="en-GB"/>
              </w:rPr>
            </w:pPr>
            <w:r w:rsidRPr="00A0230A">
              <w:rPr>
                <w:rFonts w:cs="Arial"/>
                <w:b/>
                <w:color w:val="FFFFFF"/>
                <w:lang w:val="en-GB"/>
              </w:rPr>
              <w:t>Type of link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274B2" w:rsidRPr="00A0230A" w:rsidRDefault="005274B2" w:rsidP="00415A78">
            <w:pPr>
              <w:spacing w:before="60" w:line="288" w:lineRule="auto"/>
              <w:jc w:val="center"/>
              <w:rPr>
                <w:rFonts w:cs="Arial"/>
                <w:b/>
                <w:color w:val="FFFFFF"/>
                <w:lang w:val="en-GB"/>
              </w:rPr>
            </w:pPr>
            <w:r w:rsidRPr="00A0230A">
              <w:rPr>
                <w:rFonts w:cs="Arial"/>
                <w:b/>
                <w:color w:val="FFFFFF"/>
                <w:lang w:val="en-GB"/>
              </w:rPr>
              <w:t>Definition</w:t>
            </w:r>
          </w:p>
        </w:tc>
      </w:tr>
      <w:tr w:rsidR="005274B2" w:rsidRPr="00A0230A" w:rsidTr="00415A78">
        <w:tc>
          <w:tcPr>
            <w:tcW w:w="0" w:type="auto"/>
            <w:tcBorders>
              <w:top w:val="single" w:sz="4" w:space="0" w:color="FFFFFF" w:themeColor="background1"/>
            </w:tcBorders>
          </w:tcPr>
          <w:p w:rsidR="005274B2" w:rsidRPr="00A0230A" w:rsidRDefault="005274B2" w:rsidP="00415A78">
            <w:pPr>
              <w:suppressAutoHyphens/>
              <w:rPr>
                <w:lang w:val="en-GB"/>
              </w:rPr>
            </w:pPr>
            <w:r w:rsidRPr="00A0230A">
              <w:rPr>
                <w:lang w:val="en-GB"/>
              </w:rPr>
              <w:t>Cordless camera link</w:t>
            </w:r>
          </w:p>
        </w:tc>
        <w:tc>
          <w:tcPr>
            <w:tcW w:w="0" w:type="auto"/>
            <w:tcBorders>
              <w:top w:val="single" w:sz="4" w:space="0" w:color="FFFFFF" w:themeColor="background1"/>
            </w:tcBorders>
          </w:tcPr>
          <w:p w:rsidR="005274B2" w:rsidRPr="00A0230A" w:rsidRDefault="005274B2" w:rsidP="00415A78">
            <w:pPr>
              <w:suppressAutoHyphens/>
              <w:jc w:val="both"/>
              <w:rPr>
                <w:lang w:val="en-GB"/>
              </w:rPr>
            </w:pPr>
            <w:r w:rsidRPr="00A0230A">
              <w:rPr>
                <w:lang w:val="en-GB"/>
              </w:rPr>
              <w:t>Handheld or otherwise mounted camera with integrated or Clip-on transmitter, power pack and antenna for carrying broadcast-quality video together with sound signals over short-ranges (line-of-sight and non-line of sight).</w:t>
            </w:r>
          </w:p>
        </w:tc>
      </w:tr>
      <w:tr w:rsidR="005274B2" w:rsidRPr="00A0230A" w:rsidTr="00415A78">
        <w:tc>
          <w:tcPr>
            <w:tcW w:w="0" w:type="auto"/>
          </w:tcPr>
          <w:p w:rsidR="005274B2" w:rsidRPr="00A0230A" w:rsidRDefault="005274B2" w:rsidP="00415A78">
            <w:pPr>
              <w:suppressAutoHyphens/>
              <w:rPr>
                <w:lang w:val="en-GB"/>
              </w:rPr>
            </w:pPr>
            <w:r w:rsidRPr="00A0230A">
              <w:rPr>
                <w:lang w:val="en-GB"/>
              </w:rPr>
              <w:t>Portable video link</w:t>
            </w:r>
          </w:p>
        </w:tc>
        <w:tc>
          <w:tcPr>
            <w:tcW w:w="0" w:type="auto"/>
          </w:tcPr>
          <w:p w:rsidR="005274B2" w:rsidRPr="00A0230A" w:rsidRDefault="005274B2" w:rsidP="00415A78">
            <w:pPr>
              <w:suppressAutoHyphens/>
              <w:rPr>
                <w:lang w:val="en-GB"/>
              </w:rPr>
            </w:pPr>
            <w:r w:rsidRPr="00A0230A">
              <w:rPr>
                <w:lang w:val="en-GB"/>
              </w:rPr>
              <w:t>Small transmitter, for deployment over greater ranges, typically up to 2 km</w:t>
            </w:r>
          </w:p>
        </w:tc>
      </w:tr>
      <w:tr w:rsidR="005274B2" w:rsidRPr="00A0230A" w:rsidTr="00415A78">
        <w:tc>
          <w:tcPr>
            <w:tcW w:w="0" w:type="auto"/>
          </w:tcPr>
          <w:p w:rsidR="005274B2" w:rsidRPr="00A0230A" w:rsidRDefault="005274B2" w:rsidP="00415A78">
            <w:pPr>
              <w:suppressAutoHyphens/>
              <w:rPr>
                <w:lang w:val="en-GB"/>
              </w:rPr>
            </w:pPr>
            <w:r w:rsidRPr="00A0230A">
              <w:rPr>
                <w:lang w:val="en-GB"/>
              </w:rPr>
              <w:t xml:space="preserve">Mobile video link </w:t>
            </w:r>
          </w:p>
        </w:tc>
        <w:tc>
          <w:tcPr>
            <w:tcW w:w="0" w:type="auto"/>
          </w:tcPr>
          <w:p w:rsidR="005274B2" w:rsidRPr="00A0230A" w:rsidRDefault="005274B2" w:rsidP="00415A78">
            <w:pPr>
              <w:suppressAutoHyphens/>
              <w:jc w:val="both"/>
              <w:rPr>
                <w:lang w:val="en-GB"/>
              </w:rPr>
            </w:pPr>
            <w:r w:rsidRPr="00A0230A">
              <w:rPr>
                <w:lang w:val="en-GB"/>
              </w:rPr>
              <w:t>Video transmission system employing radio transmitter and receivers mounted in/on motorcycles, racing motorbikes, pedal cycles, cars, racing cars, boats, helicopters, airships or other aircraft (includes repeaters and relays). One or both link terminals may be used while moving.</w:t>
            </w:r>
          </w:p>
        </w:tc>
      </w:tr>
    </w:tbl>
    <w:p w:rsidR="005274B2" w:rsidRDefault="005274B2" w:rsidP="005274B2">
      <w:pPr>
        <w:pStyle w:val="ECCParagraph"/>
      </w:pPr>
      <w:bookmarkStart w:id="30" w:name="_Toc389472157"/>
    </w:p>
    <w:p w:rsidR="005274B2" w:rsidRPr="00E6234B" w:rsidRDefault="005274B2" w:rsidP="005274B2">
      <w:pPr>
        <w:pStyle w:val="ECCParagraph"/>
        <w:rPr>
          <w:b/>
        </w:rPr>
      </w:pPr>
      <w:r w:rsidRPr="00E6234B">
        <w:rPr>
          <w:b/>
        </w:rPr>
        <w:t>Cordless camera link</w:t>
      </w:r>
      <w:bookmarkEnd w:id="30"/>
    </w:p>
    <w:p w:rsidR="005274B2" w:rsidRPr="00A0230A" w:rsidRDefault="005274B2" w:rsidP="005274B2">
      <w:pPr>
        <w:pStyle w:val="ECCParagraph"/>
      </w:pPr>
      <w:r w:rsidRPr="00A0230A">
        <w:t>These are handheld cameras with integrated transmitter, power pack and antenna. Normally they are used by a cameraman to send a video link to an OB vehicle at short distance. The emitted power is therefore lower than in other cases.</w:t>
      </w:r>
    </w:p>
    <w:p w:rsidR="005274B2" w:rsidRPr="00A0230A" w:rsidRDefault="005274B2" w:rsidP="005274B2">
      <w:pPr>
        <w:pStyle w:val="ECCParagraph"/>
      </w:pPr>
      <w:r w:rsidRPr="00A0230A">
        <w:fldChar w:fldCharType="begin"/>
      </w:r>
      <w:r w:rsidRPr="00A0230A">
        <w:instrText xml:space="preserve"> REF _Ref388971682 \h </w:instrText>
      </w:r>
      <w:r w:rsidRPr="00A0230A">
        <w:fldChar w:fldCharType="separate"/>
      </w:r>
      <w:r w:rsidR="000C0823" w:rsidRPr="00A0230A">
        <w:t xml:space="preserve">Figure </w:t>
      </w:r>
      <w:r w:rsidR="000C0823">
        <w:rPr>
          <w:noProof/>
        </w:rPr>
        <w:t>3</w:t>
      </w:r>
      <w:r w:rsidRPr="00A0230A">
        <w:fldChar w:fldCharType="end"/>
      </w:r>
      <w:r w:rsidRPr="00A0230A">
        <w:t xml:space="preserve"> below depicts the situation.</w:t>
      </w:r>
    </w:p>
    <w:p w:rsidR="005274B2" w:rsidRPr="00A0230A" w:rsidRDefault="005274B2" w:rsidP="005274B2">
      <w:pPr>
        <w:pStyle w:val="ECCParagraph"/>
        <w:jc w:val="center"/>
      </w:pPr>
      <w:r w:rsidRPr="00A0230A">
        <w:rPr>
          <w:noProof/>
          <w:lang w:eastAsia="en-GB"/>
        </w:rPr>
        <w:lastRenderedPageBreak/>
        <w:drawing>
          <wp:inline distT="0" distB="0" distL="0" distR="0" wp14:anchorId="215A1EED" wp14:editId="19611E1A">
            <wp:extent cx="4375150" cy="2486928"/>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742" cy="2484991"/>
                    </a:xfrm>
                    <a:prstGeom prst="rect">
                      <a:avLst/>
                    </a:prstGeom>
                    <a:noFill/>
                    <a:ln>
                      <a:noFill/>
                    </a:ln>
                  </pic:spPr>
                </pic:pic>
              </a:graphicData>
            </a:graphic>
          </wp:inline>
        </w:drawing>
      </w:r>
    </w:p>
    <w:p w:rsidR="005274B2" w:rsidRPr="00A0230A" w:rsidRDefault="005274B2" w:rsidP="005274B2">
      <w:pPr>
        <w:pStyle w:val="Beschriftung"/>
        <w:rPr>
          <w:lang w:val="en-GB"/>
        </w:rPr>
      </w:pPr>
      <w:bookmarkStart w:id="31" w:name="_Ref388971682"/>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3</w:t>
      </w:r>
      <w:r w:rsidRPr="00A0230A">
        <w:rPr>
          <w:noProof/>
          <w:lang w:val="en-GB"/>
        </w:rPr>
        <w:fldChar w:fldCharType="end"/>
      </w:r>
      <w:bookmarkEnd w:id="31"/>
      <w:r w:rsidRPr="00A0230A">
        <w:rPr>
          <w:lang w:val="en-GB"/>
        </w:rPr>
        <w:t>: Cordless camera link</w:t>
      </w:r>
    </w:p>
    <w:p w:rsidR="005274B2" w:rsidRPr="00A0230A" w:rsidRDefault="005274B2" w:rsidP="005274B2">
      <w:pPr>
        <w:rPr>
          <w:lang w:val="en-GB"/>
        </w:rPr>
      </w:pPr>
    </w:p>
    <w:p w:rsidR="00DE1DD4" w:rsidRPr="00E6234B" w:rsidRDefault="00DE1DD4" w:rsidP="00DE1DD4">
      <w:pPr>
        <w:pStyle w:val="ECCParagraph"/>
        <w:rPr>
          <w:b/>
        </w:rPr>
      </w:pPr>
      <w:bookmarkStart w:id="32" w:name="_Toc389472159"/>
      <w:bookmarkStart w:id="33" w:name="_Toc389472158"/>
      <w:r w:rsidRPr="00E6234B">
        <w:rPr>
          <w:b/>
        </w:rPr>
        <w:t>Portable video link</w:t>
      </w:r>
      <w:bookmarkEnd w:id="32"/>
    </w:p>
    <w:p w:rsidR="00DE1DD4" w:rsidRPr="00A0230A" w:rsidRDefault="00DE1DD4" w:rsidP="00DE1DD4">
      <w:pPr>
        <w:pStyle w:val="ECCParagraph"/>
      </w:pPr>
      <w:r w:rsidRPr="00A0230A">
        <w:t>Portable links are mostly handheld cameras with a separate body worn transmitter, power pack and antenna. The emitted power is normally greater than in the case of cordless camera but lower than in the case of mobile links.</w:t>
      </w:r>
    </w:p>
    <w:p w:rsidR="00DE1DD4" w:rsidRPr="00A0230A" w:rsidRDefault="00DE1DD4" w:rsidP="00DE1DD4">
      <w:pPr>
        <w:pStyle w:val="ECCParagraph"/>
        <w:jc w:val="center"/>
      </w:pPr>
      <w:r w:rsidRPr="00A0230A">
        <w:rPr>
          <w:noProof/>
          <w:lang w:eastAsia="en-GB"/>
        </w:rPr>
        <w:drawing>
          <wp:inline distT="0" distB="0" distL="0" distR="0" wp14:anchorId="3DCC812B" wp14:editId="69843186">
            <wp:extent cx="2976880" cy="16903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880" cy="1690370"/>
                    </a:xfrm>
                    <a:prstGeom prst="rect">
                      <a:avLst/>
                    </a:prstGeom>
                    <a:noFill/>
                    <a:ln>
                      <a:noFill/>
                    </a:ln>
                  </pic:spPr>
                </pic:pic>
              </a:graphicData>
            </a:graphic>
          </wp:inline>
        </w:drawing>
      </w:r>
    </w:p>
    <w:p w:rsidR="00DE1DD4" w:rsidRPr="00A0230A" w:rsidRDefault="00DE1DD4" w:rsidP="00DE1DD4">
      <w:pPr>
        <w:pStyle w:val="Beschriftung"/>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4</w:t>
      </w:r>
      <w:r w:rsidRPr="00A0230A">
        <w:rPr>
          <w:noProof/>
          <w:lang w:val="en-GB"/>
        </w:rPr>
        <w:fldChar w:fldCharType="end"/>
      </w:r>
      <w:r w:rsidRPr="00A0230A">
        <w:rPr>
          <w:lang w:val="en-GB"/>
        </w:rPr>
        <w:t>: Portable video link</w:t>
      </w:r>
    </w:p>
    <w:p w:rsidR="00DE1DD4" w:rsidRDefault="00DE1DD4" w:rsidP="005274B2">
      <w:pPr>
        <w:pStyle w:val="ECCParagraph"/>
        <w:rPr>
          <w:b/>
        </w:rPr>
      </w:pPr>
    </w:p>
    <w:p w:rsidR="005274B2" w:rsidRPr="00E6234B" w:rsidRDefault="005274B2" w:rsidP="005274B2">
      <w:pPr>
        <w:pStyle w:val="ECCParagraph"/>
        <w:rPr>
          <w:b/>
        </w:rPr>
      </w:pPr>
      <w:r w:rsidRPr="00E6234B">
        <w:rPr>
          <w:b/>
        </w:rPr>
        <w:t>Mobile video link</w:t>
      </w:r>
      <w:bookmarkEnd w:id="33"/>
    </w:p>
    <w:p w:rsidR="005274B2" w:rsidRPr="00A0230A" w:rsidRDefault="005274B2" w:rsidP="005274B2">
      <w:pPr>
        <w:pStyle w:val="ECCParagraph"/>
      </w:pPr>
      <w:r w:rsidRPr="00A0230A">
        <w:t>These are camera links where, for the uplink, the transmitter is on a vehicle, typically on a motorcycle, and the receiver is on a helicopter.</w:t>
      </w:r>
    </w:p>
    <w:p w:rsidR="005274B2" w:rsidRPr="00A0230A" w:rsidRDefault="005274B2" w:rsidP="005274B2">
      <w:pPr>
        <w:pStyle w:val="ECCParagraph"/>
        <w:jc w:val="center"/>
      </w:pPr>
      <w:r w:rsidRPr="00A0230A">
        <w:rPr>
          <w:noProof/>
          <w:lang w:eastAsia="en-GB"/>
        </w:rPr>
        <w:lastRenderedPageBreak/>
        <w:drawing>
          <wp:inline distT="0" distB="0" distL="0" distR="0" wp14:anchorId="0F6CD8E5" wp14:editId="5DC97C4A">
            <wp:extent cx="4142630" cy="2393343"/>
            <wp:effectExtent l="0" t="0" r="0" b="6985"/>
            <wp:docPr id="17" name="Picture 17" descr="Macintosh HD:Users:sebastian:Desktop:mobil up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Macintosh HD:Users:sebastian:Desktop:mobil uplin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9443" cy="2397279"/>
                    </a:xfrm>
                    <a:prstGeom prst="rect">
                      <a:avLst/>
                    </a:prstGeom>
                    <a:noFill/>
                    <a:ln>
                      <a:noFill/>
                    </a:ln>
                  </pic:spPr>
                </pic:pic>
              </a:graphicData>
            </a:graphic>
          </wp:inline>
        </w:drawing>
      </w:r>
    </w:p>
    <w:p w:rsidR="005274B2" w:rsidRPr="00A0230A" w:rsidRDefault="005274B2" w:rsidP="005274B2">
      <w:pPr>
        <w:pStyle w:val="Beschriftung"/>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5</w:t>
      </w:r>
      <w:r w:rsidRPr="00A0230A">
        <w:rPr>
          <w:noProof/>
          <w:lang w:val="en-GB"/>
        </w:rPr>
        <w:fldChar w:fldCharType="end"/>
      </w:r>
      <w:r w:rsidRPr="00A0230A">
        <w:rPr>
          <w:lang w:val="en-GB"/>
        </w:rPr>
        <w:t>: Mobile video up-link</w:t>
      </w:r>
    </w:p>
    <w:p w:rsidR="005274B2" w:rsidRPr="00A0230A" w:rsidRDefault="005274B2" w:rsidP="005274B2">
      <w:pPr>
        <w:pStyle w:val="ECCParagraph"/>
      </w:pPr>
      <w:r w:rsidRPr="00A0230A">
        <w:t>These are camera links where, for the downlink, the transmitter is on a helicopter and the receiver is on a platform or on the ground.</w:t>
      </w:r>
    </w:p>
    <w:p w:rsidR="005274B2" w:rsidRPr="00A0230A" w:rsidRDefault="005274B2" w:rsidP="005274B2">
      <w:pPr>
        <w:jc w:val="center"/>
        <w:rPr>
          <w:lang w:val="en-GB"/>
        </w:rPr>
      </w:pPr>
      <w:r w:rsidRPr="00A0230A">
        <w:rPr>
          <w:noProof/>
          <w:lang w:val="en-GB" w:eastAsia="en-GB"/>
        </w:rPr>
        <w:drawing>
          <wp:inline distT="0" distB="0" distL="0" distR="0" wp14:anchorId="15B21E71" wp14:editId="6D469CAE">
            <wp:extent cx="2978150" cy="2717800"/>
            <wp:effectExtent l="0" t="0" r="0" b="6350"/>
            <wp:docPr id="18" name="Picture 18" descr="Macintosh HD:Users:sebastian:Desktop:mobil down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6" descr="Macintosh HD:Users:sebastian:Desktop:mobil downlin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8628" cy="2718236"/>
                    </a:xfrm>
                    <a:prstGeom prst="rect">
                      <a:avLst/>
                    </a:prstGeom>
                    <a:noFill/>
                    <a:ln>
                      <a:noFill/>
                    </a:ln>
                  </pic:spPr>
                </pic:pic>
              </a:graphicData>
            </a:graphic>
          </wp:inline>
        </w:drawing>
      </w:r>
    </w:p>
    <w:p w:rsidR="005274B2" w:rsidRPr="00A0230A" w:rsidRDefault="005274B2" w:rsidP="005274B2">
      <w:pPr>
        <w:pStyle w:val="Beschriftung"/>
        <w:rPr>
          <w:b w:val="0"/>
          <w:bCs w:val="0"/>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6</w:t>
      </w:r>
      <w:r w:rsidRPr="00A0230A">
        <w:rPr>
          <w:noProof/>
          <w:lang w:val="en-GB"/>
        </w:rPr>
        <w:fldChar w:fldCharType="end"/>
      </w:r>
      <w:r w:rsidRPr="00A0230A">
        <w:rPr>
          <w:lang w:val="en-GB"/>
        </w:rPr>
        <w:t>: Mobile video down-link</w:t>
      </w:r>
    </w:p>
    <w:p w:rsidR="005274B2" w:rsidRDefault="005274B2" w:rsidP="005274B2">
      <w:pPr>
        <w:pStyle w:val="berschrift3"/>
        <w:rPr>
          <w:lang w:val="en-GB"/>
        </w:rPr>
      </w:pPr>
      <w:bookmarkStart w:id="34" w:name="_Ref398561844"/>
      <w:bookmarkStart w:id="35" w:name="_Toc398907409"/>
      <w:r>
        <w:rPr>
          <w:lang w:val="en-GB"/>
        </w:rPr>
        <w:t xml:space="preserve">Operational footprint </w:t>
      </w:r>
      <w:r w:rsidRPr="00CF10ED">
        <w:rPr>
          <w:lang w:val="en-GB"/>
        </w:rPr>
        <w:t>for PMSE</w:t>
      </w:r>
      <w:bookmarkEnd w:id="34"/>
      <w:bookmarkEnd w:id="35"/>
      <w:r w:rsidRPr="005274B2">
        <w:rPr>
          <w:lang w:val="en-GB"/>
        </w:rPr>
        <w:t xml:space="preserve"> </w:t>
      </w:r>
    </w:p>
    <w:p w:rsidR="005274B2" w:rsidRPr="007168E7" w:rsidRDefault="008F567E" w:rsidP="005274B2">
      <w:pPr>
        <w:pStyle w:val="ECCParagraph"/>
      </w:pPr>
      <w:r w:rsidRPr="007168E7">
        <w:t xml:space="preserve">PMSE use in this band may be characterised as having in many cases a high degree of locality and temporality, as it is in such cases confined to the limits of a defined area for an event limited in time. For some PMSE video applications such as airborne links and temporary video links the defined area may be large e.g. tens of </w:t>
      </w:r>
      <w:r w:rsidR="004E7799">
        <w:t>kilometres</w:t>
      </w:r>
      <w:r w:rsidRPr="007168E7">
        <w:t xml:space="preserve">, </w:t>
      </w:r>
      <w:proofErr w:type="gramStart"/>
      <w:r w:rsidRPr="007168E7">
        <w:t>The</w:t>
      </w:r>
      <w:proofErr w:type="gramEnd"/>
      <w:r w:rsidRPr="007168E7">
        <w:t xml:space="preserve"> operational footprint for PMSE, therefore, is mainly driven by the types of PMSE deployment described in the previous section and by the types of authorisation schemes.</w:t>
      </w:r>
    </w:p>
    <w:p w:rsidR="005274B2" w:rsidRPr="007168E7" w:rsidRDefault="005274B2" w:rsidP="005274B2">
      <w:pPr>
        <w:pStyle w:val="ECCParagraph"/>
      </w:pPr>
      <w:r w:rsidRPr="007168E7">
        <w:t>Administrations in Europe have different licensing/ authorisation schemes:</w:t>
      </w:r>
    </w:p>
    <w:p w:rsidR="005274B2" w:rsidRPr="007168E7" w:rsidRDefault="008F567E" w:rsidP="005274B2">
      <w:pPr>
        <w:pStyle w:val="ECCNumbered-LetteredList"/>
      </w:pPr>
      <w:r w:rsidRPr="007168E7">
        <w:t xml:space="preserve">Regular long term license to use assigned frequencies anywhere and anytime on an exclusive basis or shared with existing </w:t>
      </w:r>
      <w:proofErr w:type="spellStart"/>
      <w:r w:rsidRPr="007168E7">
        <w:t>authorised</w:t>
      </w:r>
      <w:proofErr w:type="spellEnd"/>
      <w:r w:rsidRPr="007168E7">
        <w:t xml:space="preserve"> users.</w:t>
      </w:r>
    </w:p>
    <w:p w:rsidR="005274B2" w:rsidRPr="007168E7" w:rsidRDefault="008F567E" w:rsidP="005274B2">
      <w:pPr>
        <w:pStyle w:val="ECCParagraph"/>
      </w:pPr>
      <w:r w:rsidRPr="007168E7">
        <w:t xml:space="preserve">The PMSE license holder can use the frequencies any time at any location. He must share the frequencies </w:t>
      </w:r>
      <w:proofErr w:type="gramStart"/>
      <w:r w:rsidRPr="007168E7">
        <w:t>with  existing</w:t>
      </w:r>
      <w:proofErr w:type="gramEnd"/>
      <w:r w:rsidRPr="007168E7">
        <w:t xml:space="preserve"> authorised users, including other PMSE users, and coordinate with them on the use of the frequencies at the event location. The license is technology neutral and there may be no limit to the number of transmitter/receiver links used. </w:t>
      </w:r>
    </w:p>
    <w:p w:rsidR="005274B2" w:rsidRPr="007168E7" w:rsidRDefault="008F567E" w:rsidP="005274B2">
      <w:pPr>
        <w:pStyle w:val="ECCNumbered-LetteredList"/>
      </w:pPr>
      <w:r w:rsidRPr="007168E7">
        <w:lastRenderedPageBreak/>
        <w:t xml:space="preserve">Regular long term license to use assigned frequencies on a specific location on an exclusive basis or shared with existing </w:t>
      </w:r>
      <w:proofErr w:type="spellStart"/>
      <w:r w:rsidRPr="007168E7">
        <w:t>authorised</w:t>
      </w:r>
      <w:proofErr w:type="spellEnd"/>
      <w:r w:rsidRPr="007168E7">
        <w:t xml:space="preserve"> users.</w:t>
      </w:r>
      <w:r w:rsidR="005274B2" w:rsidRPr="007168E7">
        <w:t xml:space="preserve"> </w:t>
      </w:r>
    </w:p>
    <w:p w:rsidR="005274B2" w:rsidRPr="007168E7" w:rsidRDefault="008F567E" w:rsidP="008F567E">
      <w:pPr>
        <w:pStyle w:val="ECCParagraph"/>
      </w:pPr>
      <w:r w:rsidRPr="007168E7">
        <w:t>The PMSE license holder can use the frequencies any time but limited to a defined location or area/region. For shared use the licensee must coordinate use with existing authorised users, including other PMSE users, at the event location. The license is technology neutral there may be no limit to the number of transmitter/receiver links used.</w:t>
      </w:r>
      <w:r w:rsidR="005274B2" w:rsidRPr="007168E7">
        <w:t xml:space="preserve"> </w:t>
      </w:r>
    </w:p>
    <w:p w:rsidR="005274B2" w:rsidRPr="007168E7" w:rsidRDefault="008F567E" w:rsidP="005274B2">
      <w:pPr>
        <w:pStyle w:val="ECCNumbered-LetteredList"/>
      </w:pPr>
      <w:r w:rsidRPr="007168E7">
        <w:t>Temporary license to use assigned frequencies on a specific location during an event, or group of events, on an exclusive basis</w:t>
      </w:r>
      <w:r w:rsidR="005274B2" w:rsidRPr="007168E7">
        <w:t xml:space="preserve"> </w:t>
      </w:r>
    </w:p>
    <w:p w:rsidR="005274B2" w:rsidRPr="007168E7" w:rsidRDefault="005274B2" w:rsidP="005274B2">
      <w:pPr>
        <w:pStyle w:val="ECCParagraph"/>
      </w:pPr>
      <w:r w:rsidRPr="007168E7">
        <w:t xml:space="preserve">For specific events, it is possible to request frequencies which can be used on </w:t>
      </w:r>
      <w:proofErr w:type="gramStart"/>
      <w:r w:rsidRPr="007168E7">
        <w:t>a</w:t>
      </w:r>
      <w:proofErr w:type="gramEnd"/>
      <w:r w:rsidRPr="007168E7">
        <w:t xml:space="preserve"> exclusively during an event. </w:t>
      </w:r>
    </w:p>
    <w:p w:rsidR="008F567E" w:rsidRPr="007168E7" w:rsidRDefault="008F567E" w:rsidP="008F567E">
      <w:pPr>
        <w:pStyle w:val="ECCNumbered-LetteredList"/>
      </w:pPr>
      <w:r w:rsidRPr="007168E7">
        <w:t>Regular licen</w:t>
      </w:r>
      <w:r w:rsidR="00BB1670">
        <w:t>s</w:t>
      </w:r>
      <w:r w:rsidRPr="007168E7">
        <w:t>e with short duration which can be used at any time in any location</w:t>
      </w:r>
    </w:p>
    <w:p w:rsidR="008F567E" w:rsidRPr="007168E7" w:rsidRDefault="008F567E" w:rsidP="005274B2">
      <w:pPr>
        <w:pStyle w:val="ECCParagraph"/>
        <w:rPr>
          <w:lang w:val="en-US"/>
        </w:rPr>
      </w:pPr>
    </w:p>
    <w:p w:rsidR="005274B2" w:rsidRDefault="005274B2" w:rsidP="005274B2">
      <w:pPr>
        <w:pStyle w:val="ECCParagraph"/>
      </w:pPr>
      <w:r w:rsidRPr="00A0230A">
        <w:t>As Video PMSE is normally a licensed service the parameters, such as power for an individual event or activity can be adjusted via the licence conditions for future bands.</w:t>
      </w:r>
    </w:p>
    <w:p w:rsidR="008F567E" w:rsidRDefault="008F567E" w:rsidP="005274B2">
      <w:pPr>
        <w:pStyle w:val="ECCParagraph"/>
      </w:pPr>
      <w:r>
        <w:t xml:space="preserve">Detailed information on the regulatory procedures used by administrations in granting access to spectrum for the use of the 2.3-2.4 GHz bands for PMSE was provided in response to the CEPT questionnaire on PMSE. Administrations’ responses to the questionnaire and summary can be found at </w:t>
      </w:r>
      <w:hyperlink r:id="rId18" w:history="1">
        <w:r w:rsidRPr="0051592E">
          <w:rPr>
            <w:rStyle w:val="Hyperlink"/>
          </w:rPr>
          <w:t>http://www.cept.org/ecc/topics/programme-making-and-special-events-applications-(pmse)</w:t>
        </w:r>
      </w:hyperlink>
      <w:r>
        <w:t xml:space="preserve">. </w:t>
      </w:r>
    </w:p>
    <w:p w:rsidR="005274B2" w:rsidRDefault="005274B2" w:rsidP="005274B2">
      <w:pPr>
        <w:pStyle w:val="berschrift2"/>
      </w:pPr>
      <w:bookmarkStart w:id="36" w:name="_Ref398561785"/>
      <w:bookmarkStart w:id="37" w:name="_Toc398907410"/>
      <w:r>
        <w:rPr>
          <w:lang w:val="en-GB"/>
        </w:rPr>
        <w:t>Options for sharing</w:t>
      </w:r>
      <w:bookmarkEnd w:id="36"/>
      <w:bookmarkEnd w:id="37"/>
    </w:p>
    <w:p w:rsidR="004E7799" w:rsidRDefault="00DE1DD4" w:rsidP="005274B2">
      <w:pPr>
        <w:pStyle w:val="ECCParagraph"/>
      </w:pPr>
      <w:r w:rsidRPr="00F44EAF">
        <w:t xml:space="preserve">Incumbent PMSE applications (SAP/SAB video links) can coexist with </w:t>
      </w:r>
      <w:r w:rsidR="00BE13CF">
        <w:t>WBB</w:t>
      </w:r>
      <w:r w:rsidRPr="00F44EAF">
        <w:t xml:space="preserve"> applications at the same time through the use of either geographic separation if co-frequency operation is expected or a combination of separation distance and frequency separation if co-located operation is anticipated. </w:t>
      </w:r>
    </w:p>
    <w:p w:rsidR="00C039F5" w:rsidRDefault="00C039F5" w:rsidP="00C039F5">
      <w:pPr>
        <w:pStyle w:val="ECCParagraph"/>
      </w:pPr>
      <w:r>
        <w:t xml:space="preserve">Therefore two general options of sharing can be depicted as follows: </w:t>
      </w:r>
    </w:p>
    <w:p w:rsidR="00C039F5" w:rsidRPr="00F70EE6" w:rsidRDefault="00BC349C" w:rsidP="009B12A5">
      <w:pPr>
        <w:pStyle w:val="ECCBulletsLv1"/>
      </w:pPr>
      <w:r>
        <w:t xml:space="preserve">Option A: </w:t>
      </w:r>
      <w:r w:rsidR="00C039F5" w:rsidRPr="00986D54">
        <w:t xml:space="preserve">The operation of a </w:t>
      </w:r>
      <w:r w:rsidR="009B12A5">
        <w:t>PMSE video-link</w:t>
      </w:r>
      <w:r w:rsidR="00C039F5" w:rsidRPr="00986D54">
        <w:t xml:space="preserve"> at a given position or on the move is to be protected by devices and infrastructure of the WBB netwo</w:t>
      </w:r>
      <w:r w:rsidR="00C039F5">
        <w:t>rk. T</w:t>
      </w:r>
      <w:r w:rsidR="00C039F5" w:rsidRPr="00986D54">
        <w:t>he network is required to reduce the traffic or to shut down completely at the needed position(s)</w:t>
      </w:r>
      <w:r w:rsidR="00C039F5">
        <w:t xml:space="preserve"> in the frequency block possibly affecting the operation of the incumbent and those adjacent to it. </w:t>
      </w:r>
      <w:r w:rsidR="00C039F5" w:rsidRPr="00986D54">
        <w:t xml:space="preserve">This needs to be done automatically and without any external control. The network should operate related interfaces accepting information by the incumbent(s) on the position of the cordless camera(s). Considered appropriate are databases (in accordance </w:t>
      </w:r>
      <w:r w:rsidR="00C039F5" w:rsidRPr="00F70EE6">
        <w:t xml:space="preserve">with section </w:t>
      </w:r>
      <w:r w:rsidR="00F70EE6" w:rsidRPr="00F70EE6">
        <w:fldChar w:fldCharType="begin"/>
      </w:r>
      <w:r w:rsidR="00F70EE6" w:rsidRPr="00F70EE6">
        <w:instrText xml:space="preserve"> REF _Ref398279821 \r \h </w:instrText>
      </w:r>
      <w:r w:rsidR="00F70EE6">
        <w:instrText xml:space="preserve"> \* MERGEFORMAT </w:instrText>
      </w:r>
      <w:r w:rsidR="00F70EE6" w:rsidRPr="00F70EE6">
        <w:fldChar w:fldCharType="separate"/>
      </w:r>
      <w:r w:rsidR="000C0823">
        <w:t>3.3.2</w:t>
      </w:r>
      <w:r w:rsidR="00F70EE6" w:rsidRPr="00F70EE6">
        <w:fldChar w:fldCharType="end"/>
      </w:r>
      <w:r w:rsidR="00C039F5" w:rsidRPr="00F70EE6">
        <w:t>) or ad-hoc information on the incumbents’ device positions.</w:t>
      </w:r>
    </w:p>
    <w:p w:rsidR="004E7799" w:rsidRDefault="00BC349C" w:rsidP="009B12A5">
      <w:pPr>
        <w:pStyle w:val="ECCBulletsLv1"/>
      </w:pPr>
      <w:r w:rsidRPr="00F70EE6">
        <w:t xml:space="preserve">Option </w:t>
      </w:r>
      <w:r w:rsidR="006A715F" w:rsidRPr="00F70EE6">
        <w:t xml:space="preserve">B: </w:t>
      </w:r>
      <w:r w:rsidR="00C039F5" w:rsidRPr="00F70EE6">
        <w:t xml:space="preserve">The other option is to preserve a number of blocks for the operation of the </w:t>
      </w:r>
      <w:r w:rsidR="009B12A5" w:rsidRPr="00F70EE6">
        <w:t>PMSE video</w:t>
      </w:r>
      <w:r w:rsidR="009B12A5">
        <w:t>-link</w:t>
      </w:r>
      <w:r w:rsidR="00C039F5">
        <w:t xml:space="preserve"> by limiting the use of these ranges for the additional use by the WBB network. The relevant blocks (and possible the adjacent as well) won’t be available for the additional user.</w:t>
      </w:r>
    </w:p>
    <w:p w:rsidR="009B12A5" w:rsidRDefault="009B12A5" w:rsidP="009B12A5">
      <w:pPr>
        <w:pStyle w:val="ECCBulletsLv1"/>
        <w:numPr>
          <w:ilvl w:val="0"/>
          <w:numId w:val="0"/>
        </w:numPr>
        <w:ind w:left="360"/>
      </w:pPr>
    </w:p>
    <w:p w:rsidR="009B12A5" w:rsidRDefault="009B12A5" w:rsidP="009B12A5">
      <w:pPr>
        <w:pStyle w:val="ECCBulletsLv1"/>
        <w:numPr>
          <w:ilvl w:val="0"/>
          <w:numId w:val="0"/>
        </w:numPr>
        <w:tabs>
          <w:tab w:val="clear" w:pos="340"/>
          <w:tab w:val="left" w:pos="0"/>
        </w:tabs>
      </w:pPr>
      <w:r>
        <w:t>Both options could be combined as appropriate.</w:t>
      </w:r>
    </w:p>
    <w:p w:rsidR="000E5580" w:rsidRDefault="000E5580" w:rsidP="009B12A5">
      <w:pPr>
        <w:pStyle w:val="ECCBulletsLv1"/>
        <w:numPr>
          <w:ilvl w:val="0"/>
          <w:numId w:val="0"/>
        </w:numPr>
        <w:ind w:left="360"/>
      </w:pPr>
    </w:p>
    <w:p w:rsidR="005274B2" w:rsidRDefault="00C039F5" w:rsidP="005274B2">
      <w:pPr>
        <w:pStyle w:val="ECCParagraph"/>
      </w:pPr>
      <w:r>
        <w:t>T</w:t>
      </w:r>
      <w:r w:rsidR="00DE1DD4" w:rsidRPr="00F44EAF">
        <w:t>he details of such sharing situation</w:t>
      </w:r>
      <w:r>
        <w:t>s</w:t>
      </w:r>
      <w:r w:rsidR="00DE1DD4" w:rsidRPr="00F44EAF">
        <w:t xml:space="preserve"> may depend on the particular national circumstances, namely the spectrum usage and the type of the authorisation granted by the corresponding administration for the existing applications. Special care may be given to the case of airborne use of PMSE</w:t>
      </w:r>
      <w:r w:rsidR="00DE1DD4">
        <w:t xml:space="preserve"> (e.g. mobile video down-link)</w:t>
      </w:r>
      <w:r w:rsidR="00DE1DD4" w:rsidRPr="00F44EAF">
        <w:t>, which may require large separation distances.</w:t>
      </w:r>
    </w:p>
    <w:p w:rsidR="00DE1DD4" w:rsidRPr="00DE1DD4" w:rsidRDefault="00C039F5" w:rsidP="00DE1DD4">
      <w:pPr>
        <w:pStyle w:val="berschrift3"/>
        <w:rPr>
          <w:lang w:val="en-GB"/>
        </w:rPr>
      </w:pPr>
      <w:r w:rsidRPr="00C039F5">
        <w:rPr>
          <w:lang w:val="en-GB"/>
        </w:rPr>
        <w:t xml:space="preserve"> </w:t>
      </w:r>
      <w:bookmarkStart w:id="38" w:name="_Toc398907411"/>
      <w:r>
        <w:rPr>
          <w:lang w:val="en-GB"/>
        </w:rPr>
        <w:t>Possible</w:t>
      </w:r>
      <w:r w:rsidR="00DE1DD4" w:rsidRPr="00DE1DD4">
        <w:rPr>
          <w:lang w:val="en-GB"/>
        </w:rPr>
        <w:t xml:space="preserve"> scenarios</w:t>
      </w:r>
      <w:bookmarkEnd w:id="38"/>
    </w:p>
    <w:p w:rsidR="00DE1DD4" w:rsidRDefault="00C039F5" w:rsidP="00DE1DD4">
      <w:pPr>
        <w:spacing w:after="240"/>
      </w:pPr>
      <w:r>
        <w:t xml:space="preserve">For the sharing between PMSE </w:t>
      </w:r>
      <w:r w:rsidR="009B12A5">
        <w:t>video links</w:t>
      </w:r>
      <w:r w:rsidR="00631CCB">
        <w:t xml:space="preserve"> </w:t>
      </w:r>
      <w:r>
        <w:t xml:space="preserve">and WBB, possible </w:t>
      </w:r>
      <w:r w:rsidRPr="00DE1DD4">
        <w:t xml:space="preserve">scenarios </w:t>
      </w:r>
      <w:r>
        <w:t xml:space="preserve">of sharing </w:t>
      </w:r>
      <w:r w:rsidRPr="00DE1DD4">
        <w:t xml:space="preserve">can be depicted as </w:t>
      </w:r>
      <w:r>
        <w:t>in the pictures below</w:t>
      </w:r>
      <w:r w:rsidRPr="00DE1DD4">
        <w:t>:</w:t>
      </w:r>
    </w:p>
    <w:p w:rsidR="00F52A01" w:rsidRPr="00DE1DD4" w:rsidRDefault="00F52A01" w:rsidP="00DE1DD4">
      <w:pPr>
        <w:spacing w:after="240"/>
      </w:pPr>
    </w:p>
    <w:p w:rsidR="00DE1DD4" w:rsidRDefault="00DE1DD4" w:rsidP="00DE1DD4">
      <w:pPr>
        <w:spacing w:after="240"/>
        <w:rPr>
          <w:b/>
          <w:lang w:val="en-GB"/>
        </w:rPr>
      </w:pPr>
    </w:p>
    <w:p w:rsidR="00DE1DD4" w:rsidRPr="00DE1DD4" w:rsidRDefault="00DE1DD4" w:rsidP="00F91F84">
      <w:pPr>
        <w:spacing w:after="240"/>
        <w:jc w:val="center"/>
        <w:rPr>
          <w:lang w:val="en-GB"/>
        </w:rPr>
      </w:pPr>
      <w:r w:rsidRPr="00DE1DD4">
        <w:rPr>
          <w:noProof/>
          <w:lang w:val="en-GB" w:eastAsia="en-GB"/>
        </w:rPr>
        <w:lastRenderedPageBreak/>
        <w:drawing>
          <wp:inline distT="0" distB="0" distL="0" distR="0" wp14:anchorId="48F5B1ED" wp14:editId="14B7AE89">
            <wp:extent cx="2759103" cy="1645920"/>
            <wp:effectExtent l="19050" t="19050" r="22225" b="11430"/>
            <wp:docPr id="22" name="Picture 36"/>
            <wp:cNvGraphicFramePr/>
            <a:graphic xmlns:a="http://schemas.openxmlformats.org/drawingml/2006/main">
              <a:graphicData uri="http://schemas.openxmlformats.org/drawingml/2006/picture">
                <pic:pic xmlns:pic="http://schemas.openxmlformats.org/drawingml/2006/picture">
                  <pic:nvPicPr>
                    <pic:cNvPr id="16" name="Picture 36"/>
                    <pic:cNvPicPr/>
                  </pic:nvPicPr>
                  <pic:blipFill>
                    <a:blip r:embed="rId19">
                      <a:extLst>
                        <a:ext uri="{28A0092B-C50C-407E-A947-70E740481C1C}">
                          <a14:useLocalDpi xmlns:a14="http://schemas.microsoft.com/office/drawing/2010/main" val="0"/>
                        </a:ext>
                      </a:extLst>
                    </a:blip>
                    <a:stretch>
                      <a:fillRect/>
                    </a:stretch>
                  </pic:blipFill>
                  <pic:spPr>
                    <a:xfrm>
                      <a:off x="0" y="0"/>
                      <a:ext cx="2750198" cy="1640608"/>
                    </a:xfrm>
                    <a:prstGeom prst="rect">
                      <a:avLst/>
                    </a:prstGeom>
                    <a:ln>
                      <a:solidFill>
                        <a:schemeClr val="tx1"/>
                      </a:solidFill>
                    </a:ln>
                  </pic:spPr>
                </pic:pic>
              </a:graphicData>
            </a:graphic>
          </wp:inline>
        </w:drawing>
      </w:r>
    </w:p>
    <w:p w:rsidR="00F91F84" w:rsidRPr="00A0230A" w:rsidRDefault="00F91F84" w:rsidP="00F91F84">
      <w:pPr>
        <w:pStyle w:val="Beschriftung"/>
        <w:rPr>
          <w:b w:val="0"/>
          <w:bCs w:val="0"/>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7</w:t>
      </w:r>
      <w:r w:rsidRPr="00A0230A">
        <w:rPr>
          <w:noProof/>
          <w:lang w:val="en-GB"/>
        </w:rPr>
        <w:fldChar w:fldCharType="end"/>
      </w:r>
      <w:r w:rsidRPr="00A0230A">
        <w:rPr>
          <w:lang w:val="en-GB"/>
        </w:rPr>
        <w:t xml:space="preserve">: </w:t>
      </w:r>
      <w:r w:rsidRPr="00F91F84">
        <w:rPr>
          <w:lang w:val="en-GB"/>
        </w:rPr>
        <w:t>Cordless camera link</w:t>
      </w:r>
    </w:p>
    <w:p w:rsidR="00F91F84" w:rsidRDefault="00F91F84" w:rsidP="00DE1DD4">
      <w:pPr>
        <w:spacing w:after="240"/>
        <w:rPr>
          <w:b/>
          <w:lang w:val="en-GB"/>
        </w:rPr>
      </w:pPr>
    </w:p>
    <w:p w:rsidR="00DE1DD4" w:rsidRPr="00DE1DD4" w:rsidRDefault="00DE1DD4" w:rsidP="00F91F84">
      <w:pPr>
        <w:spacing w:after="240"/>
        <w:jc w:val="center"/>
        <w:rPr>
          <w:lang w:val="en-GB"/>
        </w:rPr>
      </w:pPr>
      <w:r w:rsidRPr="00DE1DD4">
        <w:rPr>
          <w:noProof/>
          <w:lang w:val="en-GB" w:eastAsia="en-GB"/>
        </w:rPr>
        <w:drawing>
          <wp:inline distT="0" distB="0" distL="0" distR="0" wp14:anchorId="65AF84A6" wp14:editId="1980CE11">
            <wp:extent cx="2854518" cy="1637968"/>
            <wp:effectExtent l="19050" t="19050" r="22225" b="19685"/>
            <wp:docPr id="23" name="Picture 33"/>
            <wp:cNvGraphicFramePr/>
            <a:graphic xmlns:a="http://schemas.openxmlformats.org/drawingml/2006/main">
              <a:graphicData uri="http://schemas.openxmlformats.org/drawingml/2006/picture">
                <pic:pic xmlns:pic="http://schemas.openxmlformats.org/drawingml/2006/picture">
                  <pic:nvPicPr>
                    <pic:cNvPr id="13" name="Picture 33"/>
                    <pic:cNvPicPr/>
                  </pic:nvPicPr>
                  <pic:blipFill>
                    <a:blip r:embed="rId20">
                      <a:extLst>
                        <a:ext uri="{28A0092B-C50C-407E-A947-70E740481C1C}">
                          <a14:useLocalDpi xmlns:a14="http://schemas.microsoft.com/office/drawing/2010/main" val="0"/>
                        </a:ext>
                      </a:extLst>
                    </a:blip>
                    <a:stretch>
                      <a:fillRect/>
                    </a:stretch>
                  </pic:blipFill>
                  <pic:spPr>
                    <a:xfrm>
                      <a:off x="0" y="0"/>
                      <a:ext cx="2858365" cy="1640175"/>
                    </a:xfrm>
                    <a:prstGeom prst="rect">
                      <a:avLst/>
                    </a:prstGeom>
                    <a:ln>
                      <a:solidFill>
                        <a:schemeClr val="tx1"/>
                      </a:solidFill>
                    </a:ln>
                  </pic:spPr>
                </pic:pic>
              </a:graphicData>
            </a:graphic>
          </wp:inline>
        </w:drawing>
      </w:r>
    </w:p>
    <w:p w:rsidR="00F91F84" w:rsidRPr="00A0230A" w:rsidRDefault="00F91F84" w:rsidP="00F91F84">
      <w:pPr>
        <w:pStyle w:val="Beschriftung"/>
        <w:rPr>
          <w:b w:val="0"/>
          <w:bCs w:val="0"/>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8</w:t>
      </w:r>
      <w:r w:rsidRPr="00A0230A">
        <w:rPr>
          <w:noProof/>
          <w:lang w:val="en-GB"/>
        </w:rPr>
        <w:fldChar w:fldCharType="end"/>
      </w:r>
      <w:r w:rsidRPr="00A0230A">
        <w:rPr>
          <w:lang w:val="en-GB"/>
        </w:rPr>
        <w:t xml:space="preserve">: </w:t>
      </w:r>
      <w:r w:rsidRPr="00F91F84">
        <w:rPr>
          <w:lang w:val="en-GB"/>
        </w:rPr>
        <w:t>Portable video link</w:t>
      </w:r>
    </w:p>
    <w:p w:rsidR="00F91F84" w:rsidRPr="00F91F84" w:rsidRDefault="00DE1DD4" w:rsidP="00F91F84">
      <w:pPr>
        <w:spacing w:after="240"/>
        <w:jc w:val="center"/>
        <w:rPr>
          <w:noProof/>
          <w:lang w:eastAsia="fr-FR"/>
        </w:rPr>
      </w:pPr>
      <w:r w:rsidRPr="00DE1DD4">
        <w:rPr>
          <w:noProof/>
          <w:lang w:val="en-GB" w:eastAsia="en-GB"/>
        </w:rPr>
        <w:drawing>
          <wp:inline distT="0" distB="0" distL="0" distR="0" wp14:anchorId="7D6E1C04" wp14:editId="0435CE5A">
            <wp:extent cx="2854518" cy="1653871"/>
            <wp:effectExtent l="19050" t="19050" r="22225" b="22860"/>
            <wp:docPr id="24" name="Picture 3"/>
            <wp:cNvGraphicFramePr/>
            <a:graphic xmlns:a="http://schemas.openxmlformats.org/drawingml/2006/main">
              <a:graphicData uri="http://schemas.openxmlformats.org/drawingml/2006/picture">
                <pic:pic xmlns:pic="http://schemas.openxmlformats.org/drawingml/2006/picture">
                  <pic:nvPicPr>
                    <pic:cNvPr id="14"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2853857" cy="1653488"/>
                    </a:xfrm>
                    <a:prstGeom prst="rect">
                      <a:avLst/>
                    </a:prstGeom>
                    <a:ln>
                      <a:solidFill>
                        <a:schemeClr val="tx1"/>
                      </a:solidFill>
                    </a:ln>
                  </pic:spPr>
                </pic:pic>
              </a:graphicData>
            </a:graphic>
          </wp:inline>
        </w:drawing>
      </w:r>
    </w:p>
    <w:p w:rsidR="00F91F84" w:rsidRPr="00A0230A" w:rsidRDefault="00F91F84" w:rsidP="00F91F84">
      <w:pPr>
        <w:pStyle w:val="Beschriftung"/>
        <w:rPr>
          <w:b w:val="0"/>
          <w:bCs w:val="0"/>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9</w:t>
      </w:r>
      <w:r w:rsidRPr="00A0230A">
        <w:rPr>
          <w:noProof/>
          <w:lang w:val="en-GB"/>
        </w:rPr>
        <w:fldChar w:fldCharType="end"/>
      </w:r>
      <w:r w:rsidRPr="00A0230A">
        <w:rPr>
          <w:lang w:val="en-GB"/>
        </w:rPr>
        <w:t xml:space="preserve">: Mobile </w:t>
      </w:r>
      <w:r w:rsidRPr="00F91F84">
        <w:rPr>
          <w:lang w:val="en-GB"/>
        </w:rPr>
        <w:t>airborne</w:t>
      </w:r>
      <w:r>
        <w:rPr>
          <w:lang w:val="en-GB"/>
        </w:rPr>
        <w:t xml:space="preserve"> </w:t>
      </w:r>
      <w:r w:rsidRPr="00A0230A">
        <w:rPr>
          <w:lang w:val="en-GB"/>
        </w:rPr>
        <w:t>video down-link</w:t>
      </w:r>
    </w:p>
    <w:p w:rsidR="00F91F84" w:rsidRPr="00F91F84" w:rsidRDefault="00F91F84" w:rsidP="00DE1DD4">
      <w:pPr>
        <w:spacing w:after="240"/>
        <w:rPr>
          <w:noProof/>
          <w:lang w:eastAsia="fr-FR"/>
        </w:rPr>
      </w:pPr>
    </w:p>
    <w:p w:rsidR="00DE1DD4" w:rsidRDefault="00DE1DD4" w:rsidP="00F91F84">
      <w:pPr>
        <w:spacing w:after="240"/>
        <w:jc w:val="center"/>
        <w:rPr>
          <w:noProof/>
          <w:lang w:val="fr-FR" w:eastAsia="fr-FR"/>
        </w:rPr>
      </w:pPr>
      <w:r w:rsidRPr="00DE1DD4">
        <w:rPr>
          <w:noProof/>
          <w:lang w:val="en-GB" w:eastAsia="en-GB"/>
        </w:rPr>
        <w:drawing>
          <wp:inline distT="0" distB="0" distL="0" distR="0" wp14:anchorId="1F3A00C7" wp14:editId="0F3CA0F9">
            <wp:extent cx="2759103" cy="1653871"/>
            <wp:effectExtent l="19050" t="19050" r="22225" b="22860"/>
            <wp:docPr id="25" name="Picture 37"/>
            <wp:cNvGraphicFramePr/>
            <a:graphic xmlns:a="http://schemas.openxmlformats.org/drawingml/2006/main">
              <a:graphicData uri="http://schemas.openxmlformats.org/drawingml/2006/picture">
                <pic:pic xmlns:pic="http://schemas.openxmlformats.org/drawingml/2006/picture">
                  <pic:nvPicPr>
                    <pic:cNvPr id="10" name="Picture 37"/>
                    <pic:cNvPicPr/>
                  </pic:nvPicPr>
                  <pic:blipFill>
                    <a:blip r:embed="rId22">
                      <a:extLst>
                        <a:ext uri="{28A0092B-C50C-407E-A947-70E740481C1C}">
                          <a14:useLocalDpi xmlns:a14="http://schemas.microsoft.com/office/drawing/2010/main" val="0"/>
                        </a:ext>
                      </a:extLst>
                    </a:blip>
                    <a:stretch>
                      <a:fillRect/>
                    </a:stretch>
                  </pic:blipFill>
                  <pic:spPr>
                    <a:xfrm>
                      <a:off x="0" y="0"/>
                      <a:ext cx="2752485" cy="1649904"/>
                    </a:xfrm>
                    <a:prstGeom prst="rect">
                      <a:avLst/>
                    </a:prstGeom>
                    <a:ln>
                      <a:solidFill>
                        <a:schemeClr val="tx1"/>
                      </a:solidFill>
                    </a:ln>
                  </pic:spPr>
                </pic:pic>
              </a:graphicData>
            </a:graphic>
          </wp:inline>
        </w:drawing>
      </w:r>
    </w:p>
    <w:p w:rsidR="009222B0" w:rsidRPr="00A0230A" w:rsidRDefault="009222B0" w:rsidP="009222B0">
      <w:pPr>
        <w:pStyle w:val="Beschriftung"/>
        <w:rPr>
          <w:b w:val="0"/>
          <w:bCs w:val="0"/>
          <w:lang w:val="en-GB"/>
        </w:rPr>
      </w:pPr>
      <w:r w:rsidRPr="00A0230A">
        <w:rPr>
          <w:lang w:val="en-GB"/>
        </w:rPr>
        <w:lastRenderedPageBreak/>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10</w:t>
      </w:r>
      <w:r w:rsidRPr="00A0230A">
        <w:rPr>
          <w:noProof/>
          <w:lang w:val="en-GB"/>
        </w:rPr>
        <w:fldChar w:fldCharType="end"/>
      </w:r>
      <w:r w:rsidRPr="00A0230A">
        <w:rPr>
          <w:lang w:val="en-GB"/>
        </w:rPr>
        <w:t xml:space="preserve">: Mobile </w:t>
      </w:r>
      <w:r w:rsidRPr="00F91F84">
        <w:rPr>
          <w:lang w:val="en-GB"/>
        </w:rPr>
        <w:t>airborne</w:t>
      </w:r>
      <w:r>
        <w:rPr>
          <w:lang w:val="en-GB"/>
        </w:rPr>
        <w:t xml:space="preserve"> </w:t>
      </w:r>
      <w:r w:rsidRPr="00A0230A">
        <w:rPr>
          <w:lang w:val="en-GB"/>
        </w:rPr>
        <w:t xml:space="preserve">video </w:t>
      </w:r>
      <w:r>
        <w:rPr>
          <w:lang w:val="en-GB"/>
        </w:rPr>
        <w:t>up</w:t>
      </w:r>
      <w:r w:rsidRPr="00A0230A">
        <w:rPr>
          <w:lang w:val="en-GB"/>
        </w:rPr>
        <w:t>-link</w:t>
      </w:r>
    </w:p>
    <w:p w:rsidR="009222B0" w:rsidRPr="009222B0" w:rsidRDefault="009222B0" w:rsidP="00F91F84">
      <w:pPr>
        <w:spacing w:after="240"/>
        <w:jc w:val="center"/>
        <w:rPr>
          <w:noProof/>
          <w:lang w:val="en-GB" w:eastAsia="fr-FR"/>
        </w:rPr>
      </w:pPr>
    </w:p>
    <w:p w:rsidR="00DE1DD4" w:rsidRDefault="00DE1DD4" w:rsidP="00F91F84">
      <w:pPr>
        <w:spacing w:after="240"/>
        <w:jc w:val="center"/>
        <w:rPr>
          <w:lang w:val="en-GB"/>
        </w:rPr>
      </w:pPr>
      <w:r w:rsidRPr="00DE1DD4">
        <w:rPr>
          <w:noProof/>
          <w:lang w:val="en-GB" w:eastAsia="en-GB"/>
        </w:rPr>
        <w:drawing>
          <wp:inline distT="0" distB="0" distL="0" distR="0" wp14:anchorId="23F8194C" wp14:editId="7FEF2BDB">
            <wp:extent cx="2854518" cy="1828800"/>
            <wp:effectExtent l="19050" t="19050" r="22225" b="19050"/>
            <wp:docPr id="26" name="Picture 35"/>
            <wp:cNvGraphicFramePr/>
            <a:graphic xmlns:a="http://schemas.openxmlformats.org/drawingml/2006/main">
              <a:graphicData uri="http://schemas.openxmlformats.org/drawingml/2006/picture">
                <pic:pic xmlns:pic="http://schemas.openxmlformats.org/drawingml/2006/picture">
                  <pic:nvPicPr>
                    <pic:cNvPr id="17" name="Picture 35"/>
                    <pic:cNvPicPr/>
                  </pic:nvPicPr>
                  <pic:blipFill>
                    <a:blip r:embed="rId23">
                      <a:extLst>
                        <a:ext uri="{28A0092B-C50C-407E-A947-70E740481C1C}">
                          <a14:useLocalDpi xmlns:a14="http://schemas.microsoft.com/office/drawing/2010/main" val="0"/>
                        </a:ext>
                      </a:extLst>
                    </a:blip>
                    <a:stretch>
                      <a:fillRect/>
                    </a:stretch>
                  </pic:blipFill>
                  <pic:spPr>
                    <a:xfrm>
                      <a:off x="0" y="0"/>
                      <a:ext cx="2844763" cy="1822550"/>
                    </a:xfrm>
                    <a:prstGeom prst="rect">
                      <a:avLst/>
                    </a:prstGeom>
                    <a:ln>
                      <a:solidFill>
                        <a:schemeClr val="tx1"/>
                      </a:solidFill>
                    </a:ln>
                  </pic:spPr>
                </pic:pic>
              </a:graphicData>
            </a:graphic>
          </wp:inline>
        </w:drawing>
      </w:r>
    </w:p>
    <w:p w:rsidR="009222B0" w:rsidRPr="00A0230A" w:rsidRDefault="009222B0" w:rsidP="009222B0">
      <w:pPr>
        <w:pStyle w:val="Beschriftung"/>
        <w:rPr>
          <w:b w:val="0"/>
          <w:bCs w:val="0"/>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0C0823">
        <w:rPr>
          <w:noProof/>
          <w:lang w:val="en-GB"/>
        </w:rPr>
        <w:t>11</w:t>
      </w:r>
      <w:r w:rsidRPr="00A0230A">
        <w:rPr>
          <w:noProof/>
          <w:lang w:val="en-GB"/>
        </w:rPr>
        <w:fldChar w:fldCharType="end"/>
      </w:r>
      <w:r w:rsidRPr="00A0230A">
        <w:rPr>
          <w:lang w:val="en-GB"/>
        </w:rPr>
        <w:t xml:space="preserve">: Mobile </w:t>
      </w:r>
      <w:r>
        <w:rPr>
          <w:lang w:val="en-GB"/>
        </w:rPr>
        <w:t xml:space="preserve">ground </w:t>
      </w:r>
      <w:r w:rsidRPr="00A0230A">
        <w:rPr>
          <w:lang w:val="en-GB"/>
        </w:rPr>
        <w:t>video link</w:t>
      </w:r>
    </w:p>
    <w:p w:rsidR="004B147B" w:rsidRDefault="00C039F5" w:rsidP="00C039F5">
      <w:pPr>
        <w:spacing w:after="240"/>
      </w:pPr>
      <w:r w:rsidRPr="00D07572">
        <w:t xml:space="preserve">On the figures above, both directions of interference are shown. However, in the case of PMSE possibly interfering with WBB, additional constraints are not expected on PMSE deployment. </w:t>
      </w:r>
      <w:r w:rsidR="002D34D3" w:rsidRPr="00D07572">
        <w:t xml:space="preserve">Appropriate </w:t>
      </w:r>
      <w:r w:rsidR="008B2BF7" w:rsidRPr="00D07572">
        <w:t xml:space="preserve">measures </w:t>
      </w:r>
      <w:r w:rsidR="002D34D3" w:rsidRPr="00D07572">
        <w:t xml:space="preserve">for </w:t>
      </w:r>
      <w:r w:rsidRPr="00D07572">
        <w:t xml:space="preserve">handling those parts of the </w:t>
      </w:r>
      <w:r w:rsidR="002D34D3" w:rsidRPr="00D07572">
        <w:t xml:space="preserve">WBB </w:t>
      </w:r>
      <w:r w:rsidRPr="00D07572">
        <w:t>networks which might be affected by the incumbents’ operation</w:t>
      </w:r>
      <w:r w:rsidR="002D34D3" w:rsidRPr="00D07572">
        <w:t xml:space="preserve"> can be defined in the sharing framework or can be taken as a decision of the LSA licensee</w:t>
      </w:r>
      <w:r w:rsidRPr="00D07572">
        <w:t>.</w:t>
      </w:r>
      <w:r w:rsidR="004B147B">
        <w:t xml:space="preserve"> </w:t>
      </w:r>
    </w:p>
    <w:p w:rsidR="00DE1DD4" w:rsidRDefault="00DE1DD4" w:rsidP="00DE1DD4">
      <w:pPr>
        <w:spacing w:after="240"/>
        <w:rPr>
          <w:rFonts w:ascii="Calibri" w:eastAsia="Calibri" w:hAnsi="Calibri"/>
          <w:szCs w:val="22"/>
        </w:rPr>
      </w:pPr>
      <w:r w:rsidRPr="00DE1DD4">
        <w:t xml:space="preserve">Technical parameters and protection criteria for </w:t>
      </w:r>
      <w:r w:rsidR="009B12A5">
        <w:t xml:space="preserve">PMSE </w:t>
      </w:r>
      <w:r w:rsidRPr="00DE1DD4">
        <w:t>video links associated to cordless, portable, and mobile PMSE scenarios</w:t>
      </w:r>
      <w:r w:rsidR="004B147B">
        <w:t xml:space="preserve"> are provided in ECC Report 219</w:t>
      </w:r>
      <w:r w:rsidR="002F06CE">
        <w:t xml:space="preserve"> </w:t>
      </w:r>
      <w:r w:rsidR="002F06CE">
        <w:fldChar w:fldCharType="begin"/>
      </w:r>
      <w:r w:rsidR="002F06CE">
        <w:instrText xml:space="preserve"> REF _Ref398292147 \r \h </w:instrText>
      </w:r>
      <w:r w:rsidR="002F06CE">
        <w:fldChar w:fldCharType="separate"/>
      </w:r>
      <w:r w:rsidR="000C0823">
        <w:t>[11]</w:t>
      </w:r>
      <w:r w:rsidR="002F06CE">
        <w:fldChar w:fldCharType="end"/>
      </w:r>
      <w:r w:rsidR="004B147B">
        <w:t xml:space="preserve">. </w:t>
      </w:r>
    </w:p>
    <w:p w:rsidR="00DE1DD4" w:rsidRPr="00DE1DD4" w:rsidRDefault="00BC349C" w:rsidP="00DE1DD4">
      <w:pPr>
        <w:pStyle w:val="berschrift3"/>
        <w:rPr>
          <w:lang w:val="en-GB"/>
        </w:rPr>
      </w:pPr>
      <w:bookmarkStart w:id="39" w:name="_Toc398907412"/>
      <w:r>
        <w:rPr>
          <w:lang w:val="en-GB"/>
        </w:rPr>
        <w:t>Considerations</w:t>
      </w:r>
      <w:r w:rsidR="00C039F5">
        <w:rPr>
          <w:lang w:val="en-GB"/>
        </w:rPr>
        <w:t xml:space="preserve"> for implementation</w:t>
      </w:r>
      <w:bookmarkEnd w:id="39"/>
    </w:p>
    <w:p w:rsidR="00C039F5" w:rsidRPr="00F70EE6" w:rsidRDefault="00C039F5" w:rsidP="00C039F5">
      <w:pPr>
        <w:pStyle w:val="ECCParagraph"/>
        <w:rPr>
          <w:rFonts w:ascii="ArialMT" w:eastAsiaTheme="minorHAnsi" w:hAnsi="ArialMT" w:cs="ArialMT"/>
          <w:szCs w:val="20"/>
          <w:lang w:val="en-US"/>
        </w:rPr>
      </w:pPr>
      <w:bookmarkStart w:id="40" w:name="_Toc393801596"/>
      <w:r w:rsidRPr="00F36AB3">
        <w:rPr>
          <w:rFonts w:ascii="ArialMT" w:eastAsiaTheme="minorHAnsi" w:hAnsi="ArialMT" w:cs="ArialMT"/>
          <w:szCs w:val="20"/>
          <w:lang w:val="en-US"/>
        </w:rPr>
        <w:t xml:space="preserve">In order to protect </w:t>
      </w:r>
      <w:r>
        <w:rPr>
          <w:rFonts w:ascii="ArialMT" w:eastAsiaTheme="minorHAnsi" w:hAnsi="ArialMT" w:cs="ArialMT"/>
          <w:szCs w:val="20"/>
          <w:lang w:val="en-US"/>
        </w:rPr>
        <w:t>the incumbent(s)</w:t>
      </w:r>
      <w:r w:rsidRPr="00F36AB3">
        <w:rPr>
          <w:rFonts w:ascii="ArialMT" w:eastAsiaTheme="minorHAnsi" w:hAnsi="ArialMT" w:cs="ArialMT"/>
          <w:szCs w:val="20"/>
          <w:lang w:val="en-US"/>
        </w:rPr>
        <w:t xml:space="preserve"> from interferences, an exclusion zone</w:t>
      </w:r>
      <w:r>
        <w:rPr>
          <w:rFonts w:ascii="ArialMT" w:eastAsiaTheme="minorHAnsi" w:hAnsi="ArialMT" w:cs="ArialMT"/>
          <w:szCs w:val="20"/>
          <w:lang w:val="en-US"/>
        </w:rPr>
        <w:t>,</w:t>
      </w:r>
      <w:r w:rsidRPr="00F36AB3">
        <w:rPr>
          <w:rFonts w:ascii="ArialMT" w:eastAsiaTheme="minorHAnsi" w:hAnsi="ArialMT" w:cs="ArialMT"/>
          <w:szCs w:val="20"/>
          <w:lang w:val="en-US"/>
        </w:rPr>
        <w:t xml:space="preserve"> a protection </w:t>
      </w:r>
      <w:r>
        <w:rPr>
          <w:rFonts w:ascii="ArialMT" w:eastAsiaTheme="minorHAnsi" w:hAnsi="ArialMT" w:cs="ArialMT"/>
          <w:szCs w:val="20"/>
          <w:lang w:val="en-US"/>
        </w:rPr>
        <w:t xml:space="preserve">and a restriction </w:t>
      </w:r>
      <w:r w:rsidRPr="00F36AB3">
        <w:rPr>
          <w:rFonts w:ascii="ArialMT" w:eastAsiaTheme="minorHAnsi" w:hAnsi="ArialMT" w:cs="ArialMT"/>
          <w:szCs w:val="20"/>
          <w:lang w:val="en-US"/>
        </w:rPr>
        <w:t xml:space="preserve">zone </w:t>
      </w:r>
      <w:r>
        <w:rPr>
          <w:rFonts w:ascii="ArialMT" w:eastAsiaTheme="minorHAnsi" w:hAnsi="ArialMT" w:cs="ArialMT"/>
          <w:szCs w:val="20"/>
          <w:lang w:val="en-US"/>
        </w:rPr>
        <w:t>can be</w:t>
      </w:r>
      <w:r w:rsidRPr="00F36AB3">
        <w:rPr>
          <w:rFonts w:ascii="ArialMT" w:eastAsiaTheme="minorHAnsi" w:hAnsi="ArialMT" w:cs="ArialMT"/>
          <w:szCs w:val="20"/>
          <w:lang w:val="en-US"/>
        </w:rPr>
        <w:t xml:space="preserve"> defined </w:t>
      </w:r>
      <w:r>
        <w:rPr>
          <w:rFonts w:ascii="ArialMT" w:eastAsiaTheme="minorHAnsi" w:hAnsi="ArialMT" w:cs="ArialMT"/>
          <w:szCs w:val="20"/>
          <w:lang w:val="en-US"/>
        </w:rPr>
        <w:t xml:space="preserve">for </w:t>
      </w:r>
      <w:r w:rsidRPr="00F70EE6">
        <w:rPr>
          <w:rFonts w:ascii="ArialMT" w:eastAsiaTheme="minorHAnsi" w:hAnsi="ArialMT" w:cs="ArialMT"/>
          <w:szCs w:val="20"/>
          <w:lang w:val="en-US"/>
        </w:rPr>
        <w:t xml:space="preserve">appropriate protection of the incumbent (see section </w:t>
      </w:r>
      <w:r w:rsidR="00F70EE6" w:rsidRPr="00F70EE6">
        <w:rPr>
          <w:rFonts w:ascii="ArialMT" w:eastAsiaTheme="minorHAnsi" w:hAnsi="ArialMT" w:cs="ArialMT"/>
          <w:szCs w:val="20"/>
          <w:lang w:val="en-US"/>
        </w:rPr>
        <w:fldChar w:fldCharType="begin"/>
      </w:r>
      <w:r w:rsidR="00F70EE6" w:rsidRPr="00F70EE6">
        <w:rPr>
          <w:rFonts w:ascii="ArialMT" w:eastAsiaTheme="minorHAnsi" w:hAnsi="ArialMT" w:cs="ArialMT"/>
          <w:szCs w:val="20"/>
          <w:lang w:val="en-US"/>
        </w:rPr>
        <w:instrText xml:space="preserve"> REF _Ref398561729 \r \h </w:instrText>
      </w:r>
      <w:r w:rsidR="00F70EE6">
        <w:rPr>
          <w:rFonts w:ascii="ArialMT" w:eastAsiaTheme="minorHAnsi" w:hAnsi="ArialMT" w:cs="ArialMT"/>
          <w:szCs w:val="20"/>
          <w:lang w:val="en-US"/>
        </w:rPr>
        <w:instrText xml:space="preserve"> \* MERGEFORMAT </w:instrText>
      </w:r>
      <w:r w:rsidR="00F70EE6" w:rsidRPr="00F70EE6">
        <w:rPr>
          <w:rFonts w:ascii="ArialMT" w:eastAsiaTheme="minorHAnsi" w:hAnsi="ArialMT" w:cs="ArialMT"/>
          <w:szCs w:val="20"/>
          <w:lang w:val="en-US"/>
        </w:rPr>
      </w:r>
      <w:r w:rsidR="00F70EE6" w:rsidRPr="00F70EE6">
        <w:rPr>
          <w:rFonts w:ascii="ArialMT" w:eastAsiaTheme="minorHAnsi" w:hAnsi="ArialMT" w:cs="ArialMT"/>
          <w:szCs w:val="20"/>
          <w:lang w:val="en-US"/>
        </w:rPr>
        <w:fldChar w:fldCharType="separate"/>
      </w:r>
      <w:r w:rsidR="000C0823">
        <w:rPr>
          <w:rFonts w:ascii="ArialMT" w:eastAsiaTheme="minorHAnsi" w:hAnsi="ArialMT" w:cs="ArialMT"/>
          <w:szCs w:val="20"/>
          <w:lang w:val="en-US"/>
        </w:rPr>
        <w:t>3.3.1</w:t>
      </w:r>
      <w:r w:rsidR="00F70EE6" w:rsidRPr="00F70EE6">
        <w:rPr>
          <w:rFonts w:ascii="ArialMT" w:eastAsiaTheme="minorHAnsi" w:hAnsi="ArialMT" w:cs="ArialMT"/>
          <w:szCs w:val="20"/>
          <w:lang w:val="en-US"/>
        </w:rPr>
        <w:fldChar w:fldCharType="end"/>
      </w:r>
      <w:r w:rsidRPr="00F70EE6">
        <w:rPr>
          <w:rFonts w:ascii="ArialMT" w:eastAsiaTheme="minorHAnsi" w:hAnsi="ArialMT" w:cs="ArialMT"/>
          <w:szCs w:val="20"/>
          <w:lang w:val="en-US"/>
        </w:rPr>
        <w:t xml:space="preserve">). </w:t>
      </w:r>
    </w:p>
    <w:p w:rsidR="004B147B" w:rsidRDefault="00C039F5" w:rsidP="00C039F5">
      <w:pPr>
        <w:pStyle w:val="ECCParagraph"/>
        <w:rPr>
          <w:rFonts w:ascii="ArialMT" w:eastAsiaTheme="minorHAnsi" w:hAnsi="ArialMT" w:cs="ArialMT"/>
          <w:szCs w:val="20"/>
          <w:lang w:val="en-US"/>
        </w:rPr>
      </w:pPr>
      <w:r w:rsidRPr="00F70EE6">
        <w:rPr>
          <w:rFonts w:ascii="ArialMT" w:eastAsiaTheme="minorHAnsi" w:hAnsi="ArialMT" w:cs="ArialMT"/>
          <w:szCs w:val="20"/>
          <w:lang w:val="en-US"/>
        </w:rPr>
        <w:t xml:space="preserve">Taking into account </w:t>
      </w:r>
      <w:r w:rsidR="006A715F" w:rsidRPr="00F70EE6">
        <w:rPr>
          <w:rFonts w:ascii="ArialMT" w:eastAsiaTheme="minorHAnsi" w:hAnsi="ArialMT" w:cs="ArialMT"/>
          <w:szCs w:val="20"/>
          <w:lang w:val="en-US"/>
        </w:rPr>
        <w:t>the option A as described in</w:t>
      </w:r>
      <w:r w:rsidRPr="00F70EE6">
        <w:rPr>
          <w:rFonts w:ascii="ArialMT" w:eastAsiaTheme="minorHAnsi" w:hAnsi="ArialMT" w:cs="ArialMT"/>
          <w:szCs w:val="20"/>
          <w:lang w:val="en-US"/>
        </w:rPr>
        <w:t xml:space="preserve"> section </w:t>
      </w:r>
      <w:r w:rsidR="00F70EE6">
        <w:rPr>
          <w:rFonts w:ascii="ArialMT" w:eastAsiaTheme="minorHAnsi" w:hAnsi="ArialMT" w:cs="ArialMT"/>
          <w:szCs w:val="20"/>
          <w:lang w:val="en-US"/>
        </w:rPr>
        <w:fldChar w:fldCharType="begin"/>
      </w:r>
      <w:r w:rsidR="00F70EE6">
        <w:rPr>
          <w:rFonts w:ascii="ArialMT" w:eastAsiaTheme="minorHAnsi" w:hAnsi="ArialMT" w:cs="ArialMT"/>
          <w:szCs w:val="20"/>
          <w:lang w:val="en-US"/>
        </w:rPr>
        <w:instrText xml:space="preserve"> REF _Ref398561785 \r \h </w:instrText>
      </w:r>
      <w:r w:rsidR="00F70EE6">
        <w:rPr>
          <w:rFonts w:ascii="ArialMT" w:eastAsiaTheme="minorHAnsi" w:hAnsi="ArialMT" w:cs="ArialMT"/>
          <w:szCs w:val="20"/>
          <w:lang w:val="en-US"/>
        </w:rPr>
      </w:r>
      <w:r w:rsidR="00F70EE6">
        <w:rPr>
          <w:rFonts w:ascii="ArialMT" w:eastAsiaTheme="minorHAnsi" w:hAnsi="ArialMT" w:cs="ArialMT"/>
          <w:szCs w:val="20"/>
          <w:lang w:val="en-US"/>
        </w:rPr>
        <w:fldChar w:fldCharType="separate"/>
      </w:r>
      <w:r w:rsidR="000C0823">
        <w:rPr>
          <w:rFonts w:ascii="ArialMT" w:eastAsiaTheme="minorHAnsi" w:hAnsi="ArialMT" w:cs="ArialMT"/>
          <w:szCs w:val="20"/>
          <w:lang w:val="en-US"/>
        </w:rPr>
        <w:t>4.2</w:t>
      </w:r>
      <w:r w:rsidR="00F70EE6">
        <w:rPr>
          <w:rFonts w:ascii="ArialMT" w:eastAsiaTheme="minorHAnsi" w:hAnsi="ArialMT" w:cs="ArialMT"/>
          <w:szCs w:val="20"/>
          <w:lang w:val="en-US"/>
        </w:rPr>
        <w:fldChar w:fldCharType="end"/>
      </w:r>
      <w:r w:rsidR="00F70EE6">
        <w:rPr>
          <w:rFonts w:ascii="ArialMT" w:eastAsiaTheme="minorHAnsi" w:hAnsi="ArialMT" w:cs="ArialMT"/>
          <w:szCs w:val="20"/>
          <w:lang w:val="en-US"/>
        </w:rPr>
        <w:t xml:space="preserve"> above </w:t>
      </w:r>
      <w:r w:rsidRPr="00F70EE6">
        <w:rPr>
          <w:rFonts w:ascii="ArialMT" w:eastAsiaTheme="minorHAnsi" w:hAnsi="ArialMT" w:cs="ArialMT"/>
          <w:szCs w:val="20"/>
          <w:lang w:val="en-US"/>
        </w:rPr>
        <w:t xml:space="preserve">and considering the various PMSE deployments described in section </w:t>
      </w:r>
      <w:r w:rsidR="00F70EE6">
        <w:rPr>
          <w:rFonts w:ascii="ArialMT" w:eastAsiaTheme="minorHAnsi" w:hAnsi="ArialMT" w:cs="ArialMT"/>
          <w:szCs w:val="20"/>
          <w:lang w:val="en-US"/>
        </w:rPr>
        <w:fldChar w:fldCharType="begin"/>
      </w:r>
      <w:r w:rsidR="00F70EE6">
        <w:rPr>
          <w:rFonts w:ascii="ArialMT" w:eastAsiaTheme="minorHAnsi" w:hAnsi="ArialMT" w:cs="ArialMT"/>
          <w:szCs w:val="20"/>
          <w:lang w:val="en-US"/>
        </w:rPr>
        <w:instrText xml:space="preserve"> REF _Ref398561844 \r \h </w:instrText>
      </w:r>
      <w:r w:rsidR="00F70EE6">
        <w:rPr>
          <w:rFonts w:ascii="ArialMT" w:eastAsiaTheme="minorHAnsi" w:hAnsi="ArialMT" w:cs="ArialMT"/>
          <w:szCs w:val="20"/>
          <w:lang w:val="en-US"/>
        </w:rPr>
      </w:r>
      <w:r w:rsidR="00F70EE6">
        <w:rPr>
          <w:rFonts w:ascii="ArialMT" w:eastAsiaTheme="minorHAnsi" w:hAnsi="ArialMT" w:cs="ArialMT"/>
          <w:szCs w:val="20"/>
          <w:lang w:val="en-US"/>
        </w:rPr>
        <w:fldChar w:fldCharType="separate"/>
      </w:r>
      <w:r w:rsidR="000C0823">
        <w:rPr>
          <w:rFonts w:ascii="ArialMT" w:eastAsiaTheme="minorHAnsi" w:hAnsi="ArialMT" w:cs="ArialMT"/>
          <w:szCs w:val="20"/>
          <w:lang w:val="en-US"/>
        </w:rPr>
        <w:t>4.1.2</w:t>
      </w:r>
      <w:r w:rsidR="00F70EE6">
        <w:rPr>
          <w:rFonts w:ascii="ArialMT" w:eastAsiaTheme="minorHAnsi" w:hAnsi="ArialMT" w:cs="ArialMT"/>
          <w:szCs w:val="20"/>
          <w:lang w:val="en-US"/>
        </w:rPr>
        <w:fldChar w:fldCharType="end"/>
      </w:r>
      <w:r w:rsidRPr="00F70EE6">
        <w:rPr>
          <w:rFonts w:ascii="ArialMT" w:eastAsiaTheme="minorHAnsi" w:hAnsi="ArialMT" w:cs="ArialMT"/>
          <w:szCs w:val="20"/>
          <w:lang w:val="en-US"/>
        </w:rPr>
        <w:t>, the following options for sharing are proposed:</w:t>
      </w:r>
    </w:p>
    <w:p w:rsidR="00631CCB" w:rsidRPr="00A0230A" w:rsidRDefault="00631CCB" w:rsidP="00631CCB">
      <w:pPr>
        <w:pStyle w:val="Beschriftung"/>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0C0823">
        <w:rPr>
          <w:noProof/>
          <w:lang w:val="en-GB"/>
        </w:rPr>
        <w:t>2</w:t>
      </w:r>
      <w:r w:rsidRPr="00A0230A">
        <w:rPr>
          <w:noProof/>
          <w:lang w:val="en-GB"/>
        </w:rPr>
        <w:fldChar w:fldCharType="end"/>
      </w:r>
      <w:r w:rsidRPr="00A0230A">
        <w:rPr>
          <w:lang w:val="en-GB"/>
        </w:rPr>
        <w:t xml:space="preserve">: </w:t>
      </w:r>
      <w:r>
        <w:rPr>
          <w:lang w:val="en-GB"/>
        </w:rPr>
        <w:t>Options for sharing between PMSE and WBB</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1843"/>
        <w:gridCol w:w="2835"/>
        <w:gridCol w:w="3509"/>
      </w:tblGrid>
      <w:tr w:rsidR="00411F0B" w:rsidRPr="00A0230A" w:rsidTr="00967D82">
        <w:trPr>
          <w:trHeight w:val="424"/>
        </w:trPr>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A0230A" w:rsidRDefault="00411F0B" w:rsidP="00967D82">
            <w:pPr>
              <w:spacing w:before="60" w:line="288" w:lineRule="auto"/>
              <w:jc w:val="center"/>
              <w:rPr>
                <w:rFonts w:cs="Arial"/>
                <w:b/>
                <w:color w:val="FFFFFF"/>
                <w:lang w:val="en-GB"/>
              </w:rPr>
            </w:pPr>
            <w:r>
              <w:rPr>
                <w:rFonts w:cs="Arial"/>
                <w:b/>
                <w:color w:val="FFFFFF"/>
                <w:lang w:val="en-GB"/>
              </w:rPr>
              <w:t>PMSE scenarios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A0230A" w:rsidRDefault="00411F0B" w:rsidP="00967D82">
            <w:pPr>
              <w:spacing w:before="60" w:line="288" w:lineRule="auto"/>
              <w:jc w:val="center"/>
              <w:rPr>
                <w:rFonts w:cs="Arial"/>
                <w:b/>
                <w:color w:val="FFFFFF"/>
                <w:lang w:val="en-GB"/>
              </w:rPr>
            </w:pPr>
            <w:r>
              <w:rPr>
                <w:rFonts w:cs="Arial"/>
                <w:b/>
                <w:color w:val="FFFFFF"/>
                <w:lang w:val="en-GB"/>
              </w:rPr>
              <w:t>Typical applications</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A0230A" w:rsidRDefault="00411F0B" w:rsidP="00967D82">
            <w:pPr>
              <w:spacing w:before="60" w:line="288" w:lineRule="auto"/>
              <w:jc w:val="center"/>
              <w:rPr>
                <w:rFonts w:cs="Arial"/>
                <w:b/>
                <w:color w:val="FFFFFF"/>
                <w:lang w:val="en-GB"/>
              </w:rPr>
            </w:pPr>
            <w:r>
              <w:rPr>
                <w:rFonts w:cs="Arial"/>
                <w:b/>
                <w:color w:val="FFFFFF"/>
                <w:lang w:val="en-GB"/>
              </w:rPr>
              <w:t>Type of PMSE link</w:t>
            </w:r>
          </w:p>
        </w:tc>
        <w:tc>
          <w:tcPr>
            <w:tcW w:w="3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A0230A" w:rsidRDefault="00411F0B" w:rsidP="00967D82">
            <w:pPr>
              <w:spacing w:before="60" w:line="288" w:lineRule="auto"/>
              <w:jc w:val="center"/>
              <w:rPr>
                <w:rFonts w:cs="Arial"/>
                <w:b/>
                <w:color w:val="FFFFFF"/>
                <w:lang w:val="en-GB"/>
              </w:rPr>
            </w:pPr>
            <w:r>
              <w:rPr>
                <w:rFonts w:cs="Arial"/>
                <w:b/>
                <w:color w:val="FFFFFF"/>
                <w:lang w:val="en-GB"/>
              </w:rPr>
              <w:t>Options for sharing</w:t>
            </w:r>
          </w:p>
        </w:tc>
      </w:tr>
      <w:tr w:rsidR="00411F0B" w:rsidRPr="00DE6353" w:rsidTr="00967D82">
        <w:tc>
          <w:tcPr>
            <w:tcW w:w="1668" w:type="dxa"/>
          </w:tcPr>
          <w:p w:rsidR="00411F0B" w:rsidRPr="00A0230A" w:rsidRDefault="00411F0B" w:rsidP="00967D82">
            <w:pPr>
              <w:suppressAutoHyphens/>
              <w:rPr>
                <w:lang w:val="en-GB"/>
              </w:rPr>
            </w:pPr>
            <w:r>
              <w:rPr>
                <w:lang w:val="en-GB"/>
              </w:rPr>
              <w:t>Regular long term license, specific location</w:t>
            </w:r>
          </w:p>
        </w:tc>
        <w:tc>
          <w:tcPr>
            <w:tcW w:w="1843" w:type="dxa"/>
          </w:tcPr>
          <w:p w:rsidR="00411F0B" w:rsidRPr="00A0230A" w:rsidRDefault="00411F0B" w:rsidP="00967D82">
            <w:pPr>
              <w:suppressAutoHyphens/>
              <w:rPr>
                <w:lang w:val="en-GB"/>
              </w:rPr>
            </w:pPr>
            <w:r w:rsidRPr="00DE6353">
              <w:rPr>
                <w:lang w:val="en-GB"/>
              </w:rPr>
              <w:t>TV studio, theatre, stadium</w:t>
            </w:r>
          </w:p>
        </w:tc>
        <w:tc>
          <w:tcPr>
            <w:tcW w:w="2835" w:type="dxa"/>
          </w:tcPr>
          <w:p w:rsidR="00411F0B" w:rsidRPr="00A0230A" w:rsidRDefault="00411F0B" w:rsidP="00967D82">
            <w:pPr>
              <w:suppressAutoHyphens/>
              <w:rPr>
                <w:lang w:val="en-GB"/>
              </w:rPr>
            </w:pPr>
            <w:r w:rsidRPr="00DE6353">
              <w:rPr>
                <w:lang w:val="en-GB"/>
              </w:rPr>
              <w:t>Cordless / Portable</w:t>
            </w:r>
          </w:p>
        </w:tc>
        <w:tc>
          <w:tcPr>
            <w:tcW w:w="3509" w:type="dxa"/>
          </w:tcPr>
          <w:p w:rsidR="00411F0B" w:rsidRPr="00DE6353" w:rsidRDefault="00411F0B" w:rsidP="00967D82">
            <w:pPr>
              <w:suppressAutoHyphens/>
            </w:pPr>
            <w:r w:rsidRPr="00DE6353">
              <w:t>Coexistence with exclusion</w:t>
            </w:r>
            <w:proofErr w:type="gramStart"/>
            <w:r>
              <w:t xml:space="preserve">, </w:t>
            </w:r>
            <w:r w:rsidRPr="00DE6353">
              <w:t xml:space="preserve"> protection</w:t>
            </w:r>
            <w:proofErr w:type="gramEnd"/>
            <w:r>
              <w:t xml:space="preserve"> and/or restriction</w:t>
            </w:r>
            <w:r w:rsidRPr="00DE6353">
              <w:t xml:space="preserve"> zones (may be static).</w:t>
            </w:r>
          </w:p>
          <w:p w:rsidR="00411F0B" w:rsidRPr="00DE6353" w:rsidRDefault="00411F0B" w:rsidP="00967D82">
            <w:pPr>
              <w:suppressAutoHyphens/>
            </w:pPr>
            <w:r w:rsidRPr="00DE6353">
              <w:t>Spectrum vacation using e.g. pre-defined cell re-planning scenarios</w:t>
            </w:r>
          </w:p>
        </w:tc>
      </w:tr>
      <w:tr w:rsidR="00411F0B" w:rsidRPr="00A0230A" w:rsidTr="00967D82">
        <w:tc>
          <w:tcPr>
            <w:tcW w:w="1668" w:type="dxa"/>
          </w:tcPr>
          <w:p w:rsidR="00411F0B" w:rsidRPr="00A0230A" w:rsidRDefault="00411F0B" w:rsidP="00967D82">
            <w:pPr>
              <w:suppressAutoHyphens/>
              <w:rPr>
                <w:lang w:val="en-GB"/>
              </w:rPr>
            </w:pPr>
            <w:r>
              <w:rPr>
                <w:lang w:val="en-GB"/>
              </w:rPr>
              <w:t>Temporary license, specific location</w:t>
            </w:r>
            <w:r w:rsidRPr="00A0230A">
              <w:rPr>
                <w:lang w:val="en-GB"/>
              </w:rPr>
              <w:t xml:space="preserve"> </w:t>
            </w:r>
          </w:p>
        </w:tc>
        <w:tc>
          <w:tcPr>
            <w:tcW w:w="1843" w:type="dxa"/>
          </w:tcPr>
          <w:p w:rsidR="00411F0B" w:rsidRPr="00A0230A" w:rsidRDefault="006A715F" w:rsidP="006A715F">
            <w:pPr>
              <w:suppressAutoHyphens/>
              <w:jc w:val="both"/>
              <w:rPr>
                <w:lang w:val="en-GB"/>
              </w:rPr>
            </w:pPr>
            <w:r>
              <w:rPr>
                <w:lang w:val="en-GB"/>
              </w:rPr>
              <w:t xml:space="preserve">Special events (e.g. </w:t>
            </w:r>
            <w:r w:rsidR="00411F0B" w:rsidRPr="00DE6353">
              <w:rPr>
                <w:lang w:val="en-GB"/>
              </w:rPr>
              <w:t>Cycling races, Marathons, Formula One</w:t>
            </w:r>
            <w:r>
              <w:rPr>
                <w:lang w:val="en-GB"/>
              </w:rPr>
              <w:t>)</w:t>
            </w:r>
          </w:p>
        </w:tc>
        <w:tc>
          <w:tcPr>
            <w:tcW w:w="2835" w:type="dxa"/>
          </w:tcPr>
          <w:p w:rsidR="00411F0B" w:rsidRPr="00A0230A" w:rsidRDefault="00411F0B" w:rsidP="00967D82">
            <w:pPr>
              <w:suppressAutoHyphens/>
              <w:jc w:val="both"/>
              <w:rPr>
                <w:lang w:val="en-GB"/>
              </w:rPr>
            </w:pPr>
            <w:r w:rsidRPr="00DE6353">
              <w:rPr>
                <w:lang w:val="en-GB"/>
              </w:rPr>
              <w:t>Cordless  / Portable / Mobile / Airborne</w:t>
            </w:r>
          </w:p>
        </w:tc>
        <w:tc>
          <w:tcPr>
            <w:tcW w:w="3509" w:type="dxa"/>
          </w:tcPr>
          <w:p w:rsidR="00411F0B" w:rsidRPr="00DE6353" w:rsidRDefault="00411F0B" w:rsidP="00967D82">
            <w:pPr>
              <w:suppressAutoHyphens/>
            </w:pPr>
            <w:r w:rsidRPr="00DE6353">
              <w:t xml:space="preserve">Coexistence with exclusion </w:t>
            </w:r>
            <w:r>
              <w:t xml:space="preserve">and </w:t>
            </w:r>
            <w:r w:rsidRPr="00DE6353">
              <w:t>protection</w:t>
            </w:r>
            <w:r>
              <w:t xml:space="preserve"> </w:t>
            </w:r>
            <w:r w:rsidRPr="00DE6353">
              <w:t>zones.</w:t>
            </w:r>
          </w:p>
          <w:p w:rsidR="00411F0B" w:rsidRPr="00A0230A" w:rsidRDefault="00411F0B" w:rsidP="00967D82">
            <w:pPr>
              <w:suppressAutoHyphens/>
              <w:jc w:val="both"/>
              <w:rPr>
                <w:lang w:val="en-GB"/>
              </w:rPr>
            </w:pPr>
            <w:r w:rsidRPr="00DE6353">
              <w:t>Spectrum vacation using e.g. pre-defined cell re-planning scenarios</w:t>
            </w:r>
          </w:p>
        </w:tc>
      </w:tr>
      <w:tr w:rsidR="00411F0B" w:rsidRPr="00A0230A" w:rsidTr="00967D82">
        <w:tc>
          <w:tcPr>
            <w:tcW w:w="1668" w:type="dxa"/>
          </w:tcPr>
          <w:p w:rsidR="00411F0B" w:rsidRDefault="00411F0B" w:rsidP="00967D82">
            <w:pPr>
              <w:suppressAutoHyphens/>
              <w:rPr>
                <w:lang w:val="en-GB"/>
              </w:rPr>
            </w:pPr>
            <w:r>
              <w:rPr>
                <w:lang w:val="en-GB"/>
              </w:rPr>
              <w:t>Regular long term license, anywhere, anytime</w:t>
            </w:r>
          </w:p>
        </w:tc>
        <w:tc>
          <w:tcPr>
            <w:tcW w:w="1843" w:type="dxa"/>
            <w:vMerge w:val="restart"/>
          </w:tcPr>
          <w:p w:rsidR="00411F0B" w:rsidRPr="00A0230A" w:rsidRDefault="00411F0B" w:rsidP="00967D82">
            <w:pPr>
              <w:suppressAutoHyphens/>
              <w:jc w:val="both"/>
              <w:rPr>
                <w:lang w:val="en-GB"/>
              </w:rPr>
            </w:pPr>
            <w:r w:rsidRPr="00411F0B">
              <w:rPr>
                <w:lang w:val="en-GB"/>
              </w:rPr>
              <w:t>TV news</w:t>
            </w:r>
          </w:p>
        </w:tc>
        <w:tc>
          <w:tcPr>
            <w:tcW w:w="2835" w:type="dxa"/>
            <w:vMerge w:val="restart"/>
          </w:tcPr>
          <w:p w:rsidR="00411F0B" w:rsidRPr="00A0230A" w:rsidRDefault="00411F0B" w:rsidP="00967D82">
            <w:pPr>
              <w:suppressAutoHyphens/>
              <w:jc w:val="both"/>
              <w:rPr>
                <w:lang w:val="en-GB"/>
              </w:rPr>
            </w:pPr>
            <w:r w:rsidRPr="00DE6353">
              <w:rPr>
                <w:lang w:val="en-GB"/>
              </w:rPr>
              <w:t>Cordless / Portable</w:t>
            </w:r>
          </w:p>
        </w:tc>
        <w:tc>
          <w:tcPr>
            <w:tcW w:w="3509" w:type="dxa"/>
            <w:vMerge w:val="restart"/>
          </w:tcPr>
          <w:p w:rsidR="00411F0B" w:rsidRDefault="00411F0B" w:rsidP="00967D82">
            <w:pPr>
              <w:suppressAutoHyphens/>
              <w:jc w:val="both"/>
              <w:rPr>
                <w:lang w:val="en-GB"/>
              </w:rPr>
            </w:pPr>
            <w:r w:rsidRPr="00DE6353">
              <w:t>Coexistence with exclusion &amp; protection zones</w:t>
            </w:r>
          </w:p>
          <w:p w:rsidR="00411F0B" w:rsidRPr="00A0230A" w:rsidRDefault="00411F0B" w:rsidP="00967D82">
            <w:pPr>
              <w:suppressAutoHyphens/>
              <w:jc w:val="both"/>
              <w:rPr>
                <w:lang w:val="en-GB"/>
              </w:rPr>
            </w:pPr>
            <w:r w:rsidRPr="00411F0B">
              <w:rPr>
                <w:lang w:val="en-GB"/>
              </w:rPr>
              <w:t>Instant spectrum vacation</w:t>
            </w:r>
          </w:p>
        </w:tc>
      </w:tr>
      <w:tr w:rsidR="00411F0B" w:rsidRPr="00A0230A" w:rsidTr="00967D82">
        <w:tc>
          <w:tcPr>
            <w:tcW w:w="1668" w:type="dxa"/>
          </w:tcPr>
          <w:p w:rsidR="00411F0B" w:rsidRPr="00A0230A" w:rsidRDefault="00411F0B" w:rsidP="00967D82">
            <w:pPr>
              <w:suppressAutoHyphens/>
              <w:rPr>
                <w:lang w:val="en-GB"/>
              </w:rPr>
            </w:pPr>
            <w:r>
              <w:rPr>
                <w:lang w:val="en-GB"/>
              </w:rPr>
              <w:t>Regular license with short duration, anytime, anywhere</w:t>
            </w:r>
          </w:p>
        </w:tc>
        <w:tc>
          <w:tcPr>
            <w:tcW w:w="1843" w:type="dxa"/>
            <w:vMerge/>
          </w:tcPr>
          <w:p w:rsidR="00411F0B" w:rsidRPr="00A0230A" w:rsidRDefault="00411F0B" w:rsidP="00967D82">
            <w:pPr>
              <w:suppressAutoHyphens/>
              <w:jc w:val="both"/>
              <w:rPr>
                <w:lang w:val="en-GB"/>
              </w:rPr>
            </w:pPr>
          </w:p>
        </w:tc>
        <w:tc>
          <w:tcPr>
            <w:tcW w:w="2835" w:type="dxa"/>
            <w:vMerge/>
          </w:tcPr>
          <w:p w:rsidR="00411F0B" w:rsidRPr="00A0230A" w:rsidRDefault="00411F0B" w:rsidP="00967D82">
            <w:pPr>
              <w:suppressAutoHyphens/>
              <w:jc w:val="both"/>
              <w:rPr>
                <w:lang w:val="en-GB"/>
              </w:rPr>
            </w:pPr>
          </w:p>
        </w:tc>
        <w:tc>
          <w:tcPr>
            <w:tcW w:w="3509" w:type="dxa"/>
            <w:vMerge/>
          </w:tcPr>
          <w:p w:rsidR="00411F0B" w:rsidRPr="00A0230A" w:rsidRDefault="00411F0B" w:rsidP="00967D82">
            <w:pPr>
              <w:suppressAutoHyphens/>
              <w:jc w:val="both"/>
              <w:rPr>
                <w:lang w:val="en-GB"/>
              </w:rPr>
            </w:pPr>
          </w:p>
        </w:tc>
      </w:tr>
    </w:tbl>
    <w:p w:rsidR="005274B2" w:rsidRDefault="005274B2" w:rsidP="005274B2">
      <w:pPr>
        <w:pStyle w:val="berschrift2"/>
      </w:pPr>
      <w:bookmarkStart w:id="41" w:name="_Toc398907413"/>
      <w:bookmarkEnd w:id="40"/>
      <w:r>
        <w:rPr>
          <w:lang w:val="en-GB"/>
        </w:rPr>
        <w:lastRenderedPageBreak/>
        <w:t>Example of implementation</w:t>
      </w:r>
      <w:bookmarkEnd w:id="41"/>
    </w:p>
    <w:p w:rsidR="00C039F5" w:rsidRDefault="00C039F5" w:rsidP="00C039F5">
      <w:pPr>
        <w:rPr>
          <w:lang w:val="en-GB"/>
        </w:rPr>
      </w:pPr>
      <w:r>
        <w:rPr>
          <w:lang w:val="en-GB"/>
        </w:rPr>
        <w:t>An example of the technical implementation of the LSA concept is the Finnish LSA trial system</w:t>
      </w:r>
      <w:r w:rsidR="002F06CE">
        <w:rPr>
          <w:lang w:val="en-GB"/>
        </w:rPr>
        <w:t xml:space="preserve"> </w:t>
      </w:r>
      <w:r w:rsidR="002F06CE">
        <w:rPr>
          <w:lang w:val="en-GB"/>
        </w:rPr>
        <w:fldChar w:fldCharType="begin"/>
      </w:r>
      <w:r w:rsidR="002F06CE">
        <w:rPr>
          <w:lang w:val="en-GB"/>
        </w:rPr>
        <w:instrText xml:space="preserve"> REF _Ref397699167 \r \h </w:instrText>
      </w:r>
      <w:r w:rsidR="002F06CE">
        <w:rPr>
          <w:lang w:val="en-GB"/>
        </w:rPr>
      </w:r>
      <w:r w:rsidR="002F06CE">
        <w:rPr>
          <w:lang w:val="en-GB"/>
        </w:rPr>
        <w:fldChar w:fldCharType="separate"/>
      </w:r>
      <w:r w:rsidR="000C0823">
        <w:rPr>
          <w:lang w:val="en-GB"/>
        </w:rPr>
        <w:t>[12]</w:t>
      </w:r>
      <w:r w:rsidR="002F06CE">
        <w:rPr>
          <w:lang w:val="en-GB"/>
        </w:rPr>
        <w:fldChar w:fldCharType="end"/>
      </w:r>
      <w:r>
        <w:rPr>
          <w:lang w:val="en-GB"/>
        </w:rPr>
        <w:t xml:space="preserve">. In this trial system, the LSA licensee is a mobile operator deploying fully commercial LTE equipment comprising of </w:t>
      </w:r>
      <w:proofErr w:type="spellStart"/>
      <w:r>
        <w:rPr>
          <w:lang w:val="en-GB"/>
        </w:rPr>
        <w:t>aTD</w:t>
      </w:r>
      <w:proofErr w:type="spellEnd"/>
      <w:r>
        <w:rPr>
          <w:lang w:val="en-GB"/>
        </w:rPr>
        <w:t xml:space="preserve">-LTE and FDD-LTE </w:t>
      </w:r>
      <w:proofErr w:type="spellStart"/>
      <w:r>
        <w:rPr>
          <w:lang w:val="en-GB"/>
        </w:rPr>
        <w:t>eNBs</w:t>
      </w:r>
      <w:proofErr w:type="spellEnd"/>
      <w:r>
        <w:rPr>
          <w:lang w:val="en-GB"/>
        </w:rPr>
        <w:t xml:space="preserve">, core network and OAM while the incumbent user is a PMSE video link. The LSA System comprises of LSA Repository and LSA Controller which are used in accordance to the ECC Report 205 </w:t>
      </w:r>
      <w:r w:rsidR="00C264D0">
        <w:rPr>
          <w:lang w:val="en-GB"/>
        </w:rPr>
        <w:fldChar w:fldCharType="begin"/>
      </w:r>
      <w:r w:rsidR="00C264D0">
        <w:rPr>
          <w:lang w:val="en-GB"/>
        </w:rPr>
        <w:instrText xml:space="preserve"> REF _Ref387301720 \r \h </w:instrText>
      </w:r>
      <w:r w:rsidR="00C264D0">
        <w:rPr>
          <w:lang w:val="en-GB"/>
        </w:rPr>
      </w:r>
      <w:r w:rsidR="00C264D0">
        <w:rPr>
          <w:lang w:val="en-GB"/>
        </w:rPr>
        <w:fldChar w:fldCharType="separate"/>
      </w:r>
      <w:r w:rsidR="000C0823">
        <w:rPr>
          <w:lang w:val="en-GB"/>
        </w:rPr>
        <w:t>[5]</w:t>
      </w:r>
      <w:r w:rsidR="00C264D0">
        <w:rPr>
          <w:lang w:val="en-GB"/>
        </w:rPr>
        <w:fldChar w:fldCharType="end"/>
      </w:r>
      <w:r w:rsidR="00C264D0">
        <w:rPr>
          <w:lang w:val="en-GB"/>
        </w:rPr>
        <w:t xml:space="preserve">, </w:t>
      </w:r>
      <w:r>
        <w:rPr>
          <w:lang w:val="en-GB"/>
        </w:rPr>
        <w:t xml:space="preserve">Section 5.6.1. The trial system has been implemented using commercially available building blocks as much as possible. The mobile operator has an LSA license to operate on the 2.36-2.40 GHz band and it uses this band to deploy an LSA network. When the incumbent needs to access a portion of this LSA band it can send an evacuation request to the </w:t>
      </w:r>
      <w:r w:rsidR="00F70EE6">
        <w:rPr>
          <w:lang w:val="en-GB"/>
        </w:rPr>
        <w:t>WBB</w:t>
      </w:r>
      <w:r>
        <w:rPr>
          <w:lang w:val="en-GB"/>
        </w:rPr>
        <w:t xml:space="preserve"> via Internet or mobile application in a secure manner using a simple interface.  As the evacuation request arrives to the mobile operator, it closes the affected TD-LTE </w:t>
      </w:r>
      <w:proofErr w:type="spellStart"/>
      <w:r>
        <w:rPr>
          <w:lang w:val="en-GB"/>
        </w:rPr>
        <w:t>eNBs</w:t>
      </w:r>
      <w:proofErr w:type="spellEnd"/>
      <w:r>
        <w:rPr>
          <w:lang w:val="en-GB"/>
        </w:rPr>
        <w:t xml:space="preserve"> either by locking</w:t>
      </w:r>
      <w:r w:rsidR="00645136">
        <w:rPr>
          <w:lang w:val="en-GB"/>
        </w:rPr>
        <w:t xml:space="preserve"> the cell</w:t>
      </w:r>
      <w:r>
        <w:rPr>
          <w:lang w:val="en-GB"/>
        </w:rPr>
        <w:t xml:space="preserve"> or using graceful shutdown. As a consequence, the commercially available UEs on the LSA band are able to make an automatic cell re-selection or seamless handover FDD </w:t>
      </w:r>
      <w:proofErr w:type="spellStart"/>
      <w:r>
        <w:rPr>
          <w:lang w:val="en-GB"/>
        </w:rPr>
        <w:t>eNBs</w:t>
      </w:r>
      <w:proofErr w:type="spellEnd"/>
      <w:r>
        <w:rPr>
          <w:lang w:val="en-GB"/>
        </w:rPr>
        <w:t xml:space="preserve">. </w:t>
      </w:r>
    </w:p>
    <w:p w:rsidR="00DE1DD4" w:rsidRPr="008E5D4B" w:rsidRDefault="00C039F5" w:rsidP="00C039F5">
      <w:pPr>
        <w:spacing w:after="240"/>
        <w:rPr>
          <w:b/>
          <w:lang w:val="en-GB"/>
        </w:rPr>
      </w:pPr>
      <w:r>
        <w:rPr>
          <w:lang w:val="en-GB"/>
        </w:rPr>
        <w:t xml:space="preserve">With the Finnish LSA trial environment it has been shown that after the evacuation request is made by the incumbent it takes a bit over 30 seconds for the </w:t>
      </w:r>
      <w:r w:rsidR="00F70EE6">
        <w:rPr>
          <w:lang w:val="en-GB"/>
        </w:rPr>
        <w:t>WBB</w:t>
      </w:r>
      <w:r>
        <w:rPr>
          <w:lang w:val="en-GB"/>
        </w:rPr>
        <w:t xml:space="preserve"> to evacuate a spectrum band by locking the affected </w:t>
      </w:r>
      <w:proofErr w:type="spellStart"/>
      <w:r>
        <w:rPr>
          <w:lang w:val="en-GB"/>
        </w:rPr>
        <w:t>eNBs</w:t>
      </w:r>
      <w:proofErr w:type="spellEnd"/>
      <w:r>
        <w:rPr>
          <w:lang w:val="en-GB"/>
        </w:rPr>
        <w:t xml:space="preserve"> and the same amount of time to send a confirmation of the successful evacuation back to the incumbent. Further details on the technical implementation of the Finnish LSA trials as well as more deliberation on the obtained results can be found in the </w:t>
      </w:r>
      <w:r w:rsidR="00631CCB">
        <w:rPr>
          <w:highlight w:val="yellow"/>
          <w:lang w:val="en-GB"/>
        </w:rPr>
        <w:fldChar w:fldCharType="begin"/>
      </w:r>
      <w:r w:rsidR="00631CCB">
        <w:rPr>
          <w:lang w:val="en-GB"/>
        </w:rPr>
        <w:instrText xml:space="preserve"> REF _Ref398238236 \r \h </w:instrText>
      </w:r>
      <w:r w:rsidR="00631CCB">
        <w:rPr>
          <w:highlight w:val="yellow"/>
          <w:lang w:val="en-GB"/>
        </w:rPr>
      </w:r>
      <w:r w:rsidR="00631CCB">
        <w:rPr>
          <w:highlight w:val="yellow"/>
          <w:lang w:val="en-GB"/>
        </w:rPr>
        <w:fldChar w:fldCharType="separate"/>
      </w:r>
      <w:r w:rsidR="000C0823">
        <w:rPr>
          <w:lang w:val="en-GB"/>
        </w:rPr>
        <w:t>ANNEX 2:</w:t>
      </w:r>
      <w:r w:rsidR="00631CCB">
        <w:rPr>
          <w:highlight w:val="yellow"/>
          <w:lang w:val="en-GB"/>
        </w:rPr>
        <w:fldChar w:fldCharType="end"/>
      </w:r>
      <w:r>
        <w:rPr>
          <w:lang w:val="en-GB"/>
        </w:rPr>
        <w:t>.</w:t>
      </w:r>
    </w:p>
    <w:p w:rsidR="00844645" w:rsidRPr="00844645" w:rsidRDefault="00844645" w:rsidP="00844645">
      <w:pPr>
        <w:pStyle w:val="ECCParagraph"/>
        <w:rPr>
          <w:lang w:val="en-US"/>
        </w:rPr>
      </w:pPr>
    </w:p>
    <w:p w:rsidR="00DE1DD4" w:rsidRDefault="00DE1DD4" w:rsidP="005274B2">
      <w:pPr>
        <w:pStyle w:val="ECCParagraph"/>
      </w:pPr>
    </w:p>
    <w:p w:rsidR="005274B2" w:rsidRDefault="005274B2" w:rsidP="005274B2">
      <w:pPr>
        <w:pStyle w:val="ECCParagraph"/>
      </w:pPr>
    </w:p>
    <w:p w:rsidR="005274B2" w:rsidRDefault="005274B2" w:rsidP="005274B2">
      <w:pPr>
        <w:pStyle w:val="berschrift1"/>
      </w:pPr>
      <w:bookmarkStart w:id="42" w:name="_Ref398245594"/>
      <w:bookmarkStart w:id="43" w:name="_Toc398907414"/>
      <w:r>
        <w:lastRenderedPageBreak/>
        <w:t>Sharing scenarios</w:t>
      </w:r>
      <w:r w:rsidRPr="00CF10ED">
        <w:t xml:space="preserve"> for the </w:t>
      </w:r>
      <w:r>
        <w:t xml:space="preserve">coexistence between </w:t>
      </w:r>
      <w:r w:rsidRPr="00CF10ED">
        <w:t>telemetry systems</w:t>
      </w:r>
      <w:bookmarkEnd w:id="42"/>
      <w:r w:rsidR="0073230C">
        <w:t xml:space="preserve"> and WBB</w:t>
      </w:r>
      <w:bookmarkEnd w:id="43"/>
    </w:p>
    <w:p w:rsidR="005274B2" w:rsidRDefault="005274B2" w:rsidP="005274B2">
      <w:pPr>
        <w:pStyle w:val="berschrift2"/>
        <w:rPr>
          <w:lang w:val="en-GB"/>
        </w:rPr>
      </w:pPr>
      <w:bookmarkStart w:id="44" w:name="_Toc398907415"/>
      <w:r>
        <w:rPr>
          <w:lang w:val="en-GB"/>
        </w:rPr>
        <w:t>S</w:t>
      </w:r>
      <w:r w:rsidRPr="00CF10ED">
        <w:rPr>
          <w:lang w:val="en-GB"/>
        </w:rPr>
        <w:t xml:space="preserve">cenarios for </w:t>
      </w:r>
      <w:r>
        <w:rPr>
          <w:lang w:val="en-GB"/>
        </w:rPr>
        <w:t>telemetry</w:t>
      </w:r>
      <w:bookmarkEnd w:id="44"/>
    </w:p>
    <w:p w:rsidR="005274B2" w:rsidRPr="00CF10ED" w:rsidRDefault="005274B2" w:rsidP="005274B2">
      <w:pPr>
        <w:pStyle w:val="berschrift3"/>
        <w:rPr>
          <w:lang w:val="en-GB"/>
        </w:rPr>
      </w:pPr>
      <w:bookmarkStart w:id="45" w:name="_Toc398907416"/>
      <w:r>
        <w:rPr>
          <w:lang w:val="en-GB"/>
        </w:rPr>
        <w:t xml:space="preserve">Deployment assumptions </w:t>
      </w:r>
      <w:r w:rsidRPr="00CF10ED">
        <w:rPr>
          <w:lang w:val="en-GB"/>
        </w:rPr>
        <w:t xml:space="preserve">for </w:t>
      </w:r>
      <w:r>
        <w:rPr>
          <w:lang w:val="en-GB"/>
        </w:rPr>
        <w:t>Telemetry</w:t>
      </w:r>
      <w:bookmarkEnd w:id="45"/>
    </w:p>
    <w:p w:rsidR="005E1BCA" w:rsidRDefault="005E1BCA" w:rsidP="005E1BCA">
      <w:pPr>
        <w:pStyle w:val="ECCParagraph"/>
      </w:pPr>
      <w:r>
        <w:t>The scenarios involving terrestrial telemetry ground stations are assumed to be covered by the scenarios involving aeronautical telemetry ground stations. Therefore, there is no scenario per se in this study involving terrestrial telemetry.</w:t>
      </w:r>
    </w:p>
    <w:p w:rsidR="005E1BCA" w:rsidRDefault="005E1BCA" w:rsidP="005E1BCA">
      <w:pPr>
        <w:pStyle w:val="ECCParagraph"/>
        <w:rPr>
          <w:lang w:val="en-US"/>
        </w:rPr>
      </w:pPr>
      <w:r>
        <w:rPr>
          <w:rFonts w:cs="Arial"/>
        </w:rPr>
        <w:t xml:space="preserve">Aeronautical telemetry and </w:t>
      </w:r>
      <w:proofErr w:type="spellStart"/>
      <w:r>
        <w:rPr>
          <w:rFonts w:cs="Arial"/>
        </w:rPr>
        <w:t>telecommand</w:t>
      </w:r>
      <w:proofErr w:type="spellEnd"/>
      <w:r>
        <w:rPr>
          <w:rFonts w:cs="Arial"/>
        </w:rPr>
        <w:t xml:space="preserve"> operations are used for flight testing of manned and unmanned aerospace vehicles. These systems contribute to the security tests</w:t>
      </w:r>
      <w:r w:rsidRPr="003E5522">
        <w:t xml:space="preserve"> </w:t>
      </w:r>
      <w:r w:rsidRPr="00215D73">
        <w:t xml:space="preserve">and support </w:t>
      </w:r>
      <w:r>
        <w:t xml:space="preserve">also </w:t>
      </w:r>
      <w:r w:rsidRPr="00215D73">
        <w:t>the certification process</w:t>
      </w:r>
      <w:r>
        <w:rPr>
          <w:rFonts w:cs="Arial"/>
        </w:rPr>
        <w:t xml:space="preserve">. Vehicles are tested to their design limits, thus making safety of flight dependent on the reliability of information received on a real-time basis. </w:t>
      </w:r>
    </w:p>
    <w:p w:rsidR="005E1BCA" w:rsidRPr="00631CCB" w:rsidRDefault="005E1BCA" w:rsidP="005E1BCA">
      <w:pPr>
        <w:pStyle w:val="ECCParagraph"/>
        <w:rPr>
          <w:lang w:val="en-US"/>
        </w:rPr>
      </w:pPr>
      <w:r>
        <w:rPr>
          <w:lang w:val="en-US"/>
        </w:rPr>
        <w:t xml:space="preserve">It is expected that the </w:t>
      </w:r>
      <w:r w:rsidRPr="00215D73">
        <w:t xml:space="preserve">transmitted data </w:t>
      </w:r>
      <w:r>
        <w:t>would require</w:t>
      </w:r>
      <w:r w:rsidRPr="00215D73">
        <w:t xml:space="preserve"> a high integrity level</w:t>
      </w:r>
      <w:r w:rsidR="00D02C71">
        <w:t>,</w:t>
      </w:r>
      <w:r>
        <w:t xml:space="preserve"> taking into account national </w:t>
      </w:r>
      <w:proofErr w:type="gramStart"/>
      <w:r>
        <w:t>circumstances</w:t>
      </w:r>
      <w:r w:rsidR="00D02C71">
        <w:t>,</w:t>
      </w:r>
      <w:proofErr w:type="gramEnd"/>
      <w:r w:rsidR="00D02C71">
        <w:t xml:space="preserve"> an example of required protection is 99.5 % of the test period</w:t>
      </w:r>
      <w:r>
        <w:t>.</w:t>
      </w:r>
    </w:p>
    <w:p w:rsidR="005274B2" w:rsidRDefault="005E1BCA" w:rsidP="005E1BCA">
      <w:pPr>
        <w:pStyle w:val="ECCParagraph"/>
      </w:pPr>
      <w:r>
        <w:t>The relevant scenario</w:t>
      </w:r>
      <w:r>
        <w:rPr>
          <w:szCs w:val="20"/>
        </w:rPr>
        <w:t>s</w:t>
      </w:r>
      <w:r>
        <w:t xml:space="preserve"> involving WBB as the interferer (both base stations and user equipment’s) with telemetry ground station as the victim are shown in </w:t>
      </w:r>
      <w:r>
        <w:fldChar w:fldCharType="begin"/>
      </w:r>
      <w:r>
        <w:instrText xml:space="preserve"> REF _Ref391975621 \h </w:instrText>
      </w:r>
      <w:r>
        <w:fldChar w:fldCharType="separate"/>
      </w:r>
      <w:r w:rsidR="000C0823" w:rsidRPr="00A0230A">
        <w:t xml:space="preserve">Figure </w:t>
      </w:r>
      <w:r w:rsidR="000C0823">
        <w:rPr>
          <w:noProof/>
        </w:rPr>
        <w:t>12</w:t>
      </w:r>
      <w:r>
        <w:fldChar w:fldCharType="end"/>
      </w:r>
      <w:r>
        <w:fldChar w:fldCharType="begin"/>
      </w:r>
      <w:r>
        <w:instrText xml:space="preserve"> REF _Ref305045917 \n \h  \* MERGEFORMAT </w:instrText>
      </w:r>
      <w:r>
        <w:fldChar w:fldCharType="separate"/>
      </w:r>
      <w:r w:rsidR="000C0823">
        <w:t>0</w:t>
      </w:r>
      <w:r>
        <w:fldChar w:fldCharType="end"/>
      </w:r>
      <w:r>
        <w:t>.</w:t>
      </w:r>
    </w:p>
    <w:p w:rsidR="005274B2" w:rsidRDefault="005274B2" w:rsidP="005274B2">
      <w:pPr>
        <w:pStyle w:val="ECCParagraph"/>
        <w:jc w:val="center"/>
        <w:rPr>
          <w:rFonts w:cs="Arial"/>
        </w:rPr>
      </w:pPr>
      <w:r>
        <w:rPr>
          <w:noProof/>
          <w:lang w:eastAsia="en-GB"/>
        </w:rPr>
        <w:drawing>
          <wp:inline distT="0" distB="0" distL="0" distR="0" wp14:anchorId="15727A0E" wp14:editId="63C12A8C">
            <wp:extent cx="4250055" cy="2428875"/>
            <wp:effectExtent l="0" t="0" r="0" b="9525"/>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0055" cy="2428875"/>
                    </a:xfrm>
                    <a:prstGeom prst="rect">
                      <a:avLst/>
                    </a:prstGeom>
                    <a:noFill/>
                    <a:ln>
                      <a:noFill/>
                    </a:ln>
                  </pic:spPr>
                </pic:pic>
              </a:graphicData>
            </a:graphic>
          </wp:inline>
        </w:drawing>
      </w:r>
    </w:p>
    <w:p w:rsidR="005274B2" w:rsidRDefault="005274B2" w:rsidP="005274B2">
      <w:pPr>
        <w:pStyle w:val="ECCFiguretitle"/>
        <w:numPr>
          <w:ilvl w:val="0"/>
          <w:numId w:val="0"/>
        </w:numPr>
      </w:pPr>
      <w:bookmarkStart w:id="46" w:name="_Ref391975621"/>
      <w:bookmarkStart w:id="47" w:name="_Ref305045917"/>
      <w:r w:rsidRPr="00A0230A">
        <w:t xml:space="preserve">Figure </w:t>
      </w:r>
      <w:fldSimple w:instr=" SEQ Figure \* ARABIC ">
        <w:r w:rsidR="000C0823">
          <w:rPr>
            <w:noProof/>
          </w:rPr>
          <w:t>12</w:t>
        </w:r>
      </w:fldSimple>
      <w:bookmarkEnd w:id="46"/>
      <w:r w:rsidRPr="00A0230A">
        <w:t xml:space="preserve">: </w:t>
      </w:r>
      <w:r>
        <w:t xml:space="preserve">Interference paths from </w:t>
      </w:r>
      <w:r w:rsidR="008C0390">
        <w:t>WBB</w:t>
      </w:r>
      <w:r>
        <w:t xml:space="preserve"> systems to telemetry ground stations</w:t>
      </w:r>
      <w:bookmarkEnd w:id="47"/>
    </w:p>
    <w:p w:rsidR="005274B2" w:rsidRDefault="005274B2" w:rsidP="005274B2">
      <w:pPr>
        <w:pStyle w:val="ECCParagraph"/>
      </w:pPr>
      <w:r>
        <w:t xml:space="preserve">The relevant scenarios involving aeronautical telemetry transmitter as the interferer with </w:t>
      </w:r>
      <w:r w:rsidR="008C0390">
        <w:t xml:space="preserve">WBB </w:t>
      </w:r>
      <w:r>
        <w:t>system</w:t>
      </w:r>
      <w:r w:rsidR="008C0390">
        <w:t>s</w:t>
      </w:r>
      <w:r>
        <w:t xml:space="preserve"> (</w:t>
      </w:r>
      <w:r w:rsidR="008C0390">
        <w:t xml:space="preserve">LTE, </w:t>
      </w:r>
      <w:r>
        <w:t xml:space="preserve">both base stations and user equipment) as the victim are shown in </w:t>
      </w:r>
      <w:r>
        <w:fldChar w:fldCharType="begin"/>
      </w:r>
      <w:r>
        <w:instrText xml:space="preserve"> REF _Ref391975639 \h </w:instrText>
      </w:r>
      <w:r>
        <w:fldChar w:fldCharType="separate"/>
      </w:r>
      <w:r w:rsidR="000C0823" w:rsidRPr="00A0230A">
        <w:t xml:space="preserve">Figure </w:t>
      </w:r>
      <w:r w:rsidR="000C0823">
        <w:rPr>
          <w:noProof/>
        </w:rPr>
        <w:t>13</w:t>
      </w:r>
      <w:r>
        <w:fldChar w:fldCharType="end"/>
      </w:r>
      <w:r>
        <w:t>.</w:t>
      </w:r>
    </w:p>
    <w:p w:rsidR="005274B2" w:rsidRDefault="005274B2" w:rsidP="005274B2">
      <w:pPr>
        <w:pStyle w:val="ECCParBulleted"/>
        <w:numPr>
          <w:ilvl w:val="0"/>
          <w:numId w:val="0"/>
        </w:numPr>
        <w:tabs>
          <w:tab w:val="left" w:pos="708"/>
        </w:tabs>
        <w:jc w:val="center"/>
        <w:rPr>
          <w:rFonts w:cs="Arial"/>
        </w:rPr>
      </w:pPr>
    </w:p>
    <w:p w:rsidR="005274B2" w:rsidRDefault="005274B2" w:rsidP="005274B2">
      <w:pPr>
        <w:pStyle w:val="ECCParBulleted"/>
        <w:numPr>
          <w:ilvl w:val="0"/>
          <w:numId w:val="0"/>
        </w:numPr>
        <w:tabs>
          <w:tab w:val="left" w:pos="708"/>
        </w:tabs>
        <w:jc w:val="center"/>
        <w:rPr>
          <w:rFonts w:cs="Arial"/>
          <w:b/>
          <w:bCs/>
        </w:rPr>
      </w:pPr>
    </w:p>
    <w:p w:rsidR="005274B2" w:rsidRDefault="005274B2" w:rsidP="005274B2">
      <w:pPr>
        <w:pStyle w:val="ECCParBulleted"/>
        <w:keepNext/>
        <w:numPr>
          <w:ilvl w:val="0"/>
          <w:numId w:val="0"/>
        </w:numPr>
        <w:tabs>
          <w:tab w:val="left" w:pos="708"/>
        </w:tabs>
        <w:jc w:val="center"/>
        <w:rPr>
          <w:rFonts w:cs="Arial"/>
          <w:b/>
          <w:bCs/>
        </w:rPr>
      </w:pPr>
      <w:r>
        <w:rPr>
          <w:noProof/>
          <w:lang w:eastAsia="en-GB"/>
        </w:rPr>
        <w:lastRenderedPageBreak/>
        <w:drawing>
          <wp:inline distT="0" distB="0" distL="0" distR="0" wp14:anchorId="048A374C" wp14:editId="45780A71">
            <wp:extent cx="4513580" cy="2399665"/>
            <wp:effectExtent l="0" t="0" r="1270" b="635"/>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3580" cy="2399665"/>
                    </a:xfrm>
                    <a:prstGeom prst="rect">
                      <a:avLst/>
                    </a:prstGeom>
                    <a:noFill/>
                    <a:ln>
                      <a:noFill/>
                    </a:ln>
                  </pic:spPr>
                </pic:pic>
              </a:graphicData>
            </a:graphic>
          </wp:inline>
        </w:drawing>
      </w:r>
    </w:p>
    <w:p w:rsidR="005274B2" w:rsidRDefault="005274B2" w:rsidP="005274B2">
      <w:pPr>
        <w:pStyle w:val="ECCFiguretitle"/>
        <w:keepNext/>
        <w:numPr>
          <w:ilvl w:val="0"/>
          <w:numId w:val="0"/>
        </w:numPr>
      </w:pPr>
      <w:bookmarkStart w:id="48" w:name="_Ref391975639"/>
      <w:r w:rsidRPr="00A0230A">
        <w:t xml:space="preserve">Figure </w:t>
      </w:r>
      <w:fldSimple w:instr=" SEQ Figure \* ARABIC ">
        <w:r w:rsidR="000C0823">
          <w:rPr>
            <w:noProof/>
          </w:rPr>
          <w:t>13</w:t>
        </w:r>
      </w:fldSimple>
      <w:bookmarkEnd w:id="48"/>
      <w:r w:rsidRPr="00A0230A">
        <w:t xml:space="preserve">: </w:t>
      </w:r>
      <w:r>
        <w:t xml:space="preserve">Interference paths from aeronautical telemetry transmitter to </w:t>
      </w:r>
      <w:r w:rsidR="008C0390">
        <w:t>WBB</w:t>
      </w:r>
      <w:r>
        <w:t xml:space="preserve"> BS</w:t>
      </w:r>
    </w:p>
    <w:p w:rsidR="005274B2" w:rsidRPr="00CF10ED" w:rsidRDefault="005274B2" w:rsidP="005274B2">
      <w:pPr>
        <w:pStyle w:val="berschrift3"/>
        <w:rPr>
          <w:lang w:val="en-GB"/>
        </w:rPr>
      </w:pPr>
      <w:bookmarkStart w:id="49" w:name="_Toc398907417"/>
      <w:r>
        <w:rPr>
          <w:lang w:val="en-GB"/>
        </w:rPr>
        <w:t xml:space="preserve">Operational footprint </w:t>
      </w:r>
      <w:r w:rsidRPr="00CF10ED">
        <w:rPr>
          <w:lang w:val="en-GB"/>
        </w:rPr>
        <w:t xml:space="preserve">for </w:t>
      </w:r>
      <w:r>
        <w:rPr>
          <w:lang w:val="en-GB"/>
        </w:rPr>
        <w:t>Telemetry</w:t>
      </w:r>
      <w:bookmarkEnd w:id="49"/>
    </w:p>
    <w:p w:rsidR="005E1BCA" w:rsidRPr="00631CCB" w:rsidRDefault="005E1BCA" w:rsidP="005E1BCA">
      <w:pPr>
        <w:pStyle w:val="ECCParagraph"/>
        <w:rPr>
          <w:lang w:val="en-US"/>
        </w:rPr>
      </w:pPr>
      <w:r w:rsidRPr="00CF10ED">
        <w:t xml:space="preserve">Both airborne and terrestrial telemetry applications are used in the band as described in ECC Report 172 </w:t>
      </w:r>
      <w:r w:rsidR="002F06CE">
        <w:fldChar w:fldCharType="begin"/>
      </w:r>
      <w:r w:rsidR="002F06CE">
        <w:instrText xml:space="preserve"> REF _Ref377653985 \r \h </w:instrText>
      </w:r>
      <w:r w:rsidR="002F06CE">
        <w:fldChar w:fldCharType="separate"/>
      </w:r>
      <w:r w:rsidR="000C0823">
        <w:t>[6</w:t>
      </w:r>
      <w:proofErr w:type="gramStart"/>
      <w:r w:rsidR="000C0823">
        <w:t>]</w:t>
      </w:r>
      <w:proofErr w:type="gramEnd"/>
      <w:r w:rsidR="002F06CE">
        <w:fldChar w:fldCharType="end"/>
      </w:r>
      <w:r w:rsidRPr="00CF10ED">
        <w:fldChar w:fldCharType="begin"/>
      </w:r>
      <w:r w:rsidRPr="00CF10ED">
        <w:instrText xml:space="preserve"> REF _Ref373425452 \r \h </w:instrText>
      </w:r>
      <w:r w:rsidRPr="00CF10ED">
        <w:fldChar w:fldCharType="separate"/>
      </w:r>
      <w:r w:rsidR="000C0823">
        <w:t>[6]</w:t>
      </w:r>
      <w:r w:rsidRPr="00CF10ED">
        <w:fldChar w:fldCharType="end"/>
      </w:r>
      <w:r w:rsidRPr="00CF10ED">
        <w:t>. These are expected to be scheduled activities often planned well in advance.</w:t>
      </w:r>
      <w:r>
        <w:t xml:space="preserve"> The use of additional mobile stations for a network support is dependant of the type of the test mission</w:t>
      </w:r>
      <w:r w:rsidR="00C264D0">
        <w:t>.</w:t>
      </w:r>
      <w:r w:rsidR="00D07572">
        <w:t xml:space="preserve"> In some cases, </w:t>
      </w:r>
      <w:r>
        <w:t>part of the flight path of a test mission is done at a low elevation angle of 2° and lower, with the height of the ground station as reference.</w:t>
      </w:r>
    </w:p>
    <w:p w:rsidR="005E1BCA" w:rsidRDefault="005E1BCA" w:rsidP="005E1BCA">
      <w:pPr>
        <w:pStyle w:val="ECCParagraph"/>
      </w:pPr>
      <w:r>
        <w:t>In order to estimate the operational footprint for telemetry, several parameters need to be known:</w:t>
      </w:r>
    </w:p>
    <w:p w:rsidR="005E1BCA" w:rsidRDefault="005E1BCA" w:rsidP="00631CCB">
      <w:pPr>
        <w:pStyle w:val="ECCBulletsLv1"/>
      </w:pPr>
      <w:r>
        <w:t>The location of the telemetry sites: The telemetry ground station is normally fixed at a given location.</w:t>
      </w:r>
    </w:p>
    <w:p w:rsidR="005E1BCA" w:rsidRDefault="005E1BCA" w:rsidP="00631CCB">
      <w:pPr>
        <w:pStyle w:val="ECCBulletsLv1"/>
      </w:pPr>
      <w:r>
        <w:t>The zone of usage: The flight path of the airborne is usually known in advance.</w:t>
      </w:r>
    </w:p>
    <w:p w:rsidR="005E1BCA" w:rsidRDefault="005E1BCA" w:rsidP="00631CCB">
      <w:pPr>
        <w:pStyle w:val="ECCBulletsLv1"/>
      </w:pPr>
      <w:r>
        <w:t>The frequency bands which need protection, usually known in advance. Several test missions can be run simultaneously, each on individual frequencies.</w:t>
      </w:r>
    </w:p>
    <w:p w:rsidR="005E1BCA" w:rsidRDefault="005E1BCA" w:rsidP="00631CCB">
      <w:pPr>
        <w:pStyle w:val="ECCBulletsLv1"/>
      </w:pPr>
      <w:r w:rsidRPr="00825488">
        <w:t>Time period when the restriction</w:t>
      </w:r>
      <w:r>
        <w:t xml:space="preserve"> on LSA licensee</w:t>
      </w:r>
      <w:r w:rsidRPr="00825488">
        <w:t xml:space="preserve"> is applicable</w:t>
      </w:r>
      <w:r>
        <w:t>. Estimate also the overall time usage over a long period.</w:t>
      </w:r>
    </w:p>
    <w:p w:rsidR="00631CCB" w:rsidRDefault="00631CCB" w:rsidP="005E1BCA">
      <w:pPr>
        <w:pStyle w:val="ECCParagraph"/>
      </w:pPr>
    </w:p>
    <w:p w:rsidR="009B3C79" w:rsidRPr="009B3C79" w:rsidRDefault="005E1BCA" w:rsidP="009B3C79">
      <w:pPr>
        <w:pStyle w:val="ECCParagraph"/>
        <w:rPr>
          <w:lang w:val="en-US"/>
        </w:rPr>
      </w:pPr>
      <w:r>
        <w:t xml:space="preserve">With all these information, it is possible to evaluate the operational footprint for telemetry, but also, combined </w:t>
      </w:r>
      <w:r w:rsidRPr="00F70EE6">
        <w:t>with the sharing possibilities, the opportunities in the band for the possible LSA licensees. It has to be considered that some telemetric uses, in particular positioning of military mobile telemetry receiver stations, might be classified and maintained secrecy in general, e.g. from the LSA licensees and possibly the NRA</w:t>
      </w:r>
      <w:r w:rsidR="005E4073" w:rsidRPr="00F70EE6">
        <w:t xml:space="preserve"> (see</w:t>
      </w:r>
      <w:r w:rsidRPr="00F70EE6">
        <w:t xml:space="preserve"> section </w:t>
      </w:r>
      <w:r w:rsidR="00F70EE6" w:rsidRPr="00F70EE6">
        <w:fldChar w:fldCharType="begin"/>
      </w:r>
      <w:r w:rsidR="00F70EE6" w:rsidRPr="00F70EE6">
        <w:instrText xml:space="preserve"> REF _Ref398562011 \r \h </w:instrText>
      </w:r>
      <w:r w:rsidR="00F70EE6">
        <w:instrText xml:space="preserve"> \* MERGEFORMAT </w:instrText>
      </w:r>
      <w:r w:rsidR="00F70EE6" w:rsidRPr="00F70EE6">
        <w:fldChar w:fldCharType="separate"/>
      </w:r>
      <w:r w:rsidR="000C0823">
        <w:t>3.2</w:t>
      </w:r>
      <w:r w:rsidR="00F70EE6" w:rsidRPr="00F70EE6">
        <w:fldChar w:fldCharType="end"/>
      </w:r>
      <w:r w:rsidR="005E4073" w:rsidRPr="00F70EE6">
        <w:t>).</w:t>
      </w:r>
    </w:p>
    <w:p w:rsidR="005274B2" w:rsidRDefault="005274B2" w:rsidP="009B3C79">
      <w:pPr>
        <w:pStyle w:val="berschrift2"/>
        <w:rPr>
          <w:lang w:val="en-GB"/>
        </w:rPr>
      </w:pPr>
      <w:bookmarkStart w:id="50" w:name="_Toc398907418"/>
      <w:r>
        <w:rPr>
          <w:lang w:val="en-GB"/>
        </w:rPr>
        <w:t>Options for sharing</w:t>
      </w:r>
      <w:bookmarkEnd w:id="50"/>
    </w:p>
    <w:p w:rsidR="005E1BCA" w:rsidRDefault="005E1BCA" w:rsidP="005E1BCA">
      <w:pPr>
        <w:pStyle w:val="ECCParagraph"/>
      </w:pPr>
      <w:r>
        <w:t>It is important to develop some studies in order to assess the impacts in co-channel and adjacent channel at national level.</w:t>
      </w:r>
    </w:p>
    <w:p w:rsidR="005274B2" w:rsidRDefault="005E1BCA" w:rsidP="005E1BCA">
      <w:pPr>
        <w:pStyle w:val="ECCParagraph"/>
      </w:pPr>
      <w:r>
        <w:t xml:space="preserve">According to ECC </w:t>
      </w:r>
      <w:r w:rsidR="00F70EE6">
        <w:t>R</w:t>
      </w:r>
      <w:r>
        <w:t>eport 172</w:t>
      </w:r>
      <w:r w:rsidR="002F06CE">
        <w:t xml:space="preserve"> </w:t>
      </w:r>
      <w:r w:rsidR="002F06CE">
        <w:fldChar w:fldCharType="begin"/>
      </w:r>
      <w:r w:rsidR="002F06CE">
        <w:instrText xml:space="preserve"> REF _Ref377653985 \r \h </w:instrText>
      </w:r>
      <w:r w:rsidR="002F06CE">
        <w:fldChar w:fldCharType="separate"/>
      </w:r>
      <w:r w:rsidR="000C0823">
        <w:t>[6]</w:t>
      </w:r>
      <w:r w:rsidR="002F06CE">
        <w:fldChar w:fldCharType="end"/>
      </w:r>
      <w:r>
        <w:t>, i</w:t>
      </w:r>
      <w:r w:rsidRPr="00CF10ED">
        <w:t xml:space="preserve">ncumbent Telemetry applications can coexist with </w:t>
      </w:r>
      <w:r w:rsidR="00F70EE6">
        <w:t>WBB</w:t>
      </w:r>
      <w:r w:rsidRPr="00CF10ED">
        <w:t xml:space="preserve"> applications at the same time through the use of either geographic separation if co-frequency operation is expected or a combination of separation distance and frequency separation if co-located operation is anticipated.</w:t>
      </w:r>
    </w:p>
    <w:p w:rsidR="005274B2" w:rsidRPr="005E4073" w:rsidRDefault="005274B2" w:rsidP="005E4073">
      <w:pPr>
        <w:pStyle w:val="berschrift3"/>
        <w:rPr>
          <w:lang w:val="en-GB"/>
        </w:rPr>
      </w:pPr>
      <w:bookmarkStart w:id="51" w:name="_Toc398907419"/>
      <w:r w:rsidRPr="005E4073">
        <w:rPr>
          <w:lang w:val="en-GB"/>
        </w:rPr>
        <w:t xml:space="preserve">Interference from </w:t>
      </w:r>
      <w:r w:rsidR="008C0390">
        <w:rPr>
          <w:lang w:val="en-GB"/>
        </w:rPr>
        <w:t>WBB</w:t>
      </w:r>
      <w:r w:rsidRPr="005E4073">
        <w:rPr>
          <w:lang w:val="en-GB"/>
        </w:rPr>
        <w:t xml:space="preserve"> to Telemetry</w:t>
      </w:r>
      <w:bookmarkEnd w:id="51"/>
    </w:p>
    <w:p w:rsidR="005274B2" w:rsidRPr="00F36AB3" w:rsidRDefault="005274B2" w:rsidP="005274B2">
      <w:pPr>
        <w:pStyle w:val="ECCParagraph"/>
      </w:pPr>
      <w:r w:rsidRPr="00F36AB3">
        <w:t xml:space="preserve">Relevant interference protection considerations involve </w:t>
      </w:r>
      <w:r w:rsidR="008C0390">
        <w:t>WBB</w:t>
      </w:r>
      <w:r w:rsidRPr="00F36AB3">
        <w:t xml:space="preserve"> as the interferer (both base stations and user equipment’s) with telemetry ground station (covering both the terrestrial and aeronautical telemetry) as the </w:t>
      </w:r>
      <w:r w:rsidRPr="00F36AB3">
        <w:lastRenderedPageBreak/>
        <w:t>victim</w:t>
      </w:r>
      <w:r w:rsidRPr="005E4073">
        <w:t xml:space="preserve">. Since UE are assumed to operate under the control of a network, the protection of telemetry is addressed by considering interference from </w:t>
      </w:r>
      <w:r w:rsidR="008C0390">
        <w:t>WBB</w:t>
      </w:r>
      <w:r w:rsidRPr="005E4073">
        <w:t xml:space="preserve"> BS.</w:t>
      </w:r>
      <w:r>
        <w:t xml:space="preserve"> </w:t>
      </w:r>
    </w:p>
    <w:p w:rsidR="005274B2" w:rsidRDefault="005274B2" w:rsidP="005274B2">
      <w:pPr>
        <w:pStyle w:val="ECCParagraph"/>
        <w:rPr>
          <w:rFonts w:ascii="ArialMT" w:eastAsiaTheme="minorHAnsi" w:hAnsi="ArialMT" w:cs="ArialMT"/>
          <w:szCs w:val="20"/>
          <w:lang w:val="en-US"/>
        </w:rPr>
      </w:pPr>
      <w:r w:rsidRPr="00F36AB3">
        <w:rPr>
          <w:rFonts w:ascii="ArialMT" w:eastAsiaTheme="minorHAnsi" w:hAnsi="ArialMT" w:cs="ArialMT"/>
          <w:szCs w:val="20"/>
          <w:lang w:val="en-US"/>
        </w:rPr>
        <w:t>In order to protect victims from harmful interferences, an exclusion zone</w:t>
      </w:r>
      <w:r w:rsidR="000646A1">
        <w:rPr>
          <w:rFonts w:ascii="ArialMT" w:eastAsiaTheme="minorHAnsi" w:hAnsi="ArialMT" w:cs="ArialMT"/>
          <w:szCs w:val="20"/>
          <w:lang w:val="en-US"/>
        </w:rPr>
        <w:t>,</w:t>
      </w:r>
      <w:r w:rsidRPr="00F36AB3">
        <w:rPr>
          <w:rFonts w:ascii="ArialMT" w:eastAsiaTheme="minorHAnsi" w:hAnsi="ArialMT" w:cs="ArialMT"/>
          <w:szCs w:val="20"/>
          <w:lang w:val="en-US"/>
        </w:rPr>
        <w:t xml:space="preserve"> a </w:t>
      </w:r>
      <w:r w:rsidRPr="00F70EE6">
        <w:rPr>
          <w:rFonts w:ascii="ArialMT" w:eastAsiaTheme="minorHAnsi" w:hAnsi="ArialMT" w:cs="ArialMT"/>
          <w:szCs w:val="20"/>
          <w:lang w:val="en-US"/>
        </w:rPr>
        <w:t xml:space="preserve">protection zone </w:t>
      </w:r>
      <w:r w:rsidR="000646A1" w:rsidRPr="00F70EE6">
        <w:rPr>
          <w:rFonts w:ascii="ArialMT" w:eastAsiaTheme="minorHAnsi" w:hAnsi="ArialMT" w:cs="ArialMT"/>
          <w:szCs w:val="20"/>
          <w:lang w:val="en-US"/>
        </w:rPr>
        <w:t xml:space="preserve">and, when necessary, a restriction zone </w:t>
      </w:r>
      <w:r w:rsidRPr="00F70EE6">
        <w:rPr>
          <w:rFonts w:ascii="ArialMT" w:eastAsiaTheme="minorHAnsi" w:hAnsi="ArialMT" w:cs="ArialMT"/>
          <w:szCs w:val="20"/>
          <w:lang w:val="en-US"/>
        </w:rPr>
        <w:t>are defined for each victim’s site</w:t>
      </w:r>
      <w:r w:rsidR="00C264D0" w:rsidRPr="00F70EE6">
        <w:rPr>
          <w:rFonts w:ascii="ArialMT" w:eastAsiaTheme="minorHAnsi" w:hAnsi="ArialMT" w:cs="ArialMT"/>
          <w:szCs w:val="20"/>
          <w:lang w:val="en-US"/>
        </w:rPr>
        <w:t xml:space="preserve"> as described under section </w:t>
      </w:r>
      <w:r w:rsidR="00F70EE6" w:rsidRPr="00F70EE6">
        <w:rPr>
          <w:rFonts w:ascii="ArialMT" w:eastAsiaTheme="minorHAnsi" w:hAnsi="ArialMT" w:cs="ArialMT"/>
          <w:szCs w:val="20"/>
          <w:lang w:val="en-US"/>
        </w:rPr>
        <w:fldChar w:fldCharType="begin"/>
      </w:r>
      <w:r w:rsidR="00F70EE6" w:rsidRPr="00F70EE6">
        <w:rPr>
          <w:rFonts w:ascii="ArialMT" w:eastAsiaTheme="minorHAnsi" w:hAnsi="ArialMT" w:cs="ArialMT"/>
          <w:szCs w:val="20"/>
          <w:lang w:val="en-US"/>
        </w:rPr>
        <w:instrText xml:space="preserve"> REF _Ref398562082 \r \h </w:instrText>
      </w:r>
      <w:r w:rsidR="00F70EE6">
        <w:rPr>
          <w:rFonts w:ascii="ArialMT" w:eastAsiaTheme="minorHAnsi" w:hAnsi="ArialMT" w:cs="ArialMT"/>
          <w:szCs w:val="20"/>
          <w:lang w:val="en-US"/>
        </w:rPr>
        <w:instrText xml:space="preserve"> \* MERGEFORMAT </w:instrText>
      </w:r>
      <w:r w:rsidR="00F70EE6" w:rsidRPr="00F70EE6">
        <w:rPr>
          <w:rFonts w:ascii="ArialMT" w:eastAsiaTheme="minorHAnsi" w:hAnsi="ArialMT" w:cs="ArialMT"/>
          <w:szCs w:val="20"/>
          <w:lang w:val="en-US"/>
        </w:rPr>
      </w:r>
      <w:r w:rsidR="00F70EE6" w:rsidRPr="00F70EE6">
        <w:rPr>
          <w:rFonts w:ascii="ArialMT" w:eastAsiaTheme="minorHAnsi" w:hAnsi="ArialMT" w:cs="ArialMT"/>
          <w:szCs w:val="20"/>
          <w:lang w:val="en-US"/>
        </w:rPr>
        <w:fldChar w:fldCharType="separate"/>
      </w:r>
      <w:r w:rsidR="000C0823">
        <w:rPr>
          <w:rFonts w:ascii="ArialMT" w:eastAsiaTheme="minorHAnsi" w:hAnsi="ArialMT" w:cs="ArialMT"/>
          <w:szCs w:val="20"/>
          <w:lang w:val="en-US"/>
        </w:rPr>
        <w:t>3.3.1</w:t>
      </w:r>
      <w:r w:rsidR="00F70EE6" w:rsidRPr="00F70EE6">
        <w:rPr>
          <w:rFonts w:ascii="ArialMT" w:eastAsiaTheme="minorHAnsi" w:hAnsi="ArialMT" w:cs="ArialMT"/>
          <w:szCs w:val="20"/>
          <w:lang w:val="en-US"/>
        </w:rPr>
        <w:fldChar w:fldCharType="end"/>
      </w:r>
      <w:r w:rsidRPr="00F70EE6">
        <w:rPr>
          <w:rFonts w:ascii="ArialMT" w:eastAsiaTheme="minorHAnsi" w:hAnsi="ArialMT" w:cs="ArialMT"/>
          <w:szCs w:val="20"/>
          <w:lang w:val="en-US"/>
        </w:rPr>
        <w:t>.</w:t>
      </w:r>
      <w:r w:rsidRPr="00F36AB3">
        <w:rPr>
          <w:rFonts w:ascii="ArialMT" w:eastAsiaTheme="minorHAnsi" w:hAnsi="ArialMT" w:cs="ArialMT"/>
          <w:szCs w:val="20"/>
          <w:lang w:val="en-US"/>
        </w:rPr>
        <w:t xml:space="preserve"> </w:t>
      </w:r>
    </w:p>
    <w:p w:rsidR="005E1BCA" w:rsidRPr="00F36AB3" w:rsidRDefault="005E1BCA" w:rsidP="005274B2">
      <w:pPr>
        <w:pStyle w:val="ECCParagraph"/>
        <w:rPr>
          <w:rFonts w:ascii="ArialMT" w:eastAsiaTheme="minorHAnsi" w:hAnsi="ArialMT" w:cs="ArialMT"/>
          <w:szCs w:val="20"/>
          <w:lang w:val="en-US"/>
        </w:rPr>
      </w:pPr>
      <w:r>
        <w:rPr>
          <w:lang w:val="en-US"/>
        </w:rPr>
        <w:t>The exclusion or protection zones may be defined as fixed restrictions, for example without any time based allowances, in advance of any license issued for new wireless broadband systems.</w:t>
      </w:r>
    </w:p>
    <w:p w:rsidR="009B3C79" w:rsidRPr="005E4073" w:rsidRDefault="005274B2" w:rsidP="009B3C79">
      <w:pPr>
        <w:pStyle w:val="ECCParagraph"/>
        <w:rPr>
          <w:lang w:val="en-US"/>
        </w:rPr>
      </w:pPr>
      <w:r w:rsidRPr="009B3C79">
        <w:rPr>
          <w:b/>
        </w:rPr>
        <w:t>Exclusion Zone:</w:t>
      </w:r>
      <w:r w:rsidRPr="00F36AB3">
        <w:t xml:space="preserve"> </w:t>
      </w:r>
      <w:r w:rsidR="009B3C79" w:rsidRPr="005E4073">
        <w:rPr>
          <w:lang w:val="en-US"/>
        </w:rPr>
        <w:t>A practical implementation would be to list all exclusion zones in a reference table with the following information:</w:t>
      </w:r>
    </w:p>
    <w:p w:rsidR="005E4073" w:rsidRPr="00A0230A" w:rsidRDefault="005E4073" w:rsidP="005E4073">
      <w:pPr>
        <w:pStyle w:val="Beschriftung"/>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0C0823">
        <w:rPr>
          <w:noProof/>
          <w:lang w:val="en-GB"/>
        </w:rPr>
        <w:t>3</w:t>
      </w:r>
      <w:r w:rsidRPr="00A0230A">
        <w:rPr>
          <w:noProof/>
          <w:lang w:val="en-GB"/>
        </w:rPr>
        <w:fldChar w:fldCharType="end"/>
      </w:r>
      <w:r w:rsidRPr="00A0230A">
        <w:rPr>
          <w:lang w:val="en-GB"/>
        </w:rPr>
        <w:t xml:space="preserve">: </w:t>
      </w:r>
      <w:r>
        <w:rPr>
          <w:lang w:val="en-GB"/>
        </w:rPr>
        <w:t>example of reference table to identify exclusion zones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66"/>
        <w:gridCol w:w="1346"/>
        <w:gridCol w:w="1434"/>
        <w:gridCol w:w="1622"/>
        <w:gridCol w:w="1854"/>
        <w:gridCol w:w="2333"/>
      </w:tblGrid>
      <w:tr w:rsidR="005E4073" w:rsidRPr="00A0230A" w:rsidTr="005E4073">
        <w:trPr>
          <w:trHeight w:val="424"/>
        </w:trPr>
        <w:tc>
          <w:tcPr>
            <w:tcW w:w="1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8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2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r>
      <w:tr w:rsidR="005E4073" w:rsidRPr="00DE6353" w:rsidTr="005E4073">
        <w:tc>
          <w:tcPr>
            <w:tcW w:w="1266" w:type="dxa"/>
          </w:tcPr>
          <w:p w:rsidR="005E4073" w:rsidRPr="00825488" w:rsidRDefault="005E4073" w:rsidP="007F1C68">
            <w:pPr>
              <w:pStyle w:val="ECCParagraph"/>
              <w:rPr>
                <w:lang w:val="fr-FR"/>
              </w:rPr>
            </w:pPr>
            <w:r w:rsidRPr="00825488">
              <w:t>reference or site name</w:t>
            </w:r>
          </w:p>
        </w:tc>
        <w:tc>
          <w:tcPr>
            <w:tcW w:w="1346" w:type="dxa"/>
          </w:tcPr>
          <w:p w:rsidR="005E4073" w:rsidRPr="005E4073" w:rsidRDefault="005E4073" w:rsidP="007F1C68">
            <w:pPr>
              <w:pStyle w:val="ECCParagraph"/>
              <w:rPr>
                <w:lang w:val="en-US"/>
              </w:rPr>
            </w:pPr>
            <w:proofErr w:type="spellStart"/>
            <w:r w:rsidRPr="00825488">
              <w:t>Center</w:t>
            </w:r>
            <w:proofErr w:type="spellEnd"/>
            <w:r w:rsidRPr="00825488">
              <w:t xml:space="preserve"> point or perimeter of the site</w:t>
            </w:r>
          </w:p>
        </w:tc>
        <w:tc>
          <w:tcPr>
            <w:tcW w:w="1434" w:type="dxa"/>
          </w:tcPr>
          <w:p w:rsidR="005E4073" w:rsidRPr="00825488" w:rsidRDefault="005E4073" w:rsidP="007F1C68">
            <w:pPr>
              <w:pStyle w:val="ECCParagraph"/>
              <w:rPr>
                <w:lang w:val="fr-FR"/>
              </w:rPr>
            </w:pPr>
            <w:r w:rsidRPr="00825488">
              <w:t>Site coordinate latitude (WGS84)</w:t>
            </w:r>
          </w:p>
        </w:tc>
        <w:tc>
          <w:tcPr>
            <w:tcW w:w="1622" w:type="dxa"/>
          </w:tcPr>
          <w:p w:rsidR="005E4073" w:rsidRPr="00825488" w:rsidRDefault="005E4073" w:rsidP="007F1C68">
            <w:pPr>
              <w:pStyle w:val="ECCParagraph"/>
              <w:rPr>
                <w:lang w:val="fr-FR"/>
              </w:rPr>
            </w:pPr>
            <w:r w:rsidRPr="00825488">
              <w:t>Site coordinate longitude (WGS84)</w:t>
            </w:r>
          </w:p>
        </w:tc>
        <w:tc>
          <w:tcPr>
            <w:tcW w:w="1854" w:type="dxa"/>
          </w:tcPr>
          <w:p w:rsidR="005E4073" w:rsidRPr="00825488" w:rsidRDefault="005E4073" w:rsidP="007F1C68">
            <w:pPr>
              <w:pStyle w:val="ECCParagraph"/>
              <w:rPr>
                <w:lang w:val="fr-FR"/>
              </w:rPr>
            </w:pPr>
            <w:r w:rsidRPr="00825488">
              <w:t>Applicable Frequency range</w:t>
            </w:r>
          </w:p>
        </w:tc>
        <w:tc>
          <w:tcPr>
            <w:tcW w:w="2333" w:type="dxa"/>
          </w:tcPr>
          <w:p w:rsidR="005E4073" w:rsidRPr="005E4073" w:rsidRDefault="005E4073" w:rsidP="007F1C68">
            <w:pPr>
              <w:pStyle w:val="ECCParagraph"/>
              <w:rPr>
                <w:lang w:val="en-US"/>
              </w:rPr>
            </w:pPr>
            <w:r w:rsidRPr="00825488">
              <w:t>Time period when the restriction is applicable</w:t>
            </w:r>
          </w:p>
        </w:tc>
      </w:tr>
    </w:tbl>
    <w:p w:rsidR="005E4073" w:rsidRPr="005E4073" w:rsidRDefault="005E4073" w:rsidP="009B3C79">
      <w:pPr>
        <w:pStyle w:val="ECCParagraph"/>
        <w:rPr>
          <w:lang w:val="en-US"/>
        </w:rPr>
      </w:pPr>
    </w:p>
    <w:p w:rsidR="009B3C79" w:rsidRDefault="009B3C79" w:rsidP="009B3C79">
      <w:pPr>
        <w:pStyle w:val="ECCParagraph"/>
        <w:rPr>
          <w:lang w:val="en-US"/>
        </w:rPr>
      </w:pPr>
      <w:r w:rsidRPr="005E4073">
        <w:rPr>
          <w:b/>
          <w:lang w:val="en-US"/>
        </w:rPr>
        <w:t>Protection Zone:</w:t>
      </w:r>
      <w:r w:rsidRPr="005E4073">
        <w:rPr>
          <w:lang w:val="en-US"/>
        </w:rPr>
        <w:t xml:space="preserve"> For each site, incumbent receiver sensitivity is converted from receiver’s received power level in dBm to field strength E (in dBµV/m</w:t>
      </w:r>
      <w:r w:rsidR="000646A1">
        <w:rPr>
          <w:lang w:val="en-US"/>
        </w:rPr>
        <w:t xml:space="preserve">. For co-channel situation, the equation given in section </w:t>
      </w:r>
      <w:r w:rsidR="000646A1">
        <w:rPr>
          <w:lang w:val="en-US"/>
        </w:rPr>
        <w:fldChar w:fldCharType="begin"/>
      </w:r>
      <w:r w:rsidR="000646A1">
        <w:rPr>
          <w:lang w:val="en-US"/>
        </w:rPr>
        <w:instrText xml:space="preserve"> REF _Ref398279601 \r \h </w:instrText>
      </w:r>
      <w:r w:rsidR="000646A1">
        <w:rPr>
          <w:lang w:val="en-US"/>
        </w:rPr>
      </w:r>
      <w:r w:rsidR="000646A1">
        <w:rPr>
          <w:lang w:val="en-US"/>
        </w:rPr>
        <w:fldChar w:fldCharType="separate"/>
      </w:r>
      <w:r w:rsidR="000C0823">
        <w:rPr>
          <w:lang w:val="en-US"/>
        </w:rPr>
        <w:t>3.3.1</w:t>
      </w:r>
      <w:r w:rsidR="000646A1">
        <w:rPr>
          <w:lang w:val="en-US"/>
        </w:rPr>
        <w:fldChar w:fldCharType="end"/>
      </w:r>
      <w:r w:rsidR="000646A1">
        <w:rPr>
          <w:lang w:val="en-US"/>
        </w:rPr>
        <w:t xml:space="preserve"> applies. </w:t>
      </w:r>
      <w:r w:rsidRPr="00443B2F">
        <w:rPr>
          <w:lang w:val="en-US"/>
        </w:rPr>
        <w:t>For 1st adjacent channel situation, a computed margin (</w:t>
      </w:r>
      <w:r w:rsidR="000646A1">
        <w:rPr>
          <w:lang w:val="en-US"/>
        </w:rPr>
        <w:t xml:space="preserve">e.g. </w:t>
      </w:r>
      <w:r w:rsidRPr="00443B2F">
        <w:rPr>
          <w:lang w:val="en-US"/>
        </w:rPr>
        <w:t>based on 3GPP standard LTE BS ACS &amp; ACLR) should be added.</w:t>
      </w:r>
    </w:p>
    <w:p w:rsidR="009B3C79" w:rsidRDefault="009B3C79" w:rsidP="009B3C79">
      <w:pPr>
        <w:pStyle w:val="ECCParagraph"/>
        <w:rPr>
          <w:lang w:val="en-US"/>
        </w:rPr>
      </w:pPr>
      <w:r w:rsidRPr="00443B2F">
        <w:rPr>
          <w:lang w:val="en-US"/>
        </w:rPr>
        <w:t>A practical implementation would be to list all protection zones in a reference table with the following information:</w:t>
      </w:r>
    </w:p>
    <w:p w:rsidR="005E4073" w:rsidRPr="00A0230A" w:rsidRDefault="005E4073" w:rsidP="005E4073">
      <w:pPr>
        <w:pStyle w:val="Beschriftung"/>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0C0823">
        <w:rPr>
          <w:noProof/>
          <w:lang w:val="en-GB"/>
        </w:rPr>
        <w:t>4</w:t>
      </w:r>
      <w:r w:rsidRPr="00A0230A">
        <w:rPr>
          <w:noProof/>
          <w:lang w:val="en-GB"/>
        </w:rPr>
        <w:fldChar w:fldCharType="end"/>
      </w:r>
      <w:r w:rsidRPr="00A0230A">
        <w:rPr>
          <w:lang w:val="en-GB"/>
        </w:rPr>
        <w:t xml:space="preserve">: </w:t>
      </w:r>
      <w:r>
        <w:rPr>
          <w:lang w:val="en-GB"/>
        </w:rPr>
        <w:t>example of reference tab</w:t>
      </w:r>
      <w:r w:rsidR="000646A1">
        <w:rPr>
          <w:lang w:val="en-GB"/>
        </w:rPr>
        <w:t>le to identify protection zones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131"/>
        <w:gridCol w:w="1157"/>
        <w:gridCol w:w="1150"/>
        <w:gridCol w:w="1206"/>
        <w:gridCol w:w="1006"/>
        <w:gridCol w:w="1282"/>
        <w:gridCol w:w="1395"/>
        <w:gridCol w:w="1528"/>
      </w:tblGrid>
      <w:tr w:rsidR="005E4073" w:rsidRPr="00A0230A" w:rsidTr="005E4073">
        <w:trPr>
          <w:trHeight w:val="424"/>
        </w:trPr>
        <w:tc>
          <w:tcPr>
            <w:tcW w:w="1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c>
          <w:tcPr>
            <w:tcW w:w="1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A0230A" w:rsidRDefault="005E4073" w:rsidP="007F1C68">
            <w:pPr>
              <w:spacing w:before="60" w:line="288" w:lineRule="auto"/>
              <w:jc w:val="center"/>
              <w:rPr>
                <w:rFonts w:cs="Arial"/>
                <w:b/>
                <w:color w:val="FFFFFF"/>
                <w:lang w:val="en-GB"/>
              </w:rPr>
            </w:pPr>
          </w:p>
        </w:tc>
      </w:tr>
      <w:tr w:rsidR="005E4073" w:rsidRPr="00DE6353" w:rsidTr="005E4073">
        <w:tc>
          <w:tcPr>
            <w:tcW w:w="1131" w:type="dxa"/>
          </w:tcPr>
          <w:p w:rsidR="005E4073" w:rsidRPr="00825488" w:rsidRDefault="005E4073" w:rsidP="007F1C68">
            <w:pPr>
              <w:pStyle w:val="ECCParagraph"/>
              <w:rPr>
                <w:lang w:val="fr-FR"/>
              </w:rPr>
            </w:pPr>
            <w:r w:rsidRPr="00825488">
              <w:t>reference or site name</w:t>
            </w:r>
          </w:p>
        </w:tc>
        <w:tc>
          <w:tcPr>
            <w:tcW w:w="1157" w:type="dxa"/>
          </w:tcPr>
          <w:p w:rsidR="005E4073" w:rsidRPr="005E4073" w:rsidRDefault="005E4073" w:rsidP="007F1C68">
            <w:pPr>
              <w:pStyle w:val="ECCParagraph"/>
              <w:rPr>
                <w:lang w:val="en-US"/>
              </w:rPr>
            </w:pPr>
            <w:proofErr w:type="spellStart"/>
            <w:r w:rsidRPr="00825488">
              <w:t>Center</w:t>
            </w:r>
            <w:proofErr w:type="spellEnd"/>
            <w:r w:rsidRPr="00825488">
              <w:t xml:space="preserve"> point or perimeter of the site</w:t>
            </w:r>
          </w:p>
        </w:tc>
        <w:tc>
          <w:tcPr>
            <w:tcW w:w="1150" w:type="dxa"/>
          </w:tcPr>
          <w:p w:rsidR="005E4073" w:rsidRPr="00825488" w:rsidRDefault="005E4073" w:rsidP="007F1C68">
            <w:pPr>
              <w:pStyle w:val="ECCParagraph"/>
              <w:rPr>
                <w:lang w:val="fr-FR"/>
              </w:rPr>
            </w:pPr>
            <w:r w:rsidRPr="00825488">
              <w:t>Site coordinate latitude (WGS84)</w:t>
            </w:r>
          </w:p>
        </w:tc>
        <w:tc>
          <w:tcPr>
            <w:tcW w:w="1206" w:type="dxa"/>
          </w:tcPr>
          <w:p w:rsidR="005E4073" w:rsidRPr="00825488" w:rsidRDefault="005E4073" w:rsidP="007F1C68">
            <w:pPr>
              <w:pStyle w:val="ECCParagraph"/>
              <w:rPr>
                <w:lang w:val="fr-FR"/>
              </w:rPr>
            </w:pPr>
            <w:r w:rsidRPr="00825488">
              <w:t>Site coordinate longitude (WGS84)</w:t>
            </w:r>
          </w:p>
        </w:tc>
        <w:tc>
          <w:tcPr>
            <w:tcW w:w="1006" w:type="dxa"/>
          </w:tcPr>
          <w:p w:rsidR="005E4073" w:rsidRPr="00443B2F" w:rsidRDefault="005E4073" w:rsidP="007F1C68">
            <w:pPr>
              <w:pStyle w:val="ECCParagraph"/>
              <w:rPr>
                <w:lang w:val="en-US"/>
              </w:rPr>
            </w:pPr>
            <w:r w:rsidRPr="00443B2F">
              <w:rPr>
                <w:lang w:val="en-US"/>
              </w:rPr>
              <w:t>Receiver antenna height above ground level</w:t>
            </w:r>
          </w:p>
        </w:tc>
        <w:tc>
          <w:tcPr>
            <w:tcW w:w="1282" w:type="dxa"/>
          </w:tcPr>
          <w:p w:rsidR="005E4073" w:rsidRPr="00443B2F" w:rsidRDefault="005E4073" w:rsidP="007F1C68">
            <w:pPr>
              <w:pStyle w:val="ECCParagraph"/>
              <w:rPr>
                <w:lang w:val="en-US"/>
              </w:rPr>
            </w:pPr>
            <w:r w:rsidRPr="00443B2F">
              <w:rPr>
                <w:lang w:val="en-US"/>
              </w:rPr>
              <w:t>Maximum allowable E (dBµV/m)</w:t>
            </w:r>
          </w:p>
        </w:tc>
        <w:tc>
          <w:tcPr>
            <w:tcW w:w="1395" w:type="dxa"/>
          </w:tcPr>
          <w:p w:rsidR="005E4073" w:rsidRPr="00825488" w:rsidRDefault="005E4073" w:rsidP="007F1C68">
            <w:pPr>
              <w:pStyle w:val="ECCParagraph"/>
              <w:rPr>
                <w:lang w:val="fr-FR"/>
              </w:rPr>
            </w:pPr>
            <w:r w:rsidRPr="00825488">
              <w:t>Applicable Frequency range</w:t>
            </w:r>
          </w:p>
        </w:tc>
        <w:tc>
          <w:tcPr>
            <w:tcW w:w="1528" w:type="dxa"/>
          </w:tcPr>
          <w:p w:rsidR="005E4073" w:rsidRPr="005E4073" w:rsidRDefault="005E4073" w:rsidP="007F1C68">
            <w:pPr>
              <w:pStyle w:val="ECCParagraph"/>
              <w:rPr>
                <w:lang w:val="en-US"/>
              </w:rPr>
            </w:pPr>
            <w:r w:rsidRPr="00825488">
              <w:t>Time period when the restriction is applicable</w:t>
            </w:r>
          </w:p>
        </w:tc>
      </w:tr>
    </w:tbl>
    <w:p w:rsidR="000646A1" w:rsidRDefault="000646A1" w:rsidP="009B3C79">
      <w:pPr>
        <w:pStyle w:val="ECCParagraph"/>
        <w:rPr>
          <w:b/>
        </w:rPr>
      </w:pPr>
    </w:p>
    <w:p w:rsidR="005274B2" w:rsidRDefault="009B3C79" w:rsidP="009B3C79">
      <w:pPr>
        <w:pStyle w:val="ECCParagraph"/>
      </w:pPr>
      <w:r w:rsidRPr="005E4073">
        <w:rPr>
          <w:b/>
        </w:rPr>
        <w:t>Restriction Zone:</w:t>
      </w:r>
      <w:r w:rsidRPr="00F36AB3">
        <w:t xml:space="preserve"> </w:t>
      </w:r>
      <w:r w:rsidR="000646A1">
        <w:t xml:space="preserve">as described in section </w:t>
      </w:r>
      <w:r w:rsidR="000646A1">
        <w:fldChar w:fldCharType="begin"/>
      </w:r>
      <w:r w:rsidR="000646A1">
        <w:instrText xml:space="preserve"> REF _Ref398279716 \r \h </w:instrText>
      </w:r>
      <w:r w:rsidR="000646A1">
        <w:fldChar w:fldCharType="separate"/>
      </w:r>
      <w:r w:rsidR="000C0823">
        <w:t>3.3.1</w:t>
      </w:r>
      <w:r w:rsidR="000646A1">
        <w:fldChar w:fldCharType="end"/>
      </w:r>
      <w:r w:rsidR="00D02C71">
        <w:t>.</w:t>
      </w:r>
    </w:p>
    <w:p w:rsidR="005E1BCA" w:rsidRPr="00F36AB3" w:rsidRDefault="005E1BCA" w:rsidP="009B3C79">
      <w:pPr>
        <w:pStyle w:val="ECCParagraph"/>
      </w:pPr>
      <w:r w:rsidRPr="00D02C71">
        <w:t>For the provision of the information</w:t>
      </w:r>
      <w:r w:rsidR="00D02C71" w:rsidRPr="00D02C71">
        <w:t xml:space="preserve"> needed</w:t>
      </w:r>
      <w:r w:rsidRPr="00D02C71">
        <w:t xml:space="preserve"> for these different zones, appropriate databases (in accordance with section </w:t>
      </w:r>
      <w:r w:rsidR="00D02C71" w:rsidRPr="00D02C71">
        <w:fldChar w:fldCharType="begin"/>
      </w:r>
      <w:r w:rsidR="00D02C71" w:rsidRPr="00D02C71">
        <w:instrText xml:space="preserve"> REF _Ref398279821 \r \h </w:instrText>
      </w:r>
      <w:r w:rsidR="00D02C71">
        <w:instrText xml:space="preserve"> \* MERGEFORMAT </w:instrText>
      </w:r>
      <w:r w:rsidR="00D02C71" w:rsidRPr="00D02C71">
        <w:fldChar w:fldCharType="separate"/>
      </w:r>
      <w:r w:rsidR="000C0823">
        <w:t>3.3.2</w:t>
      </w:r>
      <w:r w:rsidR="00D02C71" w:rsidRPr="00D02C71">
        <w:fldChar w:fldCharType="end"/>
      </w:r>
      <w:r w:rsidRPr="00D02C71">
        <w:t>) may be used.</w:t>
      </w:r>
    </w:p>
    <w:p w:rsidR="005274B2" w:rsidRPr="005E4073" w:rsidRDefault="005274B2" w:rsidP="005E4073">
      <w:pPr>
        <w:pStyle w:val="berschrift3"/>
        <w:rPr>
          <w:lang w:val="en-GB"/>
        </w:rPr>
      </w:pPr>
      <w:bookmarkStart w:id="52" w:name="_Toc398907420"/>
      <w:r w:rsidRPr="005E4073">
        <w:rPr>
          <w:lang w:val="en-GB"/>
        </w:rPr>
        <w:t xml:space="preserve">Interference from Telemetry to </w:t>
      </w:r>
      <w:r w:rsidR="005E3863">
        <w:rPr>
          <w:lang w:val="en-GB"/>
        </w:rPr>
        <w:t>WBB</w:t>
      </w:r>
      <w:bookmarkEnd w:id="52"/>
    </w:p>
    <w:p w:rsidR="005274B2" w:rsidRPr="00F36AB3" w:rsidRDefault="005274B2" w:rsidP="005274B2">
      <w:pPr>
        <w:pStyle w:val="ECCParagraph"/>
      </w:pPr>
      <w:r w:rsidRPr="00F36AB3">
        <w:t xml:space="preserve">Relevant interference protection considerations involve telemetry transmitter as the interferer with </w:t>
      </w:r>
      <w:r w:rsidR="005E3863">
        <w:t>WBB</w:t>
      </w:r>
      <w:r w:rsidRPr="00F36AB3">
        <w:t xml:space="preserve"> system (both base stations and user equipment) as the victim. </w:t>
      </w:r>
    </w:p>
    <w:p w:rsidR="00D02C71" w:rsidRPr="00CF10ED" w:rsidRDefault="005274B2" w:rsidP="005274B2">
      <w:pPr>
        <w:pStyle w:val="ECCParagraph"/>
      </w:pPr>
      <w:r w:rsidRPr="00F36AB3">
        <w:rPr>
          <w:rFonts w:ascii="ArialMT" w:eastAsiaTheme="minorHAnsi" w:hAnsi="ArialMT" w:cs="ArialMT"/>
          <w:szCs w:val="20"/>
          <w:lang w:val="en-US"/>
        </w:rPr>
        <w:t>In order to improve the protection of victims from harmful interferences and in particular airborne telemetry transmitters, exclusion zones (</w:t>
      </w:r>
      <w:r w:rsidRPr="00F36AB3">
        <w:t xml:space="preserve">normally large urban areas where </w:t>
      </w:r>
      <w:r w:rsidR="005E3863">
        <w:t>WBB</w:t>
      </w:r>
      <w:r w:rsidRPr="00F36AB3">
        <w:t xml:space="preserve"> is deployed</w:t>
      </w:r>
      <w:r w:rsidR="00D02C71">
        <w:rPr>
          <w:rFonts w:ascii="ArialMT" w:eastAsiaTheme="minorHAnsi" w:hAnsi="ArialMT" w:cs="ArialMT"/>
          <w:szCs w:val="20"/>
          <w:lang w:val="en-US"/>
        </w:rPr>
        <w:t xml:space="preserve">) can be defined as </w:t>
      </w:r>
      <w:r w:rsidR="009B3C79" w:rsidRPr="00F36AB3">
        <w:t xml:space="preserve">a geographical area within which terrestrial or airborne telemetry transmitters are not allowed to operate or fly over. </w:t>
      </w:r>
      <w:r w:rsidR="009B3C79">
        <w:t>Exclusion</w:t>
      </w:r>
      <w:r w:rsidR="009B3C79" w:rsidRPr="00F36AB3">
        <w:t xml:space="preserve"> zones are normally large urban areas.</w:t>
      </w:r>
    </w:p>
    <w:p w:rsidR="005274B2" w:rsidRDefault="00761F6C" w:rsidP="005274B2">
      <w:pPr>
        <w:pStyle w:val="berschrift3"/>
        <w:rPr>
          <w:highlight w:val="yellow"/>
          <w:lang w:val="en-GB"/>
        </w:rPr>
      </w:pPr>
      <w:bookmarkStart w:id="53" w:name="_Toc398907421"/>
      <w:r>
        <w:rPr>
          <w:highlight w:val="yellow"/>
          <w:lang w:val="en-GB"/>
        </w:rPr>
        <w:lastRenderedPageBreak/>
        <w:t>[</w:t>
      </w:r>
      <w:r w:rsidR="005274B2" w:rsidRPr="005E4073">
        <w:rPr>
          <w:highlight w:val="yellow"/>
          <w:lang w:val="en-GB"/>
        </w:rPr>
        <w:t>Example of implementation</w:t>
      </w:r>
      <w:bookmarkEnd w:id="53"/>
    </w:p>
    <w:p w:rsidR="00D02C71" w:rsidRPr="00D02C71" w:rsidRDefault="00D02C71" w:rsidP="00D02C71">
      <w:pPr>
        <w:pStyle w:val="ECCParagraph"/>
        <w:rPr>
          <w:highlight w:val="yellow"/>
        </w:rPr>
      </w:pPr>
      <w:r>
        <w:rPr>
          <w:highlight w:val="yellow"/>
        </w:rPr>
        <w:t xml:space="preserve">Editor’s note: placeholder for possible future input. </w:t>
      </w:r>
      <w:r w:rsidR="00761F6C">
        <w:rPr>
          <w:highlight w:val="yellow"/>
        </w:rPr>
        <w:t>]</w:t>
      </w:r>
    </w:p>
    <w:p w:rsidR="005274B2" w:rsidRPr="00CF10ED" w:rsidRDefault="00D02C71" w:rsidP="005274B2">
      <w:pPr>
        <w:pStyle w:val="ECCParagraph"/>
      </w:pPr>
      <w:r>
        <w:t>]</w:t>
      </w:r>
    </w:p>
    <w:p w:rsidR="005274B2" w:rsidRDefault="005274B2" w:rsidP="005274B2">
      <w:pPr>
        <w:pStyle w:val="berschrift1"/>
      </w:pPr>
      <w:bookmarkStart w:id="54" w:name="_Toc398907422"/>
      <w:r>
        <w:lastRenderedPageBreak/>
        <w:t>Sharing scenarios</w:t>
      </w:r>
      <w:r w:rsidRPr="00CF10ED">
        <w:t xml:space="preserve"> for the </w:t>
      </w:r>
      <w:r>
        <w:t>coexistence between Fixed Service</w:t>
      </w:r>
      <w:r w:rsidR="0073230C">
        <w:t xml:space="preserve"> and WBB</w:t>
      </w:r>
      <w:bookmarkEnd w:id="54"/>
    </w:p>
    <w:p w:rsidR="005274B2" w:rsidRDefault="005274B2" w:rsidP="005274B2">
      <w:pPr>
        <w:pStyle w:val="berschrift2"/>
      </w:pPr>
      <w:bookmarkStart w:id="55" w:name="_Toc398907423"/>
      <w:r w:rsidRPr="005274B2">
        <w:t>Scenarios for the fixed service</w:t>
      </w:r>
      <w:bookmarkEnd w:id="55"/>
    </w:p>
    <w:p w:rsidR="005D637C" w:rsidRDefault="005D637C" w:rsidP="005D637C">
      <w:pPr>
        <w:pStyle w:val="berschrift3"/>
        <w:rPr>
          <w:lang w:val="en-GB"/>
        </w:rPr>
      </w:pPr>
      <w:bookmarkStart w:id="56" w:name="_Toc398907424"/>
      <w:r>
        <w:rPr>
          <w:lang w:val="en-GB"/>
        </w:rPr>
        <w:t xml:space="preserve">Deployment assumptions </w:t>
      </w:r>
      <w:r w:rsidRPr="00CF10ED">
        <w:rPr>
          <w:lang w:val="en-GB"/>
        </w:rPr>
        <w:t xml:space="preserve">for </w:t>
      </w:r>
      <w:r w:rsidR="00645136">
        <w:rPr>
          <w:lang w:val="en-GB"/>
        </w:rPr>
        <w:t xml:space="preserve">the </w:t>
      </w:r>
      <w:r>
        <w:rPr>
          <w:lang w:val="en-GB"/>
        </w:rPr>
        <w:t xml:space="preserve">Fixed </w:t>
      </w:r>
      <w:r w:rsidR="00F647A5">
        <w:rPr>
          <w:lang w:val="en-GB"/>
        </w:rPr>
        <w:t>S</w:t>
      </w:r>
      <w:r w:rsidR="00645136">
        <w:rPr>
          <w:lang w:val="en-GB"/>
        </w:rPr>
        <w:t>ervice</w:t>
      </w:r>
      <w:bookmarkEnd w:id="56"/>
    </w:p>
    <w:p w:rsidR="00761F6C" w:rsidRDefault="00F647A5" w:rsidP="00BF4D1F">
      <w:pPr>
        <w:pStyle w:val="ECCFiguretitle"/>
        <w:keepNext/>
        <w:numPr>
          <w:ilvl w:val="0"/>
          <w:numId w:val="0"/>
        </w:numPr>
        <w:jc w:val="left"/>
        <w:rPr>
          <w:b w:val="0"/>
          <w:color w:val="auto"/>
        </w:rPr>
      </w:pPr>
      <w:r w:rsidRPr="00BF4D1F">
        <w:rPr>
          <w:b w:val="0"/>
          <w:color w:val="auto"/>
        </w:rPr>
        <w:t>Fixed Service is frequently used for various purposes within telecommunications and broadcast networks, on either a permanent or temporary basis. Usually the justification for using a fixed radio link instead of a wired or optical fibre link relates to geography or economics.  They can often be used to provide fixed communication links between stations in a network supporting a different service (such as mobile telephony): an application known as 'infrastructure' or 'backhaul'. Fixed Service applications used in the 2300 - 2400 MHz band are point-to-point radio links and point-to-multipoint radio links as depicted below.</w:t>
      </w:r>
    </w:p>
    <w:p w:rsidR="00F647A5" w:rsidRPr="00BF4D1F" w:rsidRDefault="005D637C" w:rsidP="00BF4D1F">
      <w:pPr>
        <w:pStyle w:val="ECCFiguretitle"/>
        <w:keepNext/>
        <w:numPr>
          <w:ilvl w:val="0"/>
          <w:numId w:val="0"/>
        </w:numPr>
        <w:rPr>
          <w:lang w:val="en-US"/>
        </w:rPr>
      </w:pPr>
      <w:r w:rsidRPr="005D637C">
        <w:rPr>
          <w:noProof/>
          <w:lang w:eastAsia="en-GB"/>
        </w:rPr>
        <w:drawing>
          <wp:inline distT="0" distB="0" distL="0" distR="0" wp14:anchorId="293574DB" wp14:editId="02D0CD4E">
            <wp:extent cx="2291715" cy="1899920"/>
            <wp:effectExtent l="0" t="0" r="0" b="5080"/>
            <wp:docPr id="31" name="Picture 31" descr="cid:part1.05000801.05060608@redtechnologi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5000801.05060608@redtechnologies.f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91715" cy="1899920"/>
                    </a:xfrm>
                    <a:prstGeom prst="rect">
                      <a:avLst/>
                    </a:prstGeom>
                    <a:noFill/>
                    <a:ln>
                      <a:noFill/>
                    </a:ln>
                  </pic:spPr>
                </pic:pic>
              </a:graphicData>
            </a:graphic>
          </wp:inline>
        </w:drawing>
      </w:r>
      <w:r w:rsidRPr="005D637C">
        <w:rPr>
          <w:lang w:val="en-US"/>
        </w:rPr>
        <w:br/>
      </w:r>
      <w:r w:rsidR="00F647A5" w:rsidRPr="00A0230A">
        <w:t xml:space="preserve">Figure </w:t>
      </w:r>
      <w:fldSimple w:instr=" SEQ Figure \* ARABIC ">
        <w:r w:rsidR="000C0823">
          <w:rPr>
            <w:noProof/>
          </w:rPr>
          <w:t>14</w:t>
        </w:r>
      </w:fldSimple>
      <w:r w:rsidR="00F647A5" w:rsidRPr="00A0230A">
        <w:t xml:space="preserve">: </w:t>
      </w:r>
      <w:r w:rsidR="00F647A5" w:rsidRPr="005D637C">
        <w:rPr>
          <w:lang w:val="en-US"/>
        </w:rPr>
        <w:t>point-to-point link</w:t>
      </w:r>
    </w:p>
    <w:p w:rsidR="00F647A5" w:rsidRPr="00F647A5" w:rsidRDefault="005D637C" w:rsidP="00F647A5">
      <w:pPr>
        <w:pStyle w:val="ECCFiguretitle"/>
        <w:keepNext/>
        <w:numPr>
          <w:ilvl w:val="0"/>
          <w:numId w:val="0"/>
        </w:numPr>
      </w:pPr>
      <w:r w:rsidRPr="005D637C">
        <w:rPr>
          <w:lang w:val="en-US"/>
        </w:rPr>
        <w:br/>
      </w:r>
      <w:r w:rsidRPr="005D637C">
        <w:rPr>
          <w:noProof/>
          <w:lang w:eastAsia="en-GB"/>
        </w:rPr>
        <w:drawing>
          <wp:inline distT="0" distB="0" distL="0" distR="0" wp14:anchorId="1F60D15A" wp14:editId="604C1D06">
            <wp:extent cx="2588895" cy="2089785"/>
            <wp:effectExtent l="0" t="0" r="1905" b="5715"/>
            <wp:docPr id="29" name="Picture 29" descr="cid:part2.09050106.08010601@redtechnologi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part2.09050106.08010601@redtechnologies.f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588895" cy="2089785"/>
                    </a:xfrm>
                    <a:prstGeom prst="rect">
                      <a:avLst/>
                    </a:prstGeom>
                    <a:noFill/>
                    <a:ln>
                      <a:noFill/>
                    </a:ln>
                  </pic:spPr>
                </pic:pic>
              </a:graphicData>
            </a:graphic>
          </wp:inline>
        </w:drawing>
      </w:r>
      <w:r w:rsidRPr="005D637C">
        <w:rPr>
          <w:lang w:val="en-US"/>
        </w:rPr>
        <w:br/>
      </w:r>
      <w:r w:rsidR="00F647A5" w:rsidRPr="00A0230A">
        <w:t xml:space="preserve">Figure </w:t>
      </w:r>
      <w:fldSimple w:instr=" SEQ Figure \* ARABIC ">
        <w:r w:rsidR="000C0823">
          <w:rPr>
            <w:noProof/>
          </w:rPr>
          <w:t>15</w:t>
        </w:r>
      </w:fldSimple>
      <w:r w:rsidR="00F647A5" w:rsidRPr="00A0230A">
        <w:t xml:space="preserve">: </w:t>
      </w:r>
      <w:r w:rsidR="00F647A5" w:rsidRPr="005D637C">
        <w:rPr>
          <w:lang w:val="en-US"/>
        </w:rPr>
        <w:t>point-to-</w:t>
      </w:r>
      <w:r w:rsidR="00F647A5" w:rsidRPr="00F647A5">
        <w:rPr>
          <w:lang w:val="en-US"/>
        </w:rPr>
        <w:t xml:space="preserve"> </w:t>
      </w:r>
      <w:r w:rsidR="00F647A5" w:rsidRPr="005D637C">
        <w:rPr>
          <w:lang w:val="en-US"/>
        </w:rPr>
        <w:t>multipoint link</w:t>
      </w:r>
    </w:p>
    <w:p w:rsidR="00F647A5" w:rsidRDefault="00F647A5" w:rsidP="00F647A5">
      <w:pPr>
        <w:pStyle w:val="ECCParagraph"/>
        <w:jc w:val="center"/>
        <w:rPr>
          <w:lang w:val="en-US"/>
        </w:rPr>
      </w:pPr>
    </w:p>
    <w:p w:rsidR="005D637C" w:rsidRDefault="005D637C" w:rsidP="005D637C">
      <w:pPr>
        <w:pStyle w:val="berschrift3"/>
        <w:rPr>
          <w:lang w:val="en-GB"/>
        </w:rPr>
      </w:pPr>
      <w:bookmarkStart w:id="57" w:name="_Toc398907425"/>
      <w:r w:rsidRPr="005D637C">
        <w:t xml:space="preserve">Operational footprint for </w:t>
      </w:r>
      <w:r w:rsidR="00645136">
        <w:rPr>
          <w:lang w:val="en-GB"/>
        </w:rPr>
        <w:t xml:space="preserve">the </w:t>
      </w:r>
      <w:r>
        <w:rPr>
          <w:lang w:val="en-GB"/>
        </w:rPr>
        <w:t xml:space="preserve">Fixed </w:t>
      </w:r>
      <w:r w:rsidR="00F647A5">
        <w:rPr>
          <w:lang w:val="en-GB"/>
        </w:rPr>
        <w:t>S</w:t>
      </w:r>
      <w:r w:rsidR="00645136">
        <w:rPr>
          <w:lang w:val="en-GB"/>
        </w:rPr>
        <w:t>ervice</w:t>
      </w:r>
      <w:bookmarkEnd w:id="57"/>
    </w:p>
    <w:p w:rsidR="005D637C" w:rsidRPr="00314292" w:rsidRDefault="00323711" w:rsidP="00314292">
      <w:pPr>
        <w:pStyle w:val="ECCParagraph"/>
        <w:jc w:val="left"/>
      </w:pPr>
      <w:r>
        <w:rPr>
          <w:lang w:val="en-US"/>
        </w:rPr>
        <w:t>Point-to-point</w:t>
      </w:r>
      <w:r w:rsidRPr="00323711">
        <w:t xml:space="preserve"> links are typically used within telecommunications core networks. They may also be used within local access networks (connecting users to the core network) and as broadcast contribution and distribution links.</w:t>
      </w:r>
      <w:r>
        <w:t xml:space="preserve"> </w:t>
      </w:r>
      <w:r w:rsidR="00314292" w:rsidRPr="00314292">
        <w:rPr>
          <w:lang w:val="en-US"/>
        </w:rPr>
        <w:t xml:space="preserve">Point-to-point links can be unidirectional or bidirectional with highly directional antennas and probable deployment in rural areas. </w:t>
      </w:r>
      <w:r w:rsidR="00314292" w:rsidRPr="00314292">
        <w:rPr>
          <w:lang w:val="en-US"/>
        </w:rPr>
        <w:br/>
      </w:r>
      <w:r w:rsidR="00314292" w:rsidRPr="00314292">
        <w:rPr>
          <w:lang w:val="en-US"/>
        </w:rPr>
        <w:lastRenderedPageBreak/>
        <w:br/>
      </w:r>
      <w:r w:rsidRPr="00F15F0D">
        <w:rPr>
          <w:rFonts w:ascii="ArialMT" w:hAnsi="ArialMT" w:cs="ArialMT"/>
          <w:szCs w:val="20"/>
          <w:lang w:val="en-US"/>
        </w:rPr>
        <w:t>Point-to-multipoint (PMP) links are normally used within access networks, enabling network operators to provide services without the need to install conventional cables. A point to multipoint network topology provides a communication route (on a single radio channel for each sector) from one central point to a number of terminals where users are located. Each user location may be served directly from the central location or via one or more radio repeaters</w:t>
      </w:r>
      <w:r>
        <w:rPr>
          <w:rFonts w:ascii="ArialMT" w:hAnsi="ArialMT" w:cs="ArialMT"/>
          <w:szCs w:val="20"/>
          <w:lang w:val="en-US"/>
        </w:rPr>
        <w:t xml:space="preserve">. </w:t>
      </w:r>
    </w:p>
    <w:p w:rsidR="005274B2" w:rsidRPr="005274B2" w:rsidRDefault="005274B2" w:rsidP="005274B2">
      <w:pPr>
        <w:pStyle w:val="berschrift2"/>
      </w:pPr>
      <w:bookmarkStart w:id="58" w:name="_Toc398907426"/>
      <w:r w:rsidRPr="005274B2">
        <w:t>Options for sharing</w:t>
      </w:r>
      <w:bookmarkEnd w:id="58"/>
    </w:p>
    <w:p w:rsidR="00323711" w:rsidRDefault="00323711" w:rsidP="005E4073">
      <w:pPr>
        <w:pStyle w:val="ECCParagraph"/>
        <w:jc w:val="left"/>
        <w:rPr>
          <w:rFonts w:ascii="ArialMT" w:hAnsi="ArialMT" w:cs="ArialMT"/>
          <w:szCs w:val="20"/>
          <w:lang w:val="en-US"/>
        </w:rPr>
      </w:pPr>
      <w:r w:rsidRPr="00761F6C">
        <w:rPr>
          <w:rFonts w:ascii="ArialMT" w:hAnsi="ArialMT" w:cs="ArialMT"/>
          <w:szCs w:val="20"/>
          <w:lang w:val="en-US"/>
        </w:rPr>
        <w:t xml:space="preserve">Due to the varying characteristics of different types of Fixed Service systems and their deployment, no single separation distance, guard band or signal strength limit can be provided to guarantee co-existence with </w:t>
      </w:r>
      <w:r w:rsidR="00A66B7B">
        <w:rPr>
          <w:rFonts w:ascii="ArialMT" w:hAnsi="ArialMT" w:cs="ArialMT"/>
          <w:szCs w:val="20"/>
          <w:lang w:val="en-US"/>
        </w:rPr>
        <w:t>WBB</w:t>
      </w:r>
      <w:r w:rsidRPr="00761F6C">
        <w:rPr>
          <w:rFonts w:ascii="ArialMT" w:hAnsi="ArialMT" w:cs="ArialMT"/>
          <w:szCs w:val="20"/>
          <w:lang w:val="en-US"/>
        </w:rPr>
        <w:t>. Co-existence can be achieved through coordination on a case-by-case basis.</w:t>
      </w:r>
    </w:p>
    <w:p w:rsidR="005274B2" w:rsidRPr="00323711" w:rsidRDefault="00A66B7B" w:rsidP="005E4073">
      <w:pPr>
        <w:pStyle w:val="ECCParagraph"/>
        <w:jc w:val="left"/>
        <w:rPr>
          <w:lang w:val="en-US"/>
        </w:rPr>
      </w:pPr>
      <w:r>
        <w:rPr>
          <w:lang w:val="en-US"/>
        </w:rPr>
        <w:t>WBB</w:t>
      </w:r>
      <w:r w:rsidR="00314292" w:rsidRPr="005E4073">
        <w:rPr>
          <w:lang w:val="en-US"/>
        </w:rPr>
        <w:t xml:space="preserve"> and point-to-point links can coexist with a certain frequency separation, depending on the </w:t>
      </w:r>
      <w:r>
        <w:rPr>
          <w:lang w:val="en-US"/>
        </w:rPr>
        <w:t>WBB</w:t>
      </w:r>
      <w:r w:rsidR="00314292" w:rsidRPr="005E4073">
        <w:rPr>
          <w:lang w:val="en-US"/>
        </w:rPr>
        <w:t xml:space="preserve"> and point-to-point links characteristics and with the required co-ordination between </w:t>
      </w:r>
      <w:r>
        <w:rPr>
          <w:lang w:val="en-US"/>
        </w:rPr>
        <w:t>WBB</w:t>
      </w:r>
      <w:r w:rsidR="00314292" w:rsidRPr="005E4073">
        <w:rPr>
          <w:lang w:val="en-US"/>
        </w:rPr>
        <w:t xml:space="preserve"> base stations and the point-to-point systems (see ECC Report 100</w:t>
      </w:r>
      <w:r w:rsidR="00F15F0D">
        <w:rPr>
          <w:lang w:val="en-US"/>
        </w:rPr>
        <w:t>,</w:t>
      </w:r>
      <w:r w:rsidR="002F06CE">
        <w:rPr>
          <w:lang w:val="en-US"/>
        </w:rPr>
        <w:t xml:space="preserve"> </w:t>
      </w:r>
      <w:r w:rsidR="002F06CE">
        <w:rPr>
          <w:highlight w:val="yellow"/>
          <w:lang w:val="en-US"/>
        </w:rPr>
        <w:fldChar w:fldCharType="begin"/>
      </w:r>
      <w:r w:rsidR="002F06CE">
        <w:rPr>
          <w:lang w:val="en-US"/>
        </w:rPr>
        <w:instrText xml:space="preserve"> REF _Ref398292418 \r \h </w:instrText>
      </w:r>
      <w:r w:rsidR="002F06CE">
        <w:rPr>
          <w:highlight w:val="yellow"/>
          <w:lang w:val="en-US"/>
        </w:rPr>
      </w:r>
      <w:r w:rsidR="002F06CE">
        <w:rPr>
          <w:highlight w:val="yellow"/>
          <w:lang w:val="en-US"/>
        </w:rPr>
        <w:fldChar w:fldCharType="separate"/>
      </w:r>
      <w:r w:rsidR="000C0823">
        <w:rPr>
          <w:lang w:val="en-US"/>
        </w:rPr>
        <w:t>[14]</w:t>
      </w:r>
      <w:r w:rsidR="002F06CE">
        <w:rPr>
          <w:highlight w:val="yellow"/>
          <w:lang w:val="en-US"/>
        </w:rPr>
        <w:fldChar w:fldCharType="end"/>
      </w:r>
      <w:r w:rsidR="00314292" w:rsidRPr="005E4073">
        <w:rPr>
          <w:lang w:val="en-US"/>
        </w:rPr>
        <w:t xml:space="preserve">). Co-channel sharing between </w:t>
      </w:r>
      <w:r>
        <w:rPr>
          <w:lang w:val="en-US"/>
        </w:rPr>
        <w:t>WBB</w:t>
      </w:r>
      <w:r w:rsidR="00314292" w:rsidRPr="005E4073">
        <w:rPr>
          <w:lang w:val="en-US"/>
        </w:rPr>
        <w:t xml:space="preserve"> and point-to-point links is not feasible in the same geographic area. A </w:t>
      </w:r>
      <w:r w:rsidR="00323711" w:rsidRPr="006B341F">
        <w:rPr>
          <w:lang w:val="en-US"/>
        </w:rPr>
        <w:t>combination</w:t>
      </w:r>
      <w:r w:rsidR="00323711" w:rsidRPr="00F15F0D">
        <w:rPr>
          <w:lang w:val="en-US"/>
        </w:rPr>
        <w:t xml:space="preserve"> of </w:t>
      </w:r>
      <w:r w:rsidR="00314292" w:rsidRPr="005E4073">
        <w:rPr>
          <w:lang w:val="en-US"/>
        </w:rPr>
        <w:t xml:space="preserve">exclusion and protection zones (as defined in section </w:t>
      </w:r>
      <w:r w:rsidR="00F15F0D">
        <w:rPr>
          <w:lang w:val="en-US"/>
        </w:rPr>
        <w:fldChar w:fldCharType="begin"/>
      </w:r>
      <w:r w:rsidR="00F15F0D">
        <w:rPr>
          <w:lang w:val="en-US"/>
        </w:rPr>
        <w:instrText xml:space="preserve"> REF _Ref398280501 \r \h </w:instrText>
      </w:r>
      <w:r w:rsidR="00F15F0D">
        <w:rPr>
          <w:lang w:val="en-US"/>
        </w:rPr>
      </w:r>
      <w:r w:rsidR="00F15F0D">
        <w:rPr>
          <w:lang w:val="en-US"/>
        </w:rPr>
        <w:fldChar w:fldCharType="separate"/>
      </w:r>
      <w:r w:rsidR="000C0823">
        <w:rPr>
          <w:lang w:val="en-US"/>
        </w:rPr>
        <w:t>3.3.1</w:t>
      </w:r>
      <w:r w:rsidR="00F15F0D">
        <w:rPr>
          <w:lang w:val="en-US"/>
        </w:rPr>
        <w:fldChar w:fldCharType="end"/>
      </w:r>
      <w:r w:rsidR="00314292" w:rsidRPr="005E4073">
        <w:rPr>
          <w:lang w:val="en-US"/>
        </w:rPr>
        <w:t xml:space="preserve">) should ensure that there is no </w:t>
      </w:r>
      <w:r>
        <w:rPr>
          <w:lang w:val="en-US"/>
        </w:rPr>
        <w:t>WBB</w:t>
      </w:r>
      <w:r w:rsidR="00314292" w:rsidRPr="005E4073">
        <w:rPr>
          <w:lang w:val="en-US"/>
        </w:rPr>
        <w:t xml:space="preserve"> system in the main lobe of the point to point system and that the separation distance between the point to point system and the </w:t>
      </w:r>
      <w:r>
        <w:rPr>
          <w:lang w:val="en-US"/>
        </w:rPr>
        <w:t>WBB</w:t>
      </w:r>
      <w:r w:rsidR="00314292" w:rsidRPr="005E4073">
        <w:rPr>
          <w:lang w:val="en-US"/>
        </w:rPr>
        <w:t xml:space="preserve"> base station is such that the interference between </w:t>
      </w:r>
      <w:r>
        <w:rPr>
          <w:lang w:val="en-US"/>
        </w:rPr>
        <w:t>WBB</w:t>
      </w:r>
      <w:r w:rsidR="00314292" w:rsidRPr="005E4073">
        <w:rPr>
          <w:lang w:val="en-US"/>
        </w:rPr>
        <w:t xml:space="preserve"> </w:t>
      </w:r>
      <w:r w:rsidR="00323711">
        <w:rPr>
          <w:lang w:val="en-US"/>
        </w:rPr>
        <w:t>UEs</w:t>
      </w:r>
      <w:r w:rsidR="00314292" w:rsidRPr="005E4073">
        <w:rPr>
          <w:lang w:val="en-US"/>
        </w:rPr>
        <w:t xml:space="preserve"> and the point to point link is limited. </w:t>
      </w:r>
      <w:r w:rsidR="00314292" w:rsidRPr="005E4073">
        <w:rPr>
          <w:lang w:val="en-US"/>
        </w:rPr>
        <w:br/>
      </w:r>
      <w:r w:rsidR="00314292" w:rsidRPr="005E4073">
        <w:rPr>
          <w:lang w:val="en-US"/>
        </w:rPr>
        <w:br/>
      </w:r>
      <w:r w:rsidR="00323711" w:rsidRPr="00323711">
        <w:rPr>
          <w:rFonts w:ascii="ArialMT" w:hAnsi="ArialMT" w:cs="ArialMT"/>
          <w:szCs w:val="20"/>
          <w:lang w:val="en-US"/>
        </w:rPr>
        <w:t xml:space="preserve">The similarities between </w:t>
      </w:r>
      <w:r>
        <w:rPr>
          <w:rFonts w:ascii="ArialMT" w:hAnsi="ArialMT" w:cs="ArialMT"/>
          <w:szCs w:val="20"/>
          <w:lang w:val="en-US"/>
        </w:rPr>
        <w:t>WBB</w:t>
      </w:r>
      <w:r w:rsidR="00323711" w:rsidRPr="00323711">
        <w:rPr>
          <w:rFonts w:ascii="ArialMT" w:hAnsi="ArialMT" w:cs="ArialMT"/>
          <w:szCs w:val="20"/>
          <w:lang w:val="en-US"/>
        </w:rPr>
        <w:t xml:space="preserve"> and point-to-multipoint link indicate that the results for </w:t>
      </w:r>
      <w:r>
        <w:rPr>
          <w:rFonts w:ascii="ArialMT" w:hAnsi="ArialMT" w:cs="ArialMT"/>
          <w:szCs w:val="20"/>
          <w:lang w:val="en-US"/>
        </w:rPr>
        <w:t>WBB</w:t>
      </w:r>
      <w:r w:rsidR="00323711" w:rsidRPr="00323711">
        <w:rPr>
          <w:rFonts w:ascii="ArialMT" w:hAnsi="ArialMT" w:cs="ArialMT"/>
          <w:szCs w:val="20"/>
          <w:lang w:val="en-US"/>
        </w:rPr>
        <w:t xml:space="preserve"> - </w:t>
      </w:r>
      <w:r>
        <w:rPr>
          <w:rFonts w:ascii="ArialMT" w:hAnsi="ArialMT" w:cs="ArialMT"/>
          <w:szCs w:val="20"/>
          <w:lang w:val="en-US"/>
        </w:rPr>
        <w:t>WBB</w:t>
      </w:r>
      <w:r w:rsidR="00323711" w:rsidRPr="00323711">
        <w:rPr>
          <w:rFonts w:ascii="ArialMT" w:hAnsi="ArialMT" w:cs="ArialMT"/>
          <w:szCs w:val="20"/>
          <w:lang w:val="en-US"/>
        </w:rPr>
        <w:t xml:space="preserve"> adjacent channel co-existence largely apply to the </w:t>
      </w:r>
      <w:r>
        <w:rPr>
          <w:rFonts w:ascii="ArialMT" w:hAnsi="ArialMT" w:cs="ArialMT"/>
          <w:szCs w:val="20"/>
          <w:lang w:val="en-US"/>
        </w:rPr>
        <w:t>WBB</w:t>
      </w:r>
      <w:r w:rsidR="00323711" w:rsidRPr="00323711">
        <w:rPr>
          <w:rFonts w:ascii="ArialMT" w:hAnsi="ArialMT" w:cs="ArialMT"/>
          <w:szCs w:val="20"/>
          <w:lang w:val="en-US"/>
        </w:rPr>
        <w:t xml:space="preserve"> – point-to-multipoint link scenario as well. In case of BS – BS interference additional measures may thus be necessary, such as frequency separation and/or additional filters, whereas otherwise co-existence is expected to be possible without such measures. While coordinating </w:t>
      </w:r>
      <w:r>
        <w:rPr>
          <w:rFonts w:ascii="ArialMT" w:hAnsi="ArialMT" w:cs="ArialMT"/>
          <w:szCs w:val="20"/>
          <w:lang w:val="en-US"/>
        </w:rPr>
        <w:t>WBB</w:t>
      </w:r>
      <w:r w:rsidR="00323711" w:rsidRPr="00323711">
        <w:rPr>
          <w:rFonts w:ascii="ArialMT" w:hAnsi="ArialMT" w:cs="ArialMT"/>
          <w:szCs w:val="20"/>
          <w:lang w:val="en-US"/>
        </w:rPr>
        <w:t xml:space="preserve"> BS and FS it is sufficient to ensure that </w:t>
      </w:r>
      <w:r>
        <w:rPr>
          <w:rFonts w:ascii="ArialMT" w:hAnsi="ArialMT" w:cs="ArialMT"/>
          <w:szCs w:val="20"/>
          <w:lang w:val="en-US"/>
        </w:rPr>
        <w:t>WBB</w:t>
      </w:r>
      <w:r w:rsidR="00323711" w:rsidRPr="00323711">
        <w:rPr>
          <w:rFonts w:ascii="ArialMT" w:hAnsi="ArialMT" w:cs="ArialMT"/>
          <w:szCs w:val="20"/>
          <w:lang w:val="en-US"/>
        </w:rPr>
        <w:t xml:space="preserve"> BS do not interfere with FS, since that will also guarantee the protection of the FS from </w:t>
      </w:r>
      <w:r>
        <w:rPr>
          <w:rFonts w:ascii="ArialMT" w:hAnsi="ArialMT" w:cs="ArialMT"/>
          <w:szCs w:val="20"/>
          <w:lang w:val="en-US"/>
        </w:rPr>
        <w:t>WBB</w:t>
      </w:r>
      <w:r w:rsidR="00323711" w:rsidRPr="00323711">
        <w:rPr>
          <w:rFonts w:ascii="ArialMT" w:hAnsi="ArialMT" w:cs="ArialMT"/>
          <w:szCs w:val="20"/>
          <w:lang w:val="en-US"/>
        </w:rPr>
        <w:t xml:space="preserve"> UEs.</w:t>
      </w:r>
    </w:p>
    <w:p w:rsidR="005274B2" w:rsidRPr="00F15F0D" w:rsidRDefault="005274B2" w:rsidP="005274B2">
      <w:pPr>
        <w:pStyle w:val="berschrift2"/>
      </w:pPr>
      <w:bookmarkStart w:id="59" w:name="_Toc398907427"/>
      <w:r w:rsidRPr="00F15F0D">
        <w:t>Example of implementation</w:t>
      </w:r>
      <w:bookmarkEnd w:id="59"/>
    </w:p>
    <w:p w:rsidR="00761F6C" w:rsidRDefault="00F15F0D" w:rsidP="005D637C">
      <w:pPr>
        <w:pStyle w:val="ECCParagraph"/>
        <w:rPr>
          <w:lang w:val="en-US"/>
        </w:rPr>
      </w:pPr>
      <w:proofErr w:type="gramStart"/>
      <w:r w:rsidRPr="00F15F0D">
        <w:rPr>
          <w:lang w:val="en-US"/>
        </w:rPr>
        <w:t>None available for the time being.</w:t>
      </w:r>
      <w:proofErr w:type="gramEnd"/>
    </w:p>
    <w:p w:rsidR="005D637C" w:rsidRPr="00314292" w:rsidRDefault="005D637C" w:rsidP="005D637C">
      <w:pPr>
        <w:pStyle w:val="ECCParagraph"/>
      </w:pPr>
    </w:p>
    <w:p w:rsidR="00BC349C" w:rsidRDefault="00BC349C" w:rsidP="00BC349C">
      <w:pPr>
        <w:pStyle w:val="berschrift1"/>
      </w:pPr>
      <w:bookmarkStart w:id="60" w:name="_Toc398907428"/>
      <w:r>
        <w:lastRenderedPageBreak/>
        <w:t>Sharing scenarios</w:t>
      </w:r>
      <w:r w:rsidRPr="00CF10ED">
        <w:t xml:space="preserve"> for the </w:t>
      </w:r>
      <w:r>
        <w:t>coexistence between OTHER GOVERNMENTAL use</w:t>
      </w:r>
      <w:r w:rsidR="0073230C">
        <w:t xml:space="preserve"> and WBB</w:t>
      </w:r>
      <w:bookmarkEnd w:id="60"/>
    </w:p>
    <w:p w:rsidR="0073230C" w:rsidRDefault="0073230C" w:rsidP="00BC349C">
      <w:pPr>
        <w:pStyle w:val="ECCParagraph"/>
        <w:rPr>
          <w:highlight w:val="yellow"/>
        </w:rPr>
      </w:pPr>
      <w:r>
        <w:t xml:space="preserve">In addition to the telemetry, other defence or governmental applications are used on a national basis within CEPT </w:t>
      </w:r>
      <w:r w:rsidR="00F15F0D">
        <w:t>administra</w:t>
      </w:r>
      <w:r>
        <w:t xml:space="preserve">tions (see </w:t>
      </w:r>
      <w:r>
        <w:fldChar w:fldCharType="begin"/>
      </w:r>
      <w:r>
        <w:instrText xml:space="preserve"> REF _Ref398245283 \r \h </w:instrText>
      </w:r>
      <w:r>
        <w:fldChar w:fldCharType="separate"/>
      </w:r>
      <w:r w:rsidR="000C0823">
        <w:t>ANNEX 1:</w:t>
      </w:r>
      <w:r>
        <w:fldChar w:fldCharType="end"/>
      </w:r>
      <w:r>
        <w:t>).</w:t>
      </w:r>
    </w:p>
    <w:p w:rsidR="0073230C" w:rsidRPr="00F15F0D" w:rsidRDefault="0073230C" w:rsidP="0073230C">
      <w:pPr>
        <w:pStyle w:val="berschrift2"/>
      </w:pPr>
      <w:bookmarkStart w:id="61" w:name="_Toc398907429"/>
      <w:r w:rsidRPr="00F15F0D">
        <w:t>Unmanned Aircraft Systems (</w:t>
      </w:r>
      <w:r w:rsidR="00BC349C" w:rsidRPr="00F15F0D">
        <w:t>UAS</w:t>
      </w:r>
      <w:r w:rsidRPr="00F15F0D">
        <w:t>)</w:t>
      </w:r>
      <w:r w:rsidR="00BC349C" w:rsidRPr="00F15F0D">
        <w:t>:</w:t>
      </w:r>
      <w:bookmarkEnd w:id="61"/>
      <w:r w:rsidR="00BC349C" w:rsidRPr="00F15F0D">
        <w:t xml:space="preserve"> </w:t>
      </w:r>
    </w:p>
    <w:p w:rsidR="00BC349C" w:rsidRPr="00F15F0D" w:rsidRDefault="00BC349C" w:rsidP="00BC349C">
      <w:pPr>
        <w:pStyle w:val="ECCParagraph"/>
      </w:pPr>
      <w:r w:rsidRPr="00F15F0D">
        <w:t xml:space="preserve">UAS is composed with one or several UAV (Unmanned Aircraft Vehicle) and a ground station (GS). UAS uses </w:t>
      </w:r>
      <w:proofErr w:type="spellStart"/>
      <w:r w:rsidRPr="00F15F0D">
        <w:t>telecommand</w:t>
      </w:r>
      <w:proofErr w:type="spellEnd"/>
      <w:r w:rsidRPr="00F15F0D">
        <w:t xml:space="preserve"> (uplink) and </w:t>
      </w:r>
      <w:proofErr w:type="spellStart"/>
      <w:r w:rsidRPr="00F15F0D">
        <w:t>telecontrol</w:t>
      </w:r>
      <w:proofErr w:type="spellEnd"/>
      <w:r w:rsidRPr="00F15F0D">
        <w:t xml:space="preserve"> and video links (downlink). Some UAS uses symmetrical link between UAV and ground station (same bandwidth for the uplink and for the downlink, same modulation, etc.) as described in ECC Report 172 </w:t>
      </w:r>
      <w:r w:rsidR="002F06CE">
        <w:fldChar w:fldCharType="begin"/>
      </w:r>
      <w:r w:rsidR="002F06CE">
        <w:instrText xml:space="preserve"> REF _Ref377653985 \r \h </w:instrText>
      </w:r>
      <w:r w:rsidR="002F06CE">
        <w:fldChar w:fldCharType="separate"/>
      </w:r>
      <w:r w:rsidR="000C0823">
        <w:t>[6]</w:t>
      </w:r>
      <w:r w:rsidR="002F06CE">
        <w:fldChar w:fldCharType="end"/>
      </w:r>
      <w:r w:rsidRPr="00F15F0D">
        <w:t>. These are expected to be scheduled activities often planned well in advance.</w:t>
      </w:r>
    </w:p>
    <w:p w:rsidR="00BC349C" w:rsidRPr="00F15F0D" w:rsidRDefault="00BC349C" w:rsidP="00BC349C">
      <w:pPr>
        <w:pStyle w:val="ECCParagraph"/>
      </w:pPr>
      <w:r w:rsidRPr="00F15F0D">
        <w:t xml:space="preserve">Incumbent UAS applications can coexist with </w:t>
      </w:r>
      <w:r w:rsidR="00635F23">
        <w:t>WBB</w:t>
      </w:r>
      <w:r w:rsidRPr="00F15F0D">
        <w:t xml:space="preserve"> applications at the same time through the use of either geographic separation if co-frequency operation is expected or a combination of separation distance and frequency separation if co-located operation is anticipated.</w:t>
      </w:r>
    </w:p>
    <w:p w:rsidR="001E1D91" w:rsidRDefault="0073230C" w:rsidP="00BC349C">
      <w:pPr>
        <w:pStyle w:val="ECCParagraph"/>
      </w:pPr>
      <w:r w:rsidRPr="00F15F0D">
        <w:t xml:space="preserve">The approach developed for telemetry (Section </w:t>
      </w:r>
      <w:r w:rsidRPr="00F15F0D">
        <w:fldChar w:fldCharType="begin"/>
      </w:r>
      <w:r w:rsidRPr="00F15F0D">
        <w:instrText xml:space="preserve"> REF _Ref398245594 \r \h </w:instrText>
      </w:r>
      <w:r w:rsidR="00F15F0D">
        <w:instrText xml:space="preserve"> \* MERGEFORMAT </w:instrText>
      </w:r>
      <w:r w:rsidRPr="00F15F0D">
        <w:fldChar w:fldCharType="separate"/>
      </w:r>
      <w:r w:rsidR="000C0823">
        <w:t>5</w:t>
      </w:r>
      <w:r w:rsidRPr="00F15F0D">
        <w:fldChar w:fldCharType="end"/>
      </w:r>
      <w:r w:rsidRPr="00F15F0D">
        <w:t xml:space="preserve">) can also apply for the shared use of the band </w:t>
      </w:r>
      <w:r w:rsidR="001E1D91" w:rsidRPr="00F15F0D">
        <w:t>by UAS and WBB, in particular for UAS down-links.</w:t>
      </w:r>
    </w:p>
    <w:p w:rsidR="001E1D91" w:rsidRPr="002F06CE" w:rsidRDefault="001E1D91" w:rsidP="001E1D91">
      <w:pPr>
        <w:pStyle w:val="berschrift2"/>
      </w:pPr>
      <w:bookmarkStart w:id="62" w:name="_Toc398907430"/>
      <w:r w:rsidRPr="002F06CE">
        <w:t>Video links for governmental use:</w:t>
      </w:r>
      <w:bookmarkEnd w:id="62"/>
      <w:r w:rsidRPr="002F06CE">
        <w:t xml:space="preserve"> </w:t>
      </w:r>
    </w:p>
    <w:p w:rsidR="001E1D91" w:rsidRDefault="001E1D91" w:rsidP="00BC349C">
      <w:pPr>
        <w:pStyle w:val="ECCParagraph"/>
        <w:rPr>
          <w:lang w:val="nl-NL"/>
        </w:rPr>
      </w:pPr>
      <w:r>
        <w:rPr>
          <w:lang w:val="nl-NL"/>
        </w:rPr>
        <w:t xml:space="preserve">The band 2.3-2.4 GHz is used in some countries </w:t>
      </w:r>
      <w:r w:rsidRPr="001E1D91">
        <w:rPr>
          <w:lang w:val="nl-NL"/>
        </w:rPr>
        <w:t xml:space="preserve">by video applications </w:t>
      </w:r>
      <w:r>
        <w:rPr>
          <w:lang w:val="nl-NL"/>
        </w:rPr>
        <w:t xml:space="preserve">others than the PMSE applications described in section </w:t>
      </w:r>
      <w:r>
        <w:rPr>
          <w:lang w:val="nl-NL"/>
        </w:rPr>
        <w:fldChar w:fldCharType="begin"/>
      </w:r>
      <w:r>
        <w:rPr>
          <w:lang w:val="nl-NL"/>
        </w:rPr>
        <w:instrText xml:space="preserve"> REF _Ref398245975 \r \h </w:instrText>
      </w:r>
      <w:r>
        <w:rPr>
          <w:lang w:val="nl-NL"/>
        </w:rPr>
      </w:r>
      <w:r>
        <w:rPr>
          <w:lang w:val="nl-NL"/>
        </w:rPr>
        <w:fldChar w:fldCharType="separate"/>
      </w:r>
      <w:r w:rsidR="000C0823">
        <w:rPr>
          <w:lang w:val="nl-NL"/>
        </w:rPr>
        <w:t>4.1</w:t>
      </w:r>
      <w:r>
        <w:rPr>
          <w:lang w:val="nl-NL"/>
        </w:rPr>
        <w:fldChar w:fldCharType="end"/>
      </w:r>
      <w:r>
        <w:rPr>
          <w:lang w:val="nl-NL"/>
        </w:rPr>
        <w:t>. This includes</w:t>
      </w:r>
      <w:r w:rsidRPr="001E1D91">
        <w:rPr>
          <w:lang w:val="nl-NL"/>
        </w:rPr>
        <w:t xml:space="preserve"> industrial, governmental and medical uses, for example bomb disposal, PPDR, safety systems, medical diagnosis which may have different deployment assumptions to PMSE.</w:t>
      </w:r>
    </w:p>
    <w:p w:rsidR="001E1D91" w:rsidRPr="00C179DA" w:rsidRDefault="001E1D91" w:rsidP="001E1D91">
      <w:pPr>
        <w:pStyle w:val="ECCParagraph"/>
      </w:pPr>
      <w:r>
        <w:t xml:space="preserve">The approach developed for PMSE (Section </w:t>
      </w:r>
      <w:r>
        <w:fldChar w:fldCharType="begin"/>
      </w:r>
      <w:r>
        <w:instrText xml:space="preserve"> REF _Ref398246188 \r \h </w:instrText>
      </w:r>
      <w:r>
        <w:fldChar w:fldCharType="separate"/>
      </w:r>
      <w:r w:rsidR="000C0823">
        <w:t>4</w:t>
      </w:r>
      <w:r>
        <w:fldChar w:fldCharType="end"/>
      </w:r>
      <w:r>
        <w:t xml:space="preserve">) can also apply for the shared use of the band by video </w:t>
      </w:r>
      <w:r w:rsidRPr="00C179DA">
        <w:t>applications for governmental use and WBB.</w:t>
      </w:r>
    </w:p>
    <w:p w:rsidR="001E1D91" w:rsidRPr="00C179DA" w:rsidRDefault="001E1D91" w:rsidP="001E1D91">
      <w:pPr>
        <w:pStyle w:val="berschrift2"/>
      </w:pPr>
      <w:bookmarkStart w:id="63" w:name="_Toc398907431"/>
      <w:r w:rsidRPr="00C179DA">
        <w:t>Other considerations:</w:t>
      </w:r>
      <w:bookmarkEnd w:id="63"/>
      <w:r w:rsidRPr="00C179DA">
        <w:t xml:space="preserve"> </w:t>
      </w:r>
    </w:p>
    <w:p w:rsidR="00413E8A" w:rsidRPr="00D50423" w:rsidRDefault="00413E8A" w:rsidP="00413E8A">
      <w:pPr>
        <w:pStyle w:val="ECCParagraph"/>
      </w:pPr>
      <w:r w:rsidRPr="00C179DA">
        <w:t>In some countries various governmental entities are involved and responsible on local, regional and governmental level. These entities might not be authorised</w:t>
      </w:r>
      <w:r w:rsidR="00C179DA" w:rsidRPr="00C179DA">
        <w:t xml:space="preserve"> (</w:t>
      </w:r>
      <w:r w:rsidRPr="00C179DA">
        <w:t>or it may not be desirable for them</w:t>
      </w:r>
      <w:r w:rsidR="00C179DA" w:rsidRPr="00C179DA">
        <w:t>)</w:t>
      </w:r>
      <w:r w:rsidRPr="00C179DA">
        <w:t xml:space="preserve"> to get into negotiations with third parties interested</w:t>
      </w:r>
      <w:r w:rsidRPr="00413E8A">
        <w:t xml:space="preserve"> in the commercial use of spectrum that are not aligned with their set of responsibilities. In these cases, as already mentioned in</w:t>
      </w:r>
      <w:r w:rsidRPr="00D50423">
        <w:t xml:space="preserve"> other section of the Report, the NRA might act on behalf of the governmental entities, replacing the incumbent’s part in the negotiations with the additional user.</w:t>
      </w:r>
    </w:p>
    <w:p w:rsidR="00BC349C" w:rsidRPr="005274B2" w:rsidRDefault="00BC349C" w:rsidP="00033DA6">
      <w:pPr>
        <w:pStyle w:val="berschrift2"/>
        <w:numPr>
          <w:ilvl w:val="0"/>
          <w:numId w:val="0"/>
        </w:numPr>
        <w:ind w:left="576"/>
      </w:pPr>
    </w:p>
    <w:p w:rsidR="00BC349C" w:rsidRDefault="00BC349C" w:rsidP="00BC349C">
      <w:pPr>
        <w:pStyle w:val="berschrift2"/>
        <w:numPr>
          <w:ilvl w:val="0"/>
          <w:numId w:val="0"/>
        </w:numPr>
        <w:ind w:left="576"/>
      </w:pPr>
    </w:p>
    <w:p w:rsidR="005274B2" w:rsidRDefault="005274B2" w:rsidP="005274B2">
      <w:pPr>
        <w:pStyle w:val="berschrift1"/>
      </w:pPr>
      <w:bookmarkStart w:id="64" w:name="_Toc398907432"/>
      <w:r>
        <w:lastRenderedPageBreak/>
        <w:t>Sharing scenarios</w:t>
      </w:r>
      <w:r w:rsidRPr="00CF10ED">
        <w:t xml:space="preserve"> for the </w:t>
      </w:r>
      <w:r>
        <w:t xml:space="preserve">coexistence between </w:t>
      </w:r>
      <w:r w:rsidR="001E1D91">
        <w:t xml:space="preserve">WBB </w:t>
      </w:r>
      <w:r>
        <w:t xml:space="preserve">and </w:t>
      </w:r>
      <w:r w:rsidRPr="00CF10ED">
        <w:t>Amateur service</w:t>
      </w:r>
      <w:bookmarkEnd w:id="64"/>
    </w:p>
    <w:p w:rsidR="005274B2" w:rsidRPr="00CF10ED" w:rsidRDefault="005274B2" w:rsidP="005274B2">
      <w:pPr>
        <w:pStyle w:val="berschrift2"/>
        <w:rPr>
          <w:lang w:val="en-GB"/>
        </w:rPr>
      </w:pPr>
      <w:bookmarkStart w:id="65" w:name="_Toc398907433"/>
      <w:r>
        <w:rPr>
          <w:lang w:val="en-GB"/>
        </w:rPr>
        <w:t>S</w:t>
      </w:r>
      <w:r w:rsidRPr="00CF10ED">
        <w:rPr>
          <w:lang w:val="en-GB"/>
        </w:rPr>
        <w:t xml:space="preserve">cenarios for </w:t>
      </w:r>
      <w:r>
        <w:rPr>
          <w:lang w:val="en-GB"/>
        </w:rPr>
        <w:t>the amateur service</w:t>
      </w:r>
      <w:bookmarkEnd w:id="65"/>
    </w:p>
    <w:p w:rsidR="005274B2" w:rsidRPr="00CF10ED" w:rsidRDefault="005274B2" w:rsidP="005274B2">
      <w:pPr>
        <w:pStyle w:val="berschrift3"/>
        <w:rPr>
          <w:lang w:val="en-GB"/>
        </w:rPr>
      </w:pPr>
      <w:bookmarkStart w:id="66" w:name="_Toc398907434"/>
      <w:r>
        <w:rPr>
          <w:lang w:val="en-GB"/>
        </w:rPr>
        <w:t xml:space="preserve">Deployment assumptions </w:t>
      </w:r>
      <w:r w:rsidRPr="00CF10ED">
        <w:rPr>
          <w:lang w:val="en-GB"/>
        </w:rPr>
        <w:t xml:space="preserve">for </w:t>
      </w:r>
      <w:r>
        <w:rPr>
          <w:lang w:val="en-GB"/>
        </w:rPr>
        <w:t>the amateur service</w:t>
      </w:r>
      <w:bookmarkEnd w:id="66"/>
    </w:p>
    <w:p w:rsidR="005274B2" w:rsidRPr="00CF10ED" w:rsidRDefault="005274B2" w:rsidP="005274B2">
      <w:pPr>
        <w:pStyle w:val="ECCParagraph"/>
      </w:pPr>
      <w:r w:rsidRPr="00CF10ED">
        <w:t xml:space="preserve">The frequency band 2300-2400 MHz is allocated to the Amateur Service on a secondary basis by ITU Radio Regulations </w:t>
      </w:r>
      <w:r w:rsidR="00761F6C">
        <w:fldChar w:fldCharType="begin"/>
      </w:r>
      <w:r w:rsidR="00761F6C">
        <w:instrText xml:space="preserve"> REF _Ref398546163 \r \h </w:instrText>
      </w:r>
      <w:r w:rsidR="00761F6C">
        <w:fldChar w:fldCharType="separate"/>
      </w:r>
      <w:r w:rsidR="000C0823">
        <w:t>[15]</w:t>
      </w:r>
      <w:r w:rsidR="00761F6C">
        <w:fldChar w:fldCharType="end"/>
      </w:r>
      <w:r w:rsidRPr="00CF10ED">
        <w:t xml:space="preserve"> in all three ITU regions. </w:t>
      </w:r>
    </w:p>
    <w:p w:rsidR="005274B2" w:rsidRPr="00CF10ED" w:rsidRDefault="005274B2" w:rsidP="005274B2">
      <w:pPr>
        <w:pStyle w:val="ECCParagraph"/>
      </w:pPr>
      <w:r w:rsidRPr="00CF10ED">
        <w:t xml:space="preserve">The operational characteristics of amateur stations operating in the 2300-2400 MHz range vary significantly. However based on the IARU Region-1 VHF Managers Handbook </w:t>
      </w:r>
      <w:r w:rsidR="00761F6C">
        <w:fldChar w:fldCharType="begin"/>
      </w:r>
      <w:r w:rsidR="00761F6C">
        <w:instrText xml:space="preserve"> REF _Ref398546217 \r \h </w:instrText>
      </w:r>
      <w:r w:rsidR="00761F6C">
        <w:fldChar w:fldCharType="separate"/>
      </w:r>
      <w:r w:rsidR="000C0823">
        <w:t>[16]</w:t>
      </w:r>
      <w:r w:rsidR="00761F6C">
        <w:fldChar w:fldCharType="end"/>
      </w:r>
      <w:r w:rsidR="00761F6C">
        <w:t xml:space="preserve"> </w:t>
      </w:r>
      <w:r w:rsidRPr="00CF10ED">
        <w:t>and studies for ECC Report 172</w:t>
      </w:r>
      <w:r w:rsidR="00761F6C">
        <w:t xml:space="preserve"> </w:t>
      </w:r>
      <w:r w:rsidR="00761F6C">
        <w:fldChar w:fldCharType="begin"/>
      </w:r>
      <w:r w:rsidR="00761F6C">
        <w:instrText xml:space="preserve"> REF _Ref377653985 \r \h </w:instrText>
      </w:r>
      <w:r w:rsidR="00761F6C">
        <w:fldChar w:fldCharType="separate"/>
      </w:r>
      <w:r w:rsidR="000C0823">
        <w:t>[6]</w:t>
      </w:r>
      <w:r w:rsidR="00761F6C">
        <w:fldChar w:fldCharType="end"/>
      </w:r>
      <w:r w:rsidRPr="00CF10ED">
        <w:t>, they can be categorised as:</w:t>
      </w:r>
    </w:p>
    <w:p w:rsidR="005274B2" w:rsidRPr="00CF10ED" w:rsidRDefault="005274B2" w:rsidP="005274B2">
      <w:pPr>
        <w:pStyle w:val="ECCParBulleted"/>
        <w:ind w:left="360" w:hanging="360"/>
      </w:pPr>
      <w:r w:rsidRPr="00CF10ED">
        <w:t xml:space="preserve">Long range weak-signal reception of Narrowband Terrestrial (e.g. CW, SSB, </w:t>
      </w:r>
      <w:proofErr w:type="spellStart"/>
      <w:r w:rsidRPr="00CF10ED">
        <w:t>digimodes</w:t>
      </w:r>
      <w:proofErr w:type="spellEnd"/>
      <w:r w:rsidRPr="00CF10ED">
        <w:t xml:space="preserve">) and EME (Earth-Moon-Earth - </w:t>
      </w:r>
      <w:proofErr w:type="spellStart"/>
      <w:r w:rsidRPr="00CF10ED">
        <w:t>Moonbounce</w:t>
      </w:r>
      <w:proofErr w:type="spellEnd"/>
      <w:r w:rsidRPr="00CF10ED">
        <w:t>) operation - notably in the harmonised sub-band 2320-2322 MHz, including propagation beacons;</w:t>
      </w:r>
    </w:p>
    <w:p w:rsidR="005274B2" w:rsidRPr="00CF10ED" w:rsidRDefault="005274B2" w:rsidP="005274B2">
      <w:pPr>
        <w:pStyle w:val="ECCParBulleted"/>
        <w:ind w:left="360" w:hanging="360"/>
      </w:pPr>
      <w:r w:rsidRPr="00CF10ED">
        <w:t xml:space="preserve">Some additional narrowband activity in the 2300-2305 MHz range, including long range EME (Earth-Moon-Earth - </w:t>
      </w:r>
      <w:proofErr w:type="spellStart"/>
      <w:r w:rsidRPr="00CF10ED">
        <w:t>Moonbounce</w:t>
      </w:r>
      <w:proofErr w:type="spellEnd"/>
      <w:r w:rsidRPr="00CF10ED">
        <w:t>) contacts with North America;</w:t>
      </w:r>
    </w:p>
    <w:p w:rsidR="005274B2" w:rsidRPr="00CF10ED" w:rsidRDefault="005274B2" w:rsidP="005274B2">
      <w:pPr>
        <w:pStyle w:val="ECCParBulleted"/>
        <w:ind w:left="360" w:hanging="360"/>
      </w:pPr>
      <w:r w:rsidRPr="00CF10ED">
        <w:t>Data, multimedia, and TV repeaters (point-to-point links and area systems) in other parts of the band.</w:t>
      </w:r>
    </w:p>
    <w:p w:rsidR="005274B2" w:rsidRDefault="005274B2" w:rsidP="005274B2">
      <w:pPr>
        <w:rPr>
          <w:lang w:val="en-GB"/>
        </w:rPr>
      </w:pPr>
      <w:r w:rsidRPr="00CF10ED">
        <w:rPr>
          <w:lang w:val="en-GB"/>
        </w:rPr>
        <w:t>Activity levels vary with propagation conditions and peak when national or international contests, or other activity events, are scheduled.</w:t>
      </w:r>
    </w:p>
    <w:p w:rsidR="005274B2" w:rsidRDefault="005274B2" w:rsidP="005274B2">
      <w:pPr>
        <w:rPr>
          <w:lang w:val="en-GB"/>
        </w:rPr>
      </w:pPr>
    </w:p>
    <w:p w:rsidR="005274B2" w:rsidRPr="00CF10ED" w:rsidRDefault="005274B2" w:rsidP="005274B2">
      <w:pPr>
        <w:pStyle w:val="berschrift3"/>
        <w:rPr>
          <w:lang w:val="en-GB"/>
        </w:rPr>
      </w:pPr>
      <w:bookmarkStart w:id="67" w:name="_Toc398907435"/>
      <w:r>
        <w:rPr>
          <w:lang w:val="en-GB"/>
        </w:rPr>
        <w:t xml:space="preserve">Operational footprint </w:t>
      </w:r>
      <w:r w:rsidRPr="00CF10ED">
        <w:rPr>
          <w:lang w:val="en-GB"/>
        </w:rPr>
        <w:t xml:space="preserve">for </w:t>
      </w:r>
      <w:r>
        <w:rPr>
          <w:lang w:val="en-GB"/>
        </w:rPr>
        <w:t>the amateur service</w:t>
      </w:r>
      <w:bookmarkEnd w:id="67"/>
    </w:p>
    <w:p w:rsidR="005274B2" w:rsidRPr="00CF10ED" w:rsidRDefault="005274B2" w:rsidP="005274B2">
      <w:pPr>
        <w:pStyle w:val="berschrift2"/>
        <w:rPr>
          <w:lang w:val="en-GB"/>
        </w:rPr>
      </w:pPr>
      <w:bookmarkStart w:id="68" w:name="_Toc398907436"/>
      <w:r>
        <w:rPr>
          <w:lang w:val="en-GB"/>
        </w:rPr>
        <w:t>Options for sharing</w:t>
      </w:r>
      <w:bookmarkEnd w:id="68"/>
    </w:p>
    <w:p w:rsidR="005274B2" w:rsidRPr="00F54E4B" w:rsidRDefault="005274B2" w:rsidP="005274B2">
      <w:pPr>
        <w:rPr>
          <w:lang w:val="en-GB"/>
        </w:rPr>
      </w:pPr>
      <w:r w:rsidRPr="00F54E4B">
        <w:rPr>
          <w:lang w:val="en-GB"/>
        </w:rPr>
        <w:t xml:space="preserve">ECC Report 172 </w:t>
      </w:r>
      <w:r w:rsidRPr="00F54E4B">
        <w:rPr>
          <w:lang w:val="en-GB"/>
        </w:rPr>
        <w:fldChar w:fldCharType="begin"/>
      </w:r>
      <w:r w:rsidRPr="00F54E4B">
        <w:rPr>
          <w:lang w:val="en-GB"/>
        </w:rPr>
        <w:instrText xml:space="preserve"> REF _Ref373425452 \r \h </w:instrText>
      </w:r>
      <w:r>
        <w:rPr>
          <w:lang w:val="en-GB"/>
        </w:rPr>
        <w:instrText xml:space="preserve"> \* MERGEFORMAT </w:instrText>
      </w:r>
      <w:r w:rsidRPr="00F54E4B">
        <w:rPr>
          <w:lang w:val="en-GB"/>
        </w:rPr>
      </w:r>
      <w:r w:rsidRPr="00F54E4B">
        <w:rPr>
          <w:lang w:val="en-GB"/>
        </w:rPr>
        <w:fldChar w:fldCharType="separate"/>
      </w:r>
      <w:r w:rsidR="000C0823">
        <w:rPr>
          <w:lang w:val="en-GB"/>
        </w:rPr>
        <w:t>[6]</w:t>
      </w:r>
      <w:r w:rsidRPr="00F54E4B">
        <w:rPr>
          <w:lang w:val="en-GB"/>
        </w:rPr>
        <w:fldChar w:fldCharType="end"/>
      </w:r>
      <w:r w:rsidRPr="00F54E4B">
        <w:rPr>
          <w:lang w:val="en-GB"/>
        </w:rPr>
        <w:t xml:space="preserve"> found that regarding Radio Amateur systems in the 2300-2400 MHz band, operating as a secondary service, it was shown that the required MCL (Minimum Coupling Loss) can be achieved by various mitigation techniques.</w:t>
      </w:r>
    </w:p>
    <w:p w:rsidR="00A66B7B" w:rsidRDefault="00A66B7B" w:rsidP="00415A78">
      <w:pPr>
        <w:rPr>
          <w:lang w:val="en-GB"/>
        </w:rPr>
      </w:pPr>
    </w:p>
    <w:p w:rsidR="00415A78" w:rsidRDefault="00415A78" w:rsidP="00415A78">
      <w:pPr>
        <w:rPr>
          <w:lang w:val="en-GB"/>
        </w:rPr>
      </w:pPr>
      <w:r w:rsidRPr="00415A78">
        <w:rPr>
          <w:lang w:val="en-GB"/>
        </w:rPr>
        <w:t xml:space="preserve">Where authorised, licence conditions for amateurs already require secondary non-interference operation in the 2.3GHz band. In practice, the options are typically based on directional antennas, time, frequency and geographic sharing, as well as coordinated assignments by administrations of unattended systems such as propagation beacons or repeaters. The duty cycle of individual amateur transmissions can also be assumed to be quite low and is typically on a listen-before-transmit basis. </w:t>
      </w:r>
    </w:p>
    <w:p w:rsidR="00033DA6" w:rsidRDefault="00033DA6" w:rsidP="00415A78">
      <w:pPr>
        <w:rPr>
          <w:rFonts w:cs="Arial"/>
          <w:b/>
          <w:bCs/>
          <w:iCs/>
          <w:caps/>
          <w:szCs w:val="28"/>
          <w:lang w:val="en-GB"/>
        </w:rPr>
      </w:pPr>
    </w:p>
    <w:p w:rsidR="00415A78" w:rsidRDefault="00827DF6" w:rsidP="00415A78">
      <w:pPr>
        <w:rPr>
          <w:lang w:val="en-GB"/>
        </w:rPr>
      </w:pPr>
      <w:r>
        <w:rPr>
          <w:lang w:val="en-GB"/>
        </w:rPr>
        <w:t>C</w:t>
      </w:r>
      <w:r w:rsidR="00415A78">
        <w:rPr>
          <w:lang w:val="en-GB"/>
        </w:rPr>
        <w:t>urrent examples of shared access are based on where amateurs share with other incumbent services such as wireless cameras</w:t>
      </w:r>
      <w:r>
        <w:rPr>
          <w:lang w:val="en-GB"/>
        </w:rPr>
        <w:t xml:space="preserve"> </w:t>
      </w:r>
      <w:r w:rsidR="00415A78">
        <w:rPr>
          <w:lang w:val="en-GB"/>
        </w:rPr>
        <w:t>(PMSE) or airborne telemetry. For example:</w:t>
      </w:r>
    </w:p>
    <w:p w:rsidR="00415A78" w:rsidRDefault="00415A78" w:rsidP="00415A78">
      <w:pPr>
        <w:rPr>
          <w:lang w:val="en-GB"/>
        </w:rPr>
      </w:pPr>
    </w:p>
    <w:p w:rsidR="00415A78" w:rsidRDefault="00415A78" w:rsidP="00415A78">
      <w:pPr>
        <w:pStyle w:val="ECCBulletsLv1"/>
      </w:pPr>
      <w:r w:rsidRPr="006E4520">
        <w:t xml:space="preserve">In the Netherlands </w:t>
      </w:r>
      <w:r>
        <w:t xml:space="preserve">where there is significant PMSE usage in the band, </w:t>
      </w:r>
      <w:r w:rsidRPr="006E4520">
        <w:t xml:space="preserve">there is a regularly used notification system </w:t>
      </w:r>
      <w:r>
        <w:t xml:space="preserve">by the administration </w:t>
      </w:r>
      <w:r w:rsidRPr="006E4520">
        <w:t xml:space="preserve">that </w:t>
      </w:r>
      <w:r>
        <w:t>restricts</w:t>
      </w:r>
      <w:r w:rsidRPr="006E4520">
        <w:t xml:space="preserve"> amateur transmission</w:t>
      </w:r>
      <w:r>
        <w:t>s</w:t>
      </w:r>
      <w:r w:rsidRPr="006E4520">
        <w:t xml:space="preserve"> at def</w:t>
      </w:r>
      <w:r>
        <w:t>i</w:t>
      </w:r>
      <w:r w:rsidRPr="006E4520">
        <w:t xml:space="preserve">ned times and radii when </w:t>
      </w:r>
      <w:r>
        <w:t>PMSE usage</w:t>
      </w:r>
      <w:r w:rsidRPr="006E4520">
        <w:t xml:space="preserve"> need</w:t>
      </w:r>
      <w:r>
        <w:t>s</w:t>
      </w:r>
      <w:r w:rsidRPr="006E4520">
        <w:t xml:space="preserve"> priority</w:t>
      </w:r>
      <w:r>
        <w:t xml:space="preserve">. </w:t>
      </w:r>
    </w:p>
    <w:p w:rsidR="00415A78" w:rsidRPr="006E4520" w:rsidRDefault="00415A78" w:rsidP="00415A78">
      <w:pPr>
        <w:pStyle w:val="ECCBulletsLv1"/>
        <w:ind w:left="340" w:hanging="340"/>
      </w:pPr>
      <w:r w:rsidRPr="006E4520">
        <w:t>In the U</w:t>
      </w:r>
      <w:r w:rsidR="00635F23">
        <w:t xml:space="preserve">nited </w:t>
      </w:r>
      <w:r w:rsidRPr="006E4520">
        <w:t>K</w:t>
      </w:r>
      <w:r w:rsidR="00635F23">
        <w:t>ingdom</w:t>
      </w:r>
      <w:r w:rsidRPr="006E4520">
        <w:t xml:space="preserve"> where amateurs are required to share on a non-interfe</w:t>
      </w:r>
      <w:r>
        <w:t>re</w:t>
      </w:r>
      <w:r w:rsidRPr="006E4520">
        <w:t xml:space="preserve">nce basis, Ofcom have </w:t>
      </w:r>
      <w:r>
        <w:t xml:space="preserve">recently </w:t>
      </w:r>
      <w:r w:rsidRPr="006E4520">
        <w:t xml:space="preserve">defined geographic, zones, field strength limits and times of day around </w:t>
      </w:r>
      <w:r>
        <w:t>certain</w:t>
      </w:r>
      <w:r w:rsidRPr="006E4520">
        <w:t xml:space="preserve"> sites t</w:t>
      </w:r>
      <w:r>
        <w:t>o</w:t>
      </w:r>
      <w:r w:rsidRPr="006E4520">
        <w:t xml:space="preserve"> protect airborne telemetry use, as well as migrating amateurs </w:t>
      </w:r>
      <w:r>
        <w:t>out of</w:t>
      </w:r>
      <w:r w:rsidRPr="006E4520">
        <w:t xml:space="preserve"> the </w:t>
      </w:r>
      <w:r>
        <w:t xml:space="preserve">core </w:t>
      </w:r>
      <w:r w:rsidRPr="006E4520">
        <w:t xml:space="preserve">2350-2390 MHz sub band </w:t>
      </w:r>
      <w:r>
        <w:t xml:space="preserve">which will be made available to </w:t>
      </w:r>
      <w:r w:rsidR="00034A77">
        <w:t>WBB</w:t>
      </w:r>
      <w:r>
        <w:t xml:space="preserve"> </w:t>
      </w:r>
      <w:r w:rsidRPr="006E4520">
        <w:t xml:space="preserve">(and making a new provision </w:t>
      </w:r>
      <w:r>
        <w:t>for amateur usage</w:t>
      </w:r>
      <w:r w:rsidRPr="006E4520">
        <w:t xml:space="preserve"> in the 2300-2302 MHz band edge). </w:t>
      </w:r>
      <w:r>
        <w:t>Amateur use</w:t>
      </w:r>
      <w:r w:rsidRPr="006E4520">
        <w:t>r</w:t>
      </w:r>
      <w:r>
        <w:t>s</w:t>
      </w:r>
      <w:r w:rsidRPr="006E4520">
        <w:t xml:space="preserve"> of the </w:t>
      </w:r>
      <w:r>
        <w:t xml:space="preserve">2.3GHz </w:t>
      </w:r>
      <w:r w:rsidRPr="006E4520">
        <w:t xml:space="preserve">band </w:t>
      </w:r>
      <w:r>
        <w:t xml:space="preserve">have </w:t>
      </w:r>
      <w:r w:rsidRPr="006E4520">
        <w:t>are also been requested to register their details</w:t>
      </w:r>
      <w:r>
        <w:t xml:space="preserve"> with Ofcom</w:t>
      </w:r>
      <w:r w:rsidRPr="006E4520">
        <w:t xml:space="preserve"> to facilitate email notifications</w:t>
      </w:r>
      <w:r>
        <w:t>.</w:t>
      </w:r>
    </w:p>
    <w:p w:rsidR="00415A78" w:rsidRDefault="00415A78" w:rsidP="00415A78">
      <w:pPr>
        <w:pStyle w:val="KeinLeerraum"/>
        <w:jc w:val="left"/>
        <w:rPr>
          <w:lang w:val="en-GB"/>
        </w:rPr>
      </w:pPr>
    </w:p>
    <w:p w:rsidR="00827DF6" w:rsidRDefault="00827DF6" w:rsidP="00415A78">
      <w:pPr>
        <w:rPr>
          <w:lang w:val="en-GB"/>
        </w:rPr>
      </w:pPr>
      <w:r>
        <w:rPr>
          <w:lang w:val="en-GB"/>
        </w:rPr>
        <w:t xml:space="preserve">Further consideration required to assess whether these approaches are applicable for a shared use of the band with </w:t>
      </w:r>
      <w:r w:rsidR="00034A77">
        <w:rPr>
          <w:lang w:val="en-GB"/>
        </w:rPr>
        <w:t>WBB</w:t>
      </w:r>
      <w:r>
        <w:rPr>
          <w:lang w:val="en-GB"/>
        </w:rPr>
        <w:t xml:space="preserve">, taking into account the expected dense usage of the band by </w:t>
      </w:r>
      <w:r w:rsidR="00034A77">
        <w:rPr>
          <w:lang w:val="en-GB"/>
        </w:rPr>
        <w:t>WBB</w:t>
      </w:r>
      <w:r>
        <w:rPr>
          <w:lang w:val="en-GB"/>
        </w:rPr>
        <w:t xml:space="preserve">. </w:t>
      </w:r>
    </w:p>
    <w:p w:rsidR="00827DF6" w:rsidRDefault="00827DF6" w:rsidP="00415A78">
      <w:pPr>
        <w:rPr>
          <w:lang w:val="en-GB"/>
        </w:rPr>
      </w:pPr>
    </w:p>
    <w:p w:rsidR="00415A78" w:rsidRDefault="00415A78" w:rsidP="00415A78">
      <w:pPr>
        <w:rPr>
          <w:lang w:val="en-GB"/>
        </w:rPr>
      </w:pPr>
      <w:r>
        <w:rPr>
          <w:lang w:val="en-GB"/>
        </w:rPr>
        <w:lastRenderedPageBreak/>
        <w:t xml:space="preserve">When </w:t>
      </w:r>
      <w:r w:rsidR="00034A77">
        <w:rPr>
          <w:lang w:val="en-GB"/>
        </w:rPr>
        <w:t>WBB</w:t>
      </w:r>
      <w:r>
        <w:rPr>
          <w:lang w:val="en-GB"/>
        </w:rPr>
        <w:t xml:space="preserve"> is deployed, it is also feasible that compatibility could be achieved with low density narrowband amateur activity choosing to near the band edges where administrations implement </w:t>
      </w:r>
      <w:r w:rsidR="00034A77">
        <w:rPr>
          <w:lang w:val="en-GB"/>
        </w:rPr>
        <w:t>WBB</w:t>
      </w:r>
      <w:r>
        <w:rPr>
          <w:lang w:val="en-GB"/>
        </w:rPr>
        <w:t xml:space="preserve"> power or frequency restrictions or guard bands - for adjacent Wi-Fi compatibility for example.</w:t>
      </w:r>
    </w:p>
    <w:p w:rsidR="00415A78" w:rsidRDefault="00415A78" w:rsidP="00415A78">
      <w:pPr>
        <w:rPr>
          <w:lang w:val="en-GB"/>
        </w:rPr>
      </w:pPr>
    </w:p>
    <w:p w:rsidR="00535FF1" w:rsidRDefault="00415A78" w:rsidP="00415A78">
      <w:r w:rsidRPr="009F4308">
        <w:t>In accordance with R</w:t>
      </w:r>
      <w:r w:rsidR="00034A77">
        <w:t xml:space="preserve">adio </w:t>
      </w:r>
      <w:r w:rsidRPr="009F4308">
        <w:t>R</w:t>
      </w:r>
      <w:r w:rsidR="00034A77">
        <w:t>egulations</w:t>
      </w:r>
      <w:r w:rsidRPr="009F4308">
        <w:t xml:space="preserve"> Article 1.56 - amateur service is a radiocommunication service for the purpose of self-training, intercommunication and technical investigations carried out by amateurs, that is, by duly </w:t>
      </w:r>
      <w:proofErr w:type="spellStart"/>
      <w:r w:rsidRPr="009F4308">
        <w:t>authori</w:t>
      </w:r>
      <w:r w:rsidR="004866A1">
        <w:t>s</w:t>
      </w:r>
      <w:r w:rsidRPr="009F4308">
        <w:t>ed</w:t>
      </w:r>
      <w:proofErr w:type="spellEnd"/>
      <w:r w:rsidRPr="009F4308">
        <w:t xml:space="preserve"> persons interested in radio technique solely with a personal aim and without pecuniary interest - in some countries it is forbidden by law that radio amateurs act on a commercial basis. </w:t>
      </w:r>
    </w:p>
    <w:bookmarkEnd w:id="5"/>
    <w:p w:rsidR="0002231D" w:rsidRPr="0002231D" w:rsidRDefault="0002231D" w:rsidP="0002231D">
      <w:pPr>
        <w:pStyle w:val="ECCParagraph"/>
      </w:pPr>
    </w:p>
    <w:p w:rsidR="004F0586" w:rsidRPr="004F0586" w:rsidRDefault="004F0586" w:rsidP="00033DA6">
      <w:pPr>
        <w:pStyle w:val="ECCParagraph"/>
      </w:pPr>
    </w:p>
    <w:p w:rsidR="00AB46DF" w:rsidRDefault="003C3EE4" w:rsidP="00AB46DF">
      <w:pPr>
        <w:pStyle w:val="berschrift1"/>
      </w:pPr>
      <w:bookmarkStart w:id="69" w:name="_Toc398907437"/>
      <w:r>
        <w:lastRenderedPageBreak/>
        <w:t>Conclusions</w:t>
      </w:r>
      <w:bookmarkEnd w:id="69"/>
    </w:p>
    <w:p w:rsidR="009D65CA" w:rsidRDefault="009D65CA" w:rsidP="009D65CA">
      <w:pPr>
        <w:pStyle w:val="ECCParagraph"/>
      </w:pPr>
      <w:r>
        <w:t xml:space="preserve">Possible sharing options are described in this Report for the shared use of the band between WBB and the incumbent use. Measures like the </w:t>
      </w:r>
      <w:r w:rsidR="00D50423">
        <w:t xml:space="preserve">utilization </w:t>
      </w:r>
      <w:r>
        <w:t>of exclusion, protection and restriction zones can apply</w:t>
      </w:r>
      <w:r w:rsidR="00D50423">
        <w:t xml:space="preserve"> </w:t>
      </w:r>
      <w:r>
        <w:t>on a general basis and can be used as p</w:t>
      </w:r>
      <w:r w:rsidR="009521D9">
        <w:t>art of a LSA sharing framework.</w:t>
      </w:r>
    </w:p>
    <w:p w:rsidR="00FF2AFF" w:rsidRPr="0065027B" w:rsidRDefault="009D65CA" w:rsidP="009D65CA">
      <w:pPr>
        <w:pStyle w:val="ECCParagraph"/>
      </w:pPr>
      <w:r>
        <w:t xml:space="preserve">Technical conditions and details of implementation of the LSA sharing framework should be defined at the national level to reflect the national sharing scenarios, which depend strictly upon the types of incumbent use. </w:t>
      </w:r>
      <w:r w:rsidRPr="0065027B">
        <w:t>This would contribute to</w:t>
      </w:r>
      <w:r w:rsidR="009521D9">
        <w:t xml:space="preserve"> the efficient use of the band.</w:t>
      </w:r>
      <w:bookmarkStart w:id="70" w:name="_GoBack"/>
      <w:bookmarkEnd w:id="70"/>
    </w:p>
    <w:p w:rsidR="00FF2AFF" w:rsidRDefault="00D50423" w:rsidP="00D50423">
      <w:pPr>
        <w:pStyle w:val="ECCParagraph"/>
      </w:pPr>
      <w:r w:rsidRPr="0065027B">
        <w:t>Standardisation activities on LSA will</w:t>
      </w:r>
      <w:r>
        <w:t xml:space="preserve"> facilitate the availability and interoperability</w:t>
      </w:r>
      <w:r w:rsidRPr="008819AE">
        <w:t xml:space="preserve"> of technical solutions for implementation of LSA</w:t>
      </w:r>
      <w:r>
        <w:t>, allowing the national implementations to be specific</w:t>
      </w:r>
      <w:r w:rsidRPr="008819AE">
        <w:t xml:space="preserve"> depending on the national conditions and incumbent usage o</w:t>
      </w:r>
      <w:r w:rsidR="0016187F">
        <w:t>f</w:t>
      </w:r>
      <w:r w:rsidRPr="008819AE">
        <w:t xml:space="preserve"> the band.</w:t>
      </w:r>
    </w:p>
    <w:p w:rsidR="00D50423" w:rsidRDefault="00FF2AFF" w:rsidP="00D50423">
      <w:pPr>
        <w:pStyle w:val="ECCParagraph"/>
      </w:pPr>
      <w:r>
        <w:t>Further work is expected, in response to task 2.3 of the EC Mandate, on t</w:t>
      </w:r>
      <w:r w:rsidRPr="001079E0">
        <w:t>he development, where appropriate, of common technical sharing solutions for the shared use of the 2300-2400 MHz band for WBB and incumbent services/applications</w:t>
      </w:r>
      <w:r>
        <w:t xml:space="preserve">, in particular PMSE. This will </w:t>
      </w:r>
      <w:r w:rsidRPr="001079E0">
        <w:t>be addressed in a subsequent CEPT Report.</w:t>
      </w:r>
      <w:r w:rsidR="00D50423">
        <w:t xml:space="preserve"> </w:t>
      </w:r>
    </w:p>
    <w:p w:rsidR="00D50423" w:rsidRPr="004E5F2A" w:rsidRDefault="00D50423" w:rsidP="00D50423">
      <w:pPr>
        <w:rPr>
          <w:lang w:val="en-GB"/>
        </w:rPr>
      </w:pPr>
    </w:p>
    <w:p w:rsidR="00AB46DF" w:rsidRPr="00D50423" w:rsidRDefault="00AB46DF" w:rsidP="00AB46DF">
      <w:pPr>
        <w:outlineLvl w:val="2"/>
        <w:rPr>
          <w:lang w:val="en-GB"/>
        </w:rPr>
      </w:pPr>
    </w:p>
    <w:p w:rsidR="00AB46DF" w:rsidRDefault="00AB46DF">
      <w:pPr>
        <w:rPr>
          <w:lang w:val="en-GB"/>
        </w:rPr>
        <w:sectPr w:rsidR="00AB46DF">
          <w:headerReference w:type="even" r:id="rId30"/>
          <w:headerReference w:type="default" r:id="rId31"/>
          <w:headerReference w:type="first" r:id="rId32"/>
          <w:pgSz w:w="11907" w:h="16840" w:code="9"/>
          <w:pgMar w:top="1440" w:right="1134" w:bottom="1440" w:left="1134" w:header="709" w:footer="709" w:gutter="0"/>
          <w:cols w:space="708"/>
          <w:docGrid w:linePitch="360"/>
        </w:sectPr>
      </w:pPr>
    </w:p>
    <w:p w:rsidR="00AB46DF" w:rsidRPr="002209A7" w:rsidRDefault="00252930" w:rsidP="002209A7">
      <w:pPr>
        <w:pStyle w:val="ECCAnnexheading1"/>
      </w:pPr>
      <w:bookmarkStart w:id="71" w:name="_Ref398245283"/>
      <w:bookmarkStart w:id="72" w:name="_Toc398907438"/>
      <w:r>
        <w:lastRenderedPageBreak/>
        <w:t>Summary of the usage of the 2.3-2.4 GHz band</w:t>
      </w:r>
      <w:bookmarkEnd w:id="71"/>
      <w:bookmarkEnd w:id="72"/>
    </w:p>
    <w:p w:rsidR="00AB46DF" w:rsidRPr="00CD53FB" w:rsidRDefault="00252930" w:rsidP="00AB46DF">
      <w:pPr>
        <w:pStyle w:val="ECCParagraph"/>
      </w:pPr>
      <w:r w:rsidRPr="005811EA">
        <w:t xml:space="preserve">This document contains </w:t>
      </w:r>
      <w:r>
        <w:t>a summary</w:t>
      </w:r>
      <w:r w:rsidRPr="005811EA">
        <w:t xml:space="preserve"> of the use of the band 2.3-2.4 GHz across CEPT derived from the responses to the questionnaire issued by WG FM in 2012 (</w:t>
      </w:r>
      <w:r>
        <w:t xml:space="preserve">see document </w:t>
      </w:r>
      <w:r w:rsidRPr="005811EA">
        <w:t>FM(12)017Rev1</w:t>
      </w:r>
      <w:r>
        <w:t xml:space="preserve"> </w:t>
      </w:r>
      <w:r>
        <w:fldChar w:fldCharType="begin"/>
      </w:r>
      <w:r>
        <w:instrText xml:space="preserve"> REF _Ref392685551 \r \h </w:instrText>
      </w:r>
      <w:r>
        <w:fldChar w:fldCharType="separate"/>
      </w:r>
      <w:r w:rsidR="000C0823">
        <w:t>[3]</w:t>
      </w:r>
      <w:r>
        <w:fldChar w:fldCharType="end"/>
      </w:r>
      <w:r>
        <w:t xml:space="preserve"> for details </w:t>
      </w:r>
      <w:r w:rsidRPr="005811EA">
        <w:t>)</w:t>
      </w:r>
      <w:r w:rsidR="00033DA6">
        <w:t xml:space="preserve"> and updated in 2014 for some administrations</w:t>
      </w:r>
      <w:r w:rsidRPr="005811EA">
        <w:t>.</w:t>
      </w:r>
    </w:p>
    <w:p w:rsidR="00AB46DF" w:rsidRDefault="00252930" w:rsidP="003C3EE4">
      <w:pPr>
        <w:pStyle w:val="ECCAnnexheading2"/>
      </w:pPr>
      <w:r w:rsidRPr="00E40091">
        <w:t>military and governmental use</w:t>
      </w:r>
    </w:p>
    <w:p w:rsidR="00252930" w:rsidRPr="00E40091" w:rsidRDefault="00252930" w:rsidP="00252930">
      <w:pPr>
        <w:pStyle w:val="ECCAnnexheading3"/>
      </w:pPr>
      <w:r w:rsidRPr="00E40091">
        <w:t xml:space="preserve">aeronautical telemetry </w:t>
      </w:r>
    </w:p>
    <w:p w:rsidR="00033DA6" w:rsidRDefault="00033DA6" w:rsidP="00B52438">
      <w:pPr>
        <w:pStyle w:val="ECCParagraph"/>
        <w:rPr>
          <w:lang w:val="en-US"/>
        </w:rPr>
      </w:pPr>
      <w:r>
        <w:rPr>
          <w:lang w:val="en-US"/>
        </w:rPr>
        <w:t>Eight countries are using the band or part of it for aeronautical telemetry.</w:t>
      </w:r>
    </w:p>
    <w:p w:rsidR="00252930" w:rsidRDefault="00252930" w:rsidP="00252930">
      <w:pPr>
        <w:pStyle w:val="ECCAnnexheading3"/>
      </w:pPr>
      <w:r w:rsidRPr="00E40091">
        <w:t xml:space="preserve">generic governmental or </w:t>
      </w:r>
      <w:proofErr w:type="spellStart"/>
      <w:r w:rsidRPr="00E40091">
        <w:t>defence</w:t>
      </w:r>
      <w:proofErr w:type="spellEnd"/>
      <w:r w:rsidRPr="00E40091">
        <w:t xml:space="preserve"> use</w:t>
      </w:r>
      <w:r>
        <w:t xml:space="preserve"> </w:t>
      </w:r>
    </w:p>
    <w:p w:rsidR="00252930" w:rsidRDefault="00033DA6" w:rsidP="00B52438">
      <w:pPr>
        <w:pStyle w:val="ECCParagraph"/>
        <w:rPr>
          <w:lang w:val="en-US"/>
        </w:rPr>
      </w:pPr>
      <w:r>
        <w:rPr>
          <w:lang w:val="en-US"/>
        </w:rPr>
        <w:t xml:space="preserve">Three countries reported a use of the band for generic governmental </w:t>
      </w:r>
      <w:r w:rsidR="002B3C2E">
        <w:rPr>
          <w:lang w:val="en-US"/>
        </w:rPr>
        <w:t xml:space="preserve">or </w:t>
      </w:r>
      <w:proofErr w:type="spellStart"/>
      <w:r w:rsidR="002B3C2E">
        <w:rPr>
          <w:lang w:val="en-US"/>
        </w:rPr>
        <w:t>defence</w:t>
      </w:r>
      <w:proofErr w:type="spellEnd"/>
      <w:r w:rsidR="002B3C2E">
        <w:rPr>
          <w:lang w:val="en-US"/>
        </w:rPr>
        <w:t xml:space="preserve"> use.</w:t>
      </w:r>
      <w:r w:rsidR="00252930">
        <w:rPr>
          <w:lang w:val="en-US"/>
        </w:rPr>
        <w:t xml:space="preserve"> </w:t>
      </w:r>
    </w:p>
    <w:p w:rsidR="00252930" w:rsidRPr="00E40091" w:rsidRDefault="00252930" w:rsidP="00252930">
      <w:pPr>
        <w:pStyle w:val="ECCAnnexheading3"/>
      </w:pPr>
      <w:r w:rsidRPr="00E40091">
        <w:t xml:space="preserve">other </w:t>
      </w:r>
      <w:proofErr w:type="spellStart"/>
      <w:r w:rsidRPr="00E40091">
        <w:t>defence</w:t>
      </w:r>
      <w:proofErr w:type="spellEnd"/>
      <w:r w:rsidRPr="00E40091">
        <w:t xml:space="preserve"> or governmental use</w:t>
      </w:r>
    </w:p>
    <w:p w:rsidR="00252930" w:rsidRDefault="00033DA6" w:rsidP="00B52438">
      <w:pPr>
        <w:pStyle w:val="ECCParagraph"/>
        <w:rPr>
          <w:lang w:val="en-US"/>
        </w:rPr>
      </w:pPr>
      <w:r>
        <w:rPr>
          <w:lang w:val="en-US"/>
        </w:rPr>
        <w:t xml:space="preserve">Six countries have mentioned other </w:t>
      </w:r>
      <w:proofErr w:type="spellStart"/>
      <w:r>
        <w:rPr>
          <w:lang w:val="en-US"/>
        </w:rPr>
        <w:t>defence</w:t>
      </w:r>
      <w:proofErr w:type="spellEnd"/>
      <w:r>
        <w:rPr>
          <w:lang w:val="en-US"/>
        </w:rPr>
        <w:t xml:space="preserve"> or governmental applications, which includes Unmanned Aircraft System (UAS), public safety networks, </w:t>
      </w:r>
      <w:r w:rsidR="00E34519">
        <w:rPr>
          <w:lang w:val="en-US"/>
        </w:rPr>
        <w:t xml:space="preserve">military fixed </w:t>
      </w:r>
      <w:r w:rsidR="0073230C">
        <w:rPr>
          <w:lang w:val="en-US"/>
        </w:rPr>
        <w:t>applications</w:t>
      </w:r>
      <w:r>
        <w:rPr>
          <w:lang w:val="en-US"/>
        </w:rPr>
        <w:t xml:space="preserve"> and governmental BWA applications</w:t>
      </w:r>
      <w:r w:rsidR="002B3C2E">
        <w:rPr>
          <w:lang w:val="en-US"/>
        </w:rPr>
        <w:t>.</w:t>
      </w:r>
    </w:p>
    <w:p w:rsidR="00252930" w:rsidRDefault="005274B2" w:rsidP="00252930">
      <w:pPr>
        <w:pStyle w:val="ECCAnnexheading2"/>
      </w:pPr>
      <w:r>
        <w:t>PMSE</w:t>
      </w:r>
    </w:p>
    <w:p w:rsidR="00252930" w:rsidRDefault="00B52438" w:rsidP="00252930">
      <w:pPr>
        <w:pStyle w:val="ECCParagraph"/>
        <w:rPr>
          <w:lang w:val="en-US"/>
        </w:rPr>
      </w:pPr>
      <w:r>
        <w:rPr>
          <w:lang w:val="en-US"/>
        </w:rPr>
        <w:t xml:space="preserve">In twenty-eight CEPT countries, the band 2.3-2.4 GHz or part of it is used for PMSE.  When specified, the type of PMSE includes cordless cameras, portable and mobile video links with some airborne use in some countries. </w:t>
      </w:r>
    </w:p>
    <w:p w:rsidR="005274B2" w:rsidRDefault="005274B2" w:rsidP="005274B2">
      <w:pPr>
        <w:pStyle w:val="ECCAnnexheading2"/>
      </w:pPr>
      <w:r w:rsidRPr="00E40091">
        <w:t>fixed links</w:t>
      </w:r>
    </w:p>
    <w:p w:rsidR="005274B2" w:rsidRDefault="00B52438" w:rsidP="00B52438">
      <w:pPr>
        <w:pStyle w:val="ECCParagraph"/>
        <w:rPr>
          <w:lang w:val="en-US"/>
        </w:rPr>
      </w:pPr>
      <w:r>
        <w:rPr>
          <w:lang w:val="en-US"/>
        </w:rPr>
        <w:t>Six countries mentioned some use of the band for fixed links, with a limited number of links in some of these countries.</w:t>
      </w:r>
    </w:p>
    <w:p w:rsidR="005274B2" w:rsidRDefault="005274B2" w:rsidP="005274B2">
      <w:pPr>
        <w:pStyle w:val="ECCAnnexheading2"/>
      </w:pPr>
      <w:r w:rsidRPr="00E40091">
        <w:t>radio amateur services</w:t>
      </w:r>
    </w:p>
    <w:p w:rsidR="00B52438" w:rsidRDefault="00B52438" w:rsidP="00B52438">
      <w:pPr>
        <w:pStyle w:val="ECCParagraph"/>
        <w:rPr>
          <w:lang w:val="en-US"/>
        </w:rPr>
      </w:pPr>
      <w:r>
        <w:rPr>
          <w:lang w:val="en-US"/>
        </w:rPr>
        <w:t>Fourteen countries informed that part of the band is available for the amateur service, generally on a secondary basis.</w:t>
      </w:r>
    </w:p>
    <w:p w:rsidR="005274B2" w:rsidRPr="005274B2" w:rsidRDefault="005274B2" w:rsidP="005274B2">
      <w:pPr>
        <w:pStyle w:val="ECCAnnexheading2"/>
      </w:pPr>
      <w:r w:rsidRPr="005274B2">
        <w:t>Other uses</w:t>
      </w:r>
    </w:p>
    <w:p w:rsidR="00B52438" w:rsidRDefault="00B52438" w:rsidP="00B52438">
      <w:pPr>
        <w:pStyle w:val="ECCParagraph"/>
      </w:pPr>
      <w:r>
        <w:t xml:space="preserve">Three countries reported about the use of part of the band for other, very specific use. </w:t>
      </w:r>
    </w:p>
    <w:p w:rsidR="005274B2" w:rsidRDefault="005274B2" w:rsidP="005274B2">
      <w:pPr>
        <w:pStyle w:val="ECCAnnexheading2"/>
      </w:pPr>
      <w:r w:rsidRPr="00E40091">
        <w:t>Broadband</w:t>
      </w:r>
      <w:r w:rsidRPr="005274B2">
        <w:t xml:space="preserve"> mobile </w:t>
      </w:r>
    </w:p>
    <w:p w:rsidR="00413E8A" w:rsidRDefault="00413E8A" w:rsidP="00413E8A">
      <w:pPr>
        <w:pStyle w:val="ECCParagraph"/>
        <w:rPr>
          <w:lang w:val="en-US"/>
        </w:rPr>
      </w:pPr>
      <w:r>
        <w:rPr>
          <w:lang w:val="en-US"/>
        </w:rPr>
        <w:t>Six CEPT countries reported that part of the band is currently available for WBB use.</w:t>
      </w:r>
    </w:p>
    <w:p w:rsidR="00413E8A" w:rsidRDefault="00413E8A" w:rsidP="00413E8A">
      <w:pPr>
        <w:pStyle w:val="ECCParagraph"/>
        <w:rPr>
          <w:lang w:val="en-US"/>
        </w:rPr>
      </w:pPr>
      <w:r>
        <w:rPr>
          <w:lang w:val="en-US"/>
        </w:rPr>
        <w:t>Eleven countries plan to make the band or part of it available for WBB.</w:t>
      </w:r>
    </w:p>
    <w:p w:rsidR="00AB46DF" w:rsidRPr="00F15DB6" w:rsidRDefault="00AB46DF" w:rsidP="00AB46DF">
      <w:pPr>
        <w:spacing w:before="120" w:after="120"/>
        <w:jc w:val="both"/>
        <w:rPr>
          <w:szCs w:val="20"/>
        </w:rPr>
      </w:pPr>
    </w:p>
    <w:p w:rsidR="00AC1109" w:rsidRPr="00EC38E3" w:rsidRDefault="00AC1109" w:rsidP="00AC1109">
      <w:pPr>
        <w:pStyle w:val="ECCAnnexheading1"/>
        <w:spacing w:before="240" w:after="60"/>
        <w:outlineLvl w:val="9"/>
      </w:pPr>
      <w:bookmarkStart w:id="73" w:name="_Toc398133868"/>
      <w:bookmarkStart w:id="74" w:name="_Ref398238236"/>
      <w:r>
        <w:lastRenderedPageBreak/>
        <w:t xml:space="preserve">Finnish </w:t>
      </w:r>
      <w:r w:rsidRPr="00EC38E3">
        <w:t>LSA trial</w:t>
      </w:r>
      <w:bookmarkEnd w:id="73"/>
      <w:bookmarkEnd w:id="74"/>
    </w:p>
    <w:p w:rsidR="00AC1109" w:rsidRDefault="00AC1109" w:rsidP="00AC1109">
      <w:pPr>
        <w:pStyle w:val="ECCAnnexheading2"/>
      </w:pPr>
      <w:bookmarkStart w:id="75" w:name="_Toc398133869"/>
      <w:r>
        <w:tab/>
        <w:t>Overall set-up</w:t>
      </w:r>
      <w:bookmarkEnd w:id="75"/>
    </w:p>
    <w:p w:rsidR="00AC1109" w:rsidRPr="00EC38E3" w:rsidRDefault="00AC1109" w:rsidP="00AC1109">
      <w:pPr>
        <w:pStyle w:val="ECCParagraph"/>
      </w:pPr>
      <w:r>
        <w:t xml:space="preserve">Finnish Trial program is developing trial environments to study spectrum sharing concepts </w:t>
      </w:r>
      <w:r w:rsidRPr="00EC38E3">
        <w:fldChar w:fldCharType="begin"/>
      </w:r>
      <w:r w:rsidRPr="00EC38E3">
        <w:instrText xml:space="preserve"> REF _Ref397699167 \r \h  \* MERGEFORMAT </w:instrText>
      </w:r>
      <w:r w:rsidRPr="00EC38E3">
        <w:fldChar w:fldCharType="separate"/>
      </w:r>
      <w:r w:rsidR="000C0823">
        <w:t>[12]</w:t>
      </w:r>
      <w:r w:rsidRPr="00EC38E3">
        <w:fldChar w:fldCharType="end"/>
      </w:r>
      <w:r w:rsidRPr="00EC38E3">
        <w:t xml:space="preserve">. The Finnish LSA trial environment developed in the Trial program is a combination of elements that are commercially available equipment or specifically designed for the purpose of the LSA concept as shown in </w:t>
      </w:r>
      <w:r w:rsidRPr="00EC38E3">
        <w:fldChar w:fldCharType="begin"/>
      </w:r>
      <w:r w:rsidRPr="00EC38E3">
        <w:instrText xml:space="preserve"> REF _Ref397700038 \h </w:instrText>
      </w:r>
      <w:r w:rsidRPr="00EC38E3">
        <w:fldChar w:fldCharType="separate"/>
      </w:r>
      <w:r w:rsidR="000C0823" w:rsidRPr="005F2317">
        <w:t xml:space="preserve">Figure </w:t>
      </w:r>
      <w:r w:rsidR="000C0823">
        <w:rPr>
          <w:noProof/>
        </w:rPr>
        <w:t>16</w:t>
      </w:r>
      <w:r w:rsidRPr="00EC38E3">
        <w:fldChar w:fldCharType="end"/>
      </w:r>
      <w:r w:rsidRPr="00EC38E3">
        <w:t xml:space="preserve">. On the commercial side, the LSA trial environment includes a cellular Long-Term Evolution (LTE) network that consists of commercial 3GPP Release 8 compliant radio accesses and a real core network </w:t>
      </w:r>
      <w:r w:rsidRPr="00EC38E3">
        <w:fldChar w:fldCharType="begin"/>
      </w:r>
      <w:r w:rsidRPr="00EC38E3">
        <w:instrText xml:space="preserve"> REF _Ref397699419 \r \h  \* MERGEFORMAT </w:instrText>
      </w:r>
      <w:r w:rsidRPr="00EC38E3">
        <w:fldChar w:fldCharType="separate"/>
      </w:r>
      <w:r w:rsidR="000C0823">
        <w:t>[13]</w:t>
      </w:r>
      <w:r w:rsidRPr="00EC38E3">
        <w:fldChar w:fldCharType="end"/>
      </w:r>
      <w:r w:rsidRPr="00EC38E3">
        <w:t xml:space="preserve">. The LTE network contains three Time-Division LTE (TD-LTE) LSA </w:t>
      </w:r>
      <w:proofErr w:type="spellStart"/>
      <w:r w:rsidRPr="00EC38E3">
        <w:t>eNBs</w:t>
      </w:r>
      <w:proofErr w:type="spellEnd"/>
      <w:r w:rsidRPr="00EC38E3">
        <w:t xml:space="preserve"> with five sectors that are located in </w:t>
      </w:r>
      <w:proofErr w:type="spellStart"/>
      <w:r w:rsidRPr="00EC38E3">
        <w:t>Ylivieska</w:t>
      </w:r>
      <w:proofErr w:type="spellEnd"/>
      <w:r w:rsidRPr="00EC38E3">
        <w:t xml:space="preserve">, Finland, and operate in the 2.36-2.40 GHz frequency band under the permission from Finnish Communication Authority (FICORA). It also contains </w:t>
      </w:r>
      <w:proofErr w:type="gramStart"/>
      <w:r w:rsidRPr="00EC38E3">
        <w:t xml:space="preserve">two Frequency Division Duplexing LTE (FDD-LTE) evolved Node </w:t>
      </w:r>
      <w:proofErr w:type="spellStart"/>
      <w:r w:rsidRPr="00EC38E3">
        <w:t>Bs</w:t>
      </w:r>
      <w:proofErr w:type="spellEnd"/>
      <w:r w:rsidRPr="00EC38E3">
        <w:t xml:space="preserve"> (</w:t>
      </w:r>
      <w:proofErr w:type="spellStart"/>
      <w:r w:rsidRPr="00EC38E3">
        <w:t>eNBs</w:t>
      </w:r>
      <w:proofErr w:type="spellEnd"/>
      <w:r w:rsidRPr="00EC38E3">
        <w:t>) with four sectors that provide coverage to the same area using the 2.1 GHz band</w:t>
      </w:r>
      <w:proofErr w:type="gramEnd"/>
      <w:r w:rsidRPr="00EC38E3">
        <w:t xml:space="preserve">. The </w:t>
      </w:r>
      <w:proofErr w:type="spellStart"/>
      <w:r w:rsidRPr="00EC38E3">
        <w:t>eNBs</w:t>
      </w:r>
      <w:proofErr w:type="spellEnd"/>
      <w:r w:rsidRPr="00EC38E3">
        <w:t xml:space="preserve"> provide support for TD-FDD handover and load balancing. All </w:t>
      </w:r>
      <w:proofErr w:type="spellStart"/>
      <w:r w:rsidRPr="00EC38E3">
        <w:t>eNBs</w:t>
      </w:r>
      <w:proofErr w:type="spellEnd"/>
      <w:r w:rsidRPr="00EC38E3">
        <w:t xml:space="preserve"> are connected to LTE core network and are managed from a single point by a commercially available Operations, Administration and Management (OAM) system. Commercially available LTE multi-band (band 1 and 40) user equipment (UEs) that support dual-mode LTE and provide TD-</w:t>
      </w:r>
      <w:r w:rsidRPr="00A66B7B">
        <w:t xml:space="preserve">FDD seamless handover are used. The incumbent spectrum users are PMSE video links as introduced above in Section </w:t>
      </w:r>
      <w:r w:rsidR="00A66B7B" w:rsidRPr="00A66B7B">
        <w:fldChar w:fldCharType="begin"/>
      </w:r>
      <w:r w:rsidR="00A66B7B" w:rsidRPr="00A66B7B">
        <w:instrText xml:space="preserve"> REF _Ref398245975 \r \h </w:instrText>
      </w:r>
      <w:r w:rsidR="00A66B7B">
        <w:instrText xml:space="preserve"> \* MERGEFORMAT </w:instrText>
      </w:r>
      <w:r w:rsidR="00A66B7B" w:rsidRPr="00A66B7B">
        <w:fldChar w:fldCharType="separate"/>
      </w:r>
      <w:r w:rsidR="000C0823">
        <w:t>4.1</w:t>
      </w:r>
      <w:r w:rsidR="00A66B7B" w:rsidRPr="00A66B7B">
        <w:fldChar w:fldCharType="end"/>
      </w:r>
      <w:r w:rsidRPr="00A66B7B">
        <w:t xml:space="preserve"> </w:t>
      </w:r>
      <w:proofErr w:type="gramStart"/>
      <w:r w:rsidRPr="00A66B7B">
        <w:t>The</w:t>
      </w:r>
      <w:proofErr w:type="gramEnd"/>
      <w:r w:rsidRPr="00A66B7B">
        <w:t xml:space="preserve"> protection distances reported in ECC Report 172 </w:t>
      </w:r>
      <w:r w:rsidRPr="00A66B7B">
        <w:fldChar w:fldCharType="begin"/>
      </w:r>
      <w:r w:rsidRPr="00A66B7B">
        <w:instrText xml:space="preserve"> REF _Ref377653985 \r \h  \* MERGEFORMAT </w:instrText>
      </w:r>
      <w:r w:rsidRPr="00A66B7B">
        <w:fldChar w:fldCharType="separate"/>
      </w:r>
      <w:r w:rsidR="000C0823">
        <w:t>[6]</w:t>
      </w:r>
      <w:r w:rsidRPr="00A66B7B">
        <w:fldChar w:fldCharType="end"/>
      </w:r>
      <w:r w:rsidRPr="00A66B7B">
        <w:t xml:space="preserve"> are used in the co-channel and adjacent channel scenarios</w:t>
      </w:r>
      <w:r w:rsidRPr="00EC38E3">
        <w:t xml:space="preserve"> between LTE </w:t>
      </w:r>
      <w:proofErr w:type="spellStart"/>
      <w:r w:rsidRPr="00EC38E3">
        <w:t>eNBs</w:t>
      </w:r>
      <w:proofErr w:type="spellEnd"/>
      <w:r w:rsidRPr="00EC38E3">
        <w:t xml:space="preserve"> and video links.   </w:t>
      </w:r>
    </w:p>
    <w:p w:rsidR="00AC1109" w:rsidRPr="00EC38E3" w:rsidRDefault="00AC1109" w:rsidP="00AC1109">
      <w:pPr>
        <w:pStyle w:val="ECCFiguregraphcentered"/>
      </w:pPr>
      <w:r w:rsidRPr="00EC38E3">
        <w:rPr>
          <w:lang w:val="en-GB" w:eastAsia="en-GB"/>
        </w:rPr>
        <w:drawing>
          <wp:inline distT="0" distB="0" distL="0" distR="0" wp14:anchorId="0921C148" wp14:editId="6F009EC0">
            <wp:extent cx="4772025" cy="4377017"/>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_pic.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77727" cy="4382247"/>
                    </a:xfrm>
                    <a:prstGeom prst="rect">
                      <a:avLst/>
                    </a:prstGeom>
                  </pic:spPr>
                </pic:pic>
              </a:graphicData>
            </a:graphic>
          </wp:inline>
        </w:drawing>
      </w:r>
    </w:p>
    <w:p w:rsidR="00AC1109" w:rsidRPr="005F2317" w:rsidRDefault="00AC1109" w:rsidP="00AC1109">
      <w:pPr>
        <w:pStyle w:val="Beschriftung"/>
      </w:pPr>
      <w:bookmarkStart w:id="76" w:name="_Ref396401447"/>
      <w:bookmarkStart w:id="77" w:name="_Ref397700038"/>
      <w:bookmarkStart w:id="78" w:name="_Ref396401440"/>
      <w:r w:rsidRPr="005F2317">
        <w:t xml:space="preserve">Figure </w:t>
      </w:r>
      <w:bookmarkEnd w:id="76"/>
      <w:r>
        <w:fldChar w:fldCharType="begin"/>
      </w:r>
      <w:r w:rsidRPr="005F2317">
        <w:instrText xml:space="preserve"> SEQ Figure \* ARABIC </w:instrText>
      </w:r>
      <w:r>
        <w:fldChar w:fldCharType="separate"/>
      </w:r>
      <w:r w:rsidR="000C0823">
        <w:rPr>
          <w:noProof/>
        </w:rPr>
        <w:t>16</w:t>
      </w:r>
      <w:r>
        <w:rPr>
          <w:noProof/>
        </w:rPr>
        <w:fldChar w:fldCharType="end"/>
      </w:r>
      <w:bookmarkEnd w:id="77"/>
      <w:r w:rsidRPr="005F2317">
        <w:t>: Finnish LSA trial set-up</w:t>
      </w:r>
      <w:bookmarkEnd w:id="78"/>
      <w:r w:rsidRPr="005F2317">
        <w:t xml:space="preserve"> including commercial LTE equipment on the right and LSA specific research implementation on the left. </w:t>
      </w:r>
    </w:p>
    <w:p w:rsidR="00AC1109" w:rsidRPr="005F2317" w:rsidRDefault="00AC1109" w:rsidP="00AC1109">
      <w:pPr>
        <w:pStyle w:val="ECCAnnexheading3"/>
        <w:spacing w:after="60"/>
      </w:pPr>
      <w:bookmarkStart w:id="79" w:name="_Toc398133870"/>
      <w:r w:rsidRPr="005F2317">
        <w:t>Specific tools developed for the support of LSA</w:t>
      </w:r>
      <w:bookmarkEnd w:id="79"/>
    </w:p>
    <w:p w:rsidR="00AC1109" w:rsidRPr="001D342D" w:rsidRDefault="00AC1109" w:rsidP="00AC1109">
      <w:pPr>
        <w:pStyle w:val="ECCParagraph"/>
      </w:pPr>
      <w:r>
        <w:lastRenderedPageBreak/>
        <w:t xml:space="preserve">In addition to the commercial equipment described above, the Finnish LSA trial environment includes LSA specific equipment that </w:t>
      </w:r>
      <w:proofErr w:type="gramStart"/>
      <w:r>
        <w:t>have</w:t>
      </w:r>
      <w:proofErr w:type="gramEnd"/>
      <w:r>
        <w:t xml:space="preserve"> been developed for the trials including LSA Incumbent Manager, LSA Repository, and LSA Controller.</w:t>
      </w:r>
    </w:p>
    <w:p w:rsidR="00AC1109" w:rsidRDefault="00AC1109" w:rsidP="00AC1109">
      <w:pPr>
        <w:pStyle w:val="ECCAnnexheading3"/>
        <w:spacing w:after="60"/>
      </w:pPr>
      <w:r>
        <w:t>LSA Incumbent Manager</w:t>
      </w:r>
    </w:p>
    <w:p w:rsidR="00AC1109" w:rsidRPr="00EC38E3" w:rsidRDefault="00AC1109" w:rsidP="00AC1109">
      <w:pPr>
        <w:pStyle w:val="ECCParagraph"/>
      </w:pPr>
      <w:r>
        <w:t xml:space="preserve">The </w:t>
      </w:r>
      <w:r w:rsidRPr="00EC38E3">
        <w:t xml:space="preserve">LSA concept is based on the assumption that the incumbent is allowed to dynamically reclaim its spectrum band or part of it also during the LSA license duration by requesting the LSA licensee to evacuate the band. In the Finnish LSA trial, an LSA specific tool has been developed to help the PMSE service provider to reserve frequencies by placing evacuation requests in a simple and secure manner via mobile phone or a web browser, as shown in </w:t>
      </w:r>
      <w:r w:rsidRPr="00EC38E3">
        <w:fldChar w:fldCharType="begin"/>
      </w:r>
      <w:r w:rsidRPr="00EC38E3">
        <w:instrText xml:space="preserve"> REF _Ref396895127 \h </w:instrText>
      </w:r>
      <w:r w:rsidRPr="00EC38E3">
        <w:fldChar w:fldCharType="separate"/>
      </w:r>
      <w:r w:rsidR="000C0823" w:rsidRPr="005F2317">
        <w:t xml:space="preserve">Figure </w:t>
      </w:r>
      <w:r w:rsidR="000C0823">
        <w:rPr>
          <w:noProof/>
        </w:rPr>
        <w:t>17</w:t>
      </w:r>
      <w:r w:rsidRPr="00EC38E3">
        <w:fldChar w:fldCharType="end"/>
      </w:r>
      <w:r w:rsidRPr="00EC38E3">
        <w:t xml:space="preserve">. The tool is called the LSA Incumbent Manager and the incumbent user may set and remove evacuation requests with web and mobile applications. </w:t>
      </w:r>
    </w:p>
    <w:p w:rsidR="00AC1109" w:rsidRPr="00EC38E3" w:rsidRDefault="00AC1109" w:rsidP="00AC1109">
      <w:pPr>
        <w:pStyle w:val="ECCFiguregraphcentered"/>
      </w:pPr>
      <w:r w:rsidRPr="00EC38E3">
        <w:rPr>
          <w:lang w:val="en-GB" w:eastAsia="en-GB"/>
        </w:rPr>
        <w:drawing>
          <wp:inline distT="0" distB="0" distL="0" distR="0" wp14:anchorId="05D7236A" wp14:editId="29765022">
            <wp:extent cx="4454386" cy="296227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A_Incumbent_Manager_Arkkitehtuuri__2_PNG.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457959" cy="2964651"/>
                    </a:xfrm>
                    <a:prstGeom prst="rect">
                      <a:avLst/>
                    </a:prstGeom>
                  </pic:spPr>
                </pic:pic>
              </a:graphicData>
            </a:graphic>
          </wp:inline>
        </w:drawing>
      </w:r>
    </w:p>
    <w:p w:rsidR="00AC1109" w:rsidRPr="005F2317" w:rsidRDefault="00AC1109" w:rsidP="00AC1109">
      <w:pPr>
        <w:pStyle w:val="Beschriftung"/>
      </w:pPr>
      <w:bookmarkStart w:id="80" w:name="_Ref396895127"/>
      <w:r w:rsidRPr="005F2317">
        <w:t xml:space="preserve">Figure </w:t>
      </w:r>
      <w:r>
        <w:fldChar w:fldCharType="begin"/>
      </w:r>
      <w:r w:rsidRPr="005F2317">
        <w:instrText xml:space="preserve"> SEQ Figure \* ARABIC </w:instrText>
      </w:r>
      <w:r>
        <w:fldChar w:fldCharType="separate"/>
      </w:r>
      <w:r w:rsidR="000C0823">
        <w:rPr>
          <w:noProof/>
        </w:rPr>
        <w:t>17</w:t>
      </w:r>
      <w:r>
        <w:rPr>
          <w:noProof/>
        </w:rPr>
        <w:fldChar w:fldCharType="end"/>
      </w:r>
      <w:bookmarkEnd w:id="80"/>
      <w:r w:rsidRPr="005F2317">
        <w:t>: LSA Incumbent Manager.</w:t>
      </w:r>
    </w:p>
    <w:p w:rsidR="00AC1109" w:rsidRDefault="00AC1109" w:rsidP="00AC1109">
      <w:pPr>
        <w:pStyle w:val="ECCParagraph"/>
      </w:pPr>
      <w:r>
        <w:t xml:space="preserve">Using the web application of the LSA Incumbent Manager, the incumbent user can reserve the band by placing an evacuation request by setting the following information via web browser: the location in a map interface, the </w:t>
      </w:r>
      <w:r w:rsidR="00A66B7B">
        <w:t xml:space="preserve">PMSE </w:t>
      </w:r>
      <w:r w:rsidRPr="00A66B7B">
        <w:t xml:space="preserve">link type (see Section </w:t>
      </w:r>
      <w:r w:rsidR="00A66B7B" w:rsidRPr="00A66B7B">
        <w:fldChar w:fldCharType="begin"/>
      </w:r>
      <w:r w:rsidR="00A66B7B" w:rsidRPr="00A66B7B">
        <w:instrText xml:space="preserve"> REF _Ref398562826 \r \h </w:instrText>
      </w:r>
      <w:r w:rsidR="00A66B7B">
        <w:instrText xml:space="preserve"> \* MERGEFORMAT </w:instrText>
      </w:r>
      <w:r w:rsidR="00A66B7B" w:rsidRPr="00A66B7B">
        <w:fldChar w:fldCharType="separate"/>
      </w:r>
      <w:r w:rsidR="000C0823">
        <w:t>4.1.1</w:t>
      </w:r>
      <w:r w:rsidR="00A66B7B" w:rsidRPr="00A66B7B">
        <w:fldChar w:fldCharType="end"/>
      </w:r>
      <w:r w:rsidRPr="00A66B7B">
        <w:t>), the transmit</w:t>
      </w:r>
      <w:r w:rsidRPr="00EC38E3">
        <w:t xml:space="preserve"> frequency range and the time period for the reservation. The web application allows the incumbent user to request multiple protections ahead of time according to its planned usage in the future. Using the mobile application, the incumbent may make an evacuation request according to its current position. The mobile application uses GPS to locate the incumbent user on demand. The protection process may include algorithms to mask the actual usage of the incumbent user if necessary. The LSA Incumbent Manager transmits the incumbent user information to the LSA Repository.  </w:t>
      </w:r>
    </w:p>
    <w:p w:rsidR="00AC1109" w:rsidRDefault="00AC1109" w:rsidP="00AC1109">
      <w:pPr>
        <w:pStyle w:val="ECCAnnexheading3"/>
        <w:spacing w:after="60"/>
      </w:pPr>
      <w:r>
        <w:t xml:space="preserve">LSA Repository </w:t>
      </w:r>
    </w:p>
    <w:p w:rsidR="00AC1109" w:rsidRPr="00EC38E3" w:rsidRDefault="00AC1109" w:rsidP="00AC1109">
      <w:pPr>
        <w:pStyle w:val="ECCParagraph"/>
      </w:pPr>
      <w:r>
        <w:t xml:space="preserve">The LSA Repository is a database containing up-to-date information about LSA spectrum bands together with the conditions for the use of each band. It collects, maintains and manages data on the spectrum use on the LSA band for different times and geographical locations. </w:t>
      </w:r>
      <w:r w:rsidRPr="00EC38E3">
        <w:t xml:space="preserve">Additionally, the LSA Repository contains information e.g. on the LSA Controllers, licenses and the incumbent link and equipment types. Upon a change on the incumbent user activity, LSA Repository communicates it to the LSA Controller.    </w:t>
      </w:r>
    </w:p>
    <w:p w:rsidR="00AC1109" w:rsidRDefault="00AC1109" w:rsidP="00AC1109">
      <w:pPr>
        <w:pStyle w:val="ECCAnnexheading3"/>
        <w:spacing w:after="60"/>
      </w:pPr>
      <w:r>
        <w:t>LSA Controller</w:t>
      </w:r>
    </w:p>
    <w:p w:rsidR="00AC1109" w:rsidRPr="00EC38E3" w:rsidRDefault="00AC1109" w:rsidP="00AC1109">
      <w:pPr>
        <w:pStyle w:val="ECCParagraph"/>
      </w:pPr>
      <w:r w:rsidRPr="00EC38E3">
        <w:t xml:space="preserve">The LSA Controller provides the LSA licensee with the means to access the spectrum and to react to the changes in incumbent user activity. In case the incumbent appears in the operational area of the LTE network, the LSA Controller uses the incumbent user information received from the LSA Repository and the protection distances reported in ECC Report 172 </w:t>
      </w:r>
      <w:r w:rsidRPr="00EC38E3">
        <w:fldChar w:fldCharType="begin"/>
      </w:r>
      <w:r w:rsidRPr="00EC38E3">
        <w:instrText xml:space="preserve"> REF _Ref377653985 \r \h </w:instrText>
      </w:r>
      <w:r w:rsidRPr="00EC38E3">
        <w:fldChar w:fldCharType="separate"/>
      </w:r>
      <w:r w:rsidR="000C0823">
        <w:t>[6]</w:t>
      </w:r>
      <w:r w:rsidRPr="00EC38E3">
        <w:fldChar w:fldCharType="end"/>
      </w:r>
      <w:r w:rsidRPr="00EC38E3">
        <w:t xml:space="preserve"> to calculate the affected </w:t>
      </w:r>
      <w:proofErr w:type="spellStart"/>
      <w:r w:rsidRPr="00EC38E3">
        <w:t>eNBs</w:t>
      </w:r>
      <w:proofErr w:type="spellEnd"/>
      <w:r w:rsidRPr="00EC38E3">
        <w:t xml:space="preserve">/sectors on the LSA band </w:t>
      </w:r>
      <w:r w:rsidRPr="00EC38E3">
        <w:lastRenderedPageBreak/>
        <w:t>and sends deactivation/activation commands to the OAM accordingly. Following options are identified for the LSA Controller to react to incumbent</w:t>
      </w:r>
      <w:r w:rsidR="00413E8A">
        <w:t xml:space="preserve"> activity:</w:t>
      </w:r>
    </w:p>
    <w:p w:rsidR="00AC1109" w:rsidRPr="00EC38E3" w:rsidRDefault="00AC1109" w:rsidP="00AC1109">
      <w:pPr>
        <w:pStyle w:val="ECCNumberedList"/>
      </w:pPr>
      <w:r w:rsidRPr="00EC38E3">
        <w:t>Evacuation with detailed incumbent information</w:t>
      </w:r>
    </w:p>
    <w:p w:rsidR="00AC1109" w:rsidRPr="00EC38E3" w:rsidRDefault="00AC1109" w:rsidP="00AC1109">
      <w:pPr>
        <w:pStyle w:val="ECCParagraph"/>
      </w:pPr>
      <w:r w:rsidRPr="00EC38E3">
        <w:t xml:space="preserve">All the information provided by the incumbent user via LSA Incumbent Manager is used by the LSA Controller to calculate which </w:t>
      </w:r>
      <w:proofErr w:type="spellStart"/>
      <w:r w:rsidRPr="00EC38E3">
        <w:t>eNBs</w:t>
      </w:r>
      <w:proofErr w:type="spellEnd"/>
      <w:r w:rsidRPr="00EC38E3">
        <w:t xml:space="preserve"> or sectors on the</w:t>
      </w:r>
      <w:r w:rsidR="00413E8A">
        <w:t xml:space="preserve"> LSA band need to be evacuated.</w:t>
      </w:r>
    </w:p>
    <w:p w:rsidR="00AC1109" w:rsidRPr="00EC38E3" w:rsidRDefault="00AC1109" w:rsidP="00AC1109">
      <w:pPr>
        <w:pStyle w:val="ECCNumberedList"/>
      </w:pPr>
      <w:r w:rsidRPr="00EC38E3">
        <w:t>Evacuation with a location update</w:t>
      </w:r>
    </w:p>
    <w:p w:rsidR="00AC1109" w:rsidRPr="00EC38E3" w:rsidRDefault="00AC1109" w:rsidP="00AC1109">
      <w:pPr>
        <w:pStyle w:val="ECCParagraph"/>
      </w:pPr>
      <w:r w:rsidRPr="00EC38E3">
        <w:t xml:space="preserve">In the case that only the location of the incumbent user has changed, the LSA Controller calculates changes needed to the network based on the new </w:t>
      </w:r>
      <w:r w:rsidR="00413E8A">
        <w:t>location of the incumbent user.</w:t>
      </w:r>
    </w:p>
    <w:p w:rsidR="00AC1109" w:rsidRPr="00EC38E3" w:rsidRDefault="00AC1109" w:rsidP="00AC1109">
      <w:pPr>
        <w:pStyle w:val="ECCNumberedList"/>
      </w:pPr>
      <w:r w:rsidRPr="00EC38E3">
        <w:t>Emergency evacuation with minimal incumbent information</w:t>
      </w:r>
    </w:p>
    <w:p w:rsidR="00AC1109" w:rsidRPr="00EC38E3" w:rsidRDefault="00AC1109" w:rsidP="00AC1109">
      <w:pPr>
        <w:pStyle w:val="ECCParagraph"/>
      </w:pPr>
      <w:r w:rsidRPr="00EC38E3">
        <w:t>The LSA Controller will send an evacuate request to OAM to evacuat</w:t>
      </w:r>
      <w:r w:rsidR="00413E8A">
        <w:t xml:space="preserve">e the whole LSA licensed area. </w:t>
      </w:r>
    </w:p>
    <w:p w:rsidR="00AC1109" w:rsidRPr="00EC38E3" w:rsidRDefault="00AC1109" w:rsidP="00AC1109">
      <w:pPr>
        <w:pStyle w:val="ECCNumberedList"/>
      </w:pPr>
      <w:r w:rsidRPr="00EC38E3">
        <w:t xml:space="preserve">End of the evacuation need </w:t>
      </w:r>
    </w:p>
    <w:p w:rsidR="00AC1109" w:rsidRPr="00EC38E3" w:rsidRDefault="00AC1109" w:rsidP="00AC1109">
      <w:pPr>
        <w:pStyle w:val="ECCParagraph"/>
      </w:pPr>
      <w:r w:rsidRPr="00EC38E3">
        <w:t xml:space="preserve">When the incumbent user has removed its evacuation request from the incumbent manager or the predetermined evacuation period has ended, the LSA Controller will send an activation request to the OAM.     </w:t>
      </w:r>
    </w:p>
    <w:p w:rsidR="00AC1109" w:rsidRDefault="00AC1109" w:rsidP="00AC1109">
      <w:pPr>
        <w:pStyle w:val="ECCAnnexheading2"/>
      </w:pPr>
      <w:r w:rsidRPr="005F2317">
        <w:t xml:space="preserve"> </w:t>
      </w:r>
      <w:bookmarkStart w:id="81" w:name="_Toc398133871"/>
      <w:r>
        <w:t>LSA functionality/LSA band evacuation</w:t>
      </w:r>
      <w:bookmarkEnd w:id="81"/>
      <w:r>
        <w:t xml:space="preserve"> </w:t>
      </w:r>
    </w:p>
    <w:p w:rsidR="00AC1109" w:rsidRDefault="00AC1109" w:rsidP="00AC1109">
      <w:pPr>
        <w:pStyle w:val="ECCParagraph"/>
      </w:pPr>
      <w:r>
        <w:t>The functions of the different LSA components described above can be presented as the different phases of</w:t>
      </w:r>
      <w:r w:rsidRPr="00EC38E3">
        <w:t xml:space="preserve"> the LSA band evacuation process as fo</w:t>
      </w:r>
      <w:r w:rsidR="00413E8A">
        <w:t xml:space="preserve">llows: </w:t>
      </w:r>
    </w:p>
    <w:p w:rsidR="00AC1109" w:rsidRPr="00EC38E3" w:rsidRDefault="00AC1109" w:rsidP="00740CFD">
      <w:pPr>
        <w:pStyle w:val="ECCNumberedList"/>
        <w:numPr>
          <w:ilvl w:val="0"/>
          <w:numId w:val="15"/>
        </w:numPr>
      </w:pPr>
      <w:r>
        <w:t>The i</w:t>
      </w:r>
      <w:r w:rsidRPr="00EC38E3">
        <w:t xml:space="preserve">ncumbent makes an evacuation request via LSA Incumbent Manager. </w:t>
      </w:r>
    </w:p>
    <w:p w:rsidR="00AC1109" w:rsidRDefault="00AC1109" w:rsidP="00AC1109">
      <w:pPr>
        <w:pStyle w:val="ECCParagraph"/>
      </w:pPr>
      <w:r>
        <w:t xml:space="preserve">The LSA process starts as the incumbent spectrum user makes an evacuation request to the LSA Incumbent Manager. The LSA Incumbent Manager </w:t>
      </w:r>
      <w:r w:rsidRPr="00EC38E3">
        <w:t>submits the information to the LSA Repository which forwards the inf</w:t>
      </w:r>
      <w:r w:rsidR="00413E8A">
        <w:t>ormation to the LSA Controller.</w:t>
      </w:r>
    </w:p>
    <w:p w:rsidR="00AC1109" w:rsidRPr="00EC38E3" w:rsidRDefault="00AC1109" w:rsidP="00AC1109">
      <w:pPr>
        <w:pStyle w:val="ECCNumberedList"/>
      </w:pPr>
      <w:r>
        <w:t>LSA Controller receives i</w:t>
      </w:r>
      <w:r w:rsidRPr="00EC38E3">
        <w:t xml:space="preserve">ncumbent information from LSA Repository. </w:t>
      </w:r>
    </w:p>
    <w:p w:rsidR="00AC1109" w:rsidRDefault="00AC1109" w:rsidP="00AC1109">
      <w:pPr>
        <w:pStyle w:val="ECCParagraph"/>
      </w:pPr>
      <w:r>
        <w:t xml:space="preserve">Based on the incumbent user information received from the LSA Repository, the LSA Controller calculates which </w:t>
      </w:r>
      <w:proofErr w:type="spellStart"/>
      <w:r>
        <w:t>eNBs</w:t>
      </w:r>
      <w:proofErr w:type="spellEnd"/>
      <w:r>
        <w:t xml:space="preserve"> or sectors on the LSA band are affected. LSA Controller submits de-activation command to the OAM accordingly.</w:t>
      </w:r>
      <w:r w:rsidR="00413E8A">
        <w:t xml:space="preserve"> </w:t>
      </w:r>
    </w:p>
    <w:p w:rsidR="00AC1109" w:rsidRDefault="00AC1109" w:rsidP="00AC1109">
      <w:pPr>
        <w:pStyle w:val="ECCNumberedList"/>
      </w:pPr>
      <w:r>
        <w:t>OAM receives the de-activation command from LSA Controller</w:t>
      </w:r>
    </w:p>
    <w:p w:rsidR="00AC1109" w:rsidRDefault="00AC1109" w:rsidP="00AC1109">
      <w:pPr>
        <w:pStyle w:val="ECCParagraph"/>
      </w:pPr>
      <w:r>
        <w:t xml:space="preserve">As the de-activation command arrives, </w:t>
      </w:r>
      <w:r w:rsidRPr="00EC38E3">
        <w:t xml:space="preserve">OAM executes de-activation radio plan for the affected </w:t>
      </w:r>
      <w:proofErr w:type="spellStart"/>
      <w:r w:rsidRPr="00EC38E3">
        <w:t>eNBs</w:t>
      </w:r>
      <w:proofErr w:type="spellEnd"/>
      <w:r w:rsidRPr="00EC38E3">
        <w:t xml:space="preserve">/sectors on the LSA band. There are two potential de-activation radio plans depending on the urgency of the evacuation request. When the evacuation needs to be done rapidly, the MFCN locks the affected LSA </w:t>
      </w:r>
      <w:proofErr w:type="spellStart"/>
      <w:r w:rsidRPr="00EC38E3">
        <w:t>eNBs</w:t>
      </w:r>
      <w:proofErr w:type="spellEnd"/>
      <w:r w:rsidRPr="00EC38E3">
        <w:t xml:space="preserve">/sectors thereby turning off their air interfaces. As a result UEs will automatically start a cell re-selection procedure. Alternatively, graceful shutdown can be used when the need for evacuation is known well beforehand. In this case, the power of the LSA </w:t>
      </w:r>
      <w:proofErr w:type="spellStart"/>
      <w:r w:rsidRPr="00EC38E3">
        <w:t>eNBs</w:t>
      </w:r>
      <w:proofErr w:type="spellEnd"/>
      <w:r w:rsidRPr="00EC38E3">
        <w:t xml:space="preserve">/sectors is decreased gradually and UEs will do the handover when the signal level at the serving LSA </w:t>
      </w:r>
      <w:proofErr w:type="spellStart"/>
      <w:r w:rsidRPr="00EC38E3">
        <w:t>eNB</w:t>
      </w:r>
      <w:proofErr w:type="spellEnd"/>
      <w:r w:rsidRPr="00EC38E3">
        <w:t>/sector drops below the signal level o</w:t>
      </w:r>
      <w:r w:rsidR="00413E8A">
        <w:t xml:space="preserve">f the available FDD </w:t>
      </w:r>
      <w:proofErr w:type="spellStart"/>
      <w:r w:rsidR="00413E8A">
        <w:t>eNB</w:t>
      </w:r>
      <w:proofErr w:type="spellEnd"/>
      <w:r w:rsidR="00413E8A">
        <w:t>/sector.</w:t>
      </w:r>
    </w:p>
    <w:p w:rsidR="00AC1109" w:rsidRPr="00EC38E3" w:rsidRDefault="00AC1109" w:rsidP="00AC1109">
      <w:pPr>
        <w:pStyle w:val="ECCNumberedList"/>
      </w:pPr>
      <w:proofErr w:type="spellStart"/>
      <w:r>
        <w:t>eNB</w:t>
      </w:r>
      <w:proofErr w:type="spellEnd"/>
      <w:r>
        <w:t>/sector</w:t>
      </w:r>
      <w:r w:rsidRPr="00EC38E3" w:rsidDel="00A57430">
        <w:t xml:space="preserve"> </w:t>
      </w:r>
      <w:r w:rsidRPr="00EC38E3">
        <w:t xml:space="preserve"> on the LSA band is deactivated </w:t>
      </w:r>
    </w:p>
    <w:p w:rsidR="00AC1109" w:rsidRDefault="00AC1109" w:rsidP="00AC1109">
      <w:pPr>
        <w:pStyle w:val="ECCParagraph"/>
      </w:pPr>
      <w:r>
        <w:t xml:space="preserve">At this point, the </w:t>
      </w:r>
      <w:r w:rsidRPr="00EC38E3">
        <w:t xml:space="preserve">signal disappears from the LSA band. After this, the OAM finishes the radio plan execution and begins the LSA </w:t>
      </w:r>
      <w:proofErr w:type="spellStart"/>
      <w:r w:rsidRPr="00EC38E3">
        <w:t>eNB</w:t>
      </w:r>
      <w:proofErr w:type="spellEnd"/>
      <w:r w:rsidRPr="00EC38E3">
        <w:t xml:space="preserve">/sector status check. As a result of successful radio plan execution LSA </w:t>
      </w:r>
      <w:proofErr w:type="spellStart"/>
      <w:r w:rsidRPr="00EC38E3">
        <w:t>eNB</w:t>
      </w:r>
      <w:proofErr w:type="spellEnd"/>
      <w:r w:rsidRPr="00EC38E3">
        <w:t>/sector</w:t>
      </w:r>
      <w:r w:rsidRPr="00EC38E3" w:rsidDel="00600626">
        <w:t xml:space="preserve"> </w:t>
      </w:r>
      <w:r w:rsidRPr="00EC38E3">
        <w:t>off-air status is</w:t>
      </w:r>
      <w:r w:rsidR="00413E8A">
        <w:t xml:space="preserve"> sent to the LSA Controller.   </w:t>
      </w:r>
    </w:p>
    <w:p w:rsidR="00AC1109" w:rsidRPr="00EC38E3" w:rsidRDefault="00AC1109" w:rsidP="00AC1109">
      <w:pPr>
        <w:pStyle w:val="ECCNumberedList"/>
      </w:pPr>
      <w:r>
        <w:t>The</w:t>
      </w:r>
      <w:r w:rsidRPr="00EC38E3">
        <w:t xml:space="preserve"> LSA Controller receives confirmation on the LSA </w:t>
      </w:r>
      <w:proofErr w:type="spellStart"/>
      <w:r w:rsidRPr="00EC38E3">
        <w:t>eNB</w:t>
      </w:r>
      <w:proofErr w:type="spellEnd"/>
      <w:r w:rsidRPr="00EC38E3">
        <w:t xml:space="preserve">/sector off-air status from OAM. </w:t>
      </w:r>
    </w:p>
    <w:p w:rsidR="00AC1109" w:rsidRDefault="00AC1109" w:rsidP="00AC1109">
      <w:pPr>
        <w:pStyle w:val="ECCParagraph"/>
      </w:pPr>
      <w:r>
        <w:t xml:space="preserve">As soon as all needed LSA </w:t>
      </w:r>
      <w:proofErr w:type="spellStart"/>
      <w:r>
        <w:t>eNBs</w:t>
      </w:r>
      <w:proofErr w:type="spellEnd"/>
      <w:r>
        <w:t>/sectors have reached off-air status</w:t>
      </w:r>
      <w:r w:rsidRPr="00EC38E3">
        <w:t xml:space="preserve"> LSA Controller ends evacuation and submits evacuation completed </w:t>
      </w:r>
      <w:r w:rsidR="00413E8A">
        <w:t xml:space="preserve">information to LSA Repository. </w:t>
      </w:r>
    </w:p>
    <w:p w:rsidR="00AC1109" w:rsidRPr="00EC38E3" w:rsidRDefault="00AC1109" w:rsidP="00AC1109">
      <w:pPr>
        <w:pStyle w:val="ECCNumberedList"/>
      </w:pPr>
      <w:r w:rsidRPr="0058323B">
        <w:t xml:space="preserve">Incumbent </w:t>
      </w:r>
      <w:r w:rsidRPr="00EC38E3">
        <w:t>user receives a confirmation on the evacuation to the LSA Incumbent Manager.</w:t>
      </w:r>
    </w:p>
    <w:p w:rsidR="00AC1109" w:rsidRDefault="00AC1109" w:rsidP="00AC1109">
      <w:pPr>
        <w:pStyle w:val="ECCParagraph"/>
      </w:pPr>
    </w:p>
    <w:p w:rsidR="00AC1109" w:rsidRPr="00EC38E3" w:rsidRDefault="00AC1109" w:rsidP="00AC1109">
      <w:pPr>
        <w:pStyle w:val="ECCParagraph"/>
      </w:pPr>
      <w:r>
        <w:t xml:space="preserve">The Finnish LSA trial environment implements the above described LSA band evacuation process and initial performance measurement studies have been conducted to evaluate the involved time scales. Corresponding time stamps are reported in </w:t>
      </w:r>
      <w:r w:rsidRPr="00EC38E3">
        <w:fldChar w:fldCharType="begin"/>
      </w:r>
      <w:r w:rsidRPr="00EC38E3">
        <w:instrText xml:space="preserve"> REF _Ref397699928 \h  \* MERGEFORMAT </w:instrText>
      </w:r>
      <w:r w:rsidRPr="00EC38E3">
        <w:fldChar w:fldCharType="separate"/>
      </w:r>
      <w:r w:rsidR="000C0823" w:rsidRPr="005F2317">
        <w:t xml:space="preserve">Table </w:t>
      </w:r>
      <w:r w:rsidR="000C0823">
        <w:t>5</w:t>
      </w:r>
      <w:r w:rsidRPr="00EC38E3">
        <w:fldChar w:fldCharType="end"/>
      </w:r>
      <w:r w:rsidRPr="00EC38E3">
        <w:t xml:space="preserve">. In these results </w:t>
      </w:r>
      <w:proofErr w:type="spellStart"/>
      <w:r w:rsidRPr="00EC38E3">
        <w:t>eNB</w:t>
      </w:r>
      <w:proofErr w:type="spellEnd"/>
      <w:r w:rsidRPr="00EC38E3">
        <w:t xml:space="preserve">/sector locking is considered. In the </w:t>
      </w:r>
      <w:r w:rsidRPr="00EC38E3">
        <w:lastRenderedPageBreak/>
        <w:t xml:space="preserve">case of graceful shutdown, the time for the graceful shutdown as well as the step size for the </w:t>
      </w:r>
      <w:proofErr w:type="spellStart"/>
      <w:r w:rsidRPr="00EC38E3">
        <w:t>eNB</w:t>
      </w:r>
      <w:proofErr w:type="spellEnd"/>
      <w:r w:rsidRPr="00EC38E3">
        <w:t xml:space="preserve"> power decrease can be specified. This time will be added to the band evacuation time.   </w:t>
      </w:r>
    </w:p>
    <w:p w:rsidR="00AC1109" w:rsidRPr="005F2317" w:rsidRDefault="00AC1109" w:rsidP="00AC1109">
      <w:pPr>
        <w:pStyle w:val="Beschriftung"/>
      </w:pPr>
      <w:bookmarkStart w:id="82" w:name="_Ref397699928"/>
      <w:bookmarkStart w:id="83" w:name="_Ref397700533"/>
      <w:r w:rsidRPr="005F2317">
        <w:t xml:space="preserve">Table </w:t>
      </w:r>
      <w:r>
        <w:fldChar w:fldCharType="begin"/>
      </w:r>
      <w:r w:rsidRPr="005F2317">
        <w:instrText xml:space="preserve"> SEQ Table \* ARABIC </w:instrText>
      </w:r>
      <w:r>
        <w:fldChar w:fldCharType="separate"/>
      </w:r>
      <w:r w:rsidR="000C0823">
        <w:rPr>
          <w:noProof/>
        </w:rPr>
        <w:t>5</w:t>
      </w:r>
      <w:r>
        <w:rPr>
          <w:noProof/>
        </w:rPr>
        <w:fldChar w:fldCharType="end"/>
      </w:r>
      <w:bookmarkEnd w:id="82"/>
      <w:r w:rsidRPr="005F2317">
        <w:t>: Time measured for different phases of the LSA band evacuation.</w:t>
      </w:r>
      <w:bookmarkEnd w:id="83"/>
    </w:p>
    <w:tbl>
      <w:tblPr>
        <w:tblStyle w:val="ECCTable-redheader"/>
        <w:tblW w:w="9639" w:type="dxa"/>
        <w:tblLayout w:type="fixed"/>
        <w:tblLook w:val="04A0" w:firstRow="1" w:lastRow="0" w:firstColumn="1" w:lastColumn="0" w:noHBand="0" w:noVBand="1"/>
      </w:tblPr>
      <w:tblGrid>
        <w:gridCol w:w="3543"/>
        <w:gridCol w:w="1561"/>
        <w:gridCol w:w="1133"/>
        <w:gridCol w:w="1134"/>
        <w:gridCol w:w="1134"/>
        <w:gridCol w:w="1134"/>
      </w:tblGrid>
      <w:tr w:rsidR="00AC1109" w:rsidRPr="00934BE5" w:rsidTr="00643482">
        <w:trPr>
          <w:cnfStyle w:val="100000000000" w:firstRow="1" w:lastRow="0" w:firstColumn="0" w:lastColumn="0" w:oddVBand="0" w:evenVBand="0" w:oddHBand="0" w:evenHBand="0" w:firstRowFirstColumn="0" w:firstRowLastColumn="0" w:lastRowFirstColumn="0" w:lastRowLastColumn="0"/>
          <w:trHeight w:val="1088"/>
        </w:trPr>
        <w:tc>
          <w:tcPr>
            <w:tcW w:w="3543" w:type="dxa"/>
            <w:vMerge w:val="restart"/>
            <w:noWrap/>
            <w:hideMark/>
          </w:tcPr>
          <w:p w:rsidR="00AC1109" w:rsidRPr="00413E8A" w:rsidRDefault="00AC1109" w:rsidP="00643482">
            <w:pPr>
              <w:pStyle w:val="ECCTableHeaderwhitefont"/>
              <w:rPr>
                <w:lang w:val="en-US"/>
              </w:rPr>
            </w:pPr>
          </w:p>
        </w:tc>
        <w:tc>
          <w:tcPr>
            <w:tcW w:w="1561" w:type="dxa"/>
            <w:vMerge w:val="restart"/>
          </w:tcPr>
          <w:p w:rsidR="00AC1109" w:rsidRPr="00B25A1F" w:rsidRDefault="00AC1109" w:rsidP="00643482">
            <w:pPr>
              <w:pStyle w:val="ECCTableHeaderwhitefont"/>
            </w:pPr>
            <w:r w:rsidRPr="00B25A1F">
              <w:t>Measure</w:t>
            </w:r>
            <w:r>
              <w:t>m</w:t>
            </w:r>
            <w:r w:rsidRPr="00B25A1F">
              <w:t>ent point</w:t>
            </w:r>
          </w:p>
        </w:tc>
        <w:tc>
          <w:tcPr>
            <w:tcW w:w="2267" w:type="dxa"/>
            <w:gridSpan w:val="2"/>
            <w:hideMark/>
          </w:tcPr>
          <w:p w:rsidR="00AC1109" w:rsidRPr="00413E8A" w:rsidRDefault="00AC1109" w:rsidP="00643482">
            <w:pPr>
              <w:pStyle w:val="ECCTableHeaderwhitefont"/>
              <w:rPr>
                <w:lang w:val="en-US"/>
              </w:rPr>
            </w:pPr>
            <w:r w:rsidRPr="00413E8A">
              <w:rPr>
                <w:lang w:val="en-US"/>
              </w:rPr>
              <w:t xml:space="preserve">Evacuation using </w:t>
            </w:r>
            <w:proofErr w:type="spellStart"/>
            <w:r w:rsidRPr="00413E8A">
              <w:rPr>
                <w:lang w:val="en-US"/>
              </w:rPr>
              <w:t>eNB</w:t>
            </w:r>
            <w:proofErr w:type="spellEnd"/>
            <w:r w:rsidRPr="00413E8A">
              <w:rPr>
                <w:lang w:val="en-US"/>
              </w:rPr>
              <w:t>/sector locking</w:t>
            </w:r>
          </w:p>
          <w:p w:rsidR="00AC1109" w:rsidRPr="00413E8A" w:rsidRDefault="00AC1109" w:rsidP="00643482">
            <w:pPr>
              <w:pStyle w:val="ECCTableHeaderwhitefont"/>
              <w:rPr>
                <w:lang w:val="en-US"/>
              </w:rPr>
            </w:pPr>
            <w:r w:rsidRPr="00413E8A">
              <w:rPr>
                <w:lang w:val="en-US"/>
              </w:rPr>
              <w:t xml:space="preserve"> (1 sector)</w:t>
            </w:r>
          </w:p>
        </w:tc>
        <w:tc>
          <w:tcPr>
            <w:tcW w:w="2268" w:type="dxa"/>
            <w:gridSpan w:val="2"/>
            <w:hideMark/>
          </w:tcPr>
          <w:p w:rsidR="00AC1109" w:rsidRPr="00413E8A" w:rsidRDefault="00AC1109" w:rsidP="00643482">
            <w:pPr>
              <w:pStyle w:val="ECCTableHeaderwhitefont"/>
              <w:rPr>
                <w:lang w:val="en-US"/>
              </w:rPr>
            </w:pPr>
            <w:r w:rsidRPr="00413E8A">
              <w:rPr>
                <w:lang w:val="en-US"/>
              </w:rPr>
              <w:t>Emergency evacuation using single radio plan</w:t>
            </w:r>
          </w:p>
          <w:p w:rsidR="00AC1109" w:rsidRPr="00B25A1F" w:rsidRDefault="00AC1109" w:rsidP="00643482">
            <w:pPr>
              <w:pStyle w:val="ECCTableHeaderwhitefont"/>
            </w:pPr>
            <w:r w:rsidRPr="00B25A1F">
              <w:t>(3 eNBs/5 sectors)</w:t>
            </w:r>
          </w:p>
        </w:tc>
      </w:tr>
      <w:tr w:rsidR="00AC1109" w:rsidRPr="00934BE5" w:rsidTr="00643482">
        <w:trPr>
          <w:trHeight w:val="577"/>
        </w:trPr>
        <w:tc>
          <w:tcPr>
            <w:tcW w:w="3543" w:type="dxa"/>
            <w:vMerge/>
            <w:noWrap/>
          </w:tcPr>
          <w:p w:rsidR="00AC1109" w:rsidRPr="00B25A1F" w:rsidRDefault="00AC1109" w:rsidP="00643482">
            <w:pPr>
              <w:pStyle w:val="ECCTableHeaderwhitefont"/>
            </w:pPr>
          </w:p>
        </w:tc>
        <w:tc>
          <w:tcPr>
            <w:tcW w:w="1561" w:type="dxa"/>
            <w:vMerge/>
          </w:tcPr>
          <w:p w:rsidR="00AC1109" w:rsidRPr="00B25A1F" w:rsidRDefault="00AC1109" w:rsidP="00643482">
            <w:pPr>
              <w:pStyle w:val="ECCTableHeaderwhitefont"/>
            </w:pPr>
          </w:p>
        </w:tc>
        <w:tc>
          <w:tcPr>
            <w:tcW w:w="1133" w:type="dxa"/>
          </w:tcPr>
          <w:p w:rsidR="00AC1109" w:rsidRPr="00B25A1F" w:rsidRDefault="00AC1109" w:rsidP="00643482">
            <w:pPr>
              <w:pStyle w:val="ECCTableHeaderredfont"/>
            </w:pPr>
            <w:r w:rsidRPr="00B25A1F">
              <w:t>Time [s]</w:t>
            </w:r>
          </w:p>
        </w:tc>
        <w:tc>
          <w:tcPr>
            <w:tcW w:w="1134" w:type="dxa"/>
          </w:tcPr>
          <w:p w:rsidR="00AC1109" w:rsidRPr="00B25A1F" w:rsidRDefault="00AC1109" w:rsidP="00643482">
            <w:pPr>
              <w:pStyle w:val="ECCTableHeaderredfont"/>
            </w:pPr>
            <w:r w:rsidRPr="00B25A1F">
              <w:t>St. Dev. [s]</w:t>
            </w:r>
          </w:p>
        </w:tc>
        <w:tc>
          <w:tcPr>
            <w:tcW w:w="1134" w:type="dxa"/>
          </w:tcPr>
          <w:p w:rsidR="00AC1109" w:rsidRPr="00B25A1F" w:rsidRDefault="00AC1109" w:rsidP="00643482">
            <w:pPr>
              <w:pStyle w:val="ECCTableHeaderredfont"/>
            </w:pPr>
            <w:r w:rsidRPr="00B25A1F">
              <w:t>Time [s]</w:t>
            </w:r>
          </w:p>
        </w:tc>
        <w:tc>
          <w:tcPr>
            <w:tcW w:w="1134" w:type="dxa"/>
          </w:tcPr>
          <w:p w:rsidR="00AC1109" w:rsidRPr="00B25A1F" w:rsidRDefault="00AC1109" w:rsidP="00643482">
            <w:pPr>
              <w:pStyle w:val="ECCTableHeaderredfont"/>
            </w:pPr>
            <w:r w:rsidRPr="00B25A1F">
              <w:t>St. Dev. [s]</w:t>
            </w:r>
          </w:p>
        </w:tc>
      </w:tr>
      <w:tr w:rsidR="00AC1109" w:rsidRPr="00934BE5" w:rsidTr="00643482">
        <w:trPr>
          <w:trHeight w:val="745"/>
        </w:trPr>
        <w:tc>
          <w:tcPr>
            <w:tcW w:w="3543" w:type="dxa"/>
            <w:hideMark/>
          </w:tcPr>
          <w:p w:rsidR="00AC1109" w:rsidRPr="00BC1AD5" w:rsidRDefault="00AC1109" w:rsidP="00643482">
            <w:pPr>
              <w:pStyle w:val="ECCTabletext"/>
            </w:pPr>
            <w:r w:rsidRPr="00BC1AD5">
              <w:rPr>
                <w:rFonts w:eastAsia="Arial"/>
              </w:rPr>
              <w:t>1.    The incumbent makes an evacuation request via LSA Incumbent Manager.</w:t>
            </w:r>
          </w:p>
        </w:tc>
        <w:tc>
          <w:tcPr>
            <w:tcW w:w="1561" w:type="dxa"/>
          </w:tcPr>
          <w:p w:rsidR="00AC1109" w:rsidRPr="00BC1AD5" w:rsidRDefault="00AC1109" w:rsidP="00643482">
            <w:pPr>
              <w:pStyle w:val="ECCTabletext"/>
            </w:pPr>
            <w:r w:rsidRPr="00BC1AD5">
              <w:t>The LSA Incumbent Manager</w:t>
            </w:r>
          </w:p>
        </w:tc>
        <w:tc>
          <w:tcPr>
            <w:tcW w:w="1133" w:type="dxa"/>
            <w:noWrap/>
            <w:hideMark/>
          </w:tcPr>
          <w:p w:rsidR="00AC1109" w:rsidRPr="00BC1AD5" w:rsidRDefault="00AC1109" w:rsidP="00643482">
            <w:pPr>
              <w:pStyle w:val="ECCTabletext"/>
            </w:pPr>
            <w:r w:rsidRPr="00BC1AD5">
              <w:t>0</w:t>
            </w:r>
          </w:p>
        </w:tc>
        <w:tc>
          <w:tcPr>
            <w:tcW w:w="1134" w:type="dxa"/>
            <w:noWrap/>
            <w:hideMark/>
          </w:tcPr>
          <w:p w:rsidR="00AC1109" w:rsidRPr="00BC1AD5" w:rsidRDefault="00AC1109" w:rsidP="00643482">
            <w:pPr>
              <w:pStyle w:val="ECCTabletext"/>
            </w:pPr>
          </w:p>
        </w:tc>
        <w:tc>
          <w:tcPr>
            <w:tcW w:w="1134" w:type="dxa"/>
            <w:noWrap/>
            <w:hideMark/>
          </w:tcPr>
          <w:p w:rsidR="00AC1109" w:rsidRPr="00BC1AD5" w:rsidRDefault="00AC1109" w:rsidP="00643482">
            <w:pPr>
              <w:pStyle w:val="ECCTabletext"/>
            </w:pPr>
            <w:r w:rsidRPr="00BC1AD5">
              <w:t>0</w:t>
            </w:r>
          </w:p>
        </w:tc>
        <w:tc>
          <w:tcPr>
            <w:tcW w:w="1134" w:type="dxa"/>
            <w:noWrap/>
            <w:hideMark/>
          </w:tcPr>
          <w:p w:rsidR="00AC1109" w:rsidRPr="00BC1AD5" w:rsidRDefault="00AC1109" w:rsidP="00643482">
            <w:pPr>
              <w:pStyle w:val="ECCTabletext"/>
            </w:pPr>
          </w:p>
        </w:tc>
      </w:tr>
      <w:tr w:rsidR="00AC1109" w:rsidRPr="00934BE5" w:rsidTr="00643482">
        <w:trPr>
          <w:trHeight w:val="786"/>
        </w:trPr>
        <w:tc>
          <w:tcPr>
            <w:tcW w:w="3543" w:type="dxa"/>
            <w:hideMark/>
          </w:tcPr>
          <w:p w:rsidR="00AC1109" w:rsidRPr="00BC1AD5" w:rsidRDefault="00AC1109" w:rsidP="00643482">
            <w:pPr>
              <w:pStyle w:val="ECCTabletext"/>
            </w:pPr>
            <w:r w:rsidRPr="00BC1AD5">
              <w:rPr>
                <w:rFonts w:eastAsia="Arial"/>
              </w:rPr>
              <w:t>2.    LSA Controller receives incumbent information from LSA Repository.</w:t>
            </w:r>
          </w:p>
        </w:tc>
        <w:tc>
          <w:tcPr>
            <w:tcW w:w="1561" w:type="dxa"/>
          </w:tcPr>
          <w:p w:rsidR="00AC1109" w:rsidRPr="00BC1AD5" w:rsidRDefault="00AC1109" w:rsidP="00643482">
            <w:pPr>
              <w:pStyle w:val="ECCTabletext"/>
            </w:pPr>
            <w:r w:rsidRPr="00BC1AD5">
              <w:t>The LSA Controller</w:t>
            </w:r>
          </w:p>
        </w:tc>
        <w:tc>
          <w:tcPr>
            <w:tcW w:w="1133" w:type="dxa"/>
            <w:noWrap/>
            <w:hideMark/>
          </w:tcPr>
          <w:p w:rsidR="00AC1109" w:rsidRPr="00BC1AD5" w:rsidRDefault="00AC1109" w:rsidP="00643482">
            <w:pPr>
              <w:pStyle w:val="ECCTabletext"/>
            </w:pPr>
            <w:r w:rsidRPr="00BC1AD5">
              <w:t>1,135</w:t>
            </w:r>
          </w:p>
        </w:tc>
        <w:tc>
          <w:tcPr>
            <w:tcW w:w="1134" w:type="dxa"/>
            <w:noWrap/>
            <w:hideMark/>
          </w:tcPr>
          <w:p w:rsidR="00AC1109" w:rsidRPr="00BC1AD5" w:rsidRDefault="00AC1109" w:rsidP="00643482">
            <w:pPr>
              <w:pStyle w:val="ECCTabletext"/>
            </w:pPr>
            <w:r w:rsidRPr="00BC1AD5">
              <w:t>0,532</w:t>
            </w:r>
          </w:p>
        </w:tc>
        <w:tc>
          <w:tcPr>
            <w:tcW w:w="1134" w:type="dxa"/>
            <w:noWrap/>
            <w:hideMark/>
          </w:tcPr>
          <w:p w:rsidR="00AC1109" w:rsidRPr="00BC1AD5" w:rsidRDefault="00AC1109" w:rsidP="00643482">
            <w:pPr>
              <w:pStyle w:val="ECCTabletext"/>
            </w:pPr>
            <w:r w:rsidRPr="00BC1AD5">
              <w:t>1,044</w:t>
            </w:r>
          </w:p>
        </w:tc>
        <w:tc>
          <w:tcPr>
            <w:tcW w:w="1134" w:type="dxa"/>
            <w:noWrap/>
            <w:hideMark/>
          </w:tcPr>
          <w:p w:rsidR="00AC1109" w:rsidRPr="00BC1AD5" w:rsidRDefault="00AC1109" w:rsidP="00643482">
            <w:pPr>
              <w:pStyle w:val="ECCTabletext"/>
            </w:pPr>
            <w:r w:rsidRPr="00BC1AD5">
              <w:t>0,267</w:t>
            </w:r>
          </w:p>
        </w:tc>
      </w:tr>
      <w:tr w:rsidR="00AC1109" w:rsidRPr="00934BE5" w:rsidTr="00643482">
        <w:trPr>
          <w:trHeight w:val="641"/>
        </w:trPr>
        <w:tc>
          <w:tcPr>
            <w:tcW w:w="3543" w:type="dxa"/>
            <w:hideMark/>
          </w:tcPr>
          <w:p w:rsidR="00AC1109" w:rsidRPr="00BC1AD5" w:rsidRDefault="00AC1109" w:rsidP="00643482">
            <w:pPr>
              <w:pStyle w:val="ECCTabletext"/>
            </w:pPr>
            <w:r w:rsidRPr="00BC1AD5">
              <w:rPr>
                <w:rFonts w:eastAsia="Arial"/>
              </w:rPr>
              <w:t>3.    OAM receives the de-activation command from LSA Controller</w:t>
            </w:r>
          </w:p>
        </w:tc>
        <w:tc>
          <w:tcPr>
            <w:tcW w:w="1561" w:type="dxa"/>
          </w:tcPr>
          <w:p w:rsidR="00AC1109" w:rsidRPr="00BC1AD5" w:rsidRDefault="00AC1109" w:rsidP="00643482">
            <w:pPr>
              <w:pStyle w:val="ECCTabletext"/>
            </w:pPr>
            <w:r w:rsidRPr="00BC1AD5">
              <w:t>OAM</w:t>
            </w:r>
          </w:p>
        </w:tc>
        <w:tc>
          <w:tcPr>
            <w:tcW w:w="1133" w:type="dxa"/>
            <w:noWrap/>
            <w:hideMark/>
          </w:tcPr>
          <w:p w:rsidR="00AC1109" w:rsidRPr="00BC1AD5" w:rsidRDefault="00AC1109" w:rsidP="00643482">
            <w:pPr>
              <w:pStyle w:val="ECCTabletext"/>
            </w:pPr>
            <w:r w:rsidRPr="00BC1AD5">
              <w:t>9,807</w:t>
            </w:r>
          </w:p>
        </w:tc>
        <w:tc>
          <w:tcPr>
            <w:tcW w:w="1134" w:type="dxa"/>
            <w:noWrap/>
            <w:hideMark/>
          </w:tcPr>
          <w:p w:rsidR="00AC1109" w:rsidRPr="00BC1AD5" w:rsidRDefault="00AC1109" w:rsidP="00643482">
            <w:pPr>
              <w:pStyle w:val="ECCTabletext"/>
            </w:pPr>
            <w:r w:rsidRPr="00BC1AD5">
              <w:t>2,664</w:t>
            </w:r>
          </w:p>
        </w:tc>
        <w:tc>
          <w:tcPr>
            <w:tcW w:w="1134" w:type="dxa"/>
            <w:noWrap/>
            <w:hideMark/>
          </w:tcPr>
          <w:p w:rsidR="00AC1109" w:rsidRPr="00BC1AD5" w:rsidRDefault="00AC1109" w:rsidP="00643482">
            <w:pPr>
              <w:pStyle w:val="ECCTabletext"/>
            </w:pPr>
            <w:r w:rsidRPr="00BC1AD5">
              <w:t>9,029</w:t>
            </w:r>
          </w:p>
        </w:tc>
        <w:tc>
          <w:tcPr>
            <w:tcW w:w="1134" w:type="dxa"/>
            <w:noWrap/>
            <w:hideMark/>
          </w:tcPr>
          <w:p w:rsidR="00AC1109" w:rsidRPr="00BC1AD5" w:rsidRDefault="00AC1109" w:rsidP="00643482">
            <w:pPr>
              <w:pStyle w:val="ECCTabletext"/>
            </w:pPr>
            <w:r w:rsidRPr="00BC1AD5">
              <w:t>1,881</w:t>
            </w:r>
          </w:p>
        </w:tc>
      </w:tr>
      <w:tr w:rsidR="00AC1109" w:rsidRPr="00934BE5" w:rsidTr="00643482">
        <w:trPr>
          <w:trHeight w:val="638"/>
        </w:trPr>
        <w:tc>
          <w:tcPr>
            <w:tcW w:w="3543" w:type="dxa"/>
            <w:hideMark/>
          </w:tcPr>
          <w:p w:rsidR="00AC1109" w:rsidRPr="00BC1AD5" w:rsidRDefault="00AC1109" w:rsidP="00643482">
            <w:pPr>
              <w:pStyle w:val="ECCTabletext"/>
            </w:pPr>
            <w:r w:rsidRPr="00BC1AD5">
              <w:rPr>
                <w:rFonts w:eastAsia="Arial"/>
              </w:rPr>
              <w:t xml:space="preserve">4.    </w:t>
            </w:r>
            <w:proofErr w:type="spellStart"/>
            <w:r w:rsidRPr="00BC1AD5">
              <w:rPr>
                <w:rFonts w:eastAsia="Arial"/>
              </w:rPr>
              <w:t>eNB</w:t>
            </w:r>
            <w:proofErr w:type="spellEnd"/>
            <w:r w:rsidRPr="00BC1AD5">
              <w:rPr>
                <w:rFonts w:eastAsia="Arial"/>
              </w:rPr>
              <w:t>/sector on the LSA band is deactivated</w:t>
            </w:r>
          </w:p>
        </w:tc>
        <w:tc>
          <w:tcPr>
            <w:tcW w:w="1561" w:type="dxa"/>
          </w:tcPr>
          <w:p w:rsidR="00AC1109" w:rsidRPr="00BC1AD5" w:rsidRDefault="00AC1109" w:rsidP="00643482">
            <w:pPr>
              <w:pStyle w:val="ECCTabletext"/>
            </w:pPr>
            <w:r w:rsidRPr="00BC1AD5">
              <w:t>LSA band</w:t>
            </w:r>
          </w:p>
        </w:tc>
        <w:tc>
          <w:tcPr>
            <w:tcW w:w="1133" w:type="dxa"/>
            <w:noWrap/>
            <w:hideMark/>
          </w:tcPr>
          <w:p w:rsidR="00AC1109" w:rsidRPr="00BC1AD5" w:rsidRDefault="00AC1109" w:rsidP="00643482">
            <w:pPr>
              <w:pStyle w:val="ECCTabletext"/>
            </w:pPr>
            <w:r w:rsidRPr="00BC1AD5">
              <w:t>31,778</w:t>
            </w:r>
          </w:p>
        </w:tc>
        <w:tc>
          <w:tcPr>
            <w:tcW w:w="1134" w:type="dxa"/>
            <w:noWrap/>
            <w:hideMark/>
          </w:tcPr>
          <w:p w:rsidR="00AC1109" w:rsidRPr="00BC1AD5" w:rsidRDefault="00AC1109" w:rsidP="00643482">
            <w:pPr>
              <w:pStyle w:val="ECCTabletext"/>
            </w:pPr>
            <w:r w:rsidRPr="00BC1AD5">
              <w:t>2,572</w:t>
            </w:r>
          </w:p>
        </w:tc>
        <w:tc>
          <w:tcPr>
            <w:tcW w:w="1134" w:type="dxa"/>
            <w:noWrap/>
            <w:hideMark/>
          </w:tcPr>
          <w:p w:rsidR="00AC1109" w:rsidRPr="00BC1AD5" w:rsidRDefault="00AC1109" w:rsidP="00643482">
            <w:pPr>
              <w:pStyle w:val="ECCTabletext"/>
            </w:pPr>
            <w:r w:rsidRPr="00BC1AD5">
              <w:t>33,800</w:t>
            </w:r>
          </w:p>
        </w:tc>
        <w:tc>
          <w:tcPr>
            <w:tcW w:w="1134" w:type="dxa"/>
            <w:noWrap/>
            <w:hideMark/>
          </w:tcPr>
          <w:p w:rsidR="00AC1109" w:rsidRPr="00BC1AD5" w:rsidRDefault="00AC1109" w:rsidP="00643482">
            <w:pPr>
              <w:pStyle w:val="ECCTabletext"/>
            </w:pPr>
            <w:r w:rsidRPr="00BC1AD5">
              <w:t>1,833</w:t>
            </w:r>
          </w:p>
        </w:tc>
      </w:tr>
      <w:tr w:rsidR="00AC1109" w:rsidRPr="00934BE5" w:rsidTr="00643482">
        <w:trPr>
          <w:trHeight w:val="790"/>
        </w:trPr>
        <w:tc>
          <w:tcPr>
            <w:tcW w:w="3543" w:type="dxa"/>
            <w:hideMark/>
          </w:tcPr>
          <w:p w:rsidR="00AC1109" w:rsidRPr="00BC1AD5" w:rsidRDefault="00AC1109" w:rsidP="00643482">
            <w:pPr>
              <w:pStyle w:val="ECCTabletext"/>
            </w:pPr>
            <w:r w:rsidRPr="00BC1AD5">
              <w:rPr>
                <w:rFonts w:eastAsia="Arial"/>
              </w:rPr>
              <w:t xml:space="preserve">5.   The LSA Controller receives confirmation on the LSA </w:t>
            </w:r>
            <w:proofErr w:type="spellStart"/>
            <w:r w:rsidRPr="00BC1AD5">
              <w:rPr>
                <w:rFonts w:eastAsia="Arial"/>
              </w:rPr>
              <w:t>eNB</w:t>
            </w:r>
            <w:proofErr w:type="spellEnd"/>
            <w:r w:rsidRPr="00BC1AD5">
              <w:rPr>
                <w:rFonts w:eastAsia="Arial"/>
              </w:rPr>
              <w:t xml:space="preserve"> off-air status from OAM.</w:t>
            </w:r>
          </w:p>
        </w:tc>
        <w:tc>
          <w:tcPr>
            <w:tcW w:w="1561" w:type="dxa"/>
          </w:tcPr>
          <w:p w:rsidR="00AC1109" w:rsidRPr="00BC1AD5" w:rsidRDefault="00AC1109" w:rsidP="00643482">
            <w:pPr>
              <w:pStyle w:val="ECCTabletext"/>
            </w:pPr>
            <w:r w:rsidRPr="00BC1AD5">
              <w:t>The LSA Controller</w:t>
            </w:r>
          </w:p>
        </w:tc>
        <w:tc>
          <w:tcPr>
            <w:tcW w:w="1133" w:type="dxa"/>
            <w:noWrap/>
            <w:hideMark/>
          </w:tcPr>
          <w:p w:rsidR="00AC1109" w:rsidRPr="00BC1AD5" w:rsidRDefault="00AC1109" w:rsidP="00643482">
            <w:pPr>
              <w:pStyle w:val="ECCTabletext"/>
            </w:pPr>
            <w:r w:rsidRPr="00BC1AD5">
              <w:t>59,360</w:t>
            </w:r>
          </w:p>
        </w:tc>
        <w:tc>
          <w:tcPr>
            <w:tcW w:w="1134" w:type="dxa"/>
            <w:noWrap/>
            <w:hideMark/>
          </w:tcPr>
          <w:p w:rsidR="00AC1109" w:rsidRPr="00BC1AD5" w:rsidRDefault="00AC1109" w:rsidP="00643482">
            <w:pPr>
              <w:pStyle w:val="ECCTabletext"/>
            </w:pPr>
            <w:r w:rsidRPr="00BC1AD5">
              <w:t>3,457</w:t>
            </w:r>
          </w:p>
        </w:tc>
        <w:tc>
          <w:tcPr>
            <w:tcW w:w="1134" w:type="dxa"/>
            <w:noWrap/>
            <w:hideMark/>
          </w:tcPr>
          <w:p w:rsidR="00AC1109" w:rsidRPr="00BC1AD5" w:rsidRDefault="00AC1109" w:rsidP="00643482">
            <w:pPr>
              <w:pStyle w:val="ECCTabletext"/>
            </w:pPr>
            <w:r w:rsidRPr="00BC1AD5">
              <w:t>73,059</w:t>
            </w:r>
          </w:p>
        </w:tc>
        <w:tc>
          <w:tcPr>
            <w:tcW w:w="1134" w:type="dxa"/>
            <w:noWrap/>
            <w:hideMark/>
          </w:tcPr>
          <w:p w:rsidR="00AC1109" w:rsidRPr="00BC1AD5" w:rsidRDefault="00AC1109" w:rsidP="00643482">
            <w:pPr>
              <w:pStyle w:val="ECCTabletext"/>
            </w:pPr>
            <w:r w:rsidRPr="00BC1AD5">
              <w:t>1,493</w:t>
            </w:r>
          </w:p>
        </w:tc>
      </w:tr>
      <w:tr w:rsidR="00AC1109" w:rsidRPr="00934BE5" w:rsidTr="00643482">
        <w:trPr>
          <w:trHeight w:val="787"/>
        </w:trPr>
        <w:tc>
          <w:tcPr>
            <w:tcW w:w="3543" w:type="dxa"/>
            <w:hideMark/>
          </w:tcPr>
          <w:p w:rsidR="00AC1109" w:rsidRPr="00BC1AD5" w:rsidRDefault="00AC1109" w:rsidP="00643482">
            <w:pPr>
              <w:pStyle w:val="ECCTabletext"/>
            </w:pPr>
            <w:r w:rsidRPr="00BC1AD5">
              <w:rPr>
                <w:rFonts w:eastAsia="Arial"/>
              </w:rPr>
              <w:t xml:space="preserve">6.    Incumbent user receives a confirmation on the evacuation to the LSA Incumbent Manager. </w:t>
            </w:r>
          </w:p>
        </w:tc>
        <w:tc>
          <w:tcPr>
            <w:tcW w:w="1561" w:type="dxa"/>
          </w:tcPr>
          <w:p w:rsidR="00AC1109" w:rsidRPr="00BC1AD5" w:rsidRDefault="00AC1109" w:rsidP="00643482">
            <w:pPr>
              <w:pStyle w:val="ECCTabletext"/>
            </w:pPr>
            <w:r w:rsidRPr="00BC1AD5">
              <w:t>The LSA Incumbent Manager</w:t>
            </w:r>
          </w:p>
        </w:tc>
        <w:tc>
          <w:tcPr>
            <w:tcW w:w="1133" w:type="dxa"/>
            <w:noWrap/>
            <w:hideMark/>
          </w:tcPr>
          <w:p w:rsidR="00AC1109" w:rsidRPr="00BC1AD5" w:rsidRDefault="00AC1109" w:rsidP="00643482">
            <w:pPr>
              <w:pStyle w:val="ECCTabletext"/>
            </w:pPr>
            <w:r w:rsidRPr="00BC1AD5">
              <w:t>61,000</w:t>
            </w:r>
          </w:p>
        </w:tc>
        <w:tc>
          <w:tcPr>
            <w:tcW w:w="1134" w:type="dxa"/>
            <w:noWrap/>
            <w:hideMark/>
          </w:tcPr>
          <w:p w:rsidR="00AC1109" w:rsidRPr="00BC1AD5" w:rsidRDefault="00AC1109" w:rsidP="00643482">
            <w:pPr>
              <w:pStyle w:val="ECCTabletext"/>
            </w:pPr>
            <w:r w:rsidRPr="00BC1AD5">
              <w:t>3,464</w:t>
            </w:r>
          </w:p>
        </w:tc>
        <w:tc>
          <w:tcPr>
            <w:tcW w:w="1134" w:type="dxa"/>
            <w:noWrap/>
            <w:hideMark/>
          </w:tcPr>
          <w:p w:rsidR="00AC1109" w:rsidRPr="00BC1AD5" w:rsidRDefault="00AC1109" w:rsidP="00643482">
            <w:pPr>
              <w:pStyle w:val="ECCTabletext"/>
            </w:pPr>
            <w:r w:rsidRPr="00BC1AD5">
              <w:t>76,400</w:t>
            </w:r>
          </w:p>
        </w:tc>
        <w:tc>
          <w:tcPr>
            <w:tcW w:w="1134" w:type="dxa"/>
            <w:noWrap/>
            <w:hideMark/>
          </w:tcPr>
          <w:p w:rsidR="00AC1109" w:rsidRPr="00BC1AD5" w:rsidRDefault="00AC1109" w:rsidP="00643482">
            <w:pPr>
              <w:pStyle w:val="ECCTabletext"/>
            </w:pPr>
            <w:r w:rsidRPr="00BC1AD5">
              <w:t>4,128</w:t>
            </w:r>
          </w:p>
        </w:tc>
      </w:tr>
    </w:tbl>
    <w:p w:rsidR="00413E8A" w:rsidRDefault="00413E8A" w:rsidP="00AC1109">
      <w:pPr>
        <w:pStyle w:val="ECCParagraph"/>
      </w:pPr>
    </w:p>
    <w:p w:rsidR="00AC1109" w:rsidRPr="00EC38E3" w:rsidRDefault="00AC1109" w:rsidP="00AC1109">
      <w:pPr>
        <w:pStyle w:val="ECCParagraph"/>
      </w:pPr>
      <w:r>
        <w:t xml:space="preserve">The results in </w:t>
      </w:r>
      <w:r w:rsidRPr="00EC38E3">
        <w:fldChar w:fldCharType="begin"/>
      </w:r>
      <w:r w:rsidRPr="00EC38E3">
        <w:instrText xml:space="preserve"> REF _Ref397699928 \h  \* MERGEFORMAT </w:instrText>
      </w:r>
      <w:r w:rsidRPr="00EC38E3">
        <w:fldChar w:fldCharType="separate"/>
      </w:r>
      <w:r w:rsidR="000C0823" w:rsidRPr="005F2317">
        <w:t xml:space="preserve">Table </w:t>
      </w:r>
      <w:r w:rsidR="000C0823">
        <w:t>5</w:t>
      </w:r>
      <w:r w:rsidRPr="00EC38E3">
        <w:fldChar w:fldCharType="end"/>
      </w:r>
      <w:r w:rsidRPr="00EC38E3">
        <w:t xml:space="preserve"> indicate that</w:t>
      </w:r>
      <w:r w:rsidR="00413E8A">
        <w:t>,</w:t>
      </w:r>
      <w:r w:rsidRPr="00EC38E3">
        <w:t xml:space="preserve"> in the case of the evacuation of one sector</w:t>
      </w:r>
      <w:r w:rsidR="00413E8A">
        <w:t>,</w:t>
      </w:r>
      <w:r w:rsidRPr="00EC38E3">
        <w:t xml:space="preserve"> it takes a bit over half a minute from making the evacuation request until the LSA band has been cleared and approximately the same time until the confirmation of the evacuation is visible to the incumbent in the LSA Incumbent Manager. When the evacuation of all the sectors in the LSA trial environment is considered, the clearance of the band takes almost the same time, however, it takes over 10 seconds more for the confirmation to arrive to the incumbent user.    </w:t>
      </w:r>
    </w:p>
    <w:p w:rsidR="00AC1109" w:rsidRPr="00EC38E3" w:rsidRDefault="00AC1109" w:rsidP="00AC1109">
      <w:pPr>
        <w:pStyle w:val="ECCParagraph"/>
      </w:pPr>
      <w:r>
        <w:t>As mentioned before and shown in</w:t>
      </w:r>
      <w:r w:rsidRPr="00EC38E3">
        <w:t xml:space="preserve"> </w:t>
      </w:r>
      <w:r w:rsidRPr="00EC38E3">
        <w:fldChar w:fldCharType="begin"/>
      </w:r>
      <w:r w:rsidRPr="00EC38E3">
        <w:instrText xml:space="preserve"> REF _Ref397700038 \h </w:instrText>
      </w:r>
      <w:r w:rsidRPr="00EC38E3">
        <w:fldChar w:fldCharType="separate"/>
      </w:r>
      <w:r w:rsidR="000C0823" w:rsidRPr="005F2317">
        <w:t xml:space="preserve">Figure </w:t>
      </w:r>
      <w:r w:rsidR="000C0823">
        <w:rPr>
          <w:noProof/>
        </w:rPr>
        <w:t>16</w:t>
      </w:r>
      <w:r w:rsidRPr="00EC38E3">
        <w:fldChar w:fldCharType="end"/>
      </w:r>
      <w:r w:rsidRPr="00EC38E3">
        <w:t xml:space="preserve">, the Finnish trial environment consists of both commercial and specific research components developed for the LSA trials. Correspondingly, the measurement results can be divided into a LSA research platform and commercial LTE OAM delays as shown in </w:t>
      </w:r>
      <w:r w:rsidRPr="00EC38E3">
        <w:fldChar w:fldCharType="begin"/>
      </w:r>
      <w:r w:rsidRPr="00EC38E3">
        <w:instrText xml:space="preserve"> REF _Ref397700637 \h  \* MERGEFORMAT </w:instrText>
      </w:r>
      <w:r w:rsidRPr="00EC38E3">
        <w:fldChar w:fldCharType="separate"/>
      </w:r>
      <w:r w:rsidR="000C0823" w:rsidRPr="005F2317">
        <w:t xml:space="preserve">Table </w:t>
      </w:r>
      <w:r w:rsidR="000C0823">
        <w:t>6</w:t>
      </w:r>
      <w:r w:rsidRPr="00EC38E3">
        <w:fldChar w:fldCharType="end"/>
      </w:r>
      <w:r w:rsidRPr="00EC38E3">
        <w:t xml:space="preserve">. In step 3, the LTE OAM begins radio plan provisioning. In Step 4, the LSA channel was monitored using an air interface monitoring tool to capture time the LTE transmit power disappeared from the channel. The radio plan provisioning still continued 9-10 seconds. These delays together constitute of the commercial LTE OAM delay reported in </w:t>
      </w:r>
      <w:r w:rsidRPr="00EC38E3">
        <w:fldChar w:fldCharType="begin"/>
      </w:r>
      <w:r w:rsidRPr="00EC38E3">
        <w:instrText xml:space="preserve"> REF _Ref397700637 \h  \* MERGEFORMAT </w:instrText>
      </w:r>
      <w:r w:rsidRPr="00EC38E3">
        <w:fldChar w:fldCharType="separate"/>
      </w:r>
      <w:r w:rsidR="000C0823" w:rsidRPr="005F2317">
        <w:t xml:space="preserve">Table </w:t>
      </w:r>
      <w:r w:rsidR="000C0823">
        <w:t>6</w:t>
      </w:r>
      <w:r w:rsidRPr="00EC38E3">
        <w:fldChar w:fldCharType="end"/>
      </w:r>
      <w:r w:rsidRPr="00EC38E3">
        <w:t>. The LTE OAM provisioning time can be minimised by using pre-validated radio plans in which case the execution time of provision operation is shorter. It can also be noted that provisioning a multi-site de-activation radio plan takes only about 3 more seconds to complete than a single site command. This is indicating promising results for larger LSA network management.</w:t>
      </w:r>
    </w:p>
    <w:p w:rsidR="00AC1109" w:rsidRPr="00EC38E3" w:rsidRDefault="00AC1109" w:rsidP="00AC1109">
      <w:pPr>
        <w:pStyle w:val="ECCParagraph"/>
      </w:pPr>
      <w:r w:rsidRPr="00EC38E3">
        <w:t xml:space="preserve">On the LSA research platform delay side in step 5, the LSA Controller uses a separate LTE OAM command to retrieve status of the </w:t>
      </w:r>
      <w:proofErr w:type="spellStart"/>
      <w:r w:rsidRPr="00EC38E3">
        <w:t>eNBs</w:t>
      </w:r>
      <w:proofErr w:type="spellEnd"/>
      <w:r w:rsidRPr="00EC38E3">
        <w:t xml:space="preserve">. In the emergency evacuation case, a larger delay is a result of executing an additional status query before the evacuation can be confirmed to the incumbent. The research platform is currently distributed in six different locations. The LSA research platform delay consists of system architecture related delays (complex event processing in intelligent logic platform, waiting an ongoing LTE </w:t>
      </w:r>
      <w:r w:rsidRPr="00EC38E3">
        <w:lastRenderedPageBreak/>
        <w:t xml:space="preserve">status check before de-activation commands to LTE OAM, executing an extra LTE </w:t>
      </w:r>
      <w:proofErr w:type="spellStart"/>
      <w:r w:rsidRPr="00EC38E3">
        <w:t>eNBs</w:t>
      </w:r>
      <w:proofErr w:type="spellEnd"/>
      <w:r w:rsidRPr="00EC38E3">
        <w:t xml:space="preserve"> status check) and network delays (polling events behind firewalls, publish/subscribe event delivery). In a commercial system, four of six distributed locations could be integrated as a part of the LTE OAM leaving LSA Repository and LSA Incumbent Manager tools as external systems. In this way, approximately ~80% of the research platform delay could be removed.</w:t>
      </w:r>
    </w:p>
    <w:p w:rsidR="00AC1109" w:rsidRPr="005F2317" w:rsidRDefault="00AC1109" w:rsidP="00AC1109">
      <w:pPr>
        <w:pStyle w:val="Beschriftung"/>
      </w:pPr>
      <w:bookmarkStart w:id="84" w:name="_Ref397700637"/>
      <w:proofErr w:type="gramStart"/>
      <w:r w:rsidRPr="005F2317">
        <w:t xml:space="preserve">Table </w:t>
      </w:r>
      <w:r>
        <w:fldChar w:fldCharType="begin"/>
      </w:r>
      <w:r w:rsidRPr="005F2317">
        <w:instrText xml:space="preserve"> SEQ Table \* ARABIC </w:instrText>
      </w:r>
      <w:r>
        <w:fldChar w:fldCharType="separate"/>
      </w:r>
      <w:r w:rsidR="000C0823">
        <w:rPr>
          <w:noProof/>
        </w:rPr>
        <w:t>6</w:t>
      </w:r>
      <w:r>
        <w:rPr>
          <w:noProof/>
        </w:rPr>
        <w:fldChar w:fldCharType="end"/>
      </w:r>
      <w:bookmarkEnd w:id="84"/>
      <w:r w:rsidRPr="005F2317">
        <w:t>: Total delay of research and commercial part of LSA trial.</w:t>
      </w:r>
      <w:proofErr w:type="gramEnd"/>
    </w:p>
    <w:tbl>
      <w:tblPr>
        <w:tblStyle w:val="ECCTable-redheader"/>
        <w:tblW w:w="9747" w:type="dxa"/>
        <w:tblLayout w:type="fixed"/>
        <w:tblLook w:val="04A0" w:firstRow="1" w:lastRow="0" w:firstColumn="1" w:lastColumn="0" w:noHBand="0" w:noVBand="1"/>
      </w:tblPr>
      <w:tblGrid>
        <w:gridCol w:w="3652"/>
        <w:gridCol w:w="3260"/>
        <w:gridCol w:w="2835"/>
      </w:tblGrid>
      <w:tr w:rsidR="00AC1109" w:rsidRPr="00BF1604" w:rsidTr="00643482">
        <w:trPr>
          <w:cnfStyle w:val="100000000000" w:firstRow="1" w:lastRow="0" w:firstColumn="0" w:lastColumn="0" w:oddVBand="0" w:evenVBand="0" w:oddHBand="0" w:evenHBand="0" w:firstRowFirstColumn="0" w:firstRowLastColumn="0" w:lastRowFirstColumn="0" w:lastRowLastColumn="0"/>
          <w:trHeight w:val="465"/>
        </w:trPr>
        <w:tc>
          <w:tcPr>
            <w:tcW w:w="3652" w:type="dxa"/>
            <w:noWrap/>
          </w:tcPr>
          <w:p w:rsidR="00AC1109" w:rsidRPr="00413E8A" w:rsidRDefault="00AC1109" w:rsidP="00643482">
            <w:pPr>
              <w:pStyle w:val="ECCTableHeaderwhitefont"/>
              <w:rPr>
                <w:lang w:val="en-US"/>
              </w:rPr>
            </w:pPr>
          </w:p>
        </w:tc>
        <w:tc>
          <w:tcPr>
            <w:tcW w:w="3260" w:type="dxa"/>
            <w:noWrap/>
          </w:tcPr>
          <w:p w:rsidR="00AC1109" w:rsidRPr="00413E8A" w:rsidRDefault="00AC1109" w:rsidP="00643482">
            <w:pPr>
              <w:pStyle w:val="ECCTableHeaderwhitefont"/>
              <w:rPr>
                <w:lang w:val="en-US"/>
              </w:rPr>
            </w:pPr>
            <w:r w:rsidRPr="00413E8A">
              <w:rPr>
                <w:lang w:val="en-US"/>
              </w:rPr>
              <w:t xml:space="preserve">Evacuation using </w:t>
            </w:r>
            <w:proofErr w:type="spellStart"/>
            <w:r w:rsidRPr="00413E8A">
              <w:rPr>
                <w:lang w:val="en-US"/>
              </w:rPr>
              <w:t>eNB</w:t>
            </w:r>
            <w:proofErr w:type="spellEnd"/>
            <w:r w:rsidRPr="00413E8A">
              <w:rPr>
                <w:lang w:val="en-US"/>
              </w:rPr>
              <w:t>/sector locking (1 sector) Average delay [s]</w:t>
            </w:r>
          </w:p>
        </w:tc>
        <w:tc>
          <w:tcPr>
            <w:tcW w:w="2835" w:type="dxa"/>
            <w:noWrap/>
          </w:tcPr>
          <w:p w:rsidR="00AC1109" w:rsidRPr="00413E8A" w:rsidRDefault="00AC1109" w:rsidP="00643482">
            <w:pPr>
              <w:pStyle w:val="ECCTableHeaderwhitefont"/>
              <w:rPr>
                <w:lang w:val="en-US"/>
              </w:rPr>
            </w:pPr>
            <w:r w:rsidRPr="00413E8A">
              <w:rPr>
                <w:lang w:val="en-US"/>
              </w:rPr>
              <w:t xml:space="preserve">Emergency evacuation using single radio plan (5 sectors/ 3 </w:t>
            </w:r>
            <w:proofErr w:type="spellStart"/>
            <w:r w:rsidRPr="00413E8A">
              <w:rPr>
                <w:lang w:val="en-US"/>
              </w:rPr>
              <w:t>eNBs</w:t>
            </w:r>
            <w:proofErr w:type="spellEnd"/>
            <w:r w:rsidRPr="00413E8A">
              <w:rPr>
                <w:lang w:val="en-US"/>
              </w:rPr>
              <w:t>) Average delay [s]</w:t>
            </w:r>
          </w:p>
        </w:tc>
      </w:tr>
      <w:tr w:rsidR="00AC1109" w:rsidRPr="00BF1604" w:rsidTr="00643482">
        <w:trPr>
          <w:trHeight w:val="465"/>
        </w:trPr>
        <w:tc>
          <w:tcPr>
            <w:tcW w:w="3652" w:type="dxa"/>
            <w:noWrap/>
            <w:hideMark/>
          </w:tcPr>
          <w:p w:rsidR="00AC1109" w:rsidRPr="00EC38E3" w:rsidRDefault="00AC1109" w:rsidP="00643482">
            <w:pPr>
              <w:pStyle w:val="ECCTabletext"/>
            </w:pPr>
            <w:r w:rsidRPr="00EC38E3">
              <w:t>LSA research platform delay</w:t>
            </w:r>
          </w:p>
        </w:tc>
        <w:tc>
          <w:tcPr>
            <w:tcW w:w="3260" w:type="dxa"/>
            <w:noWrap/>
            <w:hideMark/>
          </w:tcPr>
          <w:p w:rsidR="00AC1109" w:rsidRPr="00EC38E3" w:rsidRDefault="00AC1109" w:rsidP="00643482">
            <w:pPr>
              <w:pStyle w:val="ECCTabletext"/>
            </w:pPr>
            <w:r w:rsidRPr="00EC38E3">
              <w:t>20,620</w:t>
            </w:r>
          </w:p>
        </w:tc>
        <w:tc>
          <w:tcPr>
            <w:tcW w:w="2835" w:type="dxa"/>
            <w:noWrap/>
            <w:hideMark/>
          </w:tcPr>
          <w:p w:rsidR="00AC1109" w:rsidRPr="00EC38E3" w:rsidRDefault="00AC1109" w:rsidP="00643482">
            <w:pPr>
              <w:pStyle w:val="ECCTabletext"/>
            </w:pPr>
            <w:r w:rsidRPr="00EC38E3">
              <w:t>33,279</w:t>
            </w:r>
          </w:p>
        </w:tc>
      </w:tr>
      <w:tr w:rsidR="00AC1109" w:rsidRPr="00BF1604" w:rsidTr="00643482">
        <w:trPr>
          <w:trHeight w:val="578"/>
        </w:trPr>
        <w:tc>
          <w:tcPr>
            <w:tcW w:w="3652" w:type="dxa"/>
            <w:hideMark/>
          </w:tcPr>
          <w:p w:rsidR="00AC1109" w:rsidRPr="00EC38E3" w:rsidRDefault="00AC1109" w:rsidP="00643482">
            <w:pPr>
              <w:pStyle w:val="ECCTabletext"/>
            </w:pPr>
            <w:r w:rsidRPr="00EC38E3">
              <w:t>Commercial LTE OAM provision time de-activation radio plan.</w:t>
            </w:r>
          </w:p>
        </w:tc>
        <w:tc>
          <w:tcPr>
            <w:tcW w:w="3260" w:type="dxa"/>
            <w:noWrap/>
            <w:hideMark/>
          </w:tcPr>
          <w:p w:rsidR="00AC1109" w:rsidRPr="00EC38E3" w:rsidRDefault="00AC1109" w:rsidP="00643482">
            <w:pPr>
              <w:pStyle w:val="ECCTabletext"/>
            </w:pPr>
            <w:r w:rsidRPr="00EC38E3">
              <w:t>40,380</w:t>
            </w:r>
          </w:p>
        </w:tc>
        <w:tc>
          <w:tcPr>
            <w:tcW w:w="2835" w:type="dxa"/>
            <w:noWrap/>
            <w:hideMark/>
          </w:tcPr>
          <w:p w:rsidR="00AC1109" w:rsidRPr="00EC38E3" w:rsidRDefault="00AC1109" w:rsidP="00643482">
            <w:pPr>
              <w:pStyle w:val="ECCTabletext"/>
            </w:pPr>
            <w:r w:rsidRPr="00EC38E3">
              <w:t>43,121</w:t>
            </w:r>
          </w:p>
        </w:tc>
      </w:tr>
    </w:tbl>
    <w:p w:rsidR="00AC1109" w:rsidRPr="00EC38E3" w:rsidRDefault="00AC1109" w:rsidP="00AC1109">
      <w:pPr>
        <w:pStyle w:val="ECCParagraph"/>
      </w:pPr>
    </w:p>
    <w:p w:rsidR="00AC1109" w:rsidRPr="002E45F9" w:rsidRDefault="00AC1109" w:rsidP="00AC1109">
      <w:pPr>
        <w:pStyle w:val="ECCParagraph"/>
      </w:pPr>
    </w:p>
    <w:p w:rsidR="005274B2" w:rsidRDefault="005274B2" w:rsidP="005274B2">
      <w:pPr>
        <w:pStyle w:val="ECCParagraph"/>
      </w:pPr>
    </w:p>
    <w:p w:rsidR="005274B2" w:rsidRDefault="005274B2" w:rsidP="005274B2">
      <w:pPr>
        <w:pStyle w:val="ECCParagraph"/>
      </w:pPr>
    </w:p>
    <w:p w:rsidR="005274B2" w:rsidRPr="005274B2" w:rsidRDefault="005274B2" w:rsidP="005274B2">
      <w:pPr>
        <w:pStyle w:val="ECCParagraph"/>
      </w:pPr>
    </w:p>
    <w:p w:rsidR="00AB46DF" w:rsidRDefault="003C3EE4" w:rsidP="00AB46DF">
      <w:pPr>
        <w:pStyle w:val="ECCAnnexheading1"/>
      </w:pPr>
      <w:bookmarkStart w:id="85" w:name="_Ref398277389"/>
      <w:bookmarkStart w:id="86" w:name="_Toc398907439"/>
      <w:r>
        <w:lastRenderedPageBreak/>
        <w:t>cept mandate</w:t>
      </w:r>
      <w:bookmarkEnd w:id="85"/>
      <w:bookmarkEnd w:id="86"/>
    </w:p>
    <w:p w:rsidR="009B1024" w:rsidRDefault="009B1024" w:rsidP="00AB46DF">
      <w:pPr>
        <w:pStyle w:val="ECCParagraph"/>
      </w:pPr>
    </w:p>
    <w:p w:rsidR="009B1024" w:rsidRPr="001079E0" w:rsidRDefault="009B1024" w:rsidP="009B1024">
      <w:pPr>
        <w:spacing w:after="600"/>
        <w:jc w:val="center"/>
        <w:rPr>
          <w:rFonts w:ascii="Times New Roman" w:hAnsi="Times New Roman"/>
          <w:b/>
          <w:smallCaps/>
          <w:sz w:val="22"/>
          <w:szCs w:val="22"/>
          <w:lang w:val="en-GB"/>
        </w:rPr>
      </w:pPr>
      <w:r w:rsidRPr="001079E0">
        <w:rPr>
          <w:rFonts w:ascii="Times New Roman" w:hAnsi="Times New Roman"/>
          <w:b/>
          <w:smallCaps/>
          <w:sz w:val="22"/>
          <w:szCs w:val="22"/>
          <w:lang w:val="en-GB"/>
        </w:rPr>
        <w:t xml:space="preserve">Mandate to CEPT </w:t>
      </w:r>
      <w:r w:rsidRPr="001079E0">
        <w:rPr>
          <w:rFonts w:ascii="Times New Roman" w:hAnsi="Times New Roman"/>
          <w:b/>
          <w:smallCaps/>
          <w:sz w:val="22"/>
          <w:szCs w:val="22"/>
          <w:lang w:val="en-GB"/>
        </w:rPr>
        <w:br/>
        <w:t xml:space="preserve">to develop harmonised technical conditions for the 2300-2400 MHz ('2.3 GHz') frequency band in the EU for the provision of wireless broadband electronic communications services </w:t>
      </w:r>
    </w:p>
    <w:p w:rsidR="009B1024" w:rsidRPr="001079E0" w:rsidRDefault="009B1024" w:rsidP="009B1024">
      <w:pPr>
        <w:rPr>
          <w:b/>
          <w:lang w:val="en-GB"/>
        </w:rPr>
      </w:pPr>
      <w:r w:rsidRPr="001079E0">
        <w:rPr>
          <w:rFonts w:ascii="Times New Roman" w:hAnsi="Times New Roman"/>
          <w:b/>
          <w:sz w:val="22"/>
          <w:szCs w:val="22"/>
          <w:lang w:val="en-GB"/>
        </w:rPr>
        <w:t>1</w:t>
      </w:r>
      <w:r w:rsidRPr="001079E0">
        <w:rPr>
          <w:rFonts w:ascii="Times New Roman" w:hAnsi="Times New Roman"/>
          <w:b/>
          <w:sz w:val="22"/>
          <w:szCs w:val="22"/>
          <w:lang w:val="en-GB"/>
        </w:rPr>
        <w:tab/>
        <w:t>PURPOSE</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This mandate aims at developing technical conditions for the introduction of wireless broadband (WBB) in the 2300-2400 MHz ('2.3 GHz') band which share with incumbent users. The technical conditions should enable the deployment of wireless broadband services while also ensuring the long term incumbent use of the band in the territory of those Member States that wish to maintain such use.</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The results of this mandate should constitute a technical input to the EU-level political process of identifying 1200 MHz for WBB in accordance with the Radio Spectrum Policy Programme (RSPP)</w:t>
      </w:r>
      <w:r w:rsidRPr="001079E0">
        <w:rPr>
          <w:rStyle w:val="Funotenzeichen"/>
          <w:rFonts w:ascii="Times New Roman" w:hAnsi="Times New Roman"/>
          <w:sz w:val="16"/>
          <w:szCs w:val="16"/>
          <w:lang w:val="en-GB"/>
        </w:rPr>
        <w:footnoteReference w:id="1"/>
      </w:r>
      <w:r w:rsidRPr="001079E0">
        <w:rPr>
          <w:rFonts w:ascii="Times New Roman" w:hAnsi="Times New Roman"/>
          <w:sz w:val="22"/>
          <w:szCs w:val="22"/>
          <w:lang w:val="en-GB"/>
        </w:rPr>
        <w:t xml:space="preserve">. The spectrum inventory established by the RSPP involves assessment of spectrum supply and demand and will examine the efficiency of spectrum use in the range 400 MHz to 6 GHz. The inventory may earmark the 2.3 GHz band for Wireless Broadband use at an early stage in view of the suitability of the band and the scope for sharing with incumbent use. </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 xml:space="preserve">The results of this mandate should serve as a basis </w:t>
      </w:r>
      <w:r w:rsidRPr="001079E0">
        <w:rPr>
          <w:rFonts w:ascii="Times New Roman" w:hAnsi="Times New Roman"/>
          <w:sz w:val="22"/>
          <w:szCs w:val="22"/>
          <w:lang w:val="en-GB" w:eastAsia="en-GB"/>
        </w:rPr>
        <w:t>for any Member State that may decide to proceed with WBB and related national sharing frameworks in the 2.3 GHz band at an early stage, so as to avoid fragmentation in the internal market and contribute to consistent national sharing frameworks.</w:t>
      </w:r>
      <w:r w:rsidRPr="001079E0">
        <w:rPr>
          <w:rFonts w:ascii="Times New Roman" w:hAnsi="Times New Roman"/>
          <w:sz w:val="22"/>
          <w:szCs w:val="22"/>
          <w:lang w:val="en-GB"/>
        </w:rPr>
        <w:t xml:space="preserve"> </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Moreover, the mandate and its technical results should also complement the policy considerations of the European Commission with regard to shared use of spectrum</w:t>
      </w:r>
      <w:r w:rsidRPr="001079E0">
        <w:rPr>
          <w:rStyle w:val="Funotenzeichen"/>
          <w:rFonts w:ascii="Times New Roman" w:hAnsi="Times New Roman"/>
          <w:sz w:val="16"/>
          <w:szCs w:val="16"/>
          <w:lang w:val="en-GB"/>
        </w:rPr>
        <w:footnoteReference w:id="2"/>
      </w:r>
      <w:r w:rsidRPr="001079E0">
        <w:rPr>
          <w:rFonts w:ascii="Times New Roman" w:hAnsi="Times New Roman"/>
          <w:sz w:val="22"/>
          <w:szCs w:val="22"/>
          <w:lang w:val="en-GB"/>
        </w:rPr>
        <w:t xml:space="preserve"> and of the Radio Spectrum Policy Group (RSPG) in the context of the RSPG Opinions on Wireless Broadband</w:t>
      </w:r>
      <w:r w:rsidRPr="001079E0">
        <w:rPr>
          <w:rStyle w:val="Funotenzeichen"/>
          <w:rFonts w:ascii="Times New Roman" w:hAnsi="Times New Roman"/>
          <w:sz w:val="16"/>
          <w:szCs w:val="16"/>
          <w:lang w:val="en-GB"/>
        </w:rPr>
        <w:footnoteReference w:id="3"/>
      </w:r>
      <w:r w:rsidRPr="001079E0">
        <w:rPr>
          <w:rFonts w:ascii="Times New Roman" w:hAnsi="Times New Roman"/>
          <w:sz w:val="22"/>
          <w:szCs w:val="22"/>
          <w:lang w:val="en-GB"/>
        </w:rPr>
        <w:t xml:space="preserve"> and Licensed Shared Access</w:t>
      </w:r>
      <w:r w:rsidRPr="001079E0">
        <w:rPr>
          <w:rStyle w:val="Funotenzeichen"/>
          <w:rFonts w:ascii="Times New Roman" w:hAnsi="Times New Roman"/>
          <w:sz w:val="16"/>
          <w:szCs w:val="16"/>
          <w:lang w:val="en-GB"/>
        </w:rPr>
        <w:footnoteReference w:id="4"/>
      </w:r>
      <w:r w:rsidRPr="001079E0">
        <w:rPr>
          <w:rFonts w:ascii="Times New Roman" w:hAnsi="Times New Roman"/>
          <w:sz w:val="22"/>
          <w:szCs w:val="22"/>
          <w:lang w:val="en-GB"/>
        </w:rPr>
        <w:t>.</w:t>
      </w:r>
    </w:p>
    <w:p w:rsidR="009B1024" w:rsidRPr="001079E0" w:rsidRDefault="009B1024" w:rsidP="009B1024">
      <w:pPr>
        <w:rPr>
          <w:rFonts w:ascii="Times New Roman" w:hAnsi="Times New Roman"/>
          <w:sz w:val="22"/>
          <w:szCs w:val="22"/>
          <w:lang w:val="en-GB"/>
        </w:rPr>
      </w:pPr>
    </w:p>
    <w:p w:rsidR="009B1024" w:rsidRPr="001079E0" w:rsidRDefault="009B1024" w:rsidP="009B1024">
      <w:pPr>
        <w:rPr>
          <w:rFonts w:ascii="Times New Roman" w:hAnsi="Times New Roman"/>
          <w:b/>
          <w:sz w:val="22"/>
          <w:szCs w:val="22"/>
          <w:lang w:val="en-GB"/>
        </w:rPr>
      </w:pPr>
      <w:r w:rsidRPr="001079E0">
        <w:rPr>
          <w:rFonts w:ascii="Times New Roman" w:hAnsi="Times New Roman"/>
          <w:b/>
          <w:sz w:val="22"/>
          <w:szCs w:val="22"/>
          <w:lang w:val="en-GB"/>
        </w:rPr>
        <w:t>2</w:t>
      </w:r>
      <w:r w:rsidRPr="001079E0">
        <w:rPr>
          <w:rFonts w:ascii="Times New Roman" w:hAnsi="Times New Roman"/>
          <w:b/>
          <w:sz w:val="22"/>
          <w:szCs w:val="22"/>
          <w:lang w:val="en-GB"/>
        </w:rPr>
        <w:tab/>
        <w:t>EU POLICY OBJECTIVES</w:t>
      </w:r>
    </w:p>
    <w:p w:rsidR="009B1024" w:rsidRPr="001079E0" w:rsidRDefault="009B1024" w:rsidP="009B1024">
      <w:pPr>
        <w:pStyle w:val="Text1"/>
        <w:ind w:left="0"/>
        <w:rPr>
          <w:sz w:val="22"/>
          <w:szCs w:val="22"/>
          <w:lang w:eastAsia="en-US"/>
        </w:rPr>
      </w:pPr>
      <w:r w:rsidRPr="001079E0">
        <w:rPr>
          <w:sz w:val="22"/>
          <w:szCs w:val="22"/>
          <w:lang w:eastAsia="en-US"/>
        </w:rPr>
        <w:t xml:space="preserve">The Digital Agenda for Europe (DAE) has set ambitious broadband targets by 2020, namely ubiquitous fast broadband coverage in the EU of at least 30 Mbps as well as subscriptions to super-fast broadband of at least 100 Mbps for 50% of the EU households. WBB is expected to play an important role in achieving these objectives. </w:t>
      </w:r>
    </w:p>
    <w:p w:rsidR="009B1024" w:rsidRPr="001079E0" w:rsidRDefault="009B1024" w:rsidP="009B1024">
      <w:pPr>
        <w:pStyle w:val="Text1"/>
        <w:ind w:left="0"/>
        <w:rPr>
          <w:sz w:val="22"/>
          <w:szCs w:val="22"/>
          <w:lang w:eastAsia="en-US"/>
        </w:rPr>
      </w:pPr>
      <w:r w:rsidRPr="001079E0">
        <w:rPr>
          <w:sz w:val="22"/>
          <w:szCs w:val="22"/>
          <w:lang w:eastAsia="en-US"/>
        </w:rPr>
        <w:t>Corresponding to the Union policy objective of allocating sufficient and appropriate spectrum in a timely manner and to best meet the increasing demand for wireless broadband, the RSPP requires the Commission and Member States to make every effort to identify at least 1200 MHz of suitable spectrum by 2015. Furthermore, the RSPP establishes a spectrum inventory inter alia to help identify frequency bands that could be suitable for reallocation and spectrum-sharing opportunities. One of its objectives is to explore new ways for sharing spectrum, to the benefit of both private and public users, while taking into account the potential positive and negative impact of allocation or reallocation of such bands and of adjacent bands on existing users.</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 xml:space="preserve">The Commission services take the view that spectrum sharing should become a mainstream mode of spectrum use in the internal market given the increasing scarcity of spectrum resources (at least at frequencies below 6 GHz) and in order to ensure efficient spectrum use. In its Communication on promoting </w:t>
      </w:r>
      <w:r w:rsidRPr="001079E0">
        <w:rPr>
          <w:rFonts w:ascii="Times New Roman" w:hAnsi="Times New Roman"/>
          <w:sz w:val="22"/>
          <w:szCs w:val="22"/>
          <w:lang w:val="en-GB"/>
        </w:rPr>
        <w:lastRenderedPageBreak/>
        <w:t>shared use of spectrum</w:t>
      </w:r>
      <w:r w:rsidRPr="001079E0">
        <w:rPr>
          <w:rStyle w:val="Funotenzeichen"/>
          <w:rFonts w:ascii="Times New Roman" w:hAnsi="Times New Roman"/>
          <w:sz w:val="16"/>
          <w:szCs w:val="16"/>
          <w:lang w:val="en-GB"/>
        </w:rPr>
        <w:footnoteReference w:id="5"/>
      </w:r>
      <w:r w:rsidRPr="001079E0">
        <w:rPr>
          <w:rFonts w:ascii="Times New Roman" w:hAnsi="Times New Roman"/>
          <w:sz w:val="22"/>
          <w:szCs w:val="22"/>
          <w:lang w:val="en-GB"/>
        </w:rPr>
        <w:t xml:space="preserve"> the Commission has stated that, to foster the development of wireless innovations in the EU, it is necessary to continuously improve the opportunities for harmonised spectrum access in both licence-exempt bands and licensed spectrum and to establish new tools for more shared use of radio spectrum resources in the internal market. In particular the Commission stated that it sees the need in a common path in the EU towards enabling more sharing possibilities, based on contractual agreements between users. </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In this context the RSPG stated in its Opinion on LSA that the continued promotion of the shared use of radio spectrum is a valuable means to leverage the unique capability to re-used spectrum resources. In this regard it stated that access to previously assigned spectrum could be facilitated through licensed usage, under a Licensed Shared Access (LSA) approach.</w:t>
      </w:r>
    </w:p>
    <w:p w:rsidR="000C0823"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 xml:space="preserve">Therefore, within the tasks of this mandate as specified in the </w:t>
      </w:r>
      <w:proofErr w:type="gramStart"/>
      <w:r w:rsidRPr="001079E0">
        <w:rPr>
          <w:rFonts w:ascii="Times New Roman" w:hAnsi="Times New Roman"/>
          <w:sz w:val="22"/>
          <w:szCs w:val="22"/>
          <w:lang w:val="en-GB"/>
        </w:rPr>
        <w:t>Section "</w:t>
      </w:r>
      <w:proofErr w:type="gramEnd"/>
      <w:r w:rsidRPr="001079E0">
        <w:rPr>
          <w:rFonts w:ascii="Times New Roman" w:hAnsi="Times New Roman"/>
          <w:sz w:val="22"/>
          <w:szCs w:val="22"/>
          <w:lang w:val="en-GB"/>
        </w:rPr>
        <w:fldChar w:fldCharType="begin"/>
      </w:r>
      <w:r w:rsidRPr="001079E0">
        <w:rPr>
          <w:rFonts w:ascii="Times New Roman" w:hAnsi="Times New Roman"/>
          <w:sz w:val="22"/>
          <w:szCs w:val="22"/>
          <w:lang w:val="en-GB"/>
        </w:rPr>
        <w:instrText xml:space="preserve"> REF _Ref333943780 \h </w:instrText>
      </w:r>
      <w:r w:rsidRPr="001079E0">
        <w:rPr>
          <w:rFonts w:ascii="Times New Roman" w:hAnsi="Times New Roman"/>
          <w:szCs w:val="22"/>
          <w:lang w:val="en-GB"/>
        </w:rPr>
        <w:instrText xml:space="preserve"> \* MERGEFORMAT </w:instrText>
      </w:r>
      <w:r w:rsidRPr="001079E0">
        <w:rPr>
          <w:rFonts w:ascii="Times New Roman" w:hAnsi="Times New Roman"/>
          <w:sz w:val="22"/>
          <w:szCs w:val="22"/>
          <w:lang w:val="en-GB"/>
        </w:rPr>
      </w:r>
      <w:r w:rsidRPr="001079E0">
        <w:rPr>
          <w:rFonts w:ascii="Times New Roman" w:hAnsi="Times New Roman"/>
          <w:sz w:val="22"/>
          <w:szCs w:val="22"/>
          <w:lang w:val="en-GB"/>
        </w:rPr>
        <w:fldChar w:fldCharType="separate"/>
      </w:r>
    </w:p>
    <w:p w:rsidR="009B1024" w:rsidRPr="001079E0" w:rsidRDefault="000C0823" w:rsidP="009B1024">
      <w:pPr>
        <w:rPr>
          <w:rFonts w:ascii="Times New Roman" w:hAnsi="Times New Roman"/>
          <w:sz w:val="22"/>
          <w:szCs w:val="22"/>
          <w:lang w:val="en-GB"/>
        </w:rPr>
      </w:pPr>
      <w:r w:rsidRPr="000C0823">
        <w:rPr>
          <w:rFonts w:ascii="Times New Roman" w:hAnsi="Times New Roman"/>
          <w:sz w:val="22"/>
          <w:szCs w:val="22"/>
          <w:lang w:val="en-GB"/>
        </w:rPr>
        <w:t>4</w:t>
      </w:r>
      <w:r w:rsidRPr="000C0823">
        <w:rPr>
          <w:rFonts w:ascii="Times New Roman" w:hAnsi="Times New Roman"/>
          <w:sz w:val="22"/>
          <w:szCs w:val="22"/>
          <w:lang w:val="en-GB"/>
        </w:rPr>
        <w:tab/>
        <w:t xml:space="preserve">TASK ORDER </w:t>
      </w:r>
      <w:r w:rsidRPr="001079E0">
        <w:rPr>
          <w:rFonts w:ascii="Times New Roman" w:hAnsi="Times New Roman"/>
          <w:b/>
          <w:sz w:val="22"/>
          <w:szCs w:val="22"/>
          <w:lang w:val="en-GB"/>
        </w:rPr>
        <w:t>AND SCHEDULE</w:t>
      </w:r>
      <w:r w:rsidR="009B1024" w:rsidRPr="001079E0">
        <w:rPr>
          <w:rFonts w:ascii="Times New Roman" w:hAnsi="Times New Roman"/>
          <w:sz w:val="22"/>
          <w:szCs w:val="22"/>
          <w:lang w:val="en-GB"/>
        </w:rPr>
        <w:fldChar w:fldCharType="end"/>
      </w:r>
      <w:r w:rsidR="009B1024" w:rsidRPr="001079E0">
        <w:rPr>
          <w:rFonts w:ascii="Times New Roman" w:hAnsi="Times New Roman"/>
          <w:sz w:val="22"/>
          <w:szCs w:val="22"/>
          <w:lang w:val="en-GB"/>
        </w:rPr>
        <w:t xml:space="preserve">", the Commission requests CEPT to take into account that use of the 2.3 GHz band should contribute to several important EU policy objectives, namely: </w:t>
      </w:r>
    </w:p>
    <w:p w:rsidR="009B1024" w:rsidRPr="001079E0" w:rsidRDefault="009B1024" w:rsidP="009B1024">
      <w:pPr>
        <w:pStyle w:val="Aufzhlungszeichen"/>
        <w:rPr>
          <w:sz w:val="22"/>
          <w:szCs w:val="22"/>
        </w:rPr>
      </w:pPr>
      <w:r w:rsidRPr="001079E0">
        <w:rPr>
          <w:sz w:val="22"/>
          <w:szCs w:val="22"/>
        </w:rPr>
        <w:t>strengthen the Internal Market for potential mass market WBB services and equipment which will operate in the band both for legacy uses and potential new uses;</w:t>
      </w:r>
    </w:p>
    <w:p w:rsidR="009B1024" w:rsidRPr="001079E0" w:rsidRDefault="009B1024" w:rsidP="009B1024">
      <w:pPr>
        <w:pStyle w:val="Aufzhlungszeichen"/>
        <w:rPr>
          <w:sz w:val="22"/>
          <w:szCs w:val="22"/>
        </w:rPr>
      </w:pPr>
      <w:r w:rsidRPr="001079E0">
        <w:rPr>
          <w:sz w:val="22"/>
          <w:szCs w:val="22"/>
        </w:rPr>
        <w:t>contribute to the DAE broadband targets, which rely on a mix of technologies, including wireless broadband;</w:t>
      </w:r>
    </w:p>
    <w:p w:rsidR="009B1024" w:rsidRPr="001079E0" w:rsidRDefault="009B1024" w:rsidP="009B1024">
      <w:pPr>
        <w:pStyle w:val="Aufzhlungszeichen"/>
        <w:rPr>
          <w:sz w:val="22"/>
          <w:szCs w:val="22"/>
        </w:rPr>
      </w:pPr>
      <w:r w:rsidRPr="001079E0">
        <w:rPr>
          <w:sz w:val="22"/>
          <w:szCs w:val="22"/>
        </w:rPr>
        <w:t>meet spectrum demand in support of the RSPP spectrum target of 1200 MHz for wireless broadband;</w:t>
      </w:r>
    </w:p>
    <w:p w:rsidR="009B1024" w:rsidRPr="001079E0" w:rsidRDefault="009B1024" w:rsidP="009B1024">
      <w:pPr>
        <w:pStyle w:val="Aufzhlungszeichen"/>
        <w:rPr>
          <w:sz w:val="22"/>
          <w:szCs w:val="22"/>
        </w:rPr>
      </w:pPr>
      <w:r w:rsidRPr="001079E0">
        <w:rPr>
          <w:sz w:val="22"/>
          <w:szCs w:val="22"/>
        </w:rPr>
        <w:t>promote innovation and investment through enhanced flexibility in spectrum use;</w:t>
      </w:r>
    </w:p>
    <w:p w:rsidR="009B1024" w:rsidRPr="001079E0" w:rsidRDefault="009B1024" w:rsidP="009B1024">
      <w:pPr>
        <w:pStyle w:val="Aufzhlungszeichen"/>
        <w:rPr>
          <w:sz w:val="22"/>
          <w:szCs w:val="22"/>
        </w:rPr>
      </w:pPr>
      <w:proofErr w:type="gramStart"/>
      <w:r w:rsidRPr="001079E0">
        <w:rPr>
          <w:sz w:val="22"/>
          <w:szCs w:val="22"/>
        </w:rPr>
        <w:t>foster</w:t>
      </w:r>
      <w:proofErr w:type="gramEnd"/>
      <w:r w:rsidRPr="001079E0">
        <w:rPr>
          <w:sz w:val="22"/>
          <w:szCs w:val="22"/>
        </w:rPr>
        <w:t xml:space="preserve"> shared use of spectrum.</w:t>
      </w:r>
    </w:p>
    <w:p w:rsidR="009B1024" w:rsidRPr="001079E0" w:rsidRDefault="009B1024" w:rsidP="009B1024">
      <w:pPr>
        <w:rPr>
          <w:rFonts w:ascii="Times New Roman" w:hAnsi="Times New Roman"/>
          <w:b/>
          <w:sz w:val="22"/>
          <w:szCs w:val="22"/>
          <w:lang w:val="en-GB"/>
        </w:rPr>
      </w:pPr>
      <w:r w:rsidRPr="001079E0">
        <w:rPr>
          <w:rFonts w:ascii="Times New Roman" w:hAnsi="Times New Roman"/>
          <w:b/>
          <w:sz w:val="22"/>
          <w:szCs w:val="22"/>
          <w:lang w:val="en-GB"/>
        </w:rPr>
        <w:t>3</w:t>
      </w:r>
      <w:r w:rsidRPr="001079E0">
        <w:rPr>
          <w:rFonts w:ascii="Times New Roman" w:hAnsi="Times New Roman"/>
          <w:b/>
          <w:sz w:val="22"/>
          <w:szCs w:val="22"/>
          <w:lang w:val="en-GB"/>
        </w:rPr>
        <w:tab/>
        <w:t>JUSTIFICATION</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Pursuant to Article 4(2) of the Radio Spectrum Decision</w:t>
      </w:r>
      <w:r w:rsidRPr="001079E0">
        <w:rPr>
          <w:rStyle w:val="Funotenzeichen"/>
          <w:rFonts w:ascii="Times New Roman" w:hAnsi="Times New Roman"/>
          <w:sz w:val="16"/>
          <w:szCs w:val="16"/>
          <w:lang w:val="en-GB"/>
        </w:rPr>
        <w:footnoteReference w:id="6"/>
      </w:r>
      <w:r w:rsidRPr="001079E0">
        <w:rPr>
          <w:rFonts w:ascii="Times New Roman" w:hAnsi="Times New Roman"/>
          <w:sz w:val="22"/>
          <w:szCs w:val="22"/>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9B1024" w:rsidRPr="001079E0" w:rsidRDefault="009B1024" w:rsidP="009B1024">
      <w:pPr>
        <w:pStyle w:val="Text1"/>
        <w:ind w:left="0"/>
        <w:rPr>
          <w:sz w:val="22"/>
          <w:szCs w:val="22"/>
          <w:lang w:eastAsia="en-GB"/>
        </w:rPr>
      </w:pPr>
      <w:r w:rsidRPr="001079E0">
        <w:rPr>
          <w:sz w:val="22"/>
          <w:szCs w:val="22"/>
          <w:lang w:eastAsia="en-GB"/>
        </w:rPr>
        <w:t>In light of the EU policy objectives mentioned in the previous section the 2.3 GHz band has been identified by and by the Radio Spectrum Policy Group (RSPG) as a possible candidate band for the use by wireless broadband (WBB) services in the EU.  In this regard the RSPG recommended</w:t>
      </w:r>
      <w:r w:rsidRPr="001079E0">
        <w:rPr>
          <w:rStyle w:val="Funotenzeichen"/>
          <w:sz w:val="16"/>
          <w:szCs w:val="16"/>
        </w:rPr>
        <w:footnoteReference w:id="7"/>
      </w:r>
      <w:r w:rsidRPr="001079E0">
        <w:rPr>
          <w:sz w:val="16"/>
          <w:szCs w:val="16"/>
          <w:lang w:eastAsia="en-GB"/>
        </w:rPr>
        <w:t xml:space="preserve"> </w:t>
      </w:r>
      <w:r w:rsidRPr="001079E0">
        <w:rPr>
          <w:sz w:val="22"/>
          <w:szCs w:val="22"/>
          <w:lang w:eastAsia="en-GB"/>
        </w:rPr>
        <w:t>this frequency band to support WBB needs in the short term before 2015.  Furthermore, the RSPG recommended the Commission to consider adopting complementary measures to further promote shared and flexible use of the 2.3 GHz band between wireless broadband applications and other services, based on LSA regulatory provisions, facilitating the long-term incumbent use of the band in the territory of those Member States that wish to maintain such use. Activities are already on-going in the framework of CEPT</w:t>
      </w:r>
      <w:r w:rsidRPr="001079E0">
        <w:rPr>
          <w:rStyle w:val="Funotenzeichen"/>
          <w:sz w:val="16"/>
          <w:szCs w:val="16"/>
          <w:lang w:eastAsia="en-GB"/>
        </w:rPr>
        <w:footnoteReference w:id="8"/>
      </w:r>
      <w:r w:rsidRPr="001079E0">
        <w:rPr>
          <w:sz w:val="22"/>
          <w:szCs w:val="22"/>
          <w:lang w:eastAsia="en-GB"/>
        </w:rPr>
        <w:t xml:space="preserve"> to develop harmonisation measures for Mobile/Fixed Communications Networks (MFCN) under LSA in this band.</w:t>
      </w:r>
    </w:p>
    <w:p w:rsidR="009B1024" w:rsidRPr="001079E0" w:rsidRDefault="009B1024" w:rsidP="009B1024">
      <w:pPr>
        <w:pStyle w:val="Text1"/>
        <w:ind w:left="0"/>
        <w:rPr>
          <w:sz w:val="22"/>
          <w:szCs w:val="22"/>
          <w:lang w:eastAsia="en-GB"/>
        </w:rPr>
      </w:pPr>
      <w:r w:rsidRPr="001079E0">
        <w:rPr>
          <w:sz w:val="22"/>
          <w:szCs w:val="22"/>
          <w:lang w:eastAsia="en-GB"/>
        </w:rPr>
        <w:t xml:space="preserve">The band appears attractive for the use by WBB services, because it provides for a rather large bandwidth of 100 MHz, is suitable for providing WBB capacity with relatively low propagation and penetration loss, and has potential for global harmonisation having been identified globally for International Mobile Telecommunications (IMT) in the World </w:t>
      </w:r>
      <w:proofErr w:type="spellStart"/>
      <w:r w:rsidRPr="001079E0">
        <w:rPr>
          <w:sz w:val="22"/>
          <w:szCs w:val="22"/>
          <w:lang w:eastAsia="en-GB"/>
        </w:rPr>
        <w:t>Radiocommunications</w:t>
      </w:r>
      <w:proofErr w:type="spellEnd"/>
      <w:r w:rsidRPr="001079E0">
        <w:rPr>
          <w:sz w:val="22"/>
          <w:szCs w:val="22"/>
          <w:lang w:eastAsia="en-GB"/>
        </w:rPr>
        <w:t xml:space="preserve"> Conference in 2007 (WRC-07). Consequently, it is already planned to be used for WBB in several countries, e.g. in Asia. User equipment and base station equipment based on the TD-LTE standard are already commercially available and the </w:t>
      </w:r>
      <w:r w:rsidRPr="001079E0">
        <w:rPr>
          <w:sz w:val="22"/>
          <w:szCs w:val="22"/>
          <w:lang w:eastAsia="en-GB"/>
        </w:rPr>
        <w:lastRenderedPageBreak/>
        <w:t>equipment market for this band is expected to significantly grow in the coming years driven by large deployments in some countries, especially in Asia.</w:t>
      </w:r>
    </w:p>
    <w:p w:rsidR="009B1024" w:rsidRPr="001079E0" w:rsidRDefault="009B1024" w:rsidP="009B1024">
      <w:pPr>
        <w:pStyle w:val="Text1"/>
        <w:ind w:left="0"/>
        <w:rPr>
          <w:sz w:val="22"/>
          <w:szCs w:val="22"/>
        </w:rPr>
      </w:pPr>
      <w:r w:rsidRPr="001079E0">
        <w:rPr>
          <w:sz w:val="22"/>
          <w:szCs w:val="22"/>
          <w:lang w:eastAsia="en-GB"/>
        </w:rPr>
        <w:t xml:space="preserve">Currently in EU Member States this band is used for strategic governmental applications such as aeronautical telemetry and closed-circuit television (CCTV, a security application) as well as Programme Making and Special Events (PMSE), specifically Services Ancillary to Broadcasting and Programme Making </w:t>
      </w:r>
      <w:r w:rsidRPr="001079E0">
        <w:rPr>
          <w:sz w:val="22"/>
          <w:szCs w:val="22"/>
        </w:rPr>
        <w:t xml:space="preserve">SAB/SAP (ERC/REC 25-10), e.g., as a core band for wireless cameras, and also at national level for various other applications.  </w:t>
      </w:r>
    </w:p>
    <w:p w:rsidR="009B1024" w:rsidRPr="001079E0" w:rsidRDefault="009B1024" w:rsidP="009B1024">
      <w:pPr>
        <w:pStyle w:val="Text1"/>
        <w:ind w:left="0"/>
        <w:rPr>
          <w:sz w:val="22"/>
          <w:szCs w:val="22"/>
          <w:lang w:eastAsia="en-GB"/>
        </w:rPr>
      </w:pPr>
      <w:r w:rsidRPr="001079E0">
        <w:rPr>
          <w:sz w:val="22"/>
          <w:szCs w:val="22"/>
        </w:rPr>
        <w:t xml:space="preserve">In light of these current allocations that are expected to be maintained in some Member States, </w:t>
      </w:r>
      <w:r w:rsidRPr="001079E0">
        <w:rPr>
          <w:sz w:val="22"/>
          <w:szCs w:val="22"/>
          <w:lang w:eastAsia="en-GB"/>
        </w:rPr>
        <w:t xml:space="preserve">considerations have been given by Member States and stakeholders to the possibility to provide access to this band for WBB through an appropriate sharing approach such as Licensed Shared Access (LSA). Such an approach should </w:t>
      </w:r>
      <w:r w:rsidRPr="001079E0">
        <w:rPr>
          <w:sz w:val="22"/>
          <w:szCs w:val="22"/>
        </w:rPr>
        <w:t>ensure the long term incumbent use of the band in the territory of those Member States that wish to maintain such use, while providing legal certainty for the LSA licensees.</w:t>
      </w:r>
    </w:p>
    <w:p w:rsidR="009B1024" w:rsidRPr="001079E0" w:rsidRDefault="009B1024" w:rsidP="009B1024">
      <w:pPr>
        <w:autoSpaceDE w:val="0"/>
        <w:autoSpaceDN w:val="0"/>
        <w:adjustRightInd w:val="0"/>
        <w:rPr>
          <w:rFonts w:ascii="Times New Roman" w:hAnsi="Times New Roman"/>
          <w:sz w:val="22"/>
          <w:szCs w:val="22"/>
          <w:lang w:val="en-GB"/>
        </w:rPr>
      </w:pPr>
      <w:r w:rsidRPr="001079E0">
        <w:rPr>
          <w:rFonts w:ascii="Times New Roman" w:hAnsi="Times New Roman"/>
          <w:sz w:val="22"/>
          <w:szCs w:val="22"/>
          <w:lang w:val="en-GB"/>
        </w:rPr>
        <w:t>Therefore, the Commission considers that on-going international and national developments set in the context of consistent implementation of the RSPP objectives through the inventory process justify the need for technical studies to identify technical and regulatory conditions for the usage of WBB in the 2.3 GHz band.</w:t>
      </w:r>
    </w:p>
    <w:p w:rsidR="009B1024" w:rsidRPr="001079E0" w:rsidRDefault="009B1024" w:rsidP="009B1024">
      <w:pPr>
        <w:rPr>
          <w:rFonts w:ascii="Times New Roman" w:hAnsi="Times New Roman"/>
          <w:sz w:val="22"/>
          <w:szCs w:val="22"/>
          <w:lang w:val="en-GB"/>
        </w:rPr>
      </w:pPr>
      <w:bookmarkStart w:id="87" w:name="_Ref333943780"/>
    </w:p>
    <w:p w:rsidR="009B1024" w:rsidRPr="001079E0" w:rsidRDefault="009B1024" w:rsidP="009B1024">
      <w:pPr>
        <w:rPr>
          <w:rFonts w:ascii="Times New Roman" w:hAnsi="Times New Roman"/>
          <w:b/>
          <w:sz w:val="22"/>
          <w:szCs w:val="22"/>
          <w:lang w:val="en-GB"/>
        </w:rPr>
      </w:pPr>
      <w:r w:rsidRPr="001079E0">
        <w:rPr>
          <w:rFonts w:ascii="Times New Roman" w:hAnsi="Times New Roman"/>
          <w:b/>
          <w:sz w:val="22"/>
          <w:szCs w:val="22"/>
          <w:lang w:val="en-GB"/>
        </w:rPr>
        <w:t>4</w:t>
      </w:r>
      <w:r w:rsidRPr="001079E0">
        <w:rPr>
          <w:rFonts w:ascii="Times New Roman" w:hAnsi="Times New Roman"/>
          <w:b/>
          <w:sz w:val="22"/>
          <w:szCs w:val="22"/>
          <w:lang w:val="en-GB"/>
        </w:rPr>
        <w:tab/>
        <w:t>TASK ORDER AND SCHEDULE</w:t>
      </w:r>
      <w:bookmarkEnd w:id="87"/>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CEPT is herewith mandated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CEPT is also requested to collaborate actively with the European Telecommunications Standardisation Institute (ETSI) which develops harmonised standards for conformity under Directive 1999/5/EC. </w:t>
      </w:r>
    </w:p>
    <w:p w:rsidR="009B1024" w:rsidRPr="001079E0" w:rsidRDefault="009B1024" w:rsidP="009B1024">
      <w:pPr>
        <w:pStyle w:val="Listennummer"/>
        <w:numPr>
          <w:ilvl w:val="0"/>
          <w:numId w:val="0"/>
        </w:numPr>
        <w:shd w:val="clear" w:color="auto" w:fill="FFFFFF"/>
        <w:rPr>
          <w:sz w:val="22"/>
          <w:szCs w:val="22"/>
        </w:rPr>
      </w:pPr>
      <w:r w:rsidRPr="001079E0">
        <w:rPr>
          <w:sz w:val="22"/>
          <w:szCs w:val="22"/>
        </w:rPr>
        <w:t xml:space="preserve">In particular, CEPT </w:t>
      </w:r>
      <w:r w:rsidRPr="001079E0">
        <w:rPr>
          <w:sz w:val="22"/>
          <w:szCs w:val="22"/>
          <w:shd w:val="clear" w:color="auto" w:fill="FFFFFF"/>
        </w:rPr>
        <w:t xml:space="preserve">is mandated </w:t>
      </w:r>
      <w:r w:rsidRPr="001079E0">
        <w:rPr>
          <w:sz w:val="22"/>
          <w:szCs w:val="22"/>
        </w:rPr>
        <w:t xml:space="preserve">to carry out technical studies intended to support the policy objectives presented above, in fulfilment of the following </w:t>
      </w:r>
      <w:r w:rsidRPr="001079E0">
        <w:rPr>
          <w:sz w:val="22"/>
          <w:szCs w:val="22"/>
          <w:u w:val="single"/>
        </w:rPr>
        <w:t>tasks</w:t>
      </w:r>
      <w:r w:rsidRPr="001079E0">
        <w:rPr>
          <w:sz w:val="22"/>
          <w:szCs w:val="22"/>
        </w:rPr>
        <w:t>:</w:t>
      </w:r>
    </w:p>
    <w:p w:rsidR="009B1024" w:rsidRPr="001079E0" w:rsidRDefault="009B1024" w:rsidP="009B1024">
      <w:pPr>
        <w:pStyle w:val="ListNumber1"/>
        <w:numPr>
          <w:ilvl w:val="0"/>
          <w:numId w:val="0"/>
        </w:numPr>
        <w:rPr>
          <w:sz w:val="22"/>
          <w:szCs w:val="22"/>
        </w:rPr>
      </w:pPr>
      <w:r w:rsidRPr="001079E0">
        <w:rPr>
          <w:b/>
          <w:sz w:val="22"/>
          <w:szCs w:val="22"/>
          <w:u w:val="single"/>
        </w:rPr>
        <w:t xml:space="preserve">Task 1: </w:t>
      </w:r>
      <w:r w:rsidRPr="001079E0">
        <w:rPr>
          <w:sz w:val="22"/>
          <w:szCs w:val="22"/>
        </w:rPr>
        <w:t>Develop common and minimal (least restrictive) technical conditions for wireless broadband usage of the 2300-2400 MHz frequency band.</w:t>
      </w:r>
    </w:p>
    <w:p w:rsidR="009B1024" w:rsidRPr="001079E0" w:rsidRDefault="009B1024" w:rsidP="009B1024">
      <w:pPr>
        <w:pStyle w:val="Listennummer"/>
        <w:numPr>
          <w:ilvl w:val="0"/>
          <w:numId w:val="0"/>
        </w:numPr>
        <w:shd w:val="clear" w:color="auto" w:fill="FFFFFF"/>
        <w:rPr>
          <w:sz w:val="22"/>
          <w:szCs w:val="22"/>
        </w:rPr>
      </w:pPr>
      <w:r w:rsidRPr="001079E0">
        <w:rPr>
          <w:sz w:val="22"/>
          <w:szCs w:val="22"/>
        </w:rPr>
        <w:t>This task includes:</w:t>
      </w:r>
    </w:p>
    <w:p w:rsidR="009B1024" w:rsidRPr="001079E0" w:rsidRDefault="009B1024" w:rsidP="009B1024">
      <w:pPr>
        <w:pStyle w:val="Listennummer"/>
        <w:numPr>
          <w:ilvl w:val="0"/>
          <w:numId w:val="0"/>
        </w:numPr>
        <w:ind w:left="709" w:hanging="709"/>
        <w:rPr>
          <w:sz w:val="22"/>
          <w:szCs w:val="22"/>
        </w:rPr>
      </w:pPr>
      <w:r w:rsidRPr="001079E0">
        <w:rPr>
          <w:sz w:val="22"/>
          <w:szCs w:val="22"/>
        </w:rPr>
        <w:t>1.1</w:t>
      </w:r>
      <w:r w:rsidRPr="001079E0">
        <w:rPr>
          <w:sz w:val="22"/>
          <w:szCs w:val="22"/>
        </w:rPr>
        <w:tab/>
        <w:t xml:space="preserve">Identify </w:t>
      </w:r>
      <w:r w:rsidRPr="001079E0">
        <w:rPr>
          <w:i/>
          <w:sz w:val="22"/>
          <w:szCs w:val="22"/>
        </w:rPr>
        <w:t>common and minimal (least restrictive) technical conditions</w:t>
      </w:r>
      <w:r w:rsidRPr="001079E0">
        <w:rPr>
          <w:rStyle w:val="Funotenzeichen"/>
          <w:sz w:val="16"/>
          <w:szCs w:val="16"/>
        </w:rPr>
        <w:footnoteReference w:id="9"/>
      </w:r>
      <w:r w:rsidRPr="001079E0">
        <w:rPr>
          <w:sz w:val="16"/>
          <w:szCs w:val="16"/>
        </w:rPr>
        <w:t xml:space="preserve"> </w:t>
      </w:r>
      <w:r w:rsidRPr="001079E0">
        <w:rPr>
          <w:sz w:val="22"/>
          <w:szCs w:val="22"/>
        </w:rPr>
        <w:t>for the introduction of wireless broadband use in the 2300-2400 MHz band for the provision of electronic communications services. These conditions should be sufficient to ensure coexistence between WBB services within the same band and with services in adjacent bands including use by Radio Local Area Networks (RLAN).</w:t>
      </w:r>
    </w:p>
    <w:p w:rsidR="009B1024" w:rsidRPr="001079E0" w:rsidRDefault="009B1024" w:rsidP="009B1024">
      <w:pPr>
        <w:pStyle w:val="Listennummer"/>
        <w:numPr>
          <w:ilvl w:val="0"/>
          <w:numId w:val="0"/>
        </w:numPr>
        <w:ind w:left="709" w:hanging="709"/>
        <w:rPr>
          <w:sz w:val="22"/>
          <w:szCs w:val="22"/>
        </w:rPr>
      </w:pPr>
      <w:r w:rsidRPr="001079E0">
        <w:rPr>
          <w:sz w:val="22"/>
          <w:szCs w:val="22"/>
        </w:rPr>
        <w:t>1.2</w:t>
      </w:r>
      <w:r w:rsidRPr="001079E0">
        <w:rPr>
          <w:sz w:val="22"/>
          <w:szCs w:val="22"/>
        </w:rPr>
        <w:tab/>
        <w:t xml:space="preserve">Develop </w:t>
      </w:r>
      <w:r w:rsidRPr="001079E0">
        <w:rPr>
          <w:i/>
          <w:sz w:val="22"/>
          <w:szCs w:val="22"/>
        </w:rPr>
        <w:t>channelling arrangements</w:t>
      </w:r>
      <w:r w:rsidRPr="001079E0">
        <w:rPr>
          <w:sz w:val="22"/>
          <w:szCs w:val="22"/>
        </w:rPr>
        <w:t xml:space="preserve"> that are sufficiently precise for the development of EU-wide equipment and take into consideration the possibility of international harmonisation. </w:t>
      </w:r>
    </w:p>
    <w:p w:rsidR="009B1024" w:rsidRPr="001079E0" w:rsidRDefault="009B1024" w:rsidP="009B1024">
      <w:pPr>
        <w:pStyle w:val="ListNumber1"/>
        <w:numPr>
          <w:ilvl w:val="0"/>
          <w:numId w:val="0"/>
        </w:numPr>
        <w:rPr>
          <w:sz w:val="22"/>
          <w:szCs w:val="22"/>
        </w:rPr>
      </w:pPr>
      <w:r w:rsidRPr="001079E0">
        <w:rPr>
          <w:b/>
          <w:sz w:val="22"/>
          <w:szCs w:val="22"/>
          <w:u w:val="single"/>
        </w:rPr>
        <w:t>Task 2</w:t>
      </w:r>
      <w:r w:rsidRPr="001079E0">
        <w:rPr>
          <w:sz w:val="22"/>
          <w:szCs w:val="22"/>
        </w:rPr>
        <w:t xml:space="preserve">: Where appropriate develop common technical sharing solutions for the shared use of the 2300-2400 MHz band for WBB and incumbent services/applications. </w:t>
      </w:r>
    </w:p>
    <w:p w:rsidR="009B1024" w:rsidRPr="001079E0" w:rsidRDefault="009B1024" w:rsidP="009B1024">
      <w:pPr>
        <w:pStyle w:val="Listennummer"/>
        <w:numPr>
          <w:ilvl w:val="0"/>
          <w:numId w:val="0"/>
        </w:numPr>
        <w:shd w:val="clear" w:color="auto" w:fill="FFFFFF"/>
        <w:rPr>
          <w:sz w:val="22"/>
          <w:szCs w:val="22"/>
        </w:rPr>
      </w:pPr>
      <w:r w:rsidRPr="001079E0">
        <w:rPr>
          <w:sz w:val="22"/>
          <w:szCs w:val="22"/>
        </w:rPr>
        <w:t>This task includes:</w:t>
      </w:r>
    </w:p>
    <w:p w:rsidR="009B1024" w:rsidRPr="001079E0" w:rsidRDefault="009B1024" w:rsidP="009B1024">
      <w:pPr>
        <w:pStyle w:val="ListNumber1"/>
        <w:numPr>
          <w:ilvl w:val="0"/>
          <w:numId w:val="0"/>
        </w:numPr>
        <w:ind w:left="720" w:hanging="720"/>
        <w:rPr>
          <w:sz w:val="22"/>
          <w:szCs w:val="22"/>
        </w:rPr>
      </w:pPr>
      <w:r w:rsidRPr="001079E0">
        <w:rPr>
          <w:sz w:val="22"/>
          <w:szCs w:val="22"/>
        </w:rPr>
        <w:lastRenderedPageBreak/>
        <w:t>2.1</w:t>
      </w:r>
      <w:r w:rsidRPr="001079E0">
        <w:rPr>
          <w:sz w:val="22"/>
          <w:szCs w:val="22"/>
        </w:rPr>
        <w:tab/>
        <w:t xml:space="preserve">For each of the </w:t>
      </w:r>
      <w:r w:rsidRPr="001079E0">
        <w:rPr>
          <w:i/>
          <w:sz w:val="22"/>
          <w:szCs w:val="22"/>
        </w:rPr>
        <w:t xml:space="preserve">relevant incumbent services/applications </w:t>
      </w:r>
      <w:r w:rsidRPr="001079E0">
        <w:rPr>
          <w:sz w:val="22"/>
          <w:szCs w:val="22"/>
        </w:rPr>
        <w:t>in the Member States including military use, PMSE, fixed links, and radio amateur services:</w:t>
      </w:r>
      <w:r w:rsidRPr="001079E0">
        <w:rPr>
          <w:i/>
          <w:sz w:val="22"/>
          <w:szCs w:val="22"/>
        </w:rPr>
        <w:t xml:space="preserve"> </w:t>
      </w:r>
      <w:r w:rsidRPr="001079E0">
        <w:rPr>
          <w:sz w:val="22"/>
          <w:szCs w:val="22"/>
        </w:rPr>
        <w:t>(</w:t>
      </w:r>
      <w:proofErr w:type="spellStart"/>
      <w:r w:rsidRPr="001079E0">
        <w:rPr>
          <w:sz w:val="22"/>
          <w:szCs w:val="22"/>
        </w:rPr>
        <w:t>i</w:t>
      </w:r>
      <w:proofErr w:type="spellEnd"/>
      <w:r w:rsidRPr="001079E0">
        <w:rPr>
          <w:sz w:val="22"/>
          <w:szCs w:val="22"/>
        </w:rPr>
        <w:t xml:space="preserve">) assess the </w:t>
      </w:r>
      <w:r w:rsidRPr="001079E0">
        <w:rPr>
          <w:i/>
          <w:sz w:val="22"/>
          <w:szCs w:val="22"/>
        </w:rPr>
        <w:t>deployment assumptions and the operational footprint</w:t>
      </w:r>
      <w:r w:rsidRPr="001079E0">
        <w:rPr>
          <w:sz w:val="22"/>
          <w:szCs w:val="22"/>
        </w:rPr>
        <w:t xml:space="preserve"> and (ii)</w:t>
      </w:r>
      <w:r w:rsidRPr="001079E0">
        <w:rPr>
          <w:i/>
          <w:sz w:val="22"/>
          <w:szCs w:val="22"/>
        </w:rPr>
        <w:t xml:space="preserve"> take stock of the situation and future plans</w:t>
      </w:r>
      <w:r w:rsidRPr="001079E0">
        <w:rPr>
          <w:sz w:val="22"/>
          <w:szCs w:val="22"/>
        </w:rPr>
        <w:t xml:space="preserve"> in the Member States regarding the application of the LSA concept to enable the deployment of WBB.</w:t>
      </w:r>
    </w:p>
    <w:p w:rsidR="009B1024" w:rsidRPr="001079E0" w:rsidRDefault="009B1024" w:rsidP="009B1024">
      <w:pPr>
        <w:pStyle w:val="ListNumber1"/>
        <w:numPr>
          <w:ilvl w:val="0"/>
          <w:numId w:val="0"/>
        </w:numPr>
        <w:ind w:left="720" w:hanging="720"/>
        <w:rPr>
          <w:sz w:val="22"/>
          <w:szCs w:val="22"/>
        </w:rPr>
      </w:pPr>
      <w:r w:rsidRPr="001079E0">
        <w:rPr>
          <w:sz w:val="22"/>
          <w:szCs w:val="22"/>
        </w:rPr>
        <w:t>2.2</w:t>
      </w:r>
      <w:r w:rsidRPr="001079E0">
        <w:rPr>
          <w:sz w:val="22"/>
          <w:szCs w:val="22"/>
        </w:rPr>
        <w:tab/>
        <w:t>For each incumbent service/application considered under 2.1: (</w:t>
      </w:r>
      <w:proofErr w:type="spellStart"/>
      <w:r w:rsidRPr="001079E0">
        <w:rPr>
          <w:sz w:val="22"/>
          <w:szCs w:val="22"/>
        </w:rPr>
        <w:t>i</w:t>
      </w:r>
      <w:proofErr w:type="spellEnd"/>
      <w:r w:rsidRPr="001079E0">
        <w:rPr>
          <w:sz w:val="22"/>
          <w:szCs w:val="22"/>
        </w:rPr>
        <w:t xml:space="preserve">) identify </w:t>
      </w:r>
      <w:r w:rsidRPr="001079E0">
        <w:rPr>
          <w:i/>
          <w:sz w:val="22"/>
          <w:szCs w:val="22"/>
        </w:rPr>
        <w:t>technological and regulatory options facilitating sharing</w:t>
      </w:r>
      <w:r w:rsidRPr="001079E0">
        <w:rPr>
          <w:sz w:val="22"/>
          <w:szCs w:val="22"/>
        </w:rPr>
        <w:t xml:space="preserve"> between WBB and the relevant incumbent service/application including mutual dynamic coordination mechanisms between WBB operators and incumbents; (ii) assess </w:t>
      </w:r>
      <w:r w:rsidRPr="001079E0">
        <w:rPr>
          <w:i/>
          <w:sz w:val="22"/>
          <w:szCs w:val="22"/>
        </w:rPr>
        <w:t>the scope for harmonisation of technical sharing parameters and solutions</w:t>
      </w:r>
      <w:r w:rsidRPr="001079E0">
        <w:rPr>
          <w:sz w:val="22"/>
          <w:szCs w:val="22"/>
        </w:rPr>
        <w:t xml:space="preserve"> through standardisation and/or an implementing decision; </w:t>
      </w:r>
    </w:p>
    <w:p w:rsidR="009B1024" w:rsidRPr="001079E0" w:rsidRDefault="009B1024" w:rsidP="009B1024">
      <w:pPr>
        <w:pStyle w:val="ListNumber1"/>
        <w:numPr>
          <w:ilvl w:val="0"/>
          <w:numId w:val="0"/>
        </w:numPr>
        <w:ind w:left="720" w:hanging="720"/>
        <w:rPr>
          <w:sz w:val="22"/>
          <w:szCs w:val="22"/>
        </w:rPr>
      </w:pPr>
      <w:r w:rsidRPr="001079E0">
        <w:rPr>
          <w:sz w:val="22"/>
          <w:szCs w:val="22"/>
        </w:rPr>
        <w:t>2.3</w:t>
      </w:r>
      <w:r w:rsidRPr="001079E0">
        <w:rPr>
          <w:sz w:val="22"/>
          <w:szCs w:val="22"/>
        </w:rPr>
        <w:tab/>
        <w:t xml:space="preserve">Depending on results for each relevant incumbent service/application under 2.2(ii) and without prejudice to national rules on data confidentiality define </w:t>
      </w:r>
      <w:r w:rsidRPr="001079E0">
        <w:rPr>
          <w:i/>
          <w:sz w:val="22"/>
          <w:szCs w:val="22"/>
        </w:rPr>
        <w:t>technical and regulatory solutions</w:t>
      </w:r>
      <w:r w:rsidRPr="001079E0" w:rsidDel="0033668E">
        <w:rPr>
          <w:sz w:val="22"/>
          <w:szCs w:val="22"/>
        </w:rPr>
        <w:t xml:space="preserve"> </w:t>
      </w:r>
      <w:r w:rsidRPr="001079E0">
        <w:rPr>
          <w:sz w:val="22"/>
          <w:szCs w:val="22"/>
        </w:rPr>
        <w:t>relevant for the technological and regulatory options identified under 2.2(</w:t>
      </w:r>
      <w:proofErr w:type="spellStart"/>
      <w:r w:rsidRPr="001079E0">
        <w:rPr>
          <w:sz w:val="22"/>
          <w:szCs w:val="22"/>
        </w:rPr>
        <w:t>i</w:t>
      </w:r>
      <w:proofErr w:type="spellEnd"/>
      <w:r w:rsidRPr="001079E0">
        <w:rPr>
          <w:sz w:val="22"/>
          <w:szCs w:val="22"/>
        </w:rPr>
        <w:t>) that support consistent sharing frameworks defined at national level allowing for the development and efficient operation of EU-wide equipment.</w:t>
      </w:r>
    </w:p>
    <w:p w:rsidR="009B1024" w:rsidRPr="001079E0" w:rsidRDefault="009B1024" w:rsidP="009B1024">
      <w:pPr>
        <w:pStyle w:val="Listennummer"/>
        <w:numPr>
          <w:ilvl w:val="0"/>
          <w:numId w:val="0"/>
        </w:numPr>
        <w:shd w:val="clear" w:color="auto" w:fill="FFFFFF"/>
        <w:rPr>
          <w:sz w:val="22"/>
          <w:szCs w:val="22"/>
        </w:rPr>
      </w:pPr>
      <w:r w:rsidRPr="001079E0">
        <w:rPr>
          <w:sz w:val="22"/>
          <w:szCs w:val="22"/>
        </w:rPr>
        <w:t xml:space="preserve">The Commission may provide CEPT with further guidance on this mandate depending on future agreements at EU level (which may involve the European Parliament and the Council) concerning 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rsidR="009B1024" w:rsidRPr="001079E0" w:rsidRDefault="009B1024" w:rsidP="009B1024">
      <w:pPr>
        <w:pStyle w:val="Listennummer"/>
        <w:numPr>
          <w:ilvl w:val="0"/>
          <w:numId w:val="0"/>
        </w:numPr>
        <w:shd w:val="clear" w:color="auto" w:fill="FFFFFF"/>
        <w:rPr>
          <w:sz w:val="22"/>
          <w:szCs w:val="22"/>
        </w:rPr>
      </w:pPr>
      <w:r w:rsidRPr="001079E0">
        <w:rPr>
          <w:sz w:val="22"/>
          <w:szCs w:val="22"/>
        </w:rPr>
        <w:t>CEPT should provide deliverables under this Mandate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3000"/>
        <w:gridCol w:w="3960"/>
      </w:tblGrid>
      <w:tr w:rsidR="009B1024" w:rsidRPr="001079E0" w:rsidTr="00B87CAB">
        <w:tc>
          <w:tcPr>
            <w:tcW w:w="1870" w:type="dxa"/>
          </w:tcPr>
          <w:p w:rsidR="009B1024" w:rsidRPr="001079E0" w:rsidRDefault="009B1024" w:rsidP="00B87CAB">
            <w:pPr>
              <w:spacing w:before="120"/>
              <w:jc w:val="center"/>
              <w:rPr>
                <w:rFonts w:ascii="Times New Roman" w:hAnsi="Times New Roman"/>
                <w:b/>
                <w:sz w:val="22"/>
                <w:szCs w:val="22"/>
                <w:lang w:val="en-GB"/>
              </w:rPr>
            </w:pPr>
            <w:r w:rsidRPr="001079E0">
              <w:rPr>
                <w:rFonts w:ascii="Times New Roman" w:hAnsi="Times New Roman"/>
                <w:b/>
                <w:sz w:val="22"/>
                <w:szCs w:val="22"/>
                <w:lang w:val="en-GB"/>
              </w:rPr>
              <w:t>Delivery date</w:t>
            </w:r>
          </w:p>
        </w:tc>
        <w:tc>
          <w:tcPr>
            <w:tcW w:w="3000" w:type="dxa"/>
          </w:tcPr>
          <w:p w:rsidR="009B1024" w:rsidRPr="001079E0" w:rsidRDefault="009B1024" w:rsidP="00B87CAB">
            <w:pPr>
              <w:spacing w:before="120"/>
              <w:jc w:val="center"/>
              <w:rPr>
                <w:rFonts w:ascii="Times New Roman" w:hAnsi="Times New Roman"/>
                <w:b/>
                <w:sz w:val="22"/>
                <w:szCs w:val="22"/>
                <w:lang w:val="en-GB"/>
              </w:rPr>
            </w:pPr>
            <w:r w:rsidRPr="001079E0">
              <w:rPr>
                <w:rFonts w:ascii="Times New Roman" w:hAnsi="Times New Roman"/>
                <w:b/>
                <w:sz w:val="22"/>
                <w:szCs w:val="22"/>
                <w:lang w:val="en-GB"/>
              </w:rPr>
              <w:t>Deliverable</w:t>
            </w:r>
          </w:p>
        </w:tc>
        <w:tc>
          <w:tcPr>
            <w:tcW w:w="3960" w:type="dxa"/>
          </w:tcPr>
          <w:p w:rsidR="009B1024" w:rsidRPr="001079E0" w:rsidRDefault="009B1024" w:rsidP="00B87CAB">
            <w:pPr>
              <w:spacing w:before="120"/>
              <w:jc w:val="center"/>
              <w:rPr>
                <w:rFonts w:ascii="Times New Roman" w:hAnsi="Times New Roman"/>
                <w:b/>
                <w:sz w:val="22"/>
                <w:szCs w:val="22"/>
                <w:lang w:val="en-GB"/>
              </w:rPr>
            </w:pPr>
            <w:r w:rsidRPr="001079E0">
              <w:rPr>
                <w:rFonts w:ascii="Times New Roman" w:hAnsi="Times New Roman"/>
                <w:b/>
                <w:sz w:val="22"/>
                <w:szCs w:val="22"/>
                <w:lang w:val="en-GB"/>
              </w:rPr>
              <w:t>Subject</w:t>
            </w:r>
          </w:p>
        </w:tc>
      </w:tr>
      <w:tr w:rsidR="009B1024" w:rsidRPr="001079E0" w:rsidTr="00B87CAB">
        <w:tc>
          <w:tcPr>
            <w:tcW w:w="187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June 2014</w:t>
            </w:r>
            <w:r w:rsidRPr="001079E0">
              <w:rPr>
                <w:rStyle w:val="Funotenzeichen"/>
                <w:rFonts w:ascii="Times New Roman" w:hAnsi="Times New Roman"/>
                <w:sz w:val="16"/>
                <w:szCs w:val="16"/>
                <w:lang w:val="en-GB"/>
              </w:rPr>
              <w:footnoteReference w:id="10"/>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Final Draft Report A from CEPT to the Commission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Description of work undertaken for Task 1 and final results</w:t>
            </w:r>
          </w:p>
        </w:tc>
      </w:tr>
      <w:tr w:rsidR="009B1024" w:rsidRPr="001079E0" w:rsidTr="00B87CAB">
        <w:tc>
          <w:tcPr>
            <w:tcW w:w="187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November 2014</w:t>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b/>
                <w:sz w:val="22"/>
                <w:szCs w:val="22"/>
                <w:lang w:val="en-GB"/>
              </w:rPr>
              <w:t>Final</w:t>
            </w:r>
            <w:r w:rsidRPr="001079E0">
              <w:rPr>
                <w:rFonts w:ascii="Times New Roman" w:hAnsi="Times New Roman"/>
                <w:sz w:val="22"/>
                <w:szCs w:val="22"/>
                <w:lang w:val="en-GB"/>
              </w:rPr>
              <w:t xml:space="preserve"> Report A from CEPT to the Commission, taking into account the outcome of the public consultation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Description of work undertaken for Task 1 and final results taking into account the results of the public consultation</w:t>
            </w:r>
          </w:p>
        </w:tc>
      </w:tr>
      <w:tr w:rsidR="009B1024" w:rsidRPr="001079E0" w:rsidTr="00B87CAB">
        <w:tc>
          <w:tcPr>
            <w:tcW w:w="187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November 2014</w:t>
            </w:r>
            <w:r w:rsidRPr="001079E0">
              <w:rPr>
                <w:rStyle w:val="Funotenzeichen"/>
                <w:rFonts w:ascii="Times New Roman" w:hAnsi="Times New Roman"/>
                <w:sz w:val="16"/>
                <w:szCs w:val="16"/>
                <w:lang w:val="en-GB"/>
              </w:rPr>
              <w:footnoteReference w:id="11"/>
            </w:r>
            <w:r w:rsidRPr="001079E0">
              <w:rPr>
                <w:rFonts w:ascii="Times New Roman" w:hAnsi="Times New Roman"/>
                <w:sz w:val="22"/>
                <w:szCs w:val="22"/>
                <w:lang w:val="en-GB"/>
              </w:rPr>
              <w:t xml:space="preserve"> </w:t>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Final Draft Report B.1 from CEPT to the Commission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Description of work undertaken for Task 2, final results for task 2.2(ii)</w:t>
            </w:r>
            <w:r w:rsidRPr="001079E0">
              <w:rPr>
                <w:rStyle w:val="Funotenzeichen"/>
                <w:rFonts w:ascii="Times New Roman" w:hAnsi="Times New Roman"/>
                <w:sz w:val="16"/>
                <w:szCs w:val="16"/>
                <w:lang w:val="en-GB"/>
              </w:rPr>
              <w:footnoteReference w:id="12"/>
            </w:r>
          </w:p>
        </w:tc>
      </w:tr>
      <w:tr w:rsidR="009B1024" w:rsidRPr="001079E0" w:rsidTr="00B87CAB">
        <w:tc>
          <w:tcPr>
            <w:tcW w:w="1870" w:type="dxa"/>
          </w:tcPr>
          <w:p w:rsidR="009B1024" w:rsidRPr="001079E0" w:rsidDel="00331265"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March 2015</w:t>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b/>
                <w:sz w:val="22"/>
                <w:szCs w:val="22"/>
                <w:lang w:val="en-GB"/>
              </w:rPr>
              <w:t>Final</w:t>
            </w:r>
            <w:r w:rsidRPr="001079E0">
              <w:rPr>
                <w:rFonts w:ascii="Times New Roman" w:hAnsi="Times New Roman"/>
                <w:sz w:val="22"/>
                <w:szCs w:val="22"/>
                <w:lang w:val="en-GB"/>
              </w:rPr>
              <w:t xml:space="preserve"> Report B.1 from CEPT to the Commission, taking into account the outcome of the public consultation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Final results for task 2.2(ii) taking into account the results of the public consultation</w:t>
            </w:r>
          </w:p>
        </w:tc>
      </w:tr>
      <w:tr w:rsidR="009B1024" w:rsidRPr="001079E0" w:rsidTr="00B87CAB">
        <w:tc>
          <w:tcPr>
            <w:tcW w:w="187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March 2015</w:t>
            </w:r>
            <w:r w:rsidRPr="001079E0">
              <w:rPr>
                <w:rStyle w:val="Funotenzeichen"/>
                <w:rFonts w:ascii="Times New Roman" w:hAnsi="Times New Roman"/>
                <w:sz w:val="16"/>
                <w:szCs w:val="16"/>
                <w:lang w:val="en-GB"/>
              </w:rPr>
              <w:footnoteReference w:id="13"/>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Final Draft Report B.2 from CEPT to the Commission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 xml:space="preserve">Description of work undertaken for Task 2 and final results </w:t>
            </w:r>
          </w:p>
        </w:tc>
      </w:tr>
      <w:tr w:rsidR="009B1024" w:rsidRPr="001079E0" w:rsidTr="00B87CAB">
        <w:tc>
          <w:tcPr>
            <w:tcW w:w="187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July 2015</w:t>
            </w:r>
          </w:p>
        </w:tc>
        <w:tc>
          <w:tcPr>
            <w:tcW w:w="300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b/>
                <w:sz w:val="22"/>
                <w:szCs w:val="22"/>
                <w:lang w:val="en-GB"/>
              </w:rPr>
              <w:t>Final</w:t>
            </w:r>
            <w:r w:rsidRPr="001079E0">
              <w:rPr>
                <w:rFonts w:ascii="Times New Roman" w:hAnsi="Times New Roman"/>
                <w:sz w:val="22"/>
                <w:szCs w:val="22"/>
                <w:lang w:val="en-GB"/>
              </w:rPr>
              <w:t xml:space="preserve"> Report B.2 from CEPT to the Commission, taking into account the outcome of the public consultation</w:t>
            </w:r>
          </w:p>
        </w:tc>
        <w:tc>
          <w:tcPr>
            <w:tcW w:w="3960" w:type="dxa"/>
          </w:tcPr>
          <w:p w:rsidR="009B1024" w:rsidRPr="001079E0" w:rsidRDefault="009B1024" w:rsidP="00B87CAB">
            <w:pPr>
              <w:spacing w:before="120"/>
              <w:rPr>
                <w:rFonts w:ascii="Times New Roman" w:hAnsi="Times New Roman"/>
                <w:sz w:val="22"/>
                <w:szCs w:val="22"/>
                <w:lang w:val="en-GB"/>
              </w:rPr>
            </w:pPr>
            <w:r w:rsidRPr="001079E0">
              <w:rPr>
                <w:rFonts w:ascii="Times New Roman" w:hAnsi="Times New Roman"/>
                <w:sz w:val="22"/>
                <w:szCs w:val="22"/>
                <w:lang w:val="en-GB"/>
              </w:rPr>
              <w:t>Description of work undertaken for Task 2 and final results taking into account the results of the public consultation</w:t>
            </w:r>
          </w:p>
        </w:tc>
      </w:tr>
    </w:tbl>
    <w:p w:rsidR="009B1024" w:rsidRPr="001079E0" w:rsidRDefault="009B1024" w:rsidP="009B1024">
      <w:pPr>
        <w:pStyle w:val="Listennummer"/>
        <w:numPr>
          <w:ilvl w:val="0"/>
          <w:numId w:val="0"/>
        </w:numPr>
        <w:spacing w:after="0"/>
        <w:ind w:left="709" w:hanging="709"/>
        <w:rPr>
          <w:sz w:val="22"/>
          <w:szCs w:val="22"/>
          <w:highlight w:val="yellow"/>
        </w:rPr>
      </w:pPr>
    </w:p>
    <w:p w:rsidR="009B1024" w:rsidRPr="001079E0" w:rsidRDefault="009B1024" w:rsidP="009B1024">
      <w:pPr>
        <w:pStyle w:val="Listennummer"/>
        <w:numPr>
          <w:ilvl w:val="0"/>
          <w:numId w:val="0"/>
        </w:numPr>
        <w:spacing w:after="120"/>
        <w:rPr>
          <w:sz w:val="22"/>
          <w:szCs w:val="22"/>
        </w:rPr>
      </w:pPr>
      <w:r w:rsidRPr="001079E0">
        <w:rPr>
          <w:sz w:val="22"/>
          <w:szCs w:val="22"/>
        </w:rPr>
        <w:t xml:space="preserve">CEPT is requested to report on the progress of its work pursuant to this Mandate to all meetings of the Radio Spectrum Committee taking place during the course of the Mandate. </w:t>
      </w:r>
    </w:p>
    <w:p w:rsidR="009B1024" w:rsidRPr="001079E0" w:rsidRDefault="009B1024" w:rsidP="009B1024">
      <w:pPr>
        <w:rPr>
          <w:rFonts w:ascii="Times New Roman" w:hAnsi="Times New Roman"/>
          <w:sz w:val="22"/>
          <w:szCs w:val="22"/>
          <w:lang w:val="en-GB"/>
        </w:rPr>
      </w:pPr>
      <w:r w:rsidRPr="001079E0">
        <w:rPr>
          <w:rFonts w:ascii="Times New Roman" w:hAnsi="Times New Roman"/>
          <w:sz w:val="22"/>
          <w:szCs w:val="22"/>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w:t>
      </w:r>
    </w:p>
    <w:p w:rsidR="009B1024" w:rsidRPr="001079E0" w:rsidRDefault="009B1024" w:rsidP="009B1024">
      <w:pPr>
        <w:spacing w:after="480"/>
        <w:jc w:val="center"/>
        <w:rPr>
          <w:rFonts w:ascii="Times New Roman" w:hAnsi="Times New Roman"/>
          <w:sz w:val="22"/>
          <w:szCs w:val="22"/>
          <w:lang w:val="en-GB"/>
        </w:rPr>
      </w:pPr>
    </w:p>
    <w:p w:rsidR="00AB46DF" w:rsidRPr="000A672F" w:rsidRDefault="00AB46DF" w:rsidP="00AB46DF">
      <w:pPr>
        <w:pStyle w:val="ECCParagraph"/>
      </w:pPr>
    </w:p>
    <w:p w:rsidR="00AB46DF" w:rsidRDefault="003C3EE4" w:rsidP="00AB46DF">
      <w:pPr>
        <w:pStyle w:val="ECCAnnexheading1"/>
      </w:pPr>
      <w:bookmarkStart w:id="88" w:name="_Toc398907440"/>
      <w:r>
        <w:lastRenderedPageBreak/>
        <w:t>List of reference</w:t>
      </w:r>
      <w:bookmarkEnd w:id="88"/>
    </w:p>
    <w:p w:rsidR="00AB46DF" w:rsidRDefault="00160E7B" w:rsidP="005274B2">
      <w:pPr>
        <w:pStyle w:val="reference"/>
        <w:numPr>
          <w:ilvl w:val="0"/>
          <w:numId w:val="6"/>
        </w:numPr>
      </w:pPr>
      <w:bookmarkStart w:id="89" w:name="_Ref392679207"/>
      <w:r>
        <w:t>CEPT Report 55:</w:t>
      </w:r>
      <w:r w:rsidRPr="00160E7B">
        <w:rPr>
          <w:lang w:val="en-GB"/>
        </w:rPr>
        <w:t xml:space="preserve"> </w:t>
      </w:r>
      <w:r w:rsidRPr="001079E0">
        <w:rPr>
          <w:lang w:val="en-GB"/>
        </w:rPr>
        <w:t>Technical conditions for wireless broadband usage of the 2300-2400 MHz frequency band.</w:t>
      </w:r>
      <w:bookmarkEnd w:id="89"/>
    </w:p>
    <w:p w:rsidR="00EF44B1" w:rsidRPr="00EF44B1" w:rsidRDefault="00EF44B1" w:rsidP="00AB46DF">
      <w:pPr>
        <w:pStyle w:val="reference"/>
      </w:pPr>
      <w:bookmarkStart w:id="90" w:name="_Ref387301529"/>
      <w:r w:rsidRPr="001079E0">
        <w:rPr>
          <w:lang w:val="en-GB"/>
        </w:rPr>
        <w:t>ECC Decision(14)</w:t>
      </w:r>
      <w:r w:rsidRPr="00EE7851">
        <w:rPr>
          <w:lang w:val="en-GB"/>
        </w:rPr>
        <w:t>02</w:t>
      </w:r>
      <w:r w:rsidRPr="001079E0">
        <w:rPr>
          <w:lang w:val="en-GB"/>
        </w:rPr>
        <w:t>: Harmonised technical and regulatory conditions for the use of the band 2300-2400 MHz for Mobile/Fixed Communications Networks (MFCN)</w:t>
      </w:r>
      <w:bookmarkEnd w:id="90"/>
    </w:p>
    <w:p w:rsidR="00F243C6" w:rsidRDefault="00F243C6" w:rsidP="00F243C6">
      <w:pPr>
        <w:pStyle w:val="reference"/>
        <w:rPr>
          <w:lang w:val="en-GB"/>
        </w:rPr>
      </w:pPr>
      <w:bookmarkStart w:id="91" w:name="_Ref392685551"/>
      <w:bookmarkStart w:id="92" w:name="_Ref387301672"/>
      <w:r w:rsidRPr="00F243C6">
        <w:rPr>
          <w:lang w:val="en-GB"/>
        </w:rPr>
        <w:t>Results of the WG FM QUESTIONNAIRE to CEPT ADMINISTRATIONS on the current and future usage of frequency band 2300-2400 MHz</w:t>
      </w:r>
      <w:r w:rsidR="00931DD5">
        <w:rPr>
          <w:lang w:val="en-GB"/>
        </w:rPr>
        <w:t xml:space="preserve">, </w:t>
      </w:r>
      <w:hyperlink r:id="rId35" w:history="1">
        <w:r w:rsidR="00931DD5" w:rsidRPr="00931DD5">
          <w:rPr>
            <w:rStyle w:val="Hyperlink"/>
            <w:lang w:val="en-GB"/>
          </w:rPr>
          <w:t>responses from 2012</w:t>
        </w:r>
      </w:hyperlink>
      <w:r>
        <w:rPr>
          <w:lang w:val="en-GB"/>
        </w:rPr>
        <w:t>,</w:t>
      </w:r>
      <w:bookmarkEnd w:id="91"/>
      <w:r>
        <w:rPr>
          <w:lang w:val="en-GB"/>
        </w:rPr>
        <w:t xml:space="preserve"> </w:t>
      </w:r>
      <w:hyperlink r:id="rId36" w:history="1">
        <w:r w:rsidR="00931DD5" w:rsidRPr="00931DD5">
          <w:rPr>
            <w:rStyle w:val="Hyperlink"/>
            <w:lang w:val="en-GB"/>
          </w:rPr>
          <w:t>update in 2014</w:t>
        </w:r>
      </w:hyperlink>
    </w:p>
    <w:p w:rsidR="00EF44B1" w:rsidRPr="001079E0" w:rsidRDefault="00EF44B1" w:rsidP="00EF44B1">
      <w:pPr>
        <w:pStyle w:val="reference"/>
        <w:rPr>
          <w:lang w:val="en-GB"/>
        </w:rPr>
      </w:pPr>
      <w:bookmarkStart w:id="93" w:name="_Ref392682296"/>
      <w:r w:rsidRPr="001079E0">
        <w:rPr>
          <w:lang w:val="en-GB"/>
        </w:rPr>
        <w:t xml:space="preserve">RSPG Opinion on Licensed Shared Access, November 2013, </w:t>
      </w:r>
      <w:hyperlink r:id="rId37" w:history="1">
        <w:r w:rsidRPr="001079E0">
          <w:rPr>
            <w:rStyle w:val="Hyperlink"/>
            <w:szCs w:val="20"/>
            <w:lang w:val="en-GB"/>
          </w:rPr>
          <w:t>https://circabc.europa.eu/sd/d/3958ecef-c25e-4e4f-8e3b-469d1db6bc07/RSPG13-538_RSPG-Opinion-on-LSA%20.pdf</w:t>
        </w:r>
      </w:hyperlink>
      <w:bookmarkEnd w:id="92"/>
      <w:bookmarkEnd w:id="93"/>
    </w:p>
    <w:p w:rsidR="00EF44B1" w:rsidRDefault="00EF44B1" w:rsidP="00EF44B1">
      <w:pPr>
        <w:pStyle w:val="reference"/>
        <w:rPr>
          <w:lang w:val="en-GB"/>
        </w:rPr>
      </w:pPr>
      <w:bookmarkStart w:id="94" w:name="_Ref373423827"/>
      <w:bookmarkStart w:id="95" w:name="_Ref387301720"/>
      <w:r w:rsidRPr="001079E0">
        <w:rPr>
          <w:lang w:val="en-GB"/>
        </w:rPr>
        <w:t>ECC Report 205:</w:t>
      </w:r>
      <w:bookmarkEnd w:id="94"/>
      <w:r w:rsidRPr="001079E0">
        <w:rPr>
          <w:lang w:val="en-GB"/>
        </w:rPr>
        <w:t xml:space="preserve">  Licensed Shared Access (LSA)</w:t>
      </w:r>
      <w:bookmarkEnd w:id="95"/>
    </w:p>
    <w:p w:rsidR="005274B2" w:rsidRDefault="005274B2" w:rsidP="00EF44B1">
      <w:pPr>
        <w:pStyle w:val="reference"/>
        <w:rPr>
          <w:lang w:val="en-GB"/>
        </w:rPr>
      </w:pPr>
      <w:bookmarkStart w:id="96" w:name="_Ref373425452"/>
      <w:bookmarkStart w:id="97" w:name="_Ref377653985"/>
      <w:r w:rsidRPr="001079E0">
        <w:rPr>
          <w:lang w:val="en-GB"/>
        </w:rPr>
        <w:t>ECC Report 172:</w:t>
      </w:r>
      <w:bookmarkEnd w:id="96"/>
      <w:r w:rsidRPr="001079E0">
        <w:rPr>
          <w:lang w:val="en-GB"/>
        </w:rPr>
        <w:t xml:space="preserve"> Broadband Wireless Systems Usage in 2300-2400 MHz</w:t>
      </w:r>
      <w:bookmarkEnd w:id="97"/>
    </w:p>
    <w:p w:rsidR="00A575C5" w:rsidRPr="00A575C5" w:rsidRDefault="00A575C5" w:rsidP="00EF44B1">
      <w:pPr>
        <w:pStyle w:val="reference"/>
        <w:rPr>
          <w:lang w:val="en-GB"/>
        </w:rPr>
      </w:pPr>
      <w:bookmarkStart w:id="98" w:name="_Ref398291983"/>
      <w:r>
        <w:rPr>
          <w:lang w:val="en-GB"/>
        </w:rPr>
        <w:t xml:space="preserve">ETSI </w:t>
      </w:r>
      <w:r w:rsidRPr="001F7E75">
        <w:rPr>
          <w:szCs w:val="26"/>
          <w:lang w:val="en-GB"/>
        </w:rPr>
        <w:t xml:space="preserve">TR 103 113 (“System Reference Document </w:t>
      </w:r>
      <w:r>
        <w:rPr>
          <w:szCs w:val="26"/>
          <w:lang w:val="en-GB"/>
        </w:rPr>
        <w:t xml:space="preserve">on </w:t>
      </w:r>
      <w:r w:rsidRPr="001F7E75">
        <w:rPr>
          <w:szCs w:val="26"/>
          <w:lang w:val="en-GB"/>
        </w:rPr>
        <w:t xml:space="preserve"> Mobile broadband services in the 2300 – 2400 MHz frequency band under Licensed Shared Access regime</w:t>
      </w:r>
      <w:r w:rsidRPr="005E775D">
        <w:rPr>
          <w:szCs w:val="26"/>
          <w:lang w:val="en-GB"/>
        </w:rPr>
        <w:t>”)</w:t>
      </w:r>
      <w:bookmarkEnd w:id="98"/>
    </w:p>
    <w:p w:rsidR="00A575C5" w:rsidRPr="00A575C5" w:rsidRDefault="00A575C5" w:rsidP="00EF44B1">
      <w:pPr>
        <w:pStyle w:val="reference"/>
        <w:rPr>
          <w:lang w:val="en-GB"/>
        </w:rPr>
      </w:pPr>
      <w:bookmarkStart w:id="99" w:name="_Ref398292068"/>
      <w:r>
        <w:rPr>
          <w:szCs w:val="26"/>
          <w:lang w:val="en-GB"/>
        </w:rPr>
        <w:t>ERC Recommendation 25-10</w:t>
      </w:r>
      <w:bookmarkEnd w:id="99"/>
      <w:r w:rsidR="00426775">
        <w:rPr>
          <w:szCs w:val="26"/>
          <w:lang w:val="en-GB"/>
        </w:rPr>
        <w:t xml:space="preserve">: </w:t>
      </w:r>
      <w:r w:rsidR="00426775">
        <w:t>Frequency ranges for the use of temporary terrestrial audio and video SAP/SAB links (incl. ENG/OB)</w:t>
      </w:r>
    </w:p>
    <w:p w:rsidR="00A575C5" w:rsidRPr="00A575C5" w:rsidRDefault="00A575C5" w:rsidP="00EF44B1">
      <w:pPr>
        <w:pStyle w:val="reference"/>
        <w:rPr>
          <w:lang w:val="en-GB"/>
        </w:rPr>
      </w:pPr>
      <w:bookmarkStart w:id="100" w:name="_Ref398292079"/>
      <w:r>
        <w:rPr>
          <w:szCs w:val="26"/>
          <w:lang w:val="en-GB"/>
        </w:rPr>
        <w:t>ECC Report 204</w:t>
      </w:r>
      <w:bookmarkEnd w:id="100"/>
      <w:r w:rsidR="00426775">
        <w:rPr>
          <w:szCs w:val="26"/>
          <w:lang w:val="en-GB"/>
        </w:rPr>
        <w:t xml:space="preserve">: </w:t>
      </w:r>
      <w:r w:rsidR="00426775">
        <w:t>Spectrum use and future requirements for PMSE</w:t>
      </w:r>
    </w:p>
    <w:p w:rsidR="00A575C5" w:rsidRPr="002F06CE" w:rsidRDefault="00A575C5" w:rsidP="00EF44B1">
      <w:pPr>
        <w:pStyle w:val="reference"/>
        <w:rPr>
          <w:lang w:val="en-GB"/>
        </w:rPr>
      </w:pPr>
      <w:bookmarkStart w:id="101" w:name="_Ref398292091"/>
      <w:r>
        <w:rPr>
          <w:szCs w:val="26"/>
          <w:lang w:val="en-GB"/>
        </w:rPr>
        <w:t>CEPT Report 51</w:t>
      </w:r>
      <w:bookmarkEnd w:id="101"/>
      <w:r w:rsidR="00426775">
        <w:rPr>
          <w:szCs w:val="26"/>
          <w:lang w:val="en-GB"/>
        </w:rPr>
        <w:t xml:space="preserve">: </w:t>
      </w:r>
      <w:r w:rsidR="00426775">
        <w:t xml:space="preserve">Report B from CEPT to the European Commission in response to the Mandate “On technical conditions regarding spectrum </w:t>
      </w:r>
      <w:proofErr w:type="spellStart"/>
      <w:r w:rsidR="00426775">
        <w:t>harmonisation</w:t>
      </w:r>
      <w:proofErr w:type="spellEnd"/>
      <w:r w:rsidR="00426775">
        <w:t xml:space="preserve"> options for wireless radio microphones and cordless video-cameras” - </w:t>
      </w:r>
      <w:r w:rsidR="00E55147">
        <w:t>Technical conditions for ensuring the sustainable operation of cordless video-cameras</w:t>
      </w:r>
    </w:p>
    <w:p w:rsidR="002F06CE" w:rsidRDefault="002F06CE" w:rsidP="00EF44B1">
      <w:pPr>
        <w:pStyle w:val="reference"/>
        <w:rPr>
          <w:lang w:val="en-GB"/>
        </w:rPr>
      </w:pPr>
      <w:bookmarkStart w:id="102" w:name="_Ref398292147"/>
      <w:r>
        <w:rPr>
          <w:szCs w:val="26"/>
          <w:lang w:val="en-GB"/>
        </w:rPr>
        <w:t>ECC Report 219</w:t>
      </w:r>
      <w:bookmarkEnd w:id="102"/>
      <w:r w:rsidR="00E55147">
        <w:rPr>
          <w:szCs w:val="26"/>
          <w:lang w:val="en-GB"/>
        </w:rPr>
        <w:t xml:space="preserve">: </w:t>
      </w:r>
      <w:r w:rsidR="00E55147">
        <w:t>Characteristics of PMSE digital video links to be used in compatibility and sharing studies</w:t>
      </w:r>
    </w:p>
    <w:p w:rsidR="008C388B" w:rsidRPr="009B1024" w:rsidRDefault="002F5FCA" w:rsidP="008C388B">
      <w:pPr>
        <w:pStyle w:val="reference"/>
        <w:rPr>
          <w:lang w:val="en-GB"/>
        </w:rPr>
      </w:pPr>
      <w:hyperlink r:id="rId38" w:history="1">
        <w:bookmarkStart w:id="103" w:name="_Ref397699167"/>
        <w:r w:rsidR="008C388B" w:rsidRPr="009B1024">
          <w:rPr>
            <w:rStyle w:val="Hyperlink"/>
            <w:rFonts w:cs="Arial"/>
            <w:lang w:val="en-GB"/>
          </w:rPr>
          <w:t>http://www.tekes.fi/en/programmes-and-services/tekes-programmes/trial/</w:t>
        </w:r>
        <w:bookmarkEnd w:id="103"/>
      </w:hyperlink>
    </w:p>
    <w:p w:rsidR="008C388B" w:rsidRPr="009B1024" w:rsidRDefault="008C388B" w:rsidP="008C388B">
      <w:pPr>
        <w:pStyle w:val="reference"/>
        <w:rPr>
          <w:lang w:val="en-GB"/>
        </w:rPr>
      </w:pPr>
      <w:bookmarkStart w:id="104" w:name="_Ref397699419"/>
      <w:proofErr w:type="spellStart"/>
      <w:r w:rsidRPr="009B1024">
        <w:rPr>
          <w:lang w:val="en-GB"/>
        </w:rPr>
        <w:t>Palola</w:t>
      </w:r>
      <w:proofErr w:type="spellEnd"/>
      <w:r w:rsidRPr="009B1024">
        <w:rPr>
          <w:lang w:val="en-GB"/>
        </w:rPr>
        <w:t xml:space="preserve"> M. et al. “Licensed Shared Access (LSA) trial demonstration using real LTE network”, 9th International Conference on Cognitive Radio Oriented Wireless Networks and Communications (CROWNCOM), 2-4 June 2014, Oulu, Finland, pp. 498–502.</w:t>
      </w:r>
      <w:bookmarkEnd w:id="104"/>
    </w:p>
    <w:p w:rsidR="002F06CE" w:rsidRPr="009B1024" w:rsidRDefault="002F06CE" w:rsidP="008C388B">
      <w:pPr>
        <w:pStyle w:val="reference"/>
        <w:rPr>
          <w:lang w:val="en-GB"/>
        </w:rPr>
      </w:pPr>
      <w:bookmarkStart w:id="105" w:name="_Ref398292418"/>
      <w:r w:rsidRPr="009B1024">
        <w:rPr>
          <w:lang w:val="en-GB"/>
        </w:rPr>
        <w:t>ECC Report 100:</w:t>
      </w:r>
      <w:bookmarkEnd w:id="105"/>
      <w:r w:rsidRPr="009B1024">
        <w:rPr>
          <w:lang w:val="en-GB"/>
        </w:rPr>
        <w:t xml:space="preserve"> </w:t>
      </w:r>
      <w:r w:rsidR="00426775">
        <w:t>Compatibility studies in the band 3400- 3800 MHz between Broadband Wireless Access (BWA) systems and other services</w:t>
      </w:r>
    </w:p>
    <w:p w:rsidR="008C388B" w:rsidRPr="009B1024" w:rsidRDefault="00761F6C" w:rsidP="00EF44B1">
      <w:pPr>
        <w:pStyle w:val="reference"/>
        <w:rPr>
          <w:lang w:val="en-GB"/>
        </w:rPr>
      </w:pPr>
      <w:bookmarkStart w:id="106" w:name="_Ref398546163"/>
      <w:r w:rsidRPr="009B1024">
        <w:rPr>
          <w:lang w:val="en-GB"/>
        </w:rPr>
        <w:t>ITU Radio Regulations</w:t>
      </w:r>
      <w:bookmarkEnd w:id="106"/>
    </w:p>
    <w:p w:rsidR="00761F6C" w:rsidRPr="009B1024" w:rsidRDefault="00761F6C" w:rsidP="00EF44B1">
      <w:pPr>
        <w:pStyle w:val="reference"/>
        <w:rPr>
          <w:lang w:val="en-GB"/>
        </w:rPr>
      </w:pPr>
      <w:bookmarkStart w:id="107" w:name="_Ref398546217"/>
      <w:r w:rsidRPr="009B1024">
        <w:t>IARU Region-1 VHF Managers Handbook</w:t>
      </w:r>
      <w:bookmarkEnd w:id="107"/>
    </w:p>
    <w:p w:rsidR="00AB46DF" w:rsidRDefault="00AB46DF" w:rsidP="009B1024">
      <w:pPr>
        <w:pStyle w:val="reference"/>
        <w:numPr>
          <w:ilvl w:val="0"/>
          <w:numId w:val="0"/>
        </w:numPr>
        <w:ind w:left="397"/>
      </w:pPr>
    </w:p>
    <w:p w:rsidR="00AB46DF" w:rsidRPr="000A672F" w:rsidRDefault="00AB46DF" w:rsidP="00AB46DF">
      <w:pPr>
        <w:pStyle w:val="ECCParagraph"/>
      </w:pPr>
    </w:p>
    <w:sectPr w:rsidR="00AB46DF" w:rsidRPr="000A672F"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CA" w:rsidRDefault="002F5FCA" w:rsidP="00AB46DF">
      <w:r>
        <w:separator/>
      </w:r>
    </w:p>
  </w:endnote>
  <w:endnote w:type="continuationSeparator" w:id="0">
    <w:p w:rsidR="002F5FCA" w:rsidRDefault="002F5FCA"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CA" w:rsidRDefault="002F5FCA" w:rsidP="00AB46DF">
      <w:r>
        <w:separator/>
      </w:r>
    </w:p>
  </w:footnote>
  <w:footnote w:type="continuationSeparator" w:id="0">
    <w:p w:rsidR="002F5FCA" w:rsidRDefault="002F5FCA" w:rsidP="00AB46DF">
      <w:r>
        <w:continuationSeparator/>
      </w:r>
    </w:p>
  </w:footnote>
  <w:footnote w:id="1">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Decision 243/2012/EU of the European Parliament and of the Council of 14 March 2012</w:t>
      </w:r>
    </w:p>
  </w:footnote>
  <w:footnote w:id="2">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3">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RSPG12-521(rev1) "RSPG Opinion on Strategic Challenges facing Europe in addressing the Growing Spectrum Demand for Wireless Broadband"</w:t>
      </w:r>
    </w:p>
  </w:footnote>
  <w:footnote w:id="4">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RSPG13-538 "RSPG Opinion on Licensed Shared Access"</w:t>
      </w:r>
    </w:p>
  </w:footnote>
  <w:footnote w:id="5">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6">
    <w:p w:rsidR="0033647A" w:rsidRPr="001118EB" w:rsidRDefault="0033647A" w:rsidP="009B1024">
      <w:pPr>
        <w:pStyle w:val="Funotentext"/>
        <w:ind w:left="240" w:hanging="240"/>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7">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RSPG13-521(rev1) "RSPG Opinion on Strategic Challenges facing Europe in addressing the Growing Spectrum Demand for Wireless Broadband"</w:t>
      </w:r>
    </w:p>
  </w:footnote>
  <w:footnote w:id="8">
    <w:p w:rsidR="0033647A" w:rsidRPr="001118EB" w:rsidRDefault="0033647A" w:rsidP="009B1024">
      <w:pPr>
        <w:pStyle w:val="Funotentext"/>
        <w:rPr>
          <w:rFonts w:ascii="Times New Roman" w:hAnsi="Times New Roman"/>
        </w:rPr>
      </w:pPr>
      <w:r w:rsidRPr="001118EB">
        <w:rPr>
          <w:rStyle w:val="Funotenzeichen"/>
          <w:rFonts w:ascii="Times New Roman" w:hAnsi="Times New Roman"/>
        </w:rPr>
        <w:footnoteRef/>
      </w:r>
      <w:r w:rsidRPr="001118EB">
        <w:rPr>
          <w:rFonts w:ascii="Times New Roman" w:hAnsi="Times New Roman"/>
        </w:rPr>
        <w:t xml:space="preserve"> CEPT has set up activities  in September 2012, which are aimed at developing </w:t>
      </w:r>
      <w:proofErr w:type="spellStart"/>
      <w:r w:rsidRPr="001118EB">
        <w:rPr>
          <w:rFonts w:ascii="Times New Roman" w:hAnsi="Times New Roman"/>
        </w:rPr>
        <w:t>harmonised</w:t>
      </w:r>
      <w:proofErr w:type="spellEnd"/>
      <w:r w:rsidRPr="001118EB">
        <w:rPr>
          <w:rFonts w:ascii="Times New Roman" w:hAnsi="Times New Roman"/>
        </w:rPr>
        <w:t xml:space="preserve"> technical conditions for WBB in the 2.3 GHz band by the first half of 2014 (CEPT ECC WGs FM 52 on the 2300-2400 MHz band and FM 53 on RRS and LSA)</w:t>
      </w:r>
    </w:p>
  </w:footnote>
  <w:footnote w:id="9">
    <w:p w:rsidR="0033647A" w:rsidRPr="0004060E" w:rsidRDefault="0033647A" w:rsidP="009B1024">
      <w:pPr>
        <w:pStyle w:val="Funotentext"/>
        <w:rPr>
          <w:rFonts w:ascii="Times New Roman" w:hAnsi="Times New Roman"/>
        </w:rPr>
      </w:pPr>
      <w:r w:rsidRPr="0004060E">
        <w:rPr>
          <w:rStyle w:val="Funotenzeichen"/>
          <w:rFonts w:ascii="Times New Roman" w:hAnsi="Times New Roman"/>
        </w:rPr>
        <w:footnoteRef/>
      </w:r>
      <w:r w:rsidRPr="0004060E">
        <w:rPr>
          <w:rFonts w:ascii="Times New Roman" w:hAnsi="Times New Roman"/>
        </w:rPr>
        <w:t xml:space="preserve"> Such as the definition of appropriate BEMs (Block Edge Masks)</w:t>
      </w:r>
    </w:p>
  </w:footnote>
  <w:footnote w:id="10">
    <w:p w:rsidR="0033647A" w:rsidRPr="0004060E" w:rsidRDefault="0033647A" w:rsidP="009B1024">
      <w:pPr>
        <w:pStyle w:val="Funotentext"/>
        <w:rPr>
          <w:rFonts w:ascii="Times New Roman" w:hAnsi="Times New Roman"/>
        </w:rPr>
      </w:pPr>
      <w:r w:rsidRPr="0004060E">
        <w:rPr>
          <w:rStyle w:val="Funotenzeichen"/>
          <w:rFonts w:ascii="Times New Roman" w:hAnsi="Times New Roman"/>
        </w:rPr>
        <w:footnoteRef/>
      </w:r>
      <w:r w:rsidRPr="0004060E">
        <w:rPr>
          <w:rFonts w:ascii="Times New Roman" w:hAnsi="Times New Roman"/>
        </w:rPr>
        <w:t xml:space="preserve"> Subject to subsequent public consultation</w:t>
      </w:r>
    </w:p>
  </w:footnote>
  <w:footnote w:id="11">
    <w:p w:rsidR="0033647A" w:rsidRPr="0004060E" w:rsidRDefault="0033647A" w:rsidP="009B1024">
      <w:pPr>
        <w:pStyle w:val="Funotentext"/>
        <w:rPr>
          <w:rFonts w:ascii="Times New Roman" w:hAnsi="Times New Roman"/>
        </w:rPr>
      </w:pPr>
      <w:r w:rsidRPr="0004060E">
        <w:rPr>
          <w:rStyle w:val="Funotenzeichen"/>
          <w:rFonts w:ascii="Times New Roman" w:hAnsi="Times New Roman"/>
        </w:rPr>
        <w:footnoteRef/>
      </w:r>
      <w:r w:rsidRPr="0004060E">
        <w:rPr>
          <w:rFonts w:ascii="Times New Roman" w:hAnsi="Times New Roman"/>
        </w:rPr>
        <w:t xml:space="preserve"> Subject to subsequent public consultation</w:t>
      </w:r>
    </w:p>
  </w:footnote>
  <w:footnote w:id="12">
    <w:p w:rsidR="0033647A" w:rsidRPr="0004060E" w:rsidRDefault="0033647A" w:rsidP="009B1024">
      <w:pPr>
        <w:pStyle w:val="Funotentext"/>
        <w:rPr>
          <w:rFonts w:ascii="Times New Roman" w:hAnsi="Times New Roman"/>
        </w:rPr>
      </w:pPr>
      <w:r w:rsidRPr="0004060E">
        <w:rPr>
          <w:rStyle w:val="Funotenzeichen"/>
          <w:rFonts w:ascii="Times New Roman" w:hAnsi="Times New Roman"/>
        </w:rPr>
        <w:footnoteRef/>
      </w:r>
      <w:r w:rsidRPr="0004060E">
        <w:rPr>
          <w:rFonts w:ascii="Times New Roman" w:hAnsi="Times New Roman"/>
        </w:rPr>
        <w:t xml:space="preserve"> The final results under task 2.2(ii) will clarify the scope for technical and regulatory conditions that are relevant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such conditions are identified, the relevant results at this stage will serve as basis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not, and more work is required to identify relevant conditions within 2.2(ii), these will then be set out in an addendum to Report A submitted to the RSC no later than March 2015.</w:t>
      </w:r>
    </w:p>
  </w:footnote>
  <w:footnote w:id="13">
    <w:p w:rsidR="0033647A" w:rsidRPr="0004060E" w:rsidRDefault="0033647A" w:rsidP="009B1024">
      <w:pPr>
        <w:pStyle w:val="Funotentext"/>
        <w:rPr>
          <w:rFonts w:ascii="Times New Roman" w:hAnsi="Times New Roman"/>
        </w:rPr>
      </w:pPr>
      <w:r w:rsidRPr="0004060E">
        <w:rPr>
          <w:rStyle w:val="Funotenzeichen"/>
          <w:rFonts w:ascii="Times New Roman" w:hAnsi="Times New Roman"/>
        </w:rPr>
        <w:footnoteRef/>
      </w:r>
      <w:r w:rsidRPr="0004060E">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Pr="007C5F95" w:rsidRDefault="0033647A">
    <w:pPr>
      <w:pStyle w:val="Kopfzeile"/>
      <w:rPr>
        <w:b w:val="0"/>
        <w:lang w:val="da-DK"/>
      </w:rPr>
    </w:pPr>
    <w:r w:rsidRPr="007C5F95">
      <w:rPr>
        <w:b w:val="0"/>
        <w:lang w:val="da-DK"/>
      </w:rPr>
      <w:t>Draft ECC REPORT XXX</w:t>
    </w:r>
  </w:p>
  <w:p w:rsidR="0033647A" w:rsidRPr="007C5F95" w:rsidRDefault="0033647A">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0C0823">
      <w:rPr>
        <w:noProof/>
        <w:szCs w:val="16"/>
        <w:lang w:val="da-DK"/>
      </w:rPr>
      <w:t>41</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Pr="007C5F95" w:rsidRDefault="0033647A" w:rsidP="00AB46DF">
    <w:pPr>
      <w:pStyle w:val="Kopfzeile"/>
      <w:jc w:val="right"/>
      <w:rPr>
        <w:b w:val="0"/>
        <w:lang w:val="da-DK"/>
      </w:rPr>
    </w:pPr>
    <w:r w:rsidRPr="007C5F95">
      <w:rPr>
        <w:b w:val="0"/>
        <w:lang w:val="da-DK"/>
      </w:rPr>
      <w:t>Draft ECC REPORT XXX</w:t>
    </w:r>
  </w:p>
  <w:p w:rsidR="0033647A" w:rsidRPr="007C5F95" w:rsidRDefault="0033647A" w:rsidP="00AB46DF">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0C0823">
      <w:rPr>
        <w:noProof/>
        <w:szCs w:val="16"/>
        <w:lang w:val="da-DK"/>
      </w:rPr>
      <w:t>41</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Default="0033647A">
    <w:pPr>
      <w:pStyle w:val="Kopfzeile"/>
    </w:pPr>
    <w:r>
      <w:rPr>
        <w:noProof/>
        <w:szCs w:val="20"/>
        <w:lang w:val="en-GB" w:eastAsia="en-GB"/>
      </w:rPr>
      <w:drawing>
        <wp:anchor distT="0" distB="0" distL="114300" distR="114300" simplePos="0" relativeHeight="251658240" behindDoc="0" locked="0" layoutInCell="1" allowOverlap="1" wp14:anchorId="147C99ED" wp14:editId="0B29CE00">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5DD0929E" wp14:editId="25958F37">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Pr="007C5F95" w:rsidRDefault="0033647A">
    <w:pPr>
      <w:pStyle w:val="Kopfzeile"/>
      <w:rPr>
        <w:szCs w:val="16"/>
        <w:lang w:val="da-DK"/>
      </w:rPr>
    </w:pPr>
    <w:r>
      <w:rPr>
        <w:lang w:val="da-DK"/>
      </w:rPr>
      <w:t>CEPT 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9521D9" w:rsidRPr="009521D9">
      <w:rPr>
        <w:noProof/>
        <w:szCs w:val="16"/>
        <w:lang w:val="da-DK"/>
      </w:rPr>
      <w:t>40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Pr="007C5F95" w:rsidRDefault="0033647A" w:rsidP="00AB46DF">
    <w:pPr>
      <w:pStyle w:val="Kopfzeile"/>
      <w:jc w:val="right"/>
      <w:rPr>
        <w:szCs w:val="16"/>
        <w:lang w:val="da-DK"/>
      </w:rPr>
    </w:pPr>
    <w:r>
      <w:rPr>
        <w:lang w:val="da-DK"/>
      </w:rPr>
      <w:t>CEPT REPORT &lt;N</w:t>
    </w:r>
    <w:r w:rsidRPr="007C5F95">
      <w:rPr>
        <w:lang w:val="da-DK"/>
      </w:rPr>
      <w:t>o</w:t>
    </w:r>
    <w:r>
      <w:rPr>
        <w:lang w:val="da-DK"/>
      </w:rPr>
      <w:t>&gt;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9521D9" w:rsidRPr="009521D9">
      <w:rPr>
        <w:noProof/>
        <w:szCs w:val="16"/>
        <w:lang w:val="da-DK"/>
      </w:rPr>
      <w:t>39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A" w:rsidRPr="001223D0" w:rsidRDefault="0033647A" w:rsidP="00AB46DF">
    <w:pPr>
      <w:pStyle w:val="Kopfzeil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nsid w:val="2A0A7C33"/>
    <w:multiLevelType w:val="hybridMultilevel"/>
    <w:tmpl w:val="93384E60"/>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02CEEBD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9">
    <w:nsid w:val="428415E7"/>
    <w:multiLevelType w:val="multilevel"/>
    <w:tmpl w:val="00CA7CC2"/>
    <w:lvl w:ilvl="0">
      <w:start w:val="1"/>
      <w:numFmt w:val="none"/>
      <w:pStyle w:val="Listennummer"/>
      <w:lvlText w:val="1.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4BD0BEC"/>
    <w:multiLevelType w:val="singleLevel"/>
    <w:tmpl w:val="72D6F376"/>
    <w:lvl w:ilvl="0">
      <w:start w:val="1"/>
      <w:numFmt w:val="bullet"/>
      <w:pStyle w:val="Aufzhlungszeichen"/>
      <w:lvlText w:val=""/>
      <w:lvlJc w:val="left"/>
      <w:pPr>
        <w:tabs>
          <w:tab w:val="num" w:pos="283"/>
        </w:tabs>
        <w:ind w:left="283" w:hanging="283"/>
      </w:pPr>
      <w:rPr>
        <w:rFonts w:ascii="Symbol" w:hAnsi="Symbol"/>
      </w:rPr>
    </w:lvl>
  </w:abstractNum>
  <w:abstractNum w:abstractNumId="14">
    <w:nsid w:val="707767BF"/>
    <w:multiLevelType w:val="multilevel"/>
    <w:tmpl w:val="634E45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4"/>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5"/>
  </w:num>
  <w:num w:numId="3">
    <w:abstractNumId w:val="12"/>
  </w:num>
  <w:num w:numId="4">
    <w:abstractNumId w:val="2"/>
  </w:num>
  <w:num w:numId="5">
    <w:abstractNumId w:val="11"/>
  </w:num>
  <w:num w:numId="6">
    <w:abstractNumId w:val="11"/>
    <w:lvlOverride w:ilvl="0">
      <w:startOverride w:val="1"/>
    </w:lvlOverride>
  </w:num>
  <w:num w:numId="7">
    <w:abstractNumId w:val="1"/>
  </w:num>
  <w:num w:numId="8">
    <w:abstractNumId w:val="7"/>
  </w:num>
  <w:num w:numId="9">
    <w:abstractNumId w:val="3"/>
  </w:num>
  <w:num w:numId="10">
    <w:abstractNumId w:val="8"/>
  </w:num>
  <w:num w:numId="11">
    <w:abstractNumId w:val="4"/>
  </w:num>
  <w:num w:numId="12">
    <w:abstractNumId w:val="0"/>
  </w:num>
  <w:num w:numId="13">
    <w:abstractNumId w:val="1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71"/>
    <w:rsid w:val="0002231D"/>
    <w:rsid w:val="00033DA6"/>
    <w:rsid w:val="00034334"/>
    <w:rsid w:val="00034A77"/>
    <w:rsid w:val="00055333"/>
    <w:rsid w:val="000646A1"/>
    <w:rsid w:val="00080AF2"/>
    <w:rsid w:val="000B4A4C"/>
    <w:rsid w:val="000C0823"/>
    <w:rsid w:val="000C30BC"/>
    <w:rsid w:val="000E5580"/>
    <w:rsid w:val="000E5D81"/>
    <w:rsid w:val="00160E7B"/>
    <w:rsid w:val="0016187F"/>
    <w:rsid w:val="001E1D91"/>
    <w:rsid w:val="00206F31"/>
    <w:rsid w:val="00216BE1"/>
    <w:rsid w:val="0021730D"/>
    <w:rsid w:val="002209A7"/>
    <w:rsid w:val="00252930"/>
    <w:rsid w:val="002B3C2E"/>
    <w:rsid w:val="002B5370"/>
    <w:rsid w:val="002B60AD"/>
    <w:rsid w:val="002B62F1"/>
    <w:rsid w:val="002D34D3"/>
    <w:rsid w:val="002F06CE"/>
    <w:rsid w:val="002F5FCA"/>
    <w:rsid w:val="0030749F"/>
    <w:rsid w:val="0031143C"/>
    <w:rsid w:val="00314292"/>
    <w:rsid w:val="00323711"/>
    <w:rsid w:val="0033647A"/>
    <w:rsid w:val="00340B1C"/>
    <w:rsid w:val="003A1282"/>
    <w:rsid w:val="003C3EE4"/>
    <w:rsid w:val="00411F0B"/>
    <w:rsid w:val="00413E8A"/>
    <w:rsid w:val="00415A78"/>
    <w:rsid w:val="00426775"/>
    <w:rsid w:val="00430FB7"/>
    <w:rsid w:val="00443B2F"/>
    <w:rsid w:val="004554E8"/>
    <w:rsid w:val="00465045"/>
    <w:rsid w:val="0046658E"/>
    <w:rsid w:val="004866A1"/>
    <w:rsid w:val="004A4A1F"/>
    <w:rsid w:val="004B147B"/>
    <w:rsid w:val="004D2248"/>
    <w:rsid w:val="004D22A8"/>
    <w:rsid w:val="004D3F4A"/>
    <w:rsid w:val="004D75CE"/>
    <w:rsid w:val="004E7799"/>
    <w:rsid w:val="004F0586"/>
    <w:rsid w:val="004F1D78"/>
    <w:rsid w:val="00501BF1"/>
    <w:rsid w:val="00512677"/>
    <w:rsid w:val="005274B2"/>
    <w:rsid w:val="00535FF1"/>
    <w:rsid w:val="005453D9"/>
    <w:rsid w:val="005473EB"/>
    <w:rsid w:val="00552E4B"/>
    <w:rsid w:val="005723E3"/>
    <w:rsid w:val="005B21B7"/>
    <w:rsid w:val="005B2F4B"/>
    <w:rsid w:val="005D637C"/>
    <w:rsid w:val="005E1143"/>
    <w:rsid w:val="005E1BCA"/>
    <w:rsid w:val="005E3863"/>
    <w:rsid w:val="005E4073"/>
    <w:rsid w:val="00622848"/>
    <w:rsid w:val="00631CCB"/>
    <w:rsid w:val="00635F23"/>
    <w:rsid w:val="00643482"/>
    <w:rsid w:val="00645136"/>
    <w:rsid w:val="0065027B"/>
    <w:rsid w:val="0065164F"/>
    <w:rsid w:val="00652891"/>
    <w:rsid w:val="006A715F"/>
    <w:rsid w:val="006B2006"/>
    <w:rsid w:val="006F5883"/>
    <w:rsid w:val="006F6FE5"/>
    <w:rsid w:val="007168E7"/>
    <w:rsid w:val="0072214A"/>
    <w:rsid w:val="0073230C"/>
    <w:rsid w:val="00732EC8"/>
    <w:rsid w:val="00740CFD"/>
    <w:rsid w:val="007472DB"/>
    <w:rsid w:val="0075101E"/>
    <w:rsid w:val="00761F6C"/>
    <w:rsid w:val="007F1C68"/>
    <w:rsid w:val="00824493"/>
    <w:rsid w:val="00827DF6"/>
    <w:rsid w:val="00833580"/>
    <w:rsid w:val="00844645"/>
    <w:rsid w:val="00860A3A"/>
    <w:rsid w:val="008B2BF7"/>
    <w:rsid w:val="008B5064"/>
    <w:rsid w:val="008C0390"/>
    <w:rsid w:val="008C2629"/>
    <w:rsid w:val="008C388B"/>
    <w:rsid w:val="008C6AA6"/>
    <w:rsid w:val="008F567E"/>
    <w:rsid w:val="009222B0"/>
    <w:rsid w:val="00931DD5"/>
    <w:rsid w:val="009521D9"/>
    <w:rsid w:val="00967D82"/>
    <w:rsid w:val="00991179"/>
    <w:rsid w:val="009B1024"/>
    <w:rsid w:val="009B12A5"/>
    <w:rsid w:val="009B3C79"/>
    <w:rsid w:val="009D65CA"/>
    <w:rsid w:val="009F28B3"/>
    <w:rsid w:val="00A46169"/>
    <w:rsid w:val="00A575C5"/>
    <w:rsid w:val="00A66B7B"/>
    <w:rsid w:val="00AB46DF"/>
    <w:rsid w:val="00AC1109"/>
    <w:rsid w:val="00B02F63"/>
    <w:rsid w:val="00B14401"/>
    <w:rsid w:val="00B2452B"/>
    <w:rsid w:val="00B35A92"/>
    <w:rsid w:val="00B52438"/>
    <w:rsid w:val="00B52EE1"/>
    <w:rsid w:val="00B75871"/>
    <w:rsid w:val="00B84EAD"/>
    <w:rsid w:val="00B87CAB"/>
    <w:rsid w:val="00BB1670"/>
    <w:rsid w:val="00BC349C"/>
    <w:rsid w:val="00BD25B0"/>
    <w:rsid w:val="00BE13CF"/>
    <w:rsid w:val="00BE611C"/>
    <w:rsid w:val="00BF3779"/>
    <w:rsid w:val="00BF4D1F"/>
    <w:rsid w:val="00BF792A"/>
    <w:rsid w:val="00C039F5"/>
    <w:rsid w:val="00C079CF"/>
    <w:rsid w:val="00C16CD9"/>
    <w:rsid w:val="00C179DA"/>
    <w:rsid w:val="00C264D0"/>
    <w:rsid w:val="00C27676"/>
    <w:rsid w:val="00C72C96"/>
    <w:rsid w:val="00C81566"/>
    <w:rsid w:val="00CB04DE"/>
    <w:rsid w:val="00D02C71"/>
    <w:rsid w:val="00D07572"/>
    <w:rsid w:val="00D20E3B"/>
    <w:rsid w:val="00D50423"/>
    <w:rsid w:val="00DE1DD4"/>
    <w:rsid w:val="00DE6353"/>
    <w:rsid w:val="00E24A22"/>
    <w:rsid w:val="00E32DD0"/>
    <w:rsid w:val="00E34519"/>
    <w:rsid w:val="00E4274A"/>
    <w:rsid w:val="00E55147"/>
    <w:rsid w:val="00E55C61"/>
    <w:rsid w:val="00E71F33"/>
    <w:rsid w:val="00EF44B1"/>
    <w:rsid w:val="00F0623F"/>
    <w:rsid w:val="00F15F0D"/>
    <w:rsid w:val="00F243C6"/>
    <w:rsid w:val="00F52A01"/>
    <w:rsid w:val="00F647A5"/>
    <w:rsid w:val="00F70EE6"/>
    <w:rsid w:val="00F749D7"/>
    <w:rsid w:val="00F91F84"/>
    <w:rsid w:val="00FA19D0"/>
    <w:rsid w:val="00FC336F"/>
    <w:rsid w:val="00FF2AF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link w:val="berschrift2Zchn"/>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E1DD4"/>
    <w:pPr>
      <w:numPr>
        <w:ilvl w:val="2"/>
        <w:numId w:val="13"/>
      </w:numPr>
      <w:tabs>
        <w:tab w:val="clear" w:pos="720"/>
        <w:tab w:val="num" w:pos="864"/>
      </w:tabs>
      <w:spacing w:before="360" w:after="120"/>
      <w:ind w:left="864" w:hanging="864"/>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link w:val="ECCParagraphChar"/>
    <w:uiPriority w:val="99"/>
    <w:qFormat/>
    <w:rsid w:val="004E66F0"/>
    <w:pPr>
      <w:spacing w:after="240"/>
      <w:jc w:val="both"/>
    </w:pPr>
    <w:rPr>
      <w:lang w:val="en-GB"/>
    </w:rPr>
  </w:style>
  <w:style w:type="paragraph" w:styleId="Kopfzeile">
    <w:name w:val="header"/>
    <w:basedOn w:val="Standard"/>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footnote text,ALTS FOOTNOTE,Footnote Text Char1 Char,Footnote Text Char Char Char,ALTS FOOTNOTE Char Char Char,footnote text Char Char Char,Footnote Text Char3 Char Char Char,Footnote Text Char2 Char Char Char Char"/>
    <w:basedOn w:val="Standard"/>
    <w:link w:val="FunotentextZchn"/>
    <w:rsid w:val="008935B9"/>
    <w:rPr>
      <w:szCs w:val="20"/>
    </w:rPr>
  </w:style>
  <w:style w:type="character" w:styleId="Funotenzeichen">
    <w:name w:val="footnote reference"/>
    <w:aliases w:val="Fussnotenzeichen,Appel note de bas de p,Nota,Footnote symbol,Footnote,Footnote Reference/,Style 12,(NECG) Footnote Reference,Style 124,o,fr,Style 13,FR,Style 17,Style 3,Appel note de bas de p + 11 pt,Italic,Black"/>
    <w:basedOn w:val="Absatz-Standardschriftart"/>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9"/>
      </w:numPr>
    </w:pPr>
  </w:style>
  <w:style w:type="paragraph" w:customStyle="1" w:styleId="ECCNumberedBullets">
    <w:name w:val="ECC Numbered Bullets"/>
    <w:basedOn w:val="Standard"/>
    <w:rsid w:val="00D20E3B"/>
    <w:pPr>
      <w:numPr>
        <w:numId w:val="8"/>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2B5370"/>
    <w:rPr>
      <w:rFonts w:ascii="Arial" w:hAnsi="Arial"/>
      <w:szCs w:val="24"/>
    </w:rPr>
  </w:style>
  <w:style w:type="character" w:customStyle="1" w:styleId="berschrift2Zchn">
    <w:name w:val="Überschrift 2 Zchn"/>
    <w:aliases w:val="ECC Heading 2 Zchn"/>
    <w:basedOn w:val="Absatz-Standardschriftart"/>
    <w:link w:val="berschrift2"/>
    <w:rsid w:val="00EF44B1"/>
    <w:rPr>
      <w:rFonts w:ascii="Arial" w:hAnsi="Arial" w:cs="Arial"/>
      <w:b/>
      <w:bCs/>
      <w:iCs/>
      <w:caps/>
      <w:szCs w:val="28"/>
      <w:lang w:val="en-US"/>
    </w:rPr>
  </w:style>
  <w:style w:type="paragraph" w:customStyle="1" w:styleId="ECCParBulleted">
    <w:name w:val="ECC Par Bulleted"/>
    <w:basedOn w:val="ECCParagraph"/>
    <w:rsid w:val="00EF44B1"/>
    <w:pPr>
      <w:numPr>
        <w:numId w:val="10"/>
      </w:numPr>
      <w:spacing w:after="120"/>
      <w:ind w:left="0" w:firstLine="0"/>
    </w:pPr>
  </w:style>
  <w:style w:type="paragraph" w:styleId="KeinLeerraum">
    <w:name w:val="No Spacing"/>
    <w:uiPriority w:val="1"/>
    <w:qFormat/>
    <w:rsid w:val="00252930"/>
    <w:pPr>
      <w:jc w:val="both"/>
    </w:pPr>
    <w:rPr>
      <w:rFonts w:ascii="Arial" w:hAnsi="Arial"/>
      <w:sz w:val="22"/>
      <w:lang w:val="nb-NO" w:eastAsia="de-DE"/>
    </w:rPr>
  </w:style>
  <w:style w:type="paragraph" w:styleId="Listenabsatz">
    <w:name w:val="List Paragraph"/>
    <w:basedOn w:val="Standard"/>
    <w:uiPriority w:val="34"/>
    <w:qFormat/>
    <w:rsid w:val="005274B2"/>
    <w:pPr>
      <w:spacing w:after="120"/>
      <w:ind w:left="720"/>
      <w:contextualSpacing/>
      <w:jc w:val="both"/>
    </w:pPr>
    <w:rPr>
      <w:sz w:val="22"/>
      <w:szCs w:val="20"/>
      <w:lang w:val="nb-NO" w:eastAsia="de-DE"/>
    </w:rPr>
  </w:style>
  <w:style w:type="character" w:styleId="Kommentarzeichen">
    <w:name w:val="annotation reference"/>
    <w:basedOn w:val="Absatz-Standardschriftart"/>
    <w:uiPriority w:val="99"/>
    <w:semiHidden/>
    <w:unhideWhenUsed/>
    <w:rsid w:val="005274B2"/>
    <w:rPr>
      <w:sz w:val="16"/>
      <w:szCs w:val="16"/>
    </w:rPr>
  </w:style>
  <w:style w:type="paragraph" w:styleId="Kommentartext">
    <w:name w:val="annotation text"/>
    <w:basedOn w:val="Standard"/>
    <w:link w:val="KommentartextZchn"/>
    <w:uiPriority w:val="99"/>
    <w:semiHidden/>
    <w:unhideWhenUsed/>
    <w:rsid w:val="005274B2"/>
    <w:rPr>
      <w:szCs w:val="20"/>
    </w:rPr>
  </w:style>
  <w:style w:type="character" w:customStyle="1" w:styleId="KommentartextZchn">
    <w:name w:val="Kommentartext Zchn"/>
    <w:basedOn w:val="Absatz-Standardschriftart"/>
    <w:link w:val="Kommentartext"/>
    <w:uiPriority w:val="99"/>
    <w:semiHidden/>
    <w:rsid w:val="005274B2"/>
    <w:rPr>
      <w:rFonts w:ascii="Arial" w:hAnsi="Arial"/>
      <w:lang w:val="en-US"/>
    </w:rPr>
  </w:style>
  <w:style w:type="paragraph" w:styleId="Beschriftung">
    <w:name w:val="caption"/>
    <w:aliases w:val="ECC Caption"/>
    <w:basedOn w:val="Standard"/>
    <w:next w:val="Standard"/>
    <w:uiPriority w:val="99"/>
    <w:unhideWhenUsed/>
    <w:qFormat/>
    <w:rsid w:val="005274B2"/>
    <w:pPr>
      <w:spacing w:before="240" w:after="240"/>
      <w:jc w:val="center"/>
    </w:pPr>
    <w:rPr>
      <w:b/>
      <w:bCs/>
      <w:color w:val="D2232A"/>
      <w:szCs w:val="20"/>
    </w:rPr>
  </w:style>
  <w:style w:type="paragraph" w:customStyle="1" w:styleId="ECCAnnex-heading1">
    <w:name w:val="ECC Annex - heading1"/>
    <w:basedOn w:val="berschrift1"/>
    <w:next w:val="ECCParagraph"/>
    <w:rsid w:val="005274B2"/>
    <w:pPr>
      <w:numPr>
        <w:numId w:val="0"/>
      </w:numPr>
      <w:tabs>
        <w:tab w:val="num" w:pos="360"/>
      </w:tabs>
      <w:spacing w:before="400"/>
    </w:pPr>
    <w:rPr>
      <w:bCs w:val="0"/>
    </w:rPr>
  </w:style>
  <w:style w:type="character" w:customStyle="1" w:styleId="hps">
    <w:name w:val="hps"/>
    <w:basedOn w:val="Absatz-Standardschriftart"/>
    <w:rsid w:val="005274B2"/>
  </w:style>
  <w:style w:type="character" w:customStyle="1" w:styleId="atn">
    <w:name w:val="atn"/>
    <w:basedOn w:val="Absatz-Standardschriftart"/>
    <w:rsid w:val="005274B2"/>
  </w:style>
  <w:style w:type="character" w:customStyle="1" w:styleId="berschrift3Zchn">
    <w:name w:val="Überschrift 3 Zchn"/>
    <w:aliases w:val="ECC Heading 3 Zchn"/>
    <w:basedOn w:val="Absatz-Standardschriftart"/>
    <w:link w:val="berschrift3"/>
    <w:rsid w:val="005274B2"/>
    <w:rPr>
      <w:rFonts w:ascii="Arial" w:hAnsi="Arial" w:cs="Arial"/>
      <w:b/>
      <w:bCs/>
      <w:szCs w:val="26"/>
      <w:lang w:val="en-US"/>
    </w:rPr>
  </w:style>
  <w:style w:type="paragraph" w:customStyle="1" w:styleId="ECCEditorsNote">
    <w:name w:val="ECC Editor's Note"/>
    <w:next w:val="ECCParagraph"/>
    <w:rsid w:val="00415A78"/>
    <w:pPr>
      <w:numPr>
        <w:numId w:val="11"/>
      </w:numPr>
      <w:shd w:val="clear" w:color="auto" w:fill="FFFF00"/>
      <w:spacing w:before="240" w:after="240"/>
      <w:jc w:val="both"/>
    </w:pPr>
    <w:rPr>
      <w:rFonts w:ascii="Arial" w:hAnsi="Arial"/>
      <w:szCs w:val="22"/>
      <w:lang w:val="da-DK" w:eastAsia="de-DE"/>
    </w:rPr>
  </w:style>
  <w:style w:type="character" w:customStyle="1" w:styleId="ECCParagraphZchn">
    <w:name w:val="ECC Paragraph Zchn"/>
    <w:basedOn w:val="Absatz-Standardschriftart"/>
    <w:rsid w:val="00415A78"/>
    <w:rPr>
      <w:rFonts w:eastAsia="Calibri"/>
      <w:szCs w:val="22"/>
      <w:lang w:val="en-GB"/>
    </w:rPr>
  </w:style>
  <w:style w:type="paragraph" w:customStyle="1" w:styleId="ECCBulletsLv1">
    <w:name w:val="ECC Bullets Lv1"/>
    <w:basedOn w:val="ECCParagraph"/>
    <w:rsid w:val="00415A78"/>
    <w:pPr>
      <w:numPr>
        <w:numId w:val="12"/>
      </w:numPr>
      <w:tabs>
        <w:tab w:val="left" w:pos="340"/>
      </w:tabs>
      <w:spacing w:before="60" w:after="0"/>
    </w:pPr>
    <w:rPr>
      <w:rFonts w:eastAsia="Calibri"/>
      <w:szCs w:val="22"/>
    </w:rPr>
  </w:style>
  <w:style w:type="character" w:customStyle="1" w:styleId="ECCHLcyan">
    <w:name w:val="ECC HL cyan"/>
    <w:basedOn w:val="Absatz-Standardschriftart"/>
    <w:uiPriority w:val="1"/>
    <w:qFormat/>
    <w:rsid w:val="00415A78"/>
    <w:rPr>
      <w:iCs w:val="0"/>
      <w:bdr w:val="none" w:sz="0" w:space="0" w:color="auto"/>
      <w:shd w:val="clear" w:color="auto" w:fill="00FFFF"/>
      <w:lang w:val="en-GB"/>
    </w:rPr>
  </w:style>
  <w:style w:type="paragraph" w:customStyle="1" w:styleId="Kopfzeile1">
    <w:name w:val="Kopfzeile1"/>
    <w:basedOn w:val="Kopfzeile"/>
    <w:rsid w:val="008F567E"/>
    <w:pPr>
      <w:tabs>
        <w:tab w:val="clear" w:pos="4320"/>
        <w:tab w:val="clear" w:pos="8640"/>
        <w:tab w:val="center" w:pos="4536"/>
        <w:tab w:val="right" w:pos="9072"/>
      </w:tabs>
    </w:pPr>
    <w:rPr>
      <w:sz w:val="22"/>
      <w:szCs w:val="20"/>
      <w:lang w:val="nb-NO" w:eastAsia="de-DE"/>
    </w:rPr>
  </w:style>
  <w:style w:type="table" w:customStyle="1" w:styleId="Grilledutableau1">
    <w:name w:val="Grille du tableau1"/>
    <w:basedOn w:val="NormaleTabelle"/>
    <w:next w:val="Tabellenraster"/>
    <w:uiPriority w:val="59"/>
    <w:rsid w:val="00DE1DD4"/>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2">
    <w:name w:val="Light List Accent 2"/>
    <w:basedOn w:val="NormaleTabelle"/>
    <w:uiPriority w:val="61"/>
    <w:rsid w:val="00844645"/>
    <w:rPr>
      <w:rFonts w:asciiTheme="minorHAnsi" w:eastAsiaTheme="minorHAnsi" w:hAnsiTheme="minorHAnsi" w:cstheme="minorBidi"/>
      <w:sz w:val="22"/>
      <w:szCs w:val="22"/>
      <w:lang w:val="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Kommentarthema">
    <w:name w:val="annotation subject"/>
    <w:basedOn w:val="Kommentartext"/>
    <w:next w:val="Kommentartext"/>
    <w:link w:val="KommentarthemaZchn"/>
    <w:uiPriority w:val="99"/>
    <w:semiHidden/>
    <w:unhideWhenUsed/>
    <w:rsid w:val="00465045"/>
    <w:rPr>
      <w:b/>
      <w:bCs/>
    </w:rPr>
  </w:style>
  <w:style w:type="character" w:customStyle="1" w:styleId="KommentarthemaZchn">
    <w:name w:val="Kommentarthema Zchn"/>
    <w:basedOn w:val="KommentartextZchn"/>
    <w:link w:val="Kommentarthema"/>
    <w:uiPriority w:val="99"/>
    <w:semiHidden/>
    <w:rsid w:val="00465045"/>
    <w:rPr>
      <w:rFonts w:ascii="Arial" w:hAnsi="Arial"/>
      <w:b/>
      <w:bCs/>
      <w:lang w:val="en-US"/>
    </w:rPr>
  </w:style>
  <w:style w:type="paragraph" w:customStyle="1" w:styleId="ECCNumberedList">
    <w:name w:val="ECC Numbered List"/>
    <w:basedOn w:val="ECCParagraph"/>
    <w:rsid w:val="00AC1109"/>
    <w:pPr>
      <w:numPr>
        <w:numId w:val="14"/>
      </w:numPr>
      <w:spacing w:after="0"/>
      <w:jc w:val="left"/>
    </w:pPr>
    <w:rPr>
      <w:szCs w:val="20"/>
      <w:lang w:val="en-US"/>
    </w:rPr>
  </w:style>
  <w:style w:type="paragraph" w:customStyle="1" w:styleId="ECCFiguregraphcentered">
    <w:name w:val="ECC Figure/graph centered"/>
    <w:next w:val="ECCParagraph"/>
    <w:rsid w:val="00AC1109"/>
    <w:pPr>
      <w:spacing w:before="240" w:after="240"/>
      <w:jc w:val="center"/>
    </w:pPr>
    <w:rPr>
      <w:rFonts w:ascii="Arial" w:eastAsia="Calibri" w:hAnsi="Arial"/>
      <w:noProof/>
      <w:lang w:val="de-DE" w:eastAsia="de-DE"/>
      <w14:cntxtAlts/>
    </w:rPr>
  </w:style>
  <w:style w:type="paragraph" w:customStyle="1" w:styleId="ECCTableHeaderwhitefont">
    <w:name w:val="ECC Table Header white font"/>
    <w:basedOn w:val="ECCTableHeaderredfont"/>
    <w:qFormat/>
    <w:rsid w:val="00AC1109"/>
    <w:rPr>
      <w:color w:val="FFFFFF" w:themeColor="background1"/>
    </w:rPr>
  </w:style>
  <w:style w:type="paragraph" w:customStyle="1" w:styleId="ECCTabletext">
    <w:name w:val="ECC Table text"/>
    <w:basedOn w:val="ECCParagraph"/>
    <w:qFormat/>
    <w:rsid w:val="00AC1109"/>
    <w:pPr>
      <w:spacing w:after="0"/>
      <w:jc w:val="left"/>
    </w:pPr>
    <w:rPr>
      <w:lang w:val="en-US"/>
    </w:rPr>
  </w:style>
  <w:style w:type="paragraph" w:customStyle="1" w:styleId="ECCTableHeaderredfont">
    <w:name w:val="ECC Table Header red font"/>
    <w:qFormat/>
    <w:rsid w:val="00AC1109"/>
    <w:pPr>
      <w:spacing w:before="120" w:after="60"/>
    </w:pPr>
    <w:rPr>
      <w:rFonts w:ascii="Arial" w:eastAsia="Calibri" w:hAnsi="Arial"/>
      <w:b/>
      <w:bCs/>
      <w:color w:val="D2232A"/>
    </w:rPr>
  </w:style>
  <w:style w:type="table" w:customStyle="1" w:styleId="ECCTable-redheader">
    <w:name w:val="ECC Table - red header"/>
    <w:basedOn w:val="NormaleTabelle"/>
    <w:uiPriority w:val="99"/>
    <w:rsid w:val="00AC1109"/>
    <w:pPr>
      <w:spacing w:before="60" w:after="60"/>
    </w:pPr>
    <w:rPr>
      <w:rFonts w:ascii="Arial" w:eastAsia="Calibri" w:hAnsi="Arial"/>
      <w:lang w:val="da-DK"/>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styleId="NurText">
    <w:name w:val="Plain Text"/>
    <w:basedOn w:val="Standard"/>
    <w:link w:val="NurTextZchn"/>
    <w:uiPriority w:val="99"/>
    <w:semiHidden/>
    <w:unhideWhenUsed/>
    <w:rsid w:val="00413E8A"/>
    <w:rPr>
      <w:rFonts w:ascii="Calibri" w:eastAsiaTheme="minorHAnsi" w:hAnsi="Calibri" w:cs="Consolas"/>
      <w:sz w:val="22"/>
      <w:szCs w:val="21"/>
      <w:lang w:val="da-DK"/>
    </w:rPr>
  </w:style>
  <w:style w:type="character" w:customStyle="1" w:styleId="NurTextZchn">
    <w:name w:val="Nur Text Zchn"/>
    <w:basedOn w:val="Absatz-Standardschriftart"/>
    <w:link w:val="NurText"/>
    <w:uiPriority w:val="99"/>
    <w:semiHidden/>
    <w:rsid w:val="00413E8A"/>
    <w:rPr>
      <w:rFonts w:ascii="Calibri" w:eastAsiaTheme="minorHAnsi" w:hAnsi="Calibri" w:cs="Consolas"/>
      <w:sz w:val="22"/>
      <w:szCs w:val="21"/>
      <w:lang w:val="da-DK"/>
    </w:rPr>
  </w:style>
  <w:style w:type="character" w:customStyle="1" w:styleId="FunotentextZchn">
    <w:name w:val="Fußnotentext Zchn"/>
    <w:aliases w:val="footnote text Zchn,ALTS FOOTNOTE Zchn,Footnote Text Char1 Char Zchn,Footnote Text Char Char Char Zchn,ALTS FOOTNOTE Char Char Char Zchn,footnote text Char Char Char Zchn,Footnote Text Char3 Char Char Char Zchn"/>
    <w:link w:val="Funotentext"/>
    <w:rsid w:val="009B1024"/>
    <w:rPr>
      <w:rFonts w:ascii="Arial" w:hAnsi="Arial"/>
      <w:lang w:val="en-US"/>
    </w:rPr>
  </w:style>
  <w:style w:type="paragraph" w:customStyle="1" w:styleId="Text1">
    <w:name w:val="Text 1"/>
    <w:basedOn w:val="Standard"/>
    <w:rsid w:val="009B1024"/>
    <w:pPr>
      <w:spacing w:after="240"/>
      <w:ind w:left="482"/>
      <w:jc w:val="both"/>
    </w:pPr>
    <w:rPr>
      <w:rFonts w:ascii="Times New Roman" w:hAnsi="Times New Roman"/>
      <w:sz w:val="24"/>
      <w:szCs w:val="20"/>
      <w:lang w:val="en-GB" w:eastAsia="fr-BE"/>
    </w:rPr>
  </w:style>
  <w:style w:type="paragraph" w:styleId="Aufzhlungszeichen">
    <w:name w:val="List Bullet"/>
    <w:basedOn w:val="Standard"/>
    <w:rsid w:val="009B1024"/>
    <w:pPr>
      <w:numPr>
        <w:numId w:val="16"/>
      </w:numPr>
      <w:spacing w:after="240"/>
      <w:jc w:val="both"/>
    </w:pPr>
    <w:rPr>
      <w:rFonts w:ascii="Times New Roman" w:hAnsi="Times New Roman"/>
      <w:sz w:val="24"/>
      <w:szCs w:val="20"/>
      <w:lang w:val="en-GB" w:eastAsia="fr-BE"/>
    </w:rPr>
  </w:style>
  <w:style w:type="paragraph" w:styleId="Listennummer">
    <w:name w:val="List Number"/>
    <w:basedOn w:val="Standard"/>
    <w:rsid w:val="009B1024"/>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rsid w:val="009B1024"/>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rsid w:val="009B1024"/>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rsid w:val="009B1024"/>
    <w:pPr>
      <w:numPr>
        <w:ilvl w:val="3"/>
        <w:numId w:val="17"/>
      </w:numPr>
      <w:spacing w:after="240"/>
      <w:jc w:val="both"/>
    </w:pPr>
    <w:rPr>
      <w:rFonts w:ascii="Times New Roman" w:hAnsi="Times New Roman"/>
      <w:sz w:val="24"/>
      <w:szCs w:val="20"/>
      <w:lang w:val="en-GB" w:eastAsia="fr-BE"/>
    </w:rPr>
  </w:style>
  <w:style w:type="paragraph" w:customStyle="1" w:styleId="ListNumber1">
    <w:name w:val="List Number 1"/>
    <w:basedOn w:val="Text1"/>
    <w:rsid w:val="009B1024"/>
    <w:pPr>
      <w:numPr>
        <w:numId w:val="18"/>
      </w:numPr>
    </w:pPr>
  </w:style>
  <w:style w:type="paragraph" w:customStyle="1" w:styleId="ListNumber1Level2">
    <w:name w:val="List Number 1 (Level 2)"/>
    <w:basedOn w:val="Text1"/>
    <w:rsid w:val="009B1024"/>
    <w:pPr>
      <w:numPr>
        <w:ilvl w:val="1"/>
        <w:numId w:val="18"/>
      </w:numPr>
    </w:pPr>
  </w:style>
  <w:style w:type="paragraph" w:customStyle="1" w:styleId="ListNumber1Level3">
    <w:name w:val="List Number 1 (Level 3)"/>
    <w:basedOn w:val="Text1"/>
    <w:rsid w:val="009B1024"/>
    <w:pPr>
      <w:numPr>
        <w:ilvl w:val="2"/>
        <w:numId w:val="18"/>
      </w:numPr>
    </w:pPr>
  </w:style>
  <w:style w:type="paragraph" w:customStyle="1" w:styleId="ListNumber1Level4">
    <w:name w:val="List Number 1 (Level 4)"/>
    <w:basedOn w:val="Text1"/>
    <w:rsid w:val="009B1024"/>
    <w:pPr>
      <w:numPr>
        <w:ilvl w:val="3"/>
        <w:numId w:val="18"/>
      </w:numPr>
    </w:pPr>
  </w:style>
  <w:style w:type="character" w:customStyle="1" w:styleId="st">
    <w:name w:val="st"/>
    <w:basedOn w:val="Absatz-Standardschriftart"/>
    <w:rsid w:val="00034A77"/>
  </w:style>
  <w:style w:type="paragraph" w:styleId="berarbeitung">
    <w:name w:val="Revision"/>
    <w:hidden/>
    <w:uiPriority w:val="99"/>
    <w:semiHidden/>
    <w:rsid w:val="0065164F"/>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link w:val="berschrift2Zchn"/>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E1DD4"/>
    <w:pPr>
      <w:numPr>
        <w:ilvl w:val="2"/>
        <w:numId w:val="13"/>
      </w:numPr>
      <w:tabs>
        <w:tab w:val="clear" w:pos="720"/>
        <w:tab w:val="num" w:pos="864"/>
      </w:tabs>
      <w:spacing w:before="360" w:after="120"/>
      <w:ind w:left="864" w:hanging="864"/>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link w:val="ECCParagraphChar"/>
    <w:uiPriority w:val="99"/>
    <w:qFormat/>
    <w:rsid w:val="004E66F0"/>
    <w:pPr>
      <w:spacing w:after="240"/>
      <w:jc w:val="both"/>
    </w:pPr>
    <w:rPr>
      <w:lang w:val="en-GB"/>
    </w:rPr>
  </w:style>
  <w:style w:type="paragraph" w:styleId="Kopfzeile">
    <w:name w:val="header"/>
    <w:basedOn w:val="Standard"/>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footnote text,ALTS FOOTNOTE,Footnote Text Char1 Char,Footnote Text Char Char Char,ALTS FOOTNOTE Char Char Char,footnote text Char Char Char,Footnote Text Char3 Char Char Char,Footnote Text Char2 Char Char Char Char"/>
    <w:basedOn w:val="Standard"/>
    <w:link w:val="FunotentextZchn"/>
    <w:rsid w:val="008935B9"/>
    <w:rPr>
      <w:szCs w:val="20"/>
    </w:rPr>
  </w:style>
  <w:style w:type="character" w:styleId="Funotenzeichen">
    <w:name w:val="footnote reference"/>
    <w:aliases w:val="Fussnotenzeichen,Appel note de bas de p,Nota,Footnote symbol,Footnote,Footnote Reference/,Style 12,(NECG) Footnote Reference,Style 124,o,fr,Style 13,FR,Style 17,Style 3,Appel note de bas de p + 11 pt,Italic,Black"/>
    <w:basedOn w:val="Absatz-Standardschriftart"/>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9"/>
      </w:numPr>
    </w:pPr>
  </w:style>
  <w:style w:type="paragraph" w:customStyle="1" w:styleId="ECCNumberedBullets">
    <w:name w:val="ECC Numbered Bullets"/>
    <w:basedOn w:val="Standard"/>
    <w:rsid w:val="00D20E3B"/>
    <w:pPr>
      <w:numPr>
        <w:numId w:val="8"/>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2B5370"/>
    <w:rPr>
      <w:rFonts w:ascii="Arial" w:hAnsi="Arial"/>
      <w:szCs w:val="24"/>
    </w:rPr>
  </w:style>
  <w:style w:type="character" w:customStyle="1" w:styleId="berschrift2Zchn">
    <w:name w:val="Überschrift 2 Zchn"/>
    <w:aliases w:val="ECC Heading 2 Zchn"/>
    <w:basedOn w:val="Absatz-Standardschriftart"/>
    <w:link w:val="berschrift2"/>
    <w:rsid w:val="00EF44B1"/>
    <w:rPr>
      <w:rFonts w:ascii="Arial" w:hAnsi="Arial" w:cs="Arial"/>
      <w:b/>
      <w:bCs/>
      <w:iCs/>
      <w:caps/>
      <w:szCs w:val="28"/>
      <w:lang w:val="en-US"/>
    </w:rPr>
  </w:style>
  <w:style w:type="paragraph" w:customStyle="1" w:styleId="ECCParBulleted">
    <w:name w:val="ECC Par Bulleted"/>
    <w:basedOn w:val="ECCParagraph"/>
    <w:rsid w:val="00EF44B1"/>
    <w:pPr>
      <w:numPr>
        <w:numId w:val="10"/>
      </w:numPr>
      <w:spacing w:after="120"/>
      <w:ind w:left="0" w:firstLine="0"/>
    </w:pPr>
  </w:style>
  <w:style w:type="paragraph" w:styleId="KeinLeerraum">
    <w:name w:val="No Spacing"/>
    <w:uiPriority w:val="1"/>
    <w:qFormat/>
    <w:rsid w:val="00252930"/>
    <w:pPr>
      <w:jc w:val="both"/>
    </w:pPr>
    <w:rPr>
      <w:rFonts w:ascii="Arial" w:hAnsi="Arial"/>
      <w:sz w:val="22"/>
      <w:lang w:val="nb-NO" w:eastAsia="de-DE"/>
    </w:rPr>
  </w:style>
  <w:style w:type="paragraph" w:styleId="Listenabsatz">
    <w:name w:val="List Paragraph"/>
    <w:basedOn w:val="Standard"/>
    <w:uiPriority w:val="34"/>
    <w:qFormat/>
    <w:rsid w:val="005274B2"/>
    <w:pPr>
      <w:spacing w:after="120"/>
      <w:ind w:left="720"/>
      <w:contextualSpacing/>
      <w:jc w:val="both"/>
    </w:pPr>
    <w:rPr>
      <w:sz w:val="22"/>
      <w:szCs w:val="20"/>
      <w:lang w:val="nb-NO" w:eastAsia="de-DE"/>
    </w:rPr>
  </w:style>
  <w:style w:type="character" w:styleId="Kommentarzeichen">
    <w:name w:val="annotation reference"/>
    <w:basedOn w:val="Absatz-Standardschriftart"/>
    <w:uiPriority w:val="99"/>
    <w:semiHidden/>
    <w:unhideWhenUsed/>
    <w:rsid w:val="005274B2"/>
    <w:rPr>
      <w:sz w:val="16"/>
      <w:szCs w:val="16"/>
    </w:rPr>
  </w:style>
  <w:style w:type="paragraph" w:styleId="Kommentartext">
    <w:name w:val="annotation text"/>
    <w:basedOn w:val="Standard"/>
    <w:link w:val="KommentartextZchn"/>
    <w:uiPriority w:val="99"/>
    <w:semiHidden/>
    <w:unhideWhenUsed/>
    <w:rsid w:val="005274B2"/>
    <w:rPr>
      <w:szCs w:val="20"/>
    </w:rPr>
  </w:style>
  <w:style w:type="character" w:customStyle="1" w:styleId="KommentartextZchn">
    <w:name w:val="Kommentartext Zchn"/>
    <w:basedOn w:val="Absatz-Standardschriftart"/>
    <w:link w:val="Kommentartext"/>
    <w:uiPriority w:val="99"/>
    <w:semiHidden/>
    <w:rsid w:val="005274B2"/>
    <w:rPr>
      <w:rFonts w:ascii="Arial" w:hAnsi="Arial"/>
      <w:lang w:val="en-US"/>
    </w:rPr>
  </w:style>
  <w:style w:type="paragraph" w:styleId="Beschriftung">
    <w:name w:val="caption"/>
    <w:aliases w:val="ECC Caption"/>
    <w:basedOn w:val="Standard"/>
    <w:next w:val="Standard"/>
    <w:uiPriority w:val="99"/>
    <w:unhideWhenUsed/>
    <w:qFormat/>
    <w:rsid w:val="005274B2"/>
    <w:pPr>
      <w:spacing w:before="240" w:after="240"/>
      <w:jc w:val="center"/>
    </w:pPr>
    <w:rPr>
      <w:b/>
      <w:bCs/>
      <w:color w:val="D2232A"/>
      <w:szCs w:val="20"/>
    </w:rPr>
  </w:style>
  <w:style w:type="paragraph" w:customStyle="1" w:styleId="ECCAnnex-heading1">
    <w:name w:val="ECC Annex - heading1"/>
    <w:basedOn w:val="berschrift1"/>
    <w:next w:val="ECCParagraph"/>
    <w:rsid w:val="005274B2"/>
    <w:pPr>
      <w:numPr>
        <w:numId w:val="0"/>
      </w:numPr>
      <w:tabs>
        <w:tab w:val="num" w:pos="360"/>
      </w:tabs>
      <w:spacing w:before="400"/>
    </w:pPr>
    <w:rPr>
      <w:bCs w:val="0"/>
    </w:rPr>
  </w:style>
  <w:style w:type="character" w:customStyle="1" w:styleId="hps">
    <w:name w:val="hps"/>
    <w:basedOn w:val="Absatz-Standardschriftart"/>
    <w:rsid w:val="005274B2"/>
  </w:style>
  <w:style w:type="character" w:customStyle="1" w:styleId="atn">
    <w:name w:val="atn"/>
    <w:basedOn w:val="Absatz-Standardschriftart"/>
    <w:rsid w:val="005274B2"/>
  </w:style>
  <w:style w:type="character" w:customStyle="1" w:styleId="berschrift3Zchn">
    <w:name w:val="Überschrift 3 Zchn"/>
    <w:aliases w:val="ECC Heading 3 Zchn"/>
    <w:basedOn w:val="Absatz-Standardschriftart"/>
    <w:link w:val="berschrift3"/>
    <w:rsid w:val="005274B2"/>
    <w:rPr>
      <w:rFonts w:ascii="Arial" w:hAnsi="Arial" w:cs="Arial"/>
      <w:b/>
      <w:bCs/>
      <w:szCs w:val="26"/>
      <w:lang w:val="en-US"/>
    </w:rPr>
  </w:style>
  <w:style w:type="paragraph" w:customStyle="1" w:styleId="ECCEditorsNote">
    <w:name w:val="ECC Editor's Note"/>
    <w:next w:val="ECCParagraph"/>
    <w:rsid w:val="00415A78"/>
    <w:pPr>
      <w:numPr>
        <w:numId w:val="11"/>
      </w:numPr>
      <w:shd w:val="clear" w:color="auto" w:fill="FFFF00"/>
      <w:spacing w:before="240" w:after="240"/>
      <w:jc w:val="both"/>
    </w:pPr>
    <w:rPr>
      <w:rFonts w:ascii="Arial" w:hAnsi="Arial"/>
      <w:szCs w:val="22"/>
      <w:lang w:val="da-DK" w:eastAsia="de-DE"/>
    </w:rPr>
  </w:style>
  <w:style w:type="character" w:customStyle="1" w:styleId="ECCParagraphZchn">
    <w:name w:val="ECC Paragraph Zchn"/>
    <w:basedOn w:val="Absatz-Standardschriftart"/>
    <w:rsid w:val="00415A78"/>
    <w:rPr>
      <w:rFonts w:eastAsia="Calibri"/>
      <w:szCs w:val="22"/>
      <w:lang w:val="en-GB"/>
    </w:rPr>
  </w:style>
  <w:style w:type="paragraph" w:customStyle="1" w:styleId="ECCBulletsLv1">
    <w:name w:val="ECC Bullets Lv1"/>
    <w:basedOn w:val="ECCParagraph"/>
    <w:rsid w:val="00415A78"/>
    <w:pPr>
      <w:numPr>
        <w:numId w:val="12"/>
      </w:numPr>
      <w:tabs>
        <w:tab w:val="left" w:pos="340"/>
      </w:tabs>
      <w:spacing w:before="60" w:after="0"/>
    </w:pPr>
    <w:rPr>
      <w:rFonts w:eastAsia="Calibri"/>
      <w:szCs w:val="22"/>
    </w:rPr>
  </w:style>
  <w:style w:type="character" w:customStyle="1" w:styleId="ECCHLcyan">
    <w:name w:val="ECC HL cyan"/>
    <w:basedOn w:val="Absatz-Standardschriftart"/>
    <w:uiPriority w:val="1"/>
    <w:qFormat/>
    <w:rsid w:val="00415A78"/>
    <w:rPr>
      <w:iCs w:val="0"/>
      <w:bdr w:val="none" w:sz="0" w:space="0" w:color="auto"/>
      <w:shd w:val="clear" w:color="auto" w:fill="00FFFF"/>
      <w:lang w:val="en-GB"/>
    </w:rPr>
  </w:style>
  <w:style w:type="paragraph" w:customStyle="1" w:styleId="Kopfzeile1">
    <w:name w:val="Kopfzeile1"/>
    <w:basedOn w:val="Kopfzeile"/>
    <w:rsid w:val="008F567E"/>
    <w:pPr>
      <w:tabs>
        <w:tab w:val="clear" w:pos="4320"/>
        <w:tab w:val="clear" w:pos="8640"/>
        <w:tab w:val="center" w:pos="4536"/>
        <w:tab w:val="right" w:pos="9072"/>
      </w:tabs>
    </w:pPr>
    <w:rPr>
      <w:sz w:val="22"/>
      <w:szCs w:val="20"/>
      <w:lang w:val="nb-NO" w:eastAsia="de-DE"/>
    </w:rPr>
  </w:style>
  <w:style w:type="table" w:customStyle="1" w:styleId="Grilledutableau1">
    <w:name w:val="Grille du tableau1"/>
    <w:basedOn w:val="NormaleTabelle"/>
    <w:next w:val="Tabellenraster"/>
    <w:uiPriority w:val="59"/>
    <w:rsid w:val="00DE1DD4"/>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2">
    <w:name w:val="Light List Accent 2"/>
    <w:basedOn w:val="NormaleTabelle"/>
    <w:uiPriority w:val="61"/>
    <w:rsid w:val="00844645"/>
    <w:rPr>
      <w:rFonts w:asciiTheme="minorHAnsi" w:eastAsiaTheme="minorHAnsi" w:hAnsiTheme="minorHAnsi" w:cstheme="minorBidi"/>
      <w:sz w:val="22"/>
      <w:szCs w:val="22"/>
      <w:lang w:val="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Kommentarthema">
    <w:name w:val="annotation subject"/>
    <w:basedOn w:val="Kommentartext"/>
    <w:next w:val="Kommentartext"/>
    <w:link w:val="KommentarthemaZchn"/>
    <w:uiPriority w:val="99"/>
    <w:semiHidden/>
    <w:unhideWhenUsed/>
    <w:rsid w:val="00465045"/>
    <w:rPr>
      <w:b/>
      <w:bCs/>
    </w:rPr>
  </w:style>
  <w:style w:type="character" w:customStyle="1" w:styleId="KommentarthemaZchn">
    <w:name w:val="Kommentarthema Zchn"/>
    <w:basedOn w:val="KommentartextZchn"/>
    <w:link w:val="Kommentarthema"/>
    <w:uiPriority w:val="99"/>
    <w:semiHidden/>
    <w:rsid w:val="00465045"/>
    <w:rPr>
      <w:rFonts w:ascii="Arial" w:hAnsi="Arial"/>
      <w:b/>
      <w:bCs/>
      <w:lang w:val="en-US"/>
    </w:rPr>
  </w:style>
  <w:style w:type="paragraph" w:customStyle="1" w:styleId="ECCNumberedList">
    <w:name w:val="ECC Numbered List"/>
    <w:basedOn w:val="ECCParagraph"/>
    <w:rsid w:val="00AC1109"/>
    <w:pPr>
      <w:numPr>
        <w:numId w:val="14"/>
      </w:numPr>
      <w:spacing w:after="0"/>
      <w:jc w:val="left"/>
    </w:pPr>
    <w:rPr>
      <w:szCs w:val="20"/>
      <w:lang w:val="en-US"/>
    </w:rPr>
  </w:style>
  <w:style w:type="paragraph" w:customStyle="1" w:styleId="ECCFiguregraphcentered">
    <w:name w:val="ECC Figure/graph centered"/>
    <w:next w:val="ECCParagraph"/>
    <w:rsid w:val="00AC1109"/>
    <w:pPr>
      <w:spacing w:before="240" w:after="240"/>
      <w:jc w:val="center"/>
    </w:pPr>
    <w:rPr>
      <w:rFonts w:ascii="Arial" w:eastAsia="Calibri" w:hAnsi="Arial"/>
      <w:noProof/>
      <w:lang w:val="de-DE" w:eastAsia="de-DE"/>
      <w14:cntxtAlts/>
    </w:rPr>
  </w:style>
  <w:style w:type="paragraph" w:customStyle="1" w:styleId="ECCTableHeaderwhitefont">
    <w:name w:val="ECC Table Header white font"/>
    <w:basedOn w:val="ECCTableHeaderredfont"/>
    <w:qFormat/>
    <w:rsid w:val="00AC1109"/>
    <w:rPr>
      <w:color w:val="FFFFFF" w:themeColor="background1"/>
    </w:rPr>
  </w:style>
  <w:style w:type="paragraph" w:customStyle="1" w:styleId="ECCTabletext">
    <w:name w:val="ECC Table text"/>
    <w:basedOn w:val="ECCParagraph"/>
    <w:qFormat/>
    <w:rsid w:val="00AC1109"/>
    <w:pPr>
      <w:spacing w:after="0"/>
      <w:jc w:val="left"/>
    </w:pPr>
    <w:rPr>
      <w:lang w:val="en-US"/>
    </w:rPr>
  </w:style>
  <w:style w:type="paragraph" w:customStyle="1" w:styleId="ECCTableHeaderredfont">
    <w:name w:val="ECC Table Header red font"/>
    <w:qFormat/>
    <w:rsid w:val="00AC1109"/>
    <w:pPr>
      <w:spacing w:before="120" w:after="60"/>
    </w:pPr>
    <w:rPr>
      <w:rFonts w:ascii="Arial" w:eastAsia="Calibri" w:hAnsi="Arial"/>
      <w:b/>
      <w:bCs/>
      <w:color w:val="D2232A"/>
    </w:rPr>
  </w:style>
  <w:style w:type="table" w:customStyle="1" w:styleId="ECCTable-redheader">
    <w:name w:val="ECC Table - red header"/>
    <w:basedOn w:val="NormaleTabelle"/>
    <w:uiPriority w:val="99"/>
    <w:rsid w:val="00AC1109"/>
    <w:pPr>
      <w:spacing w:before="60" w:after="60"/>
    </w:pPr>
    <w:rPr>
      <w:rFonts w:ascii="Arial" w:eastAsia="Calibri" w:hAnsi="Arial"/>
      <w:lang w:val="da-DK"/>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styleId="NurText">
    <w:name w:val="Plain Text"/>
    <w:basedOn w:val="Standard"/>
    <w:link w:val="NurTextZchn"/>
    <w:uiPriority w:val="99"/>
    <w:semiHidden/>
    <w:unhideWhenUsed/>
    <w:rsid w:val="00413E8A"/>
    <w:rPr>
      <w:rFonts w:ascii="Calibri" w:eastAsiaTheme="minorHAnsi" w:hAnsi="Calibri" w:cs="Consolas"/>
      <w:sz w:val="22"/>
      <w:szCs w:val="21"/>
      <w:lang w:val="da-DK"/>
    </w:rPr>
  </w:style>
  <w:style w:type="character" w:customStyle="1" w:styleId="NurTextZchn">
    <w:name w:val="Nur Text Zchn"/>
    <w:basedOn w:val="Absatz-Standardschriftart"/>
    <w:link w:val="NurText"/>
    <w:uiPriority w:val="99"/>
    <w:semiHidden/>
    <w:rsid w:val="00413E8A"/>
    <w:rPr>
      <w:rFonts w:ascii="Calibri" w:eastAsiaTheme="minorHAnsi" w:hAnsi="Calibri" w:cs="Consolas"/>
      <w:sz w:val="22"/>
      <w:szCs w:val="21"/>
      <w:lang w:val="da-DK"/>
    </w:rPr>
  </w:style>
  <w:style w:type="character" w:customStyle="1" w:styleId="FunotentextZchn">
    <w:name w:val="Fußnotentext Zchn"/>
    <w:aliases w:val="footnote text Zchn,ALTS FOOTNOTE Zchn,Footnote Text Char1 Char Zchn,Footnote Text Char Char Char Zchn,ALTS FOOTNOTE Char Char Char Zchn,footnote text Char Char Char Zchn,Footnote Text Char3 Char Char Char Zchn"/>
    <w:link w:val="Funotentext"/>
    <w:rsid w:val="009B1024"/>
    <w:rPr>
      <w:rFonts w:ascii="Arial" w:hAnsi="Arial"/>
      <w:lang w:val="en-US"/>
    </w:rPr>
  </w:style>
  <w:style w:type="paragraph" w:customStyle="1" w:styleId="Text1">
    <w:name w:val="Text 1"/>
    <w:basedOn w:val="Standard"/>
    <w:rsid w:val="009B1024"/>
    <w:pPr>
      <w:spacing w:after="240"/>
      <w:ind w:left="482"/>
      <w:jc w:val="both"/>
    </w:pPr>
    <w:rPr>
      <w:rFonts w:ascii="Times New Roman" w:hAnsi="Times New Roman"/>
      <w:sz w:val="24"/>
      <w:szCs w:val="20"/>
      <w:lang w:val="en-GB" w:eastAsia="fr-BE"/>
    </w:rPr>
  </w:style>
  <w:style w:type="paragraph" w:styleId="Aufzhlungszeichen">
    <w:name w:val="List Bullet"/>
    <w:basedOn w:val="Standard"/>
    <w:rsid w:val="009B1024"/>
    <w:pPr>
      <w:numPr>
        <w:numId w:val="16"/>
      </w:numPr>
      <w:spacing w:after="240"/>
      <w:jc w:val="both"/>
    </w:pPr>
    <w:rPr>
      <w:rFonts w:ascii="Times New Roman" w:hAnsi="Times New Roman"/>
      <w:sz w:val="24"/>
      <w:szCs w:val="20"/>
      <w:lang w:val="en-GB" w:eastAsia="fr-BE"/>
    </w:rPr>
  </w:style>
  <w:style w:type="paragraph" w:styleId="Listennummer">
    <w:name w:val="List Number"/>
    <w:basedOn w:val="Standard"/>
    <w:rsid w:val="009B1024"/>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rsid w:val="009B1024"/>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rsid w:val="009B1024"/>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rsid w:val="009B1024"/>
    <w:pPr>
      <w:numPr>
        <w:ilvl w:val="3"/>
        <w:numId w:val="17"/>
      </w:numPr>
      <w:spacing w:after="240"/>
      <w:jc w:val="both"/>
    </w:pPr>
    <w:rPr>
      <w:rFonts w:ascii="Times New Roman" w:hAnsi="Times New Roman"/>
      <w:sz w:val="24"/>
      <w:szCs w:val="20"/>
      <w:lang w:val="en-GB" w:eastAsia="fr-BE"/>
    </w:rPr>
  </w:style>
  <w:style w:type="paragraph" w:customStyle="1" w:styleId="ListNumber1">
    <w:name w:val="List Number 1"/>
    <w:basedOn w:val="Text1"/>
    <w:rsid w:val="009B1024"/>
    <w:pPr>
      <w:numPr>
        <w:numId w:val="18"/>
      </w:numPr>
    </w:pPr>
  </w:style>
  <w:style w:type="paragraph" w:customStyle="1" w:styleId="ListNumber1Level2">
    <w:name w:val="List Number 1 (Level 2)"/>
    <w:basedOn w:val="Text1"/>
    <w:rsid w:val="009B1024"/>
    <w:pPr>
      <w:numPr>
        <w:ilvl w:val="1"/>
        <w:numId w:val="18"/>
      </w:numPr>
    </w:pPr>
  </w:style>
  <w:style w:type="paragraph" w:customStyle="1" w:styleId="ListNumber1Level3">
    <w:name w:val="List Number 1 (Level 3)"/>
    <w:basedOn w:val="Text1"/>
    <w:rsid w:val="009B1024"/>
    <w:pPr>
      <w:numPr>
        <w:ilvl w:val="2"/>
        <w:numId w:val="18"/>
      </w:numPr>
    </w:pPr>
  </w:style>
  <w:style w:type="paragraph" w:customStyle="1" w:styleId="ListNumber1Level4">
    <w:name w:val="List Number 1 (Level 4)"/>
    <w:basedOn w:val="Text1"/>
    <w:rsid w:val="009B1024"/>
    <w:pPr>
      <w:numPr>
        <w:ilvl w:val="3"/>
        <w:numId w:val="18"/>
      </w:numPr>
    </w:pPr>
  </w:style>
  <w:style w:type="character" w:customStyle="1" w:styleId="st">
    <w:name w:val="st"/>
    <w:basedOn w:val="Absatz-Standardschriftart"/>
    <w:rsid w:val="00034A77"/>
  </w:style>
  <w:style w:type="paragraph" w:styleId="berarbeitung">
    <w:name w:val="Revision"/>
    <w:hidden/>
    <w:uiPriority w:val="99"/>
    <w:semiHidden/>
    <w:rsid w:val="0065164F"/>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772957">
      <w:bodyDiv w:val="1"/>
      <w:marLeft w:val="0"/>
      <w:marRight w:val="0"/>
      <w:marTop w:val="0"/>
      <w:marBottom w:val="0"/>
      <w:divBdr>
        <w:top w:val="none" w:sz="0" w:space="0" w:color="auto"/>
        <w:left w:val="none" w:sz="0" w:space="0" w:color="auto"/>
        <w:bottom w:val="none" w:sz="0" w:space="0" w:color="auto"/>
        <w:right w:val="none" w:sz="0" w:space="0" w:color="auto"/>
      </w:divBdr>
    </w:div>
    <w:div w:id="1295793316">
      <w:bodyDiv w:val="1"/>
      <w:marLeft w:val="0"/>
      <w:marRight w:val="0"/>
      <w:marTop w:val="0"/>
      <w:marBottom w:val="0"/>
      <w:divBdr>
        <w:top w:val="none" w:sz="0" w:space="0" w:color="auto"/>
        <w:left w:val="none" w:sz="0" w:space="0" w:color="auto"/>
        <w:bottom w:val="none" w:sz="0" w:space="0" w:color="auto"/>
        <w:right w:val="none" w:sz="0" w:space="0" w:color="auto"/>
      </w:divBdr>
    </w:div>
    <w:div w:id="1577858672">
      <w:bodyDiv w:val="1"/>
      <w:marLeft w:val="0"/>
      <w:marRight w:val="0"/>
      <w:marTop w:val="0"/>
      <w:marBottom w:val="0"/>
      <w:divBdr>
        <w:top w:val="none" w:sz="0" w:space="0" w:color="auto"/>
        <w:left w:val="none" w:sz="0" w:space="0" w:color="auto"/>
        <w:bottom w:val="none" w:sz="0" w:space="0" w:color="auto"/>
        <w:right w:val="none" w:sz="0" w:space="0" w:color="auto"/>
      </w:divBdr>
      <w:divsChild>
        <w:div w:id="215747507">
          <w:marLeft w:val="1051"/>
          <w:marRight w:val="0"/>
          <w:marTop w:val="96"/>
          <w:marBottom w:val="0"/>
          <w:divBdr>
            <w:top w:val="none" w:sz="0" w:space="0" w:color="auto"/>
            <w:left w:val="none" w:sz="0" w:space="0" w:color="auto"/>
            <w:bottom w:val="none" w:sz="0" w:space="0" w:color="auto"/>
            <w:right w:val="none" w:sz="0" w:space="0" w:color="auto"/>
          </w:divBdr>
        </w:div>
      </w:divsChild>
    </w:div>
    <w:div w:id="1579680012">
      <w:bodyDiv w:val="1"/>
      <w:marLeft w:val="0"/>
      <w:marRight w:val="0"/>
      <w:marTop w:val="0"/>
      <w:marBottom w:val="0"/>
      <w:divBdr>
        <w:top w:val="none" w:sz="0" w:space="0" w:color="auto"/>
        <w:left w:val="none" w:sz="0" w:space="0" w:color="auto"/>
        <w:bottom w:val="none" w:sz="0" w:space="0" w:color="auto"/>
        <w:right w:val="none" w:sz="0" w:space="0" w:color="auto"/>
      </w:divBdr>
    </w:div>
    <w:div w:id="17786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ept.org/ecc/topics/programme-making-and-special-events-applications-(pmse)" TargetMode="External"/><Relationship Id="rId26" Type="http://schemas.openxmlformats.org/officeDocument/2006/relationships/image" Target="media/image16.gi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19.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18.jpeg"/><Relationship Id="rId38" Type="http://schemas.openxmlformats.org/officeDocument/2006/relationships/hyperlink" Target="http://www.tekes.fi/en/programmes-and-services/tekes-programmes/tria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cid:part2.09050106.08010601@redtechnologies.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4.png"/><Relationship Id="rId32" Type="http://schemas.openxmlformats.org/officeDocument/2006/relationships/header" Target="header6.xml"/><Relationship Id="rId37" Type="http://schemas.openxmlformats.org/officeDocument/2006/relationships/hyperlink" Target="https://circabc.europa.eu/sd/d/3958ecef-c25e-4e4f-8e3b-469d1db6bc07/RSPG13-538_RSPG-Opinion-on-LSA%20.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image" Target="media/image17.gif"/><Relationship Id="rId36" Type="http://schemas.openxmlformats.org/officeDocument/2006/relationships/hyperlink" Target="http://www.cept.org/Documents/fm-52/19713/FM52(14)36_Update-of-the-responses-to-the-questionnaire-on-current-and-future-usage-of-the-band-23-24-GHz" TargetMode="Externa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cid:part1.05000801.05060608@redtechnologies.fr" TargetMode="External"/><Relationship Id="rId30" Type="http://schemas.openxmlformats.org/officeDocument/2006/relationships/header" Target="header4.xml"/><Relationship Id="rId35" Type="http://schemas.openxmlformats.org/officeDocument/2006/relationships/hyperlink" Target="http://www.cept.org/Documents/wg-fm/5035/FM(12)017-Rev1_Summary-Questionnaire-2300-2400-MH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AppData\Local\Temp\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796C-2139-4855-A513-9EDF47C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Report_June_2012.dotx</Template>
  <TotalTime>0</TotalTime>
  <Pages>40</Pages>
  <Words>12362</Words>
  <Characters>70468</Characters>
  <Application>Microsoft Office Word</Application>
  <DocSecurity>0</DocSecurity>
  <Lines>587</Lines>
  <Paragraphs>165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WG FM</Company>
  <LinksUpToDate>false</LinksUpToDate>
  <CharactersWithSpaces>82665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56 (B.1)</dc:title>
  <dc:subject>Input ECC #38</dc:subject>
  <dc:creator>ECO</dc:creator>
  <dc:description>Output WG FM #81</dc:description>
  <cp:lastModifiedBy>Thomas Weilacher</cp:lastModifiedBy>
  <cp:revision>4</cp:revision>
  <cp:lastPrinted>2014-09-19T14:26:00Z</cp:lastPrinted>
  <dcterms:created xsi:type="dcterms:W3CDTF">2014-10-20T07:29:00Z</dcterms:created>
  <dcterms:modified xsi:type="dcterms:W3CDTF">2014-10-20T14:01:00Z</dcterms:modified>
  <cp:contentStatus>Draft, proposed for PC approval</cp:contentStatus>
</cp:coreProperties>
</file>