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B126F7" w14:paraId="2085C641" w14:textId="77777777" w:rsidTr="000E3E4D">
        <w:trPr>
          <w:cantSplit/>
          <w:trHeight w:val="1560"/>
        </w:trPr>
        <w:tc>
          <w:tcPr>
            <w:tcW w:w="4820" w:type="dxa"/>
            <w:gridSpan w:val="2"/>
            <w:tcBorders>
              <w:top w:val="nil"/>
              <w:left w:val="nil"/>
              <w:bottom w:val="nil"/>
              <w:right w:val="nil"/>
            </w:tcBorders>
            <w:vAlign w:val="center"/>
          </w:tcPr>
          <w:p w14:paraId="12E7937E" w14:textId="4EEFCCB1" w:rsidR="00265F50" w:rsidRPr="00B126F7" w:rsidRDefault="00265F50" w:rsidP="00DD5136">
            <w:pPr>
              <w:pStyle w:val="ECCLetterHead"/>
            </w:pPr>
            <w:r w:rsidRPr="00B126F7">
              <w:rPr>
                <w:noProof/>
                <w:lang w:val="en-US"/>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5911F235" w14:textId="25B9EC42" w:rsidR="00265F50" w:rsidRPr="00B126F7" w:rsidRDefault="00265F50" w:rsidP="00DD5136">
            <w:pPr>
              <w:pStyle w:val="ECCLetterHead"/>
            </w:pPr>
            <w:r w:rsidRPr="00B126F7">
              <w:tab/>
              <w:t xml:space="preserve">Doc. </w:t>
            </w:r>
            <w:r w:rsidR="00AA3DE8" w:rsidRPr="00AA3DE8">
              <w:t>ECC(24)033</w:t>
            </w:r>
            <w:r w:rsidR="00766653">
              <w:t xml:space="preserve"> </w:t>
            </w:r>
            <w:r w:rsidR="00403B30" w:rsidRPr="00B126F7">
              <w:t xml:space="preserve"> </w:t>
            </w:r>
          </w:p>
        </w:tc>
      </w:tr>
      <w:tr w:rsidR="00F11542" w:rsidRPr="00B126F7" w14:paraId="4F672DAE"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0214C2FB" w:rsidR="00F11542" w:rsidRPr="00D70559" w:rsidRDefault="00B56B15" w:rsidP="00403B30">
            <w:pPr>
              <w:pStyle w:val="ECCLetterHead"/>
            </w:pPr>
            <w:r>
              <w:t>6</w:t>
            </w:r>
            <w:r w:rsidR="006253E8">
              <w:t>4</w:t>
            </w:r>
            <w:r w:rsidR="006253E8">
              <w:rPr>
                <w:vertAlign w:val="superscript"/>
              </w:rPr>
              <w:t>th</w:t>
            </w:r>
            <w:r w:rsidR="00333670" w:rsidRPr="00D70559">
              <w:t xml:space="preserve"> ECC Plenary Meeting</w:t>
            </w:r>
          </w:p>
        </w:tc>
      </w:tr>
      <w:tr w:rsidR="00F11542" w:rsidRPr="00B126F7" w14:paraId="563A76CA"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348BCEB3" w:rsidR="00F11542" w:rsidRPr="00B126F7" w:rsidRDefault="00FC52DE" w:rsidP="00B56B15">
            <w:pPr>
              <w:pStyle w:val="ECCLetterHead"/>
            </w:pPr>
            <w:r>
              <w:t>Hybrid</w:t>
            </w:r>
            <w:r w:rsidR="00333670" w:rsidRPr="00B126F7">
              <w:t xml:space="preserve"> meeting</w:t>
            </w:r>
            <w:r w:rsidR="00F11542" w:rsidRPr="00B126F7">
              <w:t xml:space="preserve">, </w:t>
            </w:r>
            <w:r w:rsidR="006253E8">
              <w:t>2</w:t>
            </w:r>
            <w:r w:rsidR="00393651">
              <w:t>5</w:t>
            </w:r>
            <w:r w:rsidR="006E7DC4">
              <w:t xml:space="preserve"> </w:t>
            </w:r>
            <w:r w:rsidR="00B56B15">
              <w:t xml:space="preserve">- </w:t>
            </w:r>
            <w:r w:rsidR="006253E8">
              <w:t>2</w:t>
            </w:r>
            <w:r w:rsidR="00393651">
              <w:t>8</w:t>
            </w:r>
            <w:r w:rsidR="00E34778" w:rsidRPr="00B126F7">
              <w:t xml:space="preserve"> </w:t>
            </w:r>
            <w:r w:rsidR="006253E8">
              <w:t xml:space="preserve">June </w:t>
            </w:r>
            <w:r w:rsidR="00333670" w:rsidRPr="00B126F7">
              <w:t>202</w:t>
            </w:r>
            <w:r w:rsidR="00393651">
              <w:t>4</w:t>
            </w:r>
          </w:p>
        </w:tc>
      </w:tr>
      <w:tr w:rsidR="00F11542" w:rsidRPr="00B126F7" w14:paraId="4B0D1AF6"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B126F7" w:rsidRDefault="00F11542" w:rsidP="00263FFB">
            <w:pPr>
              <w:pStyle w:val="ECCLetterHead"/>
            </w:pPr>
          </w:p>
        </w:tc>
      </w:tr>
      <w:tr w:rsidR="00263FFB" w:rsidRPr="00B126F7"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35037F" w:rsidRDefault="00263FFB" w:rsidP="00263FFB">
            <w:pPr>
              <w:pStyle w:val="ECCLetterHead"/>
            </w:pPr>
            <w:r w:rsidRPr="0035037F">
              <w:t xml:space="preserve">Date issued: </w:t>
            </w:r>
          </w:p>
        </w:tc>
        <w:tc>
          <w:tcPr>
            <w:tcW w:w="7962" w:type="dxa"/>
            <w:gridSpan w:val="2"/>
            <w:tcBorders>
              <w:top w:val="nil"/>
              <w:left w:val="nil"/>
              <w:bottom w:val="nil"/>
              <w:right w:val="nil"/>
            </w:tcBorders>
            <w:vAlign w:val="center"/>
          </w:tcPr>
          <w:p w14:paraId="5B5F7838" w14:textId="5AA3CA71" w:rsidR="00263FFB" w:rsidRPr="0035037F" w:rsidRDefault="00974F04" w:rsidP="00AC22B5">
            <w:pPr>
              <w:pStyle w:val="ECCLetterHead"/>
            </w:pPr>
            <w:r w:rsidRPr="0035037F">
              <w:t>19</w:t>
            </w:r>
            <w:r w:rsidR="00B56B15" w:rsidRPr="0035037F">
              <w:t>.0</w:t>
            </w:r>
            <w:r w:rsidR="006253E8" w:rsidRPr="0035037F">
              <w:t>6</w:t>
            </w:r>
            <w:r w:rsidR="00377622" w:rsidRPr="0035037F">
              <w:t>.202</w:t>
            </w:r>
            <w:r w:rsidR="00393651" w:rsidRPr="0035037F">
              <w:t>4</w:t>
            </w:r>
          </w:p>
        </w:tc>
      </w:tr>
      <w:tr w:rsidR="00263FFB" w:rsidRPr="00B126F7"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B126F7" w:rsidRDefault="00263FFB" w:rsidP="00263FFB">
            <w:pPr>
              <w:pStyle w:val="ECCLetterHead"/>
            </w:pPr>
            <w:r w:rsidRPr="00B126F7">
              <w:t xml:space="preserve">Source: </w:t>
            </w:r>
          </w:p>
        </w:tc>
        <w:tc>
          <w:tcPr>
            <w:tcW w:w="7962" w:type="dxa"/>
            <w:gridSpan w:val="2"/>
            <w:tcBorders>
              <w:top w:val="nil"/>
              <w:left w:val="nil"/>
              <w:bottom w:val="nil"/>
              <w:right w:val="nil"/>
            </w:tcBorders>
            <w:vAlign w:val="center"/>
          </w:tcPr>
          <w:p w14:paraId="50D045A0" w14:textId="728313A8" w:rsidR="00263FFB" w:rsidRPr="00B126F7" w:rsidRDefault="00377622" w:rsidP="00263FFB">
            <w:pPr>
              <w:pStyle w:val="ECCLetterHead"/>
            </w:pPr>
            <w:r w:rsidRPr="00B126F7">
              <w:t>European Commission</w:t>
            </w:r>
          </w:p>
        </w:tc>
      </w:tr>
      <w:tr w:rsidR="00263FFB" w:rsidRPr="00B126F7"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B126F7" w:rsidRDefault="00263FFB" w:rsidP="00263FFB">
            <w:pPr>
              <w:pStyle w:val="ECCLetterHead"/>
            </w:pPr>
            <w:r w:rsidRPr="00B126F7">
              <w:t xml:space="preserve">Subject: </w:t>
            </w:r>
          </w:p>
        </w:tc>
        <w:tc>
          <w:tcPr>
            <w:tcW w:w="7962" w:type="dxa"/>
            <w:gridSpan w:val="2"/>
            <w:tcBorders>
              <w:top w:val="nil"/>
              <w:left w:val="nil"/>
              <w:bottom w:val="nil"/>
              <w:right w:val="nil"/>
            </w:tcBorders>
            <w:vAlign w:val="center"/>
          </w:tcPr>
          <w:p w14:paraId="641C6DD9" w14:textId="786AD24A" w:rsidR="00263FFB" w:rsidRPr="00B126F7" w:rsidRDefault="00950C95" w:rsidP="00263FFB">
            <w:pPr>
              <w:pStyle w:val="ECCLetterHead"/>
            </w:pPr>
            <w:r w:rsidRPr="00B126F7">
              <w:t>Activities Report</w:t>
            </w:r>
          </w:p>
        </w:tc>
      </w:tr>
      <w:tr w:rsidR="00263FFB" w:rsidRPr="00B126F7" w14:paraId="1E7D321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342348DB" w:rsidR="00263FFB" w:rsidRPr="00B126F7" w:rsidRDefault="00263FFB" w:rsidP="00263FFB">
            <w:pPr>
              <w:pStyle w:val="ECCTabletext"/>
            </w:pPr>
            <w:r w:rsidRPr="00B126F7">
              <w:rPr>
                <w:noProof/>
                <w:lang w:val="en-US"/>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007B77C5" w:rsidRPr="00B126F7">
              <w:t xml:space="preserve">Group membership required to </w:t>
            </w:r>
            <w:r w:rsidRPr="00B126F7">
              <w:t>read? (Y/N)</w:t>
            </w:r>
          </w:p>
        </w:tc>
      </w:tr>
      <w:tr w:rsidR="00263FFB" w:rsidRPr="00B126F7" w14:paraId="4EB50F1F"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B126F7" w:rsidRDefault="00263FFB" w:rsidP="00263FFB">
            <w:pPr>
              <w:rPr>
                <w:rStyle w:val="ECCParagraph"/>
              </w:rPr>
            </w:pPr>
          </w:p>
          <w:p w14:paraId="24F7BA5C" w14:textId="77777777" w:rsidR="00263FFB" w:rsidRPr="00B126F7" w:rsidRDefault="00263FFB" w:rsidP="00263FFB"/>
        </w:tc>
      </w:tr>
      <w:tr w:rsidR="00263FFB" w:rsidRPr="00B126F7"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B126F7" w:rsidRDefault="00263FFB" w:rsidP="00263FFB">
            <w:pPr>
              <w:pStyle w:val="ECCLetterHead"/>
            </w:pPr>
            <w:r w:rsidRPr="00B126F7">
              <w:t xml:space="preserve">Summary: </w:t>
            </w:r>
          </w:p>
        </w:tc>
      </w:tr>
      <w:tr w:rsidR="00263FFB" w:rsidRPr="00B126F7" w14:paraId="6E5E5CE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117270CF" w14:textId="1569B409" w:rsidR="002F70E6" w:rsidRPr="00B126F7" w:rsidRDefault="00950C95" w:rsidP="006253E8">
            <w:pPr>
              <w:pStyle w:val="ECCTabletext"/>
            </w:pPr>
            <w:r w:rsidRPr="00B126F7">
              <w:t>Activities of relevance since the last ECC</w:t>
            </w:r>
            <w:r w:rsidR="00F93C24">
              <w:t>#6</w:t>
            </w:r>
            <w:r w:rsidR="006253E8">
              <w:t>3</w:t>
            </w:r>
            <w:r w:rsidRPr="00B126F7">
              <w:t xml:space="preserve"> meeting</w:t>
            </w:r>
            <w:r w:rsidR="007B77C5" w:rsidRPr="00B126F7">
              <w:t>.</w:t>
            </w:r>
          </w:p>
        </w:tc>
      </w:tr>
      <w:tr w:rsidR="00263FFB" w:rsidRPr="00B126F7" w14:paraId="0A2084F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B126F7" w:rsidRDefault="00263FFB" w:rsidP="00263FFB">
            <w:pPr>
              <w:pStyle w:val="ECCLetterHead"/>
            </w:pPr>
            <w:r w:rsidRPr="00B126F7">
              <w:t>Proposal:</w:t>
            </w:r>
          </w:p>
        </w:tc>
      </w:tr>
      <w:tr w:rsidR="00263FFB" w:rsidRPr="00B126F7" w14:paraId="55455C9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1C991F05" w14:textId="699D2492" w:rsidR="00263FFB" w:rsidRPr="00B126F7" w:rsidRDefault="007B77C5" w:rsidP="00263FFB">
            <w:pPr>
              <w:pStyle w:val="ECCTabletext"/>
            </w:pPr>
            <w:r w:rsidRPr="00B126F7">
              <w:t>I</w:t>
            </w:r>
            <w:r w:rsidR="007E1A57" w:rsidRPr="00B126F7">
              <w:t xml:space="preserve">nvites </w:t>
            </w:r>
            <w:r w:rsidR="00DD5136" w:rsidRPr="00B126F7">
              <w:t>Group</w:t>
            </w:r>
            <w:r w:rsidR="00265F50" w:rsidRPr="00B126F7">
              <w:t xml:space="preserve"> to</w:t>
            </w:r>
          </w:p>
          <w:p w14:paraId="3947B3E5" w14:textId="155D1664" w:rsidR="00265F50" w:rsidRPr="00B126F7" w:rsidRDefault="00950C95" w:rsidP="00265F50">
            <w:pPr>
              <w:pStyle w:val="ECCBulletsLv2"/>
            </w:pPr>
            <w:r w:rsidRPr="00B126F7">
              <w:t>Note the report</w:t>
            </w:r>
          </w:p>
          <w:p w14:paraId="0ECD310F" w14:textId="77777777" w:rsidR="002F70E6" w:rsidRPr="00B126F7" w:rsidRDefault="002F70E6" w:rsidP="002F70E6">
            <w:pPr>
              <w:pStyle w:val="ECCBulletsLv2"/>
              <w:numPr>
                <w:ilvl w:val="0"/>
                <w:numId w:val="0"/>
              </w:numPr>
              <w:ind w:left="680" w:hanging="340"/>
            </w:pPr>
          </w:p>
          <w:p w14:paraId="70DFD042" w14:textId="77777777" w:rsidR="002F70E6" w:rsidRPr="00B126F7" w:rsidRDefault="002F70E6" w:rsidP="002F70E6">
            <w:pPr>
              <w:pStyle w:val="ECCBulletsLv2"/>
              <w:numPr>
                <w:ilvl w:val="0"/>
                <w:numId w:val="0"/>
              </w:numPr>
              <w:ind w:left="680" w:hanging="340"/>
            </w:pPr>
          </w:p>
        </w:tc>
      </w:tr>
      <w:tr w:rsidR="00263FFB" w:rsidRPr="00B126F7" w14:paraId="73D06F6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17B9AB8" w14:textId="2DEB778F" w:rsidR="00A54647" w:rsidRDefault="00263FFB" w:rsidP="00A54647">
            <w:pPr>
              <w:pStyle w:val="ECCTabletext"/>
            </w:pPr>
            <w:r w:rsidRPr="00A54647">
              <w:rPr>
                <w:b/>
                <w:sz w:val="22"/>
                <w:szCs w:val="20"/>
              </w:rPr>
              <w:t>Background:</w:t>
            </w:r>
            <w:r w:rsidR="00090C40">
              <w:t xml:space="preserve"> </w:t>
            </w:r>
          </w:p>
          <w:p w14:paraId="60FD631E" w14:textId="7AB02A57" w:rsidR="00263FFB" w:rsidRPr="00B126F7" w:rsidRDefault="00090C40" w:rsidP="00A54647">
            <w:pPr>
              <w:pStyle w:val="ECCTabletext"/>
            </w:pPr>
            <w:r w:rsidRPr="00090C40">
              <w:t>This report contains a summary of</w:t>
            </w:r>
            <w:r>
              <w:t xml:space="preserve"> </w:t>
            </w:r>
            <w:r w:rsidRPr="00090C40">
              <w:t xml:space="preserve">relevant outcomes </w:t>
            </w:r>
            <w:r>
              <w:t>a</w:t>
            </w:r>
            <w:r w:rsidR="00B56B15">
              <w:t>t the EU level since ECC#6</w:t>
            </w:r>
            <w:r w:rsidR="006253E8">
              <w:t>3</w:t>
            </w:r>
            <w:r w:rsidRPr="00090C40">
              <w:t xml:space="preserve">, </w:t>
            </w:r>
            <w:r>
              <w:t xml:space="preserve">in particular from </w:t>
            </w:r>
            <w:r w:rsidR="006253E8">
              <w:t>a</w:t>
            </w:r>
            <w:r w:rsidR="00766653">
              <w:t xml:space="preserve"> </w:t>
            </w:r>
            <w:r w:rsidR="00375B70">
              <w:t xml:space="preserve">regular </w:t>
            </w:r>
            <w:r w:rsidRPr="00090C40">
              <w:t xml:space="preserve">meeting of the </w:t>
            </w:r>
            <w:r w:rsidR="00D85147">
              <w:t>R</w:t>
            </w:r>
            <w:r w:rsidR="00B56B15">
              <w:t>adio Spectrum Committee, (RSC#8</w:t>
            </w:r>
            <w:r w:rsidR="006253E8">
              <w:t>5</w:t>
            </w:r>
            <w:r w:rsidRPr="00090C40">
              <w:t xml:space="preserve"> of </w:t>
            </w:r>
            <w:r w:rsidR="006253E8">
              <w:t>20</w:t>
            </w:r>
            <w:r w:rsidR="0041788A">
              <w:t> </w:t>
            </w:r>
            <w:r w:rsidR="006253E8">
              <w:t>March</w:t>
            </w:r>
            <w:r w:rsidR="0041788A">
              <w:t> </w:t>
            </w:r>
            <w:r w:rsidR="008450B2">
              <w:t>202</w:t>
            </w:r>
            <w:r w:rsidR="006253E8">
              <w:t>4</w:t>
            </w:r>
            <w:r w:rsidRPr="00090C40">
              <w:t>)</w:t>
            </w:r>
            <w:r w:rsidR="00A54647" w:rsidRPr="00A54647">
              <w:t xml:space="preserve"> and a </w:t>
            </w:r>
            <w:r w:rsidR="00A54647">
              <w:t>plenary meeting of the Radio Spectrum Policy Group (RSPG#6</w:t>
            </w:r>
            <w:r w:rsidR="00A54647" w:rsidRPr="00A54647">
              <w:t>4</w:t>
            </w:r>
            <w:r w:rsidR="00A54647" w:rsidRPr="00090C40">
              <w:t xml:space="preserve"> </w:t>
            </w:r>
            <w:r w:rsidR="00A54647">
              <w:t xml:space="preserve">of </w:t>
            </w:r>
            <w:r w:rsidR="00A54647" w:rsidRPr="00A54647">
              <w:t>18</w:t>
            </w:r>
            <w:r w:rsidR="00A54647">
              <w:t> </w:t>
            </w:r>
            <w:r w:rsidR="00A54647" w:rsidRPr="00A54647">
              <w:t>June</w:t>
            </w:r>
            <w:r w:rsidR="00A54647">
              <w:t> 202</w:t>
            </w:r>
            <w:r w:rsidR="0041788A">
              <w:t>4</w:t>
            </w:r>
            <w:r w:rsidR="001B7FA1">
              <w:t>).</w:t>
            </w:r>
          </w:p>
        </w:tc>
      </w:tr>
      <w:tr w:rsidR="00265F50" w:rsidRPr="00B126F7" w14:paraId="6DA4B9F9" w14:textId="77777777" w:rsidTr="003B3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9781" w:type="dxa"/>
            <w:gridSpan w:val="3"/>
            <w:tcBorders>
              <w:top w:val="nil"/>
              <w:left w:val="single" w:sz="6" w:space="0" w:color="C00000"/>
              <w:bottom w:val="single" w:sz="6" w:space="0" w:color="C00000"/>
              <w:right w:val="single" w:sz="6" w:space="0" w:color="C00000"/>
            </w:tcBorders>
          </w:tcPr>
          <w:p w14:paraId="1E4FC0A1" w14:textId="67712F5D" w:rsidR="00265F50" w:rsidRPr="00B126F7" w:rsidRDefault="00265F50" w:rsidP="00265F50">
            <w:pPr>
              <w:pStyle w:val="ECCTabletext"/>
            </w:pPr>
          </w:p>
          <w:p w14:paraId="749DA917" w14:textId="77777777" w:rsidR="002F70E6" w:rsidRPr="00B126F7" w:rsidRDefault="002F70E6" w:rsidP="00265F50">
            <w:pPr>
              <w:pStyle w:val="ECCTabletext"/>
            </w:pPr>
          </w:p>
          <w:p w14:paraId="5F6CD7EE" w14:textId="77777777" w:rsidR="002F70E6" w:rsidRPr="00B126F7" w:rsidRDefault="002F70E6" w:rsidP="00265F50">
            <w:pPr>
              <w:pStyle w:val="ECCTabletext"/>
            </w:pPr>
          </w:p>
        </w:tc>
      </w:tr>
    </w:tbl>
    <w:p w14:paraId="637F709A" w14:textId="77777777" w:rsidR="001B0583" w:rsidRPr="00B126F7" w:rsidRDefault="001B0583" w:rsidP="001B0583">
      <w:pPr>
        <w:pStyle w:val="ECCTablenote"/>
        <w:rPr>
          <w:rStyle w:val="ECCParagraph"/>
        </w:rPr>
      </w:pPr>
    </w:p>
    <w:p w14:paraId="2B0FBA8F" w14:textId="77777777" w:rsidR="00231A0F" w:rsidRPr="00B126F7" w:rsidRDefault="00231A0F">
      <w:pPr>
        <w:rPr>
          <w:rStyle w:val="ECCParagraph"/>
          <w:rFonts w:eastAsia="Times New Roman"/>
          <w:szCs w:val="16"/>
        </w:rPr>
      </w:pPr>
      <w:r w:rsidRPr="00B126F7">
        <w:rPr>
          <w:rStyle w:val="ECCParagraph"/>
        </w:rPr>
        <w:br w:type="page"/>
      </w:r>
    </w:p>
    <w:p w14:paraId="1574C808" w14:textId="01C764B8" w:rsidR="00C32C20" w:rsidRPr="00B126F7" w:rsidRDefault="00950C95" w:rsidP="00231A0F">
      <w:pPr>
        <w:pStyle w:val="Heading1"/>
        <w:rPr>
          <w:rStyle w:val="ECCParagraph"/>
        </w:rPr>
      </w:pPr>
      <w:r w:rsidRPr="00B126F7">
        <w:rPr>
          <w:rStyle w:val="ECCParagraph"/>
        </w:rPr>
        <w:lastRenderedPageBreak/>
        <w:t>Radio Spectrum Committee</w:t>
      </w:r>
      <w:r w:rsidR="00817C53" w:rsidRPr="00B126F7">
        <w:rPr>
          <w:rStyle w:val="ECCParagraph"/>
        </w:rPr>
        <w:t xml:space="preserve"> </w:t>
      </w:r>
      <w:r w:rsidR="007E1D54" w:rsidRPr="00B126F7">
        <w:rPr>
          <w:rStyle w:val="ECCParagraph"/>
        </w:rPr>
        <w:t xml:space="preserve">(RSC) </w:t>
      </w:r>
    </w:p>
    <w:p w14:paraId="49AE4CC3" w14:textId="490F0753" w:rsidR="00400803" w:rsidRDefault="002E7A56" w:rsidP="00400803">
      <w:pPr>
        <w:pStyle w:val="ListParagraph"/>
        <w:spacing w:before="100" w:beforeAutospacing="1" w:after="100" w:afterAutospacing="1" w:line="360" w:lineRule="auto"/>
        <w:ind w:left="0" w:right="22"/>
        <w:rPr>
          <w:rStyle w:val="ECCParagraph"/>
        </w:rPr>
      </w:pPr>
      <w:r w:rsidRPr="00B126F7">
        <w:rPr>
          <w:rStyle w:val="ECCParagraph"/>
        </w:rPr>
        <w:t xml:space="preserve">Since </w:t>
      </w:r>
      <w:r w:rsidR="000F7ACE">
        <w:rPr>
          <w:rStyle w:val="ECCParagraph"/>
        </w:rPr>
        <w:t>ECC#6</w:t>
      </w:r>
      <w:r w:rsidR="00101DB8">
        <w:rPr>
          <w:rStyle w:val="ECCParagraph"/>
        </w:rPr>
        <w:t>3 meeting</w:t>
      </w:r>
      <w:r w:rsidR="00C25C02" w:rsidRPr="00B126F7">
        <w:rPr>
          <w:rStyle w:val="ECCParagraph"/>
        </w:rPr>
        <w:t xml:space="preserve">, </w:t>
      </w:r>
      <w:r w:rsidR="000F7ACE">
        <w:rPr>
          <w:rStyle w:val="ECCParagraph"/>
        </w:rPr>
        <w:t xml:space="preserve">there </w:t>
      </w:r>
      <w:r w:rsidR="00101DB8">
        <w:rPr>
          <w:rStyle w:val="ECCParagraph"/>
        </w:rPr>
        <w:t>was</w:t>
      </w:r>
      <w:r w:rsidR="00CD289F">
        <w:rPr>
          <w:rStyle w:val="ECCParagraph"/>
        </w:rPr>
        <w:t xml:space="preserve"> </w:t>
      </w:r>
      <w:r w:rsidR="00101DB8">
        <w:rPr>
          <w:rStyle w:val="ECCParagraph"/>
        </w:rPr>
        <w:t xml:space="preserve">one </w:t>
      </w:r>
      <w:r w:rsidR="005D55BC">
        <w:rPr>
          <w:rStyle w:val="ECCParagraph"/>
        </w:rPr>
        <w:t>meeting</w:t>
      </w:r>
      <w:r w:rsidR="00400803" w:rsidRPr="00B126F7">
        <w:rPr>
          <w:rStyle w:val="ECCParagraph"/>
        </w:rPr>
        <w:t xml:space="preserve"> of the </w:t>
      </w:r>
      <w:r w:rsidR="00C25C02" w:rsidRPr="00B126F7">
        <w:rPr>
          <w:rStyle w:val="ECCParagraph"/>
        </w:rPr>
        <w:t xml:space="preserve">Radio Spectrum Committee, </w:t>
      </w:r>
      <w:r w:rsidR="008450B2" w:rsidRPr="008450B2">
        <w:rPr>
          <w:rStyle w:val="ECCParagraph"/>
        </w:rPr>
        <w:t>RSC#8</w:t>
      </w:r>
      <w:r w:rsidR="00101DB8">
        <w:rPr>
          <w:rStyle w:val="ECCParagraph"/>
        </w:rPr>
        <w:t>5</w:t>
      </w:r>
      <w:r w:rsidR="008450B2" w:rsidRPr="008450B2">
        <w:rPr>
          <w:rStyle w:val="ECCParagraph"/>
        </w:rPr>
        <w:t xml:space="preserve"> of</w:t>
      </w:r>
      <w:r w:rsidR="00101DB8">
        <w:rPr>
          <w:rStyle w:val="ECCParagraph"/>
        </w:rPr>
        <w:t xml:space="preserve"> 20 March 2024</w:t>
      </w:r>
      <w:r w:rsidR="000F7ACE">
        <w:rPr>
          <w:rStyle w:val="ECCParagraph"/>
        </w:rPr>
        <w:t>,</w:t>
      </w:r>
      <w:r w:rsidR="005D55BC">
        <w:rPr>
          <w:rStyle w:val="ECCParagraph"/>
        </w:rPr>
        <w:t xml:space="preserve"> </w:t>
      </w:r>
      <w:r w:rsidR="00703549">
        <w:rPr>
          <w:rStyle w:val="ECCParagraph"/>
        </w:rPr>
        <w:t>with the following outcomes</w:t>
      </w:r>
      <w:r w:rsidR="00A54647">
        <w:rPr>
          <w:rStyle w:val="ECCParagraph"/>
        </w:rPr>
        <w:t>:</w:t>
      </w:r>
    </w:p>
    <w:p w14:paraId="16AA1718" w14:textId="2D7F2C7B" w:rsidR="00181D0B" w:rsidRPr="00B126F7" w:rsidRDefault="00101DB8" w:rsidP="0036757C">
      <w:pPr>
        <w:pStyle w:val="Heading2"/>
        <w:rPr>
          <w:rStyle w:val="ECCParagraph"/>
          <w:szCs w:val="22"/>
        </w:rPr>
      </w:pPr>
      <w:r>
        <w:rPr>
          <w:rStyle w:val="ECCParagraph"/>
          <w:szCs w:val="22"/>
        </w:rPr>
        <w:t>UWB</w:t>
      </w:r>
    </w:p>
    <w:p w14:paraId="295B7214" w14:textId="5562A6BA" w:rsidR="00A54647" w:rsidRDefault="00A54647" w:rsidP="00A54647">
      <w:pPr>
        <w:spacing w:before="100" w:beforeAutospacing="1" w:after="100" w:afterAutospacing="1" w:line="360" w:lineRule="auto"/>
        <w:ind w:right="22"/>
      </w:pPr>
      <w:r w:rsidRPr="00A54647">
        <w:rPr>
          <w:color w:val="000000" w:themeColor="text1"/>
        </w:rPr>
        <w:t>Following the Commission’s internal inter-service consultation</w:t>
      </w:r>
      <w:r w:rsidR="001B7FA1">
        <w:rPr>
          <w:color w:val="000000" w:themeColor="text1"/>
        </w:rPr>
        <w:t xml:space="preserve"> (ISC)</w:t>
      </w:r>
      <w:r w:rsidRPr="00A54647">
        <w:rPr>
          <w:color w:val="000000" w:themeColor="text1"/>
        </w:rPr>
        <w:t xml:space="preserve">, the Commission services presented a revised version of the </w:t>
      </w:r>
      <w:r w:rsidRPr="00A54647">
        <w:t>draft</w:t>
      </w:r>
      <w:r w:rsidRPr="00A54647">
        <w:rPr>
          <w:color w:val="000000" w:themeColor="text1"/>
        </w:rPr>
        <w:t xml:space="preserve"> Commission Implementing Decision on UWB (RSCOM23-27rev2). Considering the comments provided during the RSC#85 meeting, the Commission services prepared a new version of the draft Decision on UWB (RSCOM23-27rev3) on which the RSC members </w:t>
      </w:r>
      <w:r w:rsidR="006371B6">
        <w:rPr>
          <w:color w:val="000000" w:themeColor="text1"/>
        </w:rPr>
        <w:t>could</w:t>
      </w:r>
      <w:r w:rsidRPr="00A54647">
        <w:rPr>
          <w:color w:val="000000" w:themeColor="text1"/>
        </w:rPr>
        <w:t xml:space="preserve"> provide any final (editorial only) comments by 29 March 2024. </w:t>
      </w:r>
      <w:r>
        <w:t>The written procedure was launched on 16 April 2024 and completed on 30 April 2024.</w:t>
      </w:r>
      <w:r w:rsidR="006371B6">
        <w:t xml:space="preserve"> </w:t>
      </w:r>
      <w:r>
        <w:t>On 27 May</w:t>
      </w:r>
      <w:r w:rsidRPr="00945263">
        <w:t xml:space="preserve"> 2024</w:t>
      </w:r>
      <w:r>
        <w:t>, the Commission adopted the decision (</w:t>
      </w:r>
      <w:hyperlink r:id="rId12" w:history="1">
        <w:r w:rsidRPr="001768F7">
          <w:rPr>
            <w:rStyle w:val="Hyperlink"/>
          </w:rPr>
          <w:t>https://eur-lex.europa.eu/legal-content/EN/TXT/?uri=CELEX%3A32024D1467&amp;qid=1717144704796</w:t>
        </w:r>
      </w:hyperlink>
      <w:r>
        <w:t>).</w:t>
      </w:r>
    </w:p>
    <w:p w14:paraId="64CEA3D0" w14:textId="3DE4B947" w:rsidR="00181D0B" w:rsidRPr="001318F4" w:rsidRDefault="000F7ACE" w:rsidP="00181D0B">
      <w:pPr>
        <w:pStyle w:val="Heading2"/>
        <w:rPr>
          <w:rStyle w:val="ECCParagraph"/>
          <w:szCs w:val="22"/>
        </w:rPr>
      </w:pPr>
      <w:r>
        <w:rPr>
          <w:rStyle w:val="ECCParagraph"/>
          <w:szCs w:val="22"/>
        </w:rPr>
        <w:t>40.5-43.5 GHz</w:t>
      </w:r>
      <w:r w:rsidR="001305B1">
        <w:rPr>
          <w:rStyle w:val="ECCParagraph"/>
          <w:szCs w:val="22"/>
        </w:rPr>
        <w:t xml:space="preserve"> (’42 GHz’)</w:t>
      </w:r>
      <w:r w:rsidR="00101DB8">
        <w:rPr>
          <w:rStyle w:val="ECCParagraph"/>
          <w:szCs w:val="22"/>
        </w:rPr>
        <w:t xml:space="preserve"> band</w:t>
      </w:r>
    </w:p>
    <w:p w14:paraId="28A39517" w14:textId="78E891CB" w:rsidR="00A54647" w:rsidRPr="00A54647" w:rsidRDefault="00A54647" w:rsidP="00A54647">
      <w:pPr>
        <w:pStyle w:val="ListParagraph"/>
        <w:spacing w:before="100" w:beforeAutospacing="1" w:after="100" w:afterAutospacing="1" w:line="360" w:lineRule="auto"/>
        <w:ind w:left="0" w:right="22"/>
        <w:rPr>
          <w:color w:val="000000" w:themeColor="text1"/>
        </w:rPr>
      </w:pPr>
      <w:r w:rsidRPr="00A54647">
        <w:rPr>
          <w:color w:val="000000" w:themeColor="text1"/>
        </w:rPr>
        <w:t>Following the discussion on this issue during the RSC#84 (October 2023), and in line with what had been agreed on the way-forward at that meeting, the Commission services presented a revised version of the draft Commission Implementing Decision on harmonisation of the 40.5-43.5 GHz frequency band for terrestrial systems capable of providing wireless broadband electronic communications services in the Union (RSCOM22-37rev8), along with an associated explanatory note (RSCOM24-03). The revised version (rev8) resulted from the RSCOM22-37rev7 (the version after the Commission’s ISC), which was disseminated to the RSC members prior to the RSC#85 meeting for their comments, and the comments received thereafter. The Commission services reiterated the reasons for advancing on the harmonisation of the 40.5-43.5 GHz frequency band in the Union, outlined the comments that were received internally during the ISC and emphasised the agreed timeline on the way-forward. Some Member States emphasised the need for flexibility regarding the operation of the satellite earth stations providing Fixed Satellite Service within the 42 GHz band. Also, some Member States reiterated their need for more flexibility regarding the timing of the implementation of this decision, due to the limited market demand for mmWave spectrum in their national markets. The Commission services, in response to the timing concerns, recalled the flexibility enshrined in the Code (Art 53(2) and 45(3)). After the meeting, the Commission services circulated to the RSC members a revised version of the draft decision (RSCOM22-37rev9) for possible editorial comments by 29 March 20</w:t>
      </w:r>
      <w:r w:rsidRPr="00000733">
        <w:rPr>
          <w:color w:val="000000" w:themeColor="text1"/>
        </w:rPr>
        <w:t xml:space="preserve">24. </w:t>
      </w:r>
      <w:r w:rsidR="006371B6" w:rsidRPr="00000733">
        <w:t xml:space="preserve">The written procedure was launched on 19 June 2024 and will </w:t>
      </w:r>
      <w:r w:rsidR="001B7FA1" w:rsidRPr="00000733">
        <w:t xml:space="preserve">be </w:t>
      </w:r>
      <w:r w:rsidR="006371B6" w:rsidRPr="00000733">
        <w:t>complete</w:t>
      </w:r>
      <w:r w:rsidR="001B7FA1" w:rsidRPr="00000733">
        <w:t>d</w:t>
      </w:r>
      <w:r w:rsidR="006371B6" w:rsidRPr="00000733">
        <w:t xml:space="preserve"> on 3 July 2024.</w:t>
      </w:r>
    </w:p>
    <w:p w14:paraId="05CC50AC" w14:textId="241C6B4B" w:rsidR="00101DB8" w:rsidRDefault="00101DB8" w:rsidP="00101DB8">
      <w:pPr>
        <w:pStyle w:val="Heading2"/>
        <w:rPr>
          <w:rStyle w:val="ECCParagraph"/>
          <w:szCs w:val="22"/>
        </w:rPr>
      </w:pPr>
      <w:r w:rsidRPr="00101DB8">
        <w:rPr>
          <w:rStyle w:val="ECCParagraph"/>
          <w:szCs w:val="22"/>
        </w:rPr>
        <w:t>Upper 6 GHz band</w:t>
      </w:r>
    </w:p>
    <w:p w14:paraId="69137F0F" w14:textId="7746E851" w:rsidR="00A54647" w:rsidRDefault="00A54647" w:rsidP="00A54647">
      <w:pPr>
        <w:pStyle w:val="ListParagraph"/>
        <w:spacing w:before="100" w:beforeAutospacing="1" w:after="100" w:afterAutospacing="1" w:line="360" w:lineRule="auto"/>
        <w:ind w:left="0" w:right="22"/>
        <w:rPr>
          <w:color w:val="000000" w:themeColor="text1"/>
        </w:rPr>
      </w:pPr>
      <w:r w:rsidRPr="10E3090B">
        <w:rPr>
          <w:color w:val="000000" w:themeColor="text1"/>
        </w:rPr>
        <w:t>The Commission services presented to the RSC a discussion document</w:t>
      </w:r>
      <w:r w:rsidRPr="00A54647">
        <w:rPr>
          <w:color w:val="000000" w:themeColor="text1"/>
        </w:rPr>
        <w:t xml:space="preserve"> </w:t>
      </w:r>
      <w:r w:rsidRPr="009D4DF7">
        <w:rPr>
          <w:color w:val="000000" w:themeColor="text1"/>
        </w:rPr>
        <w:t>(</w:t>
      </w:r>
      <w:r w:rsidRPr="00A54647">
        <w:rPr>
          <w:color w:val="000000" w:themeColor="text1"/>
        </w:rPr>
        <w:t>RSCOM24-04</w:t>
      </w:r>
      <w:r w:rsidRPr="009D4DF7">
        <w:rPr>
          <w:color w:val="000000" w:themeColor="text1"/>
        </w:rPr>
        <w:t>)</w:t>
      </w:r>
      <w:r w:rsidRPr="10E3090B">
        <w:rPr>
          <w:color w:val="000000" w:themeColor="text1"/>
        </w:rPr>
        <w:t xml:space="preserve"> on elements of a draft Mandate to the CEPT on the upper 6 GHz band (6425-7125 MHz). Discussions at the RSC#85 meeting have shown support to developing a Mandate to the CEPT in order to study feasibility of and develop least restrictive harmonised technical conditions for the potential shared use of the upper 6 GHz band for the </w:t>
      </w:r>
      <w:r w:rsidRPr="10E3090B">
        <w:rPr>
          <w:color w:val="000000" w:themeColor="text1"/>
        </w:rPr>
        <w:lastRenderedPageBreak/>
        <w:t xml:space="preserve">provision of wireless broadband by terrestrial systems capable of providing Wireless Broadband Electronic Communication Services (WBB ECS) and by Wireless Access Systems, including Radio Local Area Networks (WAS/RLANs). Based on the written comments provided by several Member States in advance of the meeting and the comments made at the meeting, the Commission services circulated a revised version of the document </w:t>
      </w:r>
      <w:r w:rsidRPr="009D4DF7">
        <w:rPr>
          <w:color w:val="000000" w:themeColor="text1"/>
        </w:rPr>
        <w:t>(</w:t>
      </w:r>
      <w:r w:rsidRPr="00A54647">
        <w:rPr>
          <w:color w:val="000000" w:themeColor="text1"/>
        </w:rPr>
        <w:t>RSCOM24-04rev1</w:t>
      </w:r>
      <w:r w:rsidRPr="009D4DF7">
        <w:rPr>
          <w:color w:val="000000" w:themeColor="text1"/>
        </w:rPr>
        <w:t>)</w:t>
      </w:r>
      <w:r w:rsidRPr="10E3090B">
        <w:rPr>
          <w:color w:val="000000" w:themeColor="text1"/>
        </w:rPr>
        <w:t xml:space="preserve">, on which the RSC members </w:t>
      </w:r>
      <w:r w:rsidR="006371B6">
        <w:rPr>
          <w:color w:val="000000" w:themeColor="text1"/>
        </w:rPr>
        <w:t>could</w:t>
      </w:r>
      <w:r w:rsidRPr="10E3090B">
        <w:rPr>
          <w:color w:val="000000" w:themeColor="text1"/>
        </w:rPr>
        <w:t xml:space="preserve"> provide written comments by 30 April 2024.</w:t>
      </w:r>
    </w:p>
    <w:p w14:paraId="3728CA49" w14:textId="0753B97A" w:rsidR="00101DB8" w:rsidRDefault="00101DB8" w:rsidP="00101DB8">
      <w:pPr>
        <w:pStyle w:val="Heading2"/>
        <w:rPr>
          <w:rStyle w:val="ECCParagraph"/>
          <w:szCs w:val="22"/>
        </w:rPr>
      </w:pPr>
      <w:r w:rsidRPr="00101DB8">
        <w:rPr>
          <w:rStyle w:val="ECCParagraph"/>
          <w:szCs w:val="22"/>
        </w:rPr>
        <w:t>EU Roadmap</w:t>
      </w:r>
      <w:r>
        <w:rPr>
          <w:rStyle w:val="ECCParagraph"/>
          <w:szCs w:val="22"/>
        </w:rPr>
        <w:t xml:space="preserve">: </w:t>
      </w:r>
      <w:r w:rsidR="009D6C65">
        <w:rPr>
          <w:rStyle w:val="ECCParagraph"/>
          <w:szCs w:val="22"/>
        </w:rPr>
        <w:t xml:space="preserve">COEXISTENCE BETWEEN </w:t>
      </w:r>
      <w:r w:rsidRPr="00101DB8">
        <w:rPr>
          <w:rStyle w:val="ECCParagraph"/>
          <w:szCs w:val="22"/>
        </w:rPr>
        <w:t xml:space="preserve">mobile networks and radio altimeters </w:t>
      </w:r>
      <w:r>
        <w:rPr>
          <w:rStyle w:val="ECCParagraph"/>
          <w:szCs w:val="22"/>
        </w:rPr>
        <w:t>(</w:t>
      </w:r>
      <w:r w:rsidRPr="00101DB8">
        <w:rPr>
          <w:rStyle w:val="ECCParagraph"/>
          <w:szCs w:val="22"/>
        </w:rPr>
        <w:t xml:space="preserve">3.4-4.4 GHz </w:t>
      </w:r>
      <w:r>
        <w:rPr>
          <w:rStyle w:val="ECCParagraph"/>
          <w:szCs w:val="22"/>
        </w:rPr>
        <w:t>band)</w:t>
      </w:r>
    </w:p>
    <w:p w14:paraId="5AF68614" w14:textId="6BE4D28C" w:rsidR="00A54647" w:rsidRPr="00627221" w:rsidRDefault="00A54647" w:rsidP="00BB5D0F">
      <w:pPr>
        <w:pStyle w:val="ListParagraph"/>
        <w:spacing w:before="100" w:beforeAutospacing="1" w:after="100" w:afterAutospacing="1" w:line="360" w:lineRule="auto"/>
        <w:ind w:left="0" w:right="22"/>
        <w:rPr>
          <w:color w:val="000000" w:themeColor="text1"/>
        </w:rPr>
      </w:pPr>
      <w:r>
        <w:rPr>
          <w:color w:val="000000" w:themeColor="text1"/>
        </w:rPr>
        <w:t xml:space="preserve">The Commission services presented a revised version of the draft EU roadmap on the coexistence of mobile networks and aircraft radio altimeters within the 3.4-4.4 GHz frequency range in the Union </w:t>
      </w:r>
      <w:r w:rsidRPr="009D4DF7">
        <w:rPr>
          <w:color w:val="000000" w:themeColor="text1"/>
        </w:rPr>
        <w:t>(</w:t>
      </w:r>
      <w:r w:rsidRPr="00A54647">
        <w:rPr>
          <w:color w:val="000000" w:themeColor="text1"/>
        </w:rPr>
        <w:t>RSCOM24-09rev1</w:t>
      </w:r>
      <w:r w:rsidRPr="009D4DF7">
        <w:rPr>
          <w:color w:val="000000" w:themeColor="text1"/>
        </w:rPr>
        <w:t>)</w:t>
      </w:r>
      <w:r w:rsidRPr="003B29FB">
        <w:rPr>
          <w:color w:val="000000" w:themeColor="text1"/>
        </w:rPr>
        <w:t xml:space="preserve">, which </w:t>
      </w:r>
      <w:r w:rsidRPr="00A54647">
        <w:rPr>
          <w:color w:val="000000" w:themeColor="text1"/>
        </w:rPr>
        <w:t xml:space="preserve">resulted from the previous version that was disseminated to the RSC members prior to the RSC#85 meeting for their comments, and the comments received thereafter. The discussion was focused on the comments received from two Member States. </w:t>
      </w:r>
      <w:r w:rsidRPr="00A54647" w:rsidDel="003C278A">
        <w:rPr>
          <w:color w:val="000000" w:themeColor="text1"/>
        </w:rPr>
        <w:t>After the meeting, the Commission services sent out the revised</w:t>
      </w:r>
      <w:r w:rsidRPr="00A54647">
        <w:rPr>
          <w:color w:val="000000" w:themeColor="text1"/>
        </w:rPr>
        <w:t xml:space="preserve"> version of the</w:t>
      </w:r>
      <w:r w:rsidRPr="00A54647" w:rsidDel="003C278A">
        <w:rPr>
          <w:color w:val="000000" w:themeColor="text1"/>
        </w:rPr>
        <w:t xml:space="preserve"> draft </w:t>
      </w:r>
      <w:r w:rsidR="00AC10C3">
        <w:rPr>
          <w:color w:val="000000" w:themeColor="text1"/>
        </w:rPr>
        <w:t xml:space="preserve">EU </w:t>
      </w:r>
      <w:r w:rsidRPr="00A54647" w:rsidDel="003C278A">
        <w:rPr>
          <w:color w:val="000000" w:themeColor="text1"/>
        </w:rPr>
        <w:t>roadmap (RSCOM24-09rev2)</w:t>
      </w:r>
      <w:r w:rsidRPr="00A54647">
        <w:rPr>
          <w:color w:val="000000" w:themeColor="text1"/>
        </w:rPr>
        <w:t>, reflecting the outcome of the discussion,</w:t>
      </w:r>
      <w:r w:rsidRPr="00A54647" w:rsidDel="003C278A">
        <w:rPr>
          <w:color w:val="000000" w:themeColor="text1"/>
        </w:rPr>
        <w:t xml:space="preserve"> on which </w:t>
      </w:r>
      <w:r w:rsidRPr="00A54647">
        <w:rPr>
          <w:color w:val="000000" w:themeColor="text1"/>
        </w:rPr>
        <w:t xml:space="preserve">the </w:t>
      </w:r>
      <w:r w:rsidRPr="00A54647" w:rsidDel="003C278A">
        <w:rPr>
          <w:color w:val="000000" w:themeColor="text1"/>
        </w:rPr>
        <w:t xml:space="preserve">RSC members </w:t>
      </w:r>
      <w:r w:rsidR="006371B6">
        <w:rPr>
          <w:color w:val="000000" w:themeColor="text1"/>
        </w:rPr>
        <w:t>could</w:t>
      </w:r>
      <w:r w:rsidRPr="00A54647" w:rsidDel="003C278A">
        <w:rPr>
          <w:color w:val="000000" w:themeColor="text1"/>
        </w:rPr>
        <w:t xml:space="preserve"> provide written comments by 29 March 2024</w:t>
      </w:r>
      <w:r w:rsidR="006371B6" w:rsidRPr="00AC10C3">
        <w:rPr>
          <w:color w:val="000000" w:themeColor="text1"/>
        </w:rPr>
        <w:t>.</w:t>
      </w:r>
      <w:r w:rsidR="00BB5D0F" w:rsidRPr="00AC10C3">
        <w:rPr>
          <w:color w:val="000000" w:themeColor="text1"/>
        </w:rPr>
        <w:t xml:space="preserve"> </w:t>
      </w:r>
      <w:r w:rsidR="00AC10C3" w:rsidRPr="00AC10C3">
        <w:rPr>
          <w:color w:val="000000" w:themeColor="text1"/>
        </w:rPr>
        <w:t xml:space="preserve">Following the finalisation, in April 2024 </w:t>
      </w:r>
      <w:r w:rsidR="00BB5D0F" w:rsidRPr="00AC10C3">
        <w:rPr>
          <w:color w:val="000000" w:themeColor="text1"/>
        </w:rPr>
        <w:t xml:space="preserve">the </w:t>
      </w:r>
      <w:r w:rsidR="00BB5D0F" w:rsidRPr="00AC10C3">
        <w:t xml:space="preserve">first official version of the </w:t>
      </w:r>
      <w:r w:rsidR="00AC10C3" w:rsidRPr="00AC10C3">
        <w:t xml:space="preserve">EU roadmap </w:t>
      </w:r>
      <w:bookmarkStart w:id="0" w:name="_Hlk169729170"/>
      <w:r w:rsidR="00BB5D0F" w:rsidRPr="00AC10C3">
        <w:rPr>
          <w:color w:val="000000" w:themeColor="text1"/>
        </w:rPr>
        <w:t xml:space="preserve">was </w:t>
      </w:r>
      <w:r w:rsidR="006371B6" w:rsidRPr="00AC10C3">
        <w:rPr>
          <w:color w:val="000000" w:themeColor="text1"/>
        </w:rPr>
        <w:t>disseminate</w:t>
      </w:r>
      <w:r w:rsidR="00BB5D0F" w:rsidRPr="00AC10C3">
        <w:rPr>
          <w:color w:val="000000" w:themeColor="text1"/>
        </w:rPr>
        <w:t>d</w:t>
      </w:r>
      <w:r w:rsidR="006371B6" w:rsidRPr="00AC10C3">
        <w:rPr>
          <w:color w:val="000000" w:themeColor="text1"/>
        </w:rPr>
        <w:t xml:space="preserve"> </w:t>
      </w:r>
      <w:r w:rsidRPr="00AC10C3">
        <w:rPr>
          <w:color w:val="000000" w:themeColor="text1"/>
        </w:rPr>
        <w:t xml:space="preserve">to the respective stakeholders of both the telecommunications and aviation communities. </w:t>
      </w:r>
      <w:bookmarkEnd w:id="0"/>
      <w:r w:rsidRPr="00AC10C3">
        <w:rPr>
          <w:color w:val="000000" w:themeColor="text1"/>
        </w:rPr>
        <w:t>The Commission services i</w:t>
      </w:r>
      <w:r w:rsidRPr="00A54647">
        <w:rPr>
          <w:color w:val="000000" w:themeColor="text1"/>
        </w:rPr>
        <w:t xml:space="preserve">nformed that </w:t>
      </w:r>
      <w:r w:rsidR="00E6095B">
        <w:rPr>
          <w:color w:val="000000" w:themeColor="text1"/>
        </w:rPr>
        <w:t>the</w:t>
      </w:r>
      <w:r w:rsidRPr="00A54647">
        <w:rPr>
          <w:color w:val="000000" w:themeColor="text1"/>
        </w:rPr>
        <w:t xml:space="preserve"> EU roadmap (including its implementation progress) will be discussed again in the RSC#88 meeting (December 2024). </w:t>
      </w:r>
    </w:p>
    <w:p w14:paraId="1AE89055" w14:textId="0C3DC43C" w:rsidR="00101DB8" w:rsidRDefault="00101DB8" w:rsidP="00101DB8">
      <w:pPr>
        <w:pStyle w:val="Heading2"/>
        <w:rPr>
          <w:rStyle w:val="ECCParagraph"/>
          <w:szCs w:val="22"/>
        </w:rPr>
      </w:pPr>
      <w:r w:rsidRPr="00101DB8">
        <w:rPr>
          <w:rStyle w:val="ECCParagraph"/>
          <w:szCs w:val="22"/>
        </w:rPr>
        <w:t xml:space="preserve">400 MHz frequency band </w:t>
      </w:r>
      <w:r>
        <w:rPr>
          <w:rStyle w:val="ECCParagraph"/>
          <w:szCs w:val="22"/>
        </w:rPr>
        <w:t>/</w:t>
      </w:r>
      <w:r w:rsidRPr="00101DB8">
        <w:rPr>
          <w:rStyle w:val="ECCParagraph"/>
          <w:szCs w:val="22"/>
        </w:rPr>
        <w:t xml:space="preserve"> utilities</w:t>
      </w:r>
    </w:p>
    <w:p w14:paraId="3088C85A" w14:textId="220F654F" w:rsidR="00A54647" w:rsidRPr="00B126F7" w:rsidRDefault="00A54647" w:rsidP="00A54647">
      <w:pPr>
        <w:pStyle w:val="ListParagraph"/>
        <w:spacing w:before="100" w:beforeAutospacing="1" w:after="100" w:afterAutospacing="1" w:line="360" w:lineRule="auto"/>
        <w:ind w:left="0" w:right="22"/>
        <w:rPr>
          <w:rStyle w:val="ECCParagraph"/>
        </w:rPr>
      </w:pPr>
      <w:r w:rsidRPr="43275B95">
        <w:rPr>
          <w:color w:val="000000" w:themeColor="text1"/>
        </w:rPr>
        <w:t xml:space="preserve">The Commission services presented a discussion </w:t>
      </w:r>
      <w:r>
        <w:rPr>
          <w:color w:val="000000" w:themeColor="text1"/>
        </w:rPr>
        <w:t>paper</w:t>
      </w:r>
      <w:r w:rsidRPr="43275B95">
        <w:rPr>
          <w:color w:val="000000" w:themeColor="text1"/>
        </w:rPr>
        <w:t xml:space="preserve"> </w:t>
      </w:r>
      <w:r w:rsidRPr="009D4DF7">
        <w:rPr>
          <w:color w:val="000000" w:themeColor="text1"/>
        </w:rPr>
        <w:t>(</w:t>
      </w:r>
      <w:r w:rsidRPr="0041788A">
        <w:rPr>
          <w:color w:val="000000" w:themeColor="text1"/>
        </w:rPr>
        <w:t>RSCOM24-12</w:t>
      </w:r>
      <w:r w:rsidRPr="009D4DF7">
        <w:rPr>
          <w:color w:val="000000" w:themeColor="text1"/>
        </w:rPr>
        <w:t>)</w:t>
      </w:r>
      <w:r w:rsidRPr="00375E7A">
        <w:rPr>
          <w:color w:val="000000" w:themeColor="text1"/>
        </w:rPr>
        <w:t xml:space="preserve"> </w:t>
      </w:r>
      <w:r w:rsidRPr="43275B95">
        <w:rPr>
          <w:color w:val="000000" w:themeColor="text1"/>
        </w:rPr>
        <w:t>on the possible need for EU-harmonised spectrum in the 400 MHz frequency range for priority use by terrestrial wireless systems providing wide-area private network connectivity for utilities. That document had been sent prior to the RSC#85 meeting for possible written comments. One Member State submitted written comments in advance of the RSC#85 meeting, while several Member States expressed their views during the meeting. All the views converged that</w:t>
      </w:r>
      <w:r w:rsidRPr="00537C5C">
        <w:rPr>
          <w:color w:val="000000" w:themeColor="text1"/>
        </w:rPr>
        <w:t xml:space="preserve"> </w:t>
      </w:r>
      <w:r>
        <w:rPr>
          <w:color w:val="000000" w:themeColor="text1"/>
        </w:rPr>
        <w:t>in</w:t>
      </w:r>
      <w:r w:rsidRPr="43275B95">
        <w:rPr>
          <w:color w:val="000000" w:themeColor="text1"/>
        </w:rPr>
        <w:t xml:space="preserve"> relation to the use of the 400 MHz frequency range, the situation in the Member States </w:t>
      </w:r>
      <w:r>
        <w:rPr>
          <w:color w:val="000000" w:themeColor="text1"/>
        </w:rPr>
        <w:t xml:space="preserve">is diversified and there </w:t>
      </w:r>
      <w:r w:rsidRPr="43275B95">
        <w:rPr>
          <w:color w:val="000000" w:themeColor="text1"/>
        </w:rPr>
        <w:t>exist</w:t>
      </w:r>
      <w:r>
        <w:rPr>
          <w:color w:val="000000" w:themeColor="text1"/>
        </w:rPr>
        <w:t>s</w:t>
      </w:r>
      <w:r w:rsidRPr="43275B95">
        <w:rPr>
          <w:color w:val="000000" w:themeColor="text1"/>
        </w:rPr>
        <w:t xml:space="preserve"> </w:t>
      </w:r>
      <w:r>
        <w:rPr>
          <w:color w:val="000000" w:themeColor="text1"/>
        </w:rPr>
        <w:t xml:space="preserve">a </w:t>
      </w:r>
      <w:r w:rsidRPr="43275B95">
        <w:rPr>
          <w:color w:val="000000" w:themeColor="text1"/>
        </w:rPr>
        <w:t xml:space="preserve">regulatory framework already provided by the CEPT. Possible additional written comments by the </w:t>
      </w:r>
      <w:r>
        <w:t xml:space="preserve">RSC </w:t>
      </w:r>
      <w:r w:rsidRPr="00F669E7">
        <w:t>members</w:t>
      </w:r>
      <w:r>
        <w:t xml:space="preserve"> </w:t>
      </w:r>
      <w:r w:rsidR="0041788A">
        <w:t>could</w:t>
      </w:r>
      <w:r>
        <w:t xml:space="preserve"> be provided by 30 April 2024.</w:t>
      </w:r>
    </w:p>
    <w:p w14:paraId="68F03ED8" w14:textId="77777777" w:rsidR="00101DB8" w:rsidRDefault="00101DB8" w:rsidP="00101DB8">
      <w:pPr>
        <w:spacing w:line="360" w:lineRule="auto"/>
        <w:rPr>
          <w:rStyle w:val="ECCParagraph"/>
        </w:rPr>
      </w:pPr>
    </w:p>
    <w:p w14:paraId="278BD1DA" w14:textId="0AA4A23A" w:rsidR="00101DB8" w:rsidRDefault="00101DB8" w:rsidP="00101DB8">
      <w:pPr>
        <w:spacing w:line="360" w:lineRule="auto"/>
        <w:rPr>
          <w:rStyle w:val="ECCParagraph"/>
        </w:rPr>
      </w:pPr>
      <w:r>
        <w:rPr>
          <w:rStyle w:val="ECCParagraph"/>
        </w:rPr>
        <w:t>The next RSC meeting (RSC#86</w:t>
      </w:r>
      <w:r w:rsidRPr="00125A76">
        <w:rPr>
          <w:rStyle w:val="ECCParagraph"/>
        </w:rPr>
        <w:t>) is scheduled for</w:t>
      </w:r>
      <w:r>
        <w:rPr>
          <w:rStyle w:val="ECCParagraph"/>
        </w:rPr>
        <w:t xml:space="preserve"> 3 July 2024</w:t>
      </w:r>
      <w:r w:rsidRPr="00125A76">
        <w:rPr>
          <w:rStyle w:val="ECCParagraph"/>
        </w:rPr>
        <w:t>.</w:t>
      </w:r>
      <w:r>
        <w:rPr>
          <w:rStyle w:val="ECCParagraph"/>
        </w:rPr>
        <w:t xml:space="preserve"> </w:t>
      </w:r>
    </w:p>
    <w:p w14:paraId="7FC882AC" w14:textId="77777777" w:rsidR="0041788A" w:rsidRPr="00B126F7" w:rsidRDefault="0041788A" w:rsidP="0041788A">
      <w:pPr>
        <w:pStyle w:val="Heading1"/>
        <w:rPr>
          <w:rStyle w:val="ECCParagraph"/>
        </w:rPr>
      </w:pPr>
      <w:r w:rsidRPr="00B126F7">
        <w:rPr>
          <w:rStyle w:val="ECCParagraph"/>
        </w:rPr>
        <w:t>Radio Spectrum Policy Group (RSPG)</w:t>
      </w:r>
    </w:p>
    <w:p w14:paraId="4A49FF56" w14:textId="4BAAB550" w:rsidR="0041788A" w:rsidRDefault="0041788A" w:rsidP="0041788A">
      <w:pPr>
        <w:spacing w:line="360" w:lineRule="auto"/>
        <w:rPr>
          <w:rStyle w:val="ECCParagraph"/>
        </w:rPr>
      </w:pPr>
      <w:r w:rsidRPr="00B126F7">
        <w:rPr>
          <w:rStyle w:val="ECCParagraph"/>
        </w:rPr>
        <w:t xml:space="preserve">There </w:t>
      </w:r>
      <w:r>
        <w:rPr>
          <w:rStyle w:val="ECCParagraph"/>
        </w:rPr>
        <w:t>was one</w:t>
      </w:r>
      <w:r w:rsidRPr="00B126F7">
        <w:rPr>
          <w:rStyle w:val="ECCParagraph"/>
        </w:rPr>
        <w:t xml:space="preserve"> RSPG </w:t>
      </w:r>
      <w:r>
        <w:rPr>
          <w:rStyle w:val="ECCParagraph"/>
        </w:rPr>
        <w:t>p</w:t>
      </w:r>
      <w:r w:rsidRPr="00B126F7">
        <w:rPr>
          <w:rStyle w:val="ECCParagraph"/>
        </w:rPr>
        <w:t>lenary meeting in the reporting period</w:t>
      </w:r>
      <w:r>
        <w:rPr>
          <w:rStyle w:val="ECCParagraph"/>
        </w:rPr>
        <w:t xml:space="preserve">, </w:t>
      </w:r>
      <w:r w:rsidRPr="008450B2">
        <w:rPr>
          <w:rStyle w:val="ECCParagraph"/>
        </w:rPr>
        <w:t>RSPG#6</w:t>
      </w:r>
      <w:r>
        <w:rPr>
          <w:rStyle w:val="ECCParagraph"/>
        </w:rPr>
        <w:t>4</w:t>
      </w:r>
      <w:r w:rsidRPr="008450B2">
        <w:rPr>
          <w:rStyle w:val="ECCParagraph"/>
        </w:rPr>
        <w:t xml:space="preserve"> of </w:t>
      </w:r>
      <w:r>
        <w:rPr>
          <w:rStyle w:val="ECCParagraph"/>
        </w:rPr>
        <w:t>18 June 2024, with the following outcomes</w:t>
      </w:r>
      <w:r w:rsidR="006263E6">
        <w:rPr>
          <w:rStyle w:val="ECCParagraph"/>
        </w:rPr>
        <w:t>:</w:t>
      </w:r>
    </w:p>
    <w:p w14:paraId="1372DADE" w14:textId="1F13A70C" w:rsidR="0041788A" w:rsidRDefault="0041788A" w:rsidP="0041788A">
      <w:pPr>
        <w:spacing w:line="360" w:lineRule="auto"/>
      </w:pPr>
      <w:r>
        <w:t xml:space="preserve">The RSPG agreed to adopt: </w:t>
      </w:r>
    </w:p>
    <w:p w14:paraId="2076528A" w14:textId="1E13025A" w:rsidR="00C82C1E" w:rsidRDefault="00C82C1E" w:rsidP="0041788A">
      <w:pPr>
        <w:pStyle w:val="ListParagraph"/>
        <w:numPr>
          <w:ilvl w:val="0"/>
          <w:numId w:val="46"/>
        </w:numPr>
        <w:spacing w:before="100" w:beforeAutospacing="1" w:after="100" w:afterAutospacing="1" w:line="360" w:lineRule="auto"/>
        <w:ind w:right="22"/>
      </w:pPr>
      <w:r w:rsidRPr="00C82C1E">
        <w:lastRenderedPageBreak/>
        <w:t>Opinion on “How to master Europe's digital infrastructure needs?”</w:t>
      </w:r>
    </w:p>
    <w:p w14:paraId="222A04D3" w14:textId="5EA022B0" w:rsidR="00C82C1E" w:rsidRPr="00C82C1E" w:rsidRDefault="00C82C1E" w:rsidP="00C82C1E">
      <w:pPr>
        <w:pStyle w:val="ListParagraph"/>
        <w:numPr>
          <w:ilvl w:val="0"/>
          <w:numId w:val="46"/>
        </w:numPr>
        <w:spacing w:before="100" w:beforeAutospacing="1" w:after="100" w:afterAutospacing="1" w:line="360" w:lineRule="auto"/>
        <w:ind w:right="22"/>
      </w:pPr>
      <w:r w:rsidRPr="00C82C1E">
        <w:t>Report on the result of the ITU-R World Radiocommunication Conference 2023</w:t>
      </w:r>
    </w:p>
    <w:p w14:paraId="1E902EB3" w14:textId="004C2731" w:rsidR="00C82C1E" w:rsidRDefault="00C82C1E" w:rsidP="00C82C1E">
      <w:pPr>
        <w:spacing w:before="100" w:beforeAutospacing="1" w:after="100" w:afterAutospacing="1" w:line="360" w:lineRule="auto"/>
        <w:ind w:right="22"/>
      </w:pPr>
      <w:r>
        <w:t xml:space="preserve">The RSPG </w:t>
      </w:r>
      <w:r w:rsidR="006263E6">
        <w:t>accepted</w:t>
      </w:r>
      <w:r>
        <w:t xml:space="preserve"> the </w:t>
      </w:r>
      <w:r w:rsidRPr="00C82C1E">
        <w:t>Commission</w:t>
      </w:r>
      <w:r>
        <w:t>’s</w:t>
      </w:r>
      <w:r w:rsidRPr="00C82C1E">
        <w:t xml:space="preserve"> request</w:t>
      </w:r>
      <w:r>
        <w:t xml:space="preserve"> for</w:t>
      </w:r>
      <w:r w:rsidRPr="00C82C1E">
        <w:t xml:space="preserve"> an Opinion on the EU-level policy approach to the use of satellite Direct- to- Device connectivity and related Single Market issues</w:t>
      </w:r>
      <w:r w:rsidR="003D5D0D">
        <w:t>.</w:t>
      </w:r>
    </w:p>
    <w:p w14:paraId="40E361A5" w14:textId="77777777" w:rsidR="00C82C1E" w:rsidRDefault="00C82C1E" w:rsidP="0041788A">
      <w:pPr>
        <w:spacing w:line="360" w:lineRule="auto"/>
        <w:rPr>
          <w:rStyle w:val="ECCParagraph"/>
        </w:rPr>
      </w:pPr>
    </w:p>
    <w:p w14:paraId="6E21B65B" w14:textId="23098FEE" w:rsidR="0041788A" w:rsidRDefault="0041788A" w:rsidP="0041788A">
      <w:pPr>
        <w:spacing w:line="360" w:lineRule="auto"/>
        <w:rPr>
          <w:rStyle w:val="ECCParagraph"/>
        </w:rPr>
      </w:pPr>
      <w:r>
        <w:rPr>
          <w:rStyle w:val="ECCParagraph"/>
        </w:rPr>
        <w:t>The next RSPG plenary meeting (RSPG#6</w:t>
      </w:r>
      <w:r w:rsidR="00C82C1E">
        <w:rPr>
          <w:rStyle w:val="ECCParagraph"/>
        </w:rPr>
        <w:t>5</w:t>
      </w:r>
      <w:r w:rsidRPr="00125A76">
        <w:rPr>
          <w:rStyle w:val="ECCParagraph"/>
        </w:rPr>
        <w:t>) is scheduled for</w:t>
      </w:r>
      <w:r>
        <w:rPr>
          <w:rStyle w:val="ECCParagraph"/>
        </w:rPr>
        <w:t xml:space="preserve"> 1</w:t>
      </w:r>
      <w:r w:rsidR="00C82C1E">
        <w:rPr>
          <w:rStyle w:val="ECCParagraph"/>
        </w:rPr>
        <w:t>3</w:t>
      </w:r>
      <w:r>
        <w:rPr>
          <w:rStyle w:val="ECCParagraph"/>
        </w:rPr>
        <w:t xml:space="preserve"> </w:t>
      </w:r>
      <w:r w:rsidR="00C82C1E">
        <w:rPr>
          <w:rStyle w:val="ECCParagraph"/>
        </w:rPr>
        <w:t xml:space="preserve">November </w:t>
      </w:r>
      <w:r>
        <w:rPr>
          <w:rStyle w:val="ECCParagraph"/>
        </w:rPr>
        <w:t>2024</w:t>
      </w:r>
      <w:r w:rsidRPr="00125A76">
        <w:rPr>
          <w:rStyle w:val="ECCParagraph"/>
        </w:rPr>
        <w:t>.</w:t>
      </w:r>
    </w:p>
    <w:p w14:paraId="52D93DD5" w14:textId="6AE1DA68" w:rsidR="00FA0662" w:rsidRDefault="00FA0662" w:rsidP="004C390D">
      <w:pPr>
        <w:pStyle w:val="Heading1"/>
        <w:ind w:left="431" w:hanging="431"/>
        <w:rPr>
          <w:rStyle w:val="ECCParagraph"/>
        </w:rPr>
      </w:pPr>
      <w:r>
        <w:rPr>
          <w:rStyle w:val="ECCParagraph"/>
        </w:rPr>
        <w:t xml:space="preserve">Other relevant outcomes </w:t>
      </w:r>
    </w:p>
    <w:p w14:paraId="6717AF38" w14:textId="3B49E568" w:rsidR="00C82C1E" w:rsidRPr="00F24AED" w:rsidRDefault="00F24AED" w:rsidP="00F24AED">
      <w:pPr>
        <w:spacing w:line="360" w:lineRule="auto"/>
        <w:rPr>
          <w:color w:val="000000" w:themeColor="text1"/>
        </w:rPr>
      </w:pPr>
      <w:r>
        <w:rPr>
          <w:color w:val="000000" w:themeColor="text1"/>
        </w:rPr>
        <w:t>On 22</w:t>
      </w:r>
      <w:r w:rsidR="00C82C1E" w:rsidRPr="00F24AED">
        <w:rPr>
          <w:color w:val="000000" w:themeColor="text1"/>
        </w:rPr>
        <w:t xml:space="preserve"> April 2024, the </w:t>
      </w:r>
      <w:r w:rsidR="00C82C1E" w:rsidRPr="00F24AED">
        <w:t>final</w:t>
      </w:r>
      <w:r w:rsidR="00C82C1E" w:rsidRPr="00F24AED">
        <w:rPr>
          <w:color w:val="000000" w:themeColor="text1"/>
        </w:rPr>
        <w:t xml:space="preserve"> report of the </w:t>
      </w:r>
      <w:hyperlink r:id="rId13" w:anchor=":~:text=22%20April%202024-,Study%20on%20Radio%20Spectrum%20Policy%20Programme%3A%20taking%20stock%20and%20discussing,management%20within%20the%20European%20Union." w:history="1">
        <w:r w:rsidR="00C82C1E" w:rsidRPr="00F24AED">
          <w:rPr>
            <w:rStyle w:val="Hyperlink"/>
          </w:rPr>
          <w:t>study on Radio Spectrum Policy Programme: taking stock and discussing future scenarios</w:t>
        </w:r>
      </w:hyperlink>
      <w:r w:rsidR="00C82C1E" w:rsidRPr="00F24AED">
        <w:rPr>
          <w:color w:val="000000" w:themeColor="text1"/>
        </w:rPr>
        <w:t xml:space="preserve"> was published. The study was conducted by VVA Brussels, PolicyTracker, and LS telcom.</w:t>
      </w:r>
    </w:p>
    <w:p w14:paraId="12A9F1DB" w14:textId="77777777" w:rsidR="00C82C1E" w:rsidRPr="00F24AED" w:rsidRDefault="00C82C1E" w:rsidP="00F24AED">
      <w:pPr>
        <w:spacing w:line="360" w:lineRule="auto"/>
        <w:rPr>
          <w:color w:val="000000" w:themeColor="text1"/>
        </w:rPr>
      </w:pPr>
      <w:r w:rsidRPr="00F24AED">
        <w:rPr>
          <w:color w:val="000000" w:themeColor="text1"/>
        </w:rPr>
        <w:t xml:space="preserve">The goal </w:t>
      </w:r>
      <w:r w:rsidRPr="00F24AED">
        <w:t>of</w:t>
      </w:r>
      <w:r w:rsidRPr="00F24AED">
        <w:rPr>
          <w:color w:val="000000" w:themeColor="text1"/>
        </w:rPr>
        <w:t xml:space="preserve"> the study was to enable policymakers to take comprehensive and informed decisions in the field of radio spectrum management within the European Union.</w:t>
      </w:r>
    </w:p>
    <w:p w14:paraId="1CB0115D" w14:textId="77777777" w:rsidR="00C82C1E" w:rsidRPr="00F24AED" w:rsidRDefault="00C82C1E" w:rsidP="00F24AED">
      <w:pPr>
        <w:spacing w:line="360" w:lineRule="auto"/>
        <w:rPr>
          <w:color w:val="000000" w:themeColor="text1"/>
        </w:rPr>
      </w:pPr>
      <w:r w:rsidRPr="00F24AED">
        <w:rPr>
          <w:color w:val="000000" w:themeColor="text1"/>
        </w:rPr>
        <w:t xml:space="preserve">The final report could serve as a basis for an impact assessment that would be required, in accordance with the Better Regulation Guidelines, to accompany any possible future legislative initiative aiming (i) to enhance the EU sovereignty in radio spectrum management, (ii) foster the single market perspective and (iii) further promote the efficient use of radio spectrum, including addressing future spectrum needs. </w:t>
      </w:r>
    </w:p>
    <w:p w14:paraId="2996D61B" w14:textId="77777777" w:rsidR="00C82C1E" w:rsidRDefault="00C82C1E" w:rsidP="00F24AED">
      <w:pPr>
        <w:spacing w:line="360" w:lineRule="auto"/>
        <w:rPr>
          <w:color w:val="000000" w:themeColor="text1"/>
        </w:rPr>
      </w:pPr>
      <w:r w:rsidRPr="00F24AED">
        <w:rPr>
          <w:color w:val="000000" w:themeColor="text1"/>
        </w:rPr>
        <w:t>In this context, the report describes the current state of application of the Radio Spectrum Policy Programme (collecting information, evaluating completed actions, identifying obsolete provisions, and assessing the ongoing relevance of key objectives and principles). The report focusses on identifying and describing problems, refining objectives, establishing a baseline scenario, formulating policy options, and assessing their potential impacts, costs, and benefits. The assessment incorporates both quantitative and qualitative analyses, aligning with the Better Regulation Guidelines. The report outlines arrangements for post-implementation monitoring and evaluation, ensuring the policy's intended results are achieved.</w:t>
      </w:r>
    </w:p>
    <w:p w14:paraId="3C61CE00" w14:textId="21BB5470" w:rsidR="004C51A7" w:rsidRDefault="004C51A7" w:rsidP="00F24AED">
      <w:pPr>
        <w:spacing w:line="360" w:lineRule="auto"/>
        <w:rPr>
          <w:color w:val="000000" w:themeColor="text1"/>
        </w:rPr>
      </w:pPr>
      <w:r>
        <w:rPr>
          <w:color w:val="000000" w:themeColor="text1"/>
        </w:rPr>
        <w:t>*</w:t>
      </w:r>
    </w:p>
    <w:p w14:paraId="3FD15828" w14:textId="77777777" w:rsidR="004C51A7" w:rsidRPr="004C51A7" w:rsidRDefault="004C51A7" w:rsidP="004C51A7">
      <w:pPr>
        <w:spacing w:line="360" w:lineRule="auto"/>
        <w:rPr>
          <w:color w:val="000000" w:themeColor="text1"/>
        </w:rPr>
      </w:pPr>
      <w:r w:rsidRPr="004C51A7">
        <w:rPr>
          <w:color w:val="000000" w:themeColor="text1"/>
        </w:rPr>
        <w:t>The European Council of 30 June 2023 called “for an independent High-Level Report on the future of the Single Market to be presented at its meeting of March 2024 and invites the incoming presidencies of the Council and the Commission to take this work forward, in consultation with the Member States”.</w:t>
      </w:r>
    </w:p>
    <w:p w14:paraId="7C4370C8" w14:textId="77777777" w:rsidR="004C51A7" w:rsidRPr="008B2BB2" w:rsidRDefault="004C51A7" w:rsidP="004C51A7">
      <w:pPr>
        <w:spacing w:line="360" w:lineRule="auto"/>
        <w:rPr>
          <w:lang w:val="en-IE"/>
        </w:rPr>
      </w:pPr>
      <w:r>
        <w:rPr>
          <w:bCs/>
          <w:iCs/>
          <w:lang w:val="en-IE"/>
        </w:rPr>
        <w:t>In</w:t>
      </w:r>
      <w:r w:rsidRPr="008B2BB2">
        <w:rPr>
          <w:lang w:val="en-IE"/>
        </w:rPr>
        <w:t xml:space="preserve"> April </w:t>
      </w:r>
      <w:r w:rsidRPr="004C51A7">
        <w:rPr>
          <w:color w:val="000000" w:themeColor="text1"/>
        </w:rPr>
        <w:t>2024</w:t>
      </w:r>
      <w:r w:rsidRPr="008B2BB2">
        <w:rPr>
          <w:lang w:val="en-IE"/>
        </w:rPr>
        <w:t xml:space="preserve">, Enrico Letta presented </w:t>
      </w:r>
      <w:r>
        <w:rPr>
          <w:lang w:val="en-IE"/>
        </w:rPr>
        <w:t xml:space="preserve">a </w:t>
      </w:r>
      <w:r w:rsidRPr="008B2BB2">
        <w:rPr>
          <w:lang w:val="en-IE"/>
        </w:rPr>
        <w:t>report on the single market entitled "</w:t>
      </w:r>
      <w:hyperlink r:id="rId14" w:history="1">
        <w:r w:rsidRPr="004C51A7">
          <w:rPr>
            <w:rStyle w:val="Hyperlink"/>
            <w:lang w:val="en-IE"/>
          </w:rPr>
          <w:t>Much more than a Market</w:t>
        </w:r>
      </w:hyperlink>
      <w:r w:rsidRPr="008B2BB2">
        <w:rPr>
          <w:lang w:val="en-IE"/>
        </w:rPr>
        <w:t xml:space="preserve">". </w:t>
      </w:r>
    </w:p>
    <w:p w14:paraId="268161B2" w14:textId="4D7F5E47" w:rsidR="004C51A7" w:rsidRPr="00F24AED" w:rsidRDefault="004C51A7" w:rsidP="00F24AED">
      <w:pPr>
        <w:spacing w:line="360" w:lineRule="auto"/>
        <w:rPr>
          <w:color w:val="000000" w:themeColor="text1"/>
        </w:rPr>
      </w:pPr>
      <w:r w:rsidRPr="00D80A9B">
        <w:rPr>
          <w:color w:val="000000" w:themeColor="text1"/>
        </w:rPr>
        <w:t xml:space="preserve">The report sets out recommendations on how to strengthen the single market to ensure a sustainable future and prosperity for all EU citizens. Among others, it proposes a number of measures and a roadmap to ensure the creation of an effective single market for electronic communications networks and services. </w:t>
      </w:r>
    </w:p>
    <w:sectPr w:rsidR="004C51A7" w:rsidRPr="00F24AED" w:rsidSect="00797DEE">
      <w:headerReference w:type="even" r:id="rId15"/>
      <w:headerReference w:type="default" r:id="rId16"/>
      <w:footerReference w:type="even" r:id="rId17"/>
      <w:footerReference w:type="default" r:id="rId18"/>
      <w:headerReference w:type="first" r:id="rId19"/>
      <w:footerReference w:type="first" r:id="rId2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50D9" w14:textId="77777777" w:rsidR="00521563" w:rsidRDefault="00521563" w:rsidP="00DB17F9">
      <w:r>
        <w:separator/>
      </w:r>
    </w:p>
    <w:p w14:paraId="21144FCE" w14:textId="77777777" w:rsidR="00521563" w:rsidRDefault="00521563"/>
  </w:endnote>
  <w:endnote w:type="continuationSeparator" w:id="0">
    <w:p w14:paraId="599602F7" w14:textId="77777777" w:rsidR="00521563" w:rsidRDefault="00521563" w:rsidP="00DB17F9">
      <w:r>
        <w:continuationSeparator/>
      </w:r>
    </w:p>
    <w:p w14:paraId="6AFCB16B" w14:textId="77777777" w:rsidR="00521563" w:rsidRDefault="0052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67C9" w14:textId="77777777" w:rsidR="00F34FEF" w:rsidRDefault="00F3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432F" w14:textId="77777777" w:rsidR="00F34FEF" w:rsidRDefault="00F3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BD8C" w14:textId="77777777" w:rsidR="00F34FEF" w:rsidRDefault="00F3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E422" w14:textId="77777777" w:rsidR="00521563" w:rsidRPr="00F51BD6" w:rsidRDefault="00521563" w:rsidP="00CD07E7">
      <w:pPr>
        <w:spacing w:before="120" w:after="0"/>
      </w:pPr>
      <w:r>
        <w:separator/>
      </w:r>
    </w:p>
  </w:footnote>
  <w:footnote w:type="continuationSeparator" w:id="0">
    <w:p w14:paraId="0208D1FD" w14:textId="77777777" w:rsidR="00521563" w:rsidRDefault="00521563" w:rsidP="00CD07E7">
      <w:pPr>
        <w:spacing w:before="120" w:after="0"/>
      </w:pPr>
      <w:r>
        <w:continuationSeparator/>
      </w:r>
    </w:p>
  </w:footnote>
  <w:footnote w:type="continuationNotice" w:id="1">
    <w:p w14:paraId="0A1428FF" w14:textId="77777777" w:rsidR="00521563" w:rsidRPr="00CD07E7" w:rsidRDefault="00521563"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406706D2"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4B666F">
      <w:rPr>
        <w:noProof/>
      </w:rPr>
      <w:t>4</w:t>
    </w:r>
    <w:r w:rsidRPr="00714F0F">
      <w:fldChar w:fldCharType="end"/>
    </w:r>
  </w:p>
  <w:p w14:paraId="74496E01"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CAD8" w14:textId="77777777" w:rsidR="00F34FEF" w:rsidRDefault="00F34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26.5pt;height:59pt" o:bullet="t">
        <v:imagedata r:id="rId1" o:title="Editor's Note"/>
      </v:shape>
    </w:pict>
  </w:numPicBullet>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84681C7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E1737B"/>
    <w:multiLevelType w:val="hybridMultilevel"/>
    <w:tmpl w:val="53EACC00"/>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864BA8"/>
    <w:multiLevelType w:val="hybridMultilevel"/>
    <w:tmpl w:val="5ABA1812"/>
    <w:lvl w:ilvl="0" w:tplc="C1404374">
      <w:start w:val="1"/>
      <w:numFmt w:val="bullet"/>
      <w:lvlText w:val=""/>
      <w:lvlJc w:val="left"/>
      <w:pPr>
        <w:ind w:left="720" w:hanging="360"/>
      </w:pPr>
      <w:rPr>
        <w:rFonts w:ascii="Symbol" w:hAnsi="Symbol" w:hint="default"/>
      </w:rPr>
    </w:lvl>
    <w:lvl w:ilvl="1" w:tplc="10280FD2">
      <w:start w:val="1"/>
      <w:numFmt w:val="bullet"/>
      <w:lvlText w:val="o"/>
      <w:lvlJc w:val="left"/>
      <w:pPr>
        <w:ind w:left="1440" w:hanging="360"/>
      </w:pPr>
      <w:rPr>
        <w:rFonts w:ascii="Courier New" w:hAnsi="Courier New" w:hint="default"/>
      </w:rPr>
    </w:lvl>
    <w:lvl w:ilvl="2" w:tplc="50CAD228">
      <w:start w:val="1"/>
      <w:numFmt w:val="bullet"/>
      <w:lvlText w:val=""/>
      <w:lvlJc w:val="left"/>
      <w:pPr>
        <w:ind w:left="2160" w:hanging="360"/>
      </w:pPr>
      <w:rPr>
        <w:rFonts w:ascii="Wingdings" w:hAnsi="Wingdings" w:hint="default"/>
      </w:rPr>
    </w:lvl>
    <w:lvl w:ilvl="3" w:tplc="CDFCD08E">
      <w:start w:val="1"/>
      <w:numFmt w:val="bullet"/>
      <w:lvlText w:val=""/>
      <w:lvlJc w:val="left"/>
      <w:pPr>
        <w:ind w:left="2880" w:hanging="360"/>
      </w:pPr>
      <w:rPr>
        <w:rFonts w:ascii="Symbol" w:hAnsi="Symbol" w:hint="default"/>
      </w:rPr>
    </w:lvl>
    <w:lvl w:ilvl="4" w:tplc="55DEAA68">
      <w:start w:val="1"/>
      <w:numFmt w:val="bullet"/>
      <w:lvlText w:val="o"/>
      <w:lvlJc w:val="left"/>
      <w:pPr>
        <w:ind w:left="3600" w:hanging="360"/>
      </w:pPr>
      <w:rPr>
        <w:rFonts w:ascii="Courier New" w:hAnsi="Courier New" w:hint="default"/>
      </w:rPr>
    </w:lvl>
    <w:lvl w:ilvl="5" w:tplc="00C62B7C">
      <w:start w:val="1"/>
      <w:numFmt w:val="bullet"/>
      <w:lvlText w:val=""/>
      <w:lvlJc w:val="left"/>
      <w:pPr>
        <w:ind w:left="4320" w:hanging="360"/>
      </w:pPr>
      <w:rPr>
        <w:rFonts w:ascii="Wingdings" w:hAnsi="Wingdings" w:hint="default"/>
      </w:rPr>
    </w:lvl>
    <w:lvl w:ilvl="6" w:tplc="84DECB18">
      <w:start w:val="1"/>
      <w:numFmt w:val="bullet"/>
      <w:lvlText w:val=""/>
      <w:lvlJc w:val="left"/>
      <w:pPr>
        <w:ind w:left="5040" w:hanging="360"/>
      </w:pPr>
      <w:rPr>
        <w:rFonts w:ascii="Symbol" w:hAnsi="Symbol" w:hint="default"/>
      </w:rPr>
    </w:lvl>
    <w:lvl w:ilvl="7" w:tplc="F2843D8A">
      <w:start w:val="1"/>
      <w:numFmt w:val="bullet"/>
      <w:lvlText w:val="o"/>
      <w:lvlJc w:val="left"/>
      <w:pPr>
        <w:ind w:left="5760" w:hanging="360"/>
      </w:pPr>
      <w:rPr>
        <w:rFonts w:ascii="Courier New" w:hAnsi="Courier New" w:hint="default"/>
      </w:rPr>
    </w:lvl>
    <w:lvl w:ilvl="8" w:tplc="3A3443BE">
      <w:start w:val="1"/>
      <w:numFmt w:val="bullet"/>
      <w:lvlText w:val=""/>
      <w:lvlJc w:val="left"/>
      <w:pPr>
        <w:ind w:left="6480" w:hanging="360"/>
      </w:pPr>
      <w:rPr>
        <w:rFonts w:ascii="Wingdings" w:hAnsi="Wingdings" w:hint="default"/>
      </w:rPr>
    </w:lvl>
  </w:abstractNum>
  <w:abstractNum w:abstractNumId="6" w15:restartNumberingAfterBreak="0">
    <w:nsid w:val="1A2A74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7E3CFD"/>
    <w:multiLevelType w:val="hybridMultilevel"/>
    <w:tmpl w:val="BFCEB9D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2913F8B"/>
    <w:multiLevelType w:val="hybridMultilevel"/>
    <w:tmpl w:val="78DAB54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98468E"/>
    <w:multiLevelType w:val="hybridMultilevel"/>
    <w:tmpl w:val="DADEF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994CB3"/>
    <w:multiLevelType w:val="hybridMultilevel"/>
    <w:tmpl w:val="64F6B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4DA04604"/>
    <w:multiLevelType w:val="hybridMultilevel"/>
    <w:tmpl w:val="7256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7683A"/>
    <w:multiLevelType w:val="hybridMultilevel"/>
    <w:tmpl w:val="7D2C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708FE"/>
    <w:multiLevelType w:val="hybridMultilevel"/>
    <w:tmpl w:val="74A0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45CE0"/>
    <w:multiLevelType w:val="hybridMultilevel"/>
    <w:tmpl w:val="6FE8B32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5E6E6E48"/>
    <w:multiLevelType w:val="hybridMultilevel"/>
    <w:tmpl w:val="5BF08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F9185A"/>
    <w:multiLevelType w:val="hybridMultilevel"/>
    <w:tmpl w:val="62526C64"/>
    <w:lvl w:ilvl="0" w:tplc="1809000F">
      <w:start w:val="1"/>
      <w:numFmt w:val="decimal"/>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25" w15:restartNumberingAfterBreak="0">
    <w:nsid w:val="684D260A"/>
    <w:multiLevelType w:val="hybridMultilevel"/>
    <w:tmpl w:val="97B8EA3A"/>
    <w:lvl w:ilvl="0" w:tplc="439C3FE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C0AB3"/>
    <w:multiLevelType w:val="hybridMultilevel"/>
    <w:tmpl w:val="4222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447A3"/>
    <w:multiLevelType w:val="hybridMultilevel"/>
    <w:tmpl w:val="E8C2EF12"/>
    <w:lvl w:ilvl="0" w:tplc="08090001">
      <w:start w:val="1"/>
      <w:numFmt w:val="bullet"/>
      <w:lvlText w:val=""/>
      <w:lvlJc w:val="left"/>
      <w:pPr>
        <w:ind w:left="1637" w:hanging="360"/>
      </w:pPr>
      <w:rPr>
        <w:rFonts w:ascii="Symbol" w:hAnsi="Symbol" w:hint="default"/>
      </w:rPr>
    </w:lvl>
    <w:lvl w:ilvl="1" w:tplc="08090003">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8" w15:restartNumberingAfterBreak="0">
    <w:nsid w:val="744D005D"/>
    <w:multiLevelType w:val="hybridMultilevel"/>
    <w:tmpl w:val="599C3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2110BA"/>
    <w:multiLevelType w:val="hybridMultilevel"/>
    <w:tmpl w:val="7F821164"/>
    <w:lvl w:ilvl="0" w:tplc="04090001">
      <w:start w:val="1"/>
      <w:numFmt w:val="bullet"/>
      <w:lvlText w:val=""/>
      <w:lvlJc w:val="left"/>
      <w:pPr>
        <w:ind w:left="720" w:hanging="360"/>
      </w:pPr>
      <w:rPr>
        <w:rFonts w:ascii="Symbol" w:hAnsi="Symbol" w:hint="default"/>
      </w:rPr>
    </w:lvl>
    <w:lvl w:ilvl="1" w:tplc="AD1C835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A5964"/>
    <w:multiLevelType w:val="hybridMultilevel"/>
    <w:tmpl w:val="9EACD576"/>
    <w:lvl w:ilvl="0" w:tplc="A7AE36CC">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61698"/>
    <w:multiLevelType w:val="hybridMultilevel"/>
    <w:tmpl w:val="2BDAAE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0732131">
    <w:abstractNumId w:val="9"/>
  </w:num>
  <w:num w:numId="2" w16cid:durableId="110756736">
    <w:abstractNumId w:val="4"/>
  </w:num>
  <w:num w:numId="3" w16cid:durableId="161511146">
    <w:abstractNumId w:val="18"/>
  </w:num>
  <w:num w:numId="4" w16cid:durableId="875846230">
    <w:abstractNumId w:val="14"/>
  </w:num>
  <w:num w:numId="5" w16cid:durableId="853298702">
    <w:abstractNumId w:val="16"/>
  </w:num>
  <w:num w:numId="6" w16cid:durableId="1911455517">
    <w:abstractNumId w:val="15"/>
  </w:num>
  <w:num w:numId="7" w16cid:durableId="1677027560">
    <w:abstractNumId w:val="17"/>
  </w:num>
  <w:num w:numId="8" w16cid:durableId="1942447563">
    <w:abstractNumId w:val="11"/>
  </w:num>
  <w:num w:numId="9" w16cid:durableId="2101830750">
    <w:abstractNumId w:val="11"/>
  </w:num>
  <w:num w:numId="10" w16cid:durableId="614598765">
    <w:abstractNumId w:val="27"/>
  </w:num>
  <w:num w:numId="11" w16cid:durableId="1949386815">
    <w:abstractNumId w:val="6"/>
  </w:num>
  <w:num w:numId="12" w16cid:durableId="500852738">
    <w:abstractNumId w:val="15"/>
  </w:num>
  <w:num w:numId="13" w16cid:durableId="1054738134">
    <w:abstractNumId w:val="15"/>
  </w:num>
  <w:num w:numId="14" w16cid:durableId="1611739252">
    <w:abstractNumId w:val="15"/>
  </w:num>
  <w:num w:numId="15" w16cid:durableId="2018920643">
    <w:abstractNumId w:val="15"/>
  </w:num>
  <w:num w:numId="16" w16cid:durableId="1314873934">
    <w:abstractNumId w:val="15"/>
  </w:num>
  <w:num w:numId="17" w16cid:durableId="832723211">
    <w:abstractNumId w:val="15"/>
  </w:num>
  <w:num w:numId="18" w16cid:durableId="646514965">
    <w:abstractNumId w:val="15"/>
  </w:num>
  <w:num w:numId="19" w16cid:durableId="433400677">
    <w:abstractNumId w:val="23"/>
  </w:num>
  <w:num w:numId="20" w16cid:durableId="1878590851">
    <w:abstractNumId w:val="15"/>
  </w:num>
  <w:num w:numId="21" w16cid:durableId="41057678">
    <w:abstractNumId w:val="0"/>
  </w:num>
  <w:num w:numId="22" w16cid:durableId="632758729">
    <w:abstractNumId w:val="7"/>
  </w:num>
  <w:num w:numId="23" w16cid:durableId="1383561320">
    <w:abstractNumId w:val="15"/>
  </w:num>
  <w:num w:numId="24" w16cid:durableId="1746107115">
    <w:abstractNumId w:val="20"/>
  </w:num>
  <w:num w:numId="25" w16cid:durableId="949891480">
    <w:abstractNumId w:val="25"/>
  </w:num>
  <w:num w:numId="26" w16cid:durableId="408310358">
    <w:abstractNumId w:val="30"/>
  </w:num>
  <w:num w:numId="27" w16cid:durableId="1871455683">
    <w:abstractNumId w:val="21"/>
  </w:num>
  <w:num w:numId="28" w16cid:durableId="1509372287">
    <w:abstractNumId w:val="5"/>
  </w:num>
  <w:num w:numId="29" w16cid:durableId="870069966">
    <w:abstractNumId w:val="29"/>
  </w:num>
  <w:num w:numId="30" w16cid:durableId="1206940508">
    <w:abstractNumId w:val="1"/>
  </w:num>
  <w:num w:numId="31" w16cid:durableId="1626228909">
    <w:abstractNumId w:val="8"/>
  </w:num>
  <w:num w:numId="32" w16cid:durableId="156577216">
    <w:abstractNumId w:val="15"/>
  </w:num>
  <w:num w:numId="33" w16cid:durableId="2100712575">
    <w:abstractNumId w:val="15"/>
  </w:num>
  <w:num w:numId="34" w16cid:durableId="514539363">
    <w:abstractNumId w:val="26"/>
  </w:num>
  <w:num w:numId="35" w16cid:durableId="941300589">
    <w:abstractNumId w:val="2"/>
  </w:num>
  <w:num w:numId="36" w16cid:durableId="1334139160">
    <w:abstractNumId w:val="19"/>
  </w:num>
  <w:num w:numId="37" w16cid:durableId="1602639715">
    <w:abstractNumId w:val="3"/>
  </w:num>
  <w:num w:numId="38" w16cid:durableId="27802981">
    <w:abstractNumId w:val="12"/>
  </w:num>
  <w:num w:numId="39" w16cid:durableId="1134955523">
    <w:abstractNumId w:val="22"/>
  </w:num>
  <w:num w:numId="40" w16cid:durableId="14575493">
    <w:abstractNumId w:val="12"/>
  </w:num>
  <w:num w:numId="41" w16cid:durableId="1711421320">
    <w:abstractNumId w:val="15"/>
  </w:num>
  <w:num w:numId="42" w16cid:durableId="474838436">
    <w:abstractNumId w:val="15"/>
  </w:num>
  <w:num w:numId="43" w16cid:durableId="732700882">
    <w:abstractNumId w:val="15"/>
  </w:num>
  <w:num w:numId="44" w16cid:durableId="1638414986">
    <w:abstractNumId w:val="28"/>
  </w:num>
  <w:num w:numId="45" w16cid:durableId="1107507995">
    <w:abstractNumId w:val="15"/>
  </w:num>
  <w:num w:numId="46" w16cid:durableId="1670058755">
    <w:abstractNumId w:val="13"/>
  </w:num>
  <w:num w:numId="47" w16cid:durableId="1382167000">
    <w:abstractNumId w:val="24"/>
  </w:num>
  <w:num w:numId="48" w16cid:durableId="1910264277">
    <w:abstractNumId w:val="10"/>
  </w:num>
  <w:num w:numId="49" w16cid:durableId="717323270">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da-DK" w:vendorID="64" w:dllVersion="0" w:nlCheck="1" w:checkStyle="0"/>
  <w:activeWritingStyle w:appName="MSWord" w:lang="en-US" w:vendorID="64" w:dllVersion="0" w:nlCheck="1" w:checkStyle="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6145">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MPLATE_GENERIC CONTRIBUTION TO CPG19"/>
  </w:docVars>
  <w:rsids>
    <w:rsidRoot w:val="00265F50"/>
    <w:rsid w:val="00000733"/>
    <w:rsid w:val="0001112E"/>
    <w:rsid w:val="00012E3B"/>
    <w:rsid w:val="00016283"/>
    <w:rsid w:val="00035287"/>
    <w:rsid w:val="00041A18"/>
    <w:rsid w:val="00042BE1"/>
    <w:rsid w:val="0004622B"/>
    <w:rsid w:val="00067793"/>
    <w:rsid w:val="00080D4D"/>
    <w:rsid w:val="00082DD7"/>
    <w:rsid w:val="00085F48"/>
    <w:rsid w:val="00090C40"/>
    <w:rsid w:val="000919E0"/>
    <w:rsid w:val="00094C46"/>
    <w:rsid w:val="00094D37"/>
    <w:rsid w:val="00095620"/>
    <w:rsid w:val="000A3940"/>
    <w:rsid w:val="000B6D45"/>
    <w:rsid w:val="000B72C3"/>
    <w:rsid w:val="000B72CE"/>
    <w:rsid w:val="000C028F"/>
    <w:rsid w:val="000C181B"/>
    <w:rsid w:val="000C6CEC"/>
    <w:rsid w:val="000D1710"/>
    <w:rsid w:val="000D283C"/>
    <w:rsid w:val="000D3F8A"/>
    <w:rsid w:val="000D43BB"/>
    <w:rsid w:val="000E3E4D"/>
    <w:rsid w:val="000E42F5"/>
    <w:rsid w:val="000F035D"/>
    <w:rsid w:val="000F0594"/>
    <w:rsid w:val="000F0CA8"/>
    <w:rsid w:val="000F24F5"/>
    <w:rsid w:val="000F2ED9"/>
    <w:rsid w:val="000F7ACE"/>
    <w:rsid w:val="001006CA"/>
    <w:rsid w:val="00100F8B"/>
    <w:rsid w:val="00101DB8"/>
    <w:rsid w:val="00102172"/>
    <w:rsid w:val="00110652"/>
    <w:rsid w:val="001156F6"/>
    <w:rsid w:val="00124E40"/>
    <w:rsid w:val="00125A76"/>
    <w:rsid w:val="001305B1"/>
    <w:rsid w:val="001318F4"/>
    <w:rsid w:val="001526A2"/>
    <w:rsid w:val="001538C7"/>
    <w:rsid w:val="00154F16"/>
    <w:rsid w:val="00156314"/>
    <w:rsid w:val="001572D3"/>
    <w:rsid w:val="00166BB7"/>
    <w:rsid w:val="001719D8"/>
    <w:rsid w:val="00171A3F"/>
    <w:rsid w:val="00172B28"/>
    <w:rsid w:val="00177B45"/>
    <w:rsid w:val="00177E4B"/>
    <w:rsid w:val="00181D0B"/>
    <w:rsid w:val="00183171"/>
    <w:rsid w:val="00183FE0"/>
    <w:rsid w:val="0018553F"/>
    <w:rsid w:val="00185EAB"/>
    <w:rsid w:val="0018778A"/>
    <w:rsid w:val="001A01CA"/>
    <w:rsid w:val="001A3165"/>
    <w:rsid w:val="001B0583"/>
    <w:rsid w:val="001B5C7A"/>
    <w:rsid w:val="001B7FA1"/>
    <w:rsid w:val="001C30A8"/>
    <w:rsid w:val="001C570F"/>
    <w:rsid w:val="001D35EC"/>
    <w:rsid w:val="001E3CB9"/>
    <w:rsid w:val="001E7E90"/>
    <w:rsid w:val="001F6E9B"/>
    <w:rsid w:val="0020079A"/>
    <w:rsid w:val="0022134E"/>
    <w:rsid w:val="00222F9E"/>
    <w:rsid w:val="002302A9"/>
    <w:rsid w:val="00231A0F"/>
    <w:rsid w:val="00247B0B"/>
    <w:rsid w:val="00263FFB"/>
    <w:rsid w:val="0026534C"/>
    <w:rsid w:val="00265F50"/>
    <w:rsid w:val="00274F84"/>
    <w:rsid w:val="0027787F"/>
    <w:rsid w:val="0028060B"/>
    <w:rsid w:val="0028120C"/>
    <w:rsid w:val="00281A2A"/>
    <w:rsid w:val="00283417"/>
    <w:rsid w:val="00286EEF"/>
    <w:rsid w:val="00290720"/>
    <w:rsid w:val="00295827"/>
    <w:rsid w:val="00295F16"/>
    <w:rsid w:val="00296C44"/>
    <w:rsid w:val="002A033F"/>
    <w:rsid w:val="002A03A4"/>
    <w:rsid w:val="002C2B7D"/>
    <w:rsid w:val="002C6DC3"/>
    <w:rsid w:val="002D14DB"/>
    <w:rsid w:val="002D1FA9"/>
    <w:rsid w:val="002D50A3"/>
    <w:rsid w:val="002E0490"/>
    <w:rsid w:val="002E3151"/>
    <w:rsid w:val="002E7A56"/>
    <w:rsid w:val="002F28A2"/>
    <w:rsid w:val="002F70E6"/>
    <w:rsid w:val="003007C0"/>
    <w:rsid w:val="0030081E"/>
    <w:rsid w:val="003052A0"/>
    <w:rsid w:val="00307A79"/>
    <w:rsid w:val="00314C9E"/>
    <w:rsid w:val="003204D5"/>
    <w:rsid w:val="00320ED0"/>
    <w:rsid w:val="00322E6A"/>
    <w:rsid w:val="003314A0"/>
    <w:rsid w:val="003314B2"/>
    <w:rsid w:val="00333670"/>
    <w:rsid w:val="0035037F"/>
    <w:rsid w:val="0036109E"/>
    <w:rsid w:val="00361FD0"/>
    <w:rsid w:val="0036757C"/>
    <w:rsid w:val="00375B70"/>
    <w:rsid w:val="00377622"/>
    <w:rsid w:val="00381169"/>
    <w:rsid w:val="00382567"/>
    <w:rsid w:val="0038287C"/>
    <w:rsid w:val="0038358E"/>
    <w:rsid w:val="00384236"/>
    <w:rsid w:val="00386798"/>
    <w:rsid w:val="00387DDE"/>
    <w:rsid w:val="00391A01"/>
    <w:rsid w:val="00393651"/>
    <w:rsid w:val="00394712"/>
    <w:rsid w:val="00395E72"/>
    <w:rsid w:val="003A0EB5"/>
    <w:rsid w:val="003A1C78"/>
    <w:rsid w:val="003A5711"/>
    <w:rsid w:val="003B0049"/>
    <w:rsid w:val="003B302D"/>
    <w:rsid w:val="003B3E6D"/>
    <w:rsid w:val="003B3FB2"/>
    <w:rsid w:val="003C64D9"/>
    <w:rsid w:val="003D0F81"/>
    <w:rsid w:val="003D320E"/>
    <w:rsid w:val="003D5D0D"/>
    <w:rsid w:val="003E21FB"/>
    <w:rsid w:val="003E2E42"/>
    <w:rsid w:val="003E38E6"/>
    <w:rsid w:val="003E70E0"/>
    <w:rsid w:val="00400803"/>
    <w:rsid w:val="00403B30"/>
    <w:rsid w:val="00403CE6"/>
    <w:rsid w:val="00407D46"/>
    <w:rsid w:val="004110CA"/>
    <w:rsid w:val="0041160E"/>
    <w:rsid w:val="004170B3"/>
    <w:rsid w:val="0041788A"/>
    <w:rsid w:val="0042090D"/>
    <w:rsid w:val="004230D3"/>
    <w:rsid w:val="0042343C"/>
    <w:rsid w:val="0042761F"/>
    <w:rsid w:val="00431162"/>
    <w:rsid w:val="00441EE0"/>
    <w:rsid w:val="00443482"/>
    <w:rsid w:val="00450308"/>
    <w:rsid w:val="00452356"/>
    <w:rsid w:val="00457AD1"/>
    <w:rsid w:val="0046427F"/>
    <w:rsid w:val="00485665"/>
    <w:rsid w:val="00491977"/>
    <w:rsid w:val="0049719B"/>
    <w:rsid w:val="004A094A"/>
    <w:rsid w:val="004A1329"/>
    <w:rsid w:val="004B666F"/>
    <w:rsid w:val="004C1A87"/>
    <w:rsid w:val="004C390D"/>
    <w:rsid w:val="004C4A2E"/>
    <w:rsid w:val="004C51A7"/>
    <w:rsid w:val="004D0D3D"/>
    <w:rsid w:val="004D12DA"/>
    <w:rsid w:val="004D552F"/>
    <w:rsid w:val="004E057E"/>
    <w:rsid w:val="004E3520"/>
    <w:rsid w:val="004E44C8"/>
    <w:rsid w:val="004E53BE"/>
    <w:rsid w:val="004E7F82"/>
    <w:rsid w:val="004F3EA9"/>
    <w:rsid w:val="004F3FEE"/>
    <w:rsid w:val="004F7F01"/>
    <w:rsid w:val="00501992"/>
    <w:rsid w:val="005026AC"/>
    <w:rsid w:val="00510AE7"/>
    <w:rsid w:val="005149D1"/>
    <w:rsid w:val="00515F34"/>
    <w:rsid w:val="00520EFD"/>
    <w:rsid w:val="00521563"/>
    <w:rsid w:val="00524D1D"/>
    <w:rsid w:val="005260F6"/>
    <w:rsid w:val="005278B6"/>
    <w:rsid w:val="0053062A"/>
    <w:rsid w:val="00535050"/>
    <w:rsid w:val="00536F3C"/>
    <w:rsid w:val="0054260E"/>
    <w:rsid w:val="00544E2B"/>
    <w:rsid w:val="00550D79"/>
    <w:rsid w:val="005559AC"/>
    <w:rsid w:val="00555FB3"/>
    <w:rsid w:val="00557B5A"/>
    <w:rsid w:val="005611D0"/>
    <w:rsid w:val="005642C8"/>
    <w:rsid w:val="00566BD4"/>
    <w:rsid w:val="005714B6"/>
    <w:rsid w:val="00572DF8"/>
    <w:rsid w:val="0057499F"/>
    <w:rsid w:val="00575DCE"/>
    <w:rsid w:val="00576411"/>
    <w:rsid w:val="00577CAF"/>
    <w:rsid w:val="00580223"/>
    <w:rsid w:val="00594186"/>
    <w:rsid w:val="00597A4E"/>
    <w:rsid w:val="005A05D1"/>
    <w:rsid w:val="005A53B8"/>
    <w:rsid w:val="005B11AD"/>
    <w:rsid w:val="005B202B"/>
    <w:rsid w:val="005B588C"/>
    <w:rsid w:val="005C10EB"/>
    <w:rsid w:val="005C2301"/>
    <w:rsid w:val="005C5628"/>
    <w:rsid w:val="005C5A96"/>
    <w:rsid w:val="005C6720"/>
    <w:rsid w:val="005D371D"/>
    <w:rsid w:val="005D52D4"/>
    <w:rsid w:val="005D55BC"/>
    <w:rsid w:val="005E117B"/>
    <w:rsid w:val="005E15FB"/>
    <w:rsid w:val="005E4AFC"/>
    <w:rsid w:val="005E7495"/>
    <w:rsid w:val="00602244"/>
    <w:rsid w:val="00621C12"/>
    <w:rsid w:val="00623E18"/>
    <w:rsid w:val="006253E8"/>
    <w:rsid w:val="00625C5D"/>
    <w:rsid w:val="006263E6"/>
    <w:rsid w:val="0063408E"/>
    <w:rsid w:val="00635A22"/>
    <w:rsid w:val="006371B6"/>
    <w:rsid w:val="00642083"/>
    <w:rsid w:val="00646068"/>
    <w:rsid w:val="0065538E"/>
    <w:rsid w:val="0065550D"/>
    <w:rsid w:val="006563D5"/>
    <w:rsid w:val="00664295"/>
    <w:rsid w:val="00665364"/>
    <w:rsid w:val="00667B35"/>
    <w:rsid w:val="006713EB"/>
    <w:rsid w:val="00673A9B"/>
    <w:rsid w:val="0067551B"/>
    <w:rsid w:val="006869D1"/>
    <w:rsid w:val="006876A8"/>
    <w:rsid w:val="00696416"/>
    <w:rsid w:val="00696903"/>
    <w:rsid w:val="006A25E5"/>
    <w:rsid w:val="006A3B77"/>
    <w:rsid w:val="006A49E3"/>
    <w:rsid w:val="006A6511"/>
    <w:rsid w:val="006B1EFD"/>
    <w:rsid w:val="006B3EE5"/>
    <w:rsid w:val="006B3F8C"/>
    <w:rsid w:val="006C14E4"/>
    <w:rsid w:val="006C3574"/>
    <w:rsid w:val="006C3E32"/>
    <w:rsid w:val="006C6A65"/>
    <w:rsid w:val="006C6DA8"/>
    <w:rsid w:val="006C7F61"/>
    <w:rsid w:val="006D407F"/>
    <w:rsid w:val="006E7DC4"/>
    <w:rsid w:val="006F0442"/>
    <w:rsid w:val="006F3380"/>
    <w:rsid w:val="00703549"/>
    <w:rsid w:val="0071005A"/>
    <w:rsid w:val="00714F0F"/>
    <w:rsid w:val="007160BE"/>
    <w:rsid w:val="00722F65"/>
    <w:rsid w:val="00723E73"/>
    <w:rsid w:val="00724A6E"/>
    <w:rsid w:val="007257CD"/>
    <w:rsid w:val="00734A4F"/>
    <w:rsid w:val="00736F12"/>
    <w:rsid w:val="007414C6"/>
    <w:rsid w:val="00744D06"/>
    <w:rsid w:val="00753568"/>
    <w:rsid w:val="00757014"/>
    <w:rsid w:val="00762BCC"/>
    <w:rsid w:val="00763BA3"/>
    <w:rsid w:val="00764032"/>
    <w:rsid w:val="00765B66"/>
    <w:rsid w:val="00766653"/>
    <w:rsid w:val="00767BB2"/>
    <w:rsid w:val="0077159C"/>
    <w:rsid w:val="00776D23"/>
    <w:rsid w:val="00780376"/>
    <w:rsid w:val="00780EE3"/>
    <w:rsid w:val="00790FE0"/>
    <w:rsid w:val="00791AAC"/>
    <w:rsid w:val="00796B40"/>
    <w:rsid w:val="00797687"/>
    <w:rsid w:val="00797D4C"/>
    <w:rsid w:val="00797DEE"/>
    <w:rsid w:val="007B1D10"/>
    <w:rsid w:val="007B25AE"/>
    <w:rsid w:val="007B77C5"/>
    <w:rsid w:val="007B794E"/>
    <w:rsid w:val="007C0E7E"/>
    <w:rsid w:val="007C4098"/>
    <w:rsid w:val="007C6996"/>
    <w:rsid w:val="007D17C5"/>
    <w:rsid w:val="007D52EC"/>
    <w:rsid w:val="007E1A57"/>
    <w:rsid w:val="007E1D54"/>
    <w:rsid w:val="007E402A"/>
    <w:rsid w:val="007F1CEE"/>
    <w:rsid w:val="007F2F5D"/>
    <w:rsid w:val="008045B8"/>
    <w:rsid w:val="008067D9"/>
    <w:rsid w:val="00807C77"/>
    <w:rsid w:val="00814144"/>
    <w:rsid w:val="00814739"/>
    <w:rsid w:val="00817C53"/>
    <w:rsid w:val="00822EA1"/>
    <w:rsid w:val="00835FD8"/>
    <w:rsid w:val="00837537"/>
    <w:rsid w:val="00842766"/>
    <w:rsid w:val="00843863"/>
    <w:rsid w:val="008450B2"/>
    <w:rsid w:val="0085196B"/>
    <w:rsid w:val="0085269C"/>
    <w:rsid w:val="00854EBF"/>
    <w:rsid w:val="00857378"/>
    <w:rsid w:val="00857964"/>
    <w:rsid w:val="0086094D"/>
    <w:rsid w:val="00866D13"/>
    <w:rsid w:val="0086731C"/>
    <w:rsid w:val="00872382"/>
    <w:rsid w:val="0087469A"/>
    <w:rsid w:val="00886906"/>
    <w:rsid w:val="008912FE"/>
    <w:rsid w:val="00897585"/>
    <w:rsid w:val="008A245D"/>
    <w:rsid w:val="008A54FC"/>
    <w:rsid w:val="008A6E41"/>
    <w:rsid w:val="008B70CD"/>
    <w:rsid w:val="008C348F"/>
    <w:rsid w:val="008D141C"/>
    <w:rsid w:val="008D2C13"/>
    <w:rsid w:val="008D6C0E"/>
    <w:rsid w:val="008E6109"/>
    <w:rsid w:val="008E6793"/>
    <w:rsid w:val="008F47AB"/>
    <w:rsid w:val="00900012"/>
    <w:rsid w:val="00900BB6"/>
    <w:rsid w:val="0090450A"/>
    <w:rsid w:val="009071B5"/>
    <w:rsid w:val="00907A34"/>
    <w:rsid w:val="00910F71"/>
    <w:rsid w:val="009143A1"/>
    <w:rsid w:val="009170EA"/>
    <w:rsid w:val="0092076F"/>
    <w:rsid w:val="00924D01"/>
    <w:rsid w:val="00930439"/>
    <w:rsid w:val="00937AEB"/>
    <w:rsid w:val="00940193"/>
    <w:rsid w:val="009452CC"/>
    <w:rsid w:val="00950C95"/>
    <w:rsid w:val="009662E3"/>
    <w:rsid w:val="00966DD9"/>
    <w:rsid w:val="00974F04"/>
    <w:rsid w:val="00975DC3"/>
    <w:rsid w:val="00984852"/>
    <w:rsid w:val="00986677"/>
    <w:rsid w:val="00987C76"/>
    <w:rsid w:val="0099421C"/>
    <w:rsid w:val="009A2B94"/>
    <w:rsid w:val="009A2F3A"/>
    <w:rsid w:val="009A5AA8"/>
    <w:rsid w:val="009A6E77"/>
    <w:rsid w:val="009A7A45"/>
    <w:rsid w:val="009B3A72"/>
    <w:rsid w:val="009B7839"/>
    <w:rsid w:val="009C3803"/>
    <w:rsid w:val="009D2C13"/>
    <w:rsid w:val="009D3BA5"/>
    <w:rsid w:val="009D4BA1"/>
    <w:rsid w:val="009D6C65"/>
    <w:rsid w:val="009D717A"/>
    <w:rsid w:val="009D7D25"/>
    <w:rsid w:val="009D7D5A"/>
    <w:rsid w:val="009E2693"/>
    <w:rsid w:val="009E47EB"/>
    <w:rsid w:val="009F3A37"/>
    <w:rsid w:val="009F457E"/>
    <w:rsid w:val="009F63D1"/>
    <w:rsid w:val="009F6EA2"/>
    <w:rsid w:val="00A02090"/>
    <w:rsid w:val="00A03731"/>
    <w:rsid w:val="00A05F55"/>
    <w:rsid w:val="00A061CE"/>
    <w:rsid w:val="00A076B5"/>
    <w:rsid w:val="00A17F69"/>
    <w:rsid w:val="00A23870"/>
    <w:rsid w:val="00A271DA"/>
    <w:rsid w:val="00A274DB"/>
    <w:rsid w:val="00A3725D"/>
    <w:rsid w:val="00A41E1E"/>
    <w:rsid w:val="00A426BF"/>
    <w:rsid w:val="00A47C8E"/>
    <w:rsid w:val="00A52296"/>
    <w:rsid w:val="00A52512"/>
    <w:rsid w:val="00A54647"/>
    <w:rsid w:val="00A621DE"/>
    <w:rsid w:val="00A6411D"/>
    <w:rsid w:val="00A673EB"/>
    <w:rsid w:val="00A73146"/>
    <w:rsid w:val="00A73298"/>
    <w:rsid w:val="00A751C0"/>
    <w:rsid w:val="00A76059"/>
    <w:rsid w:val="00A77CFA"/>
    <w:rsid w:val="00A82D88"/>
    <w:rsid w:val="00A90674"/>
    <w:rsid w:val="00A95ACB"/>
    <w:rsid w:val="00A976DC"/>
    <w:rsid w:val="00A97942"/>
    <w:rsid w:val="00AA079B"/>
    <w:rsid w:val="00AA086A"/>
    <w:rsid w:val="00AA3574"/>
    <w:rsid w:val="00AA3DE8"/>
    <w:rsid w:val="00AA6597"/>
    <w:rsid w:val="00AB0F80"/>
    <w:rsid w:val="00AC0EA5"/>
    <w:rsid w:val="00AC10C3"/>
    <w:rsid w:val="00AC22B5"/>
    <w:rsid w:val="00AC2686"/>
    <w:rsid w:val="00AC5309"/>
    <w:rsid w:val="00AD1BE1"/>
    <w:rsid w:val="00AD307D"/>
    <w:rsid w:val="00AD7257"/>
    <w:rsid w:val="00AE169E"/>
    <w:rsid w:val="00AE418A"/>
    <w:rsid w:val="00AE46DC"/>
    <w:rsid w:val="00AE777A"/>
    <w:rsid w:val="00AF0889"/>
    <w:rsid w:val="00AF2D0C"/>
    <w:rsid w:val="00AF4C0E"/>
    <w:rsid w:val="00B0766F"/>
    <w:rsid w:val="00B126F7"/>
    <w:rsid w:val="00B14E5E"/>
    <w:rsid w:val="00B205D4"/>
    <w:rsid w:val="00B210E2"/>
    <w:rsid w:val="00B23FCA"/>
    <w:rsid w:val="00B25910"/>
    <w:rsid w:val="00B26973"/>
    <w:rsid w:val="00B30D3B"/>
    <w:rsid w:val="00B332E0"/>
    <w:rsid w:val="00B432D4"/>
    <w:rsid w:val="00B463CD"/>
    <w:rsid w:val="00B5315C"/>
    <w:rsid w:val="00B5596A"/>
    <w:rsid w:val="00B56B15"/>
    <w:rsid w:val="00B576D7"/>
    <w:rsid w:val="00B60BD0"/>
    <w:rsid w:val="00B67D4C"/>
    <w:rsid w:val="00B71B49"/>
    <w:rsid w:val="00B72545"/>
    <w:rsid w:val="00B76833"/>
    <w:rsid w:val="00B80892"/>
    <w:rsid w:val="00B82735"/>
    <w:rsid w:val="00B912F4"/>
    <w:rsid w:val="00B92306"/>
    <w:rsid w:val="00B92861"/>
    <w:rsid w:val="00BA7A69"/>
    <w:rsid w:val="00BB15E2"/>
    <w:rsid w:val="00BB5D0F"/>
    <w:rsid w:val="00BB774C"/>
    <w:rsid w:val="00BB77BE"/>
    <w:rsid w:val="00BC431D"/>
    <w:rsid w:val="00BD28DF"/>
    <w:rsid w:val="00BD3B06"/>
    <w:rsid w:val="00BD6876"/>
    <w:rsid w:val="00BE0B23"/>
    <w:rsid w:val="00BE2864"/>
    <w:rsid w:val="00BE481F"/>
    <w:rsid w:val="00C00565"/>
    <w:rsid w:val="00C076BF"/>
    <w:rsid w:val="00C11232"/>
    <w:rsid w:val="00C212B5"/>
    <w:rsid w:val="00C25C02"/>
    <w:rsid w:val="00C25F81"/>
    <w:rsid w:val="00C27F02"/>
    <w:rsid w:val="00C31B32"/>
    <w:rsid w:val="00C32C20"/>
    <w:rsid w:val="00C34907"/>
    <w:rsid w:val="00C44908"/>
    <w:rsid w:val="00C46F17"/>
    <w:rsid w:val="00C504F4"/>
    <w:rsid w:val="00C512DE"/>
    <w:rsid w:val="00C57E85"/>
    <w:rsid w:val="00C65BB4"/>
    <w:rsid w:val="00C723E9"/>
    <w:rsid w:val="00C8071C"/>
    <w:rsid w:val="00C816CB"/>
    <w:rsid w:val="00C82461"/>
    <w:rsid w:val="00C82C1E"/>
    <w:rsid w:val="00C91E3B"/>
    <w:rsid w:val="00CA07CC"/>
    <w:rsid w:val="00CA25B5"/>
    <w:rsid w:val="00CA4FCE"/>
    <w:rsid w:val="00CA5F8F"/>
    <w:rsid w:val="00CA64C3"/>
    <w:rsid w:val="00CB75CB"/>
    <w:rsid w:val="00CC5A6F"/>
    <w:rsid w:val="00CD07E7"/>
    <w:rsid w:val="00CD289F"/>
    <w:rsid w:val="00CD709B"/>
    <w:rsid w:val="00CE271A"/>
    <w:rsid w:val="00CE277D"/>
    <w:rsid w:val="00CE6FF5"/>
    <w:rsid w:val="00CF5245"/>
    <w:rsid w:val="00D0412F"/>
    <w:rsid w:val="00D06683"/>
    <w:rsid w:val="00D07B1A"/>
    <w:rsid w:val="00D1101B"/>
    <w:rsid w:val="00D1167E"/>
    <w:rsid w:val="00D16C4D"/>
    <w:rsid w:val="00D234E7"/>
    <w:rsid w:val="00D26A5D"/>
    <w:rsid w:val="00D30E46"/>
    <w:rsid w:val="00D31667"/>
    <w:rsid w:val="00D355BD"/>
    <w:rsid w:val="00D3663D"/>
    <w:rsid w:val="00D4114E"/>
    <w:rsid w:val="00D4349F"/>
    <w:rsid w:val="00D47EF6"/>
    <w:rsid w:val="00D50AC8"/>
    <w:rsid w:val="00D53497"/>
    <w:rsid w:val="00D60A44"/>
    <w:rsid w:val="00D70559"/>
    <w:rsid w:val="00D7390F"/>
    <w:rsid w:val="00D74F04"/>
    <w:rsid w:val="00D80A9B"/>
    <w:rsid w:val="00D85147"/>
    <w:rsid w:val="00D85B1E"/>
    <w:rsid w:val="00D86576"/>
    <w:rsid w:val="00D90913"/>
    <w:rsid w:val="00D922BB"/>
    <w:rsid w:val="00D92BEC"/>
    <w:rsid w:val="00D934FE"/>
    <w:rsid w:val="00DA18F2"/>
    <w:rsid w:val="00DA19B5"/>
    <w:rsid w:val="00DB0E18"/>
    <w:rsid w:val="00DB17F9"/>
    <w:rsid w:val="00DB1965"/>
    <w:rsid w:val="00DB57F8"/>
    <w:rsid w:val="00DB5B4A"/>
    <w:rsid w:val="00DD5136"/>
    <w:rsid w:val="00DD6973"/>
    <w:rsid w:val="00DD6DB6"/>
    <w:rsid w:val="00DE77E8"/>
    <w:rsid w:val="00DF2C67"/>
    <w:rsid w:val="00DF3AE2"/>
    <w:rsid w:val="00DF7D21"/>
    <w:rsid w:val="00E02F20"/>
    <w:rsid w:val="00E03771"/>
    <w:rsid w:val="00E059C5"/>
    <w:rsid w:val="00E11D7E"/>
    <w:rsid w:val="00E14334"/>
    <w:rsid w:val="00E22F86"/>
    <w:rsid w:val="00E2303A"/>
    <w:rsid w:val="00E256CE"/>
    <w:rsid w:val="00E275E1"/>
    <w:rsid w:val="00E31E77"/>
    <w:rsid w:val="00E343BD"/>
    <w:rsid w:val="00E34778"/>
    <w:rsid w:val="00E348D9"/>
    <w:rsid w:val="00E36601"/>
    <w:rsid w:val="00E4166B"/>
    <w:rsid w:val="00E46600"/>
    <w:rsid w:val="00E520F1"/>
    <w:rsid w:val="00E60351"/>
    <w:rsid w:val="00E6095B"/>
    <w:rsid w:val="00E61325"/>
    <w:rsid w:val="00E668CE"/>
    <w:rsid w:val="00E71AE7"/>
    <w:rsid w:val="00E73F79"/>
    <w:rsid w:val="00E752E6"/>
    <w:rsid w:val="00E8574E"/>
    <w:rsid w:val="00E85785"/>
    <w:rsid w:val="00E9534C"/>
    <w:rsid w:val="00EA2ED5"/>
    <w:rsid w:val="00EA6088"/>
    <w:rsid w:val="00EA7B15"/>
    <w:rsid w:val="00EC1A2C"/>
    <w:rsid w:val="00ED2C10"/>
    <w:rsid w:val="00EF15C6"/>
    <w:rsid w:val="00EF6D97"/>
    <w:rsid w:val="00F0436C"/>
    <w:rsid w:val="00F1057D"/>
    <w:rsid w:val="00F11542"/>
    <w:rsid w:val="00F212EB"/>
    <w:rsid w:val="00F22578"/>
    <w:rsid w:val="00F23D13"/>
    <w:rsid w:val="00F24AED"/>
    <w:rsid w:val="00F32DEC"/>
    <w:rsid w:val="00F34FEF"/>
    <w:rsid w:val="00F41BFA"/>
    <w:rsid w:val="00F43E24"/>
    <w:rsid w:val="00F45561"/>
    <w:rsid w:val="00F465D3"/>
    <w:rsid w:val="00F51BD6"/>
    <w:rsid w:val="00F544BE"/>
    <w:rsid w:val="00F56F06"/>
    <w:rsid w:val="00F56F62"/>
    <w:rsid w:val="00F62D48"/>
    <w:rsid w:val="00F73815"/>
    <w:rsid w:val="00F76C64"/>
    <w:rsid w:val="00F7770D"/>
    <w:rsid w:val="00F83AFC"/>
    <w:rsid w:val="00F8425D"/>
    <w:rsid w:val="00F856B7"/>
    <w:rsid w:val="00F90597"/>
    <w:rsid w:val="00F905E7"/>
    <w:rsid w:val="00F91FDD"/>
    <w:rsid w:val="00F93115"/>
    <w:rsid w:val="00F93C24"/>
    <w:rsid w:val="00F949A7"/>
    <w:rsid w:val="00FA0662"/>
    <w:rsid w:val="00FA37D0"/>
    <w:rsid w:val="00FA4E32"/>
    <w:rsid w:val="00FA5792"/>
    <w:rsid w:val="00FB04BE"/>
    <w:rsid w:val="00FB058E"/>
    <w:rsid w:val="00FB200D"/>
    <w:rsid w:val="00FB3571"/>
    <w:rsid w:val="00FB3E60"/>
    <w:rsid w:val="00FB4F1D"/>
    <w:rsid w:val="00FC52DE"/>
    <w:rsid w:val="00FE7EEC"/>
    <w:rsid w:val="00FF0AD5"/>
    <w:rsid w:val="00FF0E5A"/>
    <w:rsid w:val="00FF53D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
    </o:shapedefaults>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footnote text,ALTS FOOTNOTE,Schriftart: 9 pt,Schriftart: 10 pt,Schriftart: 8 pt,WB-Fußnotentext,fn,Footnotes,Footnote ak,Footnote text,Voetnoottekst Char,Voetnoottekst Char1,Voetnoottekst Char2 Char Char"/>
    <w:basedOn w:val="Normal"/>
    <w:link w:val="FootnoteTextChar"/>
    <w:uiPriority w:val="99"/>
    <w:qFormat/>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footnote text Char,ALTS FOOTNOTE Char,Schriftart: 9 pt Char,Schriftart: 10 pt Char,Schriftart: 8 pt Char,WB-Fußnotentext Char,fn Char,Footnotes Char,Footnote ak Char,Footnote text Char,Voetnoottekst Char Char"/>
    <w:basedOn w:val="DefaultParagraphFont"/>
    <w:link w:val="FootnoteText"/>
    <w:uiPriority w:val="99"/>
    <w:rsid w:val="001526A2"/>
    <w:rPr>
      <w:rFonts w:eastAsia="Calibri"/>
      <w:sz w:val="16"/>
      <w:szCs w:val="16"/>
      <w14:cntxtAlts/>
    </w:rPr>
  </w:style>
  <w:style w:type="character" w:styleId="FootnoteReference">
    <w:name w:val="footnote reference"/>
    <w:aliases w:val="ECC Footnote number,SUPERS,Footnote reference number,Footnote symbol,note TESI,-E Fußnotenzeichen,number,BVI fnr,Footnote,Footnote Reference Superscript,(Footnote Reference),EN Footnote Reference,Voetnootverwijzing,Times 10 Point,Ref"/>
    <w:basedOn w:val="DefaultParagraphFont"/>
    <w:link w:val="FootnotesymbolCarZchn"/>
    <w:uiPriority w:val="99"/>
    <w:qForma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L"/>
    <w:basedOn w:val="Normal"/>
    <w:link w:val="ListParagraphChar"/>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u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u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3A1C78"/>
    <w:pPr>
      <w:tabs>
        <w:tab w:val="center" w:pos="4536"/>
        <w:tab w:val="right" w:pos="9072"/>
      </w:tabs>
      <w:spacing w:before="0" w:after="200" w:line="276" w:lineRule="auto"/>
      <w:jc w:val="left"/>
    </w:pPr>
    <w:rPr>
      <w:rFonts w:ascii="Calibri" w:hAnsi="Calibri"/>
      <w:sz w:val="22"/>
    </w:rPr>
  </w:style>
  <w:style w:type="character" w:customStyle="1" w:styleId="FooterChar">
    <w:name w:val="Footer Char"/>
    <w:basedOn w:val="DefaultParagraphFont"/>
    <w:link w:val="Footer"/>
    <w:uiPriority w:val="99"/>
    <w:rsid w:val="003A1C78"/>
    <w:rPr>
      <w:rFonts w:ascii="Calibri" w:eastAsia="Calibri" w:hAnsi="Calibri"/>
      <w:sz w:val="22"/>
      <w:szCs w:val="22"/>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A52296"/>
    <w:pPr>
      <w:spacing w:before="0" w:after="160" w:line="240" w:lineRule="exact"/>
    </w:pPr>
    <w:rPr>
      <w:rFonts w:eastAsia="Times New Roman"/>
      <w:szCs w:val="20"/>
      <w:vertAlign w:val="superscript"/>
      <w:lang w:val="da-DK"/>
    </w:rPr>
  </w:style>
  <w:style w:type="character" w:styleId="FollowedHyperlink">
    <w:name w:val="FollowedHyperlink"/>
    <w:basedOn w:val="DefaultParagraphFont"/>
    <w:uiPriority w:val="99"/>
    <w:semiHidden/>
    <w:unhideWhenUsed/>
    <w:locked/>
    <w:rsid w:val="00814144"/>
    <w:rPr>
      <w:color w:val="800080" w:themeColor="followedHyperlink"/>
      <w:u w:val="single"/>
    </w:rPr>
  </w:style>
  <w:style w:type="paragraph" w:customStyle="1" w:styleId="Text1">
    <w:name w:val="Text 1"/>
    <w:basedOn w:val="Normal"/>
    <w:link w:val="Text1Char1"/>
    <w:rsid w:val="00987C76"/>
    <w:pPr>
      <w:spacing w:before="0" w:after="240"/>
      <w:ind w:left="482"/>
    </w:pPr>
    <w:rPr>
      <w:rFonts w:ascii="Times New Roman" w:eastAsia="Times New Roman" w:hAnsi="Times New Roman"/>
      <w:sz w:val="24"/>
      <w:szCs w:val="20"/>
    </w:rPr>
  </w:style>
  <w:style w:type="paragraph" w:styleId="CommentText">
    <w:name w:val="annotation text"/>
    <w:basedOn w:val="Normal"/>
    <w:link w:val="CommentTextChar"/>
    <w:semiHidden/>
    <w:locked/>
    <w:rsid w:val="00987C76"/>
    <w:pPr>
      <w:spacing w:before="0" w:after="240"/>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987C76"/>
    <w:rPr>
      <w:rFonts w:ascii="Times New Roman" w:hAnsi="Times New Roman"/>
      <w:lang w:val="en-GB"/>
    </w:rPr>
  </w:style>
  <w:style w:type="paragraph" w:styleId="ListNumber5">
    <w:name w:val="List Number 5"/>
    <w:basedOn w:val="Normal"/>
    <w:locked/>
    <w:rsid w:val="00987C76"/>
    <w:pPr>
      <w:numPr>
        <w:numId w:val="21"/>
      </w:numPr>
      <w:spacing w:before="0" w:after="240"/>
    </w:pPr>
    <w:rPr>
      <w:rFonts w:ascii="Times New Roman" w:eastAsia="Times New Roman" w:hAnsi="Times New Roman"/>
      <w:sz w:val="24"/>
      <w:szCs w:val="20"/>
    </w:rPr>
  </w:style>
  <w:style w:type="character" w:customStyle="1" w:styleId="Text1Char1">
    <w:name w:val="Text 1 Char1"/>
    <w:link w:val="Text1"/>
    <w:rsid w:val="00987C76"/>
    <w:rPr>
      <w:rFonts w:ascii="Times New Roman" w:hAnsi="Times New Roman"/>
      <w:sz w:val="24"/>
      <w:lang w:val="en-GB"/>
    </w:rPr>
  </w:style>
  <w:style w:type="character" w:styleId="CommentReference">
    <w:name w:val="annotation reference"/>
    <w:basedOn w:val="DefaultParagraphFont"/>
    <w:uiPriority w:val="99"/>
    <w:semiHidden/>
    <w:unhideWhenUsed/>
    <w:locked/>
    <w:rsid w:val="00987C76"/>
    <w:rPr>
      <w:sz w:val="16"/>
      <w:szCs w:val="16"/>
    </w:rPr>
  </w:style>
  <w:style w:type="paragraph" w:customStyle="1" w:styleId="Default">
    <w:name w:val="Default"/>
    <w:rsid w:val="00987C76"/>
    <w:pPr>
      <w:autoSpaceDE w:val="0"/>
      <w:autoSpaceDN w:val="0"/>
      <w:adjustRightInd w:val="0"/>
      <w:spacing w:before="0" w:after="0"/>
      <w:jc w:val="left"/>
    </w:pPr>
    <w:rPr>
      <w:rFonts w:ascii="Times New Roman" w:hAnsi="Times New Roman"/>
      <w:color w:val="000000"/>
      <w:sz w:val="24"/>
      <w:szCs w:val="24"/>
      <w:lang w:val="en-GB" w:eastAsia="fr-FR"/>
    </w:rPr>
  </w:style>
  <w:style w:type="paragraph" w:styleId="NormalWeb">
    <w:name w:val="Normal (Web)"/>
    <w:basedOn w:val="Normal"/>
    <w:uiPriority w:val="99"/>
    <w:semiHidden/>
    <w:unhideWhenUsed/>
    <w:locked/>
    <w:rsid w:val="00843863"/>
    <w:pPr>
      <w:spacing w:before="100" w:beforeAutospacing="1" w:after="100" w:afterAutospacing="1"/>
      <w:jc w:val="left"/>
    </w:pPr>
    <w:rPr>
      <w:rFonts w:ascii="Times New Roman" w:eastAsia="Times New Roman" w:hAnsi="Times New Roman"/>
      <w:sz w:val="24"/>
      <w:szCs w:val="24"/>
      <w:lang w:val="en-US"/>
    </w:rPr>
  </w:style>
  <w:style w:type="paragraph" w:styleId="ListBullet5">
    <w:name w:val="List Bullet 5"/>
    <w:basedOn w:val="Normal"/>
    <w:autoRedefine/>
    <w:locked/>
    <w:rsid w:val="00910F71"/>
    <w:pPr>
      <w:numPr>
        <w:numId w:val="30"/>
      </w:numPr>
      <w:spacing w:before="0" w:after="240"/>
    </w:pPr>
    <w:rPr>
      <w:rFonts w:ascii="Times New Roman" w:eastAsia="Times New Roman" w:hAnsi="Times New Roman"/>
      <w:sz w:val="24"/>
      <w:szCs w:val="20"/>
    </w:rPr>
  </w:style>
  <w:style w:type="paragraph" w:styleId="ListBullet">
    <w:name w:val="List Bullet"/>
    <w:basedOn w:val="Normal"/>
    <w:uiPriority w:val="99"/>
    <w:semiHidden/>
    <w:unhideWhenUsed/>
    <w:locked/>
    <w:rsid w:val="00CE277D"/>
    <w:pPr>
      <w:numPr>
        <w:numId w:val="35"/>
      </w:numPr>
      <w:contextualSpacing/>
    </w:pPr>
  </w:style>
  <w:style w:type="paragraph" w:styleId="List3">
    <w:name w:val="List 3"/>
    <w:basedOn w:val="Normal"/>
    <w:uiPriority w:val="99"/>
    <w:semiHidden/>
    <w:unhideWhenUsed/>
    <w:locked/>
    <w:rsid w:val="00A54647"/>
    <w:pPr>
      <w:ind w:left="849" w:hanging="283"/>
      <w:contextualSpacing/>
    </w:pPr>
  </w:style>
  <w:style w:type="character" w:styleId="UnresolvedMention">
    <w:name w:val="Unresolved Mention"/>
    <w:basedOn w:val="DefaultParagraphFont"/>
    <w:uiPriority w:val="99"/>
    <w:semiHidden/>
    <w:unhideWhenUsed/>
    <w:rsid w:val="00A54647"/>
    <w:rPr>
      <w:color w:val="605E5C"/>
      <w:shd w:val="clear" w:color="auto" w:fill="E1DFDD"/>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uiPriority w:val="34"/>
    <w:qFormat/>
    <w:locked/>
    <w:rsid w:val="00C82C1E"/>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395">
      <w:bodyDiv w:val="1"/>
      <w:marLeft w:val="0"/>
      <w:marRight w:val="0"/>
      <w:marTop w:val="0"/>
      <w:marBottom w:val="0"/>
      <w:divBdr>
        <w:top w:val="none" w:sz="0" w:space="0" w:color="auto"/>
        <w:left w:val="none" w:sz="0" w:space="0" w:color="auto"/>
        <w:bottom w:val="none" w:sz="0" w:space="0" w:color="auto"/>
        <w:right w:val="none" w:sz="0" w:space="0" w:color="auto"/>
      </w:divBdr>
    </w:div>
    <w:div w:id="224535177">
      <w:bodyDiv w:val="1"/>
      <w:marLeft w:val="0"/>
      <w:marRight w:val="0"/>
      <w:marTop w:val="0"/>
      <w:marBottom w:val="0"/>
      <w:divBdr>
        <w:top w:val="none" w:sz="0" w:space="0" w:color="auto"/>
        <w:left w:val="none" w:sz="0" w:space="0" w:color="auto"/>
        <w:bottom w:val="none" w:sz="0" w:space="0" w:color="auto"/>
        <w:right w:val="none" w:sz="0" w:space="0" w:color="auto"/>
      </w:divBdr>
    </w:div>
    <w:div w:id="249462494">
      <w:bodyDiv w:val="1"/>
      <w:marLeft w:val="0"/>
      <w:marRight w:val="0"/>
      <w:marTop w:val="0"/>
      <w:marBottom w:val="0"/>
      <w:divBdr>
        <w:top w:val="none" w:sz="0" w:space="0" w:color="auto"/>
        <w:left w:val="none" w:sz="0" w:space="0" w:color="auto"/>
        <w:bottom w:val="none" w:sz="0" w:space="0" w:color="auto"/>
        <w:right w:val="none" w:sz="0" w:space="0" w:color="auto"/>
      </w:divBdr>
    </w:div>
    <w:div w:id="327562238">
      <w:bodyDiv w:val="1"/>
      <w:marLeft w:val="0"/>
      <w:marRight w:val="0"/>
      <w:marTop w:val="0"/>
      <w:marBottom w:val="0"/>
      <w:divBdr>
        <w:top w:val="none" w:sz="0" w:space="0" w:color="auto"/>
        <w:left w:val="none" w:sz="0" w:space="0" w:color="auto"/>
        <w:bottom w:val="none" w:sz="0" w:space="0" w:color="auto"/>
        <w:right w:val="none" w:sz="0" w:space="0" w:color="auto"/>
      </w:divBdr>
    </w:div>
    <w:div w:id="349530588">
      <w:bodyDiv w:val="1"/>
      <w:marLeft w:val="0"/>
      <w:marRight w:val="0"/>
      <w:marTop w:val="0"/>
      <w:marBottom w:val="0"/>
      <w:divBdr>
        <w:top w:val="none" w:sz="0" w:space="0" w:color="auto"/>
        <w:left w:val="none" w:sz="0" w:space="0" w:color="auto"/>
        <w:bottom w:val="none" w:sz="0" w:space="0" w:color="auto"/>
        <w:right w:val="none" w:sz="0" w:space="0" w:color="auto"/>
      </w:divBdr>
    </w:div>
    <w:div w:id="350106990">
      <w:bodyDiv w:val="1"/>
      <w:marLeft w:val="0"/>
      <w:marRight w:val="0"/>
      <w:marTop w:val="0"/>
      <w:marBottom w:val="0"/>
      <w:divBdr>
        <w:top w:val="none" w:sz="0" w:space="0" w:color="auto"/>
        <w:left w:val="none" w:sz="0" w:space="0" w:color="auto"/>
        <w:bottom w:val="none" w:sz="0" w:space="0" w:color="auto"/>
        <w:right w:val="none" w:sz="0" w:space="0" w:color="auto"/>
      </w:divBdr>
    </w:div>
    <w:div w:id="377776119">
      <w:bodyDiv w:val="1"/>
      <w:marLeft w:val="0"/>
      <w:marRight w:val="0"/>
      <w:marTop w:val="0"/>
      <w:marBottom w:val="0"/>
      <w:divBdr>
        <w:top w:val="none" w:sz="0" w:space="0" w:color="auto"/>
        <w:left w:val="none" w:sz="0" w:space="0" w:color="auto"/>
        <w:bottom w:val="none" w:sz="0" w:space="0" w:color="auto"/>
        <w:right w:val="none" w:sz="0" w:space="0" w:color="auto"/>
      </w:divBdr>
    </w:div>
    <w:div w:id="481773442">
      <w:bodyDiv w:val="1"/>
      <w:marLeft w:val="0"/>
      <w:marRight w:val="0"/>
      <w:marTop w:val="0"/>
      <w:marBottom w:val="0"/>
      <w:divBdr>
        <w:top w:val="none" w:sz="0" w:space="0" w:color="auto"/>
        <w:left w:val="none" w:sz="0" w:space="0" w:color="auto"/>
        <w:bottom w:val="none" w:sz="0" w:space="0" w:color="auto"/>
        <w:right w:val="none" w:sz="0" w:space="0" w:color="auto"/>
      </w:divBdr>
    </w:div>
    <w:div w:id="491068716">
      <w:bodyDiv w:val="1"/>
      <w:marLeft w:val="0"/>
      <w:marRight w:val="0"/>
      <w:marTop w:val="0"/>
      <w:marBottom w:val="0"/>
      <w:divBdr>
        <w:top w:val="none" w:sz="0" w:space="0" w:color="auto"/>
        <w:left w:val="none" w:sz="0" w:space="0" w:color="auto"/>
        <w:bottom w:val="none" w:sz="0" w:space="0" w:color="auto"/>
        <w:right w:val="none" w:sz="0" w:space="0" w:color="auto"/>
      </w:divBdr>
    </w:div>
    <w:div w:id="635571297">
      <w:bodyDiv w:val="1"/>
      <w:marLeft w:val="0"/>
      <w:marRight w:val="0"/>
      <w:marTop w:val="0"/>
      <w:marBottom w:val="0"/>
      <w:divBdr>
        <w:top w:val="none" w:sz="0" w:space="0" w:color="auto"/>
        <w:left w:val="none" w:sz="0" w:space="0" w:color="auto"/>
        <w:bottom w:val="none" w:sz="0" w:space="0" w:color="auto"/>
        <w:right w:val="none" w:sz="0" w:space="0" w:color="auto"/>
      </w:divBdr>
    </w:div>
    <w:div w:id="639847291">
      <w:bodyDiv w:val="1"/>
      <w:marLeft w:val="0"/>
      <w:marRight w:val="0"/>
      <w:marTop w:val="0"/>
      <w:marBottom w:val="0"/>
      <w:divBdr>
        <w:top w:val="none" w:sz="0" w:space="0" w:color="auto"/>
        <w:left w:val="none" w:sz="0" w:space="0" w:color="auto"/>
        <w:bottom w:val="none" w:sz="0" w:space="0" w:color="auto"/>
        <w:right w:val="none" w:sz="0" w:space="0" w:color="auto"/>
      </w:divBdr>
    </w:div>
    <w:div w:id="776025428">
      <w:bodyDiv w:val="1"/>
      <w:marLeft w:val="0"/>
      <w:marRight w:val="0"/>
      <w:marTop w:val="0"/>
      <w:marBottom w:val="0"/>
      <w:divBdr>
        <w:top w:val="none" w:sz="0" w:space="0" w:color="auto"/>
        <w:left w:val="none" w:sz="0" w:space="0" w:color="auto"/>
        <w:bottom w:val="none" w:sz="0" w:space="0" w:color="auto"/>
        <w:right w:val="none" w:sz="0" w:space="0" w:color="auto"/>
      </w:divBdr>
    </w:div>
    <w:div w:id="857697727">
      <w:bodyDiv w:val="1"/>
      <w:marLeft w:val="0"/>
      <w:marRight w:val="0"/>
      <w:marTop w:val="0"/>
      <w:marBottom w:val="0"/>
      <w:divBdr>
        <w:top w:val="none" w:sz="0" w:space="0" w:color="auto"/>
        <w:left w:val="none" w:sz="0" w:space="0" w:color="auto"/>
        <w:bottom w:val="none" w:sz="0" w:space="0" w:color="auto"/>
        <w:right w:val="none" w:sz="0" w:space="0" w:color="auto"/>
      </w:divBdr>
    </w:div>
    <w:div w:id="873421703">
      <w:bodyDiv w:val="1"/>
      <w:marLeft w:val="0"/>
      <w:marRight w:val="0"/>
      <w:marTop w:val="0"/>
      <w:marBottom w:val="0"/>
      <w:divBdr>
        <w:top w:val="none" w:sz="0" w:space="0" w:color="auto"/>
        <w:left w:val="none" w:sz="0" w:space="0" w:color="auto"/>
        <w:bottom w:val="none" w:sz="0" w:space="0" w:color="auto"/>
        <w:right w:val="none" w:sz="0" w:space="0" w:color="auto"/>
      </w:divBdr>
    </w:div>
    <w:div w:id="1129544938">
      <w:bodyDiv w:val="1"/>
      <w:marLeft w:val="0"/>
      <w:marRight w:val="0"/>
      <w:marTop w:val="0"/>
      <w:marBottom w:val="0"/>
      <w:divBdr>
        <w:top w:val="none" w:sz="0" w:space="0" w:color="auto"/>
        <w:left w:val="none" w:sz="0" w:space="0" w:color="auto"/>
        <w:bottom w:val="none" w:sz="0" w:space="0" w:color="auto"/>
        <w:right w:val="none" w:sz="0" w:space="0" w:color="auto"/>
      </w:divBdr>
    </w:div>
    <w:div w:id="1203789490">
      <w:bodyDiv w:val="1"/>
      <w:marLeft w:val="0"/>
      <w:marRight w:val="0"/>
      <w:marTop w:val="0"/>
      <w:marBottom w:val="0"/>
      <w:divBdr>
        <w:top w:val="none" w:sz="0" w:space="0" w:color="auto"/>
        <w:left w:val="none" w:sz="0" w:space="0" w:color="auto"/>
        <w:bottom w:val="none" w:sz="0" w:space="0" w:color="auto"/>
        <w:right w:val="none" w:sz="0" w:space="0" w:color="auto"/>
      </w:divBdr>
    </w:div>
    <w:div w:id="1206336771">
      <w:bodyDiv w:val="1"/>
      <w:marLeft w:val="0"/>
      <w:marRight w:val="0"/>
      <w:marTop w:val="0"/>
      <w:marBottom w:val="0"/>
      <w:divBdr>
        <w:top w:val="none" w:sz="0" w:space="0" w:color="auto"/>
        <w:left w:val="none" w:sz="0" w:space="0" w:color="auto"/>
        <w:bottom w:val="none" w:sz="0" w:space="0" w:color="auto"/>
        <w:right w:val="none" w:sz="0" w:space="0" w:color="auto"/>
      </w:divBdr>
    </w:div>
    <w:div w:id="1306012302">
      <w:bodyDiv w:val="1"/>
      <w:marLeft w:val="0"/>
      <w:marRight w:val="0"/>
      <w:marTop w:val="0"/>
      <w:marBottom w:val="0"/>
      <w:divBdr>
        <w:top w:val="none" w:sz="0" w:space="0" w:color="auto"/>
        <w:left w:val="none" w:sz="0" w:space="0" w:color="auto"/>
        <w:bottom w:val="none" w:sz="0" w:space="0" w:color="auto"/>
        <w:right w:val="none" w:sz="0" w:space="0" w:color="auto"/>
      </w:divBdr>
    </w:div>
    <w:div w:id="1338383550">
      <w:bodyDiv w:val="1"/>
      <w:marLeft w:val="0"/>
      <w:marRight w:val="0"/>
      <w:marTop w:val="0"/>
      <w:marBottom w:val="0"/>
      <w:divBdr>
        <w:top w:val="none" w:sz="0" w:space="0" w:color="auto"/>
        <w:left w:val="none" w:sz="0" w:space="0" w:color="auto"/>
        <w:bottom w:val="none" w:sz="0" w:space="0" w:color="auto"/>
        <w:right w:val="none" w:sz="0" w:space="0" w:color="auto"/>
      </w:divBdr>
    </w:div>
    <w:div w:id="1575316052">
      <w:bodyDiv w:val="1"/>
      <w:marLeft w:val="0"/>
      <w:marRight w:val="0"/>
      <w:marTop w:val="0"/>
      <w:marBottom w:val="0"/>
      <w:divBdr>
        <w:top w:val="none" w:sz="0" w:space="0" w:color="auto"/>
        <w:left w:val="none" w:sz="0" w:space="0" w:color="auto"/>
        <w:bottom w:val="none" w:sz="0" w:space="0" w:color="auto"/>
        <w:right w:val="none" w:sz="0" w:space="0" w:color="auto"/>
      </w:divBdr>
    </w:div>
    <w:div w:id="1837574070">
      <w:bodyDiv w:val="1"/>
      <w:marLeft w:val="0"/>
      <w:marRight w:val="0"/>
      <w:marTop w:val="0"/>
      <w:marBottom w:val="0"/>
      <w:divBdr>
        <w:top w:val="none" w:sz="0" w:space="0" w:color="auto"/>
        <w:left w:val="none" w:sz="0" w:space="0" w:color="auto"/>
        <w:bottom w:val="none" w:sz="0" w:space="0" w:color="auto"/>
        <w:right w:val="none" w:sz="0" w:space="0" w:color="auto"/>
      </w:divBdr>
    </w:div>
    <w:div w:id="1915316198">
      <w:bodyDiv w:val="1"/>
      <w:marLeft w:val="0"/>
      <w:marRight w:val="0"/>
      <w:marTop w:val="0"/>
      <w:marBottom w:val="0"/>
      <w:divBdr>
        <w:top w:val="none" w:sz="0" w:space="0" w:color="auto"/>
        <w:left w:val="none" w:sz="0" w:space="0" w:color="auto"/>
        <w:bottom w:val="none" w:sz="0" w:space="0" w:color="auto"/>
        <w:right w:val="none" w:sz="0" w:space="0" w:color="auto"/>
      </w:divBdr>
    </w:div>
    <w:div w:id="1921676458">
      <w:bodyDiv w:val="1"/>
      <w:marLeft w:val="0"/>
      <w:marRight w:val="0"/>
      <w:marTop w:val="0"/>
      <w:marBottom w:val="0"/>
      <w:divBdr>
        <w:top w:val="none" w:sz="0" w:space="0" w:color="auto"/>
        <w:left w:val="none" w:sz="0" w:space="0" w:color="auto"/>
        <w:bottom w:val="none" w:sz="0" w:space="0" w:color="auto"/>
        <w:right w:val="none" w:sz="0" w:space="0" w:color="auto"/>
      </w:divBdr>
    </w:div>
    <w:div w:id="204394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strategy.ec.europa.eu/en/library/study-radio-spectrum-policy-programme-taking-stock-and-discussing-future-scenario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EN/TXT/?uri=CELEX%3A32024D1467&amp;qid=171714470479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silium.europa.eu/media/ny3j24sm/much-more-than-a-market-report-by-enrico-letta.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D573436D761B4095AC662A111489A0" ma:contentTypeVersion="13" ma:contentTypeDescription="Create a new document." ma:contentTypeScope="" ma:versionID="681117ffb2268100557be0d95ee55035">
  <xsd:schema xmlns:xsd="http://www.w3.org/2001/XMLSchema" xmlns:xs="http://www.w3.org/2001/XMLSchema" xmlns:p="http://schemas.microsoft.com/office/2006/metadata/properties" xmlns:ns3="ed1405a1-578d-47ad-a272-5ed16773c14e" xmlns:ns4="3280b507-aca7-44bc-9d35-909c802bb4fe" targetNamespace="http://schemas.microsoft.com/office/2006/metadata/properties" ma:root="true" ma:fieldsID="439b3f22f5bd07008049a0c3e2df0f9e" ns3:_="" ns4:_="">
    <xsd:import namespace="ed1405a1-578d-47ad-a272-5ed16773c14e"/>
    <xsd:import namespace="3280b507-aca7-44bc-9d35-909c802bb4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05a1-578d-47ad-a272-5ed16773c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0b507-aca7-44bc-9d35-909c802bb4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52CAF-84F1-4EC3-B6E5-14A14D305FF5}">
  <ds:schemaRefs>
    <ds:schemaRef ds:uri="http://schemas.microsoft.com/sharepoint/v3/contenttype/forms"/>
  </ds:schemaRefs>
</ds:datastoreItem>
</file>

<file path=customXml/itemProps2.xml><?xml version="1.0" encoding="utf-8"?>
<ds:datastoreItem xmlns:ds="http://schemas.openxmlformats.org/officeDocument/2006/customXml" ds:itemID="{1FE9D07A-F50D-49A1-82F8-F1D8E119F693}">
  <ds:schemaRefs>
    <ds:schemaRef ds:uri="http://schemas.openxmlformats.org/officeDocument/2006/bibliography"/>
  </ds:schemaRefs>
</ds:datastoreItem>
</file>

<file path=customXml/itemProps3.xml><?xml version="1.0" encoding="utf-8"?>
<ds:datastoreItem xmlns:ds="http://schemas.openxmlformats.org/officeDocument/2006/customXml" ds:itemID="{BEED094F-6741-4E2E-A4B1-0DF425E034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FF747-93B6-40E9-A008-E42B2AC2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05a1-578d-47ad-a272-5ed16773c14e"/>
    <ds:schemaRef ds:uri="3280b507-aca7-44bc-9d35-909c802b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107</TotalTime>
  <Pages>4</Pages>
  <Words>1424</Words>
  <Characters>8121</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9526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ECC Technical Secretary</cp:lastModifiedBy>
  <cp:revision>20</cp:revision>
  <cp:lastPrinted>2016-10-04T08:55:00Z</cp:lastPrinted>
  <dcterms:created xsi:type="dcterms:W3CDTF">2024-06-13T06:48:00Z</dcterms:created>
  <dcterms:modified xsi:type="dcterms:W3CDTF">2024-06-20T06:57:00Z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0x01010062D573436D761B4095AC662A111489A0</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Keith.Pollitt@ofcom.org.uk</vt:lpwstr>
  </property>
  <property fmtid="{D5CDD505-2E9C-101B-9397-08002B2CF9AE}" pid="6" name="MSIP_Label_5a50d26f-5c2c-4137-8396-1b24eb24286c_SetDate">
    <vt:lpwstr>2021-02-26T15:18:41.9317358Z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90865c07-951a-48df-9966-212572261411</vt:lpwstr>
  </property>
  <property fmtid="{D5CDD505-2E9C-101B-9397-08002B2CF9AE}" pid="10" name="MSIP_Label_5a50d26f-5c2c-4137-8396-1b24eb24286c_Extended_MSFT_Method">
    <vt:lpwstr>Manual</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2023-06-22T09:57:09Z</vt:lpwstr>
  </property>
  <property fmtid="{D5CDD505-2E9C-101B-9397-08002B2CF9AE}" pid="13" name="MSIP_Label_6bd9ddd1-4d20-43f6-abfa-fc3c07406f94_Method">
    <vt:lpwstr>Privileged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5a36e95c-33f5-483e-8894-e32cfa007606</vt:lpwstr>
  </property>
  <property fmtid="{D5CDD505-2E9C-101B-9397-08002B2CF9AE}" pid="17" name="MSIP_Label_6bd9ddd1-4d20-43f6-abfa-fc3c07406f94_ContentBits">
    <vt:lpwstr>0</vt:lpwstr>
  </property>
</Properties>
</file>