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B7CC0" w14:textId="77777777" w:rsidR="006C03D0" w:rsidRPr="000B7DA5" w:rsidRDefault="006C03D0">
      <w:pPr>
        <w:rPr>
          <w:lang w:val="en-GB"/>
        </w:rPr>
      </w:pPr>
    </w:p>
    <w:p w14:paraId="462D9F13" w14:textId="77777777" w:rsidR="006C03D0" w:rsidRPr="000B7DA5" w:rsidRDefault="006C03D0" w:rsidP="006C03D0">
      <w:pPr>
        <w:jc w:val="center"/>
        <w:rPr>
          <w:lang w:val="en-GB"/>
        </w:rPr>
      </w:pPr>
    </w:p>
    <w:p w14:paraId="5F3C8720" w14:textId="77777777" w:rsidR="006C03D0" w:rsidRPr="000B7DA5" w:rsidRDefault="006C03D0" w:rsidP="006C03D0">
      <w:pPr>
        <w:jc w:val="center"/>
        <w:rPr>
          <w:lang w:val="en-GB"/>
        </w:rPr>
      </w:pPr>
    </w:p>
    <w:p w14:paraId="3018ADB1" w14:textId="77777777" w:rsidR="006C03D0" w:rsidRPr="000B7DA5" w:rsidRDefault="006C03D0" w:rsidP="006C03D0">
      <w:pPr>
        <w:rPr>
          <w:lang w:val="en-GB"/>
        </w:rPr>
      </w:pPr>
    </w:p>
    <w:p w14:paraId="3DCC3BB0" w14:textId="77777777" w:rsidR="006C03D0" w:rsidRPr="000B7DA5" w:rsidRDefault="006C03D0" w:rsidP="006C03D0">
      <w:pPr>
        <w:rPr>
          <w:lang w:val="en-GB"/>
        </w:rPr>
      </w:pPr>
    </w:p>
    <w:p w14:paraId="5F1AA75A" w14:textId="77777777" w:rsidR="006C03D0" w:rsidRPr="000B7DA5" w:rsidRDefault="007C6571" w:rsidP="006C03D0">
      <w:pPr>
        <w:jc w:val="center"/>
        <w:rPr>
          <w:b/>
          <w:sz w:val="24"/>
          <w:lang w:val="en-GB"/>
        </w:rPr>
      </w:pPr>
      <w:r w:rsidRPr="000B7DA5">
        <w:rPr>
          <w:b/>
          <w:noProof/>
          <w:sz w:val="24"/>
          <w:szCs w:val="20"/>
          <w:lang w:val="en-GB" w:eastAsia="da-DK"/>
        </w:rPr>
        <mc:AlternateContent>
          <mc:Choice Requires="wpg">
            <w:drawing>
              <wp:anchor distT="0" distB="0" distL="114300" distR="114300" simplePos="0" relativeHeight="251657728" behindDoc="0" locked="0" layoutInCell="1" allowOverlap="1" wp14:anchorId="334C78DD" wp14:editId="17C5984B">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908A4" w14:textId="63925F45"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446A2A">
                                <w:rPr>
                                  <w:color w:val="887E6E"/>
                                  <w:sz w:val="68"/>
                                </w:rPr>
                                <w:t>25</w:t>
                              </w:r>
                              <w:r w:rsidRPr="001E2FAA">
                                <w:rPr>
                                  <w:color w:val="887E6E"/>
                                  <w:sz w:val="68"/>
                                </w:rPr>
                                <w:t>)</w:t>
                              </w:r>
                              <w:r w:rsidR="00446A2A">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4C78DD"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016908A4" w14:textId="63925F45"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446A2A">
                          <w:rPr>
                            <w:color w:val="887E6E"/>
                            <w:sz w:val="68"/>
                          </w:rPr>
                          <w:t>25</w:t>
                        </w:r>
                        <w:r w:rsidRPr="001E2FAA">
                          <w:rPr>
                            <w:color w:val="887E6E"/>
                            <w:sz w:val="68"/>
                          </w:rPr>
                          <w:t>)</w:t>
                        </w:r>
                        <w:r w:rsidR="00446A2A">
                          <w:rPr>
                            <w:color w:val="887E6E"/>
                            <w:sz w:val="68"/>
                          </w:rPr>
                          <w:t>01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1C930E6D" w14:textId="77777777" w:rsidR="006C03D0" w:rsidRPr="000B7DA5" w:rsidRDefault="006C03D0" w:rsidP="006C03D0">
      <w:pPr>
        <w:jc w:val="center"/>
        <w:rPr>
          <w:b/>
          <w:sz w:val="24"/>
          <w:lang w:val="en-GB"/>
        </w:rPr>
      </w:pPr>
    </w:p>
    <w:p w14:paraId="509D2032" w14:textId="77777777" w:rsidR="006C03D0" w:rsidRPr="000B7DA5" w:rsidRDefault="006C03D0" w:rsidP="006C03D0">
      <w:pPr>
        <w:jc w:val="center"/>
        <w:rPr>
          <w:b/>
          <w:sz w:val="24"/>
          <w:lang w:val="en-GB"/>
        </w:rPr>
      </w:pPr>
    </w:p>
    <w:p w14:paraId="36E90BA3" w14:textId="77777777" w:rsidR="006C03D0" w:rsidRPr="000B7DA5" w:rsidRDefault="006C03D0" w:rsidP="006C03D0">
      <w:pPr>
        <w:jc w:val="center"/>
        <w:rPr>
          <w:b/>
          <w:sz w:val="24"/>
          <w:lang w:val="en-GB"/>
        </w:rPr>
      </w:pPr>
    </w:p>
    <w:p w14:paraId="25702E27" w14:textId="77777777" w:rsidR="006C03D0" w:rsidRPr="000B7DA5" w:rsidRDefault="006C03D0" w:rsidP="006C03D0">
      <w:pPr>
        <w:jc w:val="center"/>
        <w:rPr>
          <w:b/>
          <w:sz w:val="24"/>
          <w:lang w:val="en-GB"/>
        </w:rPr>
      </w:pPr>
    </w:p>
    <w:p w14:paraId="5BA76203" w14:textId="77777777" w:rsidR="006C03D0" w:rsidRPr="000B7DA5" w:rsidRDefault="006C03D0" w:rsidP="006C03D0">
      <w:pPr>
        <w:jc w:val="center"/>
        <w:rPr>
          <w:b/>
          <w:sz w:val="24"/>
          <w:lang w:val="en-GB"/>
        </w:rPr>
      </w:pPr>
    </w:p>
    <w:p w14:paraId="3F67F0BF" w14:textId="77777777" w:rsidR="006C03D0" w:rsidRPr="000B7DA5" w:rsidRDefault="006C03D0" w:rsidP="006C03D0">
      <w:pPr>
        <w:jc w:val="center"/>
        <w:rPr>
          <w:b/>
          <w:sz w:val="24"/>
          <w:lang w:val="en-GB"/>
        </w:rPr>
      </w:pPr>
    </w:p>
    <w:p w14:paraId="118B9932" w14:textId="77777777" w:rsidR="006C03D0" w:rsidRPr="000B7DA5" w:rsidRDefault="006C03D0" w:rsidP="006C03D0">
      <w:pPr>
        <w:jc w:val="center"/>
        <w:rPr>
          <w:b/>
          <w:sz w:val="24"/>
          <w:lang w:val="en-GB"/>
        </w:rPr>
      </w:pPr>
    </w:p>
    <w:p w14:paraId="3380C36B" w14:textId="77777777" w:rsidR="006C03D0" w:rsidRPr="000B7DA5" w:rsidRDefault="006C03D0" w:rsidP="006C03D0">
      <w:pPr>
        <w:jc w:val="center"/>
        <w:rPr>
          <w:b/>
          <w:sz w:val="24"/>
          <w:lang w:val="en-GB"/>
        </w:rPr>
      </w:pPr>
    </w:p>
    <w:p w14:paraId="6DD5B8CF" w14:textId="77777777" w:rsidR="006C03D0" w:rsidRPr="000B7DA5" w:rsidRDefault="006C03D0" w:rsidP="006C03D0">
      <w:pPr>
        <w:jc w:val="center"/>
        <w:rPr>
          <w:b/>
          <w:sz w:val="24"/>
          <w:lang w:val="en-GB"/>
        </w:rPr>
      </w:pPr>
    </w:p>
    <w:p w14:paraId="3B1FCE57" w14:textId="77777777" w:rsidR="006C03D0" w:rsidRPr="000B7DA5" w:rsidRDefault="006C03D0" w:rsidP="006C03D0">
      <w:pPr>
        <w:jc w:val="center"/>
        <w:rPr>
          <w:b/>
          <w:sz w:val="24"/>
          <w:lang w:val="en-GB"/>
        </w:rPr>
      </w:pPr>
    </w:p>
    <w:p w14:paraId="4E3BC43C" w14:textId="77777777" w:rsidR="006C03D0" w:rsidRPr="000B7DA5" w:rsidRDefault="006C03D0" w:rsidP="006C03D0">
      <w:pPr>
        <w:rPr>
          <w:b/>
          <w:sz w:val="24"/>
          <w:lang w:val="en-GB"/>
        </w:rPr>
      </w:pPr>
    </w:p>
    <w:p w14:paraId="65E40976" w14:textId="77777777" w:rsidR="006C03D0" w:rsidRPr="000B7DA5" w:rsidRDefault="006C03D0" w:rsidP="006C03D0">
      <w:pPr>
        <w:jc w:val="center"/>
        <w:rPr>
          <w:b/>
          <w:sz w:val="24"/>
          <w:lang w:val="en-GB"/>
        </w:rPr>
      </w:pPr>
    </w:p>
    <w:p w14:paraId="2CEAD5A3" w14:textId="77777777" w:rsidR="00DA4690" w:rsidRPr="000B7DA5" w:rsidRDefault="00DA4690" w:rsidP="00DA4690">
      <w:pPr>
        <w:pStyle w:val="Textkrper-Zeileneinzug"/>
        <w:ind w:left="3402"/>
        <w:rPr>
          <w:rFonts w:ascii="Arial" w:hAnsi="Arial" w:cs="Arial"/>
          <w:lang w:val="en-GB"/>
        </w:rPr>
      </w:pPr>
      <w:bookmarkStart w:id="0" w:name="_Hlk125636055"/>
      <w:bookmarkStart w:id="1" w:name="Text7"/>
      <w:r w:rsidRPr="000B7DA5">
        <w:rPr>
          <w:rFonts w:ascii="Arial" w:hAnsi="Arial" w:cs="Arial"/>
          <w:lang w:val="en-GB"/>
        </w:rPr>
        <w:t xml:space="preserve">Designation of the frequency bands used by the Global Navigation Satellite System, Galileo, and Technical and operational measures for the use of the frequency band 1258-1300 MHz by the amateur and amateur-satellite services in order to protect the </w:t>
      </w:r>
      <w:proofErr w:type="spellStart"/>
      <w:r w:rsidRPr="000B7DA5">
        <w:rPr>
          <w:rFonts w:ascii="Arial" w:hAnsi="Arial" w:cs="Arial"/>
          <w:lang w:val="en-GB"/>
        </w:rPr>
        <w:t>radionavigation</w:t>
      </w:r>
      <w:proofErr w:type="spellEnd"/>
      <w:r w:rsidRPr="000B7DA5">
        <w:rPr>
          <w:rFonts w:ascii="Arial" w:hAnsi="Arial" w:cs="Arial"/>
          <w:lang w:val="en-GB"/>
        </w:rPr>
        <w:t>-satellite service (space-to-Earth)</w:t>
      </w:r>
    </w:p>
    <w:bookmarkEnd w:id="0"/>
    <w:bookmarkEnd w:id="1"/>
    <w:p w14:paraId="121C0807" w14:textId="5092E696" w:rsidR="006C03D0" w:rsidRPr="000B7DA5" w:rsidRDefault="000F61C3" w:rsidP="006C03D0">
      <w:pPr>
        <w:pStyle w:val="Reporttitledescription"/>
        <w:rPr>
          <w:b/>
          <w:color w:val="auto"/>
          <w:sz w:val="18"/>
          <w:lang w:val="en-GB"/>
        </w:rPr>
      </w:pPr>
      <w:r>
        <w:rPr>
          <w:b/>
          <w:color w:val="auto"/>
          <w:sz w:val="18"/>
          <w:lang w:val="en-GB"/>
        </w:rPr>
        <w:fldChar w:fldCharType="begin">
          <w:ffData>
            <w:name w:val="Text8"/>
            <w:enabled/>
            <w:calcOnExit w:val="0"/>
            <w:textInput>
              <w:default w:val="approved 27 June 2025"/>
            </w:textInput>
          </w:ffData>
        </w:fldChar>
      </w:r>
      <w:r>
        <w:rPr>
          <w:b/>
          <w:color w:val="auto"/>
          <w:sz w:val="18"/>
          <w:lang w:val="en-GB"/>
        </w:rPr>
        <w:instrText xml:space="preserve"> </w:instrText>
      </w:r>
      <w:bookmarkStart w:id="2"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27 June 2025</w:t>
      </w:r>
      <w:r>
        <w:rPr>
          <w:b/>
          <w:color w:val="auto"/>
          <w:sz w:val="18"/>
          <w:lang w:val="en-GB"/>
        </w:rPr>
        <w:fldChar w:fldCharType="end"/>
      </w:r>
      <w:bookmarkEnd w:id="2"/>
    </w:p>
    <w:p w14:paraId="586CB7E7" w14:textId="649ED654" w:rsidR="006C03D0" w:rsidRPr="000B7DA5" w:rsidRDefault="00DA4690" w:rsidP="006C03D0">
      <w:pPr>
        <w:pStyle w:val="Lastupdated"/>
        <w:rPr>
          <w:b/>
          <w:lang w:val="en-GB"/>
        </w:rPr>
      </w:pPr>
      <w:r w:rsidRPr="000B7DA5">
        <w:rPr>
          <w:b/>
          <w:lang w:val="en-GB"/>
        </w:rPr>
        <w:fldChar w:fldCharType="begin">
          <w:ffData>
            <w:name w:val="Text3"/>
            <w:enabled/>
            <w:calcOnExit w:val="0"/>
            <w:textInput/>
          </w:ffData>
        </w:fldChar>
      </w:r>
      <w:r w:rsidRPr="000B7DA5">
        <w:rPr>
          <w:b/>
          <w:lang w:val="en-GB"/>
        </w:rPr>
        <w:instrText xml:space="preserve"> </w:instrText>
      </w:r>
      <w:bookmarkStart w:id="3" w:name="Text3"/>
      <w:r w:rsidRPr="000B7DA5">
        <w:rPr>
          <w:b/>
          <w:lang w:val="en-GB"/>
        </w:rPr>
        <w:instrText xml:space="preserve">FORMTEXT </w:instrText>
      </w:r>
      <w:r w:rsidRPr="000B7DA5">
        <w:rPr>
          <w:b/>
          <w:lang w:val="en-GB"/>
        </w:rPr>
      </w:r>
      <w:r w:rsidRPr="000B7DA5">
        <w:rPr>
          <w:b/>
          <w:lang w:val="en-GB"/>
        </w:rPr>
        <w:fldChar w:fldCharType="separate"/>
      </w:r>
      <w:r w:rsidRPr="000B7DA5">
        <w:rPr>
          <w:b/>
          <w:noProof/>
          <w:lang w:val="en-GB"/>
        </w:rPr>
        <w:t> </w:t>
      </w:r>
      <w:r w:rsidRPr="000B7DA5">
        <w:rPr>
          <w:b/>
          <w:noProof/>
          <w:lang w:val="en-GB"/>
        </w:rPr>
        <w:t> </w:t>
      </w:r>
      <w:r w:rsidRPr="000B7DA5">
        <w:rPr>
          <w:b/>
          <w:noProof/>
          <w:lang w:val="en-GB"/>
        </w:rPr>
        <w:t> </w:t>
      </w:r>
      <w:r w:rsidRPr="000B7DA5">
        <w:rPr>
          <w:b/>
          <w:noProof/>
          <w:lang w:val="en-GB"/>
        </w:rPr>
        <w:t> </w:t>
      </w:r>
      <w:r w:rsidRPr="000B7DA5">
        <w:rPr>
          <w:b/>
          <w:noProof/>
          <w:lang w:val="en-GB"/>
        </w:rPr>
        <w:t> </w:t>
      </w:r>
      <w:r w:rsidRPr="000B7DA5">
        <w:rPr>
          <w:b/>
          <w:lang w:val="en-GB"/>
        </w:rPr>
        <w:fldChar w:fldCharType="end"/>
      </w:r>
      <w:bookmarkEnd w:id="3"/>
    </w:p>
    <w:p w14:paraId="40514FE7" w14:textId="77777777" w:rsidR="008F5944" w:rsidRPr="000B7DA5" w:rsidRDefault="008F5944" w:rsidP="006C03D0">
      <w:pPr>
        <w:pStyle w:val="Lastupdated"/>
        <w:rPr>
          <w:b/>
          <w:lang w:val="en-GB"/>
        </w:rPr>
      </w:pPr>
    </w:p>
    <w:p w14:paraId="5DD7FE12" w14:textId="7D810518" w:rsidR="006C03D0" w:rsidRPr="000B7DA5" w:rsidRDefault="005F7AD5" w:rsidP="006E3C83">
      <w:pPr>
        <w:pStyle w:val="berschrift1"/>
      </w:pPr>
      <w:r w:rsidRPr="000B7DA5">
        <w:lastRenderedPageBreak/>
        <w:t>explanatory memorandum</w:t>
      </w:r>
    </w:p>
    <w:p w14:paraId="423ADA9F" w14:textId="59AD5D08" w:rsidR="006C03D0" w:rsidRPr="000B7DA5" w:rsidRDefault="005F7AD5" w:rsidP="006C03D0">
      <w:pPr>
        <w:pStyle w:val="berschrift2"/>
        <w:rPr>
          <w:lang w:val="en-GB"/>
        </w:rPr>
      </w:pPr>
      <w:r w:rsidRPr="000B7DA5">
        <w:rPr>
          <w:lang w:val="en-GB"/>
        </w:rPr>
        <w:t>INTRODUCTION</w:t>
      </w:r>
    </w:p>
    <w:p w14:paraId="6DF53BE4" w14:textId="5713147D" w:rsidR="00DA4690" w:rsidRPr="000B7DA5" w:rsidRDefault="00DA4690" w:rsidP="00DA4690">
      <w:pPr>
        <w:pStyle w:val="Brief"/>
        <w:widowControl/>
        <w:tabs>
          <w:tab w:val="clear" w:pos="720"/>
          <w:tab w:val="clear" w:pos="1440"/>
          <w:tab w:val="clear" w:pos="2160"/>
          <w:tab w:val="clear" w:pos="2880"/>
        </w:tabs>
        <w:spacing w:before="0"/>
        <w:rPr>
          <w:rFonts w:ascii="Arial" w:hAnsi="Arial" w:cs="Arial"/>
          <w:lang w:val="en-GB"/>
        </w:rPr>
      </w:pPr>
      <w:r w:rsidRPr="000B7DA5">
        <w:rPr>
          <w:rFonts w:ascii="Arial" w:hAnsi="Arial" w:cs="Arial"/>
          <w:lang w:val="en-GB"/>
        </w:rPr>
        <w:t xml:space="preserve">This Decision addresses </w:t>
      </w:r>
      <w:r w:rsidRPr="000B7DA5">
        <w:rPr>
          <w:rFonts w:ascii="Arial" w:hAnsi="Arial"/>
          <w:lang w:val="en-GB"/>
        </w:rPr>
        <w:t>the designation of the bands 1164-1215 MHz, 1258-1300 MHz and 1559-1610 MHz used by the Global Navigation Satellite System, Galileo,</w:t>
      </w:r>
      <w:r w:rsidRPr="000B7DA5">
        <w:rPr>
          <w:rFonts w:ascii="Arial" w:hAnsi="Arial" w:cs="Arial"/>
          <w:lang w:val="en-GB"/>
        </w:rPr>
        <w:t xml:space="preserve"> and the technical and operational measures for </w:t>
      </w:r>
      <w:r w:rsidR="00EA6887" w:rsidRPr="000B7DA5">
        <w:rPr>
          <w:rFonts w:ascii="Arial" w:hAnsi="Arial" w:cs="Arial"/>
          <w:lang w:val="en-GB"/>
        </w:rPr>
        <w:t xml:space="preserve">CEPT </w:t>
      </w:r>
      <w:r w:rsidRPr="000B7DA5">
        <w:rPr>
          <w:rFonts w:ascii="Arial" w:hAnsi="Arial" w:cs="Arial"/>
          <w:lang w:val="en-GB"/>
        </w:rPr>
        <w:t xml:space="preserve">administrations authorising stations operating in the amateur and amateur-satellite services to protect systems of the </w:t>
      </w:r>
      <w:proofErr w:type="spellStart"/>
      <w:r w:rsidRPr="000B7DA5">
        <w:rPr>
          <w:rFonts w:ascii="Arial" w:hAnsi="Arial" w:cs="Arial"/>
          <w:lang w:val="en-GB"/>
        </w:rPr>
        <w:t>radionavigation</w:t>
      </w:r>
      <w:proofErr w:type="spellEnd"/>
      <w:r w:rsidRPr="000B7DA5">
        <w:rPr>
          <w:rFonts w:ascii="Arial" w:hAnsi="Arial" w:cs="Arial"/>
          <w:lang w:val="en-GB"/>
        </w:rPr>
        <w:t xml:space="preserve">-satellite service (space-to-Earth) in the frequency band 1258-1300 </w:t>
      </w:r>
      <w:proofErr w:type="spellStart"/>
      <w:r w:rsidRPr="000B7DA5">
        <w:rPr>
          <w:rFonts w:ascii="Arial" w:hAnsi="Arial" w:cs="Arial"/>
          <w:lang w:val="en-GB"/>
        </w:rPr>
        <w:t>MHz.</w:t>
      </w:r>
      <w:proofErr w:type="spellEnd"/>
      <w:r w:rsidRPr="000B7DA5">
        <w:rPr>
          <w:rFonts w:ascii="Arial" w:hAnsi="Arial" w:cs="Arial"/>
          <w:lang w:val="en-GB"/>
        </w:rPr>
        <w:t xml:space="preserve"> The relevant measures are contained in </w:t>
      </w:r>
      <w:r w:rsidRPr="000B7DA5">
        <w:rPr>
          <w:rFonts w:ascii="Arial" w:hAnsi="Arial" w:cs="Arial"/>
          <w:lang w:val="en-GB"/>
        </w:rPr>
        <w:fldChar w:fldCharType="begin"/>
      </w:r>
      <w:r w:rsidRPr="000B7DA5">
        <w:rPr>
          <w:rFonts w:ascii="Arial" w:hAnsi="Arial" w:cs="Arial"/>
          <w:lang w:val="en-GB"/>
        </w:rPr>
        <w:instrText xml:space="preserve"> REF _Ref134767040 \r \h  \* MERGEFORMAT </w:instrText>
      </w:r>
      <w:r w:rsidRPr="000B7DA5">
        <w:rPr>
          <w:rFonts w:ascii="Arial" w:hAnsi="Arial" w:cs="Arial"/>
          <w:lang w:val="en-GB"/>
        </w:rPr>
      </w:r>
      <w:r w:rsidRPr="000B7DA5">
        <w:rPr>
          <w:rFonts w:ascii="Arial" w:hAnsi="Arial" w:cs="Arial"/>
          <w:lang w:val="en-GB"/>
        </w:rPr>
        <w:fldChar w:fldCharType="separate"/>
      </w:r>
      <w:r w:rsidRPr="000B7DA5">
        <w:rPr>
          <w:rFonts w:ascii="Arial" w:hAnsi="Arial" w:cs="Arial"/>
          <w:lang w:val="en-GB"/>
        </w:rPr>
        <w:t>Annex 1</w:t>
      </w:r>
      <w:r w:rsidRPr="000B7DA5">
        <w:rPr>
          <w:rFonts w:ascii="Arial" w:hAnsi="Arial" w:cs="Arial"/>
          <w:lang w:val="en-GB"/>
        </w:rPr>
        <w:fldChar w:fldCharType="end"/>
      </w:r>
      <w:r w:rsidRPr="000B7DA5">
        <w:rPr>
          <w:rFonts w:ascii="Arial" w:hAnsi="Arial" w:cs="Arial"/>
          <w:lang w:val="en-GB"/>
        </w:rPr>
        <w:t>.</w:t>
      </w:r>
    </w:p>
    <w:p w14:paraId="00F5D803" w14:textId="03A7340A" w:rsidR="006C03D0" w:rsidRPr="000B7DA5" w:rsidRDefault="005F7AD5" w:rsidP="006C03D0">
      <w:pPr>
        <w:pStyle w:val="berschrift2"/>
        <w:rPr>
          <w:lang w:val="en-GB"/>
        </w:rPr>
      </w:pPr>
      <w:r w:rsidRPr="000B7DA5">
        <w:rPr>
          <w:lang w:val="en-GB"/>
        </w:rPr>
        <w:t xml:space="preserve">BACKGROUND </w:t>
      </w:r>
    </w:p>
    <w:p w14:paraId="5EB35F09" w14:textId="2EA4F12B" w:rsidR="00DA4690" w:rsidRPr="000B7DA5" w:rsidRDefault="00DA4690" w:rsidP="00DA4690">
      <w:pPr>
        <w:pStyle w:val="ECCParagraph"/>
      </w:pPr>
      <w:r w:rsidRPr="000B7DA5">
        <w:t>Galileo is Europe's Global Navigation Satellite System (GNSS) and provides accurate and reliable positioning and timing information through receiving terminals using the frequency bands 1164-1215 MHz, 1258-1300</w:t>
      </w:r>
      <w:r w:rsidR="00FC45AC" w:rsidRPr="000B7DA5">
        <w:t> </w:t>
      </w:r>
      <w:r w:rsidRPr="000B7DA5">
        <w:t xml:space="preserve">MHz and 1559-1610 </w:t>
      </w:r>
      <w:proofErr w:type="spellStart"/>
      <w:r w:rsidRPr="000B7DA5">
        <w:t>MHz.</w:t>
      </w:r>
      <w:proofErr w:type="spellEnd"/>
    </w:p>
    <w:p w14:paraId="2251D32F" w14:textId="08C4CEF3" w:rsidR="00DA4690" w:rsidRPr="000B7DA5" w:rsidRDefault="00DA4690" w:rsidP="00DA4690">
      <w:pPr>
        <w:pStyle w:val="ECCParagraph"/>
      </w:pPr>
      <w:r w:rsidRPr="000B7DA5">
        <w:t xml:space="preserve">The frequency range 1258-1300 MHz covered by this Decision is allocated on a primary basis to the RNSS and is used by the European Galileo system across the frequency range 1258.29-1299.21 MHz (known as E6), a portion of the Radio Navigation Satellite Service (RNSS) allocation 1215-1300 </w:t>
      </w:r>
      <w:proofErr w:type="spellStart"/>
      <w:r w:rsidRPr="000B7DA5">
        <w:t>MHz.</w:t>
      </w:r>
      <w:proofErr w:type="spellEnd"/>
      <w:r w:rsidRPr="000B7DA5">
        <w:t xml:space="preserve"> The same frequency range 1258.29-1299.21 MHz is in a part of the 1240-1300 MHz allocation to the amateur service and the amateur satellite service Earth-to-space (in the part 1260-1270 MHz), both on a secondary basis in the ITU Radio Regulations </w:t>
      </w:r>
      <w:r w:rsidRPr="000B7DA5">
        <w:fldChar w:fldCharType="begin"/>
      </w:r>
      <w:r w:rsidRPr="000B7DA5">
        <w:instrText xml:space="preserve"> REF _Ref132985170 \r \h  \* MERGEFORMAT </w:instrText>
      </w:r>
      <w:r w:rsidRPr="000B7DA5">
        <w:fldChar w:fldCharType="separate"/>
      </w:r>
      <w:r w:rsidRPr="000B7DA5">
        <w:t>[1]</w:t>
      </w:r>
      <w:r w:rsidRPr="000B7DA5">
        <w:fldChar w:fldCharType="end"/>
      </w:r>
      <w:r w:rsidRPr="000B7DA5">
        <w:t xml:space="preserve">. This band is further shared with the radiolocation (RLS), </w:t>
      </w:r>
      <w:proofErr w:type="spellStart"/>
      <w:r w:rsidRPr="000B7DA5">
        <w:t>radionavigation</w:t>
      </w:r>
      <w:proofErr w:type="spellEnd"/>
      <w:r w:rsidRPr="000B7DA5">
        <w:t xml:space="preserve"> (RNS) on a co-primary basis and with the Earth exploration-satellite service (EESS (active)) on a co-secondary basis.</w:t>
      </w:r>
    </w:p>
    <w:p w14:paraId="381F6FAB" w14:textId="205766C1" w:rsidR="00DA4690" w:rsidRPr="000B7DA5" w:rsidRDefault="00DA4690" w:rsidP="00DA4690">
      <w:pPr>
        <w:pStyle w:val="ECCParagraph"/>
      </w:pPr>
      <w:r w:rsidRPr="000B7DA5">
        <w:t xml:space="preserve">ECC Report 359 </w:t>
      </w:r>
      <w:r w:rsidRPr="000B7DA5">
        <w:fldChar w:fldCharType="begin"/>
      </w:r>
      <w:r w:rsidRPr="000B7DA5">
        <w:instrText xml:space="preserve"> REF _Ref169175312 \r \h  \* MERGEFORMAT </w:instrText>
      </w:r>
      <w:r w:rsidRPr="000B7DA5">
        <w:fldChar w:fldCharType="separate"/>
      </w:r>
      <w:r w:rsidRPr="000B7DA5">
        <w:t>[2]</w:t>
      </w:r>
      <w:r w:rsidRPr="000B7DA5">
        <w:fldChar w:fldCharType="end"/>
      </w:r>
      <w:r w:rsidRPr="000B7DA5">
        <w:t xml:space="preserve">, details studies that show that there is a potential for amateur station emissions in the range 1258-1300 MHz to be received in Galileo RNSS receivers at levels exceeding the receiver protection criteria defined by the Recommendation ITU-R M.1902-2 </w:t>
      </w:r>
      <w:r w:rsidRPr="000B7DA5">
        <w:fldChar w:fldCharType="begin"/>
      </w:r>
      <w:r w:rsidRPr="000B7DA5">
        <w:instrText xml:space="preserve"> REF _Ref169175532 \r \h  \* MERGEFORMAT </w:instrText>
      </w:r>
      <w:r w:rsidRPr="000B7DA5">
        <w:fldChar w:fldCharType="separate"/>
      </w:r>
      <w:r w:rsidRPr="000B7DA5">
        <w:t>[3]</w:t>
      </w:r>
      <w:r w:rsidRPr="000B7DA5">
        <w:fldChar w:fldCharType="end"/>
      </w:r>
      <w:r w:rsidRPr="000B7DA5">
        <w:t>.</w:t>
      </w:r>
    </w:p>
    <w:p w14:paraId="290BB270" w14:textId="05783508" w:rsidR="00DA4690" w:rsidRPr="000B7DA5" w:rsidRDefault="00DA4690" w:rsidP="00DA4690">
      <w:pPr>
        <w:pStyle w:val="ECCParagraph"/>
      </w:pPr>
      <w:r w:rsidRPr="000B7DA5">
        <w:t xml:space="preserve">Between 2019 and 2023, ITU-R studied the global set of RNSS systems in the range 1240-1300 MHz, including additionally the Russian Federation system GLONASS, the Chinese </w:t>
      </w:r>
      <w:proofErr w:type="spellStart"/>
      <w:r w:rsidRPr="000B7DA5">
        <w:t>Beidou</w:t>
      </w:r>
      <w:proofErr w:type="spellEnd"/>
      <w:r w:rsidRPr="000B7DA5">
        <w:t xml:space="preserve"> (COMPASS) system and the Japanese QZSS. As a result of that work, Report ITU-R M.2513-1 </w:t>
      </w:r>
      <w:r w:rsidRPr="000B7DA5">
        <w:fldChar w:fldCharType="begin"/>
      </w:r>
      <w:r w:rsidRPr="000B7DA5">
        <w:instrText xml:space="preserve"> REF _Ref169175558 \r \h  \* MERGEFORMAT </w:instrText>
      </w:r>
      <w:r w:rsidRPr="000B7DA5">
        <w:fldChar w:fldCharType="separate"/>
      </w:r>
      <w:r w:rsidRPr="000B7DA5">
        <w:t>[4]</w:t>
      </w:r>
      <w:r w:rsidRPr="000B7DA5">
        <w:fldChar w:fldCharType="end"/>
      </w:r>
      <w:r w:rsidRPr="000B7DA5">
        <w:t xml:space="preserve"> and Report ITU-R M.2532-0 </w:t>
      </w:r>
      <w:r w:rsidRPr="000B7DA5">
        <w:fldChar w:fldCharType="begin"/>
      </w:r>
      <w:r w:rsidRPr="000B7DA5">
        <w:instrText xml:space="preserve"> REF _Ref169174130 \r \h  \* MERGEFORMAT </w:instrText>
      </w:r>
      <w:r w:rsidRPr="000B7DA5">
        <w:fldChar w:fldCharType="separate"/>
      </w:r>
      <w:r w:rsidRPr="000B7DA5">
        <w:t>[5]</w:t>
      </w:r>
      <w:r w:rsidRPr="000B7DA5">
        <w:fldChar w:fldCharType="end"/>
      </w:r>
      <w:r w:rsidRPr="000B7DA5">
        <w:t xml:space="preserve"> were published along with Recommendation ITU-R M.2164-0 </w:t>
      </w:r>
      <w:r w:rsidRPr="000B7DA5">
        <w:fldChar w:fldCharType="begin"/>
      </w:r>
      <w:r w:rsidRPr="000B7DA5">
        <w:instrText xml:space="preserve"> REF _Ref169174137 \r \h  \* MERGEFORMAT </w:instrText>
      </w:r>
      <w:r w:rsidRPr="000B7DA5">
        <w:fldChar w:fldCharType="separate"/>
      </w:r>
      <w:r w:rsidRPr="000B7DA5">
        <w:t>[6]</w:t>
      </w:r>
      <w:r w:rsidRPr="000B7DA5">
        <w:fldChar w:fldCharType="end"/>
      </w:r>
      <w:r w:rsidRPr="000B7DA5">
        <w:t>.</w:t>
      </w:r>
    </w:p>
    <w:p w14:paraId="40C938D2" w14:textId="77777777" w:rsidR="00DA4690" w:rsidRPr="000B7DA5" w:rsidRDefault="00DA4690" w:rsidP="00DA4690">
      <w:pPr>
        <w:pStyle w:val="ECCParagraph"/>
      </w:pPr>
      <w:r w:rsidRPr="000B7DA5">
        <w:t>With the implementation of the Galileo system, it has become necessary to study the operating conditions for applications and operating modes in the amateur and amateur satellite services to assess their potential for interference into the terrestrial RNSS receivers and ensure the protection of the RNSS whilst enabling continued use of this band and ensuring the continued development of both amateur and amateur satellite services in this band.</w:t>
      </w:r>
    </w:p>
    <w:p w14:paraId="0295AABB" w14:textId="6119A9B9" w:rsidR="00DA4690" w:rsidRPr="000B7DA5" w:rsidRDefault="00DA4690" w:rsidP="00DA4690">
      <w:pPr>
        <w:pStyle w:val="ECCParagraph"/>
      </w:pPr>
      <w:r w:rsidRPr="000B7DA5">
        <w:t xml:space="preserve">In order to ensure the protection of the RNSS, technical and operational measures have been considered that can allow the amateur and amateur satellite services to continue to operate in part of the band 1258-1300 MHz in a way that will reduce the potential for interference into Galileo RNSS receivers. These are detailed in </w:t>
      </w:r>
      <w:r w:rsidRPr="000B7DA5">
        <w:fldChar w:fldCharType="begin"/>
      </w:r>
      <w:r w:rsidRPr="000B7DA5">
        <w:instrText xml:space="preserve"> REF _Ref134767040 \r \h  \* MERGEFORMAT </w:instrText>
      </w:r>
      <w:r w:rsidRPr="000B7DA5">
        <w:fldChar w:fldCharType="separate"/>
      </w:r>
      <w:r w:rsidRPr="000B7DA5">
        <w:t>Annex 1</w:t>
      </w:r>
      <w:r w:rsidRPr="000B7DA5">
        <w:fldChar w:fldCharType="end"/>
      </w:r>
      <w:r w:rsidRPr="000B7DA5">
        <w:t>.</w:t>
      </w:r>
    </w:p>
    <w:p w14:paraId="6B8D80A9" w14:textId="77777777" w:rsidR="006C03D0" w:rsidRPr="000B7DA5" w:rsidRDefault="005F7AD5" w:rsidP="006C03D0">
      <w:pPr>
        <w:pStyle w:val="berschrift2"/>
        <w:rPr>
          <w:lang w:val="en-GB"/>
        </w:rPr>
      </w:pPr>
      <w:r w:rsidRPr="000B7DA5">
        <w:rPr>
          <w:lang w:val="en-GB"/>
        </w:rPr>
        <w:t>REQUIREMENT FOR AN ECC DECISION</w:t>
      </w:r>
    </w:p>
    <w:p w14:paraId="42C523E5" w14:textId="1A459E2E" w:rsidR="00DA4690" w:rsidRPr="000B7DA5" w:rsidRDefault="00DA4690" w:rsidP="000C2090">
      <w:pPr>
        <w:pStyle w:val="ECCParagraph"/>
      </w:pPr>
      <w:r w:rsidRPr="000B7DA5">
        <w:t xml:space="preserve">The allocation or designation of a frequency band for its use by a service or a system under specified conditions in CEPT member countries is laid down by law, regulation or administrative action. The ECC recognises that for the successful global expansion and utilization of Galileo and its new services, confidence must be provided to GNSS users. An ECC Decision would provide this to the GNSS community by the designation of the band 1164-1215 MHz, 1258-1300 MHz and 1559-1610 MHz for the use of the RNSS system Galileo. An ECC Decision with the appropriate conditions detailed in </w:t>
      </w:r>
      <w:r w:rsidRPr="000B7DA5">
        <w:rPr>
          <w:rFonts w:cs="Arial"/>
        </w:rPr>
        <w:fldChar w:fldCharType="begin"/>
      </w:r>
      <w:r w:rsidRPr="000B7DA5">
        <w:rPr>
          <w:rFonts w:cs="Arial"/>
        </w:rPr>
        <w:instrText xml:space="preserve"> REF _Ref134767040 \r \h  \* MERGEFORMAT </w:instrText>
      </w:r>
      <w:r w:rsidRPr="000B7DA5">
        <w:rPr>
          <w:rFonts w:cs="Arial"/>
        </w:rPr>
      </w:r>
      <w:r w:rsidRPr="000B7DA5">
        <w:rPr>
          <w:rFonts w:cs="Arial"/>
        </w:rPr>
        <w:fldChar w:fldCharType="separate"/>
      </w:r>
      <w:r w:rsidRPr="000B7DA5">
        <w:rPr>
          <w:rFonts w:cs="Arial"/>
        </w:rPr>
        <w:t>Annex 1</w:t>
      </w:r>
      <w:r w:rsidRPr="000B7DA5">
        <w:rPr>
          <w:rFonts w:cs="Arial"/>
        </w:rPr>
        <w:fldChar w:fldCharType="end"/>
      </w:r>
      <w:r w:rsidRPr="000B7DA5">
        <w:t xml:space="preserve"> would also give</w:t>
      </w:r>
      <w:r w:rsidR="00B7599B" w:rsidRPr="000B7DA5">
        <w:t xml:space="preserve"> CEPT</w:t>
      </w:r>
      <w:r w:rsidRPr="000B7DA5">
        <w:t xml:space="preserve"> administrations more confidence that their national authorisations in the amateur and amateur satellite services would be less likely to cause interference to GNSS users.</w:t>
      </w:r>
    </w:p>
    <w:p w14:paraId="1106D503" w14:textId="4B3E3350" w:rsidR="00DA4690" w:rsidRPr="000B7DA5" w:rsidRDefault="00DA4690" w:rsidP="00DA4690">
      <w:pPr>
        <w:pStyle w:val="Brief"/>
        <w:widowControl/>
        <w:tabs>
          <w:tab w:val="clear" w:pos="720"/>
          <w:tab w:val="clear" w:pos="1440"/>
          <w:tab w:val="clear" w:pos="2160"/>
          <w:tab w:val="clear" w:pos="2880"/>
        </w:tabs>
        <w:spacing w:before="0"/>
        <w:rPr>
          <w:lang w:val="en-GB"/>
        </w:rPr>
      </w:pPr>
      <w:r w:rsidRPr="000B7DA5">
        <w:rPr>
          <w:rFonts w:ascii="Arial" w:hAnsi="Arial"/>
          <w:lang w:val="en-GB"/>
        </w:rPr>
        <w:lastRenderedPageBreak/>
        <w:t>In order to provide a clear regulatory framework for the protection of the RNSS whilst enabling continued use of the band 1240-1300 MHz by the amateur and amateur satellite services to ensure their continued long-term development in this band, an ECC Decision is necessary for the frequency range 1258-</w:t>
      </w:r>
      <w:r w:rsidRPr="000B7DA5">
        <w:rPr>
          <w:rFonts w:ascii="Arial" w:hAnsi="Arial" w:cs="Arial"/>
          <w:lang w:val="en-GB"/>
        </w:rPr>
        <w:t xml:space="preserve">1300 </w:t>
      </w:r>
      <w:proofErr w:type="spellStart"/>
      <w:r w:rsidRPr="000B7DA5">
        <w:rPr>
          <w:rFonts w:ascii="Arial" w:hAnsi="Arial"/>
          <w:lang w:val="en-GB"/>
        </w:rPr>
        <w:t>MHz.</w:t>
      </w:r>
      <w:proofErr w:type="spellEnd"/>
    </w:p>
    <w:p w14:paraId="4E268910" w14:textId="77777777" w:rsidR="00DA4690" w:rsidRPr="000B7DA5" w:rsidRDefault="00DA4690" w:rsidP="00DA4690">
      <w:pPr>
        <w:pStyle w:val="Brief"/>
        <w:rPr>
          <w:rFonts w:ascii="Arial" w:hAnsi="Arial" w:cs="Arial"/>
          <w:lang w:val="en-GB"/>
        </w:rPr>
      </w:pPr>
      <w:r w:rsidRPr="000B7DA5">
        <w:rPr>
          <w:rFonts w:ascii="Arial" w:hAnsi="Arial" w:cs="Arial"/>
          <w:lang w:val="en-GB"/>
        </w:rPr>
        <w:t>ECC recognises that:</w:t>
      </w:r>
    </w:p>
    <w:p w14:paraId="376514C3" w14:textId="77777777" w:rsidR="00DA4690" w:rsidRPr="000B7DA5" w:rsidRDefault="00DA4690" w:rsidP="00DA4690">
      <w:pPr>
        <w:pStyle w:val="ECCBulletsLv1"/>
        <w:rPr>
          <w:rFonts w:cs="Arial"/>
        </w:rPr>
      </w:pPr>
      <w:r w:rsidRPr="000B7DA5">
        <w:rPr>
          <w:rFonts w:cs="Arial"/>
        </w:rPr>
        <w:t>the authorisation regimes are decided at national level in particular in response to market demand;</w:t>
      </w:r>
    </w:p>
    <w:p w14:paraId="3BDA5089" w14:textId="658F6495" w:rsidR="00DA4690" w:rsidRPr="000B7DA5" w:rsidRDefault="000227D3" w:rsidP="00DA4690">
      <w:pPr>
        <w:pStyle w:val="ECCBulletsLv1"/>
        <w:rPr>
          <w:rFonts w:cs="Arial"/>
        </w:rPr>
      </w:pPr>
      <w:r w:rsidRPr="000B7DA5">
        <w:rPr>
          <w:rFonts w:cs="Arial"/>
        </w:rPr>
        <w:t xml:space="preserve">CEPT </w:t>
      </w:r>
      <w:r w:rsidR="00DA4690" w:rsidRPr="000B7DA5">
        <w:rPr>
          <w:rFonts w:cs="Arial"/>
        </w:rPr>
        <w:t>administrations n</w:t>
      </w:r>
      <w:bookmarkStart w:id="4" w:name="_GoBack"/>
      <w:bookmarkEnd w:id="4"/>
      <w:r w:rsidR="00DA4690" w:rsidRPr="000B7DA5">
        <w:rPr>
          <w:rFonts w:cs="Arial"/>
        </w:rPr>
        <w:t xml:space="preserve">eed flexibility to adapt their use of the band </w:t>
      </w:r>
      <w:r w:rsidR="00DA4690" w:rsidRPr="000B7DA5">
        <w:t>1258-</w:t>
      </w:r>
      <w:r w:rsidR="00DA4690" w:rsidRPr="000B7DA5">
        <w:rPr>
          <w:rFonts w:cs="Arial"/>
        </w:rPr>
        <w:t>1300 MHz to national circumstances due to the current usage implementation of RNSS and amateur stations alike;</w:t>
      </w:r>
    </w:p>
    <w:p w14:paraId="41506D7D" w14:textId="27CFD93D" w:rsidR="00DA4690" w:rsidRPr="000B7DA5" w:rsidRDefault="000227D3" w:rsidP="00DA4690">
      <w:pPr>
        <w:pStyle w:val="ECCBulletsLv1"/>
        <w:rPr>
          <w:rFonts w:cs="Arial"/>
        </w:rPr>
      </w:pPr>
      <w:r w:rsidRPr="000B7DA5">
        <w:rPr>
          <w:rFonts w:cs="Arial"/>
        </w:rPr>
        <w:t xml:space="preserve">CEPT </w:t>
      </w:r>
      <w:r w:rsidR="00DA4690" w:rsidRPr="000B7DA5">
        <w:rPr>
          <w:rFonts w:cs="Arial"/>
        </w:rPr>
        <w:t>administrations need to maintain the possibility for operation/deployment of existing and future amateur stations;</w:t>
      </w:r>
    </w:p>
    <w:p w14:paraId="45852675" w14:textId="59192534" w:rsidR="00DA4690" w:rsidRPr="000B7DA5" w:rsidRDefault="000227D3" w:rsidP="00DA4690">
      <w:pPr>
        <w:pStyle w:val="ECCBulletsLv1"/>
        <w:rPr>
          <w:rFonts w:cs="Arial"/>
        </w:rPr>
      </w:pPr>
      <w:r w:rsidRPr="000B7DA5">
        <w:rPr>
          <w:rFonts w:cs="Arial"/>
        </w:rPr>
        <w:t xml:space="preserve">CEPT </w:t>
      </w:r>
      <w:r w:rsidR="00DA4690" w:rsidRPr="000B7DA5">
        <w:rPr>
          <w:rFonts w:cs="Arial"/>
        </w:rPr>
        <w:t xml:space="preserve">administrations need to protect RNSS in the band </w:t>
      </w:r>
      <w:r w:rsidR="00DA4690" w:rsidRPr="000B7DA5">
        <w:t>1258-</w:t>
      </w:r>
      <w:r w:rsidR="00DA4690" w:rsidRPr="000B7DA5">
        <w:rPr>
          <w:rFonts w:cs="Arial"/>
        </w:rPr>
        <w:t>1300 MHz from the emissions of amateur and amateur satellite stations.</w:t>
      </w:r>
    </w:p>
    <w:p w14:paraId="143F17C4" w14:textId="77777777" w:rsidR="00DA4690" w:rsidRPr="000B7DA5" w:rsidRDefault="00DA4690" w:rsidP="00DA4690">
      <w:pPr>
        <w:pStyle w:val="ECCParagraph"/>
      </w:pPr>
    </w:p>
    <w:p w14:paraId="106338B2" w14:textId="0D571A35" w:rsidR="006C03D0" w:rsidRPr="000B7DA5" w:rsidRDefault="005F7AD5" w:rsidP="006E3C83">
      <w:pPr>
        <w:pStyle w:val="berschrift1"/>
      </w:pPr>
      <w:r w:rsidRPr="000B7DA5">
        <w:lastRenderedPageBreak/>
        <w:t xml:space="preserve">ECC Decision </w:t>
      </w:r>
      <w:r w:rsidR="00E66980" w:rsidRPr="000B7DA5">
        <w:t>(</w:t>
      </w:r>
      <w:r w:rsidR="00BE2812" w:rsidRPr="000B7DA5">
        <w:t>25</w:t>
      </w:r>
      <w:r w:rsidR="00E66980" w:rsidRPr="000B7DA5">
        <w:t>)</w:t>
      </w:r>
      <w:r w:rsidR="00BE2812" w:rsidRPr="000B7DA5">
        <w:t>01</w:t>
      </w:r>
      <w:r w:rsidR="00E66980" w:rsidRPr="000B7DA5">
        <w:t xml:space="preserve"> </w:t>
      </w:r>
      <w:r w:rsidRPr="000B7DA5">
        <w:t>of</w:t>
      </w:r>
      <w:r w:rsidR="00A8085A" w:rsidRPr="000B7DA5">
        <w:t xml:space="preserve"> dd month yyyy </w:t>
      </w:r>
      <w:r w:rsidRPr="000B7DA5">
        <w:t>on</w:t>
      </w:r>
      <w:r w:rsidR="00A8085A" w:rsidRPr="000B7DA5">
        <w:t xml:space="preserve"> </w:t>
      </w:r>
      <w:r w:rsidR="00DA4690" w:rsidRPr="000B7DA5">
        <w:t>Technical and operational measures for the use of the frequency band 1258-1300 MHz by the amateur and amateur-satellite services in order to protect the radionavigation-satellite service (space-to-Earth)</w:t>
      </w:r>
    </w:p>
    <w:p w14:paraId="4982C866" w14:textId="6821763F" w:rsidR="006C03D0" w:rsidRPr="000B7DA5" w:rsidRDefault="005F7AD5" w:rsidP="006C03D0">
      <w:pPr>
        <w:pStyle w:val="ECCParagraph"/>
      </w:pPr>
      <w:r w:rsidRPr="000B7DA5">
        <w:t>“The European Conference of Postal and Telecommunications Administrations,</w:t>
      </w:r>
    </w:p>
    <w:p w14:paraId="6593A921" w14:textId="77777777" w:rsidR="00DA4690" w:rsidRPr="000B7DA5" w:rsidRDefault="00DA4690" w:rsidP="00DA4690">
      <w:pPr>
        <w:pStyle w:val="ECCParagraph"/>
      </w:pPr>
      <w:r w:rsidRPr="000B7DA5">
        <w:rPr>
          <w:i/>
          <w:color w:val="D2232A"/>
        </w:rPr>
        <w:t xml:space="preserve">considering </w:t>
      </w:r>
    </w:p>
    <w:p w14:paraId="6CCC3DA3" w14:textId="07466B8E" w:rsidR="00DA4690" w:rsidRPr="000B7DA5" w:rsidRDefault="00DA4690" w:rsidP="00DA4690">
      <w:pPr>
        <w:pStyle w:val="ECCLetteredList"/>
      </w:pPr>
      <w:r w:rsidRPr="000B7DA5">
        <w:t>that the frequency band 1240-1300 MHz is allocated worldwide to the</w:t>
      </w:r>
      <w:r w:rsidR="00D82858" w:rsidRPr="000B7DA5">
        <w:t xml:space="preserve"> </w:t>
      </w:r>
      <w:proofErr w:type="spellStart"/>
      <w:r w:rsidR="00D82858" w:rsidRPr="000B7DA5">
        <w:t>Radio</w:t>
      </w:r>
      <w:r w:rsidR="00407C90" w:rsidRPr="000B7DA5">
        <w:t>n</w:t>
      </w:r>
      <w:r w:rsidR="00D82858" w:rsidRPr="000B7DA5">
        <w:t>avigation</w:t>
      </w:r>
      <w:proofErr w:type="spellEnd"/>
      <w:r w:rsidR="00407C90" w:rsidRPr="000B7DA5">
        <w:t>-s</w:t>
      </w:r>
      <w:r w:rsidR="00D82858" w:rsidRPr="000B7DA5">
        <w:t xml:space="preserve">atellite </w:t>
      </w:r>
      <w:r w:rsidR="00407C90" w:rsidRPr="000B7DA5">
        <w:t>s</w:t>
      </w:r>
      <w:r w:rsidR="00D82858" w:rsidRPr="000B7DA5">
        <w:t>ervice</w:t>
      </w:r>
      <w:r w:rsidRPr="000B7DA5">
        <w:t xml:space="preserve"> </w:t>
      </w:r>
      <w:r w:rsidR="00D82858" w:rsidRPr="000B7DA5">
        <w:t>(</w:t>
      </w:r>
      <w:r w:rsidRPr="000B7DA5">
        <w:t>RNSS</w:t>
      </w:r>
      <w:r w:rsidR="00D82858" w:rsidRPr="000B7DA5">
        <w:t>)</w:t>
      </w:r>
      <w:r w:rsidRPr="000B7DA5">
        <w:t xml:space="preserve"> (space-to-Earth) and (space-to-space) on a primary basis;</w:t>
      </w:r>
    </w:p>
    <w:p w14:paraId="72659092" w14:textId="77777777" w:rsidR="00DA4690" w:rsidRPr="000B7DA5" w:rsidRDefault="00DA4690" w:rsidP="00DA4690">
      <w:pPr>
        <w:pStyle w:val="ECCLetteredList"/>
      </w:pPr>
      <w:r w:rsidRPr="000B7DA5">
        <w:t>that the frequency band 1240-1300 MHz is also allocated worldwide to the amateur service on a secondary basis;</w:t>
      </w:r>
    </w:p>
    <w:p w14:paraId="3D6822B5" w14:textId="77777777" w:rsidR="00DA4690" w:rsidRPr="000B7DA5" w:rsidRDefault="00DA4690" w:rsidP="00DA4690">
      <w:pPr>
        <w:pStyle w:val="ECCLetteredList"/>
      </w:pPr>
      <w:r w:rsidRPr="000B7DA5">
        <w:t xml:space="preserve">that the amateur-satellite service (Earth-to-space) may operate in the frequency band 1260-1270 MHz under the provisions of RR No. </w:t>
      </w:r>
      <w:r w:rsidRPr="000B7DA5">
        <w:rPr>
          <w:b/>
          <w:bCs/>
        </w:rPr>
        <w:t>5.282</w:t>
      </w:r>
      <w:r w:rsidRPr="000B7DA5">
        <w:t>;</w:t>
      </w:r>
    </w:p>
    <w:p w14:paraId="5F08425C" w14:textId="77777777" w:rsidR="00DA4690" w:rsidRPr="000B7DA5" w:rsidRDefault="00DA4690" w:rsidP="00DA4690">
      <w:pPr>
        <w:pStyle w:val="ECCLetteredList"/>
      </w:pPr>
      <w:r w:rsidRPr="000B7DA5">
        <w:t xml:space="preserve">that the frequency band 1240-1300 MHz is also allocated worldwide to the Earth exploration-satellite service (active), radiolocation service (RR No. </w:t>
      </w:r>
      <w:r w:rsidRPr="000B7DA5">
        <w:rPr>
          <w:b/>
          <w:bCs/>
        </w:rPr>
        <w:t>5.329</w:t>
      </w:r>
      <w:r w:rsidRPr="000B7DA5">
        <w:t xml:space="preserve"> applies) and the space research service (active) on a primary basis;</w:t>
      </w:r>
    </w:p>
    <w:p w14:paraId="5AE69DA2" w14:textId="77777777" w:rsidR="00DA4690" w:rsidRPr="000B7DA5" w:rsidRDefault="00DA4690" w:rsidP="00DA4690">
      <w:pPr>
        <w:pStyle w:val="ECCLetteredList"/>
      </w:pPr>
      <w:r w:rsidRPr="000B7DA5">
        <w:t xml:space="preserve">that additional services are also allocated on a primary basis in some countries under RR Nos. </w:t>
      </w:r>
      <w:r w:rsidRPr="000B7DA5">
        <w:rPr>
          <w:b/>
          <w:bCs/>
        </w:rPr>
        <w:t>5.330</w:t>
      </w:r>
      <w:r w:rsidRPr="000B7DA5">
        <w:t xml:space="preserve"> (fixed and mobile services) and </w:t>
      </w:r>
      <w:r w:rsidRPr="000B7DA5">
        <w:rPr>
          <w:b/>
          <w:bCs/>
        </w:rPr>
        <w:t>5.331</w:t>
      </w:r>
      <w:r w:rsidRPr="000B7DA5">
        <w:t xml:space="preserve"> (</w:t>
      </w:r>
      <w:proofErr w:type="spellStart"/>
      <w:r w:rsidRPr="000B7DA5">
        <w:t>radionavigation</w:t>
      </w:r>
      <w:proofErr w:type="spellEnd"/>
      <w:r w:rsidRPr="000B7DA5">
        <w:t xml:space="preserve"> service) within the frequency band 1215-1300 MHz;</w:t>
      </w:r>
    </w:p>
    <w:p w14:paraId="5C3A445D" w14:textId="77777777" w:rsidR="00DA4690" w:rsidRPr="000B7DA5" w:rsidRDefault="00DA4690" w:rsidP="00DA4690">
      <w:pPr>
        <w:pStyle w:val="ECCLetteredList"/>
      </w:pPr>
      <w:r w:rsidRPr="000B7DA5">
        <w:t xml:space="preserve">that the amateur and amateur-satellite services continually develop their use of the frequency band 1240-1300 MHz in accordance with RR Nos. </w:t>
      </w:r>
      <w:r w:rsidRPr="000B7DA5">
        <w:rPr>
          <w:b/>
          <w:bCs/>
        </w:rPr>
        <w:t>1.56</w:t>
      </w:r>
      <w:r w:rsidRPr="000B7DA5">
        <w:t xml:space="preserve"> and </w:t>
      </w:r>
      <w:r w:rsidRPr="000B7DA5">
        <w:rPr>
          <w:b/>
          <w:bCs/>
        </w:rPr>
        <w:t>1.57</w:t>
      </w:r>
      <w:r w:rsidRPr="000B7DA5">
        <w:t>;</w:t>
      </w:r>
    </w:p>
    <w:p w14:paraId="425D8EEF" w14:textId="77777777" w:rsidR="00DA4690" w:rsidRPr="000B7DA5" w:rsidRDefault="00DA4690" w:rsidP="00DA4690">
      <w:pPr>
        <w:pStyle w:val="ECCLetteredList"/>
      </w:pPr>
      <w:r w:rsidRPr="000B7DA5">
        <w:t xml:space="preserve">that the maximum power of amateur stations is fixed by the administrations concerned, as stipulated in RR No. </w:t>
      </w:r>
      <w:r w:rsidRPr="000B7DA5">
        <w:rPr>
          <w:b/>
        </w:rPr>
        <w:t>25.7</w:t>
      </w:r>
      <w:r w:rsidRPr="000B7DA5">
        <w:t>;</w:t>
      </w:r>
    </w:p>
    <w:p w14:paraId="1A4136ED" w14:textId="77777777" w:rsidR="00DA4690" w:rsidRPr="000B7DA5" w:rsidRDefault="00DA4690" w:rsidP="00DA4690">
      <w:pPr>
        <w:pStyle w:val="ECCLetteredList"/>
      </w:pPr>
      <w:r w:rsidRPr="000B7DA5">
        <w:t>that the International Amateur Radio Union (IARU) develops, maintains and publishes detailed band plans for the operation and development of the amateur and amateur-satellite services;</w:t>
      </w:r>
    </w:p>
    <w:p w14:paraId="52E4DC3E" w14:textId="04002C1C" w:rsidR="00DA4690" w:rsidRPr="000B7DA5" w:rsidRDefault="00DA4690" w:rsidP="00DA4690">
      <w:pPr>
        <w:pStyle w:val="ECCLetteredList"/>
      </w:pPr>
      <w:r w:rsidRPr="000B7DA5">
        <w:t xml:space="preserve">that ECC Report </w:t>
      </w:r>
      <w:r w:rsidRPr="000B7DA5">
        <w:rPr>
          <w:rFonts w:cs="Arial"/>
        </w:rPr>
        <w:t xml:space="preserve">359 </w:t>
      </w:r>
      <w:r w:rsidRPr="000B7DA5">
        <w:rPr>
          <w:rFonts w:cs="Arial"/>
        </w:rPr>
        <w:fldChar w:fldCharType="begin"/>
      </w:r>
      <w:r w:rsidRPr="000B7DA5">
        <w:rPr>
          <w:rFonts w:cs="Arial"/>
        </w:rPr>
        <w:instrText xml:space="preserve"> REF _Ref169175312 \r \h  \* MERGEFORMAT </w:instrText>
      </w:r>
      <w:r w:rsidRPr="000B7DA5">
        <w:rPr>
          <w:rFonts w:cs="Arial"/>
        </w:rPr>
      </w:r>
      <w:r w:rsidRPr="000B7DA5">
        <w:rPr>
          <w:rFonts w:cs="Arial"/>
        </w:rPr>
        <w:fldChar w:fldCharType="separate"/>
      </w:r>
      <w:r w:rsidRPr="000B7DA5">
        <w:rPr>
          <w:rFonts w:cs="Arial"/>
        </w:rPr>
        <w:t>[2]</w:t>
      </w:r>
      <w:r w:rsidRPr="000B7DA5">
        <w:rPr>
          <w:rFonts w:cs="Arial"/>
        </w:rPr>
        <w:fldChar w:fldCharType="end"/>
      </w:r>
      <w:r w:rsidRPr="000B7DA5">
        <w:t xml:space="preserve"> provides studies and measurements </w:t>
      </w:r>
      <w:r w:rsidRPr="000B7DA5">
        <w:rPr>
          <w:rFonts w:cs="Arial"/>
        </w:rPr>
        <w:t xml:space="preserve">that show that there is a potential for amateur station emissions in the range 1258-1300 MHz to be received in Galileo RNSS receivers at levels exceeding the receiver protection criteria defined by the Recommendation ITU-R M.1902-2 </w:t>
      </w:r>
      <w:r w:rsidRPr="000B7DA5">
        <w:rPr>
          <w:rFonts w:cs="Arial"/>
        </w:rPr>
        <w:fldChar w:fldCharType="begin"/>
      </w:r>
      <w:r w:rsidRPr="000B7DA5">
        <w:rPr>
          <w:rFonts w:cs="Arial"/>
        </w:rPr>
        <w:instrText xml:space="preserve"> REF _Ref169175532 \r \h  \* MERGEFORMAT </w:instrText>
      </w:r>
      <w:r w:rsidRPr="000B7DA5">
        <w:rPr>
          <w:rFonts w:cs="Arial"/>
        </w:rPr>
      </w:r>
      <w:r w:rsidRPr="000B7DA5">
        <w:rPr>
          <w:rFonts w:cs="Arial"/>
        </w:rPr>
        <w:fldChar w:fldCharType="separate"/>
      </w:r>
      <w:r w:rsidRPr="000B7DA5">
        <w:rPr>
          <w:rFonts w:cs="Arial"/>
        </w:rPr>
        <w:t>[3]</w:t>
      </w:r>
      <w:r w:rsidRPr="000B7DA5">
        <w:rPr>
          <w:rFonts w:cs="Arial"/>
        </w:rPr>
        <w:fldChar w:fldCharType="end"/>
      </w:r>
      <w:r w:rsidRPr="000B7DA5">
        <w:rPr>
          <w:rFonts w:cs="Arial"/>
        </w:rPr>
        <w:t>;</w:t>
      </w:r>
    </w:p>
    <w:p w14:paraId="30E20E91" w14:textId="77777777" w:rsidR="00DA4690" w:rsidRPr="000B7DA5" w:rsidRDefault="00DA4690" w:rsidP="00DA4690">
      <w:pPr>
        <w:pStyle w:val="ECCLetteredList"/>
      </w:pPr>
      <w:r w:rsidRPr="000B7DA5">
        <w:t>that ECC Report 359 provides detailed information on the current applications in the amateur and amateur satellite services that operate in the band 1240-1300 MHz including current deployment information and activity estimates for various types of existing amateur stations;</w:t>
      </w:r>
    </w:p>
    <w:p w14:paraId="6B55948F" w14:textId="0143E8F8" w:rsidR="00DA4690" w:rsidRPr="000B7DA5" w:rsidRDefault="00DA4690" w:rsidP="00DA4690">
      <w:pPr>
        <w:pStyle w:val="ECCLetteredList"/>
      </w:pPr>
      <w:r w:rsidRPr="000B7DA5">
        <w:t xml:space="preserve">that ECC Report 359 highlights that </w:t>
      </w:r>
      <w:r w:rsidR="009D5CD0" w:rsidRPr="000B7DA5">
        <w:t xml:space="preserve">CEPT </w:t>
      </w:r>
      <w:r w:rsidRPr="000B7DA5">
        <w:t>administrations have authorised an installed base of operational permanent amateur stations (i.e. repeater and propagation beacon installations) across the region;</w:t>
      </w:r>
    </w:p>
    <w:p w14:paraId="4D312184" w14:textId="77777777" w:rsidR="00DA4690" w:rsidRPr="000B7DA5" w:rsidRDefault="00DA4690" w:rsidP="00DA4690">
      <w:pPr>
        <w:pStyle w:val="ECCLetteredList"/>
      </w:pPr>
      <w:r w:rsidRPr="000B7DA5">
        <w:t xml:space="preserve">that Report ITU-R M.2532-0 </w:t>
      </w:r>
      <w:r w:rsidRPr="000B7DA5">
        <w:fldChar w:fldCharType="begin"/>
      </w:r>
      <w:r w:rsidRPr="000B7DA5">
        <w:instrText xml:space="preserve"> REF _Ref169174130 \r \h  \* MERGEFORMAT </w:instrText>
      </w:r>
      <w:r w:rsidRPr="000B7DA5">
        <w:fldChar w:fldCharType="separate"/>
      </w:r>
      <w:r w:rsidRPr="000B7DA5">
        <w:t>[5]</w:t>
      </w:r>
      <w:r w:rsidRPr="000B7DA5">
        <w:fldChar w:fldCharType="end"/>
      </w:r>
      <w:r w:rsidRPr="000B7DA5">
        <w:t xml:space="preserve"> provides information on the applications and operational characteristics of the use of the band 1240-1300 MHz by the amateur and amateur-satellite services;</w:t>
      </w:r>
    </w:p>
    <w:p w14:paraId="70DFB09F" w14:textId="77777777" w:rsidR="00DA4690" w:rsidRPr="000B7DA5" w:rsidRDefault="00DA4690" w:rsidP="00DA4690">
      <w:pPr>
        <w:pStyle w:val="ECCLetteredList"/>
      </w:pPr>
      <w:r w:rsidRPr="000B7DA5">
        <w:t xml:space="preserve">that Report ITU-R M.2513-1 </w:t>
      </w:r>
      <w:r w:rsidRPr="000B7DA5">
        <w:fldChar w:fldCharType="begin"/>
      </w:r>
      <w:r w:rsidRPr="000B7DA5">
        <w:instrText xml:space="preserve"> REF _Ref169175558 \r \h  \* MERGEFORMAT </w:instrText>
      </w:r>
      <w:r w:rsidRPr="000B7DA5">
        <w:fldChar w:fldCharType="separate"/>
      </w:r>
      <w:r w:rsidRPr="000B7DA5">
        <w:t>[4]</w:t>
      </w:r>
      <w:r w:rsidRPr="000B7DA5">
        <w:fldChar w:fldCharType="end"/>
      </w:r>
      <w:r w:rsidRPr="000B7DA5">
        <w:t xml:space="preserve"> provides studies and measurements regarding the amateur and amateur-satellite services transmissions and their potential to cause harmful interference to </w:t>
      </w:r>
      <w:proofErr w:type="spellStart"/>
      <w:r w:rsidRPr="000B7DA5">
        <w:t>radionavigation</w:t>
      </w:r>
      <w:proofErr w:type="spellEnd"/>
      <w:r w:rsidRPr="000B7DA5">
        <w:t xml:space="preserve">-satellite service (RNSS) (space-to-Earth) that may, under certain conditions, exceed the protection criteria given in Recommendation ITU-R M.1902-2 </w:t>
      </w:r>
      <w:r w:rsidRPr="000B7DA5">
        <w:fldChar w:fldCharType="begin"/>
      </w:r>
      <w:r w:rsidRPr="000B7DA5">
        <w:instrText xml:space="preserve"> REF _Ref169175532 \r \h  \* MERGEFORMAT </w:instrText>
      </w:r>
      <w:r w:rsidRPr="000B7DA5">
        <w:fldChar w:fldCharType="separate"/>
      </w:r>
      <w:r w:rsidRPr="000B7DA5">
        <w:t>[3]</w:t>
      </w:r>
      <w:r w:rsidRPr="000B7DA5">
        <w:fldChar w:fldCharType="end"/>
      </w:r>
      <w:r w:rsidRPr="000B7DA5">
        <w:t>;</w:t>
      </w:r>
    </w:p>
    <w:p w14:paraId="5087C4A3" w14:textId="77777777" w:rsidR="00DA4690" w:rsidRPr="000B7DA5" w:rsidRDefault="00DA4690" w:rsidP="00DA4690">
      <w:pPr>
        <w:pStyle w:val="ECCLetteredList"/>
      </w:pPr>
      <w:r w:rsidRPr="000B7DA5">
        <w:rPr>
          <w:rFonts w:cs="Arial"/>
        </w:rPr>
        <w:t xml:space="preserve">that Recommendation ITU-R M.1902-2 </w:t>
      </w:r>
      <w:r w:rsidRPr="000B7DA5">
        <w:rPr>
          <w:rFonts w:cs="Arial"/>
        </w:rPr>
        <w:fldChar w:fldCharType="begin"/>
      </w:r>
      <w:r w:rsidRPr="000B7DA5">
        <w:rPr>
          <w:rFonts w:cs="Arial"/>
        </w:rPr>
        <w:instrText xml:space="preserve"> REF _Ref169175532 \r \h </w:instrText>
      </w:r>
      <w:r w:rsidRPr="000B7DA5">
        <w:rPr>
          <w:rFonts w:cs="Arial"/>
        </w:rPr>
      </w:r>
      <w:r w:rsidRPr="000B7DA5">
        <w:rPr>
          <w:rFonts w:cs="Arial"/>
        </w:rPr>
        <w:fldChar w:fldCharType="separate"/>
      </w:r>
      <w:r w:rsidRPr="000B7DA5">
        <w:rPr>
          <w:rFonts w:cs="Arial"/>
        </w:rPr>
        <w:t>[3]</w:t>
      </w:r>
      <w:r w:rsidRPr="000B7DA5">
        <w:rPr>
          <w:rFonts w:cs="Arial"/>
        </w:rPr>
        <w:fldChar w:fldCharType="end"/>
      </w:r>
      <w:r w:rsidRPr="000B7DA5">
        <w:rPr>
          <w:rFonts w:cs="Arial"/>
        </w:rPr>
        <w:t xml:space="preserve"> provides the characteristics and protection criteria for RNSS (space-to-Earth) receivers operating in the band 1215-1300 MHz</w:t>
      </w:r>
      <w:r w:rsidRPr="000B7DA5">
        <w:t>;</w:t>
      </w:r>
    </w:p>
    <w:p w14:paraId="038F8B3E" w14:textId="51F8476B" w:rsidR="00DA4690" w:rsidRPr="000B7DA5" w:rsidRDefault="00DA4690" w:rsidP="00DA4690">
      <w:pPr>
        <w:pStyle w:val="ECCLetteredList"/>
      </w:pPr>
      <w:r w:rsidRPr="000B7DA5">
        <w:rPr>
          <w:rFonts w:cs="Arial"/>
        </w:rPr>
        <w:t>that Recommendation ITU</w:t>
      </w:r>
      <w:r w:rsidRPr="000B7DA5">
        <w:t xml:space="preserve">-R M.2164-0 </w:t>
      </w:r>
      <w:r w:rsidRPr="000B7DA5">
        <w:fldChar w:fldCharType="begin"/>
      </w:r>
      <w:r w:rsidRPr="000B7DA5">
        <w:instrText xml:space="preserve"> REF _Ref169174137 \r \h </w:instrText>
      </w:r>
      <w:r w:rsidRPr="000B7DA5">
        <w:fldChar w:fldCharType="separate"/>
      </w:r>
      <w:r w:rsidRPr="000B7DA5">
        <w:t>[6]</w:t>
      </w:r>
      <w:r w:rsidRPr="000B7DA5">
        <w:fldChar w:fldCharType="end"/>
      </w:r>
      <w:r w:rsidRPr="000B7DA5">
        <w:t xml:space="preserve"> provides guidance on technical and operational measures for administrations authori</w:t>
      </w:r>
      <w:r w:rsidR="00760404" w:rsidRPr="000B7DA5">
        <w:t>s</w:t>
      </w:r>
      <w:r w:rsidRPr="000B7DA5">
        <w:t xml:space="preserve">ing stations operating in the amateur and amateur-satellite services to protect the </w:t>
      </w:r>
      <w:proofErr w:type="spellStart"/>
      <w:r w:rsidRPr="000B7DA5">
        <w:t>radionavigation</w:t>
      </w:r>
      <w:proofErr w:type="spellEnd"/>
      <w:r w:rsidRPr="000B7DA5">
        <w:t>-satellite service (space-to-Earth) in the frequency band 1240-1300 MHz;</w:t>
      </w:r>
    </w:p>
    <w:p w14:paraId="34DD7DD3" w14:textId="5DE663CC" w:rsidR="00DA4690" w:rsidRPr="000B7DA5" w:rsidRDefault="00DA4690" w:rsidP="00DA4690">
      <w:pPr>
        <w:pStyle w:val="ECCLetteredList"/>
      </w:pPr>
      <w:r w:rsidRPr="000B7DA5">
        <w:lastRenderedPageBreak/>
        <w:t>that RNSS systems using the frequency band 1240-1300 MHz are operational, or becoming operational, worldwide, with the aim of supporting a wide range of new satellite positioning applications;</w:t>
      </w:r>
    </w:p>
    <w:p w14:paraId="13701ED5" w14:textId="77777777" w:rsidR="00DA4690" w:rsidRPr="000B7DA5" w:rsidRDefault="00DA4690" w:rsidP="00DA4690">
      <w:pPr>
        <w:pStyle w:val="ECCParagraph"/>
        <w:spacing w:before="140" w:after="140"/>
        <w:rPr>
          <w:i/>
          <w:color w:val="D2232A"/>
        </w:rPr>
      </w:pPr>
    </w:p>
    <w:p w14:paraId="4F5B9CC2" w14:textId="77777777" w:rsidR="00DA4690" w:rsidRPr="000B7DA5" w:rsidRDefault="00DA4690" w:rsidP="00DA4690">
      <w:pPr>
        <w:pStyle w:val="ECCParagraph"/>
        <w:spacing w:before="140" w:after="140"/>
        <w:rPr>
          <w:i/>
          <w:color w:val="D2232A"/>
        </w:rPr>
      </w:pPr>
      <w:r w:rsidRPr="000B7DA5">
        <w:rPr>
          <w:i/>
          <w:color w:val="D2232A"/>
        </w:rPr>
        <w:t>DECIDES</w:t>
      </w:r>
    </w:p>
    <w:p w14:paraId="08998DFB" w14:textId="77777777" w:rsidR="00DA4690" w:rsidRPr="000B7DA5" w:rsidRDefault="00DA4690" w:rsidP="009D65AC">
      <w:pPr>
        <w:numPr>
          <w:ilvl w:val="0"/>
          <w:numId w:val="43"/>
        </w:numPr>
        <w:spacing w:after="240" w:line="259" w:lineRule="auto"/>
        <w:ind w:left="363" w:right="-17" w:hanging="357"/>
        <w:jc w:val="both"/>
        <w:rPr>
          <w:lang w:val="en-GB"/>
        </w:rPr>
      </w:pPr>
      <w:r w:rsidRPr="000B7DA5">
        <w:rPr>
          <w:lang w:val="en-GB"/>
        </w:rPr>
        <w:t>that CEPT administrations shall designate the bands 1164-1215 MHz, 1258-1300 MHz, 1559-1610 MHz for the use of the RNSS system, Galileo;</w:t>
      </w:r>
    </w:p>
    <w:p w14:paraId="05E87EF3" w14:textId="07C6AE4F" w:rsidR="00DA4690" w:rsidRPr="000B7DA5" w:rsidRDefault="00DA4690" w:rsidP="009D65AC">
      <w:pPr>
        <w:numPr>
          <w:ilvl w:val="0"/>
          <w:numId w:val="43"/>
        </w:numPr>
        <w:spacing w:after="240" w:line="259" w:lineRule="auto"/>
        <w:ind w:left="363" w:right="-17" w:hanging="357"/>
        <w:jc w:val="both"/>
        <w:rPr>
          <w:lang w:val="en-GB"/>
        </w:rPr>
      </w:pPr>
      <w:r w:rsidRPr="000B7DA5">
        <w:rPr>
          <w:lang w:val="en-GB"/>
        </w:rPr>
        <w:t>that CEPT administrations allow</w:t>
      </w:r>
      <w:r w:rsidR="00061CB2" w:rsidRPr="000B7DA5">
        <w:rPr>
          <w:lang w:val="en-GB"/>
        </w:rPr>
        <w:t>ing</w:t>
      </w:r>
      <w:r w:rsidRPr="000B7DA5">
        <w:rPr>
          <w:lang w:val="en-GB"/>
        </w:rPr>
        <w:t xml:space="preserve"> operations of the amateur and amateur-satellite services across their territory in all or part of the frequency band 1258-1300 MHz shall use the technical and operational measures described in </w:t>
      </w:r>
      <w:r w:rsidRPr="000B7DA5">
        <w:rPr>
          <w:lang w:val="en-GB"/>
        </w:rPr>
        <w:fldChar w:fldCharType="begin"/>
      </w:r>
      <w:r w:rsidRPr="000B7DA5">
        <w:rPr>
          <w:lang w:val="en-GB"/>
        </w:rPr>
        <w:instrText xml:space="preserve"> REF _Ref134767040 \r \h  \* MERGEFORMAT </w:instrText>
      </w:r>
      <w:r w:rsidRPr="000B7DA5">
        <w:rPr>
          <w:lang w:val="en-GB"/>
        </w:rPr>
      </w:r>
      <w:r w:rsidRPr="000B7DA5">
        <w:rPr>
          <w:lang w:val="en-GB"/>
        </w:rPr>
        <w:fldChar w:fldCharType="separate"/>
      </w:r>
      <w:r w:rsidRPr="000B7DA5">
        <w:rPr>
          <w:lang w:val="en-GB"/>
        </w:rPr>
        <w:t>Annex 1</w:t>
      </w:r>
      <w:r w:rsidRPr="000B7DA5">
        <w:rPr>
          <w:lang w:val="en-GB"/>
        </w:rPr>
        <w:fldChar w:fldCharType="end"/>
      </w:r>
      <w:r w:rsidRPr="000B7DA5">
        <w:rPr>
          <w:lang w:val="en-GB"/>
        </w:rPr>
        <w:t xml:space="preserve"> in order to protect RNSS (space-to-Earth);</w:t>
      </w:r>
    </w:p>
    <w:p w14:paraId="299AF321" w14:textId="254D1769" w:rsidR="00713DBA" w:rsidRPr="000B7DA5" w:rsidRDefault="00713DBA" w:rsidP="009D65AC">
      <w:pPr>
        <w:numPr>
          <w:ilvl w:val="0"/>
          <w:numId w:val="43"/>
        </w:numPr>
        <w:spacing w:after="240" w:line="259" w:lineRule="auto"/>
        <w:ind w:left="363" w:right="-17" w:hanging="357"/>
        <w:jc w:val="both"/>
      </w:pPr>
      <w:r w:rsidRPr="000B7DA5">
        <w:t xml:space="preserve">that this Decision enters into force on </w:t>
      </w:r>
      <w:r w:rsidR="000F61C3">
        <w:t>27 June 2025</w:t>
      </w:r>
      <w:r w:rsidRPr="000B7DA5">
        <w:t>;</w:t>
      </w:r>
    </w:p>
    <w:p w14:paraId="386E0976" w14:textId="0C15B4AD" w:rsidR="00713DBA" w:rsidRPr="000B7DA5" w:rsidRDefault="00D90B0A" w:rsidP="009D65AC">
      <w:pPr>
        <w:numPr>
          <w:ilvl w:val="0"/>
          <w:numId w:val="43"/>
        </w:numPr>
        <w:spacing w:after="240" w:line="259" w:lineRule="auto"/>
        <w:ind w:left="363" w:right="-17" w:hanging="357"/>
        <w:jc w:val="both"/>
      </w:pPr>
      <w:r w:rsidRPr="000B7DA5">
        <w:t>that the preferred</w:t>
      </w:r>
      <w:r w:rsidR="00713DBA" w:rsidRPr="000B7DA5">
        <w:t xml:space="preserve"> date for implementation of this Decision shall be </w:t>
      </w:r>
      <w:r w:rsidR="000F61C3">
        <w:t>27 December 2025</w:t>
      </w:r>
      <w:r w:rsidR="00713DBA" w:rsidRPr="000B7DA5">
        <w:t>;</w:t>
      </w:r>
    </w:p>
    <w:p w14:paraId="706DD0DA" w14:textId="031AA0F4" w:rsidR="006C03D0" w:rsidRPr="000B7DA5" w:rsidRDefault="00713DBA" w:rsidP="009D65AC">
      <w:pPr>
        <w:numPr>
          <w:ilvl w:val="0"/>
          <w:numId w:val="43"/>
        </w:numPr>
        <w:spacing w:after="240" w:line="259" w:lineRule="auto"/>
        <w:ind w:left="363" w:right="-17" w:hanging="357"/>
        <w:jc w:val="both"/>
      </w:pPr>
      <w:r w:rsidRPr="000B7DA5">
        <w:t xml:space="preserve">that CEPT administrations shall communicate the national measures implementing this Decision to the </w:t>
      </w:r>
      <w:smartTag w:uri="urn:schemas-microsoft-com:office:smarttags" w:element="stockticker">
        <w:r w:rsidRPr="000B7DA5">
          <w:t>ECC</w:t>
        </w:r>
      </w:smartTag>
      <w:r w:rsidRPr="000B7DA5">
        <w:t xml:space="preserve"> Chair and the Office when th</w:t>
      </w:r>
      <w:r w:rsidR="00F32EE8" w:rsidRPr="000B7DA5">
        <w:t>is ECC</w:t>
      </w:r>
      <w:r w:rsidRPr="000B7DA5">
        <w:t xml:space="preserve"> Decision is nationally implemented.”</w:t>
      </w:r>
    </w:p>
    <w:p w14:paraId="3FF224FF" w14:textId="77777777" w:rsidR="001C46EA" w:rsidRPr="000B7DA5" w:rsidRDefault="001C46EA" w:rsidP="00D90B0A">
      <w:pPr>
        <w:pStyle w:val="ECCParagraph"/>
        <w:keepNext/>
      </w:pPr>
    </w:p>
    <w:p w14:paraId="47821065" w14:textId="77777777" w:rsidR="001C46EA" w:rsidRPr="000B7DA5" w:rsidRDefault="001C46EA" w:rsidP="00D90B0A">
      <w:pPr>
        <w:pStyle w:val="ECCParagraph"/>
        <w:keepNext/>
        <w:rPr>
          <w:i/>
          <w:color w:val="D2232A"/>
        </w:rPr>
      </w:pPr>
      <w:r w:rsidRPr="000B7DA5">
        <w:rPr>
          <w:i/>
          <w:color w:val="D2232A"/>
        </w:rPr>
        <w:t xml:space="preserve">Note: </w:t>
      </w:r>
    </w:p>
    <w:p w14:paraId="63BBD0A6" w14:textId="196F176D" w:rsidR="001C46EA" w:rsidRPr="000B7DA5" w:rsidRDefault="001C46EA" w:rsidP="00D90B0A">
      <w:pPr>
        <w:pStyle w:val="ECCParagraph"/>
        <w:keepNext/>
      </w:pPr>
      <w:r w:rsidRPr="000B7DA5">
        <w:rPr>
          <w:i/>
          <w:szCs w:val="20"/>
        </w:rPr>
        <w:t>Please check the Office documentation database</w:t>
      </w:r>
      <w:r w:rsidR="003F3883" w:rsidRPr="000B7DA5">
        <w:rPr>
          <w:i/>
          <w:szCs w:val="20"/>
        </w:rPr>
        <w:t xml:space="preserve"> </w:t>
      </w:r>
      <w:hyperlink r:id="rId8" w:history="1">
        <w:r w:rsidR="008C570F" w:rsidRPr="000B7DA5">
          <w:rPr>
            <w:rStyle w:val="Hyperlink"/>
            <w:i/>
            <w:szCs w:val="20"/>
          </w:rPr>
          <w:t>https://docdb.cept.org/</w:t>
        </w:r>
      </w:hyperlink>
      <w:r w:rsidRPr="000B7DA5">
        <w:rPr>
          <w:i/>
          <w:szCs w:val="20"/>
        </w:rPr>
        <w:t xml:space="preserve"> for the up to date position on the implementation of this and other </w:t>
      </w:r>
      <w:smartTag w:uri="urn:schemas-microsoft-com:office:smarttags" w:element="stockticker">
        <w:r w:rsidRPr="000B7DA5">
          <w:rPr>
            <w:i/>
            <w:szCs w:val="20"/>
          </w:rPr>
          <w:t>ECC</w:t>
        </w:r>
      </w:smartTag>
      <w:r w:rsidRPr="000B7DA5">
        <w:rPr>
          <w:i/>
          <w:szCs w:val="20"/>
        </w:rPr>
        <w:t xml:space="preserve"> Decisions.</w:t>
      </w:r>
    </w:p>
    <w:p w14:paraId="6F61AB3C" w14:textId="77777777" w:rsidR="006C03D0" w:rsidRPr="000B7DA5" w:rsidRDefault="006C03D0" w:rsidP="006C03D0">
      <w:pPr>
        <w:pStyle w:val="ECCParagraph"/>
      </w:pPr>
    </w:p>
    <w:p w14:paraId="02CEDAE4" w14:textId="6C66889B" w:rsidR="00DA4690" w:rsidRPr="000B7DA5" w:rsidRDefault="00DA4690" w:rsidP="006E3C83">
      <w:pPr>
        <w:pStyle w:val="ECCAnnex-heading1"/>
      </w:pPr>
      <w:r w:rsidRPr="000B7DA5">
        <w:lastRenderedPageBreak/>
        <w:t>technical and operational measures for the use of the frequency band 1258-1300 MHz by the amateur and amateur-satellite services in order to protect the radionavigation-satellite service (space-to-Earth)</w:t>
      </w:r>
    </w:p>
    <w:p w14:paraId="54B010E7" w14:textId="54608CFB" w:rsidR="00DA4690" w:rsidRPr="000B7DA5" w:rsidRDefault="00DA4690" w:rsidP="00DA4690">
      <w:pPr>
        <w:pStyle w:val="ECCParagraph"/>
      </w:pPr>
      <w:r w:rsidRPr="000B7DA5">
        <w:t xml:space="preserve">This Annex provides technical and operational measures to be used by </w:t>
      </w:r>
      <w:r w:rsidR="00CE403C" w:rsidRPr="000B7DA5">
        <w:t xml:space="preserve">CEPT </w:t>
      </w:r>
      <w:r w:rsidRPr="000B7DA5">
        <w:t>administrations allow</w:t>
      </w:r>
      <w:r w:rsidR="00061CB2" w:rsidRPr="000B7DA5">
        <w:t>ing</w:t>
      </w:r>
      <w:r w:rsidRPr="000B7DA5">
        <w:t xml:space="preserve"> operation</w:t>
      </w:r>
      <w:r w:rsidR="00061CB2" w:rsidRPr="000B7DA5">
        <w:t>s</w:t>
      </w:r>
      <w:r w:rsidRPr="000B7DA5">
        <w:t xml:space="preserve"> of the amateur and amateur-satellite services across their territory in all or parts of the frequency band 1258-1300 MHz in order to protect RNSS.</w:t>
      </w:r>
    </w:p>
    <w:p w14:paraId="5E9D79DA" w14:textId="70431073" w:rsidR="00186489" w:rsidRPr="000B7DA5" w:rsidRDefault="00186489" w:rsidP="00186489">
      <w:pPr>
        <w:pStyle w:val="ECCParagraph"/>
      </w:pPr>
      <w:bookmarkStart w:id="5" w:name="_Ref169181309"/>
      <w:r w:rsidRPr="000B7DA5">
        <w:t>In order to account for amateur service installations that are authorised and operational in the frequency range 1258-1296 MHz in many CEPT countries, administrations may, on national level, define a transitional period, to comply with this annex, with the expectation this could take up to three years according to national circumstances.</w:t>
      </w:r>
    </w:p>
    <w:p w14:paraId="018550FB" w14:textId="77777777" w:rsidR="00DA4690" w:rsidRPr="000B7DA5" w:rsidRDefault="00DA4690" w:rsidP="00D9196A">
      <w:pPr>
        <w:pStyle w:val="ECCLetteredList"/>
        <w:numPr>
          <w:ilvl w:val="0"/>
          <w:numId w:val="44"/>
        </w:numPr>
      </w:pPr>
      <w:r w:rsidRPr="000B7DA5">
        <w:t>For narrowband (bandwidth ≤ 150 kHz) applications operating in the amateur service:</w:t>
      </w:r>
      <w:bookmarkEnd w:id="5"/>
    </w:p>
    <w:p w14:paraId="7280563E" w14:textId="6C3194B3" w:rsidR="00DA4690" w:rsidRPr="000B7DA5" w:rsidRDefault="00DA4690" w:rsidP="00DA639B">
      <w:pPr>
        <w:pStyle w:val="ECCLetteredListLevel2"/>
        <w:spacing w:before="60" w:after="60"/>
      </w:pPr>
      <w:r w:rsidRPr="000B7DA5">
        <w:t xml:space="preserve">1258-1296 MHz: Maximum value of </w:t>
      </w:r>
      <w:proofErr w:type="spellStart"/>
      <w:r w:rsidRPr="000B7DA5">
        <w:t>e.i.r.p</w:t>
      </w:r>
      <w:proofErr w:type="spellEnd"/>
      <w:r w:rsidRPr="000B7DA5">
        <w:t>.</w:t>
      </w:r>
      <w:r w:rsidRPr="000B7DA5">
        <w:rPr>
          <w:rStyle w:val="Funotenzeichen"/>
        </w:rPr>
        <w:footnoteReference w:id="1"/>
      </w:r>
      <w:r w:rsidRPr="000B7DA5">
        <w:t xml:space="preserve"> = −17 </w:t>
      </w:r>
      <w:proofErr w:type="spellStart"/>
      <w:r w:rsidRPr="000B7DA5">
        <w:t>dBW</w:t>
      </w:r>
      <w:proofErr w:type="spellEnd"/>
      <w:r w:rsidR="00716101" w:rsidRPr="000B7DA5">
        <w:t>;</w:t>
      </w:r>
    </w:p>
    <w:p w14:paraId="4079770B" w14:textId="3CCF5D02" w:rsidR="00DA4690" w:rsidRPr="000B7DA5" w:rsidRDefault="00DA4690" w:rsidP="00DA639B">
      <w:pPr>
        <w:pStyle w:val="ECCLetteredListLevel2"/>
        <w:spacing w:before="60" w:after="60"/>
      </w:pPr>
      <w:r w:rsidRPr="000B7DA5">
        <w:t>1296-1298 MHz: Maximum transmitter power</w:t>
      </w:r>
      <w:r w:rsidRPr="000B7DA5">
        <w:rPr>
          <w:rStyle w:val="Funotenzeichen"/>
        </w:rPr>
        <w:footnoteReference w:id="2"/>
      </w:r>
      <w:r w:rsidRPr="000B7DA5">
        <w:t xml:space="preserve"> = 17 </w:t>
      </w:r>
      <w:proofErr w:type="spellStart"/>
      <w:r w:rsidRPr="000B7DA5">
        <w:t>dBW</w:t>
      </w:r>
      <w:proofErr w:type="spellEnd"/>
      <w:r w:rsidR="00716101" w:rsidRPr="000B7DA5">
        <w:t>;</w:t>
      </w:r>
    </w:p>
    <w:p w14:paraId="0ED8C361" w14:textId="0260A382" w:rsidR="00DA4690" w:rsidRPr="000B7DA5" w:rsidRDefault="00DA4690" w:rsidP="00DA639B">
      <w:pPr>
        <w:pStyle w:val="ECCLetteredListLevel2"/>
        <w:spacing w:before="60" w:after="60"/>
      </w:pPr>
      <w:r w:rsidRPr="000B7DA5">
        <w:t>1298-1300 MHz: Maximum transmitter power</w:t>
      </w:r>
      <w:r w:rsidRPr="000B7DA5">
        <w:rPr>
          <w:vertAlign w:val="superscript"/>
        </w:rPr>
        <w:t>2</w:t>
      </w:r>
      <w:r w:rsidRPr="000B7DA5">
        <w:t xml:space="preserve"> = 22 </w:t>
      </w:r>
      <w:proofErr w:type="spellStart"/>
      <w:r w:rsidRPr="000B7DA5">
        <w:t>dBW</w:t>
      </w:r>
      <w:proofErr w:type="spellEnd"/>
      <w:r w:rsidR="00716101" w:rsidRPr="000B7DA5">
        <w:t>.</w:t>
      </w:r>
    </w:p>
    <w:p w14:paraId="551D5797" w14:textId="2AFAC525" w:rsidR="0032256B" w:rsidRPr="000B7DA5" w:rsidRDefault="0032256B" w:rsidP="0032256B">
      <w:pPr>
        <w:pStyle w:val="ECCLetteredListLevel2"/>
        <w:numPr>
          <w:ilvl w:val="0"/>
          <w:numId w:val="0"/>
        </w:numPr>
        <w:ind w:left="340"/>
      </w:pPr>
      <w:r w:rsidRPr="000B7DA5">
        <w:t xml:space="preserve">For narrowband Earth-Moon-Earth applications in the amateur service using a symmetric high-performance antenna (e.g. boresight gain at least 30 </w:t>
      </w:r>
      <w:proofErr w:type="spellStart"/>
      <w:r w:rsidRPr="000B7DA5">
        <w:t>dBi</w:t>
      </w:r>
      <w:proofErr w:type="spellEnd"/>
      <w:r w:rsidRPr="000B7DA5">
        <w:t>) pointing at least 15 degrees above the horizontal:</w:t>
      </w:r>
    </w:p>
    <w:p w14:paraId="2CCC26AC" w14:textId="694746B1" w:rsidR="00DA4690" w:rsidRPr="000B7DA5" w:rsidRDefault="0032256B" w:rsidP="00033406">
      <w:pPr>
        <w:pStyle w:val="ECCLetteredListLevel2"/>
        <w:numPr>
          <w:ilvl w:val="2"/>
          <w:numId w:val="28"/>
        </w:numPr>
      </w:pPr>
      <w:r w:rsidRPr="000B7DA5">
        <w:t>1298-1300 MHz: Maximum transmitter power</w:t>
      </w:r>
      <w:r w:rsidRPr="000B7DA5">
        <w:rPr>
          <w:vertAlign w:val="superscript"/>
        </w:rPr>
        <w:t>2</w:t>
      </w:r>
      <w:r w:rsidRPr="000B7DA5">
        <w:t xml:space="preserve"> = 27 </w:t>
      </w:r>
      <w:proofErr w:type="spellStart"/>
      <w:r w:rsidRPr="000B7DA5">
        <w:t>dBW</w:t>
      </w:r>
      <w:proofErr w:type="spellEnd"/>
    </w:p>
    <w:p w14:paraId="70BDC8E4" w14:textId="37C10D47" w:rsidR="00DA4690" w:rsidRPr="000B7DA5" w:rsidRDefault="00DA4690" w:rsidP="00DA4690">
      <w:pPr>
        <w:pStyle w:val="ECCLetteredList"/>
      </w:pPr>
      <w:bookmarkStart w:id="6" w:name="_Ref169181216"/>
      <w:r w:rsidRPr="000B7DA5">
        <w:t>For narrowband applications operating in the amateur-satellite service (Earth-to-space) (bandwidth ≤ 150</w:t>
      </w:r>
      <w:r w:rsidR="00B608F0">
        <w:t> </w:t>
      </w:r>
      <w:r w:rsidRPr="000B7DA5">
        <w:t>kHz):</w:t>
      </w:r>
      <w:bookmarkEnd w:id="6"/>
    </w:p>
    <w:p w14:paraId="3BD0D97A" w14:textId="35F1D02C" w:rsidR="00DA4690" w:rsidRPr="000B7DA5" w:rsidRDefault="00DA4690" w:rsidP="00B32D89">
      <w:pPr>
        <w:pStyle w:val="ECCLetteredListLevel2"/>
        <w:spacing w:before="60" w:after="60"/>
      </w:pPr>
      <w:r w:rsidRPr="000B7DA5">
        <w:t>1260-1262 MHz:</w:t>
      </w:r>
    </w:p>
    <w:p w14:paraId="5633E088" w14:textId="77777777" w:rsidR="00DA4690" w:rsidRPr="000B7DA5" w:rsidRDefault="00DA4690" w:rsidP="00DA4690">
      <w:pPr>
        <w:pStyle w:val="ECCLetteredListLevel2"/>
        <w:numPr>
          <w:ilvl w:val="0"/>
          <w:numId w:val="0"/>
        </w:numPr>
        <w:ind w:left="680"/>
      </w:pPr>
      <w:r w:rsidRPr="000B7DA5">
        <w:t>Maximum value of e.i.r.p.</w:t>
      </w:r>
      <w:r w:rsidRPr="000B7DA5">
        <w:rPr>
          <w:vertAlign w:val="superscript"/>
        </w:rPr>
        <w:t>1</w:t>
      </w:r>
      <w:r w:rsidRPr="000B7DA5">
        <w:t>:</w:t>
      </w:r>
    </w:p>
    <w:tbl>
      <w:tblPr>
        <w:tblStyle w:val="Tabellenraster"/>
        <w:tblW w:w="4634" w:type="pct"/>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6518"/>
      </w:tblGrid>
      <w:tr w:rsidR="00DA4690" w:rsidRPr="000B7DA5" w14:paraId="5D0D7A2A" w14:textId="77777777" w:rsidTr="00E615AA">
        <w:tc>
          <w:tcPr>
            <w:tcW w:w="1352" w:type="pct"/>
          </w:tcPr>
          <w:p w14:paraId="1F3998A0" w14:textId="77777777" w:rsidR="00DA4690" w:rsidRPr="000B7DA5" w:rsidRDefault="00DA4690" w:rsidP="00527BDA">
            <w:pPr>
              <w:pStyle w:val="ECCLetteredListLevel2"/>
              <w:numPr>
                <w:ilvl w:val="0"/>
                <w:numId w:val="0"/>
              </w:numPr>
              <w:spacing w:before="60" w:after="60"/>
            </w:pPr>
            <w:r w:rsidRPr="000B7DA5">
              <w:t xml:space="preserve">−3 </w:t>
            </w:r>
            <w:proofErr w:type="spellStart"/>
            <w:r w:rsidRPr="000B7DA5">
              <w:t>dBW</w:t>
            </w:r>
            <w:proofErr w:type="spellEnd"/>
          </w:p>
        </w:tc>
        <w:tc>
          <w:tcPr>
            <w:tcW w:w="3648" w:type="pct"/>
          </w:tcPr>
          <w:p w14:paraId="7FA0F615" w14:textId="77777777" w:rsidR="00DA4690" w:rsidRPr="000B7DA5" w:rsidRDefault="00DA4690" w:rsidP="00527BDA">
            <w:pPr>
              <w:pStyle w:val="ECCLetteredListLevel2"/>
              <w:numPr>
                <w:ilvl w:val="0"/>
                <w:numId w:val="0"/>
              </w:numPr>
              <w:spacing w:before="60" w:after="60"/>
              <w:jc w:val="left"/>
            </w:pPr>
            <w:r w:rsidRPr="000B7DA5">
              <w:t xml:space="preserve">for 0° </w:t>
            </w:r>
            <w:r w:rsidRPr="000B7DA5">
              <w:rPr>
                <w:rFonts w:cs="Arial"/>
              </w:rPr>
              <w:t>≤</w:t>
            </w:r>
            <w:r w:rsidRPr="000B7DA5">
              <w:t xml:space="preserve"> </w:t>
            </w:r>
            <w:r w:rsidRPr="000B7DA5">
              <w:rPr>
                <w:rFonts w:cs="Arial"/>
              </w:rPr>
              <w:t>θ</w:t>
            </w:r>
            <w:r w:rsidRPr="000B7DA5">
              <w:t xml:space="preserve"> &lt; 15°</w:t>
            </w:r>
          </w:p>
        </w:tc>
      </w:tr>
      <w:tr w:rsidR="00DA4690" w:rsidRPr="000B7DA5" w14:paraId="0E16A063" w14:textId="77777777" w:rsidTr="00E615AA">
        <w:tc>
          <w:tcPr>
            <w:tcW w:w="1352" w:type="pct"/>
          </w:tcPr>
          <w:p w14:paraId="691484E2" w14:textId="77777777" w:rsidR="00DA4690" w:rsidRPr="000B7DA5" w:rsidRDefault="00DA4690" w:rsidP="00527BDA">
            <w:pPr>
              <w:pStyle w:val="ECCLetteredListLevel2"/>
              <w:numPr>
                <w:ilvl w:val="0"/>
                <w:numId w:val="0"/>
              </w:numPr>
              <w:spacing w:before="60" w:after="60"/>
            </w:pPr>
            <w:r w:rsidRPr="000B7DA5">
              <w:t xml:space="preserve">17 </w:t>
            </w:r>
            <w:proofErr w:type="spellStart"/>
            <w:r w:rsidRPr="000B7DA5">
              <w:t>dBW</w:t>
            </w:r>
            <w:proofErr w:type="spellEnd"/>
          </w:p>
        </w:tc>
        <w:tc>
          <w:tcPr>
            <w:tcW w:w="3648" w:type="pct"/>
          </w:tcPr>
          <w:p w14:paraId="533AB3F5" w14:textId="77777777" w:rsidR="00DA4690" w:rsidRPr="000B7DA5" w:rsidRDefault="00DA4690" w:rsidP="00527BDA">
            <w:pPr>
              <w:pStyle w:val="ECCLetteredListLevel2"/>
              <w:numPr>
                <w:ilvl w:val="0"/>
                <w:numId w:val="0"/>
              </w:numPr>
              <w:spacing w:before="60" w:after="60"/>
            </w:pPr>
            <w:r w:rsidRPr="000B7DA5">
              <w:t xml:space="preserve">for 15° </w:t>
            </w:r>
            <w:r w:rsidRPr="000B7DA5">
              <w:rPr>
                <w:rFonts w:cs="Arial"/>
              </w:rPr>
              <w:t>≤</w:t>
            </w:r>
            <w:r w:rsidRPr="000B7DA5">
              <w:t xml:space="preserve"> </w:t>
            </w:r>
            <w:r w:rsidRPr="000B7DA5">
              <w:rPr>
                <w:rFonts w:cs="Arial"/>
              </w:rPr>
              <w:t>θ</w:t>
            </w:r>
            <w:r w:rsidRPr="000B7DA5">
              <w:t xml:space="preserve"> &lt; 55°</w:t>
            </w:r>
          </w:p>
        </w:tc>
      </w:tr>
      <w:tr w:rsidR="00DA4690" w:rsidRPr="000B7DA5" w14:paraId="0242A9F0" w14:textId="77777777" w:rsidTr="00E615AA">
        <w:tc>
          <w:tcPr>
            <w:tcW w:w="1352" w:type="pct"/>
          </w:tcPr>
          <w:p w14:paraId="1513BC66" w14:textId="77777777" w:rsidR="00DA4690" w:rsidRPr="000B7DA5" w:rsidRDefault="00DA4690" w:rsidP="00527BDA">
            <w:pPr>
              <w:pStyle w:val="ECCLetteredListLevel2"/>
              <w:numPr>
                <w:ilvl w:val="0"/>
                <w:numId w:val="0"/>
              </w:numPr>
              <w:spacing w:before="60" w:after="60"/>
            </w:pPr>
            <w:r w:rsidRPr="000B7DA5">
              <w:t xml:space="preserve">26.8 </w:t>
            </w:r>
            <w:proofErr w:type="spellStart"/>
            <w:r w:rsidRPr="000B7DA5">
              <w:t>dBW</w:t>
            </w:r>
            <w:proofErr w:type="spellEnd"/>
          </w:p>
        </w:tc>
        <w:tc>
          <w:tcPr>
            <w:tcW w:w="3648" w:type="pct"/>
          </w:tcPr>
          <w:p w14:paraId="312F6501" w14:textId="77777777" w:rsidR="00DA4690" w:rsidRPr="000B7DA5" w:rsidRDefault="00DA4690" w:rsidP="00527BDA">
            <w:pPr>
              <w:pStyle w:val="ECCLetteredListLevel2"/>
              <w:numPr>
                <w:ilvl w:val="0"/>
                <w:numId w:val="0"/>
              </w:numPr>
              <w:spacing w:before="60" w:after="60"/>
            </w:pPr>
            <w:r w:rsidRPr="000B7DA5">
              <w:t xml:space="preserve">for 55° </w:t>
            </w:r>
            <w:r w:rsidRPr="000B7DA5">
              <w:rPr>
                <w:rFonts w:cs="Arial"/>
              </w:rPr>
              <w:t>≤</w:t>
            </w:r>
            <w:r w:rsidRPr="000B7DA5">
              <w:t xml:space="preserve"> </w:t>
            </w:r>
            <w:r w:rsidRPr="000B7DA5">
              <w:rPr>
                <w:rFonts w:cs="Arial"/>
              </w:rPr>
              <w:t>θ</w:t>
            </w:r>
            <w:r w:rsidRPr="000B7DA5">
              <w:t xml:space="preserve"> &lt; 90°</w:t>
            </w:r>
          </w:p>
        </w:tc>
      </w:tr>
    </w:tbl>
    <w:p w14:paraId="527E161B" w14:textId="6E6FF4E0" w:rsidR="00DA4690" w:rsidRPr="000B7DA5" w:rsidRDefault="00DA4690" w:rsidP="00DA4690">
      <w:pPr>
        <w:pStyle w:val="ECCLetteredListLevel2"/>
        <w:numPr>
          <w:ilvl w:val="0"/>
          <w:numId w:val="0"/>
        </w:numPr>
        <w:ind w:left="680"/>
      </w:pPr>
      <w:r w:rsidRPr="000B7DA5">
        <w:t xml:space="preserve">where </w:t>
      </w:r>
      <w:r w:rsidRPr="000B7DA5">
        <w:rPr>
          <w:rFonts w:cs="Arial"/>
        </w:rPr>
        <w:t>θ</w:t>
      </w:r>
      <w:r w:rsidRPr="000B7DA5">
        <w:t xml:space="preserve"> = elevation angle of amateur station antenna</w:t>
      </w:r>
    </w:p>
    <w:p w14:paraId="4A22F34F" w14:textId="77777777" w:rsidR="00DA4690" w:rsidRPr="000B7DA5" w:rsidRDefault="00DA4690" w:rsidP="00527BDA">
      <w:pPr>
        <w:pStyle w:val="ECCLetteredListLevel2"/>
        <w:spacing w:before="60" w:after="60"/>
      </w:pPr>
      <w:r w:rsidRPr="000B7DA5">
        <w:t>1262-1270 MHz: Maximum value of e.i.r.p.</w:t>
      </w:r>
      <w:r w:rsidRPr="000B7DA5">
        <w:rPr>
          <w:vertAlign w:val="superscript"/>
        </w:rPr>
        <w:t>1</w:t>
      </w:r>
      <w:r w:rsidRPr="000B7DA5">
        <w:t xml:space="preserve"> = −17 </w:t>
      </w:r>
      <w:proofErr w:type="spellStart"/>
      <w:r w:rsidRPr="000B7DA5">
        <w:t>dBW</w:t>
      </w:r>
      <w:proofErr w:type="spellEnd"/>
    </w:p>
    <w:p w14:paraId="39DD04F3" w14:textId="77777777" w:rsidR="00DA4690" w:rsidRPr="000B7DA5" w:rsidRDefault="00DA4690" w:rsidP="00DA639B">
      <w:pPr>
        <w:pStyle w:val="ECCLetteredList"/>
        <w:spacing w:before="60" w:after="60"/>
      </w:pPr>
      <w:bookmarkStart w:id="7" w:name="_Ref169181315"/>
      <w:r w:rsidRPr="000B7DA5">
        <w:t>For broadband (bandwidth &gt; 150 kHz), including amateur television (ATV), applications operating in the amateur service:</w:t>
      </w:r>
      <w:bookmarkEnd w:id="7"/>
    </w:p>
    <w:p w14:paraId="6F13C3A7" w14:textId="04273660" w:rsidR="00DA4690" w:rsidRPr="000B7DA5" w:rsidRDefault="00DA4690" w:rsidP="00527BDA">
      <w:pPr>
        <w:pStyle w:val="ECCLetteredListLevel2"/>
        <w:spacing w:before="60" w:after="60"/>
      </w:pPr>
      <w:r w:rsidRPr="000B7DA5">
        <w:t>1258-1300 MHz: Maximum value of e.i.r.p.</w:t>
      </w:r>
      <w:r w:rsidRPr="000B7DA5">
        <w:rPr>
          <w:vertAlign w:val="superscript"/>
        </w:rPr>
        <w:t>1</w:t>
      </w:r>
      <w:r w:rsidRPr="000B7DA5">
        <w:t xml:space="preserve"> = −17 </w:t>
      </w:r>
      <w:proofErr w:type="spellStart"/>
      <w:r w:rsidRPr="000B7DA5">
        <w:t>dBW</w:t>
      </w:r>
      <w:proofErr w:type="spellEnd"/>
      <w:r w:rsidRPr="000B7DA5">
        <w:t>/1MHz</w:t>
      </w:r>
    </w:p>
    <w:p w14:paraId="6445D4A7" w14:textId="6F3CA183" w:rsidR="00DA4690" w:rsidRPr="000B7DA5" w:rsidRDefault="00DA4690" w:rsidP="00DA639B">
      <w:pPr>
        <w:pStyle w:val="ECCLetteredList"/>
        <w:spacing w:before="60" w:after="60"/>
      </w:pPr>
      <w:r w:rsidRPr="000B7DA5">
        <w:t xml:space="preserve">When amateur and amateur-satellite station antennas are installed at much higher antenna heights compared to the representative values contained in Report ITU-R M.2513-1 </w:t>
      </w:r>
      <w:r w:rsidRPr="000B7DA5">
        <w:fldChar w:fldCharType="begin"/>
      </w:r>
      <w:r w:rsidRPr="000B7DA5">
        <w:instrText xml:space="preserve"> REF _Ref169175558 \r \h  \* MERGEFORMAT </w:instrText>
      </w:r>
      <w:r w:rsidRPr="000B7DA5">
        <w:fldChar w:fldCharType="separate"/>
      </w:r>
      <w:r w:rsidRPr="000B7DA5">
        <w:t>[4]</w:t>
      </w:r>
      <w:r w:rsidRPr="000B7DA5">
        <w:fldChar w:fldCharType="end"/>
      </w:r>
      <w:r w:rsidRPr="000B7DA5">
        <w:t xml:space="preserve"> (representative antenna height above ground is 25 m), further constraints or limitations in addition to those listed in the above points </w:t>
      </w:r>
      <w:r w:rsidRPr="000B7DA5">
        <w:fldChar w:fldCharType="begin"/>
      </w:r>
      <w:r w:rsidRPr="000B7DA5">
        <w:instrText xml:space="preserve"> REF _Ref169181309 \r \h  \* MERGEFORMAT </w:instrText>
      </w:r>
      <w:r w:rsidRPr="000B7DA5">
        <w:fldChar w:fldCharType="separate"/>
      </w:r>
      <w:r w:rsidRPr="000B7DA5">
        <w:t>a)</w:t>
      </w:r>
      <w:r w:rsidRPr="000B7DA5">
        <w:fldChar w:fldCharType="end"/>
      </w:r>
      <w:r w:rsidRPr="000B7DA5">
        <w:t xml:space="preserve"> to </w:t>
      </w:r>
      <w:r w:rsidRPr="000B7DA5">
        <w:fldChar w:fldCharType="begin"/>
      </w:r>
      <w:r w:rsidRPr="000B7DA5">
        <w:instrText xml:space="preserve"> REF _Ref169181315 \r \h  \* MERGEFORMAT </w:instrText>
      </w:r>
      <w:r w:rsidRPr="000B7DA5">
        <w:fldChar w:fldCharType="separate"/>
      </w:r>
      <w:r w:rsidRPr="000B7DA5">
        <w:t>c)</w:t>
      </w:r>
      <w:r w:rsidRPr="000B7DA5">
        <w:fldChar w:fldCharType="end"/>
      </w:r>
      <w:r w:rsidRPr="000B7DA5">
        <w:t xml:space="preserve"> may need to be considered by </w:t>
      </w:r>
      <w:r w:rsidR="003C229E" w:rsidRPr="000B7DA5">
        <w:t xml:space="preserve">CEPT </w:t>
      </w:r>
      <w:r w:rsidRPr="000B7DA5">
        <w:t>administrations, in particular for cases of the amateur station category referred to as “permanent installations” such as repeaters and propagation beacons.</w:t>
      </w:r>
    </w:p>
    <w:p w14:paraId="65FBF597" w14:textId="76DA2983" w:rsidR="00DA4690" w:rsidRPr="000B7DA5" w:rsidRDefault="00DA4690" w:rsidP="00DA639B">
      <w:pPr>
        <w:pStyle w:val="ECCLetteredList"/>
        <w:spacing w:before="60" w:after="60"/>
      </w:pPr>
      <w:r w:rsidRPr="000B7DA5">
        <w:t xml:space="preserve">In addition to point </w:t>
      </w:r>
      <w:r w:rsidRPr="000B7DA5">
        <w:fldChar w:fldCharType="begin"/>
      </w:r>
      <w:r w:rsidRPr="000B7DA5">
        <w:instrText xml:space="preserve"> REF _Ref169181216 \r \h  \* MERGEFORMAT </w:instrText>
      </w:r>
      <w:r w:rsidRPr="000B7DA5">
        <w:fldChar w:fldCharType="separate"/>
      </w:r>
      <w:r w:rsidRPr="000B7DA5">
        <w:t>b)</w:t>
      </w:r>
      <w:r w:rsidRPr="000B7DA5">
        <w:fldChar w:fldCharType="end"/>
      </w:r>
      <w:r w:rsidRPr="000B7DA5">
        <w:t xml:space="preserve"> above, in case of an increase of the current use of the frequency band 1260-1270</w:t>
      </w:r>
      <w:r w:rsidR="002D2CE2">
        <w:t> </w:t>
      </w:r>
      <w:r w:rsidRPr="000B7DA5">
        <w:t>MHz by amateur satellite uplinks,</w:t>
      </w:r>
      <w:r w:rsidR="003C229E" w:rsidRPr="000B7DA5">
        <w:t xml:space="preserve"> CEPT</w:t>
      </w:r>
      <w:r w:rsidRPr="000B7DA5">
        <w:t xml:space="preserve"> </w:t>
      </w:r>
      <w:r w:rsidR="00B17AE9" w:rsidRPr="000B7DA5">
        <w:t>a</w:t>
      </w:r>
      <w:r w:rsidRPr="000B7DA5">
        <w:t>dministrations may consider applying a limitation to the duty cycle of relevant amateur satellite operations.</w:t>
      </w:r>
    </w:p>
    <w:p w14:paraId="0E09836A" w14:textId="77777777" w:rsidR="00DA4690" w:rsidRPr="000B7DA5" w:rsidRDefault="00DA4690" w:rsidP="006E3C83">
      <w:pPr>
        <w:pStyle w:val="ECCAnnex-heading1"/>
      </w:pPr>
      <w:bookmarkStart w:id="8" w:name="_Toc380059620"/>
      <w:bookmarkStart w:id="9" w:name="_Toc380059762"/>
      <w:bookmarkStart w:id="10" w:name="_Toc396383876"/>
      <w:bookmarkStart w:id="11" w:name="_Toc396917309"/>
      <w:bookmarkStart w:id="12" w:name="_Toc396917420"/>
      <w:bookmarkStart w:id="13" w:name="_Toc396917640"/>
      <w:bookmarkStart w:id="14" w:name="_Toc396917655"/>
      <w:bookmarkStart w:id="15" w:name="_Toc396917760"/>
      <w:bookmarkStart w:id="16" w:name="_Toc79649515"/>
      <w:bookmarkStart w:id="17" w:name="_Toc79649516"/>
      <w:bookmarkStart w:id="18" w:name="_Toc280099660"/>
      <w:r w:rsidRPr="000B7DA5">
        <w:lastRenderedPageBreak/>
        <w:t>List of Reference</w:t>
      </w:r>
      <w:bookmarkEnd w:id="8"/>
      <w:bookmarkEnd w:id="9"/>
      <w:bookmarkEnd w:id="10"/>
      <w:bookmarkEnd w:id="11"/>
      <w:bookmarkEnd w:id="12"/>
      <w:bookmarkEnd w:id="13"/>
      <w:bookmarkEnd w:id="14"/>
      <w:bookmarkEnd w:id="15"/>
      <w:r w:rsidRPr="000B7DA5">
        <w:t>s</w:t>
      </w:r>
      <w:bookmarkEnd w:id="16"/>
    </w:p>
    <w:p w14:paraId="7DBBB05E" w14:textId="77777777" w:rsidR="00DA4690" w:rsidRPr="000B7DA5" w:rsidRDefault="00DA4690" w:rsidP="00DA4690">
      <w:pPr>
        <w:pStyle w:val="ECCReference"/>
        <w:numPr>
          <w:ilvl w:val="0"/>
          <w:numId w:val="8"/>
        </w:numPr>
        <w:spacing w:before="60" w:after="60"/>
        <w:rPr>
          <w:rFonts w:cs="Arial"/>
        </w:rPr>
      </w:pPr>
      <w:bookmarkStart w:id="19" w:name="_Ref132985170"/>
      <w:bookmarkStart w:id="20" w:name="_Ref125630759"/>
      <w:bookmarkStart w:id="21" w:name="_Ref125631695"/>
      <w:r w:rsidRPr="000B7DA5">
        <w:rPr>
          <w:rFonts w:cs="Arial"/>
        </w:rPr>
        <w:t xml:space="preserve">ITU Radio Regulations, Edition of </w:t>
      </w:r>
      <w:bookmarkEnd w:id="19"/>
      <w:r w:rsidRPr="000B7DA5">
        <w:rPr>
          <w:rFonts w:cs="Arial"/>
        </w:rPr>
        <w:t>2024</w:t>
      </w:r>
    </w:p>
    <w:bookmarkStart w:id="22" w:name="_Ref169175312"/>
    <w:bookmarkStart w:id="23" w:name="_Ref169174124"/>
    <w:bookmarkEnd w:id="17"/>
    <w:bookmarkEnd w:id="18"/>
    <w:bookmarkEnd w:id="20"/>
    <w:bookmarkEnd w:id="21"/>
    <w:p w14:paraId="2469FAF7" w14:textId="77777777" w:rsidR="00DA4690" w:rsidRPr="000B7DA5" w:rsidRDefault="00DA4690" w:rsidP="00DA4690">
      <w:pPr>
        <w:pStyle w:val="reference"/>
        <w:spacing w:before="60" w:after="60"/>
        <w:rPr>
          <w:lang w:val="en-GB"/>
        </w:rPr>
      </w:pPr>
      <w:r w:rsidRPr="000B7DA5">
        <w:rPr>
          <w:lang w:val="en-GB"/>
        </w:rPr>
        <w:fldChar w:fldCharType="begin"/>
      </w:r>
      <w:r w:rsidRPr="000B7DA5">
        <w:rPr>
          <w:lang w:val="en-GB"/>
        </w:rPr>
        <w:instrText>HYPERLINK "https://docdb.cept.org/document/28625"</w:instrText>
      </w:r>
      <w:r w:rsidRPr="000B7DA5">
        <w:rPr>
          <w:lang w:val="en-GB"/>
        </w:rPr>
        <w:fldChar w:fldCharType="separate"/>
      </w:r>
      <w:r w:rsidRPr="000B7DA5">
        <w:rPr>
          <w:rStyle w:val="Hyperlink"/>
          <w:lang w:val="en-GB"/>
        </w:rPr>
        <w:t>ECC Report 359</w:t>
      </w:r>
      <w:r w:rsidRPr="000B7DA5">
        <w:rPr>
          <w:lang w:val="en-GB"/>
        </w:rPr>
        <w:fldChar w:fldCharType="end"/>
      </w:r>
      <w:r w:rsidRPr="000B7DA5">
        <w:rPr>
          <w:lang w:val="en-GB"/>
        </w:rPr>
        <w:t xml:space="preserve">: “Coexistence between the </w:t>
      </w:r>
      <w:proofErr w:type="spellStart"/>
      <w:r w:rsidRPr="000B7DA5">
        <w:rPr>
          <w:lang w:val="en-GB"/>
        </w:rPr>
        <w:t>radionavigation</w:t>
      </w:r>
      <w:proofErr w:type="spellEnd"/>
      <w:r w:rsidRPr="000B7DA5">
        <w:rPr>
          <w:lang w:val="en-GB"/>
        </w:rPr>
        <w:t>-satellite and the amateur services in the frequency range 1240-1300 MHz”, approved September 2024</w:t>
      </w:r>
      <w:bookmarkEnd w:id="22"/>
    </w:p>
    <w:p w14:paraId="10CD901A" w14:textId="69AC7926" w:rsidR="00DA4690" w:rsidRPr="000B7DA5" w:rsidRDefault="00DA4690" w:rsidP="00DA4690">
      <w:pPr>
        <w:pStyle w:val="reference"/>
        <w:spacing w:before="60" w:after="60"/>
        <w:jc w:val="both"/>
        <w:rPr>
          <w:lang w:val="en-GB"/>
        </w:rPr>
      </w:pPr>
      <w:bookmarkStart w:id="24" w:name="_Ref169175532"/>
      <w:r w:rsidRPr="000B7DA5">
        <w:rPr>
          <w:lang w:val="en-GB"/>
        </w:rPr>
        <w:t>Recommendation ITU-R M.1902-2</w:t>
      </w:r>
      <w:r w:rsidR="0074266B" w:rsidRPr="000B7DA5">
        <w:rPr>
          <w:lang w:val="en-GB"/>
        </w:rPr>
        <w:t xml:space="preserve"> (01/2022)</w:t>
      </w:r>
      <w:r w:rsidR="00906715" w:rsidRPr="000B7DA5">
        <w:rPr>
          <w:lang w:val="en-GB"/>
        </w:rPr>
        <w:t>:</w:t>
      </w:r>
      <w:r w:rsidRPr="000B7DA5">
        <w:rPr>
          <w:lang w:val="en-GB"/>
        </w:rPr>
        <w:t xml:space="preserve"> “Characteristics and protection criteria for receiving earth stations in the </w:t>
      </w:r>
      <w:proofErr w:type="spellStart"/>
      <w:r w:rsidRPr="000B7DA5">
        <w:rPr>
          <w:lang w:val="en-GB"/>
        </w:rPr>
        <w:t>radionavigation</w:t>
      </w:r>
      <w:proofErr w:type="spellEnd"/>
      <w:r w:rsidRPr="000B7DA5">
        <w:rPr>
          <w:lang w:val="en-GB"/>
        </w:rPr>
        <w:t>-satellite service (space-to-Earth) operating in the band 1 215-1 300 MHz”</w:t>
      </w:r>
      <w:bookmarkEnd w:id="24"/>
    </w:p>
    <w:p w14:paraId="391DFC07" w14:textId="0AEA70A8" w:rsidR="00DA4690" w:rsidRPr="000B7DA5" w:rsidRDefault="00DA4690" w:rsidP="00DA4690">
      <w:pPr>
        <w:pStyle w:val="reference"/>
        <w:spacing w:before="60" w:after="60"/>
        <w:jc w:val="both"/>
        <w:rPr>
          <w:lang w:val="en-GB"/>
        </w:rPr>
      </w:pPr>
      <w:bookmarkStart w:id="25" w:name="_Ref169175558"/>
      <w:r w:rsidRPr="000B7DA5">
        <w:rPr>
          <w:rFonts w:cs="Arial"/>
          <w:lang w:val="en-GB"/>
        </w:rPr>
        <w:t>Report ITU-R M.2513-1</w:t>
      </w:r>
      <w:r w:rsidR="005C5687" w:rsidRPr="000B7DA5">
        <w:rPr>
          <w:lang w:val="en-GB"/>
        </w:rPr>
        <w:t xml:space="preserve"> </w:t>
      </w:r>
      <w:r w:rsidR="005C5687" w:rsidRPr="000B7DA5">
        <w:rPr>
          <w:rFonts w:cs="Arial"/>
          <w:lang w:val="en-GB"/>
        </w:rPr>
        <w:t>(05/2024)</w:t>
      </w:r>
      <w:r w:rsidRPr="000B7DA5">
        <w:rPr>
          <w:lang w:val="en-GB"/>
        </w:rPr>
        <w:t xml:space="preserve">: “Studies regarding the protection of the primary </w:t>
      </w:r>
      <w:proofErr w:type="spellStart"/>
      <w:r w:rsidRPr="000B7DA5">
        <w:rPr>
          <w:lang w:val="en-GB"/>
        </w:rPr>
        <w:t>radionavigation</w:t>
      </w:r>
      <w:proofErr w:type="spellEnd"/>
      <w:r w:rsidRPr="000B7DA5">
        <w:rPr>
          <w:lang w:val="en-GB"/>
        </w:rPr>
        <w:t>-satellite service (space-to-Earth) by the secondary amateur and amateur-satellite services in the frequency band 1 240-1 300 MHz</w:t>
      </w:r>
      <w:r w:rsidRPr="000B7DA5">
        <w:rPr>
          <w:rFonts w:eastAsia="Calibri"/>
          <w:szCs w:val="22"/>
          <w:lang w:val="en-GB"/>
        </w:rPr>
        <w:t>”</w:t>
      </w:r>
      <w:bookmarkEnd w:id="23"/>
      <w:bookmarkEnd w:id="25"/>
    </w:p>
    <w:p w14:paraId="4E5A766D" w14:textId="48AA9947" w:rsidR="00DA4690" w:rsidRPr="000B7DA5" w:rsidRDefault="00DA4690" w:rsidP="00DA4690">
      <w:pPr>
        <w:pStyle w:val="reference"/>
        <w:spacing w:before="60" w:after="60"/>
        <w:jc w:val="both"/>
        <w:rPr>
          <w:lang w:val="en-GB"/>
        </w:rPr>
      </w:pPr>
      <w:bookmarkStart w:id="26" w:name="_Ref169174130"/>
      <w:r w:rsidRPr="000B7DA5">
        <w:rPr>
          <w:rFonts w:cs="Arial"/>
          <w:lang w:val="en-GB"/>
        </w:rPr>
        <w:t>Report ITU-R M.2532-0</w:t>
      </w:r>
      <w:r w:rsidR="00335699" w:rsidRPr="000B7DA5">
        <w:rPr>
          <w:rFonts w:cs="Arial"/>
          <w:lang w:val="en-GB"/>
        </w:rPr>
        <w:t xml:space="preserve"> (09/2023)</w:t>
      </w:r>
      <w:r w:rsidRPr="000B7DA5">
        <w:rPr>
          <w:rFonts w:cs="Arial"/>
          <w:lang w:val="en-GB"/>
        </w:rPr>
        <w:t>: “</w:t>
      </w:r>
      <w:r w:rsidRPr="000B7DA5">
        <w:rPr>
          <w:lang w:val="en-GB"/>
        </w:rPr>
        <w:t>Amateur and amateur-satellite services characteristics and usage in the 1 240-1 300 MHz frequency band</w:t>
      </w:r>
      <w:r w:rsidRPr="000B7DA5">
        <w:rPr>
          <w:rFonts w:cs="Arial"/>
          <w:lang w:val="en-GB"/>
        </w:rPr>
        <w:t>”</w:t>
      </w:r>
      <w:bookmarkEnd w:id="26"/>
    </w:p>
    <w:p w14:paraId="7F7E2449" w14:textId="2E5A8BF4" w:rsidR="00DA4690" w:rsidRPr="000B7DA5" w:rsidRDefault="00DA4690" w:rsidP="00DA4690">
      <w:pPr>
        <w:pStyle w:val="ECCReference"/>
        <w:numPr>
          <w:ilvl w:val="0"/>
          <w:numId w:val="8"/>
        </w:numPr>
        <w:spacing w:before="60" w:after="60"/>
      </w:pPr>
      <w:bookmarkStart w:id="27" w:name="_Ref134766976"/>
      <w:bookmarkStart w:id="28" w:name="_Ref169174137"/>
      <w:r w:rsidRPr="000B7DA5">
        <w:t>Recommendation ITU-R M.2164-0</w:t>
      </w:r>
      <w:r w:rsidR="00AA526E" w:rsidRPr="000B7DA5">
        <w:t xml:space="preserve"> (11/2023)</w:t>
      </w:r>
      <w:r w:rsidRPr="000B7DA5">
        <w:t>: “</w:t>
      </w:r>
      <w:bookmarkEnd w:id="27"/>
      <w:r w:rsidRPr="000B7DA5">
        <w:t xml:space="preserve">Guidance on technical and operational measures for the use of the frequency band 1 240-1 300 MHz by the amateur and amateur-satellite service in order to protect the </w:t>
      </w:r>
      <w:proofErr w:type="spellStart"/>
      <w:r w:rsidRPr="000B7DA5">
        <w:t>radionavigation</w:t>
      </w:r>
      <w:proofErr w:type="spellEnd"/>
      <w:r w:rsidRPr="000B7DA5">
        <w:t>-satellite service (space-to-Earth)”</w:t>
      </w:r>
      <w:bookmarkEnd w:id="28"/>
    </w:p>
    <w:p w14:paraId="10F313C9" w14:textId="77777777" w:rsidR="006C03D0" w:rsidRPr="000B7DA5" w:rsidRDefault="006C03D0" w:rsidP="006C03D0">
      <w:pPr>
        <w:pStyle w:val="ECCParagraph"/>
      </w:pPr>
    </w:p>
    <w:sectPr w:rsidR="006C03D0" w:rsidRPr="000B7DA5" w:rsidSect="006C03D0">
      <w:headerReference w:type="even" r:id="rId9"/>
      <w:headerReference w:type="default" r:id="rId10"/>
      <w:footerReference w:type="even" r:id="rId11"/>
      <w:headerReference w:type="first" r:id="rId12"/>
      <w:pgSz w:w="11907" w:h="16840" w:code="9"/>
      <w:pgMar w:top="1440" w:right="1134" w:bottom="1440"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867A9A" w16cex:dateUtc="2025-04-28T12: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30D85" w14:textId="77777777" w:rsidR="00394A94" w:rsidRDefault="00394A94" w:rsidP="006C03D0">
      <w:r>
        <w:separator/>
      </w:r>
    </w:p>
  </w:endnote>
  <w:endnote w:type="continuationSeparator" w:id="0">
    <w:p w14:paraId="7421DAD6" w14:textId="77777777" w:rsidR="00394A94" w:rsidRDefault="00394A94"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DD0F" w14:textId="3D4FBF10" w:rsidR="00C77593" w:rsidRDefault="00C77593" w:rsidP="00C77593">
    <w:pPr>
      <w:pStyle w:val="Fuzeile"/>
      <w:tabs>
        <w:tab w:val="clear" w:pos="4320"/>
        <w:tab w:val="clear" w:pos="8640"/>
        <w:tab w:val="left" w:pos="40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E968C" w14:textId="77777777" w:rsidR="00394A94" w:rsidRDefault="00394A94" w:rsidP="006C03D0">
      <w:r>
        <w:separator/>
      </w:r>
    </w:p>
  </w:footnote>
  <w:footnote w:type="continuationSeparator" w:id="0">
    <w:p w14:paraId="20B4082A" w14:textId="77777777" w:rsidR="00394A94" w:rsidRDefault="00394A94" w:rsidP="006C03D0">
      <w:r>
        <w:continuationSeparator/>
      </w:r>
    </w:p>
  </w:footnote>
  <w:footnote w:id="1">
    <w:p w14:paraId="6F971EA9" w14:textId="665413AF" w:rsidR="00DA4690" w:rsidRPr="00D76C51" w:rsidRDefault="00DA4690" w:rsidP="00C77593">
      <w:pPr>
        <w:pStyle w:val="ECCFootnote"/>
        <w:ind w:left="284" w:hanging="284"/>
        <w:rPr>
          <w:lang w:val="en-GB"/>
        </w:rPr>
      </w:pPr>
      <w:r>
        <w:rPr>
          <w:rStyle w:val="Funotenzeichen"/>
        </w:rPr>
        <w:footnoteRef/>
      </w:r>
      <w:r>
        <w:t xml:space="preserve"> </w:t>
      </w:r>
      <w:r w:rsidR="00C77593">
        <w:tab/>
      </w:r>
      <w:r w:rsidRPr="00D76C51">
        <w:t xml:space="preserve">Where </w:t>
      </w:r>
      <w:r w:rsidRPr="00A83422">
        <w:t>e.i.r.p</w:t>
      </w:r>
      <w:r w:rsidRPr="005B3600">
        <w:rPr>
          <w:i/>
          <w:iCs/>
        </w:rPr>
        <w:t>.</w:t>
      </w:r>
      <w:r w:rsidRPr="00D76C51">
        <w:t xml:space="preserve"> refers to the radiated power of the amateur station</w:t>
      </w:r>
      <w:r>
        <w:t>.</w:t>
      </w:r>
    </w:p>
  </w:footnote>
  <w:footnote w:id="2">
    <w:p w14:paraId="1380200D" w14:textId="428410AB" w:rsidR="00DA4690" w:rsidRPr="00D76C51" w:rsidRDefault="00DA4690" w:rsidP="00C77593">
      <w:pPr>
        <w:pStyle w:val="ECCFootnote"/>
        <w:ind w:left="284" w:hanging="284"/>
        <w:rPr>
          <w:lang w:val="en-GB"/>
        </w:rPr>
      </w:pPr>
      <w:r>
        <w:rPr>
          <w:rStyle w:val="Funotenzeichen"/>
        </w:rPr>
        <w:footnoteRef/>
      </w:r>
      <w:r>
        <w:t xml:space="preserve"> </w:t>
      </w:r>
      <w:r w:rsidR="00C77593">
        <w:tab/>
      </w:r>
      <w:r w:rsidRPr="00D76C51">
        <w:t>Where maximum power means either peak envelope power or carrier power (as appropriate) delivered by the transmitter to the amateur station antenna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8DE3D" w14:textId="19B6FC51" w:rsidR="00FA4704" w:rsidRPr="007C5F95" w:rsidRDefault="00B03382">
    <w:pPr>
      <w:pStyle w:val="Kopfzeile"/>
      <w:rPr>
        <w:szCs w:val="16"/>
        <w:lang w:val="da-DK"/>
      </w:rPr>
    </w:pPr>
    <w:r>
      <w:rPr>
        <w:lang w:val="da-DK"/>
      </w:rPr>
      <w:t>ECC/DEC/</w:t>
    </w:r>
    <w:r w:rsidR="00446A2A">
      <w:rPr>
        <w:lang w:val="da-DK"/>
      </w:rPr>
      <w:t>(25)01</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1B1F5E" w:rsidRPr="001B1F5E">
      <w:rPr>
        <w:noProof/>
        <w:szCs w:val="16"/>
        <w:lang w:val="da-DK"/>
      </w:rPr>
      <w:t>4</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206E" w14:textId="1BFA60BB" w:rsidR="00FA4704" w:rsidRPr="007C5F95" w:rsidRDefault="00B03382" w:rsidP="006C03D0">
    <w:pPr>
      <w:pStyle w:val="Kopfzeile"/>
      <w:jc w:val="right"/>
      <w:rPr>
        <w:szCs w:val="16"/>
        <w:lang w:val="da-DK"/>
      </w:rPr>
    </w:pPr>
    <w:r>
      <w:rPr>
        <w:lang w:val="da-DK"/>
      </w:rPr>
      <w:t>ECC/DEC/</w:t>
    </w:r>
    <w:r w:rsidR="00446A2A">
      <w:rPr>
        <w:lang w:val="da-DK"/>
      </w:rPr>
      <w:t>(25)01</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1B1F5E" w:rsidRPr="001B1F5E">
      <w:rPr>
        <w:noProof/>
        <w:szCs w:val="16"/>
        <w:lang w:val="da-DK"/>
      </w:rPr>
      <w:t>3</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C62D" w14:textId="3FF76493" w:rsidR="00FA4704" w:rsidRDefault="00FA4704">
    <w:pPr>
      <w:pStyle w:val="Kopfzeile"/>
    </w:pPr>
    <w:r>
      <w:rPr>
        <w:noProof/>
        <w:szCs w:val="20"/>
        <w:lang w:val="da-DK" w:eastAsia="da-DK"/>
      </w:rPr>
      <w:drawing>
        <wp:anchor distT="0" distB="0" distL="114300" distR="114300" simplePos="0" relativeHeight="251658240" behindDoc="0" locked="0" layoutInCell="1" allowOverlap="1" wp14:anchorId="388DA1F1" wp14:editId="2C8A7058">
          <wp:simplePos x="0" y="0"/>
          <wp:positionH relativeFrom="page">
            <wp:posOffset>5717540</wp:posOffset>
          </wp:positionH>
          <wp:positionV relativeFrom="page">
            <wp:posOffset>648335</wp:posOffset>
          </wp:positionV>
          <wp:extent cx="1461770" cy="546100"/>
          <wp:effectExtent l="25400" t="0" r="11430" b="0"/>
          <wp:wrapNone/>
          <wp:docPr id="1"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5604B8FC" wp14:editId="0E396D4C">
          <wp:simplePos x="0" y="0"/>
          <wp:positionH relativeFrom="page">
            <wp:posOffset>572770</wp:posOffset>
          </wp:positionH>
          <wp:positionV relativeFrom="page">
            <wp:posOffset>457200</wp:posOffset>
          </wp:positionV>
          <wp:extent cx="889000" cy="889000"/>
          <wp:effectExtent l="25400" t="0" r="0" b="0"/>
          <wp:wrapNone/>
          <wp:docPr id="10"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35E7"/>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0E0870B8"/>
    <w:multiLevelType w:val="hybridMultilevel"/>
    <w:tmpl w:val="0D5CBE5C"/>
    <w:lvl w:ilvl="0" w:tplc="6B4A692A">
      <w:start w:val="1"/>
      <w:numFmt w:val="decimal"/>
      <w:lvlText w:val="%1)"/>
      <w:lvlJc w:val="left"/>
      <w:pPr>
        <w:tabs>
          <w:tab w:val="num" w:pos="4547"/>
        </w:tabs>
        <w:ind w:left="4547" w:hanging="360"/>
      </w:pPr>
      <w:rPr>
        <w:rFonts w:hint="default"/>
      </w:rPr>
    </w:lvl>
    <w:lvl w:ilvl="1" w:tplc="04130019">
      <w:start w:val="1"/>
      <w:numFmt w:val="lowerLetter"/>
      <w:lvlText w:val="%2."/>
      <w:lvlJc w:val="left"/>
      <w:pPr>
        <w:tabs>
          <w:tab w:val="num" w:pos="5267"/>
        </w:tabs>
        <w:ind w:left="5267" w:hanging="360"/>
      </w:pPr>
    </w:lvl>
    <w:lvl w:ilvl="2" w:tplc="0413001B">
      <w:start w:val="1"/>
      <w:numFmt w:val="lowerRoman"/>
      <w:lvlText w:val="%3."/>
      <w:lvlJc w:val="right"/>
      <w:pPr>
        <w:tabs>
          <w:tab w:val="num" w:pos="5987"/>
        </w:tabs>
        <w:ind w:left="5987" w:hanging="180"/>
      </w:pPr>
    </w:lvl>
    <w:lvl w:ilvl="3" w:tplc="0413000F">
      <w:start w:val="1"/>
      <w:numFmt w:val="decimal"/>
      <w:lvlText w:val="%4."/>
      <w:lvlJc w:val="left"/>
      <w:pPr>
        <w:tabs>
          <w:tab w:val="num" w:pos="6707"/>
        </w:tabs>
        <w:ind w:left="6707" w:hanging="360"/>
      </w:pPr>
    </w:lvl>
    <w:lvl w:ilvl="4" w:tplc="04130019">
      <w:start w:val="1"/>
      <w:numFmt w:val="lowerLetter"/>
      <w:lvlText w:val="%5."/>
      <w:lvlJc w:val="left"/>
      <w:pPr>
        <w:tabs>
          <w:tab w:val="num" w:pos="7427"/>
        </w:tabs>
        <w:ind w:left="7427" w:hanging="360"/>
      </w:pPr>
    </w:lvl>
    <w:lvl w:ilvl="5" w:tplc="0413001B">
      <w:start w:val="1"/>
      <w:numFmt w:val="lowerRoman"/>
      <w:lvlText w:val="%6."/>
      <w:lvlJc w:val="right"/>
      <w:pPr>
        <w:tabs>
          <w:tab w:val="num" w:pos="8147"/>
        </w:tabs>
        <w:ind w:left="8147" w:hanging="180"/>
      </w:pPr>
    </w:lvl>
    <w:lvl w:ilvl="6" w:tplc="0413000F">
      <w:start w:val="1"/>
      <w:numFmt w:val="decimal"/>
      <w:lvlText w:val="%7."/>
      <w:lvlJc w:val="left"/>
      <w:pPr>
        <w:tabs>
          <w:tab w:val="num" w:pos="8867"/>
        </w:tabs>
        <w:ind w:left="8867" w:hanging="360"/>
      </w:pPr>
    </w:lvl>
    <w:lvl w:ilvl="7" w:tplc="04130019">
      <w:start w:val="1"/>
      <w:numFmt w:val="lowerLetter"/>
      <w:lvlText w:val="%8."/>
      <w:lvlJc w:val="left"/>
      <w:pPr>
        <w:tabs>
          <w:tab w:val="num" w:pos="9587"/>
        </w:tabs>
        <w:ind w:left="9587" w:hanging="360"/>
      </w:pPr>
    </w:lvl>
    <w:lvl w:ilvl="8" w:tplc="0413001B">
      <w:start w:val="1"/>
      <w:numFmt w:val="lowerRoman"/>
      <w:lvlText w:val="%9."/>
      <w:lvlJc w:val="right"/>
      <w:pPr>
        <w:tabs>
          <w:tab w:val="num" w:pos="10307"/>
        </w:tabs>
        <w:ind w:left="10307" w:hanging="180"/>
      </w:pPr>
    </w:lvl>
  </w:abstractNum>
  <w:abstractNum w:abstractNumId="2"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0F17C3D"/>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4" w15:restartNumberingAfterBreak="0">
    <w:nsid w:val="331D2CAF"/>
    <w:multiLevelType w:val="multilevel"/>
    <w:tmpl w:val="67C69F3A"/>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163F7A"/>
    <w:multiLevelType w:val="multilevel"/>
    <w:tmpl w:val="BDCA875C"/>
    <w:lvl w:ilvl="0">
      <w:start w:val="1"/>
      <w:numFmt w:val="decimal"/>
      <w:pStyle w:val="berschrift2"/>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3"/>
      <w:lvlText w:val="%1.%2"/>
      <w:lvlJc w:val="left"/>
      <w:pPr>
        <w:tabs>
          <w:tab w:val="num" w:pos="576"/>
        </w:tabs>
        <w:ind w:left="576" w:hanging="576"/>
      </w:pPr>
      <w:rPr>
        <w:rFonts w:ascii="Arial" w:hAnsi="Arial" w:hint="default"/>
        <w:b/>
        <w:i w:val="0"/>
        <w:color w:val="D2232A"/>
        <w:sz w:val="20"/>
      </w:rPr>
    </w:lvl>
    <w:lvl w:ilvl="2">
      <w:start w:val="1"/>
      <w:numFmt w:val="decimal"/>
      <w:pStyle w:val="berschrift4"/>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Times New Roman" w:hAnsi="Times New Roman"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BE4C9A"/>
    <w:multiLevelType w:val="multilevel"/>
    <w:tmpl w:val="A73A0B3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ind w:left="1440" w:hanging="360"/>
      </w:pPr>
      <w:rPr>
        <w:rFonts w:ascii="Wingdings" w:hAnsi="Wingding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24"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5"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6"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abstractNum w:abstractNumId="31" w15:restartNumberingAfterBreak="0">
    <w:nsid w:val="7D9D33C5"/>
    <w:multiLevelType w:val="singleLevel"/>
    <w:tmpl w:val="312817C8"/>
    <w:lvl w:ilvl="0">
      <w:start w:val="1"/>
      <w:numFmt w:val="decimal"/>
      <w:lvlText w:val="%1."/>
      <w:legacy w:legacy="1" w:legacySpace="0" w:legacyIndent="360"/>
      <w:lvlJc w:val="left"/>
      <w:pPr>
        <w:ind w:left="360" w:hanging="360"/>
      </w:pPr>
      <w:rPr>
        <w:color w:val="D2232A"/>
      </w:rPr>
    </w:lvl>
  </w:abstractNum>
  <w:abstractNum w:abstractNumId="32"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21"/>
  </w:num>
  <w:num w:numId="4">
    <w:abstractNumId w:val="7"/>
  </w:num>
  <w:num w:numId="5">
    <w:abstractNumId w:val="24"/>
  </w:num>
  <w:num w:numId="6">
    <w:abstractNumId w:val="15"/>
  </w:num>
  <w:num w:numId="7">
    <w:abstractNumId w:val="13"/>
  </w:num>
  <w:num w:numId="8">
    <w:abstractNumId w:val="20"/>
  </w:num>
  <w:num w:numId="9">
    <w:abstractNumId w:val="19"/>
  </w:num>
  <w:num w:numId="10">
    <w:abstractNumId w:val="16"/>
  </w:num>
  <w:num w:numId="11">
    <w:abstractNumId w:val="20"/>
    <w:lvlOverride w:ilvl="0">
      <w:startOverride w:val="1"/>
    </w:lvlOverride>
  </w:num>
  <w:num w:numId="12">
    <w:abstractNumId w:val="5"/>
  </w:num>
  <w:num w:numId="13">
    <w:abstractNumId w:val="3"/>
  </w:num>
  <w:num w:numId="14">
    <w:abstractNumId w:val="26"/>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27"/>
  </w:num>
  <w:num w:numId="20">
    <w:abstractNumId w:val="17"/>
  </w:num>
  <w:num w:numId="21">
    <w:abstractNumId w:val="29"/>
  </w:num>
  <w:num w:numId="22">
    <w:abstractNumId w:val="32"/>
  </w:num>
  <w:num w:numId="23">
    <w:abstractNumId w:val="1"/>
  </w:num>
  <w:num w:numId="24">
    <w:abstractNumId w:val="4"/>
  </w:num>
  <w:num w:numId="25">
    <w:abstractNumId w:val="2"/>
  </w:num>
  <w:num w:numId="26">
    <w:abstractNumId w:val="14"/>
  </w:num>
  <w:num w:numId="27">
    <w:abstractNumId w:val="9"/>
  </w:num>
  <w:num w:numId="28">
    <w:abstractNumId w:val="22"/>
  </w:num>
  <w:num w:numId="29">
    <w:abstractNumId w:val="23"/>
  </w:num>
  <w:num w:numId="30">
    <w:abstractNumId w:val="30"/>
  </w:num>
  <w:num w:numId="31">
    <w:abstractNumId w:val="8"/>
  </w:num>
  <w:num w:numId="32">
    <w:abstractNumId w:val="10"/>
  </w:num>
  <w:num w:numId="33">
    <w:abstractNumId w:val="14"/>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4">
    <w:abstractNumId w:val="14"/>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5">
    <w:abstractNumId w:val="22"/>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6"/>
  </w:num>
  <w:num w:numId="41">
    <w:abstractNumId w:val="25"/>
  </w:num>
  <w:num w:numId="42">
    <w:abstractNumId w:val="0"/>
  </w:num>
  <w:num w:numId="43">
    <w:abstractNumId w:val="31"/>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7F"/>
    <w:rsid w:val="000100FE"/>
    <w:rsid w:val="00014BEA"/>
    <w:rsid w:val="000227D3"/>
    <w:rsid w:val="00031379"/>
    <w:rsid w:val="00033406"/>
    <w:rsid w:val="0003544F"/>
    <w:rsid w:val="00046804"/>
    <w:rsid w:val="000571C2"/>
    <w:rsid w:val="00061CB2"/>
    <w:rsid w:val="000646DB"/>
    <w:rsid w:val="00072B81"/>
    <w:rsid w:val="00080A1A"/>
    <w:rsid w:val="00083C7B"/>
    <w:rsid w:val="000B38A4"/>
    <w:rsid w:val="000B64AA"/>
    <w:rsid w:val="000B7DA5"/>
    <w:rsid w:val="000C183F"/>
    <w:rsid w:val="000C1952"/>
    <w:rsid w:val="000C2090"/>
    <w:rsid w:val="000C5A8C"/>
    <w:rsid w:val="000D46B3"/>
    <w:rsid w:val="000E005F"/>
    <w:rsid w:val="000E6BFF"/>
    <w:rsid w:val="000F3919"/>
    <w:rsid w:val="000F61C3"/>
    <w:rsid w:val="0013619B"/>
    <w:rsid w:val="00137561"/>
    <w:rsid w:val="00145FC2"/>
    <w:rsid w:val="00177B33"/>
    <w:rsid w:val="00186489"/>
    <w:rsid w:val="001B08E5"/>
    <w:rsid w:val="001B1F5E"/>
    <w:rsid w:val="001B1F69"/>
    <w:rsid w:val="001C46EA"/>
    <w:rsid w:val="001D3992"/>
    <w:rsid w:val="001E0C8D"/>
    <w:rsid w:val="0020171B"/>
    <w:rsid w:val="00204DEC"/>
    <w:rsid w:val="00216F50"/>
    <w:rsid w:val="002329EF"/>
    <w:rsid w:val="00251BB1"/>
    <w:rsid w:val="002640D5"/>
    <w:rsid w:val="00273B91"/>
    <w:rsid w:val="002741A5"/>
    <w:rsid w:val="0027560B"/>
    <w:rsid w:val="002A5AE1"/>
    <w:rsid w:val="002B55CD"/>
    <w:rsid w:val="002C1988"/>
    <w:rsid w:val="002C3E1C"/>
    <w:rsid w:val="002D2CE2"/>
    <w:rsid w:val="002E2E26"/>
    <w:rsid w:val="002F47F2"/>
    <w:rsid w:val="00312AC2"/>
    <w:rsid w:val="00314F38"/>
    <w:rsid w:val="0032256B"/>
    <w:rsid w:val="003246FE"/>
    <w:rsid w:val="00324709"/>
    <w:rsid w:val="00335699"/>
    <w:rsid w:val="00337EAB"/>
    <w:rsid w:val="00394A94"/>
    <w:rsid w:val="003B646E"/>
    <w:rsid w:val="003C229E"/>
    <w:rsid w:val="003E3145"/>
    <w:rsid w:val="003F3883"/>
    <w:rsid w:val="00406A59"/>
    <w:rsid w:val="00407C90"/>
    <w:rsid w:val="00412E32"/>
    <w:rsid w:val="00446A2A"/>
    <w:rsid w:val="00453C08"/>
    <w:rsid w:val="004611F7"/>
    <w:rsid w:val="00465B31"/>
    <w:rsid w:val="004C0D8B"/>
    <w:rsid w:val="004C4CB4"/>
    <w:rsid w:val="004C730D"/>
    <w:rsid w:val="004D4301"/>
    <w:rsid w:val="00504817"/>
    <w:rsid w:val="00525D95"/>
    <w:rsid w:val="00527BDA"/>
    <w:rsid w:val="005345D5"/>
    <w:rsid w:val="0054607F"/>
    <w:rsid w:val="00547718"/>
    <w:rsid w:val="00563932"/>
    <w:rsid w:val="00574C2D"/>
    <w:rsid w:val="005B3600"/>
    <w:rsid w:val="005C5687"/>
    <w:rsid w:val="005D58EC"/>
    <w:rsid w:val="005E6FFD"/>
    <w:rsid w:val="005E7636"/>
    <w:rsid w:val="005F17F6"/>
    <w:rsid w:val="005F7AD5"/>
    <w:rsid w:val="00607B68"/>
    <w:rsid w:val="006449C3"/>
    <w:rsid w:val="006645E5"/>
    <w:rsid w:val="00693AB1"/>
    <w:rsid w:val="006C03D0"/>
    <w:rsid w:val="006E3C83"/>
    <w:rsid w:val="006F4219"/>
    <w:rsid w:val="0070052E"/>
    <w:rsid w:val="007111D8"/>
    <w:rsid w:val="00713DBA"/>
    <w:rsid w:val="00716101"/>
    <w:rsid w:val="0074266B"/>
    <w:rsid w:val="00760404"/>
    <w:rsid w:val="00761717"/>
    <w:rsid w:val="00773A06"/>
    <w:rsid w:val="00776C00"/>
    <w:rsid w:val="007B3C97"/>
    <w:rsid w:val="007B4F67"/>
    <w:rsid w:val="007C0D24"/>
    <w:rsid w:val="007C6571"/>
    <w:rsid w:val="007D547D"/>
    <w:rsid w:val="007D6DC5"/>
    <w:rsid w:val="007E23E4"/>
    <w:rsid w:val="008134CC"/>
    <w:rsid w:val="00820D4A"/>
    <w:rsid w:val="00831F0A"/>
    <w:rsid w:val="0084194E"/>
    <w:rsid w:val="00842B6C"/>
    <w:rsid w:val="0084674C"/>
    <w:rsid w:val="00850A1D"/>
    <w:rsid w:val="00856101"/>
    <w:rsid w:val="00887B7F"/>
    <w:rsid w:val="00892C77"/>
    <w:rsid w:val="00893A1D"/>
    <w:rsid w:val="008A2EE4"/>
    <w:rsid w:val="008C0A25"/>
    <w:rsid w:val="008C570F"/>
    <w:rsid w:val="008F5944"/>
    <w:rsid w:val="00906715"/>
    <w:rsid w:val="009250A6"/>
    <w:rsid w:val="00937643"/>
    <w:rsid w:val="0096470D"/>
    <w:rsid w:val="009676DF"/>
    <w:rsid w:val="00995C49"/>
    <w:rsid w:val="009B16D1"/>
    <w:rsid w:val="009C7327"/>
    <w:rsid w:val="009D5CD0"/>
    <w:rsid w:val="009D65AC"/>
    <w:rsid w:val="009E559E"/>
    <w:rsid w:val="00A06C07"/>
    <w:rsid w:val="00A15970"/>
    <w:rsid w:val="00A27EB8"/>
    <w:rsid w:val="00A41673"/>
    <w:rsid w:val="00A65674"/>
    <w:rsid w:val="00A77FE6"/>
    <w:rsid w:val="00A8085A"/>
    <w:rsid w:val="00A83422"/>
    <w:rsid w:val="00A83BF8"/>
    <w:rsid w:val="00AA526E"/>
    <w:rsid w:val="00AA7529"/>
    <w:rsid w:val="00AB2391"/>
    <w:rsid w:val="00AB40C7"/>
    <w:rsid w:val="00AC0B35"/>
    <w:rsid w:val="00AF6350"/>
    <w:rsid w:val="00AF777B"/>
    <w:rsid w:val="00B03382"/>
    <w:rsid w:val="00B17AE9"/>
    <w:rsid w:val="00B23041"/>
    <w:rsid w:val="00B2406C"/>
    <w:rsid w:val="00B32D89"/>
    <w:rsid w:val="00B608F0"/>
    <w:rsid w:val="00B60B3B"/>
    <w:rsid w:val="00B7599B"/>
    <w:rsid w:val="00B76D14"/>
    <w:rsid w:val="00B9781C"/>
    <w:rsid w:val="00BD327F"/>
    <w:rsid w:val="00BE2812"/>
    <w:rsid w:val="00BF530A"/>
    <w:rsid w:val="00C11DD5"/>
    <w:rsid w:val="00C11F9C"/>
    <w:rsid w:val="00C1340F"/>
    <w:rsid w:val="00C15358"/>
    <w:rsid w:val="00C16C76"/>
    <w:rsid w:val="00C20CCE"/>
    <w:rsid w:val="00C247A7"/>
    <w:rsid w:val="00C308B8"/>
    <w:rsid w:val="00C40ED0"/>
    <w:rsid w:val="00C47BF7"/>
    <w:rsid w:val="00C5088D"/>
    <w:rsid w:val="00C64D00"/>
    <w:rsid w:val="00C665E0"/>
    <w:rsid w:val="00C77593"/>
    <w:rsid w:val="00C81E53"/>
    <w:rsid w:val="00CA4E48"/>
    <w:rsid w:val="00CB0507"/>
    <w:rsid w:val="00CE403C"/>
    <w:rsid w:val="00D00718"/>
    <w:rsid w:val="00D03DCD"/>
    <w:rsid w:val="00D14E6F"/>
    <w:rsid w:val="00D26E98"/>
    <w:rsid w:val="00D34AE4"/>
    <w:rsid w:val="00D74E6D"/>
    <w:rsid w:val="00D82858"/>
    <w:rsid w:val="00D84B44"/>
    <w:rsid w:val="00D90B0A"/>
    <w:rsid w:val="00D9196A"/>
    <w:rsid w:val="00DA090D"/>
    <w:rsid w:val="00DA0D24"/>
    <w:rsid w:val="00DA4690"/>
    <w:rsid w:val="00DA639B"/>
    <w:rsid w:val="00DC0568"/>
    <w:rsid w:val="00DC2345"/>
    <w:rsid w:val="00DC5DE1"/>
    <w:rsid w:val="00DF2042"/>
    <w:rsid w:val="00DF38DA"/>
    <w:rsid w:val="00E04185"/>
    <w:rsid w:val="00E0529B"/>
    <w:rsid w:val="00E24682"/>
    <w:rsid w:val="00E36178"/>
    <w:rsid w:val="00E47DF5"/>
    <w:rsid w:val="00E615AA"/>
    <w:rsid w:val="00E65E22"/>
    <w:rsid w:val="00E66980"/>
    <w:rsid w:val="00E73D39"/>
    <w:rsid w:val="00E86D3B"/>
    <w:rsid w:val="00EA6887"/>
    <w:rsid w:val="00EF7C8E"/>
    <w:rsid w:val="00EF7FBD"/>
    <w:rsid w:val="00F01CAD"/>
    <w:rsid w:val="00F177F1"/>
    <w:rsid w:val="00F22FDA"/>
    <w:rsid w:val="00F3243C"/>
    <w:rsid w:val="00F32EE8"/>
    <w:rsid w:val="00F61BF7"/>
    <w:rsid w:val="00F6308D"/>
    <w:rsid w:val="00F719F6"/>
    <w:rsid w:val="00F762A6"/>
    <w:rsid w:val="00FA431B"/>
    <w:rsid w:val="00FA4704"/>
    <w:rsid w:val="00FB0ABC"/>
    <w:rsid w:val="00FC1A01"/>
    <w:rsid w:val="00FC45AC"/>
    <w:rsid w:val="00FF17D4"/>
    <w:rsid w:val="00FF303C"/>
    <w:rsid w:val="3002B10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colormru v:ext="edit" colors="#7b6c58,#887e6e,#d2232a,#57433e,#b0a696"/>
    </o:shapedefaults>
    <o:shapelayout v:ext="edit">
      <o:idmap v:ext="edit" data="1"/>
    </o:shapelayout>
  </w:shapeDefaults>
  <w:decimalSymbol w:val=","/>
  <w:listSeparator w:val=";"/>
  <w14:docId w14:val="237B340C"/>
  <w15:docId w15:val="{71B9A76B-47BD-4724-9FDF-85D6422F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autoRedefine/>
    <w:qFormat/>
    <w:rsid w:val="006E3C83"/>
    <w:pPr>
      <w:keepNext/>
      <w:pageBreakBefore/>
      <w:spacing w:before="400" w:after="240"/>
      <w:jc w:val="both"/>
      <w:outlineLvl w:val="0"/>
    </w:pPr>
    <w:rPr>
      <w:rFonts w:cs="Arial"/>
      <w:b/>
      <w:bCs/>
      <w:caps/>
      <w:color w:val="D2232A"/>
      <w:kern w:val="32"/>
      <w:szCs w:val="32"/>
      <w:lang w:val="en-GB"/>
    </w:rPr>
  </w:style>
  <w:style w:type="paragraph" w:styleId="berschrift2">
    <w:name w:val="heading 2"/>
    <w:aliases w:val="ECC Heading 2"/>
    <w:basedOn w:val="Standard"/>
    <w:next w:val="ECCParagraph"/>
    <w:autoRedefine/>
    <w:qFormat/>
    <w:rsid w:val="00FE1795"/>
    <w:pPr>
      <w:keepNext/>
      <w:numPr>
        <w:numId w:val="1"/>
      </w:numPr>
      <w:spacing w:before="480" w:after="240"/>
      <w:outlineLvl w:val="1"/>
    </w:pPr>
    <w:rPr>
      <w:rFonts w:cs="Arial"/>
      <w:b/>
      <w:bCs/>
      <w:iCs/>
      <w:caps/>
      <w:color w:val="D2232A"/>
      <w:szCs w:val="28"/>
    </w:rPr>
  </w:style>
  <w:style w:type="paragraph" w:styleId="berschrift3">
    <w:name w:val="heading 3"/>
    <w:aliases w:val="ECC Heading 3"/>
    <w:basedOn w:val="Standard"/>
    <w:next w:val="ECCParagraph"/>
    <w:autoRedefine/>
    <w:qFormat/>
    <w:rsid w:val="00FE1795"/>
    <w:pPr>
      <w:keepNext/>
      <w:numPr>
        <w:ilvl w:val="1"/>
        <w:numId w:val="1"/>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C95C7C"/>
    <w:pPr>
      <w:numPr>
        <w:ilvl w:val="3"/>
        <w:numId w:val="1"/>
      </w:numPr>
      <w:spacing w:before="360" w:after="120"/>
      <w:outlineLvl w:val="3"/>
    </w:pPr>
    <w:rPr>
      <w:rFonts w:cs="Arial"/>
      <w:bCs/>
      <w:i/>
      <w:color w:val="D2232A"/>
      <w:szCs w:val="26"/>
    </w:rPr>
  </w:style>
  <w:style w:type="paragraph" w:styleId="berschrift5">
    <w:name w:val="heading 5"/>
    <w:basedOn w:val="Standard"/>
    <w:next w:val="Standard"/>
    <w:qFormat/>
    <w:rsid w:val="004F32DC"/>
    <w:pPr>
      <w:numPr>
        <w:ilvl w:val="4"/>
        <w:numId w:val="1"/>
      </w:numPr>
      <w:spacing w:before="240" w:after="60"/>
      <w:outlineLvl w:val="4"/>
    </w:pPr>
    <w:rPr>
      <w:b/>
      <w:bCs/>
      <w:i/>
      <w:iCs/>
      <w:sz w:val="26"/>
      <w:szCs w:val="26"/>
    </w:rPr>
  </w:style>
  <w:style w:type="paragraph" w:styleId="berschrift6">
    <w:name w:val="heading 6"/>
    <w:basedOn w:val="Standard"/>
    <w:next w:val="Standard"/>
    <w:qFormat/>
    <w:rsid w:val="004F32DC"/>
    <w:pPr>
      <w:numPr>
        <w:ilvl w:val="5"/>
        <w:numId w:val="1"/>
      </w:numPr>
      <w:spacing w:before="240" w:after="60"/>
      <w:outlineLvl w:val="5"/>
    </w:pPr>
    <w:rPr>
      <w:b/>
      <w:bCs/>
      <w:sz w:val="22"/>
      <w:szCs w:val="22"/>
    </w:rPr>
  </w:style>
  <w:style w:type="paragraph" w:styleId="berschrift7">
    <w:name w:val="heading 7"/>
    <w:basedOn w:val="Standard"/>
    <w:next w:val="Standard"/>
    <w:qFormat/>
    <w:rsid w:val="004F32DC"/>
    <w:pPr>
      <w:numPr>
        <w:ilvl w:val="6"/>
        <w:numId w:val="1"/>
      </w:numPr>
      <w:spacing w:before="240" w:after="60"/>
      <w:outlineLvl w:val="6"/>
    </w:pPr>
    <w:rPr>
      <w:sz w:val="24"/>
    </w:rPr>
  </w:style>
  <w:style w:type="paragraph" w:styleId="berschrift8">
    <w:name w:val="heading 8"/>
    <w:basedOn w:val="Standard"/>
    <w:next w:val="Standard"/>
    <w:qFormat/>
    <w:rsid w:val="004F32DC"/>
    <w:pPr>
      <w:numPr>
        <w:ilvl w:val="7"/>
        <w:numId w:val="1"/>
      </w:numPr>
      <w:spacing w:before="240" w:after="60"/>
      <w:outlineLvl w:val="7"/>
    </w:pPr>
    <w:rPr>
      <w:i/>
      <w:iCs/>
      <w:sz w:val="24"/>
    </w:rPr>
  </w:style>
  <w:style w:type="paragraph" w:styleId="berschrift9">
    <w:name w:val="heading 9"/>
    <w:basedOn w:val="Standard"/>
    <w:next w:val="Standard"/>
    <w:qFormat/>
    <w:rsid w:val="004F32DC"/>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 heading1"/>
    <w:basedOn w:val="berschrift1"/>
    <w:next w:val="ECCParagraph"/>
    <w:rsid w:val="00031379"/>
    <w:pPr>
      <w:numPr>
        <w:numId w:val="4"/>
      </w:numPr>
    </w:pPr>
  </w:style>
  <w:style w:type="paragraph" w:styleId="Verzeichnis1">
    <w:name w:val="toc 1"/>
    <w:basedOn w:val="Standard"/>
    <w:next w:val="Standard"/>
    <w:autoRedefine/>
    <w:semiHidden/>
    <w:rsid w:val="00EA7A83"/>
    <w:pPr>
      <w:tabs>
        <w:tab w:val="left" w:pos="360"/>
        <w:tab w:val="right" w:leader="dot" w:pos="9629"/>
      </w:tabs>
      <w:spacing w:before="240"/>
    </w:pPr>
    <w:rPr>
      <w:b/>
      <w:caps/>
    </w:rPr>
  </w:style>
  <w:style w:type="character" w:styleId="Hyperlink">
    <w:name w:val="Hyperlink"/>
    <w:basedOn w:val="Absatz-Standardschriftart"/>
    <w:semiHidden/>
    <w:rsid w:val="00A82384"/>
    <w:rPr>
      <w:color w:val="0000FF"/>
      <w:u w:val="single"/>
    </w:rPr>
  </w:style>
  <w:style w:type="paragraph" w:styleId="Verzeichnis2">
    <w:name w:val="toc 2"/>
    <w:basedOn w:val="Standard"/>
    <w:next w:val="Standard"/>
    <w:autoRedefine/>
    <w:semiHidden/>
    <w:rsid w:val="00EA7A83"/>
    <w:pPr>
      <w:tabs>
        <w:tab w:val="left" w:pos="900"/>
        <w:tab w:val="right" w:leader="dot" w:pos="9629"/>
      </w:tabs>
      <w:ind w:left="360"/>
    </w:pPr>
  </w:style>
  <w:style w:type="paragraph" w:styleId="Verzeichnis3">
    <w:name w:val="toc 3"/>
    <w:basedOn w:val="Standard"/>
    <w:next w:val="Standard"/>
    <w:autoRedefine/>
    <w:semiHidden/>
    <w:rsid w:val="00CF7259"/>
    <w:pPr>
      <w:tabs>
        <w:tab w:val="left" w:pos="1440"/>
        <w:tab w:val="right" w:leader="dot" w:pos="9629"/>
      </w:tabs>
      <w:ind w:left="900"/>
    </w:pPr>
  </w:style>
  <w:style w:type="paragraph" w:styleId="Verzeichnis4">
    <w:name w:val="toc 4"/>
    <w:basedOn w:val="Standard"/>
    <w:next w:val="Standard"/>
    <w:autoRedefine/>
    <w:semiHidden/>
    <w:rsid w:val="007D1E37"/>
    <w:pPr>
      <w:tabs>
        <w:tab w:val="left" w:pos="2340"/>
        <w:tab w:val="right" w:leader="dot" w:pos="9629"/>
      </w:tabs>
      <w:ind w:left="1440"/>
    </w:pPr>
    <w:rPr>
      <w:i/>
    </w:rPr>
  </w:style>
  <w:style w:type="table" w:styleId="Tabellenraster">
    <w:name w:val="Table Grid"/>
    <w:basedOn w:val="NormaleTabelle"/>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link w:val="FunotentextZchn"/>
    <w:uiPriority w:val="99"/>
    <w:qFormat/>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0B64AA"/>
    <w:pPr>
      <w:spacing w:after="0"/>
      <w:ind w:left="567" w:hanging="567"/>
    </w:pPr>
    <w:rPr>
      <w:sz w:val="16"/>
      <w:szCs w:val="16"/>
    </w:rPr>
  </w:style>
  <w:style w:type="paragraph" w:customStyle="1" w:styleId="reference">
    <w:name w:val="reference"/>
    <w:basedOn w:val="Standard"/>
    <w:rsid w:val="00A50B64"/>
    <w:pPr>
      <w:numPr>
        <w:numId w:val="8"/>
      </w:numPr>
    </w:pPr>
    <w:rPr>
      <w:lang w:eastAsia="ja-JP"/>
    </w:rPr>
  </w:style>
  <w:style w:type="paragraph" w:customStyle="1" w:styleId="ECCAnnexheading2">
    <w:name w:val="ECC Annex heading2"/>
    <w:basedOn w:val="Standard"/>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Textkrper-Zeileneinzug">
    <w:name w:val="Body Text Indent"/>
    <w:basedOn w:val="Standard"/>
    <w:rsid w:val="00FE1795"/>
    <w:rPr>
      <w:rFonts w:ascii="Times New Roman" w:hAnsi="Times New Roman"/>
      <w:sz w:val="24"/>
      <w:lang w:val="de-DE" w:eastAsia="en-GB"/>
    </w:rPr>
  </w:style>
  <w:style w:type="paragraph" w:customStyle="1" w:styleId="Reporttitledescription">
    <w:name w:val="Report title/description"/>
    <w:basedOn w:val="Standard"/>
    <w:rsid w:val="00C95C7C"/>
    <w:pPr>
      <w:spacing w:before="600" w:line="288" w:lineRule="auto"/>
      <w:ind w:left="3402"/>
    </w:pPr>
    <w:rPr>
      <w:color w:val="57433E"/>
      <w:sz w:val="24"/>
    </w:rPr>
  </w:style>
  <w:style w:type="paragraph" w:customStyle="1" w:styleId="Lastupdated">
    <w:name w:val="Last updated"/>
    <w:basedOn w:val="Standard"/>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Standard"/>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Standard"/>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Standard"/>
    <w:rsid w:val="007C6571"/>
    <w:pPr>
      <w:numPr>
        <w:numId w:val="14"/>
      </w:numPr>
    </w:pPr>
  </w:style>
  <w:style w:type="paragraph" w:styleId="Sprechblasentext">
    <w:name w:val="Balloon Text"/>
    <w:basedOn w:val="Standard"/>
    <w:link w:val="SprechblasentextZchn"/>
    <w:uiPriority w:val="99"/>
    <w:semiHidden/>
    <w:unhideWhenUsed/>
    <w:rsid w:val="007C657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C6571"/>
    <w:rPr>
      <w:rFonts w:ascii="Lucida Grande" w:hAnsi="Lucida Grande" w:cs="Lucida Grande"/>
      <w:sz w:val="18"/>
      <w:szCs w:val="18"/>
      <w:lang w:val="en-US"/>
    </w:rPr>
  </w:style>
  <w:style w:type="paragraph" w:styleId="Textkrper">
    <w:name w:val="Body Text"/>
    <w:basedOn w:val="Standard"/>
    <w:link w:val="TextkrperZchn"/>
    <w:rsid w:val="00E65E22"/>
    <w:pPr>
      <w:autoSpaceDE w:val="0"/>
      <w:autoSpaceDN w:val="0"/>
      <w:spacing w:after="120"/>
    </w:pPr>
    <w:rPr>
      <w:rFonts w:ascii="Times New Roman" w:hAnsi="Times New Roman"/>
      <w:sz w:val="24"/>
      <w:lang w:val="en-GB" w:eastAsia="nl-NL"/>
    </w:rPr>
  </w:style>
  <w:style w:type="character" w:customStyle="1" w:styleId="TextkrperZchn">
    <w:name w:val="Textkörper Zchn"/>
    <w:basedOn w:val="Absatz-Standardschriftart"/>
    <w:link w:val="Textkrper"/>
    <w:rsid w:val="00E65E22"/>
    <w:rPr>
      <w:sz w:val="24"/>
      <w:szCs w:val="24"/>
      <w:lang w:eastAsia="nl-NL"/>
    </w:rPr>
  </w:style>
  <w:style w:type="paragraph" w:styleId="Listenabsatz">
    <w:name w:val="List Paragraph"/>
    <w:basedOn w:val="Standard"/>
    <w:uiPriority w:val="34"/>
    <w:qFormat/>
    <w:rsid w:val="00E65E22"/>
    <w:pPr>
      <w:ind w:left="720"/>
      <w:contextualSpacing/>
    </w:pPr>
  </w:style>
  <w:style w:type="paragraph" w:customStyle="1" w:styleId="ECCBulletsLv1">
    <w:name w:val="ECC Bullets Lv1"/>
    <w:basedOn w:val="Standard"/>
    <w:qFormat/>
    <w:rsid w:val="000100FE"/>
    <w:pPr>
      <w:numPr>
        <w:numId w:val="25"/>
      </w:numPr>
      <w:tabs>
        <w:tab w:val="left" w:pos="340"/>
      </w:tabs>
      <w:spacing w:before="60"/>
      <w:ind w:left="340" w:hanging="340"/>
      <w:jc w:val="both"/>
    </w:pPr>
    <w:rPr>
      <w:rFonts w:eastAsia="Calibri"/>
      <w:szCs w:val="22"/>
      <w:lang w:val="en-GB"/>
    </w:rPr>
  </w:style>
  <w:style w:type="paragraph" w:customStyle="1" w:styleId="ECCReference">
    <w:name w:val="ECC Reference"/>
    <w:basedOn w:val="Standard"/>
    <w:qFormat/>
    <w:rsid w:val="000100FE"/>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Standard"/>
    <w:qFormat/>
    <w:rsid w:val="000100FE"/>
    <w:pPr>
      <w:numPr>
        <w:numId w:val="27"/>
      </w:numPr>
      <w:shd w:val="solid" w:color="FFFF00" w:fill="auto"/>
      <w:spacing w:before="120" w:after="60"/>
      <w:jc w:val="both"/>
    </w:pPr>
    <w:rPr>
      <w:rFonts w:ascii="Arial" w:eastAsia="Calibri" w:hAnsi="Arial"/>
      <w:szCs w:val="22"/>
      <w:lang w:val="da-DK" w:eastAsia="de-DE"/>
    </w:rPr>
  </w:style>
  <w:style w:type="character" w:customStyle="1" w:styleId="ECCHLyellow">
    <w:name w:val="ECC HL yellow"/>
    <w:basedOn w:val="Absatz-Standardschriftart"/>
    <w:uiPriority w:val="1"/>
    <w:qFormat/>
    <w:rsid w:val="000100FE"/>
    <w:rPr>
      <w:rFonts w:ascii="Arial" w:eastAsia="Calibri" w:hAnsi="Arial"/>
      <w:i w:val="0"/>
      <w:sz w:val="20"/>
      <w:szCs w:val="22"/>
      <w:bdr w:val="none" w:sz="0" w:space="0" w:color="auto"/>
      <w:shd w:val="solid" w:color="FFFF00" w:fill="auto"/>
      <w:lang w:val="en-GB"/>
    </w:rPr>
  </w:style>
  <w:style w:type="character" w:styleId="Kommentarzeichen">
    <w:name w:val="annotation reference"/>
    <w:basedOn w:val="Absatz-Standardschriftart"/>
    <w:unhideWhenUsed/>
    <w:rsid w:val="000100FE"/>
    <w:rPr>
      <w:sz w:val="16"/>
      <w:szCs w:val="16"/>
    </w:rPr>
  </w:style>
  <w:style w:type="paragraph" w:styleId="Kommentartext">
    <w:name w:val="annotation text"/>
    <w:basedOn w:val="Standard"/>
    <w:link w:val="KommentartextZchn"/>
    <w:unhideWhenUsed/>
    <w:rsid w:val="000100FE"/>
    <w:pPr>
      <w:spacing w:before="240" w:after="60"/>
      <w:jc w:val="both"/>
    </w:pPr>
    <w:rPr>
      <w:rFonts w:eastAsia="Calibri"/>
      <w:szCs w:val="20"/>
      <w:lang w:val="en-GB"/>
    </w:rPr>
  </w:style>
  <w:style w:type="character" w:customStyle="1" w:styleId="KommentartextZchn">
    <w:name w:val="Kommentartext Zchn"/>
    <w:basedOn w:val="Absatz-Standardschriftart"/>
    <w:link w:val="Kommentartext"/>
    <w:rsid w:val="000100FE"/>
    <w:rPr>
      <w:rFonts w:ascii="Arial" w:eastAsia="Calibri" w:hAnsi="Arial"/>
    </w:rPr>
  </w:style>
  <w:style w:type="paragraph" w:styleId="Kommentarthema">
    <w:name w:val="annotation subject"/>
    <w:basedOn w:val="Kommentartext"/>
    <w:next w:val="Kommentartext"/>
    <w:link w:val="KommentarthemaZchn"/>
    <w:uiPriority w:val="99"/>
    <w:semiHidden/>
    <w:unhideWhenUsed/>
    <w:rsid w:val="000100FE"/>
    <w:pPr>
      <w:spacing w:before="0" w:after="0"/>
      <w:jc w:val="left"/>
    </w:pPr>
    <w:rPr>
      <w:rFonts w:eastAsia="Times New Roman"/>
      <w:b/>
      <w:bCs/>
      <w:lang w:val="en-US"/>
    </w:rPr>
  </w:style>
  <w:style w:type="character" w:customStyle="1" w:styleId="KommentarthemaZchn">
    <w:name w:val="Kommentarthema Zchn"/>
    <w:basedOn w:val="KommentartextZchn"/>
    <w:link w:val="Kommentarthema"/>
    <w:uiPriority w:val="99"/>
    <w:semiHidden/>
    <w:rsid w:val="000100FE"/>
    <w:rPr>
      <w:rFonts w:ascii="Arial" w:eastAsia="Calibri" w:hAnsi="Arial"/>
      <w:b/>
      <w:bCs/>
      <w:lang w:val="en-US"/>
    </w:rPr>
  </w:style>
  <w:style w:type="character" w:styleId="Platzhaltertext">
    <w:name w:val="Placeholder Text"/>
    <w:basedOn w:val="Absatz-Standardschriftart"/>
    <w:uiPriority w:val="99"/>
    <w:semiHidden/>
    <w:rsid w:val="005F17F6"/>
    <w:rPr>
      <w:color w:val="808080"/>
    </w:rPr>
  </w:style>
  <w:style w:type="paragraph" w:customStyle="1" w:styleId="ECCHLboldanditalics">
    <w:name w:val="ECC HL bold and italics"/>
    <w:basedOn w:val="Standard"/>
    <w:qFormat/>
    <w:rsid w:val="008F5944"/>
    <w:pPr>
      <w:spacing w:before="240" w:after="60"/>
      <w:jc w:val="both"/>
    </w:pPr>
    <w:rPr>
      <w:rFonts w:eastAsia="Calibri"/>
      <w:b/>
      <w:bCs/>
      <w:i/>
      <w:szCs w:val="30"/>
      <w:lang w:val="en-GB"/>
    </w:rPr>
  </w:style>
  <w:style w:type="paragraph" w:customStyle="1" w:styleId="ECCAnnexheading1">
    <w:name w:val="ECC Annex heading1"/>
    <w:next w:val="Standard"/>
    <w:autoRedefine/>
    <w:qFormat/>
    <w:rsid w:val="006645E5"/>
    <w:pPr>
      <w:keepNext/>
      <w:pageBreakBefore/>
      <w:spacing w:before="240" w:after="60"/>
      <w:jc w:val="both"/>
      <w:outlineLvl w:val="0"/>
    </w:pPr>
    <w:rPr>
      <w:rFonts w:ascii="Arial" w:hAnsi="Arial"/>
      <w:b/>
      <w:caps/>
      <w:color w:val="D2232A"/>
      <w:lang w:val="da-DK"/>
    </w:rPr>
  </w:style>
  <w:style w:type="paragraph" w:styleId="Beschriftung">
    <w:name w:val="caption"/>
    <w:aliases w:val="ECC Figure Caption"/>
    <w:next w:val="Standard"/>
    <w:link w:val="BeschriftungZchn"/>
    <w:qFormat/>
    <w:rsid w:val="006645E5"/>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rsid w:val="006645E5"/>
    <w:pPr>
      <w:numPr>
        <w:numId w:val="0"/>
      </w:numPr>
      <w:tabs>
        <w:tab w:val="left" w:pos="680"/>
      </w:tabs>
      <w:ind w:left="680" w:hanging="340"/>
    </w:pPr>
  </w:style>
  <w:style w:type="paragraph" w:customStyle="1" w:styleId="ECCBulletsLv3">
    <w:name w:val="ECC Bullets Lv3"/>
    <w:basedOn w:val="ECCBulletsLv1"/>
    <w:rsid w:val="006645E5"/>
    <w:pPr>
      <w:numPr>
        <w:numId w:val="0"/>
      </w:numPr>
      <w:tabs>
        <w:tab w:val="left" w:pos="1021"/>
      </w:tabs>
      <w:ind w:left="1020" w:hanging="340"/>
    </w:pPr>
  </w:style>
  <w:style w:type="paragraph" w:customStyle="1" w:styleId="ECCLetteredList">
    <w:name w:val="ECC Lettered List"/>
    <w:qFormat/>
    <w:rsid w:val="006645E5"/>
    <w:pPr>
      <w:numPr>
        <w:numId w:val="28"/>
      </w:numPr>
      <w:spacing w:before="240"/>
      <w:jc w:val="both"/>
    </w:pPr>
    <w:rPr>
      <w:rFonts w:ascii="Arial" w:hAnsi="Arial"/>
    </w:rPr>
  </w:style>
  <w:style w:type="paragraph" w:customStyle="1" w:styleId="ECCFiguregraphcentred">
    <w:name w:val="ECC Figure/graph centred"/>
    <w:next w:val="Standard"/>
    <w:qFormat/>
    <w:rsid w:val="006645E5"/>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6645E5"/>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Standard"/>
    <w:qFormat/>
    <w:rsid w:val="006645E5"/>
    <w:pPr>
      <w:keepNext/>
      <w:spacing w:after="60"/>
    </w:pPr>
    <w:rPr>
      <w:rFonts w:eastAsia="Calibri"/>
      <w:szCs w:val="22"/>
      <w:lang w:val="en-GB"/>
    </w:rPr>
  </w:style>
  <w:style w:type="paragraph" w:customStyle="1" w:styleId="ECCHeadingnonumbering">
    <w:name w:val="ECC Heading no numbering"/>
    <w:next w:val="StandardWeb"/>
    <w:rsid w:val="006645E5"/>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NormaleTabelle"/>
    <w:uiPriority w:val="99"/>
    <w:qFormat/>
    <w:rsid w:val="006645E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BeschriftungZchn">
    <w:name w:val="Beschriftung Zchn"/>
    <w:aliases w:val="ECC Figure Caption Zchn"/>
    <w:link w:val="Beschriftung"/>
    <w:qFormat/>
    <w:rsid w:val="006645E5"/>
    <w:rPr>
      <w:rFonts w:ascii="Arial" w:hAnsi="Arial"/>
      <w:b/>
      <w:bCs/>
      <w:color w:val="D2232A"/>
      <w:lang w:val="da-DK"/>
    </w:rPr>
  </w:style>
  <w:style w:type="paragraph" w:styleId="StandardWeb">
    <w:name w:val="Normal (Web)"/>
    <w:basedOn w:val="Standard"/>
    <w:uiPriority w:val="99"/>
    <w:semiHidden/>
    <w:unhideWhenUsed/>
    <w:rsid w:val="006645E5"/>
    <w:pPr>
      <w:spacing w:before="240" w:after="60"/>
      <w:jc w:val="both"/>
    </w:pPr>
    <w:rPr>
      <w:rFonts w:ascii="Times New Roman" w:eastAsia="Calibri" w:hAnsi="Times New Roman"/>
      <w:sz w:val="24"/>
      <w:lang w:val="en-GB"/>
    </w:rPr>
  </w:style>
  <w:style w:type="paragraph" w:customStyle="1" w:styleId="ECCNumberedlist0">
    <w:name w:val="ECC Numbered list"/>
    <w:aliases w:val="level 2"/>
    <w:basedOn w:val="ECCAnnexheading3"/>
    <w:qFormat/>
    <w:rsid w:val="006645E5"/>
    <w:pPr>
      <w:keepNext/>
      <w:numPr>
        <w:ilvl w:val="0"/>
        <w:numId w:val="0"/>
      </w:numPr>
      <w:tabs>
        <w:tab w:val="num" w:pos="720"/>
      </w:tabs>
      <w:spacing w:after="60"/>
      <w:ind w:left="720" w:hanging="720"/>
      <w:jc w:val="both"/>
      <w:outlineLvl w:val="2"/>
    </w:pPr>
    <w:rPr>
      <w:szCs w:val="20"/>
      <w:lang w:val="en-GB"/>
    </w:rPr>
  </w:style>
  <w:style w:type="paragraph" w:customStyle="1" w:styleId="ECCNumberedListlevel2">
    <w:name w:val="ECC Numbered List level 2"/>
    <w:qFormat/>
    <w:rsid w:val="006645E5"/>
    <w:pPr>
      <w:tabs>
        <w:tab w:val="num" w:pos="680"/>
      </w:tabs>
      <w:spacing w:before="240"/>
      <w:ind w:left="680" w:hanging="340"/>
      <w:jc w:val="both"/>
    </w:pPr>
    <w:rPr>
      <w:rFonts w:eastAsia="Calibri"/>
    </w:rPr>
  </w:style>
  <w:style w:type="paragraph" w:customStyle="1" w:styleId="ECCLetteredListLevel2">
    <w:name w:val="ECC Lettered List Level 2"/>
    <w:basedOn w:val="ECCLetteredList"/>
    <w:qFormat/>
    <w:rsid w:val="006645E5"/>
    <w:pPr>
      <w:numPr>
        <w:ilvl w:val="1"/>
      </w:numPr>
    </w:pPr>
  </w:style>
  <w:style w:type="character" w:styleId="NichtaufgelsteErwhnung">
    <w:name w:val="Unresolved Mention"/>
    <w:basedOn w:val="Absatz-Standardschriftart"/>
    <w:uiPriority w:val="99"/>
    <w:semiHidden/>
    <w:unhideWhenUsed/>
    <w:rsid w:val="008C570F"/>
    <w:rPr>
      <w:color w:val="605E5C"/>
      <w:shd w:val="clear" w:color="auto" w:fill="E1DFDD"/>
    </w:rPr>
  </w:style>
  <w:style w:type="character" w:customStyle="1" w:styleId="FunotentextZchn">
    <w:name w:val="Fußnotentext Zchn"/>
    <w:basedOn w:val="Absatz-Standardschriftart"/>
    <w:link w:val="Funotentext"/>
    <w:uiPriority w:val="99"/>
    <w:qFormat/>
    <w:locked/>
    <w:rsid w:val="002F47F2"/>
    <w:rPr>
      <w:rFonts w:ascii="Arial" w:hAnsi="Arial"/>
      <w:lang w:val="en-US"/>
    </w:rPr>
  </w:style>
  <w:style w:type="paragraph" w:styleId="berarbeitung">
    <w:name w:val="Revision"/>
    <w:hidden/>
    <w:uiPriority w:val="99"/>
    <w:semiHidden/>
    <w:rsid w:val="00C15358"/>
    <w:rPr>
      <w:rFonts w:ascii="Arial" w:hAnsi="Arial"/>
      <w:szCs w:val="24"/>
      <w:lang w:val="en-US"/>
    </w:rPr>
  </w:style>
  <w:style w:type="paragraph" w:customStyle="1" w:styleId="Brief">
    <w:name w:val="Brief"/>
    <w:rsid w:val="00DA4690"/>
    <w:pPr>
      <w:widowControl w:val="0"/>
      <w:tabs>
        <w:tab w:val="left" w:pos="720"/>
        <w:tab w:val="left" w:pos="1440"/>
        <w:tab w:val="left" w:pos="2160"/>
        <w:tab w:val="left" w:pos="2880"/>
      </w:tabs>
      <w:spacing w:before="120"/>
      <w:jc w:val="both"/>
    </w:pPr>
    <w:rPr>
      <w:rFonts w:ascii="Times" w:hAnsi="Time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88AB-7FDE-40B3-B815-7B72BFD4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1930</Words>
  <Characters>12166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ECC#67</dc:creator>
  <cp:keywords/>
  <dc:description/>
  <cp:lastModifiedBy>ECC#67</cp:lastModifiedBy>
  <cp:revision>2</cp:revision>
  <dcterms:created xsi:type="dcterms:W3CDTF">2025-06-26T14:47:00Z</dcterms:created>
  <dcterms:modified xsi:type="dcterms:W3CDTF">2025-06-26T14:47:00Z</dcterms:modified>
</cp:coreProperties>
</file>