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F24" w:rsidRDefault="000D2E4D" w:rsidP="0007526D">
      <w:pPr>
        <w:rPr>
          <w:rStyle w:val="ECCParagraph"/>
        </w:rPr>
      </w:pPr>
      <w:r>
        <w:rPr>
          <w:rStyle w:val="ECCParagraph"/>
        </w:rPr>
        <w:tab/>
      </w:r>
      <w:r>
        <w:rPr>
          <w:rStyle w:val="ECCParagraph"/>
        </w:rPr>
        <w:tab/>
      </w:r>
      <w:r>
        <w:rPr>
          <w:rStyle w:val="ECCParagraph"/>
        </w:rPr>
        <w:tab/>
      </w:r>
      <w:r>
        <w:rPr>
          <w:rStyle w:val="ECCParagraph"/>
        </w:rPr>
        <w:tab/>
      </w:r>
      <w:r>
        <w:rPr>
          <w:rStyle w:val="ECCParagraph"/>
        </w:rPr>
        <w:tab/>
        <w:t>2016-04-28</w:t>
      </w:r>
      <w:r>
        <w:rPr>
          <w:rStyle w:val="ECCParagraph"/>
        </w:rPr>
        <w:tab/>
      </w:r>
      <w:r>
        <w:rPr>
          <w:rStyle w:val="ECCParagraph"/>
        </w:rPr>
        <w:tab/>
      </w:r>
      <w:proofErr w:type="gramStart"/>
      <w:r>
        <w:rPr>
          <w:rStyle w:val="ECCParagraph"/>
        </w:rPr>
        <w:t>WTFG(</w:t>
      </w:r>
      <w:proofErr w:type="gramEnd"/>
      <w:r>
        <w:rPr>
          <w:rStyle w:val="ECCParagraph"/>
        </w:rPr>
        <w:t>16)25_annex4</w:t>
      </w:r>
    </w:p>
    <w:p w:rsidR="00B93AF6" w:rsidRDefault="00B93AF6" w:rsidP="0007526D">
      <w:pPr>
        <w:rPr>
          <w:rStyle w:val="ECCParagraph"/>
        </w:rPr>
      </w:pPr>
    </w:p>
    <w:p w:rsidR="00B93AF6" w:rsidRDefault="00B93AF6" w:rsidP="0007526D">
      <w:pPr>
        <w:rPr>
          <w:rStyle w:val="ECCParagraph"/>
        </w:rPr>
      </w:pPr>
      <w:bookmarkStart w:id="0" w:name="_GoBack"/>
      <w:bookmarkEnd w:id="0"/>
    </w:p>
    <w:p w:rsidR="00B93AF6" w:rsidRDefault="00B93AF6" w:rsidP="0007526D">
      <w:pPr>
        <w:rPr>
          <w:rStyle w:val="ECCParagraph"/>
        </w:rPr>
      </w:pPr>
    </w:p>
    <w:p w:rsidR="00B93AF6" w:rsidRDefault="00B93AF6" w:rsidP="0007526D">
      <w:pPr>
        <w:rPr>
          <w:rStyle w:val="ECCParagraph"/>
        </w:rPr>
      </w:pPr>
    </w:p>
    <w:p w:rsidR="00B93AF6" w:rsidRDefault="00B93AF6" w:rsidP="0007526D">
      <w:pPr>
        <w:rPr>
          <w:rStyle w:val="ECCParagraph"/>
        </w:rPr>
      </w:pPr>
    </w:p>
    <w:p w:rsidR="00B93AF6" w:rsidRDefault="00B93AF6" w:rsidP="0007526D">
      <w:pPr>
        <w:rPr>
          <w:rStyle w:val="ECCParagraph"/>
        </w:rPr>
      </w:pPr>
    </w:p>
    <w:p w:rsidR="00B93AF6" w:rsidRDefault="00B93AF6" w:rsidP="0007526D">
      <w:pPr>
        <w:rPr>
          <w:rStyle w:val="ECCParagraph"/>
        </w:rPr>
      </w:pPr>
    </w:p>
    <w:p w:rsidR="00B93AF6" w:rsidRDefault="00B93AF6" w:rsidP="0007526D">
      <w:pPr>
        <w:rPr>
          <w:rStyle w:val="ECCParagraph"/>
        </w:rPr>
      </w:pPr>
    </w:p>
    <w:p w:rsidR="00B93AF6" w:rsidRDefault="00B93AF6" w:rsidP="0007526D">
      <w:pPr>
        <w:rPr>
          <w:rStyle w:val="ECCParagraph"/>
        </w:rPr>
      </w:pPr>
    </w:p>
    <w:p w:rsidR="00B93AF6" w:rsidRDefault="00B93AF6" w:rsidP="0007526D">
      <w:pPr>
        <w:rPr>
          <w:rStyle w:val="ECCParagraph"/>
        </w:rPr>
      </w:pPr>
    </w:p>
    <w:p w:rsidR="00B93AF6" w:rsidRDefault="00B93AF6" w:rsidP="0007526D">
      <w:pPr>
        <w:rPr>
          <w:rStyle w:val="ECCParagraph"/>
        </w:rPr>
      </w:pPr>
    </w:p>
    <w:p w:rsidR="00B93AF6" w:rsidRDefault="00B93AF6" w:rsidP="004D370F">
      <w:pPr>
        <w:pStyle w:val="coverpageReporttitledescription"/>
        <w:rPr>
          <w:rStyle w:val="ECCParagraph"/>
        </w:rPr>
      </w:pPr>
      <w:r>
        <w:rPr>
          <w:rStyle w:val="ECCParagraph"/>
        </w:rPr>
        <w:t xml:space="preserve">Appendix 2: Contributions provided by University of the Basque </w:t>
      </w:r>
      <w:proofErr w:type="gramStart"/>
      <w:r>
        <w:rPr>
          <w:rStyle w:val="ECCParagraph"/>
        </w:rPr>
        <w:t>country</w:t>
      </w:r>
      <w:proofErr w:type="gramEnd"/>
    </w:p>
    <w:p w:rsidR="00B93AF6" w:rsidRPr="00BC03FD" w:rsidRDefault="00B93AF6" w:rsidP="0007526D">
      <w:pPr>
        <w:rPr>
          <w:rStyle w:val="ECCParagraph"/>
        </w:rPr>
      </w:pPr>
    </w:p>
    <w:p w:rsidR="007D06F4" w:rsidRPr="00BC03FD" w:rsidRDefault="007D06F4" w:rsidP="00264464">
      <w:pPr>
        <w:rPr>
          <w:rStyle w:val="ECCParagraph"/>
        </w:rPr>
      </w:pPr>
    </w:p>
    <w:p w:rsidR="00F77680" w:rsidRPr="00BC03FD" w:rsidRDefault="00F77680" w:rsidP="00264464">
      <w:pPr>
        <w:rPr>
          <w:rStyle w:val="ECCParagraph"/>
        </w:rPr>
      </w:pPr>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sv-SE" w:eastAsia="sv-SE"/>
        </w:rPr>
        <mc:AlternateContent>
          <mc:Choice Requires="wps">
            <w:drawing>
              <wp:anchor distT="0" distB="0" distL="114300" distR="114300" simplePos="0" relativeHeight="251658240" behindDoc="1" locked="1" layoutInCell="1" allowOverlap="1" wp14:anchorId="1FA1A9F9" wp14:editId="18028A5B">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F6" w:rsidRPr="005C5A96" w:rsidRDefault="00B93AF6" w:rsidP="005C5A96">
                            <w:pPr>
                              <w:pStyle w:val="coverpageTableofContent"/>
                            </w:pPr>
                          </w:p>
                          <w:p w:rsidR="00B93AF6" w:rsidRDefault="00B93AF6" w:rsidP="00E2303A">
                            <w:pPr>
                              <w:pStyle w:val="coverpageTableofContent"/>
                            </w:pPr>
                          </w:p>
                          <w:p w:rsidR="00B93AF6" w:rsidRPr="003226D8" w:rsidRDefault="00B93AF6"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" fillcolor="#b0a696" stroked="f">
                <v:textbox>
                  <w:txbxContent>
                    <w:p w:rsidR="00B93AF6" w:rsidRPr="005C5A96" w:rsidRDefault="00B93AF6" w:rsidP="005C5A96">
                      <w:pPr>
                        <w:pStyle w:val="coverpageTableofContent"/>
                      </w:pPr>
                    </w:p>
                    <w:p w:rsidR="00B93AF6" w:rsidRDefault="00B93AF6" w:rsidP="00E2303A">
                      <w:pPr>
                        <w:pStyle w:val="coverpageTableofContent"/>
                      </w:pPr>
                    </w:p>
                    <w:p w:rsidR="00B93AF6" w:rsidRPr="003226D8" w:rsidRDefault="00B93AF6"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E46328" w:rsidRDefault="00A90997">
          <w:pPr>
            <w:pStyle w:val="Innehll1"/>
            <w:rPr>
              <w:rFonts w:asciiTheme="minorHAnsi" w:eastAsiaTheme="minorEastAsia" w:hAnsiTheme="minorHAnsi" w:cstheme="minorBidi"/>
              <w:b w:val="0"/>
              <w:noProof/>
              <w:sz w:val="22"/>
              <w:szCs w:val="22"/>
              <w:lang w:val="fr-FR" w:eastAsia="fr-FR"/>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448942633" w:history="1">
            <w:r w:rsidR="00E46328" w:rsidRPr="00264570">
              <w:rPr>
                <w:rStyle w:val="Hyperlnk"/>
                <w:noProof/>
              </w:rPr>
              <w:t>0</w:t>
            </w:r>
            <w:r w:rsidR="00E46328">
              <w:rPr>
                <w:rFonts w:asciiTheme="minorHAnsi" w:eastAsiaTheme="minorEastAsia" w:hAnsiTheme="minorHAnsi" w:cstheme="minorBidi"/>
                <w:b w:val="0"/>
                <w:noProof/>
                <w:sz w:val="22"/>
                <w:szCs w:val="22"/>
                <w:lang w:val="fr-FR" w:eastAsia="fr-FR"/>
              </w:rPr>
              <w:tab/>
            </w:r>
            <w:r w:rsidR="00E46328" w:rsidRPr="00264570">
              <w:rPr>
                <w:rStyle w:val="Hyperlnk"/>
                <w:noProof/>
              </w:rPr>
              <w:t>Introduction</w:t>
            </w:r>
            <w:r w:rsidR="00E46328">
              <w:rPr>
                <w:noProof/>
                <w:webHidden/>
              </w:rPr>
              <w:tab/>
            </w:r>
            <w:r w:rsidR="00E46328">
              <w:rPr>
                <w:noProof/>
                <w:webHidden/>
              </w:rPr>
              <w:fldChar w:fldCharType="begin"/>
            </w:r>
            <w:r w:rsidR="00E46328">
              <w:rPr>
                <w:noProof/>
                <w:webHidden/>
              </w:rPr>
              <w:instrText xml:space="preserve"> PAGEREF _Toc448942633 \h </w:instrText>
            </w:r>
            <w:r w:rsidR="00E46328">
              <w:rPr>
                <w:noProof/>
                <w:webHidden/>
              </w:rPr>
            </w:r>
            <w:r w:rsidR="00E46328">
              <w:rPr>
                <w:noProof/>
                <w:webHidden/>
              </w:rPr>
              <w:fldChar w:fldCharType="separate"/>
            </w:r>
            <w:r w:rsidR="00E46328">
              <w:rPr>
                <w:noProof/>
                <w:webHidden/>
              </w:rPr>
              <w:t>3</w:t>
            </w:r>
            <w:r w:rsidR="00E46328">
              <w:rPr>
                <w:noProof/>
                <w:webHidden/>
              </w:rPr>
              <w:fldChar w:fldCharType="end"/>
            </w:r>
          </w:hyperlink>
        </w:p>
        <w:p w:rsidR="00E46328" w:rsidRDefault="007E59BA">
          <w:pPr>
            <w:pStyle w:val="Innehll1"/>
            <w:rPr>
              <w:rFonts w:asciiTheme="minorHAnsi" w:eastAsiaTheme="minorEastAsia" w:hAnsiTheme="minorHAnsi" w:cstheme="minorBidi"/>
              <w:b w:val="0"/>
              <w:noProof/>
              <w:sz w:val="22"/>
              <w:szCs w:val="22"/>
              <w:lang w:val="fr-FR" w:eastAsia="fr-FR"/>
            </w:rPr>
          </w:pPr>
          <w:hyperlink w:anchor="_Toc448942634" w:history="1">
            <w:r w:rsidR="00E46328" w:rsidRPr="00264570">
              <w:rPr>
                <w:rStyle w:val="Hyperlnk"/>
                <w:noProof/>
              </w:rPr>
              <w:t>ANNEX 1: RESULTS FROM WI2 SOFTWARE TOOL USED BY SPAIN</w:t>
            </w:r>
            <w:r w:rsidR="00E46328">
              <w:rPr>
                <w:noProof/>
                <w:webHidden/>
              </w:rPr>
              <w:tab/>
            </w:r>
            <w:r w:rsidR="00E46328">
              <w:rPr>
                <w:noProof/>
                <w:webHidden/>
              </w:rPr>
              <w:fldChar w:fldCharType="begin"/>
            </w:r>
            <w:r w:rsidR="00E46328">
              <w:rPr>
                <w:noProof/>
                <w:webHidden/>
              </w:rPr>
              <w:instrText xml:space="preserve"> PAGEREF _Toc448942634 \h </w:instrText>
            </w:r>
            <w:r w:rsidR="00E46328">
              <w:rPr>
                <w:noProof/>
                <w:webHidden/>
              </w:rPr>
            </w:r>
            <w:r w:rsidR="00E46328">
              <w:rPr>
                <w:noProof/>
                <w:webHidden/>
              </w:rPr>
              <w:fldChar w:fldCharType="separate"/>
            </w:r>
            <w:r w:rsidR="00E46328">
              <w:rPr>
                <w:noProof/>
                <w:webHidden/>
              </w:rPr>
              <w:t>4</w:t>
            </w:r>
            <w:r w:rsidR="00E46328">
              <w:rPr>
                <w:noProof/>
                <w:webHidden/>
              </w:rPr>
              <w:fldChar w:fldCharType="end"/>
            </w:r>
          </w:hyperlink>
        </w:p>
        <w:p w:rsidR="00E46328" w:rsidRDefault="007E59BA">
          <w:pPr>
            <w:pStyle w:val="Innehll1"/>
            <w:rPr>
              <w:rFonts w:asciiTheme="minorHAnsi" w:eastAsiaTheme="minorEastAsia" w:hAnsiTheme="minorHAnsi" w:cstheme="minorBidi"/>
              <w:b w:val="0"/>
              <w:noProof/>
              <w:sz w:val="22"/>
              <w:szCs w:val="22"/>
              <w:lang w:val="fr-FR" w:eastAsia="fr-FR"/>
            </w:rPr>
          </w:pPr>
          <w:hyperlink w:anchor="_Toc448942635" w:history="1">
            <w:r w:rsidR="00E46328" w:rsidRPr="00264570">
              <w:rPr>
                <w:rStyle w:val="Hyperlnk"/>
                <w:noProof/>
              </w:rPr>
              <w:t>ANNEX 2: Method for delimiting a constraint mask due to avoiding near field effects of wind turbines on fixed radionlinks</w:t>
            </w:r>
            <w:r w:rsidR="00E46328">
              <w:rPr>
                <w:noProof/>
                <w:webHidden/>
              </w:rPr>
              <w:tab/>
            </w:r>
            <w:r w:rsidR="00E46328">
              <w:rPr>
                <w:noProof/>
                <w:webHidden/>
              </w:rPr>
              <w:fldChar w:fldCharType="begin"/>
            </w:r>
            <w:r w:rsidR="00E46328">
              <w:rPr>
                <w:noProof/>
                <w:webHidden/>
              </w:rPr>
              <w:instrText xml:space="preserve"> PAGEREF _Toc448942635 \h </w:instrText>
            </w:r>
            <w:r w:rsidR="00E46328">
              <w:rPr>
                <w:noProof/>
                <w:webHidden/>
              </w:rPr>
            </w:r>
            <w:r w:rsidR="00E46328">
              <w:rPr>
                <w:noProof/>
                <w:webHidden/>
              </w:rPr>
              <w:fldChar w:fldCharType="separate"/>
            </w:r>
            <w:r w:rsidR="00E46328">
              <w:rPr>
                <w:noProof/>
                <w:webHidden/>
              </w:rPr>
              <w:t>7</w:t>
            </w:r>
            <w:r w:rsidR="00E46328">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8A54FC" w:rsidRPr="00BC03FD" w:rsidRDefault="008A54FC" w:rsidP="00B93AF6"/>
    <w:p w:rsidR="008A54FC" w:rsidRPr="00BC03FD" w:rsidRDefault="008A54FC" w:rsidP="00AC2686">
      <w:pPr>
        <w:pStyle w:val="coverpageTableofContent"/>
        <w:rPr>
          <w:noProof w:val="0"/>
          <w:lang w:val="en-GB"/>
        </w:rPr>
      </w:pPr>
    </w:p>
    <w:p w:rsidR="00797D4C" w:rsidRPr="00BC03FD" w:rsidRDefault="00797D4C" w:rsidP="009465E0">
      <w:pPr>
        <w:pStyle w:val="Rubrik1"/>
        <w:rPr>
          <w:lang w:val="en-GB"/>
        </w:rPr>
      </w:pPr>
      <w:bookmarkStart w:id="1" w:name="_Toc380056497"/>
      <w:bookmarkStart w:id="2" w:name="_Toc380059748"/>
      <w:bookmarkStart w:id="3" w:name="_Toc380059785"/>
      <w:bookmarkStart w:id="4" w:name="_Toc396153636"/>
      <w:bookmarkStart w:id="5" w:name="_Toc396383863"/>
      <w:bookmarkStart w:id="6" w:name="_Toc396917296"/>
      <w:bookmarkStart w:id="7" w:name="_Toc396917345"/>
      <w:bookmarkStart w:id="8" w:name="_Toc396917407"/>
      <w:bookmarkStart w:id="9" w:name="_Toc396917460"/>
      <w:bookmarkStart w:id="10" w:name="_Toc396917627"/>
      <w:bookmarkStart w:id="11" w:name="_Toc396917642"/>
      <w:bookmarkStart w:id="12" w:name="_Toc396917747"/>
      <w:bookmarkStart w:id="13" w:name="_Toc448942633"/>
      <w:r w:rsidRPr="00CA5782">
        <w:rPr>
          <w:rStyle w:val="ECCParagraph"/>
        </w:rPr>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p>
    <w:p w:rsidR="004F73EA" w:rsidRPr="004F73EA" w:rsidRDefault="004F73EA" w:rsidP="004F73EA">
      <w:r w:rsidRPr="004F73EA">
        <w:t xml:space="preserve">Terrestrial microwave </w:t>
      </w:r>
      <w:proofErr w:type="spellStart"/>
      <w:r w:rsidRPr="004F73EA">
        <w:t>radiolinks</w:t>
      </w:r>
      <w:proofErr w:type="spellEnd"/>
      <w:r w:rsidRPr="004F73EA">
        <w:t xml:space="preserve"> are used for point-to-point communications within a large frequency range, typically from 1 GHz to around 58 GHz. The performance of a fixed </w:t>
      </w:r>
      <w:proofErr w:type="spellStart"/>
      <w:r w:rsidRPr="004F73EA">
        <w:t>radiolink</w:t>
      </w:r>
      <w:proofErr w:type="spellEnd"/>
      <w:r w:rsidRPr="004F73EA">
        <w:t xml:space="preserve"> might be degraded due to obstruction or scattering of great structures located close to radio path line-of-sight [1]</w:t>
      </w:r>
      <w:proofErr w:type="gramStart"/>
      <w:r w:rsidRPr="004F73EA">
        <w:t>,[</w:t>
      </w:r>
      <w:proofErr w:type="gramEnd"/>
      <w:r w:rsidRPr="004F73EA">
        <w:t>2]. Disturbance due to near-field effects of wind turbines located close to radio link antennas should be also considered in the analysis [3]</w:t>
      </w:r>
      <w:proofErr w:type="gramStart"/>
      <w:r w:rsidRPr="004F73EA">
        <w:t>,[</w:t>
      </w:r>
      <w:proofErr w:type="gramEnd"/>
      <w:r w:rsidRPr="004F73EA">
        <w:t>4].</w:t>
      </w:r>
    </w:p>
    <w:p w:rsidR="004F73EA" w:rsidRPr="004F73EA" w:rsidRDefault="004F73EA" w:rsidP="004F73EA">
      <w:r w:rsidRPr="004F73EA">
        <w:t>•</w:t>
      </w:r>
      <w:r w:rsidRPr="004F73EA">
        <w:tab/>
        <w:t xml:space="preserve">Obstruction of the path: due to the extensive volume occupied by the tower and the blades of a wind turbine, they can obstruct the path corresponding to a point-to-point </w:t>
      </w:r>
      <w:proofErr w:type="spellStart"/>
      <w:r w:rsidRPr="004F73EA">
        <w:t>radiolink</w:t>
      </w:r>
      <w:proofErr w:type="spellEnd"/>
      <w:r w:rsidRPr="004F73EA">
        <w:t xml:space="preserve">, in such a way that the data transmission might be cut-off, avoiding the correct reception of the signal. </w:t>
      </w:r>
    </w:p>
    <w:p w:rsidR="004F73EA" w:rsidRPr="004F73EA" w:rsidRDefault="004F73EA" w:rsidP="004F73EA">
      <w:r w:rsidRPr="004F73EA">
        <w:t>•</w:t>
      </w:r>
      <w:r w:rsidRPr="004F73EA">
        <w:tab/>
        <w:t xml:space="preserve">Interference due to signal scattering on the surface of the wind turbines: transmitted signals that are received in the other end of the </w:t>
      </w:r>
      <w:proofErr w:type="spellStart"/>
      <w:r w:rsidRPr="004F73EA">
        <w:t>radiolink</w:t>
      </w:r>
      <w:proofErr w:type="spellEnd"/>
      <w:r w:rsidRPr="004F73EA">
        <w:t xml:space="preserve"> after being scattered on the surface of the wind turbines may be a significant interference on the direct transmission between both ends of the </w:t>
      </w:r>
      <w:proofErr w:type="spellStart"/>
      <w:r w:rsidRPr="004F73EA">
        <w:t>radiolink</w:t>
      </w:r>
      <w:proofErr w:type="spellEnd"/>
      <w:r w:rsidRPr="004F73EA">
        <w:t xml:space="preserve">. </w:t>
      </w:r>
    </w:p>
    <w:p w:rsidR="004F73EA" w:rsidRPr="004F73EA" w:rsidRDefault="004F73EA" w:rsidP="004F73EA">
      <w:r w:rsidRPr="004F73EA">
        <w:t>•</w:t>
      </w:r>
      <w:r w:rsidRPr="004F73EA">
        <w:tab/>
        <w:t xml:space="preserve">Near-field effects, Antennas are designed to operate in far-field region, where radiated fields are dominant and allow communications for long distances. Near-field region involves reactive near-field region (region immediately surrounding the antenna where non-radiating components predominate) and radiating near-field region (region where the radiating </w:t>
      </w:r>
      <w:proofErr w:type="spellStart"/>
      <w:r w:rsidRPr="004F73EA">
        <w:t>componentes</w:t>
      </w:r>
      <w:proofErr w:type="spellEnd"/>
      <w:r w:rsidRPr="004F73EA">
        <w:t xml:space="preserve"> become predominant, but antenna gain and angular distribution of the radiated field vary with distance from the antenna) [5</w:t>
      </w:r>
      <w:proofErr w:type="gramStart"/>
      <w:r w:rsidRPr="004F73EA">
        <w:t>][</w:t>
      </w:r>
      <w:proofErr w:type="gramEnd"/>
      <w:r w:rsidRPr="004F73EA">
        <w:t>6]. Near-field effects are caused by great objects within near-field region, which can result in coupling with the antenna and distorting the ultimate far-field antenna pattern [7]</w:t>
      </w:r>
      <w:proofErr w:type="gramStart"/>
      <w:r w:rsidRPr="004F73EA">
        <w:t>,[</w:t>
      </w:r>
      <w:proofErr w:type="gramEnd"/>
      <w:r w:rsidRPr="004F73EA">
        <w:t>8]. Near-field effects are difficult to predict and characterize, and for this reason, the usual procedure to avoid these effects consists of delimiting a clearance area or safeguarding area around the antenna, where great objects, particularly if they are metallic objects, should be avoided.</w:t>
      </w:r>
    </w:p>
    <w:p w:rsidR="004F73EA" w:rsidRPr="004F73EA" w:rsidRDefault="004F73EA" w:rsidP="004F73EA"/>
    <w:p w:rsidR="004F73EA" w:rsidRPr="004F73EA" w:rsidRDefault="004F73EA" w:rsidP="004F73EA">
      <w:r w:rsidRPr="004F73EA">
        <w:t xml:space="preserve">References: </w:t>
      </w:r>
    </w:p>
    <w:p w:rsidR="004F73EA" w:rsidRPr="004F73EA" w:rsidRDefault="004F73EA" w:rsidP="004F73EA">
      <w:r w:rsidRPr="004F73EA">
        <w:t>[1]</w:t>
      </w:r>
      <w:r w:rsidRPr="004F73EA">
        <w:tab/>
      </w:r>
      <w:proofErr w:type="spellStart"/>
      <w:r w:rsidRPr="004F73EA">
        <w:t>Angueira</w:t>
      </w:r>
      <w:proofErr w:type="spellEnd"/>
      <w:r w:rsidRPr="004F73EA">
        <w:t xml:space="preserve"> P, </w:t>
      </w:r>
      <w:proofErr w:type="spellStart"/>
      <w:r w:rsidRPr="004F73EA">
        <w:t>Romo</w:t>
      </w:r>
      <w:proofErr w:type="spellEnd"/>
      <w:r w:rsidRPr="004F73EA">
        <w:t xml:space="preserve"> J. Microwave Line of Sight Link Engineering. </w:t>
      </w:r>
      <w:proofErr w:type="gramStart"/>
      <w:r w:rsidRPr="004F73EA">
        <w:t>Wiley, 2012.</w:t>
      </w:r>
      <w:proofErr w:type="gramEnd"/>
    </w:p>
    <w:p w:rsidR="004F73EA" w:rsidRPr="004F73EA" w:rsidRDefault="004F73EA" w:rsidP="004F73EA">
      <w:r w:rsidRPr="004F73EA">
        <w:t>[2]</w:t>
      </w:r>
      <w:r w:rsidRPr="004F73EA">
        <w:tab/>
        <w:t xml:space="preserve">Angulo I, de la Vega D, </w:t>
      </w:r>
      <w:proofErr w:type="spellStart"/>
      <w:r w:rsidRPr="004F73EA">
        <w:t>Cascón</w:t>
      </w:r>
      <w:proofErr w:type="spellEnd"/>
      <w:r w:rsidRPr="004F73EA">
        <w:t xml:space="preserve"> I, </w:t>
      </w:r>
      <w:proofErr w:type="spellStart"/>
      <w:r w:rsidRPr="004F73EA">
        <w:t>Cañizo</w:t>
      </w:r>
      <w:proofErr w:type="spellEnd"/>
      <w:r w:rsidRPr="004F73EA">
        <w:t xml:space="preserve"> J, Wu Y, Guerra D, </w:t>
      </w:r>
      <w:proofErr w:type="spellStart"/>
      <w:r w:rsidRPr="004F73EA">
        <w:t>Angueira</w:t>
      </w:r>
      <w:proofErr w:type="spellEnd"/>
      <w:r w:rsidRPr="004F73EA">
        <w:t xml:space="preserve"> P. Impact analysis of wind farms on telecommunication services. </w:t>
      </w:r>
      <w:proofErr w:type="gramStart"/>
      <w:r w:rsidRPr="004F73EA">
        <w:t>Renewable and Sustainable Energy Reviews.</w:t>
      </w:r>
      <w:proofErr w:type="gramEnd"/>
      <w:r w:rsidRPr="004F73EA">
        <w:t xml:space="preserve"> </w:t>
      </w:r>
      <w:proofErr w:type="gramStart"/>
      <w:r w:rsidRPr="004F73EA">
        <w:t>2014; 32: 84-99.</w:t>
      </w:r>
      <w:proofErr w:type="gramEnd"/>
      <w:r w:rsidRPr="004F73EA">
        <w:t xml:space="preserve"> </w:t>
      </w:r>
      <w:proofErr w:type="spellStart"/>
      <w:proofErr w:type="gramStart"/>
      <w:r w:rsidRPr="004F73EA">
        <w:t>doi</w:t>
      </w:r>
      <w:proofErr w:type="spellEnd"/>
      <w:proofErr w:type="gramEnd"/>
      <w:r w:rsidRPr="004F73EA">
        <w:t>: 10.1016/j.rser.2013.12.055.</w:t>
      </w:r>
    </w:p>
    <w:p w:rsidR="004F73EA" w:rsidRPr="004F73EA" w:rsidRDefault="004F73EA" w:rsidP="004F73EA">
      <w:r w:rsidRPr="004F73EA">
        <w:t>[3]</w:t>
      </w:r>
      <w:r w:rsidRPr="004F73EA">
        <w:tab/>
        <w:t xml:space="preserve">Bacon DF. </w:t>
      </w:r>
      <w:proofErr w:type="gramStart"/>
      <w:r w:rsidRPr="004F73EA">
        <w:t>Fixed-link wind-turbine exclusion zone method.</w:t>
      </w:r>
      <w:proofErr w:type="gramEnd"/>
      <w:r w:rsidRPr="004F73EA">
        <w:t xml:space="preserve"> </w:t>
      </w:r>
      <w:proofErr w:type="gramStart"/>
      <w:r w:rsidRPr="004F73EA">
        <w:t>OFCOM report, 2002.</w:t>
      </w:r>
      <w:proofErr w:type="gramEnd"/>
    </w:p>
    <w:p w:rsidR="004F73EA" w:rsidRPr="004F73EA" w:rsidRDefault="004F73EA" w:rsidP="004F73EA">
      <w:r w:rsidRPr="004F73EA">
        <w:t>[4]</w:t>
      </w:r>
      <w:r w:rsidRPr="004F73EA">
        <w:tab/>
        <w:t>Joint Radio Company. Calculation of wind turbine clearance zones for JRC UHF (460MHz) telemetry Systems when turbine sizes and locations are accurately known, Version 3.1. 2009.</w:t>
      </w:r>
    </w:p>
    <w:p w:rsidR="004F73EA" w:rsidRPr="004F73EA" w:rsidRDefault="004F73EA" w:rsidP="004F73EA">
      <w:r w:rsidRPr="004F73EA">
        <w:t>[5]</w:t>
      </w:r>
      <w:r w:rsidRPr="004F73EA">
        <w:tab/>
        <w:t xml:space="preserve">International Telecommunication Union. Rec. ITU-R BS.1698. </w:t>
      </w:r>
      <w:proofErr w:type="gramStart"/>
      <w:r w:rsidRPr="004F73EA">
        <w:t xml:space="preserve">Evaluating fields from terrestrial broadcasting transmitting systems operating in any frequency band for assessing exposure to </w:t>
      </w:r>
      <w:proofErr w:type="spellStart"/>
      <w:r w:rsidRPr="004F73EA">
        <w:t>non ionizing</w:t>
      </w:r>
      <w:proofErr w:type="spellEnd"/>
      <w:r w:rsidRPr="004F73EA">
        <w:t xml:space="preserve"> radiation.</w:t>
      </w:r>
      <w:proofErr w:type="gramEnd"/>
      <w:r w:rsidRPr="004F73EA">
        <w:t xml:space="preserve"> 2005.</w:t>
      </w:r>
    </w:p>
    <w:p w:rsidR="004F73EA" w:rsidRPr="004F73EA" w:rsidRDefault="004F73EA" w:rsidP="004F73EA">
      <w:r w:rsidRPr="004F73EA">
        <w:t>[6]</w:t>
      </w:r>
      <w:r w:rsidRPr="004F73EA">
        <w:tab/>
        <w:t xml:space="preserve">Federal Communications Commission, Office of Engineering &amp; Technology Evaluating. </w:t>
      </w:r>
      <w:proofErr w:type="gramStart"/>
      <w:r w:rsidRPr="004F73EA">
        <w:t>Compliance with FCC Guidelines for Human Exposure to Radiofrequency Electromagnetic Fields.</w:t>
      </w:r>
      <w:proofErr w:type="gramEnd"/>
      <w:r w:rsidRPr="004F73EA">
        <w:t xml:space="preserve"> </w:t>
      </w:r>
      <w:proofErr w:type="gramStart"/>
      <w:r w:rsidRPr="004F73EA">
        <w:t>OET Bulletin.</w:t>
      </w:r>
      <w:proofErr w:type="gramEnd"/>
      <w:r w:rsidRPr="004F73EA">
        <w:t xml:space="preserve"> </w:t>
      </w:r>
      <w:proofErr w:type="gramStart"/>
      <w:r w:rsidRPr="004F73EA">
        <w:t>1997; 65.</w:t>
      </w:r>
      <w:proofErr w:type="gramEnd"/>
      <w:r w:rsidRPr="004F73EA">
        <w:t xml:space="preserve"> </w:t>
      </w:r>
    </w:p>
    <w:p w:rsidR="004F73EA" w:rsidRPr="004F73EA" w:rsidRDefault="004F73EA" w:rsidP="004F73EA">
      <w:r w:rsidRPr="004F73EA">
        <w:t>[7]</w:t>
      </w:r>
      <w:r w:rsidRPr="004F73EA">
        <w:tab/>
        <w:t xml:space="preserve">Seybold JS. </w:t>
      </w:r>
      <w:proofErr w:type="gramStart"/>
      <w:r w:rsidRPr="004F73EA">
        <w:t>Introduction to RF Propagation.</w:t>
      </w:r>
      <w:proofErr w:type="gramEnd"/>
      <w:r w:rsidRPr="004F73EA">
        <w:t xml:space="preserve"> </w:t>
      </w:r>
      <w:proofErr w:type="gramStart"/>
      <w:r w:rsidRPr="004F73EA">
        <w:t>Wiley, 2005.</w:t>
      </w:r>
      <w:proofErr w:type="gramEnd"/>
    </w:p>
    <w:p w:rsidR="004F73EA" w:rsidRPr="004F73EA" w:rsidRDefault="004F73EA" w:rsidP="004F73EA">
      <w:proofErr w:type="gramStart"/>
      <w:r w:rsidRPr="004F73EA">
        <w:t>[8]</w:t>
      </w:r>
      <w:r w:rsidRPr="004F73EA">
        <w:tab/>
      </w:r>
      <w:proofErr w:type="spellStart"/>
      <w:r w:rsidRPr="004F73EA">
        <w:t>Balanis</w:t>
      </w:r>
      <w:proofErr w:type="spellEnd"/>
      <w:r w:rsidRPr="004F73EA">
        <w:t xml:space="preserve"> CA. Antenna Theory.</w:t>
      </w:r>
      <w:proofErr w:type="gramEnd"/>
      <w:r w:rsidRPr="004F73EA">
        <w:t xml:space="preserve"> </w:t>
      </w:r>
      <w:proofErr w:type="gramStart"/>
      <w:r w:rsidRPr="004F73EA">
        <w:t>Analysis and Design.</w:t>
      </w:r>
      <w:proofErr w:type="gramEnd"/>
      <w:r w:rsidRPr="004F73EA">
        <w:t xml:space="preserve"> </w:t>
      </w:r>
      <w:proofErr w:type="gramStart"/>
      <w:r w:rsidRPr="004F73EA">
        <w:t>Second Edition.</w:t>
      </w:r>
      <w:proofErr w:type="gramEnd"/>
      <w:r w:rsidRPr="004F73EA">
        <w:t xml:space="preserve"> </w:t>
      </w:r>
      <w:proofErr w:type="gramStart"/>
      <w:r w:rsidRPr="004F73EA">
        <w:t>Wiley, 1982.</w:t>
      </w:r>
      <w:proofErr w:type="gramEnd"/>
    </w:p>
    <w:p w:rsidR="00CA5782" w:rsidRDefault="00CA5782" w:rsidP="00A26AC6">
      <w:pPr>
        <w:rPr>
          <w:rStyle w:val="ECCParagraph"/>
        </w:rPr>
      </w:pPr>
    </w:p>
    <w:p w:rsidR="00854314" w:rsidRPr="00BC03FD" w:rsidRDefault="00854314" w:rsidP="004930E1">
      <w:pPr>
        <w:rPr>
          <w:rStyle w:val="ECCParagraph"/>
        </w:rPr>
      </w:pPr>
    </w:p>
    <w:p w:rsidR="00D10E46" w:rsidRPr="00BC03FD" w:rsidRDefault="00D10E46" w:rsidP="00D10E46">
      <w:pPr>
        <w:pStyle w:val="ECCAnnexheading1"/>
      </w:pPr>
      <w:bookmarkStart w:id="14" w:name="_Toc380056507"/>
      <w:bookmarkStart w:id="15" w:name="_Toc380059757"/>
      <w:bookmarkStart w:id="16" w:name="_Toc380059795"/>
      <w:bookmarkStart w:id="17" w:name="_Toc396153645"/>
      <w:bookmarkStart w:id="18" w:name="_Toc396383873"/>
      <w:bookmarkStart w:id="19" w:name="_Toc396917306"/>
      <w:bookmarkStart w:id="20" w:name="_Toc396917417"/>
      <w:bookmarkStart w:id="21" w:name="_Toc396917637"/>
      <w:bookmarkStart w:id="22" w:name="_Toc396917652"/>
      <w:bookmarkStart w:id="23" w:name="_Toc396917757"/>
      <w:bookmarkStart w:id="24" w:name="_Toc448942634"/>
      <w:bookmarkStart w:id="25" w:name="_Toc380056498"/>
      <w:bookmarkStart w:id="26" w:name="_Toc380059749"/>
      <w:bookmarkStart w:id="27" w:name="_Toc380059786"/>
      <w:bookmarkStart w:id="28" w:name="_Toc396153637"/>
      <w:bookmarkStart w:id="29" w:name="_Toc396155266"/>
      <w:bookmarkStart w:id="30" w:name="_Toc396383864"/>
      <w:bookmarkStart w:id="31" w:name="_Toc396917297"/>
      <w:bookmarkStart w:id="32" w:name="_Toc396917346"/>
      <w:bookmarkStart w:id="33" w:name="_Toc396917408"/>
      <w:bookmarkStart w:id="34" w:name="_Toc396917461"/>
      <w:bookmarkStart w:id="35" w:name="_Toc396917628"/>
      <w:bookmarkStart w:id="36" w:name="_Toc396917643"/>
      <w:bookmarkStart w:id="37" w:name="_Toc396917748"/>
      <w:r w:rsidRPr="00D10E46">
        <w:lastRenderedPageBreak/>
        <w:t>RESULTS FROM WI2 SOFTWARE TOOL USED BY SPAIN</w:t>
      </w:r>
      <w:bookmarkEnd w:id="14"/>
      <w:bookmarkEnd w:id="15"/>
      <w:bookmarkEnd w:id="16"/>
      <w:bookmarkEnd w:id="17"/>
      <w:bookmarkEnd w:id="18"/>
      <w:bookmarkEnd w:id="19"/>
      <w:bookmarkEnd w:id="20"/>
      <w:bookmarkEnd w:id="21"/>
      <w:bookmarkEnd w:id="22"/>
      <w:bookmarkEnd w:id="23"/>
      <w:bookmarkEnd w:id="24"/>
    </w:p>
    <w:p w:rsidR="00D10E46" w:rsidRPr="00D10E46" w:rsidRDefault="00D10E46" w:rsidP="00D10E46">
      <w:pPr>
        <w:pStyle w:val="ECCAnnexheading2"/>
      </w:pPr>
      <w:r w:rsidRPr="00D10E46">
        <w:t>Study of Potential Impact on Fixed Radio Links</w:t>
      </w:r>
    </w:p>
    <w:p w:rsidR="00D10E46" w:rsidRPr="00D10E46" w:rsidRDefault="00D10E46" w:rsidP="00D10E46">
      <w:pPr>
        <w:pStyle w:val="ECCAnnexheading3"/>
      </w:pPr>
      <w:r w:rsidRPr="00D10E46">
        <w:t>Coordination zone</w:t>
      </w:r>
    </w:p>
    <w:p w:rsidR="00D10E46" w:rsidRPr="00D10E46" w:rsidRDefault="00D10E46" w:rsidP="00D10E46">
      <w:r w:rsidRPr="00D10E46">
        <w:t xml:space="preserve">First, a coordination zone along the </w:t>
      </w:r>
      <w:proofErr w:type="spellStart"/>
      <w:r w:rsidRPr="00D10E46">
        <w:t>radiolink</w:t>
      </w:r>
      <w:proofErr w:type="spellEnd"/>
      <w:r w:rsidRPr="00D10E46">
        <w:t xml:space="preserve"> path is defined. A distance of 500 m between the wind turbines and the </w:t>
      </w:r>
      <w:proofErr w:type="spellStart"/>
      <w:r w:rsidRPr="00D10E46">
        <w:t>radiolink</w:t>
      </w:r>
      <w:proofErr w:type="spellEnd"/>
      <w:r w:rsidRPr="00D10E46">
        <w:t xml:space="preserve"> path is established, and within this coordination zone, a more detailed analysis of the potential impact of a wind turbine on the </w:t>
      </w:r>
      <w:proofErr w:type="spellStart"/>
      <w:r w:rsidRPr="00D10E46">
        <w:t>radiolink</w:t>
      </w:r>
      <w:proofErr w:type="spellEnd"/>
      <w:r w:rsidRPr="00D10E46">
        <w:t xml:space="preserve"> service is developed.</w:t>
      </w:r>
    </w:p>
    <w:p w:rsidR="00D10E46" w:rsidRPr="00D10E46" w:rsidRDefault="00D10E46" w:rsidP="00D10E46">
      <w:r w:rsidRPr="00D10E46">
        <w:t xml:space="preserve">Then, three different effects are considered in the study of the potential impact of a wind power plant on the surrounding fixed </w:t>
      </w:r>
      <w:proofErr w:type="spellStart"/>
      <w:r w:rsidRPr="00D10E46">
        <w:t>radiolinks</w:t>
      </w:r>
      <w:proofErr w:type="spellEnd"/>
      <w:r w:rsidRPr="00D10E46">
        <w:t>: obstruction of the path, interference due to signal scattering and near field effects.</w:t>
      </w:r>
    </w:p>
    <w:p w:rsidR="00D10E46" w:rsidRPr="00D10E46" w:rsidRDefault="00D10E46" w:rsidP="00D10E46">
      <w:pPr>
        <w:pStyle w:val="ECCAnnexheading3"/>
      </w:pPr>
      <w:r w:rsidRPr="00D10E46">
        <w:t>Obstruction of the path</w:t>
      </w:r>
    </w:p>
    <w:p w:rsidR="00D10E46" w:rsidRPr="00D10E46" w:rsidRDefault="00D10E46" w:rsidP="00D10E46">
      <w:r w:rsidRPr="00D10E46">
        <w:t xml:space="preserve">The algorithm for estimating the potential obstruction of the path is based on calculating the potential intersection between the second Fresnel ellipsoid and the volume occupied by wind turbines, taking into account the dimensions of the turbine components and all the possible orientations of the wind turbine rotor. Terrain elevation data are included in the assessment in order to consider the relative position of all the elements involved. The obstruction analysis detects if any of the wind turbine components enters the second Fresnel ellipsoid around the radio path (see Figure 7). In case of obstruction, the algorithm also estimates the necessary distance between turbine and Fresnel zone to avoid such obstruction. </w:t>
      </w:r>
    </w:p>
    <w:p w:rsidR="00D10E46" w:rsidRPr="00D10E46" w:rsidRDefault="00D10E46" w:rsidP="00D10E46">
      <w:r w:rsidRPr="00D10E46">
        <w:lastRenderedPageBreak/>
        <w:t xml:space="preserve"> </w:t>
      </w:r>
      <w:r w:rsidRPr="00D10E46">
        <w:rPr>
          <w:noProof/>
          <w:lang w:val="sv-SE" w:eastAsia="sv-SE"/>
        </w:rPr>
        <w:drawing>
          <wp:inline distT="0" distB="0" distL="0" distR="0" wp14:anchorId="314F3477" wp14:editId="469C9278">
            <wp:extent cx="5060315" cy="3456940"/>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315" cy="3456940"/>
                    </a:xfrm>
                    <a:prstGeom prst="rect">
                      <a:avLst/>
                    </a:prstGeom>
                    <a:noFill/>
                  </pic:spPr>
                </pic:pic>
              </a:graphicData>
            </a:graphic>
          </wp:inline>
        </w:drawing>
      </w:r>
      <w:r w:rsidRPr="00D10E46">
        <w:rPr>
          <w:noProof/>
          <w:lang w:val="sv-SE" w:eastAsia="sv-SE"/>
        </w:rPr>
        <w:drawing>
          <wp:inline distT="0" distB="0" distL="0" distR="0" wp14:anchorId="7FABEC3E" wp14:editId="019300E3">
            <wp:extent cx="2920365" cy="19627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365" cy="1962785"/>
                    </a:xfrm>
                    <a:prstGeom prst="rect">
                      <a:avLst/>
                    </a:prstGeom>
                    <a:noFill/>
                  </pic:spPr>
                </pic:pic>
              </a:graphicData>
            </a:graphic>
          </wp:inline>
        </w:drawing>
      </w:r>
    </w:p>
    <w:p w:rsidR="00D10E46" w:rsidRPr="00D10E46" w:rsidRDefault="00D10E46" w:rsidP="00D10E46">
      <w:proofErr w:type="gramStart"/>
      <w:r w:rsidRPr="00D10E46">
        <w:t>Figure 7.</w:t>
      </w:r>
      <w:proofErr w:type="gramEnd"/>
      <w:r w:rsidRPr="00D10E46">
        <w:t xml:space="preserve">  </w:t>
      </w:r>
      <w:proofErr w:type="gramStart"/>
      <w:r w:rsidRPr="00D10E46">
        <w:t xml:space="preserve">3-D representation of the Fresnel ellipsoid of a </w:t>
      </w:r>
      <w:proofErr w:type="spellStart"/>
      <w:r w:rsidRPr="00D10E46">
        <w:t>radiolink</w:t>
      </w:r>
      <w:proofErr w:type="spellEnd"/>
      <w:r w:rsidRPr="00D10E46">
        <w:t xml:space="preserve"> and wind turbines considering all possible rotor orientations.</w:t>
      </w:r>
      <w:proofErr w:type="gramEnd"/>
      <w:r w:rsidRPr="00D10E46">
        <w:t xml:space="preserve"> Additional graph containing the radio link profile is also shown.</w:t>
      </w:r>
    </w:p>
    <w:p w:rsidR="00D10E46" w:rsidRPr="00D10E46" w:rsidRDefault="00D10E46" w:rsidP="00D10E46">
      <w:pPr>
        <w:pStyle w:val="ECCAnnexheading3"/>
      </w:pPr>
      <w:r w:rsidRPr="00D10E46">
        <w:t>Interference due to signal scattering</w:t>
      </w:r>
    </w:p>
    <w:p w:rsidR="00D10E46" w:rsidRPr="00D10E46" w:rsidRDefault="00D10E46" w:rsidP="00D10E46">
      <w:r w:rsidRPr="00D10E46">
        <w:t>The algorithm for determining the impact due to reflected or scattered signals provides a clearance area delimited by the threshold Carrier to Interference (C/I) ratio necessary for avoiding this type of degradation. The magnitude of the clearance zone depends mainly on both the directivity of the aerials and the required threshold C/I ratio: the threshold C/I ratio for each frequency band and modulation scheme determines the maximum interference level; the discrimination of the radiation pattern of transmitter and receiver aerials may considerably reduce the impact, and they must be considered in the assessment.</w:t>
      </w:r>
    </w:p>
    <w:p w:rsidR="00D10E46" w:rsidRPr="00D10E46" w:rsidRDefault="00D10E46" w:rsidP="004D370F">
      <w:pPr>
        <w:pStyle w:val="ECCAnnexheading3"/>
      </w:pPr>
      <w:r w:rsidRPr="00D10E46">
        <w:t>Near field effects</w:t>
      </w:r>
    </w:p>
    <w:p w:rsidR="00D10E46" w:rsidRPr="00D10E46" w:rsidRDefault="00D10E46" w:rsidP="00D10E46">
      <w:r w:rsidRPr="00D10E46">
        <w:t xml:space="preserve">This study is based on defining an exclusion zone for any wind turbine based on the criterion for the safeguarding distance that avoids near field effects. Depending on the type of antenna used and the transmission frequency, a near-field distance is calculated, and therefore, a sphere with a radio equal to this distance around the antenna is obtained. This sphere is used to define the safeguarding volume around the tower for each </w:t>
      </w:r>
      <w:proofErr w:type="spellStart"/>
      <w:r w:rsidRPr="00D10E46">
        <w:t>radiolink</w:t>
      </w:r>
      <w:proofErr w:type="spellEnd"/>
      <w:r w:rsidRPr="00D10E46">
        <w:t xml:space="preserve">. </w:t>
      </w:r>
    </w:p>
    <w:p w:rsidR="00D10E46" w:rsidRPr="00D10E46" w:rsidRDefault="00D10E46" w:rsidP="00D10E46">
      <w:r w:rsidRPr="00D10E46">
        <w:lastRenderedPageBreak/>
        <w:t>For the definition of the constraint mast, the blade length is considered, in such a way that the constraint mask refers to the virtual wind turbine locations that would degrade</w:t>
      </w:r>
      <w:r>
        <w:t xml:space="preserve"> </w:t>
      </w:r>
      <w:bookmarkStart w:id="38" w:name="_Toc169147730"/>
      <w:bookmarkStart w:id="39" w:name="_Toc380059616"/>
      <w:bookmarkStart w:id="40" w:name="_Toc380059758"/>
      <w:r w:rsidRPr="00D10E46">
        <w:t xml:space="preserve">the corresponding </w:t>
      </w:r>
      <w:proofErr w:type="spellStart"/>
      <w:r w:rsidRPr="00D10E46">
        <w:t>radiolink</w:t>
      </w:r>
      <w:proofErr w:type="spellEnd"/>
      <w:r w:rsidRPr="00D10E46">
        <w:t>.</w:t>
      </w:r>
    </w:p>
    <w:bookmarkEnd w:id="38"/>
    <w:bookmarkEnd w:id="39"/>
    <w:bookmarkEnd w:id="40"/>
    <w:p w:rsidR="00D10E46" w:rsidRDefault="00D10E46" w:rsidP="00D10E46"/>
    <w:p w:rsidR="008A54FC" w:rsidRPr="00BC03FD" w:rsidRDefault="00D10E46" w:rsidP="00D10E46">
      <w:pPr>
        <w:pStyle w:val="ECCAnnexheading1"/>
      </w:pPr>
      <w:bookmarkStart w:id="41" w:name="_Toc448942635"/>
      <w:bookmarkEnd w:id="25"/>
      <w:bookmarkEnd w:id="26"/>
      <w:bookmarkEnd w:id="27"/>
      <w:bookmarkEnd w:id="28"/>
      <w:bookmarkEnd w:id="29"/>
      <w:bookmarkEnd w:id="30"/>
      <w:bookmarkEnd w:id="31"/>
      <w:bookmarkEnd w:id="32"/>
      <w:bookmarkEnd w:id="33"/>
      <w:bookmarkEnd w:id="34"/>
      <w:bookmarkEnd w:id="35"/>
      <w:bookmarkEnd w:id="36"/>
      <w:bookmarkEnd w:id="37"/>
      <w:r w:rsidRPr="00D10E46">
        <w:lastRenderedPageBreak/>
        <w:t>M</w:t>
      </w:r>
      <w:r w:rsidR="00E46328">
        <w:t>ETHOD FOR DELIMITING A CONSTRAINT MASK DUE TO AVOIDING NEAR FIELD EFFECTS OF WIND TURBINES ON FIXED RADIOLINKS</w:t>
      </w:r>
      <w:bookmarkEnd w:id="41"/>
    </w:p>
    <w:p w:rsidR="00B93AF6" w:rsidRPr="00B93AF6" w:rsidRDefault="00B93AF6" w:rsidP="00B93AF6">
      <w:pPr>
        <w:pStyle w:val="ECCAnnexheading2"/>
      </w:pPr>
      <w:bookmarkStart w:id="42" w:name="_Toc285542135"/>
      <w:r w:rsidRPr="00B93AF6">
        <w:t>INTRODUCTION</w:t>
      </w:r>
    </w:p>
    <w:p w:rsidR="00B93AF6" w:rsidRPr="00B93AF6" w:rsidRDefault="00B93AF6" w:rsidP="00B93AF6">
      <w:r w:rsidRPr="00B93AF6">
        <w:t xml:space="preserve">Terrestrial microwave </w:t>
      </w:r>
      <w:proofErr w:type="spellStart"/>
      <w:r w:rsidRPr="00B93AF6">
        <w:t>radiolinks</w:t>
      </w:r>
      <w:proofErr w:type="spellEnd"/>
      <w:r w:rsidRPr="00B93AF6">
        <w:t xml:space="preserve"> are used for point-to-point communications within a large frequency range, typically from 1 GHz to around 58 GHz. The performance of a fixed </w:t>
      </w:r>
      <w:proofErr w:type="spellStart"/>
      <w:r w:rsidRPr="00B93AF6">
        <w:t>radiolink</w:t>
      </w:r>
      <w:proofErr w:type="spellEnd"/>
      <w:r w:rsidRPr="00B93AF6">
        <w:t xml:space="preserve"> might be degraded due to obstruction or scattering of great structures located close to radio path line-of-sight </w:t>
      </w:r>
      <w:r w:rsidRPr="00B93AF6">
        <w:fldChar w:fldCharType="begin"/>
      </w:r>
      <w:r w:rsidRPr="00B93AF6">
        <w:instrText xml:space="preserve"> REF _Ref437771198 \r \h </w:instrText>
      </w:r>
      <w:r w:rsidRPr="00B93AF6">
        <w:fldChar w:fldCharType="separate"/>
      </w:r>
      <w:r w:rsidRPr="00B93AF6">
        <w:t>[1]</w:t>
      </w:r>
      <w:r w:rsidRPr="00B93AF6">
        <w:fldChar w:fldCharType="end"/>
      </w:r>
      <w:proofErr w:type="gramStart"/>
      <w:r w:rsidRPr="00B93AF6">
        <w:t>,</w:t>
      </w:r>
      <w:proofErr w:type="gramEnd"/>
      <w:r w:rsidRPr="00B93AF6">
        <w:fldChar w:fldCharType="begin"/>
      </w:r>
      <w:r w:rsidRPr="00B93AF6">
        <w:instrText xml:space="preserve"> REF _Ref437771210 \r \h </w:instrText>
      </w:r>
      <w:r w:rsidRPr="00B93AF6">
        <w:fldChar w:fldCharType="separate"/>
      </w:r>
      <w:r w:rsidRPr="00B93AF6">
        <w:t>[2]</w:t>
      </w:r>
      <w:r w:rsidRPr="00B93AF6">
        <w:fldChar w:fldCharType="end"/>
      </w:r>
      <w:r w:rsidRPr="00B93AF6">
        <w:t>. Disturbance due to near-field effects of wind turbines located close to radio link antennas should be also considered in the analysis </w:t>
      </w:r>
      <w:r w:rsidRPr="00B93AF6">
        <w:fldChar w:fldCharType="begin"/>
      </w:r>
      <w:r w:rsidRPr="00B93AF6">
        <w:instrText xml:space="preserve"> REF _Ref437771257 \r \h </w:instrText>
      </w:r>
      <w:r w:rsidRPr="00B93AF6">
        <w:fldChar w:fldCharType="separate"/>
      </w:r>
      <w:r w:rsidRPr="00B93AF6">
        <w:t>[3]</w:t>
      </w:r>
      <w:r w:rsidRPr="00B93AF6">
        <w:fldChar w:fldCharType="end"/>
      </w:r>
      <w:proofErr w:type="gramStart"/>
      <w:r w:rsidRPr="00B93AF6">
        <w:t>,</w:t>
      </w:r>
      <w:proofErr w:type="gramEnd"/>
      <w:r w:rsidRPr="00B93AF6">
        <w:fldChar w:fldCharType="begin"/>
      </w:r>
      <w:r w:rsidRPr="00B93AF6">
        <w:instrText xml:space="preserve"> REF _Ref437771259 \r \h </w:instrText>
      </w:r>
      <w:r w:rsidRPr="00B93AF6">
        <w:fldChar w:fldCharType="separate"/>
      </w:r>
      <w:r w:rsidRPr="00B93AF6">
        <w:t>[4]</w:t>
      </w:r>
      <w:r w:rsidRPr="00B93AF6">
        <w:fldChar w:fldCharType="end"/>
      </w:r>
      <w:r w:rsidRPr="00B93AF6">
        <w:t>.</w:t>
      </w:r>
    </w:p>
    <w:p w:rsidR="00B93AF6" w:rsidRPr="00B93AF6" w:rsidRDefault="00B93AF6" w:rsidP="00B93AF6">
      <w:pPr>
        <w:pStyle w:val="ECCBulletsLv1"/>
      </w:pPr>
      <w:r w:rsidRPr="00B93AF6">
        <w:rPr>
          <w:lang w:val="en-US"/>
        </w:rPr>
        <w:t xml:space="preserve">Obstruction of the path: due to the extensive volume occupied by the tower and the blades of a wind turbine, they can obstruct the path corresponding to a point-to-point </w:t>
      </w:r>
      <w:proofErr w:type="spellStart"/>
      <w:r w:rsidRPr="00B93AF6">
        <w:rPr>
          <w:lang w:val="en-US"/>
        </w:rPr>
        <w:t>radiolink</w:t>
      </w:r>
      <w:proofErr w:type="spellEnd"/>
      <w:r w:rsidRPr="00B93AF6">
        <w:rPr>
          <w:lang w:val="en-US"/>
        </w:rPr>
        <w:t>, in such a way that the data transmission might be cut-off, avoiding the correct reception of the signal.</w:t>
      </w:r>
      <w:r w:rsidRPr="00B93AF6">
        <w:t xml:space="preserve"> </w:t>
      </w:r>
    </w:p>
    <w:p w:rsidR="00B93AF6" w:rsidRPr="00B93AF6" w:rsidRDefault="00B93AF6" w:rsidP="00B93AF6">
      <w:pPr>
        <w:pStyle w:val="ECCBulletsLv1"/>
      </w:pPr>
      <w:r w:rsidRPr="00B93AF6">
        <w:rPr>
          <w:lang w:val="en-US"/>
        </w:rPr>
        <w:t xml:space="preserve">Interference due to signal scattering on the surface of the wind turbines: transmitted signals that are received in the other end of the </w:t>
      </w:r>
      <w:proofErr w:type="spellStart"/>
      <w:r w:rsidRPr="00B93AF6">
        <w:rPr>
          <w:lang w:val="en-US"/>
        </w:rPr>
        <w:t>radiolink</w:t>
      </w:r>
      <w:proofErr w:type="spellEnd"/>
      <w:r w:rsidRPr="00B93AF6">
        <w:rPr>
          <w:lang w:val="en-US"/>
        </w:rPr>
        <w:t xml:space="preserve"> after being scattered on the surface of the wind turbines may be a significant interference on the direct transmission between both ends of the </w:t>
      </w:r>
      <w:proofErr w:type="spellStart"/>
      <w:r w:rsidRPr="00B93AF6">
        <w:rPr>
          <w:lang w:val="en-US"/>
        </w:rPr>
        <w:t>radiolink</w:t>
      </w:r>
      <w:proofErr w:type="spellEnd"/>
      <w:r w:rsidRPr="00B93AF6">
        <w:rPr>
          <w:lang w:val="en-US"/>
        </w:rPr>
        <w:t xml:space="preserve">. </w:t>
      </w:r>
    </w:p>
    <w:p w:rsidR="00B93AF6" w:rsidRPr="00B93AF6" w:rsidRDefault="00B93AF6" w:rsidP="00B93AF6">
      <w:pPr>
        <w:pStyle w:val="ECCBulletsLv1"/>
      </w:pPr>
      <w:r w:rsidRPr="00B93AF6">
        <w:rPr>
          <w:lang w:val="en-US"/>
        </w:rPr>
        <w:t>Near-field effects,</w:t>
      </w:r>
      <w:r w:rsidRPr="00B93AF6">
        <w:t xml:space="preserve"> Antennas are designed to operate in far-field region, where radiated fields are dominant and allow communications for long distances. Near-field region involves reactive near-field region (region immediately surrounding the antenna where non-radiating components predominate) and radiating near-field region (region where the radiating </w:t>
      </w:r>
      <w:proofErr w:type="spellStart"/>
      <w:r w:rsidRPr="00B93AF6">
        <w:t>componentes</w:t>
      </w:r>
      <w:proofErr w:type="spellEnd"/>
      <w:r w:rsidRPr="00B93AF6">
        <w:t xml:space="preserve"> become predominant, but antenna gain and angular distribution of the radiated field vary with distance from the antenna) </w:t>
      </w:r>
      <w:r w:rsidRPr="00B93AF6">
        <w:fldChar w:fldCharType="begin"/>
      </w:r>
      <w:r w:rsidRPr="00B93AF6">
        <w:instrText xml:space="preserve"> REF _Ref437771224 \r \h </w:instrText>
      </w:r>
      <w:r>
        <w:instrText xml:space="preserve"> \* MERGEFORMAT </w:instrText>
      </w:r>
      <w:r w:rsidRPr="00B93AF6">
        <w:fldChar w:fldCharType="separate"/>
      </w:r>
      <w:r w:rsidRPr="00B93AF6">
        <w:t>[5</w:t>
      </w:r>
      <w:proofErr w:type="gramStart"/>
      <w:r w:rsidRPr="00B93AF6">
        <w:t>]</w:t>
      </w:r>
      <w:proofErr w:type="gramEnd"/>
      <w:r w:rsidRPr="00B93AF6">
        <w:fldChar w:fldCharType="end"/>
      </w:r>
      <w:r w:rsidRPr="00B93AF6">
        <w:fldChar w:fldCharType="begin"/>
      </w:r>
      <w:r w:rsidRPr="00B93AF6">
        <w:instrText xml:space="preserve"> REF _Ref437771226 \r \h </w:instrText>
      </w:r>
      <w:r>
        <w:instrText xml:space="preserve"> \* MERGEFORMAT </w:instrText>
      </w:r>
      <w:r w:rsidRPr="00B93AF6">
        <w:fldChar w:fldCharType="separate"/>
      </w:r>
      <w:r w:rsidRPr="00B93AF6">
        <w:t>[6]</w:t>
      </w:r>
      <w:r w:rsidRPr="00B93AF6">
        <w:fldChar w:fldCharType="end"/>
      </w:r>
      <w:r w:rsidRPr="00B93AF6">
        <w:t xml:space="preserve">. Near-field effects are caused by great objects within near-field region, which can result in coupling with the antenna and distorting the ultimate far-field antenna pattern </w:t>
      </w:r>
      <w:r w:rsidRPr="00B93AF6">
        <w:fldChar w:fldCharType="begin"/>
      </w:r>
      <w:r w:rsidRPr="00B93AF6">
        <w:instrText xml:space="preserve"> REF _Ref437771245 \r \h </w:instrText>
      </w:r>
      <w:r>
        <w:instrText xml:space="preserve"> \* MERGEFORMAT </w:instrText>
      </w:r>
      <w:r w:rsidRPr="00B93AF6">
        <w:fldChar w:fldCharType="separate"/>
      </w:r>
      <w:r w:rsidRPr="00B93AF6">
        <w:t>[7]</w:t>
      </w:r>
      <w:r w:rsidRPr="00B93AF6">
        <w:fldChar w:fldCharType="end"/>
      </w:r>
      <w:proofErr w:type="gramStart"/>
      <w:r w:rsidRPr="00B93AF6">
        <w:t>,</w:t>
      </w:r>
      <w:proofErr w:type="gramEnd"/>
      <w:r w:rsidRPr="00B93AF6">
        <w:fldChar w:fldCharType="begin"/>
      </w:r>
      <w:r w:rsidRPr="00B93AF6">
        <w:instrText xml:space="preserve"> REF _Ref437771357 \r \h </w:instrText>
      </w:r>
      <w:r>
        <w:instrText xml:space="preserve"> \* MERGEFORMAT </w:instrText>
      </w:r>
      <w:r w:rsidRPr="00B93AF6">
        <w:fldChar w:fldCharType="separate"/>
      </w:r>
      <w:r w:rsidRPr="00B93AF6">
        <w:t>[8]</w:t>
      </w:r>
      <w:r w:rsidRPr="00B93AF6">
        <w:fldChar w:fldCharType="end"/>
      </w:r>
      <w:r w:rsidRPr="00B93AF6">
        <w:t>. Near-field effects are difficult to predict and characterize, and for this reason, the usual procedure to avoid these effects consists of delimiting a clearance area or safeguarding area around the antenna, where great objects, particularly if they are metallic objects, should be avoided.</w:t>
      </w:r>
    </w:p>
    <w:p w:rsidR="00B93AF6" w:rsidRPr="00B93AF6" w:rsidRDefault="00B93AF6" w:rsidP="00B93AF6">
      <w:r w:rsidRPr="00B93AF6">
        <w:t xml:space="preserve">As the analysis of the potential impact of a wind farm before it is installed is the best way to prevent the disturbance on the existing radio services, this document proposes a method for calculating the safeguarding area to avoid near-field effects on the microwave radio link antennas. The safeguarding area is a constraint mask where no wind turbines should be installed in order to avoid these effects. </w:t>
      </w:r>
    </w:p>
    <w:p w:rsidR="00B93AF6" w:rsidRPr="00B93AF6" w:rsidRDefault="00B93AF6" w:rsidP="00B93AF6">
      <w:r w:rsidRPr="00B93AF6">
        <w:t xml:space="preserve">This method only addresses near-field effects. Obstruction and scattering effects must be also considered in the analysis of the potential impact of wind farms. </w:t>
      </w:r>
    </w:p>
    <w:p w:rsidR="00B93AF6" w:rsidRPr="00B93AF6" w:rsidRDefault="00B93AF6" w:rsidP="00B93AF6">
      <w:pPr>
        <w:pStyle w:val="ECCAnnexheading2"/>
      </w:pPr>
      <w:r w:rsidRPr="00B93AF6">
        <w:t>Approach</w:t>
      </w:r>
    </w:p>
    <w:p w:rsidR="00B93AF6" w:rsidRPr="00B93AF6" w:rsidRDefault="00B93AF6" w:rsidP="00B93AF6">
      <w:r w:rsidRPr="00B93AF6">
        <w:t xml:space="preserve">Near-field effects of wind turbines on microwave radio links is one of the less </w:t>
      </w:r>
      <w:proofErr w:type="spellStart"/>
      <w:r w:rsidRPr="00B93AF6">
        <w:t>analyzed</w:t>
      </w:r>
      <w:proofErr w:type="spellEnd"/>
      <w:r w:rsidRPr="00B93AF6">
        <w:t xml:space="preserve"> disturbances. The evaluation of the potential disturbance of a planned wind farm requires accurate and unbiased criteria applied in a comprehensive impact study. In this report, an easy to apply calculation procedure to delimit the safeguarding area around a transmitter site in order to avoid near field effects on fixed </w:t>
      </w:r>
      <w:proofErr w:type="spellStart"/>
      <w:r w:rsidRPr="00B93AF6">
        <w:t>radiokinks</w:t>
      </w:r>
      <w:proofErr w:type="spellEnd"/>
      <w:r w:rsidRPr="00B93AF6">
        <w:t xml:space="preserve"> is described. The method is based on theoretical criteria and it has been developed by the University of the Basque Country (UPV/EHU).</w:t>
      </w:r>
    </w:p>
    <w:p w:rsidR="00B93AF6" w:rsidRPr="00B93AF6" w:rsidRDefault="00B93AF6" w:rsidP="00B93AF6">
      <w:r w:rsidRPr="00B93AF6">
        <w:t>The method is applicable to microwave radio links above 1 GHz (as near-field effects at lower frequencies are not as important as other disturbances in the safeguarding area assessment </w:t>
      </w:r>
      <w:r w:rsidRPr="00B93AF6">
        <w:fldChar w:fldCharType="begin"/>
      </w:r>
      <w:r w:rsidRPr="00B93AF6">
        <w:instrText xml:space="preserve"> REF _Ref437771259 \r \h </w:instrText>
      </w:r>
      <w:r w:rsidRPr="00B93AF6">
        <w:fldChar w:fldCharType="separate"/>
      </w:r>
      <w:r w:rsidRPr="00B93AF6">
        <w:t>[4]</w:t>
      </w:r>
      <w:r w:rsidRPr="00B93AF6">
        <w:fldChar w:fldCharType="end"/>
      </w:r>
      <w:r w:rsidRPr="00B93AF6">
        <w:t xml:space="preserve">), and for electrically large reflectors (as these are the typical microwave antennas in this frequency range). Input data required by the method are the microwave </w:t>
      </w:r>
      <w:proofErr w:type="spellStart"/>
      <w:r w:rsidRPr="00B93AF6">
        <w:t>radiolink</w:t>
      </w:r>
      <w:proofErr w:type="spellEnd"/>
      <w:r w:rsidRPr="00B93AF6">
        <w:t xml:space="preserve"> basic parameters (frequency, dimensions of the antenna and coordinates of the transmitter site).</w:t>
      </w:r>
    </w:p>
    <w:p w:rsidR="00B93AF6" w:rsidRPr="00B93AF6" w:rsidRDefault="00B93AF6" w:rsidP="00B93AF6">
      <w:r w:rsidRPr="00B93AF6">
        <w:t xml:space="preserve">The proposed method provides a safeguarding area in form of constraint mask, this is, the area around the transmitter site where wind turbines should not be installed. Though it is based on theoretical basis, the method is easy to apply without a deep knowledge of electromagnetic propagation. Therefore, the method is easy to apply by wind farm promoters in the layout design, by telecommunications operators in the evaluation of the potential impact, and by administrations involved in license tasks. </w:t>
      </w:r>
    </w:p>
    <w:p w:rsidR="00B93AF6" w:rsidRPr="00B93AF6" w:rsidRDefault="00B93AF6" w:rsidP="00B93AF6">
      <w:r w:rsidRPr="00B93AF6">
        <w:lastRenderedPageBreak/>
        <w:t>A more detailed description of the theoretical basis is available at the Journal of Electromagnetic Waves and Applications (</w:t>
      </w:r>
      <w:hyperlink r:id="rId11" w:history="1">
        <w:r w:rsidRPr="00B93AF6">
          <w:rPr>
            <w:rStyle w:val="Hyperlnk"/>
          </w:rPr>
          <w:t>http://www.tandfonline.com/doi/full/10.1080/09205071.2015.1096838</w:t>
        </w:r>
      </w:hyperlink>
      <w:r w:rsidRPr="00B93AF6">
        <w:t xml:space="preserve">) </w:t>
      </w:r>
      <w:r w:rsidRPr="00B93AF6">
        <w:fldChar w:fldCharType="begin"/>
      </w:r>
      <w:r w:rsidRPr="00B93AF6">
        <w:instrText xml:space="preserve"> REF _Ref437771338 \r \h </w:instrText>
      </w:r>
      <w:r w:rsidRPr="00B93AF6">
        <w:fldChar w:fldCharType="separate"/>
      </w:r>
      <w:r w:rsidRPr="00B93AF6">
        <w:t>[9]</w:t>
      </w:r>
      <w:r w:rsidRPr="00B93AF6">
        <w:fldChar w:fldCharType="end"/>
      </w:r>
      <w:r w:rsidRPr="00B93AF6">
        <w:t>. In the referenced paper, the proposed method is applied to real cases of wind farms close to radio links facilities and compared to results obtained with more conservative criteria.</w:t>
      </w:r>
    </w:p>
    <w:p w:rsidR="00B93AF6" w:rsidRPr="00B93AF6" w:rsidRDefault="00B93AF6" w:rsidP="00B93AF6">
      <w:pPr>
        <w:pStyle w:val="ECCAnnexheading2"/>
      </w:pPr>
      <w:r w:rsidRPr="00B93AF6">
        <w:t>METHOD FOR DELIMITING THE NEAR-FIELD SAFEGUARDING AREA</w:t>
      </w:r>
    </w:p>
    <w:p w:rsidR="00B93AF6" w:rsidRPr="00B93AF6" w:rsidRDefault="00B93AF6" w:rsidP="00B93AF6">
      <w:pPr>
        <w:pStyle w:val="ECCAnnexheading3"/>
      </w:pPr>
      <w:r w:rsidRPr="00B93AF6">
        <w:t>Basis of the method</w:t>
      </w:r>
    </w:p>
    <w:p w:rsidR="00B93AF6" w:rsidRPr="00B93AF6" w:rsidRDefault="00B93AF6" w:rsidP="00B93AF6">
      <w:r w:rsidRPr="00B93AF6">
        <w:t xml:space="preserve">The method is adapted to the analysis of the impact of wind turbines on microwave </w:t>
      </w:r>
      <w:proofErr w:type="spellStart"/>
      <w:r w:rsidRPr="00B93AF6">
        <w:t>radiolinks</w:t>
      </w:r>
      <w:proofErr w:type="spellEnd"/>
      <w:r w:rsidRPr="00B93AF6">
        <w:t xml:space="preserve">. </w:t>
      </w:r>
    </w:p>
    <w:p w:rsidR="00B93AF6" w:rsidRPr="00B93AF6" w:rsidRDefault="00B93AF6" w:rsidP="00B93AF6">
      <w:r w:rsidRPr="00B93AF6">
        <w:t xml:space="preserve">In other methods, the criterion used to define the clearance distance is an adaptation of the generic criterion (2D2/λ) and incorporating the antenna efficiency (η). Nevertheless, according to IEEE recommendations, this criterion is not adequate for all types of antennas and should not be applied indiscriminately </w:t>
      </w:r>
      <w:r w:rsidRPr="00B93AF6">
        <w:fldChar w:fldCharType="begin"/>
      </w:r>
      <w:r w:rsidRPr="00B93AF6">
        <w:instrText xml:space="preserve"> REF _Ref444014080 \r \h </w:instrText>
      </w:r>
      <w:r w:rsidRPr="00B93AF6">
        <w:fldChar w:fldCharType="separate"/>
      </w:r>
      <w:r w:rsidRPr="00B93AF6">
        <w:t>[10]</w:t>
      </w:r>
      <w:r w:rsidRPr="00B93AF6">
        <w:fldChar w:fldCharType="end"/>
      </w:r>
      <w:proofErr w:type="gramStart"/>
      <w:r w:rsidRPr="00B93AF6">
        <w:t>,</w:t>
      </w:r>
      <w:proofErr w:type="gramEnd"/>
      <w:r w:rsidRPr="00B93AF6">
        <w:fldChar w:fldCharType="begin"/>
      </w:r>
      <w:r w:rsidRPr="00B93AF6">
        <w:instrText xml:space="preserve"> REF _Ref444014294 \r \h </w:instrText>
      </w:r>
      <w:r w:rsidRPr="00B93AF6">
        <w:fldChar w:fldCharType="separate"/>
      </w:r>
      <w:r w:rsidRPr="00B93AF6">
        <w:t>[11]</w:t>
      </w:r>
      <w:r w:rsidRPr="00B93AF6">
        <w:fldChar w:fldCharType="end"/>
      </w:r>
      <w:r w:rsidRPr="00B93AF6">
        <w:t xml:space="preserve">, mainly for reflector antennas, where clearance distance can be delimited to a shorter extent </w:t>
      </w:r>
      <w:r w:rsidRPr="00B93AF6">
        <w:fldChar w:fldCharType="begin"/>
      </w:r>
      <w:r w:rsidRPr="00B93AF6">
        <w:instrText xml:space="preserve"> REF _Ref437771224 \r \h </w:instrText>
      </w:r>
      <w:r w:rsidRPr="00B93AF6">
        <w:fldChar w:fldCharType="separate"/>
      </w:r>
      <w:r w:rsidRPr="00B93AF6">
        <w:t>[5]</w:t>
      </w:r>
      <w:r w:rsidRPr="00B93AF6">
        <w:fldChar w:fldCharType="end"/>
      </w:r>
      <w:r w:rsidRPr="00B93AF6">
        <w:t>,</w:t>
      </w:r>
      <w:r w:rsidRPr="00B93AF6">
        <w:fldChar w:fldCharType="begin"/>
      </w:r>
      <w:r w:rsidRPr="00B93AF6">
        <w:instrText xml:space="preserve"> REF _Ref437771226 \r \h </w:instrText>
      </w:r>
      <w:r w:rsidRPr="00B93AF6">
        <w:fldChar w:fldCharType="separate"/>
      </w:r>
      <w:r w:rsidRPr="00B93AF6">
        <w:t>[6]</w:t>
      </w:r>
      <w:r w:rsidRPr="00B93AF6">
        <w:fldChar w:fldCharType="end"/>
      </w:r>
      <w:r w:rsidRPr="00B93AF6">
        <w:t>,</w:t>
      </w:r>
      <w:r w:rsidRPr="00B93AF6">
        <w:fldChar w:fldCharType="begin"/>
      </w:r>
      <w:r w:rsidRPr="00B93AF6">
        <w:instrText xml:space="preserve"> REF _Ref444014294 \r \h </w:instrText>
      </w:r>
      <w:r w:rsidRPr="00B93AF6">
        <w:fldChar w:fldCharType="separate"/>
      </w:r>
      <w:r w:rsidRPr="00B93AF6">
        <w:t>[11]</w:t>
      </w:r>
      <w:r w:rsidRPr="00B93AF6">
        <w:fldChar w:fldCharType="end"/>
      </w:r>
      <w:r w:rsidRPr="00B93AF6">
        <w:t>. Instead, in this method, the criterion to delimit the near-field region is the nature of the radiated field and the way this varies with the distance from the antenna </w:t>
      </w:r>
      <w:r w:rsidRPr="00B93AF6">
        <w:fldChar w:fldCharType="begin"/>
      </w:r>
      <w:r w:rsidRPr="00B93AF6">
        <w:instrText xml:space="preserve"> REF _Ref437771224 \r \h </w:instrText>
      </w:r>
      <w:r w:rsidRPr="00B93AF6">
        <w:fldChar w:fldCharType="separate"/>
      </w:r>
      <w:r w:rsidRPr="00B93AF6">
        <w:t>[5]</w:t>
      </w:r>
      <w:r w:rsidRPr="00B93AF6">
        <w:fldChar w:fldCharType="end"/>
      </w:r>
      <w:proofErr w:type="gramStart"/>
      <w:r w:rsidRPr="00B93AF6">
        <w:t>,</w:t>
      </w:r>
      <w:proofErr w:type="gramEnd"/>
      <w:r w:rsidRPr="00B93AF6">
        <w:fldChar w:fldCharType="begin"/>
      </w:r>
      <w:r w:rsidRPr="00B93AF6">
        <w:instrText xml:space="preserve"> REF _Ref437771226 \r \h </w:instrText>
      </w:r>
      <w:r w:rsidRPr="00B93AF6">
        <w:fldChar w:fldCharType="separate"/>
      </w:r>
      <w:r w:rsidRPr="00B93AF6">
        <w:t>[6]</w:t>
      </w:r>
      <w:r w:rsidRPr="00B93AF6">
        <w:fldChar w:fldCharType="end"/>
      </w:r>
      <w:r w:rsidRPr="00B93AF6">
        <w:t xml:space="preserve">. </w:t>
      </w:r>
    </w:p>
    <w:p w:rsidR="00B93AF6" w:rsidRPr="00B93AF6" w:rsidRDefault="00B93AF6" w:rsidP="00B93AF6">
      <w:r w:rsidRPr="00B93AF6">
        <w:t>The analysis of the near-field effects is focused on microwave radio links above 1 GHz, as near-field effects at lower frequencies are not as important as other disturbances in the calculation of the safeguarding area </w:t>
      </w:r>
      <w:r w:rsidRPr="00B93AF6">
        <w:fldChar w:fldCharType="begin"/>
      </w:r>
      <w:r w:rsidRPr="00B93AF6">
        <w:instrText xml:space="preserve"> REF _Ref437771259 \r \h </w:instrText>
      </w:r>
      <w:r w:rsidRPr="00B93AF6">
        <w:fldChar w:fldCharType="separate"/>
      </w:r>
      <w:r w:rsidRPr="00B93AF6">
        <w:t>[4]</w:t>
      </w:r>
      <w:r w:rsidRPr="00B93AF6">
        <w:fldChar w:fldCharType="end"/>
      </w:r>
      <w:r w:rsidRPr="00B93AF6">
        <w:t>.</w:t>
      </w:r>
    </w:p>
    <w:p w:rsidR="00B93AF6" w:rsidRPr="00B93AF6" w:rsidRDefault="00B93AF6" w:rsidP="00B93AF6">
      <w:r w:rsidRPr="00B93AF6">
        <w:t xml:space="preserve">For frequencies above 1 GHz, commercial microwave antennas are usually electrically large reflectors, and the circular parabolic reflector is the most common antenna </w:t>
      </w:r>
      <w:r w:rsidRPr="00B93AF6">
        <w:fldChar w:fldCharType="begin"/>
      </w:r>
      <w:r w:rsidRPr="00B93AF6">
        <w:instrText xml:space="preserve"> REF _Ref437771224 \r \h </w:instrText>
      </w:r>
      <w:r w:rsidRPr="00B93AF6">
        <w:fldChar w:fldCharType="separate"/>
      </w:r>
      <w:r w:rsidRPr="00B93AF6">
        <w:t>[5]</w:t>
      </w:r>
      <w:r w:rsidRPr="00B93AF6">
        <w:fldChar w:fldCharType="end"/>
      </w:r>
      <w:proofErr w:type="gramStart"/>
      <w:r w:rsidRPr="00B93AF6">
        <w:t>,</w:t>
      </w:r>
      <w:proofErr w:type="gramEnd"/>
      <w:r w:rsidRPr="00B93AF6">
        <w:fldChar w:fldCharType="begin"/>
      </w:r>
      <w:r w:rsidRPr="00B93AF6">
        <w:instrText xml:space="preserve"> REF _Ref437771226 \r \h </w:instrText>
      </w:r>
      <w:r w:rsidRPr="00B93AF6">
        <w:fldChar w:fldCharType="separate"/>
      </w:r>
      <w:r w:rsidRPr="00B93AF6">
        <w:t>[6]</w:t>
      </w:r>
      <w:r w:rsidRPr="00B93AF6">
        <w:fldChar w:fldCharType="end"/>
      </w:r>
      <w:r w:rsidRPr="00B93AF6">
        <w:t>. As these are highly directive antennas, the safeguarding area should be adjusted to the near-field region of this type of the antennas.</w:t>
      </w:r>
    </w:p>
    <w:p w:rsidR="00B93AF6" w:rsidRPr="00B93AF6" w:rsidRDefault="00B93AF6" w:rsidP="00B93AF6">
      <w:r w:rsidRPr="00B93AF6">
        <w:t xml:space="preserve">Although conservative criteria are usually pursued in this type of analysis </w:t>
      </w:r>
      <w:r w:rsidRPr="00B93AF6">
        <w:fldChar w:fldCharType="begin"/>
      </w:r>
      <w:r w:rsidRPr="00B93AF6">
        <w:instrText xml:space="preserve"> REF _Ref437771257 \r \h </w:instrText>
      </w:r>
      <w:r w:rsidRPr="00B93AF6">
        <w:fldChar w:fldCharType="separate"/>
      </w:r>
      <w:r w:rsidRPr="00B93AF6">
        <w:t>[3]</w:t>
      </w:r>
      <w:r w:rsidRPr="00B93AF6">
        <w:fldChar w:fldCharType="end"/>
      </w:r>
      <w:proofErr w:type="gramStart"/>
      <w:r w:rsidRPr="00B93AF6">
        <w:t>,</w:t>
      </w:r>
      <w:proofErr w:type="gramEnd"/>
      <w:r w:rsidRPr="00B93AF6">
        <w:fldChar w:fldCharType="begin"/>
      </w:r>
      <w:r w:rsidRPr="00B93AF6">
        <w:instrText xml:space="preserve"> REF _Ref437771259 \r \h </w:instrText>
      </w:r>
      <w:r w:rsidRPr="00B93AF6">
        <w:fldChar w:fldCharType="separate"/>
      </w:r>
      <w:r w:rsidRPr="00B93AF6">
        <w:t>[4]</w:t>
      </w:r>
      <w:r w:rsidRPr="00B93AF6">
        <w:fldChar w:fldCharType="end"/>
      </w:r>
      <w:r w:rsidRPr="00B93AF6">
        <w:t>,</w:t>
      </w:r>
      <w:r w:rsidRPr="00B93AF6">
        <w:fldChar w:fldCharType="begin"/>
      </w:r>
      <w:r w:rsidRPr="00B93AF6">
        <w:instrText xml:space="preserve"> REF _Ref437771260 \r \h </w:instrText>
      </w:r>
      <w:r w:rsidRPr="00B93AF6">
        <w:fldChar w:fldCharType="separate"/>
      </w:r>
      <w:r w:rsidRPr="00B93AF6">
        <w:t>[12]</w:t>
      </w:r>
      <w:r w:rsidRPr="00B93AF6">
        <w:fldChar w:fldCharType="end"/>
      </w:r>
      <w:r w:rsidRPr="00B93AF6">
        <w:t>, this proposal aims at results close to real performance of antennas </w:t>
      </w:r>
      <w:r w:rsidRPr="00B93AF6">
        <w:fldChar w:fldCharType="begin"/>
      </w:r>
      <w:r w:rsidRPr="00B93AF6">
        <w:instrText xml:space="preserve"> REF _Ref437771338 \r \h </w:instrText>
      </w:r>
      <w:r w:rsidRPr="00B93AF6">
        <w:fldChar w:fldCharType="separate"/>
      </w:r>
      <w:r w:rsidRPr="00B93AF6">
        <w:t>[9]</w:t>
      </w:r>
      <w:r w:rsidRPr="00B93AF6">
        <w:fldChar w:fldCharType="end"/>
      </w:r>
      <w:r w:rsidRPr="00B93AF6">
        <w:t>. Unbiased and objective criteria will ensure the development of wind energy without degrading the proper operation of radio links.</w:t>
      </w:r>
    </w:p>
    <w:p w:rsidR="00B93AF6" w:rsidRPr="00B93AF6" w:rsidRDefault="00B93AF6" w:rsidP="00B93AF6"/>
    <w:p w:rsidR="00B93AF6" w:rsidRPr="00B93AF6" w:rsidRDefault="00B93AF6" w:rsidP="00B93AF6">
      <w:pPr>
        <w:pStyle w:val="ECCAnnexheading3"/>
      </w:pPr>
      <w:r w:rsidRPr="00B93AF6">
        <w:t>Terms used in the method</w:t>
      </w:r>
    </w:p>
    <w:p w:rsidR="00B93AF6" w:rsidRPr="00B93AF6" w:rsidRDefault="00B93AF6" w:rsidP="00B93AF6">
      <w:r w:rsidRPr="00B93AF6">
        <w:t xml:space="preserve">The following terms are used in the method: </w:t>
      </w:r>
    </w:p>
    <w:p w:rsidR="00B93AF6" w:rsidRPr="00B93AF6" w:rsidRDefault="00B93AF6" w:rsidP="00B93AF6">
      <w:pPr>
        <w:pStyle w:val="ECCBulletsLv1"/>
      </w:pPr>
      <w:r w:rsidRPr="00B93AF6">
        <w:t>Safeguarding distance: antenna on-axis distance for far-field condition.</w:t>
      </w:r>
    </w:p>
    <w:p w:rsidR="00B93AF6" w:rsidRPr="00B93AF6" w:rsidRDefault="00B93AF6" w:rsidP="00B93AF6">
      <w:pPr>
        <w:pStyle w:val="ECCBulletsLv1"/>
      </w:pPr>
      <w:r w:rsidRPr="00B93AF6">
        <w:t>Safeguarding volume: volume around the antenna that must be clear of any part of the wind turbine, including rotating blades.</w:t>
      </w:r>
    </w:p>
    <w:p w:rsidR="00B93AF6" w:rsidRPr="00B93AF6" w:rsidRDefault="00B93AF6" w:rsidP="00B93AF6">
      <w:pPr>
        <w:pStyle w:val="ECCBulletsLv1"/>
      </w:pPr>
      <w:r w:rsidRPr="00B93AF6">
        <w:t>Safeguarding area: projection of the safeguarding volume on the ground.</w:t>
      </w:r>
    </w:p>
    <w:p w:rsidR="00B93AF6" w:rsidRPr="00B93AF6" w:rsidRDefault="00B93AF6" w:rsidP="00B93AF6">
      <w:pPr>
        <w:pStyle w:val="ECCBulletsLv1"/>
      </w:pPr>
      <w:r w:rsidRPr="00B93AF6">
        <w:t xml:space="preserve">Constraint mask: area where wind turbines should not be installed, ensuring that none of the parts of the turbine, even rotating blades, will enter in the near-field safeguarding area. </w:t>
      </w:r>
    </w:p>
    <w:p w:rsidR="00B93AF6" w:rsidRPr="00B93AF6" w:rsidRDefault="00B93AF6" w:rsidP="00B93AF6"/>
    <w:p w:rsidR="00B93AF6" w:rsidRPr="00B93AF6" w:rsidRDefault="00B93AF6" w:rsidP="00B93AF6">
      <w:r w:rsidRPr="00B93AF6">
        <w:br w:type="page"/>
      </w:r>
    </w:p>
    <w:p w:rsidR="00B93AF6" w:rsidRPr="00B93AF6" w:rsidRDefault="00B93AF6" w:rsidP="00B93AF6">
      <w:pPr>
        <w:pStyle w:val="ECCAnnexheading3"/>
      </w:pPr>
      <w:r w:rsidRPr="00B93AF6">
        <w:lastRenderedPageBreak/>
        <w:t>Safeguarding distance</w:t>
      </w:r>
    </w:p>
    <w:p w:rsidR="00B93AF6" w:rsidRPr="00B93AF6" w:rsidRDefault="00B93AF6" w:rsidP="00B93AF6">
      <w:r w:rsidRPr="00B93AF6">
        <w:t xml:space="preserve">For circular reflector antennas operating above 1 GHz, with diameter D &gt;&gt; λ, the field in front of the antenna can be classified according to the variation of power density with the distance into three regions: near-field region, transition region and a far-field region </w:t>
      </w:r>
      <w:r w:rsidRPr="00B93AF6">
        <w:fldChar w:fldCharType="begin"/>
      </w:r>
      <w:r w:rsidRPr="00B93AF6">
        <w:instrText xml:space="preserve"> REF _Ref437771224 \r \h </w:instrText>
      </w:r>
      <w:r w:rsidRPr="00B93AF6">
        <w:fldChar w:fldCharType="separate"/>
      </w:r>
      <w:r w:rsidRPr="00B93AF6">
        <w:t>[5]</w:t>
      </w:r>
      <w:r w:rsidRPr="00B93AF6">
        <w:fldChar w:fldCharType="end"/>
      </w:r>
      <w:proofErr w:type="gramStart"/>
      <w:r w:rsidRPr="00B93AF6">
        <w:t>,</w:t>
      </w:r>
      <w:proofErr w:type="gramEnd"/>
      <w:r w:rsidRPr="00B93AF6">
        <w:fldChar w:fldCharType="begin"/>
      </w:r>
      <w:r w:rsidRPr="00B93AF6">
        <w:instrText xml:space="preserve"> REF _Ref437771226 \r \h </w:instrText>
      </w:r>
      <w:r w:rsidRPr="00B93AF6">
        <w:fldChar w:fldCharType="separate"/>
      </w:r>
      <w:r w:rsidRPr="00B93AF6">
        <w:t>[6]</w:t>
      </w:r>
      <w:r w:rsidRPr="00B93AF6">
        <w:fldChar w:fldCharType="end"/>
      </w:r>
      <w:r w:rsidRPr="00B93AF6">
        <w:t>,</w:t>
      </w:r>
      <w:r w:rsidRPr="00B93AF6">
        <w:fldChar w:fldCharType="begin"/>
      </w:r>
      <w:r w:rsidRPr="00B93AF6">
        <w:instrText xml:space="preserve"> REF _Ref444014080 \r \h </w:instrText>
      </w:r>
      <w:r w:rsidRPr="00B93AF6">
        <w:fldChar w:fldCharType="separate"/>
      </w:r>
      <w:r w:rsidRPr="00B93AF6">
        <w:t>[10]</w:t>
      </w:r>
      <w:r w:rsidRPr="00B93AF6">
        <w:fldChar w:fldCharType="end"/>
      </w:r>
      <w:r w:rsidRPr="00B93AF6">
        <w:t>.</w:t>
      </w:r>
    </w:p>
    <w:p w:rsidR="00B93AF6" w:rsidRPr="00B93AF6" w:rsidRDefault="00B93AF6" w:rsidP="00B93AF6">
      <w:r w:rsidRPr="00B93AF6">
        <w:t>In the near-field region, the power density varies with location, but it reaches a maximum value on propagation axis, which depends only on antenna characteristics (power fed to antenna, diameter and efficiency):</w:t>
      </w:r>
    </w:p>
    <w:p w:rsidR="00B93AF6" w:rsidRPr="00B93AF6" w:rsidRDefault="00B93AF6" w:rsidP="00B93AF6">
      <w:pPr>
        <w:pStyle w:val="ECCFiguregraphcentered"/>
      </w:pPr>
      <w:r>
        <w:tab/>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nf</m:t>
            </m:r>
          </m:sub>
        </m:sSub>
        <m:r>
          <m:rPr>
            <m:sty m:val="p"/>
          </m:rPr>
          <w:rPr>
            <w:rFonts w:ascii="Cambria Math" w:hAnsi="Cambria Math"/>
          </w:rPr>
          <m:t>=</m:t>
        </m:r>
        <m:f>
          <m:fPr>
            <m:type m:val="skw"/>
            <m:ctrlPr>
              <w:rPr>
                <w:rFonts w:ascii="Cambria Math" w:hAnsi="Cambria Math"/>
              </w:rPr>
            </m:ctrlPr>
          </m:fPr>
          <m:num>
            <m:r>
              <m:rPr>
                <m:sty m:val="p"/>
              </m:rPr>
              <w:rPr>
                <w:rFonts w:ascii="Cambria Math" w:hAnsi="Cambria Math"/>
              </w:rPr>
              <m:t>16·η·P</m:t>
            </m:r>
          </m:num>
          <m:den>
            <m:r>
              <m:rPr>
                <m:sty m:val="p"/>
              </m:rPr>
              <w:rPr>
                <w:rFonts w:ascii="Cambria Math" w:hAnsi="Cambria Math"/>
              </w:rPr>
              <m:t>π·</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den>
        </m:f>
      </m:oMath>
      <w:r w:rsidRPr="00B93AF6">
        <w:tab/>
        <w:t>(2)</w:t>
      </w:r>
    </w:p>
    <w:p w:rsidR="00B93AF6" w:rsidRPr="00B93AF6" w:rsidRDefault="00B93AF6" w:rsidP="00B93AF6">
      <w:r w:rsidRPr="00B93AF6">
        <w:t>In the transition region the power density decreases inversely with the distance to the antenna:</w:t>
      </w:r>
    </w:p>
    <w:p w:rsidR="00B93AF6" w:rsidRPr="00B93AF6" w:rsidRDefault="00B93AF6" w:rsidP="00B93AF6">
      <w:pPr>
        <w:pStyle w:val="ECCFiguregraphcentered"/>
      </w:pPr>
      <w:r>
        <w:tab/>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nf</m:t>
            </m:r>
          </m:sub>
        </m:sSub>
        <m:r>
          <m:rPr>
            <m:sty m:val="p"/>
          </m:rPr>
          <w:rPr>
            <w:rFonts w:ascii="Cambria Math" w:hAnsi="Cambria Math"/>
          </w:rPr>
          <m:t>·</m:t>
        </m:r>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nf</m:t>
                    </m:r>
                  </m:sub>
                </m:sSub>
              </m:num>
              <m:den>
                <m:r>
                  <m:rPr>
                    <m:sty m:val="p"/>
                  </m:rPr>
                  <w:rPr>
                    <w:rFonts w:ascii="Cambria Math" w:hAnsi="Cambria Math"/>
                  </w:rPr>
                  <m:t>r</m:t>
                </m:r>
              </m:den>
            </m:f>
          </m:e>
        </m:d>
      </m:oMath>
      <w:r w:rsidRPr="00B93AF6">
        <w:tab/>
        <w:t xml:space="preserve">for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nf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r&lt;R</m:t>
            </m:r>
          </m:e>
          <m:sub>
            <m:r>
              <m:rPr>
                <m:sty m:val="p"/>
              </m:rPr>
              <w:rPr>
                <w:rFonts w:ascii="Cambria Math" w:hAnsi="Cambria Math"/>
              </w:rPr>
              <m:t>ff</m:t>
            </m:r>
          </m:sub>
        </m:sSub>
      </m:oMath>
      <w:r w:rsidRPr="00B93AF6">
        <w:t xml:space="preserve"> (3)</w:t>
      </w:r>
    </w:p>
    <w:p w:rsidR="00B93AF6" w:rsidRPr="00B93AF6" w:rsidRDefault="00B93AF6" w:rsidP="00B93AF6">
      <w:r w:rsidRPr="00B93AF6">
        <w:t>Last, in the far-field region the power density decreases inversely as the square of the distance:</w:t>
      </w:r>
    </w:p>
    <w:p w:rsidR="00B93AF6" w:rsidRPr="00B93AF6" w:rsidRDefault="00B93AF6" w:rsidP="00B93AF6">
      <w:pPr>
        <w:pStyle w:val="ECCFiguregraphcentered"/>
      </w:pPr>
      <w:r>
        <w:tab/>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2.47·S</m:t>
            </m:r>
          </m:e>
          <m:sub>
            <m:r>
              <m:rPr>
                <m:sty m:val="p"/>
              </m:rPr>
              <w:rPr>
                <w:rFonts w:ascii="Cambria Math" w:hAnsi="Cambria Math"/>
              </w:rPr>
              <m:t>nf</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nf</m:t>
                        </m:r>
                      </m:sub>
                    </m:sSub>
                  </m:num>
                  <m:den>
                    <m:r>
                      <m:rPr>
                        <m:sty m:val="p"/>
                      </m:rPr>
                      <w:rPr>
                        <w:rFonts w:ascii="Cambria Math" w:hAnsi="Cambria Math"/>
                      </w:rPr>
                      <m:t>r</m:t>
                    </m:r>
                  </m:den>
                </m:f>
              </m:e>
            </m:d>
          </m:e>
          <m:sup>
            <m:r>
              <m:rPr>
                <m:sty m:val="p"/>
              </m:rPr>
              <w:rPr>
                <w:rFonts w:ascii="Cambria Math" w:hAnsi="Cambria Math"/>
              </w:rPr>
              <m:t>2</m:t>
            </m:r>
          </m:sup>
        </m:sSup>
        <m:r>
          <m:rPr>
            <m:sty m:val="p"/>
          </m:rPr>
          <w:rPr>
            <w:rFonts w:ascii="Cambria Math" w:hAnsi="Cambria Math"/>
          </w:rPr>
          <m:t>=</m:t>
        </m:r>
        <m:f>
          <m:fPr>
            <m:type m:val="skw"/>
            <m:ctrlPr>
              <w:rPr>
                <w:rFonts w:ascii="Cambria Math" w:hAnsi="Cambria Math"/>
              </w:rPr>
            </m:ctrlPr>
          </m:fPr>
          <m:num>
            <m:r>
              <m:rPr>
                <m:sty m:val="p"/>
              </m:rPr>
              <w:rPr>
                <w:rFonts w:ascii="Cambria Math" w:hAnsi="Cambria Math"/>
              </w:rPr>
              <m:t>P·G</m:t>
            </m:r>
          </m:num>
          <m:den>
            <m:r>
              <m:rPr>
                <m:sty m:val="p"/>
              </m:rPr>
              <w:rPr>
                <w:rFonts w:ascii="Cambria Math" w:hAnsi="Cambria Math"/>
              </w:rPr>
              <m:t>4π·</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den>
        </m:f>
      </m:oMath>
      <w:r w:rsidRPr="00B93AF6">
        <w:tab/>
        <w:t xml:space="preserve">for </w:t>
      </w:r>
      <m:oMath>
        <m:r>
          <m:rPr>
            <m:sty m:val="p"/>
          </m:rPr>
          <w:rPr>
            <w:rFonts w:ascii="Cambria Math" w:hAnsi="Cambria Math"/>
          </w:rPr>
          <m:t>R</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ff</m:t>
            </m:r>
          </m:sub>
        </m:sSub>
      </m:oMath>
      <w:r w:rsidRPr="00B93AF6">
        <w:t xml:space="preserve"> (4)</w:t>
      </w:r>
    </w:p>
    <w:p w:rsidR="00B93AF6" w:rsidRPr="00B93AF6" w:rsidRDefault="00B93AF6" w:rsidP="00B93AF6">
      <w:r w:rsidRPr="00B93AF6">
        <w:t>Where S is the on-axis power density for near-field (</w:t>
      </w:r>
      <w:proofErr w:type="spellStart"/>
      <w:r w:rsidRPr="00B93AF6">
        <w:t>Snf</w:t>
      </w:r>
      <w:proofErr w:type="spellEnd"/>
      <w:r w:rsidRPr="00B93AF6">
        <w:t>), transition region (Sif) and far-field region (</w:t>
      </w:r>
      <w:proofErr w:type="spellStart"/>
      <w:r w:rsidRPr="00B93AF6">
        <w:t>Sff</w:t>
      </w:r>
      <w:proofErr w:type="spellEnd"/>
      <w:r w:rsidRPr="00B93AF6">
        <w:t xml:space="preserve">); P is the power fed to the antenna; D is the antenna diameter; r is the on-axis distance from antenna; and </w:t>
      </w:r>
      <w:proofErr w:type="spellStart"/>
      <w:r w:rsidRPr="00B93AF6">
        <w:t>Rnf</w:t>
      </w:r>
      <w:proofErr w:type="spellEnd"/>
      <w:r w:rsidRPr="00B93AF6">
        <w:t xml:space="preserve"> and </w:t>
      </w:r>
      <w:proofErr w:type="spellStart"/>
      <w:r w:rsidRPr="00B93AF6">
        <w:t>Rff</w:t>
      </w:r>
      <w:proofErr w:type="spellEnd"/>
      <w:r w:rsidRPr="00B93AF6">
        <w:t xml:space="preserve"> are the extent of near-field and the distance to the beginning of the far-field region, respectively.</w:t>
      </w:r>
    </w:p>
    <w:p w:rsidR="00B93AF6" w:rsidRPr="00B93AF6" w:rsidRDefault="00B93AF6" w:rsidP="00B93AF6">
      <w:r w:rsidRPr="00B93AF6">
        <w:t xml:space="preserve">The extent of the near-field region is defined by the point on the antenna axis for which the entire aperture is a single Fresnel zone </w:t>
      </w:r>
      <w:r w:rsidRPr="00B93AF6">
        <w:fldChar w:fldCharType="begin"/>
      </w:r>
      <w:r w:rsidRPr="00B93AF6">
        <w:instrText xml:space="preserve"> REF _Ref437771224 \r \h </w:instrText>
      </w:r>
      <w:r w:rsidRPr="00B93AF6">
        <w:fldChar w:fldCharType="separate"/>
      </w:r>
      <w:r w:rsidRPr="00B93AF6">
        <w:t>[5]</w:t>
      </w:r>
      <w:r w:rsidRPr="00B93AF6">
        <w:fldChar w:fldCharType="end"/>
      </w:r>
      <w:proofErr w:type="gramStart"/>
      <w:r w:rsidRPr="00B93AF6">
        <w:t>,</w:t>
      </w:r>
      <w:proofErr w:type="gramEnd"/>
      <w:r w:rsidRPr="00B93AF6">
        <w:fldChar w:fldCharType="begin"/>
      </w:r>
      <w:r w:rsidRPr="00B93AF6">
        <w:instrText xml:space="preserve"> REF _Ref437771226 \r \h </w:instrText>
      </w:r>
      <w:r w:rsidRPr="00B93AF6">
        <w:fldChar w:fldCharType="separate"/>
      </w:r>
      <w:r w:rsidRPr="00B93AF6">
        <w:t>[6]</w:t>
      </w:r>
      <w:r w:rsidRPr="00B93AF6">
        <w:fldChar w:fldCharType="end"/>
      </w:r>
      <w:r w:rsidRPr="00B93AF6">
        <w:t>,</w:t>
      </w:r>
      <w:r w:rsidRPr="00B93AF6">
        <w:fldChar w:fldCharType="begin"/>
      </w:r>
      <w:r w:rsidRPr="00B93AF6">
        <w:instrText xml:space="preserve"> REF _Ref444014080 \r \h </w:instrText>
      </w:r>
      <w:r w:rsidRPr="00B93AF6">
        <w:fldChar w:fldCharType="separate"/>
      </w:r>
      <w:r w:rsidRPr="00B93AF6">
        <w:t>[10]</w:t>
      </w:r>
      <w:r w:rsidRPr="00B93AF6">
        <w:fldChar w:fldCharType="end"/>
      </w:r>
      <w:r w:rsidRPr="00B93AF6">
        <w:t>:</w:t>
      </w:r>
    </w:p>
    <w:p w:rsidR="00B93AF6" w:rsidRPr="00B93AF6" w:rsidRDefault="00B93AF6" w:rsidP="00B93AF6">
      <w:pPr>
        <w:pStyle w:val="ECCFiguregraphcentered"/>
      </w:pPr>
      <w:r>
        <w:tab/>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nf</m:t>
            </m:r>
          </m:sub>
        </m:sSub>
        <m:r>
          <m:rPr>
            <m:sty m:val="p"/>
          </m:rPr>
          <w:rPr>
            <w:rFonts w:ascii="Cambria Math" w:hAnsi="Cambria Math"/>
          </w:rPr>
          <m:t>=</m:t>
        </m:r>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num>
          <m:den>
            <m:r>
              <m:rPr>
                <m:sty m:val="p"/>
              </m:rPr>
              <w:rPr>
                <w:rFonts w:ascii="Cambria Math" w:hAnsi="Cambria Math"/>
              </w:rPr>
              <m:t>4λ</m:t>
            </m:r>
          </m:den>
        </m:f>
      </m:oMath>
      <w:r w:rsidRPr="00B93AF6">
        <w:tab/>
        <w:t>(5)</w:t>
      </w:r>
    </w:p>
    <w:p w:rsidR="00B93AF6" w:rsidRPr="00B93AF6" w:rsidRDefault="00B93AF6" w:rsidP="00B93AF6">
      <w:r w:rsidRPr="00B93AF6">
        <w:t xml:space="preserve">The boundary to delimit the transition region can then be calculated by applying the continuity condition of power density for the transition and the far-field regions. Hence, at a distance from the antenna r = </w:t>
      </w:r>
      <w:proofErr w:type="spellStart"/>
      <w:r w:rsidRPr="00B93AF6">
        <w:t>Rff</w:t>
      </w:r>
      <w:proofErr w:type="spellEnd"/>
      <w:r w:rsidRPr="00B93AF6">
        <w:t>, and applying equations (3)-(5):</w:t>
      </w:r>
    </w:p>
    <w:p w:rsidR="00B93AF6" w:rsidRPr="00B93AF6" w:rsidRDefault="00B93AF6" w:rsidP="00B93AF6">
      <w:pPr>
        <w:pStyle w:val="ECCFiguregraphcentered"/>
      </w:pPr>
      <w:r>
        <w:tab/>
      </w:r>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if</m:t>
                    </m:r>
                  </m:sub>
                </m:sSub>
              </m:e>
            </m:d>
          </m:e>
          <m:sub>
            <m:r>
              <m:rPr>
                <m:sty m:val="p"/>
              </m:rPr>
              <w:rPr>
                <w:rFonts w:ascii="Cambria Math" w:hAnsi="Cambria Math"/>
              </w:rPr>
              <m:t>r=</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ff</m:t>
                </m:r>
              </m:sub>
            </m:sSub>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nf</m:t>
                    </m:r>
                  </m:sub>
                </m:sSub>
                <m:r>
                  <m:rPr>
                    <m:sty m:val="p"/>
                  </m:rPr>
                  <w:rPr>
                    <w:rFonts w:ascii="Cambria Math" w:hAnsi="Cambria Math"/>
                  </w:rPr>
                  <m:t>·</m:t>
                </m:r>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nf</m:t>
                            </m:r>
                          </m:sub>
                        </m:sSub>
                      </m:num>
                      <m:den>
                        <m:r>
                          <m:rPr>
                            <m:sty m:val="p"/>
                          </m:rPr>
                          <w:rPr>
                            <w:rFonts w:ascii="Cambria Math" w:hAnsi="Cambria Math"/>
                          </w:rPr>
                          <m:t>r</m:t>
                        </m:r>
                      </m:den>
                    </m:f>
                  </m:e>
                </m:d>
              </m:e>
            </m:d>
          </m:e>
          <m:sub>
            <m:r>
              <m:rPr>
                <m:sty m:val="p"/>
              </m:rPr>
              <w:rPr>
                <w:rFonts w:ascii="Cambria Math" w:hAnsi="Cambria Math"/>
              </w:rPr>
              <m:t>r=</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ff</m:t>
                </m:r>
              </m:sub>
            </m:sSub>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ff</m:t>
                    </m:r>
                  </m:sub>
                </m:sSub>
              </m:e>
            </m:d>
          </m:e>
          <m:sub>
            <m:r>
              <m:rPr>
                <m:sty m:val="p"/>
              </m:rPr>
              <w:rPr>
                <w:rFonts w:ascii="Cambria Math" w:hAnsi="Cambria Math"/>
              </w:rPr>
              <m:t>r=</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ff</m:t>
                </m:r>
              </m:sub>
            </m:sSub>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2.47·S</m:t>
                    </m:r>
                  </m:e>
                  <m:sub>
                    <m:r>
                      <m:rPr>
                        <m:sty m:val="p"/>
                      </m:rPr>
                      <w:rPr>
                        <w:rFonts w:ascii="Cambria Math" w:hAnsi="Cambria Math"/>
                      </w:rPr>
                      <m:t>nf</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nf</m:t>
                                </m:r>
                              </m:sub>
                            </m:sSub>
                          </m:num>
                          <m:den>
                            <m:r>
                              <m:rPr>
                                <m:sty m:val="p"/>
                              </m:rPr>
                              <w:rPr>
                                <w:rFonts w:ascii="Cambria Math" w:hAnsi="Cambria Math"/>
                              </w:rPr>
                              <m:t>r</m:t>
                            </m:r>
                          </m:den>
                        </m:f>
                      </m:e>
                    </m:d>
                  </m:e>
                  <m:sup>
                    <m:r>
                      <m:rPr>
                        <m:sty m:val="p"/>
                      </m:rPr>
                      <w:rPr>
                        <w:rFonts w:ascii="Cambria Math" w:hAnsi="Cambria Math"/>
                      </w:rPr>
                      <m:t>2</m:t>
                    </m:r>
                  </m:sup>
                </m:sSup>
              </m:e>
            </m:d>
          </m:e>
          <m:sub>
            <m:r>
              <m:rPr>
                <m:sty m:val="p"/>
              </m:rPr>
              <w:rPr>
                <w:rFonts w:ascii="Cambria Math" w:hAnsi="Cambria Math"/>
              </w:rPr>
              <m:t>r=</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ff</m:t>
                </m:r>
              </m:sub>
            </m:sSub>
          </m:sub>
        </m:sSub>
      </m:oMath>
      <w:r w:rsidRPr="00B93AF6">
        <w:tab/>
        <w:t>(6)</w:t>
      </w:r>
    </w:p>
    <w:p w:rsidR="00B93AF6" w:rsidRPr="00B93AF6" w:rsidRDefault="00B93AF6" w:rsidP="00B93AF6">
      <w:r w:rsidRPr="00B93AF6">
        <w:t xml:space="preserve">This condition is fulfilled for </w:t>
      </w:r>
      <w:r w:rsidRPr="00B93AF6">
        <w:fldChar w:fldCharType="begin"/>
      </w:r>
      <w:r w:rsidRPr="00B93AF6">
        <w:instrText xml:space="preserve"> REF _Ref437771224 \r \h </w:instrText>
      </w:r>
      <w:r w:rsidRPr="00B93AF6">
        <w:fldChar w:fldCharType="separate"/>
      </w:r>
      <w:r w:rsidRPr="00B93AF6">
        <w:t>[5]</w:t>
      </w:r>
      <w:r w:rsidRPr="00B93AF6">
        <w:fldChar w:fldCharType="end"/>
      </w:r>
      <w:proofErr w:type="gramStart"/>
      <w:r w:rsidRPr="00B93AF6">
        <w:t>,</w:t>
      </w:r>
      <w:proofErr w:type="gramEnd"/>
      <w:r w:rsidRPr="00B93AF6">
        <w:fldChar w:fldCharType="begin"/>
      </w:r>
      <w:r w:rsidRPr="00B93AF6">
        <w:instrText xml:space="preserve"> REF _Ref437771226 \r \h </w:instrText>
      </w:r>
      <w:r w:rsidRPr="00B93AF6">
        <w:fldChar w:fldCharType="separate"/>
      </w:r>
      <w:r w:rsidRPr="00B93AF6">
        <w:t>[6]</w:t>
      </w:r>
      <w:r w:rsidRPr="00B93AF6">
        <w:fldChar w:fldCharType="end"/>
      </w:r>
      <w:r w:rsidRPr="00B93AF6">
        <w:t>,</w:t>
      </w:r>
      <w:r w:rsidRPr="00B93AF6">
        <w:fldChar w:fldCharType="begin"/>
      </w:r>
      <w:r w:rsidRPr="00B93AF6">
        <w:instrText xml:space="preserve"> REF _Ref444014080 \r \h </w:instrText>
      </w:r>
      <w:r w:rsidRPr="00B93AF6">
        <w:fldChar w:fldCharType="separate"/>
      </w:r>
      <w:r w:rsidRPr="00B93AF6">
        <w:t>[10]</w:t>
      </w:r>
      <w:r w:rsidRPr="00B93AF6">
        <w:fldChar w:fldCharType="end"/>
      </w:r>
      <w:r w:rsidRPr="00B93AF6">
        <w:t>:</w:t>
      </w:r>
    </w:p>
    <w:p w:rsidR="00B93AF6" w:rsidRPr="00B93AF6" w:rsidRDefault="00B93AF6" w:rsidP="00B93AF6">
      <w:pPr>
        <w:pStyle w:val="ECCFiguregraphcentered"/>
      </w:pPr>
      <w:r>
        <w:tab/>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ff</m:t>
            </m:r>
          </m:sub>
        </m:sSub>
        <m:r>
          <m:rPr>
            <m:sty m:val="p"/>
          </m:rPr>
          <w:rPr>
            <w:rFonts w:ascii="Cambria Math" w:hAnsi="Cambria Math"/>
          </w:rPr>
          <m:t>=0.6</m:t>
        </m:r>
        <m:d>
          <m:dPr>
            <m:ctrlPr>
              <w:rPr>
                <w:rFonts w:ascii="Cambria Math" w:hAnsi="Cambria Math"/>
              </w:rPr>
            </m:ctrlPr>
          </m:dPr>
          <m:e>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num>
              <m:den>
                <m:r>
                  <m:rPr>
                    <m:sty m:val="p"/>
                  </m:rPr>
                  <w:rPr>
                    <w:rFonts w:ascii="Cambria Math" w:hAnsi="Cambria Math"/>
                  </w:rPr>
                  <m:t>λ</m:t>
                </m:r>
              </m:den>
            </m:f>
          </m:e>
        </m:d>
      </m:oMath>
      <w:r w:rsidRPr="00B93AF6">
        <w:tab/>
        <w:t>(7)</w:t>
      </w:r>
    </w:p>
    <w:p w:rsidR="00B93AF6" w:rsidRPr="00B93AF6" w:rsidRDefault="00B93AF6" w:rsidP="00B93AF6">
      <w:r w:rsidRPr="00B93AF6">
        <w:t>As a result, eq. (7) allows the calculation of the on-axis safeguarding distance for the analysis of the near-field effects that wind turbines may cause, when assumptions described in Section 6.1 are applied. As it can be observed, this distance is significantly shorter than the radius of the clearance area proposed by Ofcom.</w:t>
      </w:r>
    </w:p>
    <w:p w:rsidR="00B93AF6" w:rsidRPr="00B93AF6" w:rsidRDefault="00B93AF6" w:rsidP="00B93AF6">
      <w:r w:rsidRPr="00B93AF6">
        <w:t>The proposed calculation method is in line with other proposals based on measurements of IEEE </w:t>
      </w:r>
      <w:r w:rsidRPr="00B93AF6">
        <w:fldChar w:fldCharType="begin"/>
      </w:r>
      <w:r w:rsidRPr="00B93AF6">
        <w:instrText xml:space="preserve"> REF _Ref444014294 \r \h </w:instrText>
      </w:r>
      <w:r w:rsidRPr="00B93AF6">
        <w:fldChar w:fldCharType="separate"/>
      </w:r>
      <w:r w:rsidRPr="00B93AF6">
        <w:t>[11]</w:t>
      </w:r>
      <w:r w:rsidRPr="00B93AF6">
        <w:fldChar w:fldCharType="end"/>
      </w:r>
      <w:r w:rsidRPr="00B93AF6">
        <w:t xml:space="preserve"> and Canada Government </w:t>
      </w:r>
      <w:r w:rsidRPr="00B93AF6">
        <w:fldChar w:fldCharType="begin"/>
      </w:r>
      <w:r w:rsidRPr="00B93AF6">
        <w:instrText xml:space="preserve"> REF _Ref444015274 \r \h </w:instrText>
      </w:r>
      <w:r w:rsidRPr="00B93AF6">
        <w:fldChar w:fldCharType="separate"/>
      </w:r>
      <w:r w:rsidRPr="00B93AF6">
        <w:t>[13]</w:t>
      </w:r>
      <w:r w:rsidRPr="00B93AF6">
        <w:fldChar w:fldCharType="end"/>
      </w:r>
      <w:r w:rsidRPr="00B93AF6">
        <w:t xml:space="preserve">, which recommend a distance is 0.5·(D2/λ) for delimiting the near-field region in measurements of radio frequency electromagnetic fields. </w:t>
      </w:r>
    </w:p>
    <w:p w:rsidR="00B93AF6" w:rsidRDefault="00B93AF6" w:rsidP="00B93AF6"/>
    <w:p w:rsidR="00D63CA8" w:rsidRDefault="00D63CA8" w:rsidP="00B93AF6"/>
    <w:p w:rsidR="00D63CA8" w:rsidRDefault="00D63CA8" w:rsidP="00B93AF6"/>
    <w:p w:rsidR="00D63CA8" w:rsidRPr="00B93AF6" w:rsidRDefault="00D63CA8" w:rsidP="00B93AF6"/>
    <w:p w:rsidR="00B93AF6" w:rsidRPr="00B93AF6" w:rsidRDefault="00B93AF6" w:rsidP="00B93AF6">
      <w:pPr>
        <w:pStyle w:val="ECCAnnexheading3"/>
      </w:pPr>
      <w:r w:rsidRPr="00B93AF6">
        <w:lastRenderedPageBreak/>
        <w:t>Safeguarding volume</w:t>
      </w:r>
    </w:p>
    <w:p w:rsidR="00B93AF6" w:rsidRPr="00B93AF6" w:rsidRDefault="00B93AF6" w:rsidP="00B93AF6">
      <w:r w:rsidRPr="00B93AF6">
        <w:t xml:space="preserve">The on-axis safeguarding distance obtained in equation (5) is valid only for antenna boresight. In this section, the off-axis power density is </w:t>
      </w:r>
      <w:proofErr w:type="spellStart"/>
      <w:r w:rsidRPr="00B93AF6">
        <w:t>analyzed</w:t>
      </w:r>
      <w:proofErr w:type="spellEnd"/>
      <w:r w:rsidRPr="00B93AF6">
        <w:t>, in order to delimit the extent of the safeguarding volume in other directions, and therefore, to shape the safeguarding volume in a more accurate way.</w:t>
      </w:r>
    </w:p>
    <w:p w:rsidR="00B93AF6" w:rsidRPr="00B93AF6" w:rsidRDefault="00B93AF6" w:rsidP="00B93AF6">
      <w:r w:rsidRPr="00B93AF6">
        <w:t xml:space="preserve">According to Federal Communications Commission (FCC), relative intensities at off-axis locations are significantly lower than on-axis power densities at the same horizontal distance from the antenna. This is because the beam of radiation is collimated so that most of the power in the near-field is contained in a region having approximately the diameter of the reflector </w:t>
      </w:r>
      <w:r w:rsidRPr="00B93AF6">
        <w:fldChar w:fldCharType="begin"/>
      </w:r>
      <w:r w:rsidRPr="00B93AF6">
        <w:instrText xml:space="preserve"> REF _Ref444014080 \r \h </w:instrText>
      </w:r>
      <w:r w:rsidRPr="00B93AF6">
        <w:fldChar w:fldCharType="separate"/>
      </w:r>
      <w:r w:rsidRPr="00B93AF6">
        <w:t>[10]</w:t>
      </w:r>
      <w:r w:rsidRPr="00B93AF6">
        <w:fldChar w:fldCharType="end"/>
      </w:r>
      <w:r w:rsidRPr="00B93AF6">
        <w:t xml:space="preserve">. Therefore, it can be assumed that, if the point of interest is at least one antenna diameter away from the centre of the main beam, the power density at that point would be at least a factor of 100 (20 dB) less than the value calculated for the equivalent distance in the main beam </w:t>
      </w:r>
      <w:r w:rsidRPr="00B93AF6">
        <w:fldChar w:fldCharType="begin"/>
      </w:r>
      <w:r w:rsidRPr="00B93AF6">
        <w:instrText xml:space="preserve"> REF _Ref437771226 \r \h </w:instrText>
      </w:r>
      <w:r w:rsidRPr="00B93AF6">
        <w:fldChar w:fldCharType="separate"/>
      </w:r>
      <w:r w:rsidRPr="00B93AF6">
        <w:t>[6]</w:t>
      </w:r>
      <w:r w:rsidRPr="00B93AF6">
        <w:fldChar w:fldCharType="end"/>
      </w:r>
      <w:r w:rsidRPr="00B93AF6">
        <w:t>,</w:t>
      </w:r>
      <w:r w:rsidRPr="00B93AF6">
        <w:fldChar w:fldCharType="begin"/>
      </w:r>
      <w:r w:rsidRPr="00B93AF6">
        <w:instrText xml:space="preserve"> REF _Ref444014080 \r \h </w:instrText>
      </w:r>
      <w:r w:rsidRPr="00B93AF6">
        <w:fldChar w:fldCharType="separate"/>
      </w:r>
      <w:r w:rsidRPr="00B93AF6">
        <w:t>[10]</w:t>
      </w:r>
      <w:r w:rsidRPr="00B93AF6">
        <w:fldChar w:fldCharType="end"/>
      </w:r>
      <w:r w:rsidRPr="00B93AF6">
        <w:t>.</w:t>
      </w:r>
    </w:p>
    <w:p w:rsidR="00B93AF6" w:rsidRPr="00B93AF6" w:rsidRDefault="00B93AF6" w:rsidP="00B93AF6">
      <w:r w:rsidRPr="00B93AF6">
        <w:t xml:space="preserve">This is in line with Rec. ITU-R BS.1698 </w:t>
      </w:r>
      <w:r w:rsidRPr="00B93AF6">
        <w:fldChar w:fldCharType="begin"/>
      </w:r>
      <w:r w:rsidRPr="00B93AF6">
        <w:instrText xml:space="preserve"> REF _Ref437771224 \r \h </w:instrText>
      </w:r>
      <w:r w:rsidRPr="00B93AF6">
        <w:fldChar w:fldCharType="separate"/>
      </w:r>
      <w:r w:rsidRPr="00B93AF6">
        <w:t>[5]</w:t>
      </w:r>
      <w:r w:rsidRPr="00B93AF6">
        <w:fldChar w:fldCharType="end"/>
      </w:r>
      <w:r w:rsidRPr="00B93AF6">
        <w:t xml:space="preserve"> International Telecommunications Union, which states that the radiation of a parabolic antenna in the near-field zone occurs along the entire length of the zone in the form of a cylinder of diameter D, where D is the antenna diameter.</w:t>
      </w:r>
    </w:p>
    <w:p w:rsidR="00B93AF6" w:rsidRPr="00B93AF6" w:rsidRDefault="00B93AF6" w:rsidP="00B93AF6">
      <w:r w:rsidRPr="00B93AF6">
        <w:t xml:space="preserve">Last, the power density off the axis of the main beam is evaluated in IEEE </w:t>
      </w:r>
      <w:proofErr w:type="spellStart"/>
      <w:r w:rsidRPr="00B93AF6">
        <w:t>Std</w:t>
      </w:r>
      <w:proofErr w:type="spellEnd"/>
      <w:r w:rsidRPr="00B93AF6">
        <w:t xml:space="preserve"> C95.3 </w:t>
      </w:r>
      <w:r w:rsidRPr="00B93AF6">
        <w:fldChar w:fldCharType="begin"/>
      </w:r>
      <w:r w:rsidRPr="00B93AF6">
        <w:instrText xml:space="preserve"> REF _Ref444014294 \r \h </w:instrText>
      </w:r>
      <w:r w:rsidRPr="00B93AF6">
        <w:fldChar w:fldCharType="separate"/>
      </w:r>
      <w:r w:rsidRPr="00B93AF6">
        <w:t>[11]</w:t>
      </w:r>
      <w:r w:rsidRPr="00B93AF6">
        <w:fldChar w:fldCharType="end"/>
      </w:r>
      <w:r w:rsidRPr="00B93AF6">
        <w:t>, concluding that the collimated beam in the radiating near-field of a parabolic reflector antenna falls off with increasing distance approximately 12 dB per unit of antenna radius  </w:t>
      </w:r>
      <w:r w:rsidRPr="00B93AF6">
        <w:fldChar w:fldCharType="begin"/>
      </w:r>
      <w:r w:rsidRPr="00B93AF6">
        <w:instrText xml:space="preserve"> REF _Ref444014294 \r \h </w:instrText>
      </w:r>
      <w:r w:rsidRPr="00B93AF6">
        <w:fldChar w:fldCharType="separate"/>
      </w:r>
      <w:r w:rsidRPr="00B93AF6">
        <w:t>[11]</w:t>
      </w:r>
      <w:r w:rsidRPr="00B93AF6">
        <w:fldChar w:fldCharType="end"/>
      </w:r>
      <w:r w:rsidRPr="00B93AF6">
        <w:t>.</w:t>
      </w:r>
    </w:p>
    <w:p w:rsidR="00B93AF6" w:rsidRPr="00B93AF6" w:rsidRDefault="00B93AF6" w:rsidP="00B93AF6">
      <w:r w:rsidRPr="00B93AF6">
        <w:t>As a result, the safeguarding volume of circular reflector antennas can be delimited to a circular cylinder located along the antenna boresight. A radius of D for the cylinder base is a proper value to ensure that the safeguarding volume includes the most part of the radiated energy.</w:t>
      </w:r>
    </w:p>
    <w:p w:rsidR="00B93AF6" w:rsidRPr="00B93AF6" w:rsidRDefault="00B93AF6" w:rsidP="00B93AF6"/>
    <w:p w:rsidR="00B93AF6" w:rsidRPr="00B93AF6" w:rsidRDefault="00B93AF6" w:rsidP="00D10E46">
      <w:pPr>
        <w:pStyle w:val="ECCAnnexheading3"/>
      </w:pPr>
      <w:r w:rsidRPr="00B93AF6">
        <w:t>Description of the method</w:t>
      </w:r>
    </w:p>
    <w:p w:rsidR="00B93AF6" w:rsidRPr="00B93AF6" w:rsidRDefault="00B93AF6" w:rsidP="00B93AF6">
      <w:r w:rsidRPr="00B93AF6">
        <w:t>The purpose of the procedure is to obtain the constraint mask, which provides the limits of the clearance area that must be observed in the definition of the wind farm layout.</w:t>
      </w:r>
    </w:p>
    <w:p w:rsidR="00B93AF6" w:rsidRPr="00B93AF6" w:rsidRDefault="00B93AF6" w:rsidP="00B93AF6">
      <w:r w:rsidRPr="00B93AF6">
        <w:t>The application procedure for each radio link antenna in a transmission tower is as follows </w:t>
      </w:r>
      <w:r w:rsidRPr="00B93AF6">
        <w:fldChar w:fldCharType="begin"/>
      </w:r>
      <w:r w:rsidRPr="00B93AF6">
        <w:instrText xml:space="preserve"> REF _Ref437839313 \r \h </w:instrText>
      </w:r>
      <w:r w:rsidRPr="00B93AF6">
        <w:fldChar w:fldCharType="separate"/>
      </w:r>
      <w:r w:rsidRPr="00B93AF6">
        <w:t>[9]</w:t>
      </w:r>
      <w:r w:rsidRPr="00B93AF6">
        <w:fldChar w:fldCharType="end"/>
      </w:r>
      <w:r w:rsidRPr="00B93AF6">
        <w:t>:</w:t>
      </w:r>
    </w:p>
    <w:p w:rsidR="00B93AF6" w:rsidRPr="00B93AF6" w:rsidRDefault="00B93AF6" w:rsidP="00B93AF6">
      <w:r>
        <w:t>Antenna o</w:t>
      </w:r>
      <w:r w:rsidRPr="00B93AF6">
        <w:t xml:space="preserve">n-axis safeguarding distance (or range for far-field condition </w:t>
      </w:r>
      <w:proofErr w:type="spellStart"/>
      <w:r w:rsidRPr="00B93AF6">
        <w:t>Rff</w:t>
      </w:r>
      <w:proofErr w:type="spellEnd"/>
      <w:r w:rsidRPr="00B93AF6">
        <w:t>) is calculated from reflector antenna diameter (D) and radio link wavelength (λ):</w:t>
      </w:r>
    </w:p>
    <w:p w:rsidR="00B93AF6" w:rsidRPr="00B93AF6" w:rsidRDefault="00B93AF6" w:rsidP="00D63CA8">
      <w:pPr>
        <w:pStyle w:val="ECCFiguregraphcentered"/>
      </w:pPr>
      <w:r>
        <w:tab/>
      </w:r>
      <m:oMath>
        <m:sSub>
          <m:sSubPr>
            <m:ctrlPr>
              <w:rPr>
                <w:rFonts w:ascii="Cambria Math" w:hAnsi="Cambria Math"/>
              </w:rPr>
            </m:ctrlPr>
          </m:sSubPr>
          <m:e>
            <m:r>
              <w:rPr>
                <w:rFonts w:ascii="Cambria Math" w:hAnsi="Cambria Math"/>
              </w:rPr>
              <m:t>R</m:t>
            </m:r>
          </m:e>
          <m:sub>
            <m:r>
              <w:rPr>
                <w:rFonts w:ascii="Cambria Math" w:hAnsi="Cambria Math"/>
              </w:rPr>
              <m:t>ff</m:t>
            </m:r>
          </m:sub>
        </m:sSub>
        <m:r>
          <m:rPr>
            <m:sty m:val="p"/>
          </m:rPr>
          <w:rPr>
            <w:rFonts w:ascii="Cambria Math" w:hAnsi="Cambria Math"/>
          </w:rPr>
          <m:t>=0.6</m:t>
        </m:r>
        <m:d>
          <m:dPr>
            <m:ctrlPr>
              <w:rPr>
                <w:rFonts w:ascii="Cambria Math" w:hAnsi="Cambria Math"/>
              </w:rPr>
            </m:ctrlPr>
          </m:dPr>
          <m:e>
            <m:f>
              <m:fPr>
                <m:type m:val="skw"/>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w:rPr>
                    <w:rFonts w:ascii="Cambria Math" w:hAnsi="Cambria Math"/>
                  </w:rPr>
                  <m:t>λ</m:t>
                </m:r>
              </m:den>
            </m:f>
          </m:e>
        </m:d>
      </m:oMath>
      <w:r w:rsidRPr="00B93AF6">
        <w:tab/>
      </w:r>
    </w:p>
    <w:p w:rsidR="00B93AF6" w:rsidRPr="00B93AF6" w:rsidRDefault="00B93AF6" w:rsidP="00B93AF6">
      <w:r>
        <w:t xml:space="preserve">For off-axis directions, </w:t>
      </w:r>
      <w:r w:rsidRPr="00B93AF6">
        <w:t>the safeguarding volume is delimited by a circular cylinder of radius D, located along the antenna axis (boresight). Antenna axis corresponds to the straight line that links both antennas of the radio link.</w:t>
      </w:r>
    </w:p>
    <w:p w:rsidR="00B93AF6" w:rsidRPr="00B93AF6" w:rsidRDefault="00B93AF6" w:rsidP="00B93AF6">
      <w:r>
        <w:t xml:space="preserve">The resultant safeguarding volume is a circular cylinder of radius </w:t>
      </w:r>
      <w:r w:rsidRPr="00B93AF6">
        <w:t xml:space="preserve">D and length </w:t>
      </w:r>
      <w:proofErr w:type="spellStart"/>
      <w:proofErr w:type="gramStart"/>
      <w:r w:rsidRPr="00B93AF6">
        <w:t>Rff</w:t>
      </w:r>
      <w:proofErr w:type="spellEnd"/>
      <w:r w:rsidRPr="00B93AF6">
        <w:t xml:space="preserve">  lined</w:t>
      </w:r>
      <w:proofErr w:type="gramEnd"/>
      <w:r w:rsidRPr="00B93AF6">
        <w:t xml:space="preserve"> up with the antenna axis.</w:t>
      </w:r>
    </w:p>
    <w:p w:rsidR="00B93AF6" w:rsidRPr="00B93AF6" w:rsidRDefault="00B93AF6" w:rsidP="00B93AF6">
      <w:r>
        <w:t>In order to delimit the safeguarding area on the terrain, the cylinder that forms the safeguarding volume should be projected on the ground. To simplify this task, a rectangle 2</w:t>
      </w:r>
      <w:r w:rsidRPr="00B93AF6">
        <w:t xml:space="preserve">D wide and </w:t>
      </w:r>
      <w:proofErr w:type="spellStart"/>
      <w:proofErr w:type="gramStart"/>
      <w:r w:rsidRPr="00B93AF6">
        <w:t>Rff</w:t>
      </w:r>
      <w:proofErr w:type="spellEnd"/>
      <w:r w:rsidRPr="00B93AF6">
        <w:t xml:space="preserve">  long</w:t>
      </w:r>
      <w:proofErr w:type="gramEnd"/>
      <w:r w:rsidRPr="00B93AF6">
        <w:t>, lined up with the radio link, can be represented on the terrain, with origin on the tower base (see Fig. 1).</w:t>
      </w:r>
    </w:p>
    <w:p w:rsidR="00B93AF6" w:rsidRPr="00B93AF6" w:rsidRDefault="00B93AF6" w:rsidP="00B93AF6">
      <w:r>
        <w:t>The last step is the calculation of the constraint mask, this is, the area where no wind turbines should be installed in order to observe the safeguarding area. The constraint mask can be calculated adding a distance equal to half of wind turbine rotor diameter to the dimensions of the safeguarding area, as represented in Fig. </w:t>
      </w:r>
      <w:r w:rsidRPr="00B93AF6">
        <w:t>1.</w:t>
      </w:r>
    </w:p>
    <w:p w:rsidR="00B93AF6" w:rsidRPr="00B93AF6" w:rsidRDefault="00B93AF6" w:rsidP="00B93AF6">
      <w:r>
        <w:t xml:space="preserve">Future installations of microwave radio links can be considered in the assessment of the constraint mask. As the extension of the safeguarding area depends only on the link parameters (frequency and antenna </w:t>
      </w:r>
      <w:r>
        <w:lastRenderedPageBreak/>
        <w:t xml:space="preserve">dimensions), and frequency bands and antenna sizes of each service can be estimated in advance by the network operator, it is possible to apply the same procedure to assess safeguarding areas for future microwave radio links. In this case, consideration of worst case (highest frequency and greatest antenna diameter) is recommended. In case that other directions, different than those used by current radio links, are expected to be </w:t>
      </w:r>
      <w:r w:rsidRPr="00B93AF6">
        <w:t xml:space="preserve">used, they should be included in the assessment of the constraint mask. If directions of future radio links are to be defined, a worst case assumption can be applied, which in this case consists in a constraint mask composed by a circle centred on the transmitter site location and radius related to the longest </w:t>
      </w:r>
      <w:proofErr w:type="spellStart"/>
      <w:r w:rsidRPr="00B93AF6">
        <w:t>Rff</w:t>
      </w:r>
      <w:proofErr w:type="spellEnd"/>
      <w:r w:rsidRPr="00B93AF6">
        <w:t xml:space="preserve">  value.</w:t>
      </w:r>
    </w:p>
    <w:p w:rsidR="00B93AF6" w:rsidRDefault="00B93AF6" w:rsidP="00B93AF6"/>
    <w:p w:rsidR="00B93AF6" w:rsidRPr="00B93AF6" w:rsidRDefault="00B93AF6" w:rsidP="00D10E46">
      <w:pPr>
        <w:pStyle w:val="ECCFiguregraphcentered"/>
      </w:pPr>
      <w:r w:rsidRPr="00B93AF6">
        <w:rPr>
          <w:lang w:val="sv-SE" w:eastAsia="sv-SE"/>
        </w:rPr>
        <w:drawing>
          <wp:inline distT="0" distB="0" distL="0" distR="0" wp14:anchorId="74C49705" wp14:editId="34E2A416">
            <wp:extent cx="3437223" cy="3805707"/>
            <wp:effectExtent l="19050" t="0" r="0" b="0"/>
            <wp:docPr id="1" name="Imagen 1" descr="D:\_C-GRUPO\Publ-Art\Taylor-Francis\Journal of EM Waves and Applic\Near Field Effects of Wind Turbines on Radiolinks\1-Enviado\Fig.4_Safeguarding ar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C-GRUPO\Publ-Art\Taylor-Francis\Journal of EM Waves and Applic\Near Field Effects of Wind Turbines on Radiolinks\1-Enviado\Fig.4_Safeguarding area.tif"/>
                    <pic:cNvPicPr>
                      <a:picLocks noChangeAspect="1" noChangeArrowheads="1"/>
                    </pic:cNvPicPr>
                  </pic:nvPicPr>
                  <pic:blipFill>
                    <a:blip r:embed="rId12" cstate="print"/>
                    <a:srcRect/>
                    <a:stretch>
                      <a:fillRect/>
                    </a:stretch>
                  </pic:blipFill>
                  <pic:spPr bwMode="auto">
                    <a:xfrm>
                      <a:off x="0" y="0"/>
                      <a:ext cx="3432741" cy="3800744"/>
                    </a:xfrm>
                    <a:prstGeom prst="rect">
                      <a:avLst/>
                    </a:prstGeom>
                    <a:noFill/>
                    <a:ln w="9525">
                      <a:noFill/>
                      <a:miter lim="800000"/>
                      <a:headEnd/>
                      <a:tailEnd/>
                    </a:ln>
                  </pic:spPr>
                </pic:pic>
              </a:graphicData>
            </a:graphic>
          </wp:inline>
        </w:drawing>
      </w:r>
    </w:p>
    <w:p w:rsidR="00B93AF6" w:rsidRPr="00B93AF6" w:rsidRDefault="00B93AF6" w:rsidP="00B93AF6">
      <w:proofErr w:type="gramStart"/>
      <w:r w:rsidRPr="00B93AF6">
        <w:t>Fig. 1.</w:t>
      </w:r>
      <w:proofErr w:type="gramEnd"/>
      <w:r w:rsidRPr="00B93AF6">
        <w:t xml:space="preserve"> Aerial view of a reflector antenna (in </w:t>
      </w:r>
      <w:proofErr w:type="spellStart"/>
      <w:r w:rsidRPr="00B93AF6">
        <w:t>gray</w:t>
      </w:r>
      <w:proofErr w:type="spellEnd"/>
      <w:r w:rsidRPr="00B93AF6">
        <w:t>) in a transmitter tower: in red, safeguarding area (projection of the safeguarding volume on the ground); in orange, constraint mask (area where no wind turbines should be installed).</w:t>
      </w:r>
    </w:p>
    <w:p w:rsidR="00B93AF6" w:rsidRPr="00B93AF6" w:rsidRDefault="00B93AF6" w:rsidP="00B93AF6"/>
    <w:bookmarkEnd w:id="42"/>
    <w:p w:rsidR="00B93AF6" w:rsidRPr="00B93AF6" w:rsidRDefault="00B93AF6" w:rsidP="00B93AF6">
      <w:r w:rsidRPr="00B93AF6">
        <w:br w:type="page"/>
      </w:r>
    </w:p>
    <w:p w:rsidR="00B93AF6" w:rsidRPr="00B93AF6" w:rsidRDefault="00B93AF6" w:rsidP="00D10E46">
      <w:pPr>
        <w:pStyle w:val="ECCAnnexheading2"/>
      </w:pPr>
      <w:r w:rsidRPr="00B93AF6">
        <w:lastRenderedPageBreak/>
        <w:t>References</w:t>
      </w:r>
    </w:p>
    <w:p w:rsidR="00B93AF6" w:rsidRPr="00B93AF6" w:rsidRDefault="00B93AF6" w:rsidP="00B93AF6">
      <w:bookmarkStart w:id="43" w:name="_Ref437771198"/>
      <w:proofErr w:type="spellStart"/>
      <w:r w:rsidRPr="00B93AF6">
        <w:t>Angueira</w:t>
      </w:r>
      <w:proofErr w:type="spellEnd"/>
      <w:r w:rsidRPr="00B93AF6">
        <w:t xml:space="preserve"> P, </w:t>
      </w:r>
      <w:proofErr w:type="spellStart"/>
      <w:r w:rsidRPr="00B93AF6">
        <w:t>Romo</w:t>
      </w:r>
      <w:proofErr w:type="spellEnd"/>
      <w:r w:rsidRPr="00B93AF6">
        <w:t xml:space="preserve"> J. Microwave Line of Sight Link Engineering. </w:t>
      </w:r>
      <w:proofErr w:type="gramStart"/>
      <w:r w:rsidRPr="00B93AF6">
        <w:t>Wiley, 2012.</w:t>
      </w:r>
      <w:bookmarkEnd w:id="43"/>
      <w:proofErr w:type="gramEnd"/>
    </w:p>
    <w:p w:rsidR="00B93AF6" w:rsidRPr="00B93AF6" w:rsidRDefault="00B93AF6" w:rsidP="00B93AF6">
      <w:bookmarkStart w:id="44" w:name="_Ref437771210"/>
      <w:r w:rsidRPr="00B93AF6">
        <w:t xml:space="preserve">Angulo I, de la Vega D, </w:t>
      </w:r>
      <w:proofErr w:type="spellStart"/>
      <w:r w:rsidRPr="00B93AF6">
        <w:t>Cascón</w:t>
      </w:r>
      <w:proofErr w:type="spellEnd"/>
      <w:r w:rsidRPr="00B93AF6">
        <w:t xml:space="preserve"> I, </w:t>
      </w:r>
      <w:proofErr w:type="spellStart"/>
      <w:r w:rsidRPr="00B93AF6">
        <w:t>Cañizo</w:t>
      </w:r>
      <w:proofErr w:type="spellEnd"/>
      <w:r w:rsidRPr="00B93AF6">
        <w:t xml:space="preserve"> J, Wu Y, Guerra D, </w:t>
      </w:r>
      <w:proofErr w:type="spellStart"/>
      <w:r w:rsidRPr="00B93AF6">
        <w:t>Angueira</w:t>
      </w:r>
      <w:proofErr w:type="spellEnd"/>
      <w:r w:rsidRPr="00B93AF6">
        <w:t xml:space="preserve"> P. Impact analysis of wind farms on telecommunication services. </w:t>
      </w:r>
      <w:proofErr w:type="gramStart"/>
      <w:r w:rsidRPr="00B93AF6">
        <w:t>Renewable and Sustainable Energy Reviews.</w:t>
      </w:r>
      <w:proofErr w:type="gramEnd"/>
      <w:r w:rsidRPr="00B93AF6">
        <w:t xml:space="preserve"> </w:t>
      </w:r>
      <w:proofErr w:type="gramStart"/>
      <w:r w:rsidRPr="00B93AF6">
        <w:t>2014; 32: 84-99.</w:t>
      </w:r>
      <w:proofErr w:type="gramEnd"/>
      <w:r w:rsidRPr="00B93AF6">
        <w:t xml:space="preserve"> </w:t>
      </w:r>
      <w:proofErr w:type="spellStart"/>
      <w:proofErr w:type="gramStart"/>
      <w:r w:rsidRPr="00B93AF6">
        <w:t>doi</w:t>
      </w:r>
      <w:proofErr w:type="spellEnd"/>
      <w:proofErr w:type="gramEnd"/>
      <w:r w:rsidRPr="00B93AF6">
        <w:t>: 10.1016/j.rser.2013.12.055</w:t>
      </w:r>
      <w:bookmarkEnd w:id="44"/>
      <w:r w:rsidRPr="00B93AF6">
        <w:t>.</w:t>
      </w:r>
    </w:p>
    <w:p w:rsidR="00B93AF6" w:rsidRPr="00B93AF6" w:rsidRDefault="00B93AF6" w:rsidP="00B93AF6">
      <w:bookmarkStart w:id="45" w:name="_Ref437771257"/>
      <w:r w:rsidRPr="00B93AF6">
        <w:t xml:space="preserve">Bacon DF. </w:t>
      </w:r>
      <w:proofErr w:type="gramStart"/>
      <w:r w:rsidRPr="00B93AF6">
        <w:t>Fixed-link wind-turbine exclusion zone method.</w:t>
      </w:r>
      <w:proofErr w:type="gramEnd"/>
      <w:r w:rsidRPr="00B93AF6">
        <w:t xml:space="preserve"> </w:t>
      </w:r>
      <w:proofErr w:type="gramStart"/>
      <w:r w:rsidRPr="00B93AF6">
        <w:t>OFCOM report, 2002</w:t>
      </w:r>
      <w:bookmarkEnd w:id="45"/>
      <w:r w:rsidRPr="00B93AF6">
        <w:t>.</w:t>
      </w:r>
      <w:proofErr w:type="gramEnd"/>
    </w:p>
    <w:p w:rsidR="00B93AF6" w:rsidRPr="00B93AF6" w:rsidRDefault="00B93AF6" w:rsidP="00B93AF6">
      <w:bookmarkStart w:id="46" w:name="_Ref437771259"/>
      <w:r w:rsidRPr="00B93AF6">
        <w:t>Joint Radio Company. Calculation of wind turbine clearance zones for JRC UHF (460MHz) telemetry Systems when turbine sizes and locations are accurately known, Version 3.1. 2009.</w:t>
      </w:r>
      <w:bookmarkEnd w:id="46"/>
    </w:p>
    <w:p w:rsidR="00B93AF6" w:rsidRPr="00B93AF6" w:rsidRDefault="00B93AF6" w:rsidP="00B93AF6">
      <w:bookmarkStart w:id="47" w:name="_Ref437771224"/>
      <w:proofErr w:type="gramStart"/>
      <w:r w:rsidRPr="00B93AF6">
        <w:t>International Telecommunication Union.</w:t>
      </w:r>
      <w:proofErr w:type="gramEnd"/>
      <w:r w:rsidRPr="00B93AF6">
        <w:t xml:space="preserve"> Rec. ITU-R BS.1698. </w:t>
      </w:r>
      <w:proofErr w:type="gramStart"/>
      <w:r w:rsidRPr="00B93AF6">
        <w:t xml:space="preserve">Evaluating fields from terrestrial broadcasting transmitting systems operating in any frequency band for assessing exposure to </w:t>
      </w:r>
      <w:proofErr w:type="spellStart"/>
      <w:r w:rsidRPr="00B93AF6">
        <w:t>non ionizing</w:t>
      </w:r>
      <w:proofErr w:type="spellEnd"/>
      <w:r w:rsidRPr="00B93AF6">
        <w:t xml:space="preserve"> radiation.</w:t>
      </w:r>
      <w:proofErr w:type="gramEnd"/>
      <w:r w:rsidRPr="00B93AF6">
        <w:t xml:space="preserve"> 2005.</w:t>
      </w:r>
      <w:bookmarkEnd w:id="47"/>
    </w:p>
    <w:p w:rsidR="00B93AF6" w:rsidRPr="00B93AF6" w:rsidRDefault="00B93AF6" w:rsidP="00B93AF6">
      <w:bookmarkStart w:id="48" w:name="_Ref437771226"/>
      <w:r w:rsidRPr="00B93AF6">
        <w:t xml:space="preserve">Federal Communications Commission, Office of Engineering &amp; Technology Evaluating. </w:t>
      </w:r>
      <w:proofErr w:type="gramStart"/>
      <w:r w:rsidRPr="00B93AF6">
        <w:t>Compliance with FCC Guidelines for Human Exposure to Radiofrequency Electromagnetic Fields.</w:t>
      </w:r>
      <w:proofErr w:type="gramEnd"/>
      <w:r w:rsidRPr="00B93AF6">
        <w:t xml:space="preserve"> </w:t>
      </w:r>
      <w:proofErr w:type="gramStart"/>
      <w:r w:rsidRPr="00B93AF6">
        <w:t>OET Bulletin.</w:t>
      </w:r>
      <w:proofErr w:type="gramEnd"/>
      <w:r w:rsidRPr="00B93AF6">
        <w:t xml:space="preserve"> </w:t>
      </w:r>
      <w:proofErr w:type="gramStart"/>
      <w:r w:rsidRPr="00B93AF6">
        <w:t>1997; 65.</w:t>
      </w:r>
      <w:bookmarkEnd w:id="48"/>
      <w:proofErr w:type="gramEnd"/>
      <w:r w:rsidRPr="00B93AF6">
        <w:t xml:space="preserve"> </w:t>
      </w:r>
    </w:p>
    <w:p w:rsidR="00B93AF6" w:rsidRPr="00B93AF6" w:rsidRDefault="00B93AF6" w:rsidP="00B93AF6">
      <w:bookmarkStart w:id="49" w:name="_Ref437771245"/>
      <w:r w:rsidRPr="00B93AF6">
        <w:t xml:space="preserve">Seybold JS. </w:t>
      </w:r>
      <w:proofErr w:type="gramStart"/>
      <w:r w:rsidRPr="00B93AF6">
        <w:t>Introduction to RF Propagation.</w:t>
      </w:r>
      <w:proofErr w:type="gramEnd"/>
      <w:r w:rsidRPr="00B93AF6">
        <w:t xml:space="preserve"> </w:t>
      </w:r>
      <w:proofErr w:type="gramStart"/>
      <w:r w:rsidRPr="00B93AF6">
        <w:t>Wiley, 2005.</w:t>
      </w:r>
      <w:bookmarkEnd w:id="49"/>
      <w:proofErr w:type="gramEnd"/>
    </w:p>
    <w:p w:rsidR="00B93AF6" w:rsidRPr="00B93AF6" w:rsidRDefault="00B93AF6" w:rsidP="00B93AF6">
      <w:bookmarkStart w:id="50" w:name="_Ref437771357"/>
      <w:proofErr w:type="spellStart"/>
      <w:proofErr w:type="gramStart"/>
      <w:r w:rsidRPr="00B93AF6">
        <w:t>Balanis</w:t>
      </w:r>
      <w:proofErr w:type="spellEnd"/>
      <w:r w:rsidRPr="00B93AF6">
        <w:t xml:space="preserve"> CA. Antenna Theory.</w:t>
      </w:r>
      <w:proofErr w:type="gramEnd"/>
      <w:r w:rsidRPr="00B93AF6">
        <w:t xml:space="preserve"> </w:t>
      </w:r>
      <w:proofErr w:type="gramStart"/>
      <w:r w:rsidRPr="00B93AF6">
        <w:t>Analysis and Design.</w:t>
      </w:r>
      <w:proofErr w:type="gramEnd"/>
      <w:r w:rsidRPr="00B93AF6">
        <w:t xml:space="preserve"> </w:t>
      </w:r>
      <w:proofErr w:type="gramStart"/>
      <w:r w:rsidRPr="00B93AF6">
        <w:t>Second Edition.</w:t>
      </w:r>
      <w:proofErr w:type="gramEnd"/>
      <w:r w:rsidRPr="00B93AF6">
        <w:t xml:space="preserve"> </w:t>
      </w:r>
      <w:proofErr w:type="gramStart"/>
      <w:r w:rsidRPr="00B93AF6">
        <w:t>Wiley, 1982.</w:t>
      </w:r>
      <w:bookmarkEnd w:id="50"/>
      <w:proofErr w:type="gramEnd"/>
    </w:p>
    <w:p w:rsidR="00B93AF6" w:rsidRPr="00B93AF6" w:rsidRDefault="00B93AF6" w:rsidP="00B93AF6">
      <w:bookmarkStart w:id="51" w:name="_Ref437771338"/>
      <w:bookmarkStart w:id="52" w:name="_Ref437839313"/>
      <w:r w:rsidRPr="00B93AF6">
        <w:t xml:space="preserve">Angulo I, Grande O, de la Vega D, Guerra D and </w:t>
      </w:r>
      <w:proofErr w:type="spellStart"/>
      <w:r w:rsidRPr="00B93AF6">
        <w:t>Arrinda</w:t>
      </w:r>
      <w:proofErr w:type="spellEnd"/>
      <w:r w:rsidRPr="00B93AF6">
        <w:t xml:space="preserve"> A. Method for Avoiding Near-Field Effects of Wind Turbines on Microwave Terrestrial Radio Links. Journal of Electromagnetic Waves and Applications, 2015</w:t>
      </w:r>
      <w:bookmarkEnd w:id="51"/>
      <w:r w:rsidRPr="00B93AF6">
        <w:t xml:space="preserve"> [</w:t>
      </w:r>
      <w:proofErr w:type="spellStart"/>
      <w:r w:rsidRPr="00B93AF6">
        <w:t>doi</w:t>
      </w:r>
      <w:proofErr w:type="spellEnd"/>
      <w:r w:rsidRPr="00B93AF6">
        <w:t>: 10.1080/09205071.2015.1096838]</w:t>
      </w:r>
      <w:bookmarkEnd w:id="52"/>
    </w:p>
    <w:p w:rsidR="00B93AF6" w:rsidRPr="00B93AF6" w:rsidRDefault="00B93AF6" w:rsidP="00B93AF6">
      <w:bookmarkStart w:id="53" w:name="_Ref444014080"/>
      <w:proofErr w:type="spellStart"/>
      <w:r w:rsidRPr="00B93AF6">
        <w:t>Hankin</w:t>
      </w:r>
      <w:proofErr w:type="spellEnd"/>
      <w:r w:rsidRPr="00B93AF6">
        <w:t xml:space="preserve"> N. The Radiofrequency Radiation Environment: Environmental Exposure Levels and RF Radiation Emitting Sources. U.S. Environmental Protection Agency, Report No. </w:t>
      </w:r>
      <w:proofErr w:type="gramStart"/>
      <w:r w:rsidRPr="00B93AF6">
        <w:t>EPA 520/1-85-014.</w:t>
      </w:r>
      <w:proofErr w:type="gramEnd"/>
      <w:r w:rsidRPr="00B93AF6">
        <w:t xml:space="preserve"> 1986.</w:t>
      </w:r>
      <w:bookmarkEnd w:id="53"/>
    </w:p>
    <w:p w:rsidR="00B93AF6" w:rsidRPr="00B93AF6" w:rsidRDefault="00B93AF6" w:rsidP="00B93AF6">
      <w:bookmarkStart w:id="54" w:name="_Ref444014294"/>
      <w:proofErr w:type="gramStart"/>
      <w:r w:rsidRPr="00B93AF6">
        <w:t>IEEE International Committee on Electromagnetic Safety.</w:t>
      </w:r>
      <w:proofErr w:type="gramEnd"/>
      <w:r w:rsidRPr="00B93AF6">
        <w:t xml:space="preserve"> IEEE </w:t>
      </w:r>
      <w:proofErr w:type="spellStart"/>
      <w:r w:rsidRPr="00B93AF6">
        <w:t>Std</w:t>
      </w:r>
      <w:proofErr w:type="spellEnd"/>
      <w:r w:rsidRPr="00B93AF6">
        <w:t xml:space="preserve"> C95.3: IEEE recommended practice for measurements and computations of radio frequency electromagnetic fields with respect to human exposure to such fields, 100 kHz-300 GHz, IEEE </w:t>
      </w:r>
      <w:proofErr w:type="spellStart"/>
      <w:r w:rsidRPr="00B93AF6">
        <w:t>Std</w:t>
      </w:r>
      <w:proofErr w:type="spellEnd"/>
      <w:r w:rsidRPr="00B93AF6">
        <w:t xml:space="preserve"> C95.3™-2002 (R2008) (Revision of IEEE </w:t>
      </w:r>
      <w:proofErr w:type="spellStart"/>
      <w:r w:rsidRPr="00B93AF6">
        <w:t>Std</w:t>
      </w:r>
      <w:proofErr w:type="spellEnd"/>
      <w:r w:rsidRPr="00B93AF6">
        <w:t xml:space="preserve"> C95.3-1991). 2008.</w:t>
      </w:r>
      <w:bookmarkEnd w:id="54"/>
    </w:p>
    <w:p w:rsidR="00B93AF6" w:rsidRPr="00B93AF6" w:rsidRDefault="00B93AF6" w:rsidP="00B93AF6">
      <w:bookmarkStart w:id="55" w:name="_Ref437771260"/>
      <w:r w:rsidRPr="00B93AF6">
        <w:t xml:space="preserve">Joint Radio Company. </w:t>
      </w:r>
      <w:proofErr w:type="gramStart"/>
      <w:r w:rsidRPr="00B93AF6">
        <w:t>Procedure for coordination with wind energy developments, Version 2.0.2.</w:t>
      </w:r>
      <w:proofErr w:type="gramEnd"/>
      <w:r w:rsidRPr="00B93AF6">
        <w:t xml:space="preserve"> 2010.</w:t>
      </w:r>
      <w:bookmarkEnd w:id="55"/>
    </w:p>
    <w:p w:rsidR="00B93AF6" w:rsidRPr="00B93AF6" w:rsidRDefault="00B93AF6" w:rsidP="00B93AF6">
      <w:bookmarkStart w:id="56" w:name="_Ref444015274"/>
      <w:proofErr w:type="gramStart"/>
      <w:r w:rsidRPr="00B93AF6">
        <w:t>Industry Canada, Spectrum Management and Telecommunications.</w:t>
      </w:r>
      <w:proofErr w:type="gramEnd"/>
      <w:r w:rsidRPr="00B93AF6">
        <w:t xml:space="preserve"> GL-01 — Guidelines for the Measurement of Radio Frequency Fields at Frequencies from 3 KHz to 300 GHz. 2005; 2.</w:t>
      </w:r>
      <w:bookmarkEnd w:id="56"/>
    </w:p>
    <w:p w:rsidR="00B93AF6" w:rsidRPr="00BC03FD" w:rsidRDefault="00B93AF6" w:rsidP="005E71F3">
      <w:pPr>
        <w:pStyle w:val="ECCTablenote"/>
        <w:rPr>
          <w:rStyle w:val="ECCParagraph"/>
        </w:rPr>
      </w:pPr>
    </w:p>
    <w:sectPr w:rsidR="00B93AF6" w:rsidRPr="00BC03FD" w:rsidSect="009B022D">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9BA" w:rsidRDefault="007E59BA" w:rsidP="004930E1">
      <w:r>
        <w:separator/>
      </w:r>
    </w:p>
    <w:p w:rsidR="007E59BA" w:rsidRDefault="007E59BA" w:rsidP="004930E1"/>
  </w:endnote>
  <w:endnote w:type="continuationSeparator" w:id="0">
    <w:p w:rsidR="007E59BA" w:rsidRDefault="007E59BA" w:rsidP="004930E1">
      <w:r>
        <w:continuationSeparator/>
      </w:r>
    </w:p>
    <w:p w:rsidR="007E59BA" w:rsidRDefault="007E59BA"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F6" w:rsidRDefault="00B93AF6">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F6" w:rsidRDefault="00B93AF6">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F6" w:rsidRDefault="00B93AF6">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9BA" w:rsidRPr="00F7440E" w:rsidRDefault="007E59BA" w:rsidP="004930E1">
      <w:pPr>
        <w:pStyle w:val="Fotnotstext"/>
      </w:pPr>
      <w:r>
        <w:separator/>
      </w:r>
    </w:p>
  </w:footnote>
  <w:footnote w:type="continuationSeparator" w:id="0">
    <w:p w:rsidR="007E59BA" w:rsidRPr="00F7440E" w:rsidRDefault="007E59BA" w:rsidP="004930E1">
      <w:r>
        <w:continuationSeparator/>
      </w:r>
    </w:p>
  </w:footnote>
  <w:footnote w:type="continuationNotice" w:id="1">
    <w:p w:rsidR="007E59BA" w:rsidRPr="00CD07E7" w:rsidRDefault="007E59BA" w:rsidP="004930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F6" w:rsidRPr="00AD1BE1" w:rsidRDefault="007E59BA" w:rsidP="00AD1BE1">
    <w:pPr>
      <w:pStyle w:val="ECCpageHeader"/>
    </w:pPr>
    <w:sdt>
      <w:sdtPr>
        <w:id w:val="1989898194"/>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B93AF6">
      <w:t xml:space="preserve">Draft </w:t>
    </w:r>
    <w:r w:rsidR="00B93AF6" w:rsidRPr="00AD1BE1">
      <w:t xml:space="preserve">ECC REPORT </w:t>
    </w:r>
    <w:r w:rsidR="00B93AF6" w:rsidRPr="00F7440E">
      <w:rPr>
        <w:rStyle w:val="Starkreferens"/>
      </w:rPr>
      <w:t>&lt;</w:t>
    </w:r>
    <w:r w:rsidR="00B93AF6" w:rsidRPr="00AD1BE1">
      <w:t xml:space="preserve">No&gt; - Page </w:t>
    </w:r>
    <w:r w:rsidR="00B93AF6" w:rsidRPr="00AD1BE1">
      <w:fldChar w:fldCharType="begin"/>
    </w:r>
    <w:r w:rsidR="00B93AF6" w:rsidRPr="00AD1BE1">
      <w:instrText xml:space="preserve"> PAGE  \* Arabic  \* MERGEFORMAT </w:instrText>
    </w:r>
    <w:r w:rsidR="00B93AF6" w:rsidRPr="00AD1BE1">
      <w:fldChar w:fldCharType="separate"/>
    </w:r>
    <w:r w:rsidR="000D2E4D">
      <w:rPr>
        <w:noProof/>
      </w:rPr>
      <w:t>12</w:t>
    </w:r>
    <w:r w:rsidR="00B93AF6"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F6" w:rsidRPr="00966560" w:rsidRDefault="007E59BA" w:rsidP="00E36601">
    <w:pPr>
      <w:pStyle w:val="ECCpageHeader"/>
      <w:rPr>
        <w:lang w:val="en-GB"/>
      </w:rPr>
    </w:pPr>
    <w:sdt>
      <w:sdtPr>
        <w:id w:val="659817559"/>
        <w:docPartObj>
          <w:docPartGallery w:val="Watermarks"/>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B93AF6" w:rsidRPr="00966560">
      <w:rPr>
        <w:lang w:val="en-GB"/>
      </w:rPr>
      <w:tab/>
    </w:r>
    <w:r w:rsidR="00B93AF6" w:rsidRPr="00966560">
      <w:rPr>
        <w:lang w:val="en-GB"/>
      </w:rPr>
      <w:tab/>
      <w:t xml:space="preserve"> Draft ECC REPORT </w:t>
    </w:r>
    <w:r w:rsidR="00B93AF6" w:rsidRPr="00966560">
      <w:rPr>
        <w:rStyle w:val="Starkreferens"/>
        <w:lang w:val="en-GB"/>
      </w:rPr>
      <w:t>&lt;</w:t>
    </w:r>
    <w:r w:rsidR="00B93AF6" w:rsidRPr="00966560">
      <w:rPr>
        <w:lang w:val="en-GB"/>
      </w:rPr>
      <w:t xml:space="preserve">No&gt; - Page </w:t>
    </w:r>
    <w:r w:rsidR="00B93AF6" w:rsidRPr="00296C44">
      <w:fldChar w:fldCharType="begin"/>
    </w:r>
    <w:r w:rsidR="00B93AF6" w:rsidRPr="00966560">
      <w:rPr>
        <w:lang w:val="en-GB"/>
      </w:rPr>
      <w:instrText xml:space="preserve"> PAGE  \* Arabic  \* MERGEFORMAT </w:instrText>
    </w:r>
    <w:r w:rsidR="00B93AF6" w:rsidRPr="00296C44">
      <w:fldChar w:fldCharType="separate"/>
    </w:r>
    <w:r w:rsidR="000D2E4D">
      <w:rPr>
        <w:noProof/>
        <w:lang w:val="en-GB"/>
      </w:rPr>
      <w:t>11</w:t>
    </w:r>
    <w:r w:rsidR="00B93AF6" w:rsidRPr="00296C44">
      <w:fldChar w:fldCharType="end"/>
    </w:r>
  </w:p>
  <w:p w:rsidR="00B93AF6" w:rsidRDefault="00B93AF6"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F6" w:rsidRPr="005611D0" w:rsidRDefault="00B93AF6" w:rsidP="009B022D">
    <w:pPr>
      <w:pStyle w:val="ECCpageHeader"/>
    </w:pPr>
  </w:p>
  <w:p w:rsidR="00B93AF6" w:rsidRPr="005611D0" w:rsidRDefault="00B93AF6" w:rsidP="000F0A57">
    <w:pPr>
      <w:pStyle w:val="ECCpageHeader"/>
    </w:pPr>
  </w:p>
  <w:p w:rsidR="00B93AF6" w:rsidRPr="005611D0" w:rsidRDefault="00B93AF6" w:rsidP="000F0A57">
    <w:pPr>
      <w:pStyle w:val="ECCpageHeader"/>
    </w:pPr>
  </w:p>
  <w:sdt>
    <w:sdtPr>
      <w:id w:val="-1639176003"/>
      <w:docPartObj>
        <w:docPartGallery w:val="Watermarks"/>
      </w:docPartObj>
    </w:sdtPr>
    <w:sdtEndPr/>
    <w:sdtContent>
      <w:p w:rsidR="00B93AF6" w:rsidRPr="005611D0" w:rsidRDefault="007E59BA" w:rsidP="000F0A57">
        <w:pPr>
          <w:pStyle w:val="ECCpage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p w:rsidR="00B93AF6" w:rsidRPr="005611D0" w:rsidRDefault="00B93AF6"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5.35pt;height:58.9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7E075D1"/>
    <w:multiLevelType w:val="hybridMultilevel"/>
    <w:tmpl w:val="67220546"/>
    <w:lvl w:ilvl="0" w:tplc="2422A5D6">
      <w:start w:val="1"/>
      <w:numFmt w:val="decimal"/>
      <w:lvlText w:val="[%1]"/>
      <w:lvlJc w:val="left"/>
      <w:pPr>
        <w:ind w:left="72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nsid w:val="3D163F7A"/>
    <w:multiLevelType w:val="multilevel"/>
    <w:tmpl w:val="EF205B4E"/>
    <w:lvl w:ilvl="0">
      <w:numFmt w:val="decimal"/>
      <w:pStyle w:val="Rubrik1"/>
      <w:lvlText w:val="%1"/>
      <w:lvlJc w:val="left"/>
      <w:pPr>
        <w:ind w:left="360" w:hanging="360"/>
      </w:pPr>
      <w:rPr>
        <w:rFonts w:hint="default"/>
        <w:b/>
        <w:i w:val="0"/>
        <w:color w:val="D2232A"/>
        <w:sz w:val="20"/>
        <w:szCs w:val="20"/>
      </w:rPr>
    </w:lvl>
    <w:lvl w:ilvl="1">
      <w:start w:val="1"/>
      <w:numFmt w:val="decimal"/>
      <w:pStyle w:val="Rubrik2"/>
      <w:lvlText w:val="%1.%2"/>
      <w:lvlJc w:val="left"/>
      <w:pPr>
        <w:tabs>
          <w:tab w:val="num" w:pos="576"/>
        </w:tabs>
        <w:ind w:left="576" w:hanging="576"/>
      </w:pPr>
      <w:rPr>
        <w:rFonts w:ascii="Arial" w:hAnsi="Arial" w:hint="default"/>
        <w:b/>
        <w:i w:val="0"/>
        <w:sz w:val="20"/>
      </w:rPr>
    </w:lvl>
    <w:lvl w:ilvl="2">
      <w:start w:val="1"/>
      <w:numFmt w:val="decimal"/>
      <w:pStyle w:val="Rubrik3"/>
      <w:lvlText w:val="%1.%2.%3"/>
      <w:lvlJc w:val="left"/>
      <w:pPr>
        <w:tabs>
          <w:tab w:val="num" w:pos="720"/>
        </w:tabs>
        <w:ind w:left="720" w:hanging="720"/>
      </w:pPr>
      <w:rPr>
        <w:rFonts w:ascii="Arial" w:hAnsi="Arial" w:hint="default"/>
        <w:b/>
        <w:i w:val="0"/>
        <w:caps w:val="0"/>
        <w:sz w:val="20"/>
        <w:szCs w:val="20"/>
      </w:rPr>
    </w:lvl>
    <w:lvl w:ilvl="3">
      <w:start w:val="1"/>
      <w:numFmt w:val="decimal"/>
      <w:pStyle w:val="Rubrik4"/>
      <w:lvlText w:val="%1.%2.%3.%4"/>
      <w:lvlJc w:val="left"/>
      <w:pPr>
        <w:tabs>
          <w:tab w:val="num" w:pos="864"/>
        </w:tabs>
        <w:ind w:left="864" w:hanging="864"/>
      </w:pPr>
      <w:rPr>
        <w:rFonts w:ascii="Arial" w:hAnsi="Arial" w:hint="default"/>
        <w:b w:val="0"/>
        <w:i/>
        <w:sz w:val="20"/>
      </w:rPr>
    </w:lvl>
    <w:lvl w:ilvl="4">
      <w:start w:val="1"/>
      <w:numFmt w:val="decimal"/>
      <w:pStyle w:val="Rubrik5"/>
      <w:lvlText w:val="%1.%2.%3.%4.%5"/>
      <w:lvlJc w:val="left"/>
      <w:pPr>
        <w:tabs>
          <w:tab w:val="num" w:pos="1008"/>
        </w:tabs>
        <w:ind w:left="1008" w:hanging="1008"/>
      </w:pPr>
      <w:rPr>
        <w:rFonts w:hint="default"/>
        <w:sz w:val="24"/>
      </w:rPr>
    </w:lvl>
    <w:lvl w:ilvl="5">
      <w:start w:val="1"/>
      <w:numFmt w:val="decimal"/>
      <w:pStyle w:val="Rubrik6"/>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abstractNum w:abstractNumId="6">
    <w:nsid w:val="447F73AD"/>
    <w:multiLevelType w:val="hybridMultilevel"/>
    <w:tmpl w:val="292AB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1"/>
  </w:num>
  <w:num w:numId="2">
    <w:abstractNumId w:val="0"/>
  </w:num>
  <w:num w:numId="3">
    <w:abstractNumId w:val="9"/>
  </w:num>
  <w:num w:numId="4">
    <w:abstractNumId w:val="4"/>
  </w:num>
  <w:num w:numId="5">
    <w:abstractNumId w:val="7"/>
  </w:num>
  <w:num w:numId="6">
    <w:abstractNumId w:val="5"/>
  </w:num>
  <w:num w:numId="7">
    <w:abstractNumId w:val="8"/>
  </w:num>
  <w:num w:numId="8">
    <w:abstractNumId w:val="3"/>
  </w:num>
  <w:num w:numId="9">
    <w:abstractNumId w:val="3"/>
  </w:num>
  <w:num w:numId="10">
    <w:abstractNumId w:val="2"/>
  </w:num>
  <w:num w:numId="11">
    <w:abstractNumId w:val="6"/>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oh0UayP4r3BiX8X9YDJHhnWCkVY=" w:salt="ahzLHGS30gX0hKvipRzQ9w=="/>
  <w:styleLockTheme/>
  <w:defaultTabStop w:val="567"/>
  <w:hyphenationZone w:val="425"/>
  <w:evenAndOddHeaders/>
  <w:characterSpacingControl w:val="doNotCompress"/>
  <w:hdrShapeDefaults>
    <o:shapedefaults v:ext="edit" spidmax="2099">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93"/>
    <w:rsid w:val="0001112E"/>
    <w:rsid w:val="00012E3B"/>
    <w:rsid w:val="0002217A"/>
    <w:rsid w:val="00040716"/>
    <w:rsid w:val="00041A18"/>
    <w:rsid w:val="00067793"/>
    <w:rsid w:val="0007526D"/>
    <w:rsid w:val="00080D4D"/>
    <w:rsid w:val="00080D86"/>
    <w:rsid w:val="0008235C"/>
    <w:rsid w:val="00082DD7"/>
    <w:rsid w:val="00095620"/>
    <w:rsid w:val="00096242"/>
    <w:rsid w:val="000A0C46"/>
    <w:rsid w:val="000A14D9"/>
    <w:rsid w:val="000A19D0"/>
    <w:rsid w:val="000A3940"/>
    <w:rsid w:val="000B6D45"/>
    <w:rsid w:val="000C028F"/>
    <w:rsid w:val="000C2C9D"/>
    <w:rsid w:val="000D1710"/>
    <w:rsid w:val="000D2E4D"/>
    <w:rsid w:val="000D2FEF"/>
    <w:rsid w:val="000D43BB"/>
    <w:rsid w:val="000E42F5"/>
    <w:rsid w:val="000F0594"/>
    <w:rsid w:val="000F0A57"/>
    <w:rsid w:val="000F0CA8"/>
    <w:rsid w:val="000F24F5"/>
    <w:rsid w:val="000F2ED9"/>
    <w:rsid w:val="000F7232"/>
    <w:rsid w:val="001006CA"/>
    <w:rsid w:val="00100F8B"/>
    <w:rsid w:val="00102172"/>
    <w:rsid w:val="00110652"/>
    <w:rsid w:val="00113CB7"/>
    <w:rsid w:val="00120A17"/>
    <w:rsid w:val="001526A2"/>
    <w:rsid w:val="001555E1"/>
    <w:rsid w:val="00156314"/>
    <w:rsid w:val="00172B28"/>
    <w:rsid w:val="00183FE0"/>
    <w:rsid w:val="0018553F"/>
    <w:rsid w:val="001B190A"/>
    <w:rsid w:val="001C30A8"/>
    <w:rsid w:val="001E09F4"/>
    <w:rsid w:val="001F56F5"/>
    <w:rsid w:val="001F64B8"/>
    <w:rsid w:val="001F69A2"/>
    <w:rsid w:val="0020079A"/>
    <w:rsid w:val="00210414"/>
    <w:rsid w:val="00220299"/>
    <w:rsid w:val="00222F9E"/>
    <w:rsid w:val="002302A9"/>
    <w:rsid w:val="00251CD0"/>
    <w:rsid w:val="00264464"/>
    <w:rsid w:val="002668D6"/>
    <w:rsid w:val="00274F84"/>
    <w:rsid w:val="0027787F"/>
    <w:rsid w:val="0028060B"/>
    <w:rsid w:val="0028120C"/>
    <w:rsid w:val="00283417"/>
    <w:rsid w:val="00295827"/>
    <w:rsid w:val="00295F16"/>
    <w:rsid w:val="002960DF"/>
    <w:rsid w:val="00296C44"/>
    <w:rsid w:val="002A033F"/>
    <w:rsid w:val="002B42A0"/>
    <w:rsid w:val="002B7C91"/>
    <w:rsid w:val="002C6515"/>
    <w:rsid w:val="002C6DC3"/>
    <w:rsid w:val="002C7E54"/>
    <w:rsid w:val="002D1FA9"/>
    <w:rsid w:val="002D48C1"/>
    <w:rsid w:val="002D50A3"/>
    <w:rsid w:val="00307A79"/>
    <w:rsid w:val="00315992"/>
    <w:rsid w:val="003204D5"/>
    <w:rsid w:val="003226D8"/>
    <w:rsid w:val="00322E6A"/>
    <w:rsid w:val="003314A0"/>
    <w:rsid w:val="00337AB4"/>
    <w:rsid w:val="00340B38"/>
    <w:rsid w:val="003625E6"/>
    <w:rsid w:val="00363BDD"/>
    <w:rsid w:val="00381169"/>
    <w:rsid w:val="0038358E"/>
    <w:rsid w:val="00387AB8"/>
    <w:rsid w:val="00387DDE"/>
    <w:rsid w:val="00391A01"/>
    <w:rsid w:val="003A0EB5"/>
    <w:rsid w:val="003A5711"/>
    <w:rsid w:val="003B1553"/>
    <w:rsid w:val="003C64D9"/>
    <w:rsid w:val="003D2AC0"/>
    <w:rsid w:val="003E02F1"/>
    <w:rsid w:val="003E2E42"/>
    <w:rsid w:val="003E70E0"/>
    <w:rsid w:val="003F2917"/>
    <w:rsid w:val="00403CE6"/>
    <w:rsid w:val="004110CA"/>
    <w:rsid w:val="0041160E"/>
    <w:rsid w:val="00412289"/>
    <w:rsid w:val="00431162"/>
    <w:rsid w:val="00442828"/>
    <w:rsid w:val="00443482"/>
    <w:rsid w:val="00450308"/>
    <w:rsid w:val="00451BA7"/>
    <w:rsid w:val="00457AD1"/>
    <w:rsid w:val="0046427F"/>
    <w:rsid w:val="00465F13"/>
    <w:rsid w:val="00471F0A"/>
    <w:rsid w:val="0047784A"/>
    <w:rsid w:val="00485665"/>
    <w:rsid w:val="00491977"/>
    <w:rsid w:val="004930E1"/>
    <w:rsid w:val="004A1329"/>
    <w:rsid w:val="004B07D7"/>
    <w:rsid w:val="004C1652"/>
    <w:rsid w:val="004C4A2E"/>
    <w:rsid w:val="004D370F"/>
    <w:rsid w:val="004E057E"/>
    <w:rsid w:val="004E44C8"/>
    <w:rsid w:val="004E53BE"/>
    <w:rsid w:val="004E7F82"/>
    <w:rsid w:val="004F73EA"/>
    <w:rsid w:val="00501992"/>
    <w:rsid w:val="0052698A"/>
    <w:rsid w:val="0053062A"/>
    <w:rsid w:val="00535050"/>
    <w:rsid w:val="00536F3C"/>
    <w:rsid w:val="0054260E"/>
    <w:rsid w:val="00550D79"/>
    <w:rsid w:val="005559AC"/>
    <w:rsid w:val="00555FB3"/>
    <w:rsid w:val="00557B5A"/>
    <w:rsid w:val="005611D0"/>
    <w:rsid w:val="00566BD4"/>
    <w:rsid w:val="005756CD"/>
    <w:rsid w:val="00577CAF"/>
    <w:rsid w:val="00580223"/>
    <w:rsid w:val="00594186"/>
    <w:rsid w:val="005A05D1"/>
    <w:rsid w:val="005A5056"/>
    <w:rsid w:val="005A53B8"/>
    <w:rsid w:val="005A74EE"/>
    <w:rsid w:val="005B1438"/>
    <w:rsid w:val="005B202B"/>
    <w:rsid w:val="005C10EB"/>
    <w:rsid w:val="005C5A96"/>
    <w:rsid w:val="005D0613"/>
    <w:rsid w:val="005D371D"/>
    <w:rsid w:val="005E71F3"/>
    <w:rsid w:val="005E7495"/>
    <w:rsid w:val="00621C12"/>
    <w:rsid w:val="00623E18"/>
    <w:rsid w:val="00625C5D"/>
    <w:rsid w:val="00635A22"/>
    <w:rsid w:val="00642083"/>
    <w:rsid w:val="00646D9D"/>
    <w:rsid w:val="0065550D"/>
    <w:rsid w:val="00664295"/>
    <w:rsid w:val="00665364"/>
    <w:rsid w:val="00667B35"/>
    <w:rsid w:val="00670EA2"/>
    <w:rsid w:val="00673A9B"/>
    <w:rsid w:val="00685790"/>
    <w:rsid w:val="006876A8"/>
    <w:rsid w:val="006A49E3"/>
    <w:rsid w:val="006B1EFD"/>
    <w:rsid w:val="006C14E4"/>
    <w:rsid w:val="006C6DA8"/>
    <w:rsid w:val="006C7F61"/>
    <w:rsid w:val="006D407F"/>
    <w:rsid w:val="006E207B"/>
    <w:rsid w:val="006E7B1E"/>
    <w:rsid w:val="006F0442"/>
    <w:rsid w:val="006F19FD"/>
    <w:rsid w:val="0070148E"/>
    <w:rsid w:val="007037B0"/>
    <w:rsid w:val="00710CEF"/>
    <w:rsid w:val="00712C23"/>
    <w:rsid w:val="007160BE"/>
    <w:rsid w:val="00722F65"/>
    <w:rsid w:val="007257CD"/>
    <w:rsid w:val="007334C3"/>
    <w:rsid w:val="00734A4F"/>
    <w:rsid w:val="007414C6"/>
    <w:rsid w:val="00755525"/>
    <w:rsid w:val="00757F24"/>
    <w:rsid w:val="00762BCC"/>
    <w:rsid w:val="00763BA3"/>
    <w:rsid w:val="00765B66"/>
    <w:rsid w:val="00767BB2"/>
    <w:rsid w:val="0077159C"/>
    <w:rsid w:val="00776DF8"/>
    <w:rsid w:val="00780376"/>
    <w:rsid w:val="00780EE3"/>
    <w:rsid w:val="00791AAC"/>
    <w:rsid w:val="00797D4C"/>
    <w:rsid w:val="007A1250"/>
    <w:rsid w:val="007C0E7E"/>
    <w:rsid w:val="007C4098"/>
    <w:rsid w:val="007D06F4"/>
    <w:rsid w:val="007D17C5"/>
    <w:rsid w:val="007D52EC"/>
    <w:rsid w:val="007E59BA"/>
    <w:rsid w:val="007F1CEE"/>
    <w:rsid w:val="007F3990"/>
    <w:rsid w:val="00802AE5"/>
    <w:rsid w:val="00837537"/>
    <w:rsid w:val="00842766"/>
    <w:rsid w:val="00854314"/>
    <w:rsid w:val="0086094D"/>
    <w:rsid w:val="00862180"/>
    <w:rsid w:val="00872382"/>
    <w:rsid w:val="008912FE"/>
    <w:rsid w:val="008A245D"/>
    <w:rsid w:val="008A3B60"/>
    <w:rsid w:val="008A54FC"/>
    <w:rsid w:val="008B70CD"/>
    <w:rsid w:val="008C023F"/>
    <w:rsid w:val="008C1ABF"/>
    <w:rsid w:val="008D141C"/>
    <w:rsid w:val="008D2C13"/>
    <w:rsid w:val="008E6109"/>
    <w:rsid w:val="008F47AB"/>
    <w:rsid w:val="00912C6D"/>
    <w:rsid w:val="009170EA"/>
    <w:rsid w:val="0092076F"/>
    <w:rsid w:val="00930439"/>
    <w:rsid w:val="00937AEB"/>
    <w:rsid w:val="009410BC"/>
    <w:rsid w:val="0094133F"/>
    <w:rsid w:val="00941D3A"/>
    <w:rsid w:val="00944439"/>
    <w:rsid w:val="009465E0"/>
    <w:rsid w:val="009531C0"/>
    <w:rsid w:val="0095793E"/>
    <w:rsid w:val="009620A2"/>
    <w:rsid w:val="009662E3"/>
    <w:rsid w:val="00966560"/>
    <w:rsid w:val="00966DD9"/>
    <w:rsid w:val="00980DFC"/>
    <w:rsid w:val="00981314"/>
    <w:rsid w:val="00982B3A"/>
    <w:rsid w:val="00986677"/>
    <w:rsid w:val="00991B65"/>
    <w:rsid w:val="0099421C"/>
    <w:rsid w:val="009A2F3A"/>
    <w:rsid w:val="009A7A45"/>
    <w:rsid w:val="009B022D"/>
    <w:rsid w:val="009C0AE4"/>
    <w:rsid w:val="009C3803"/>
    <w:rsid w:val="009D2C13"/>
    <w:rsid w:val="009D3BA5"/>
    <w:rsid w:val="009D460D"/>
    <w:rsid w:val="009D4BA1"/>
    <w:rsid w:val="009D7D5A"/>
    <w:rsid w:val="009E47EB"/>
    <w:rsid w:val="009F3A37"/>
    <w:rsid w:val="009F6EA2"/>
    <w:rsid w:val="00A02090"/>
    <w:rsid w:val="00A03731"/>
    <w:rsid w:val="00A061CE"/>
    <w:rsid w:val="00A076B5"/>
    <w:rsid w:val="00A17F69"/>
    <w:rsid w:val="00A23870"/>
    <w:rsid w:val="00A26AC6"/>
    <w:rsid w:val="00A274DB"/>
    <w:rsid w:val="00A567B1"/>
    <w:rsid w:val="00A6411D"/>
    <w:rsid w:val="00A73298"/>
    <w:rsid w:val="00A90997"/>
    <w:rsid w:val="00A95ACB"/>
    <w:rsid w:val="00A95D7E"/>
    <w:rsid w:val="00A97942"/>
    <w:rsid w:val="00AA079B"/>
    <w:rsid w:val="00AA086A"/>
    <w:rsid w:val="00AA7870"/>
    <w:rsid w:val="00AC0EA5"/>
    <w:rsid w:val="00AC2686"/>
    <w:rsid w:val="00AC29D1"/>
    <w:rsid w:val="00AD1BE1"/>
    <w:rsid w:val="00AD7257"/>
    <w:rsid w:val="00AF2D0C"/>
    <w:rsid w:val="00AF4C0E"/>
    <w:rsid w:val="00B14E5E"/>
    <w:rsid w:val="00B25910"/>
    <w:rsid w:val="00B26973"/>
    <w:rsid w:val="00B30D3B"/>
    <w:rsid w:val="00B32C94"/>
    <w:rsid w:val="00B424EF"/>
    <w:rsid w:val="00B432D4"/>
    <w:rsid w:val="00B5315C"/>
    <w:rsid w:val="00B54296"/>
    <w:rsid w:val="00B56032"/>
    <w:rsid w:val="00B576D7"/>
    <w:rsid w:val="00B61952"/>
    <w:rsid w:val="00B70A0B"/>
    <w:rsid w:val="00B80892"/>
    <w:rsid w:val="00B82735"/>
    <w:rsid w:val="00B908A8"/>
    <w:rsid w:val="00B92306"/>
    <w:rsid w:val="00B9235D"/>
    <w:rsid w:val="00B92861"/>
    <w:rsid w:val="00B93AF6"/>
    <w:rsid w:val="00BA7A69"/>
    <w:rsid w:val="00BB15E2"/>
    <w:rsid w:val="00BB3C5F"/>
    <w:rsid w:val="00BC03FD"/>
    <w:rsid w:val="00BC0BF2"/>
    <w:rsid w:val="00BD181A"/>
    <w:rsid w:val="00BD28DF"/>
    <w:rsid w:val="00BD6876"/>
    <w:rsid w:val="00BE2864"/>
    <w:rsid w:val="00BF7BF1"/>
    <w:rsid w:val="00C00565"/>
    <w:rsid w:val="00C076BF"/>
    <w:rsid w:val="00C20FF0"/>
    <w:rsid w:val="00C212B5"/>
    <w:rsid w:val="00C25F81"/>
    <w:rsid w:val="00C27F02"/>
    <w:rsid w:val="00C418C5"/>
    <w:rsid w:val="00C43ED2"/>
    <w:rsid w:val="00C44908"/>
    <w:rsid w:val="00C504F4"/>
    <w:rsid w:val="00C57E85"/>
    <w:rsid w:val="00C65BB4"/>
    <w:rsid w:val="00C72D9E"/>
    <w:rsid w:val="00C8071C"/>
    <w:rsid w:val="00C816CB"/>
    <w:rsid w:val="00C82461"/>
    <w:rsid w:val="00C86A0E"/>
    <w:rsid w:val="00C91E3B"/>
    <w:rsid w:val="00C97EB9"/>
    <w:rsid w:val="00CA07CC"/>
    <w:rsid w:val="00CA25B5"/>
    <w:rsid w:val="00CA4FCE"/>
    <w:rsid w:val="00CA5782"/>
    <w:rsid w:val="00CA5F8F"/>
    <w:rsid w:val="00CB6310"/>
    <w:rsid w:val="00CC2396"/>
    <w:rsid w:val="00CC4344"/>
    <w:rsid w:val="00CC5A6F"/>
    <w:rsid w:val="00CD07E7"/>
    <w:rsid w:val="00CD1F81"/>
    <w:rsid w:val="00CD7F7A"/>
    <w:rsid w:val="00CE0C82"/>
    <w:rsid w:val="00CE271A"/>
    <w:rsid w:val="00CE2D90"/>
    <w:rsid w:val="00CE6FF5"/>
    <w:rsid w:val="00CF4621"/>
    <w:rsid w:val="00CF5245"/>
    <w:rsid w:val="00CF5839"/>
    <w:rsid w:val="00D06683"/>
    <w:rsid w:val="00D07B1A"/>
    <w:rsid w:val="00D10E46"/>
    <w:rsid w:val="00D1167E"/>
    <w:rsid w:val="00D20341"/>
    <w:rsid w:val="00D234E7"/>
    <w:rsid w:val="00D30960"/>
    <w:rsid w:val="00D30E46"/>
    <w:rsid w:val="00D47EF6"/>
    <w:rsid w:val="00D504A7"/>
    <w:rsid w:val="00D50AC8"/>
    <w:rsid w:val="00D60A44"/>
    <w:rsid w:val="00D63CA8"/>
    <w:rsid w:val="00D64092"/>
    <w:rsid w:val="00D72FDB"/>
    <w:rsid w:val="00D7390F"/>
    <w:rsid w:val="00D74F04"/>
    <w:rsid w:val="00D758F2"/>
    <w:rsid w:val="00D92BEC"/>
    <w:rsid w:val="00DA18F2"/>
    <w:rsid w:val="00DB17F9"/>
    <w:rsid w:val="00DD21BD"/>
    <w:rsid w:val="00DD5E14"/>
    <w:rsid w:val="00DD6973"/>
    <w:rsid w:val="00DE044E"/>
    <w:rsid w:val="00DF2C67"/>
    <w:rsid w:val="00DF3AE2"/>
    <w:rsid w:val="00DF7D1E"/>
    <w:rsid w:val="00DF7D21"/>
    <w:rsid w:val="00E059C5"/>
    <w:rsid w:val="00E11D7E"/>
    <w:rsid w:val="00E12D9D"/>
    <w:rsid w:val="00E14334"/>
    <w:rsid w:val="00E224B0"/>
    <w:rsid w:val="00E2303A"/>
    <w:rsid w:val="00E263D3"/>
    <w:rsid w:val="00E343BD"/>
    <w:rsid w:val="00E348D9"/>
    <w:rsid w:val="00E35199"/>
    <w:rsid w:val="00E36601"/>
    <w:rsid w:val="00E46328"/>
    <w:rsid w:val="00E53993"/>
    <w:rsid w:val="00E60351"/>
    <w:rsid w:val="00E668CE"/>
    <w:rsid w:val="00E71AE7"/>
    <w:rsid w:val="00E752E6"/>
    <w:rsid w:val="00E93A86"/>
    <w:rsid w:val="00EA2ED5"/>
    <w:rsid w:val="00EA6088"/>
    <w:rsid w:val="00EB1CEE"/>
    <w:rsid w:val="00EC1A2C"/>
    <w:rsid w:val="00EC6B48"/>
    <w:rsid w:val="00ED2C10"/>
    <w:rsid w:val="00EF15B7"/>
    <w:rsid w:val="00F01F37"/>
    <w:rsid w:val="00F06D3D"/>
    <w:rsid w:val="00F112B7"/>
    <w:rsid w:val="00F12DA9"/>
    <w:rsid w:val="00F161E5"/>
    <w:rsid w:val="00F212EB"/>
    <w:rsid w:val="00F23D13"/>
    <w:rsid w:val="00F356CD"/>
    <w:rsid w:val="00F43E24"/>
    <w:rsid w:val="00F465D3"/>
    <w:rsid w:val="00F51BD6"/>
    <w:rsid w:val="00F56F06"/>
    <w:rsid w:val="00F56F62"/>
    <w:rsid w:val="00F73815"/>
    <w:rsid w:val="00F7440E"/>
    <w:rsid w:val="00F77680"/>
    <w:rsid w:val="00F7770D"/>
    <w:rsid w:val="00F93115"/>
    <w:rsid w:val="00FA5792"/>
    <w:rsid w:val="00FB04BE"/>
    <w:rsid w:val="00FB200D"/>
    <w:rsid w:val="00FB3571"/>
    <w:rsid w:val="00FB4F1D"/>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Rubrik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Rubrik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Rubrik3">
    <w:name w:val="heading 3"/>
    <w:aliases w:val="ECC Heading 3"/>
    <w:next w:val="Normal"/>
    <w:qFormat/>
    <w:rsid w:val="00E2303A"/>
    <w:pPr>
      <w:keepNext/>
      <w:numPr>
        <w:ilvl w:val="2"/>
        <w:numId w:val="6"/>
      </w:numPr>
      <w:spacing w:before="360"/>
      <w:outlineLvl w:val="2"/>
    </w:pPr>
    <w:rPr>
      <w:rFonts w:cs="Arial"/>
      <w:b/>
      <w:bCs/>
      <w:szCs w:val="26"/>
    </w:rPr>
  </w:style>
  <w:style w:type="paragraph" w:styleId="Rubrik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Rubrik5">
    <w:name w:val="heading 5"/>
    <w:basedOn w:val="Normal"/>
    <w:next w:val="Normal"/>
    <w:semiHidden/>
    <w:qFormat/>
    <w:locked/>
    <w:rsid w:val="009E47EB"/>
    <w:pPr>
      <w:numPr>
        <w:ilvl w:val="4"/>
        <w:numId w:val="6"/>
      </w:numPr>
      <w:outlineLvl w:val="4"/>
    </w:pPr>
    <w:rPr>
      <w:b/>
      <w:bCs/>
      <w:i/>
      <w:iCs/>
      <w:sz w:val="26"/>
      <w:szCs w:val="26"/>
    </w:rPr>
  </w:style>
  <w:style w:type="paragraph" w:styleId="Rubrik6">
    <w:name w:val="heading 6"/>
    <w:basedOn w:val="Normal"/>
    <w:next w:val="Normal"/>
    <w:semiHidden/>
    <w:qFormat/>
    <w:locked/>
    <w:rsid w:val="009E47EB"/>
    <w:pPr>
      <w:numPr>
        <w:ilvl w:val="5"/>
        <w:numId w:val="6"/>
      </w:numPr>
      <w:outlineLvl w:val="5"/>
    </w:pPr>
    <w:rPr>
      <w:b/>
      <w:bCs/>
      <w:sz w:val="22"/>
    </w:rPr>
  </w:style>
  <w:style w:type="paragraph" w:styleId="Rubrik7">
    <w:name w:val="heading 7"/>
    <w:basedOn w:val="Normal"/>
    <w:next w:val="Normal"/>
    <w:semiHidden/>
    <w:qFormat/>
    <w:locked/>
    <w:rsid w:val="009E47EB"/>
    <w:pPr>
      <w:numPr>
        <w:ilvl w:val="6"/>
        <w:numId w:val="6"/>
      </w:numPr>
      <w:outlineLvl w:val="6"/>
    </w:pPr>
    <w:rPr>
      <w:sz w:val="24"/>
    </w:rPr>
  </w:style>
  <w:style w:type="paragraph" w:styleId="Rubrik8">
    <w:name w:val="heading 8"/>
    <w:basedOn w:val="Normal"/>
    <w:next w:val="Normal"/>
    <w:semiHidden/>
    <w:qFormat/>
    <w:locked/>
    <w:rsid w:val="009E47EB"/>
    <w:pPr>
      <w:numPr>
        <w:ilvl w:val="7"/>
        <w:numId w:val="6"/>
      </w:numPr>
      <w:outlineLvl w:val="7"/>
    </w:pPr>
    <w:rPr>
      <w:i/>
      <w:iCs/>
      <w:sz w:val="24"/>
    </w:rPr>
  </w:style>
  <w:style w:type="paragraph" w:styleId="Rubrik9">
    <w:name w:val="heading 9"/>
    <w:basedOn w:val="Normal"/>
    <w:next w:val="Normal"/>
    <w:semiHidden/>
    <w:qFormat/>
    <w:locked/>
    <w:rsid w:val="009E47EB"/>
    <w:pPr>
      <w:numPr>
        <w:ilvl w:val="8"/>
        <w:numId w:val="6"/>
      </w:numPr>
      <w:outlineLvl w:val="8"/>
    </w:pPr>
    <w:rPr>
      <w:rFonts w:cs="Arial"/>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Sidhuvud">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Innehll1">
    <w:name w:val="toc 1"/>
    <w:aliases w:val="ECC Index 1"/>
    <w:basedOn w:val="Normal"/>
    <w:next w:val="Normal"/>
    <w:link w:val="Innehll1Char"/>
    <w:uiPriority w:val="39"/>
    <w:rsid w:val="004930E1"/>
    <w:pPr>
      <w:tabs>
        <w:tab w:val="left" w:pos="425"/>
        <w:tab w:val="right" w:leader="dot" w:pos="9629"/>
      </w:tabs>
      <w:spacing w:after="0"/>
      <w:ind w:left="425" w:hanging="425"/>
    </w:pPr>
    <w:rPr>
      <w:b/>
      <w:szCs w:val="20"/>
    </w:rPr>
  </w:style>
  <w:style w:type="paragraph" w:styleId="Fotnotstext">
    <w:name w:val="footnote text"/>
    <w:aliases w:val="ECC Footnote"/>
    <w:basedOn w:val="Normal"/>
    <w:link w:val="FotnotstextChar"/>
    <w:qFormat/>
    <w:rsid w:val="00CD1F81"/>
    <w:pPr>
      <w:widowControl w:val="0"/>
      <w:tabs>
        <w:tab w:val="left" w:pos="284"/>
      </w:tabs>
      <w:spacing w:before="60" w:after="0" w:line="288" w:lineRule="auto"/>
      <w:ind w:left="284" w:hanging="284"/>
    </w:pPr>
    <w:rPr>
      <w:sz w:val="16"/>
      <w:szCs w:val="16"/>
      <w:lang w:val="da-DK"/>
      <w14:cntxtAlts/>
    </w:rPr>
  </w:style>
  <w:style w:type="paragraph" w:styleId="Innehll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Innehll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Innehll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Standardstycketeckensnitt"/>
    <w:uiPriority w:val="1"/>
    <w:qFormat/>
    <w:rsid w:val="00CD1F81"/>
    <w:rPr>
      <w:bdr w:val="none" w:sz="0" w:space="0" w:color="auto"/>
      <w:shd w:val="solid" w:color="92D050" w:fill="auto"/>
      <w:lang w:val="en-GB"/>
    </w:rPr>
  </w:style>
  <w:style w:type="character" w:customStyle="1" w:styleId="FotnotstextChar">
    <w:name w:val="Fotnotstext Char"/>
    <w:aliases w:val="ECC Footnote Char"/>
    <w:basedOn w:val="Standardstycketeckensnitt"/>
    <w:link w:val="Fotnotstext"/>
    <w:rsid w:val="00CD1F81"/>
    <w:rPr>
      <w:rFonts w:eastAsia="Calibri"/>
      <w:sz w:val="16"/>
      <w:szCs w:val="16"/>
      <w14:cntxtAlts/>
    </w:rPr>
  </w:style>
  <w:style w:type="character" w:styleId="Fotnotsreferens">
    <w:name w:val="footnote reference"/>
    <w:aliases w:val="ECC Footnote number"/>
    <w:basedOn w:val="Standardstycketeckensnitt"/>
    <w:rsid w:val="00DB17F9"/>
    <w:rPr>
      <w:rFonts w:ascii="Arial" w:hAnsi="Arial"/>
      <w:sz w:val="20"/>
      <w:vertAlign w:val="superscript"/>
    </w:rPr>
  </w:style>
  <w:style w:type="paragraph" w:styleId="Beskrivning">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ngtext">
    <w:name w:val="Balloon Text"/>
    <w:basedOn w:val="Normal"/>
    <w:link w:val="BallongtextChar"/>
    <w:uiPriority w:val="99"/>
    <w:semiHidden/>
    <w:locked/>
    <w:rsid w:val="009E47EB"/>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Standardstycketeckensnit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Standardstycketeckensnit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
    <w:name w:val="Signature"/>
    <w:basedOn w:val="Normal"/>
    <w:link w:val="Signatur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Char">
    <w:name w:val="Signatur Char"/>
    <w:basedOn w:val="Standardstycketeckensnitt"/>
    <w:link w:val="Signatur"/>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Starkreferens">
    <w:name w:val="Intense Reference"/>
    <w:aliases w:val="cover page 'Report No'"/>
    <w:basedOn w:val="Standardstycketeckensnitt"/>
    <w:semiHidden/>
    <w:qFormat/>
    <w:rsid w:val="00980DFC"/>
    <w:rPr>
      <w:b/>
      <w:bCs/>
      <w:caps w:val="0"/>
      <w:smallCaps w:val="0"/>
      <w:color w:val="632423" w:themeColor="accent2" w:themeShade="80"/>
      <w:spacing w:val="5"/>
      <w:u w:val="none"/>
      <w:bdr w:val="none" w:sz="0" w:space="0" w:color="auto"/>
      <w:vertAlign w:val="baseline"/>
    </w:rPr>
  </w:style>
  <w:style w:type="character" w:styleId="Betoning">
    <w:name w:val="Emphasis"/>
    <w:aliases w:val="ECC HL italics"/>
    <w:uiPriority w:val="1"/>
    <w:qFormat/>
    <w:rsid w:val="00C418C5"/>
    <w:rPr>
      <w:i/>
    </w:rPr>
  </w:style>
  <w:style w:type="character" w:customStyle="1" w:styleId="Innehll1Char">
    <w:name w:val="Innehåll 1 Char"/>
    <w:aliases w:val="ECC Index 1 Char"/>
    <w:basedOn w:val="Standardstycketeckensnitt"/>
    <w:link w:val="Innehll1"/>
    <w:uiPriority w:val="39"/>
    <w:semiHidden/>
    <w:rsid w:val="00471F0A"/>
    <w:rPr>
      <w:rFonts w:eastAsia="Calibri"/>
      <w:b/>
      <w:lang w:val="en-GB"/>
    </w:rPr>
  </w:style>
  <w:style w:type="paragraph" w:styleId="Innehllsfrteckningsrubrik">
    <w:name w:val="TOC Heading"/>
    <w:basedOn w:val="Rubrik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Standardstycketeckensnitt"/>
    <w:uiPriority w:val="1"/>
    <w:qFormat/>
    <w:rsid w:val="00CD1F81"/>
    <w:rPr>
      <w:iCs w:val="0"/>
      <w:bdr w:val="none" w:sz="0" w:space="0" w:color="auto"/>
      <w:shd w:val="solid" w:color="00FFFF" w:fill="auto"/>
      <w:lang w:val="en-GB"/>
    </w:rPr>
  </w:style>
  <w:style w:type="character" w:customStyle="1" w:styleId="ECCHLorange">
    <w:name w:val="ECC HL orange"/>
    <w:basedOn w:val="Standardstycketeckensnitt"/>
    <w:uiPriority w:val="1"/>
    <w:qFormat/>
    <w:rsid w:val="00CD1F81"/>
    <w:rPr>
      <w:bdr w:val="none" w:sz="0" w:space="0" w:color="auto"/>
      <w:shd w:val="solid" w:color="FFC000" w:fill="auto"/>
    </w:rPr>
  </w:style>
  <w:style w:type="character" w:customStyle="1" w:styleId="ECCHLblue">
    <w:name w:val="ECC HL blue"/>
    <w:basedOn w:val="Standardstycketeckensnit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Standardstycketeckensnitt"/>
    <w:uiPriority w:val="1"/>
    <w:qFormat/>
    <w:rsid w:val="00CD1F81"/>
    <w:rPr>
      <w:iCs w:val="0"/>
      <w:color w:val="FFFFFF" w:themeColor="background1"/>
      <w:bdr w:val="none" w:sz="0" w:space="0" w:color="auto"/>
      <w:shd w:val="solid" w:color="008080" w:fill="auto"/>
    </w:rPr>
  </w:style>
  <w:style w:type="paragraph" w:styleId="Liststycke">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Standardstycketeckensnitt"/>
    <w:uiPriority w:val="1"/>
    <w:qFormat/>
    <w:rsid w:val="00CD1F81"/>
    <w:rPr>
      <w:color w:val="auto"/>
      <w:bdr w:val="none" w:sz="0" w:space="0" w:color="auto"/>
      <w:shd w:val="solid" w:color="FF3399" w:fill="auto"/>
      <w:lang w:val="en-GB"/>
    </w:rPr>
  </w:style>
  <w:style w:type="character" w:customStyle="1" w:styleId="ECCHLbrown">
    <w:name w:val="ECC HL brown"/>
    <w:basedOn w:val="Standardstycketeckensnitt"/>
    <w:uiPriority w:val="1"/>
    <w:qFormat/>
    <w:rsid w:val="00CD1F81"/>
    <w:rPr>
      <w:color w:val="D9D9D9" w:themeColor="background1" w:themeShade="D9"/>
      <w:bdr w:val="none" w:sz="0" w:space="0" w:color="auto"/>
      <w:shd w:val="solid" w:color="B95807" w:fill="auto"/>
    </w:rPr>
  </w:style>
  <w:style w:type="character" w:styleId="Hyperlnk">
    <w:name w:val="Hyperlink"/>
    <w:aliases w:val="ECC Hyperlink"/>
    <w:basedOn w:val="Standardstycketeckensnit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Standardstycketeckensnit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Frgatrutnt">
    <w:name w:val="Colorful Grid"/>
    <w:basedOn w:val="Normaltabel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Enkeltabell1">
    <w:name w:val="Table Simple 1"/>
    <w:basedOn w:val="Normaltabel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Frgatrutnt-dekorfrg6">
    <w:name w:val="Colorful Grid Accent 6"/>
    <w:basedOn w:val="Normaltabel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ellrutnt">
    <w:name w:val="Table Grid"/>
    <w:basedOn w:val="Normaltabel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Innehll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Innehll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Innehll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Innehll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Sidfot">
    <w:name w:val="footer"/>
    <w:basedOn w:val="Normal"/>
    <w:link w:val="SidfotChar"/>
    <w:uiPriority w:val="99"/>
    <w:semiHidden/>
    <w:locked/>
    <w:rsid w:val="000F0A57"/>
    <w:pPr>
      <w:tabs>
        <w:tab w:val="center" w:pos="4536"/>
        <w:tab w:val="right" w:pos="9072"/>
      </w:tabs>
      <w:spacing w:before="0" w:after="0"/>
    </w:pPr>
  </w:style>
  <w:style w:type="character" w:customStyle="1" w:styleId="SidfotChar">
    <w:name w:val="Sidfot Char"/>
    <w:basedOn w:val="Standardstycketeckensnitt"/>
    <w:link w:val="Sidfot"/>
    <w:uiPriority w:val="99"/>
    <w:semiHidden/>
    <w:rsid w:val="009B022D"/>
    <w:rPr>
      <w:rFonts w:eastAsia="Calibri"/>
      <w:szCs w:val="22"/>
      <w:lang w:val="en-GB"/>
    </w:rPr>
  </w:style>
  <w:style w:type="character" w:styleId="Stark">
    <w:name w:val="Strong"/>
    <w:basedOn w:val="Standardstycketeckensnitt"/>
    <w:semiHidden/>
    <w:qFormat/>
    <w:locked/>
    <w:rsid w:val="005E71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Rubrik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Rubrik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Rubrik3">
    <w:name w:val="heading 3"/>
    <w:aliases w:val="ECC Heading 3"/>
    <w:next w:val="Normal"/>
    <w:qFormat/>
    <w:rsid w:val="00E2303A"/>
    <w:pPr>
      <w:keepNext/>
      <w:numPr>
        <w:ilvl w:val="2"/>
        <w:numId w:val="6"/>
      </w:numPr>
      <w:spacing w:before="360"/>
      <w:outlineLvl w:val="2"/>
    </w:pPr>
    <w:rPr>
      <w:rFonts w:cs="Arial"/>
      <w:b/>
      <w:bCs/>
      <w:szCs w:val="26"/>
    </w:rPr>
  </w:style>
  <w:style w:type="paragraph" w:styleId="Rubrik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Rubrik5">
    <w:name w:val="heading 5"/>
    <w:basedOn w:val="Normal"/>
    <w:next w:val="Normal"/>
    <w:semiHidden/>
    <w:qFormat/>
    <w:locked/>
    <w:rsid w:val="009E47EB"/>
    <w:pPr>
      <w:numPr>
        <w:ilvl w:val="4"/>
        <w:numId w:val="6"/>
      </w:numPr>
      <w:outlineLvl w:val="4"/>
    </w:pPr>
    <w:rPr>
      <w:b/>
      <w:bCs/>
      <w:i/>
      <w:iCs/>
      <w:sz w:val="26"/>
      <w:szCs w:val="26"/>
    </w:rPr>
  </w:style>
  <w:style w:type="paragraph" w:styleId="Rubrik6">
    <w:name w:val="heading 6"/>
    <w:basedOn w:val="Normal"/>
    <w:next w:val="Normal"/>
    <w:semiHidden/>
    <w:qFormat/>
    <w:locked/>
    <w:rsid w:val="009E47EB"/>
    <w:pPr>
      <w:numPr>
        <w:ilvl w:val="5"/>
        <w:numId w:val="6"/>
      </w:numPr>
      <w:outlineLvl w:val="5"/>
    </w:pPr>
    <w:rPr>
      <w:b/>
      <w:bCs/>
      <w:sz w:val="22"/>
    </w:rPr>
  </w:style>
  <w:style w:type="paragraph" w:styleId="Rubrik7">
    <w:name w:val="heading 7"/>
    <w:basedOn w:val="Normal"/>
    <w:next w:val="Normal"/>
    <w:semiHidden/>
    <w:qFormat/>
    <w:locked/>
    <w:rsid w:val="009E47EB"/>
    <w:pPr>
      <w:numPr>
        <w:ilvl w:val="6"/>
        <w:numId w:val="6"/>
      </w:numPr>
      <w:outlineLvl w:val="6"/>
    </w:pPr>
    <w:rPr>
      <w:sz w:val="24"/>
    </w:rPr>
  </w:style>
  <w:style w:type="paragraph" w:styleId="Rubrik8">
    <w:name w:val="heading 8"/>
    <w:basedOn w:val="Normal"/>
    <w:next w:val="Normal"/>
    <w:semiHidden/>
    <w:qFormat/>
    <w:locked/>
    <w:rsid w:val="009E47EB"/>
    <w:pPr>
      <w:numPr>
        <w:ilvl w:val="7"/>
        <w:numId w:val="6"/>
      </w:numPr>
      <w:outlineLvl w:val="7"/>
    </w:pPr>
    <w:rPr>
      <w:i/>
      <w:iCs/>
      <w:sz w:val="24"/>
    </w:rPr>
  </w:style>
  <w:style w:type="paragraph" w:styleId="Rubrik9">
    <w:name w:val="heading 9"/>
    <w:basedOn w:val="Normal"/>
    <w:next w:val="Normal"/>
    <w:semiHidden/>
    <w:qFormat/>
    <w:locked/>
    <w:rsid w:val="009E47EB"/>
    <w:pPr>
      <w:numPr>
        <w:ilvl w:val="8"/>
        <w:numId w:val="6"/>
      </w:numPr>
      <w:outlineLvl w:val="8"/>
    </w:pPr>
    <w:rPr>
      <w:rFonts w:cs="Arial"/>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Sidhuvud">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Innehll1">
    <w:name w:val="toc 1"/>
    <w:aliases w:val="ECC Index 1"/>
    <w:basedOn w:val="Normal"/>
    <w:next w:val="Normal"/>
    <w:link w:val="Innehll1Char"/>
    <w:uiPriority w:val="39"/>
    <w:rsid w:val="004930E1"/>
    <w:pPr>
      <w:tabs>
        <w:tab w:val="left" w:pos="425"/>
        <w:tab w:val="right" w:leader="dot" w:pos="9629"/>
      </w:tabs>
      <w:spacing w:after="0"/>
      <w:ind w:left="425" w:hanging="425"/>
    </w:pPr>
    <w:rPr>
      <w:b/>
      <w:szCs w:val="20"/>
    </w:rPr>
  </w:style>
  <w:style w:type="paragraph" w:styleId="Fotnotstext">
    <w:name w:val="footnote text"/>
    <w:aliases w:val="ECC Footnote"/>
    <w:basedOn w:val="Normal"/>
    <w:link w:val="FotnotstextChar"/>
    <w:qFormat/>
    <w:rsid w:val="00CD1F81"/>
    <w:pPr>
      <w:widowControl w:val="0"/>
      <w:tabs>
        <w:tab w:val="left" w:pos="284"/>
      </w:tabs>
      <w:spacing w:before="60" w:after="0" w:line="288" w:lineRule="auto"/>
      <w:ind w:left="284" w:hanging="284"/>
    </w:pPr>
    <w:rPr>
      <w:sz w:val="16"/>
      <w:szCs w:val="16"/>
      <w:lang w:val="da-DK"/>
      <w14:cntxtAlts/>
    </w:rPr>
  </w:style>
  <w:style w:type="paragraph" w:styleId="Innehll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Innehll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Innehll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Standardstycketeckensnitt"/>
    <w:uiPriority w:val="1"/>
    <w:qFormat/>
    <w:rsid w:val="00CD1F81"/>
    <w:rPr>
      <w:bdr w:val="none" w:sz="0" w:space="0" w:color="auto"/>
      <w:shd w:val="solid" w:color="92D050" w:fill="auto"/>
      <w:lang w:val="en-GB"/>
    </w:rPr>
  </w:style>
  <w:style w:type="character" w:customStyle="1" w:styleId="FotnotstextChar">
    <w:name w:val="Fotnotstext Char"/>
    <w:aliases w:val="ECC Footnote Char"/>
    <w:basedOn w:val="Standardstycketeckensnitt"/>
    <w:link w:val="Fotnotstext"/>
    <w:rsid w:val="00CD1F81"/>
    <w:rPr>
      <w:rFonts w:eastAsia="Calibri"/>
      <w:sz w:val="16"/>
      <w:szCs w:val="16"/>
      <w14:cntxtAlts/>
    </w:rPr>
  </w:style>
  <w:style w:type="character" w:styleId="Fotnotsreferens">
    <w:name w:val="footnote reference"/>
    <w:aliases w:val="ECC Footnote number"/>
    <w:basedOn w:val="Standardstycketeckensnitt"/>
    <w:rsid w:val="00DB17F9"/>
    <w:rPr>
      <w:rFonts w:ascii="Arial" w:hAnsi="Arial"/>
      <w:sz w:val="20"/>
      <w:vertAlign w:val="superscript"/>
    </w:rPr>
  </w:style>
  <w:style w:type="paragraph" w:styleId="Beskrivning">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ngtext">
    <w:name w:val="Balloon Text"/>
    <w:basedOn w:val="Normal"/>
    <w:link w:val="BallongtextChar"/>
    <w:uiPriority w:val="99"/>
    <w:semiHidden/>
    <w:locked/>
    <w:rsid w:val="009E47EB"/>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Standardstycketeckensnit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Standardstycketeckensnit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
    <w:name w:val="Signature"/>
    <w:basedOn w:val="Normal"/>
    <w:link w:val="Signatur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Char">
    <w:name w:val="Signatur Char"/>
    <w:basedOn w:val="Standardstycketeckensnitt"/>
    <w:link w:val="Signatur"/>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Starkreferens">
    <w:name w:val="Intense Reference"/>
    <w:aliases w:val="cover page 'Report No'"/>
    <w:basedOn w:val="Standardstycketeckensnitt"/>
    <w:semiHidden/>
    <w:qFormat/>
    <w:rsid w:val="00980DFC"/>
    <w:rPr>
      <w:b/>
      <w:bCs/>
      <w:caps w:val="0"/>
      <w:smallCaps w:val="0"/>
      <w:color w:val="632423" w:themeColor="accent2" w:themeShade="80"/>
      <w:spacing w:val="5"/>
      <w:u w:val="none"/>
      <w:bdr w:val="none" w:sz="0" w:space="0" w:color="auto"/>
      <w:vertAlign w:val="baseline"/>
    </w:rPr>
  </w:style>
  <w:style w:type="character" w:styleId="Betoning">
    <w:name w:val="Emphasis"/>
    <w:aliases w:val="ECC HL italics"/>
    <w:uiPriority w:val="1"/>
    <w:qFormat/>
    <w:rsid w:val="00C418C5"/>
    <w:rPr>
      <w:i/>
    </w:rPr>
  </w:style>
  <w:style w:type="character" w:customStyle="1" w:styleId="Innehll1Char">
    <w:name w:val="Innehåll 1 Char"/>
    <w:aliases w:val="ECC Index 1 Char"/>
    <w:basedOn w:val="Standardstycketeckensnitt"/>
    <w:link w:val="Innehll1"/>
    <w:uiPriority w:val="39"/>
    <w:semiHidden/>
    <w:rsid w:val="00471F0A"/>
    <w:rPr>
      <w:rFonts w:eastAsia="Calibri"/>
      <w:b/>
      <w:lang w:val="en-GB"/>
    </w:rPr>
  </w:style>
  <w:style w:type="paragraph" w:styleId="Innehllsfrteckningsrubrik">
    <w:name w:val="TOC Heading"/>
    <w:basedOn w:val="Rubrik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Standardstycketeckensnitt"/>
    <w:uiPriority w:val="1"/>
    <w:qFormat/>
    <w:rsid w:val="00CD1F81"/>
    <w:rPr>
      <w:iCs w:val="0"/>
      <w:bdr w:val="none" w:sz="0" w:space="0" w:color="auto"/>
      <w:shd w:val="solid" w:color="00FFFF" w:fill="auto"/>
      <w:lang w:val="en-GB"/>
    </w:rPr>
  </w:style>
  <w:style w:type="character" w:customStyle="1" w:styleId="ECCHLorange">
    <w:name w:val="ECC HL orange"/>
    <w:basedOn w:val="Standardstycketeckensnitt"/>
    <w:uiPriority w:val="1"/>
    <w:qFormat/>
    <w:rsid w:val="00CD1F81"/>
    <w:rPr>
      <w:bdr w:val="none" w:sz="0" w:space="0" w:color="auto"/>
      <w:shd w:val="solid" w:color="FFC000" w:fill="auto"/>
    </w:rPr>
  </w:style>
  <w:style w:type="character" w:customStyle="1" w:styleId="ECCHLblue">
    <w:name w:val="ECC HL blue"/>
    <w:basedOn w:val="Standardstycketeckensnit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Standardstycketeckensnitt"/>
    <w:uiPriority w:val="1"/>
    <w:qFormat/>
    <w:rsid w:val="00CD1F81"/>
    <w:rPr>
      <w:iCs w:val="0"/>
      <w:color w:val="FFFFFF" w:themeColor="background1"/>
      <w:bdr w:val="none" w:sz="0" w:space="0" w:color="auto"/>
      <w:shd w:val="solid" w:color="008080" w:fill="auto"/>
    </w:rPr>
  </w:style>
  <w:style w:type="paragraph" w:styleId="Liststycke">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Standardstycketeckensnitt"/>
    <w:uiPriority w:val="1"/>
    <w:qFormat/>
    <w:rsid w:val="00CD1F81"/>
    <w:rPr>
      <w:color w:val="auto"/>
      <w:bdr w:val="none" w:sz="0" w:space="0" w:color="auto"/>
      <w:shd w:val="solid" w:color="FF3399" w:fill="auto"/>
      <w:lang w:val="en-GB"/>
    </w:rPr>
  </w:style>
  <w:style w:type="character" w:customStyle="1" w:styleId="ECCHLbrown">
    <w:name w:val="ECC HL brown"/>
    <w:basedOn w:val="Standardstycketeckensnitt"/>
    <w:uiPriority w:val="1"/>
    <w:qFormat/>
    <w:rsid w:val="00CD1F81"/>
    <w:rPr>
      <w:color w:val="D9D9D9" w:themeColor="background1" w:themeShade="D9"/>
      <w:bdr w:val="none" w:sz="0" w:space="0" w:color="auto"/>
      <w:shd w:val="solid" w:color="B95807" w:fill="auto"/>
    </w:rPr>
  </w:style>
  <w:style w:type="character" w:styleId="Hyperlnk">
    <w:name w:val="Hyperlink"/>
    <w:aliases w:val="ECC Hyperlink"/>
    <w:basedOn w:val="Standardstycketeckensnit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Standardstycketeckensnit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Frgatrutnt">
    <w:name w:val="Colorful Grid"/>
    <w:basedOn w:val="Normaltabel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Enkeltabell1">
    <w:name w:val="Table Simple 1"/>
    <w:basedOn w:val="Normaltabel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Frgatrutnt-dekorfrg6">
    <w:name w:val="Colorful Grid Accent 6"/>
    <w:basedOn w:val="Normaltabel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ellrutnt">
    <w:name w:val="Table Grid"/>
    <w:basedOn w:val="Normaltabel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Innehll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Innehll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Innehll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Innehll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Sidfot">
    <w:name w:val="footer"/>
    <w:basedOn w:val="Normal"/>
    <w:link w:val="SidfotChar"/>
    <w:uiPriority w:val="99"/>
    <w:semiHidden/>
    <w:locked/>
    <w:rsid w:val="000F0A57"/>
    <w:pPr>
      <w:tabs>
        <w:tab w:val="center" w:pos="4536"/>
        <w:tab w:val="right" w:pos="9072"/>
      </w:tabs>
      <w:spacing w:before="0" w:after="0"/>
    </w:pPr>
  </w:style>
  <w:style w:type="character" w:customStyle="1" w:styleId="SidfotChar">
    <w:name w:val="Sidfot Char"/>
    <w:basedOn w:val="Standardstycketeckensnitt"/>
    <w:link w:val="Sidfot"/>
    <w:uiPriority w:val="99"/>
    <w:semiHidden/>
    <w:rsid w:val="009B022D"/>
    <w:rPr>
      <w:rFonts w:eastAsia="Calibri"/>
      <w:szCs w:val="22"/>
      <w:lang w:val="en-GB"/>
    </w:rPr>
  </w:style>
  <w:style w:type="character" w:styleId="Stark">
    <w:name w:val="Strong"/>
    <w:basedOn w:val="Standardstycketeckensnitt"/>
    <w:semiHidden/>
    <w:qFormat/>
    <w:locked/>
    <w:rsid w:val="005E71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ndfonline.com/doi/full/10.1080/09205071.2015.1096838"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967CB-1058-4900-8625-2EB1FBBAF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3785</Words>
  <Characters>20065</Characters>
  <Application>Microsoft Office Word</Application>
  <DocSecurity>0</DocSecurity>
  <Lines>167</Lines>
  <Paragraphs>47</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23803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CPG Secretary</dc:creator>
  <dc:description>This template is used as guidance to draft ECC Reports</dc:description>
  <cp:lastModifiedBy>HS</cp:lastModifiedBy>
  <cp:revision>3</cp:revision>
  <cp:lastPrinted>1901-01-01T00:00:00Z</cp:lastPrinted>
  <dcterms:created xsi:type="dcterms:W3CDTF">2016-04-21T08:51:00Z</dcterms:created>
  <dcterms:modified xsi:type="dcterms:W3CDTF">2016-04-28T10:13:00Z</dcterms:modified>
  <cp:category>protected templates</cp:category>
  <cp:contentStatus>Revision 24.10.2014</cp:contentStatus>
</cp:coreProperties>
</file>