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jc w:val="center"/>
        <w:tblLayout w:type="fixed"/>
        <w:tblCellMar>
          <w:left w:w="70" w:type="dxa"/>
          <w:right w:w="70" w:type="dxa"/>
        </w:tblCellMar>
        <w:tblLook w:val="0000" w:firstRow="0" w:lastRow="0" w:firstColumn="0" w:lastColumn="0" w:noHBand="0" w:noVBand="0"/>
      </w:tblPr>
      <w:tblGrid>
        <w:gridCol w:w="5670"/>
        <w:gridCol w:w="4253"/>
      </w:tblGrid>
      <w:tr w:rsidR="00665B12" w:rsidTr="00047313">
        <w:trPr>
          <w:jc w:val="center"/>
        </w:trPr>
        <w:tc>
          <w:tcPr>
            <w:tcW w:w="5670" w:type="dxa"/>
          </w:tcPr>
          <w:p w:rsidR="00665B12" w:rsidRPr="007C3500" w:rsidRDefault="00F64475" w:rsidP="007A33AD">
            <w:r>
              <w:rPr>
                <w:noProof/>
                <w:lang w:val="de-DE"/>
              </w:rPr>
              <w:drawing>
                <wp:inline distT="0" distB="0" distL="0" distR="0">
                  <wp:extent cx="1628775" cy="8382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c>
        <w:tc>
          <w:tcPr>
            <w:tcW w:w="4253" w:type="dxa"/>
          </w:tcPr>
          <w:p w:rsidR="00665B12" w:rsidRDefault="00665B12" w:rsidP="007A33AD">
            <w:pPr>
              <w:ind w:right="282"/>
              <w:jc w:val="right"/>
            </w:pPr>
          </w:p>
        </w:tc>
      </w:tr>
      <w:tr w:rsidR="00665B12" w:rsidTr="00047313">
        <w:tblPrEx>
          <w:tblCellMar>
            <w:left w:w="108" w:type="dxa"/>
            <w:right w:w="108" w:type="dxa"/>
          </w:tblCellMar>
        </w:tblPrEx>
        <w:trPr>
          <w:jc w:val="center"/>
        </w:trPr>
        <w:tc>
          <w:tcPr>
            <w:tcW w:w="5670" w:type="dxa"/>
          </w:tcPr>
          <w:p w:rsidR="00665B12" w:rsidRPr="007C3500" w:rsidRDefault="00665B12" w:rsidP="007A33AD">
            <w:r w:rsidRPr="007C3500">
              <w:t xml:space="preserve"> </w:t>
            </w:r>
          </w:p>
          <w:p w:rsidR="00665B12" w:rsidRPr="00046A82" w:rsidRDefault="00665B12" w:rsidP="0004757A">
            <w:pPr>
              <w:pStyle w:val="berschrift4"/>
              <w:numPr>
                <w:ilvl w:val="0"/>
                <w:numId w:val="0"/>
              </w:numPr>
              <w:ind w:right="-321"/>
              <w:rPr>
                <w:b/>
                <w:i w:val="0"/>
                <w:u w:val="none"/>
              </w:rPr>
            </w:pPr>
            <w:r w:rsidRPr="00046A82">
              <w:rPr>
                <w:b/>
                <w:i w:val="0"/>
                <w:color w:val="808080"/>
                <w:u w:val="none"/>
              </w:rPr>
              <w:t>Project Team FM22</w:t>
            </w:r>
          </w:p>
        </w:tc>
        <w:tc>
          <w:tcPr>
            <w:tcW w:w="4253" w:type="dxa"/>
          </w:tcPr>
          <w:p w:rsidR="00665B12" w:rsidRPr="007C3500" w:rsidRDefault="00665B12" w:rsidP="007A33AD"/>
          <w:p w:rsidR="00665B12" w:rsidRDefault="00665B12" w:rsidP="0004757A">
            <w:pPr>
              <w:pStyle w:val="berschrift4"/>
              <w:numPr>
                <w:ilvl w:val="0"/>
                <w:numId w:val="0"/>
              </w:numPr>
              <w:ind w:right="-321"/>
            </w:pPr>
          </w:p>
        </w:tc>
      </w:tr>
      <w:tr w:rsidR="00665B12" w:rsidTr="00047313">
        <w:tblPrEx>
          <w:tblCellMar>
            <w:left w:w="108" w:type="dxa"/>
            <w:right w:w="108" w:type="dxa"/>
          </w:tblCellMar>
        </w:tblPrEx>
        <w:trPr>
          <w:trHeight w:val="209"/>
          <w:jc w:val="center"/>
        </w:trPr>
        <w:tc>
          <w:tcPr>
            <w:tcW w:w="5670" w:type="dxa"/>
          </w:tcPr>
          <w:p w:rsidR="00665B12" w:rsidRDefault="00665B12" w:rsidP="0004757A">
            <w:pPr>
              <w:pStyle w:val="berschrift4"/>
              <w:numPr>
                <w:ilvl w:val="0"/>
                <w:numId w:val="0"/>
              </w:numPr>
              <w:ind w:right="-321"/>
            </w:pPr>
          </w:p>
        </w:tc>
        <w:tc>
          <w:tcPr>
            <w:tcW w:w="4253" w:type="dxa"/>
          </w:tcPr>
          <w:p w:rsidR="00665B12" w:rsidRDefault="00665B12" w:rsidP="0004757A">
            <w:pPr>
              <w:pStyle w:val="berschrift4"/>
              <w:numPr>
                <w:ilvl w:val="0"/>
                <w:numId w:val="0"/>
              </w:numPr>
              <w:ind w:right="-321"/>
            </w:pPr>
          </w:p>
        </w:tc>
      </w:tr>
      <w:tr w:rsidR="00665B12" w:rsidTr="00047313">
        <w:tblPrEx>
          <w:tblCellMar>
            <w:left w:w="108" w:type="dxa"/>
            <w:right w:w="108" w:type="dxa"/>
          </w:tblCellMar>
        </w:tblPrEx>
        <w:trPr>
          <w:jc w:val="center"/>
        </w:trPr>
        <w:tc>
          <w:tcPr>
            <w:tcW w:w="5670" w:type="dxa"/>
            <w:vAlign w:val="center"/>
          </w:tcPr>
          <w:p w:rsidR="00665B12" w:rsidRDefault="005D1B4A" w:rsidP="00047313">
            <w:pPr>
              <w:rPr>
                <w:rFonts w:cs="Arial"/>
                <w:b/>
                <w:sz w:val="24"/>
                <w:szCs w:val="24"/>
              </w:rPr>
            </w:pPr>
            <w:r>
              <w:rPr>
                <w:rFonts w:cs="Arial"/>
                <w:b/>
                <w:sz w:val="24"/>
                <w:szCs w:val="24"/>
              </w:rPr>
              <w:t>4</w:t>
            </w:r>
            <w:r w:rsidR="001720BF">
              <w:rPr>
                <w:rFonts w:cs="Arial"/>
                <w:b/>
                <w:sz w:val="24"/>
                <w:szCs w:val="24"/>
              </w:rPr>
              <w:t>6</w:t>
            </w:r>
            <w:r w:rsidR="008766AC">
              <w:rPr>
                <w:rFonts w:cs="Arial"/>
                <w:b/>
                <w:sz w:val="24"/>
                <w:szCs w:val="24"/>
                <w:vertAlign w:val="superscript"/>
              </w:rPr>
              <w:t>th</w:t>
            </w:r>
            <w:r w:rsidR="00665B12">
              <w:rPr>
                <w:rFonts w:cs="Arial"/>
                <w:b/>
                <w:sz w:val="24"/>
                <w:szCs w:val="24"/>
              </w:rPr>
              <w:t xml:space="preserve"> Meeting of FM22 </w:t>
            </w:r>
          </w:p>
          <w:p w:rsidR="00665B12" w:rsidRDefault="001720BF" w:rsidP="001720BF">
            <w:r>
              <w:rPr>
                <w:rFonts w:cs="Arial"/>
                <w:b/>
                <w:sz w:val="24"/>
                <w:szCs w:val="24"/>
              </w:rPr>
              <w:t>Copenhagen</w:t>
            </w:r>
            <w:r w:rsidR="00665B12">
              <w:rPr>
                <w:rFonts w:cs="Arial"/>
                <w:b/>
                <w:sz w:val="24"/>
                <w:szCs w:val="24"/>
              </w:rPr>
              <w:t xml:space="preserve">, </w:t>
            </w:r>
            <w:r>
              <w:rPr>
                <w:rFonts w:cs="Arial"/>
                <w:b/>
                <w:sz w:val="24"/>
                <w:szCs w:val="24"/>
              </w:rPr>
              <w:t>03</w:t>
            </w:r>
            <w:r w:rsidR="00D61A61">
              <w:rPr>
                <w:rFonts w:cs="Arial"/>
                <w:b/>
                <w:sz w:val="24"/>
                <w:szCs w:val="24"/>
              </w:rPr>
              <w:t xml:space="preserve"> – </w:t>
            </w:r>
            <w:r>
              <w:rPr>
                <w:rFonts w:cs="Arial"/>
                <w:b/>
                <w:sz w:val="24"/>
                <w:szCs w:val="24"/>
              </w:rPr>
              <w:t>06</w:t>
            </w:r>
            <w:r w:rsidR="00D57FDC">
              <w:rPr>
                <w:rFonts w:cs="Arial"/>
                <w:b/>
                <w:sz w:val="24"/>
                <w:szCs w:val="24"/>
              </w:rPr>
              <w:t xml:space="preserve"> </w:t>
            </w:r>
            <w:r>
              <w:rPr>
                <w:rFonts w:cs="Arial"/>
                <w:b/>
                <w:sz w:val="24"/>
                <w:szCs w:val="24"/>
              </w:rPr>
              <w:t>October</w:t>
            </w:r>
            <w:r w:rsidR="00D57FDC">
              <w:rPr>
                <w:rFonts w:cs="Arial"/>
                <w:b/>
                <w:sz w:val="24"/>
                <w:szCs w:val="24"/>
              </w:rPr>
              <w:t xml:space="preserve"> 201</w:t>
            </w:r>
            <w:r w:rsidR="00F64475">
              <w:rPr>
                <w:rFonts w:cs="Arial"/>
                <w:b/>
                <w:sz w:val="24"/>
                <w:szCs w:val="24"/>
              </w:rPr>
              <w:t>6</w:t>
            </w:r>
          </w:p>
        </w:tc>
        <w:tc>
          <w:tcPr>
            <w:tcW w:w="4253" w:type="dxa"/>
          </w:tcPr>
          <w:p w:rsidR="00665B12" w:rsidRPr="00046A82" w:rsidRDefault="00665B12" w:rsidP="0004757A">
            <w:pPr>
              <w:pStyle w:val="berschrift4"/>
              <w:numPr>
                <w:ilvl w:val="0"/>
                <w:numId w:val="0"/>
              </w:numPr>
              <w:ind w:right="-321"/>
              <w:rPr>
                <w:b/>
                <w:bCs/>
                <w:i w:val="0"/>
                <w:u w:val="none"/>
              </w:rPr>
            </w:pPr>
          </w:p>
          <w:p w:rsidR="00665B12" w:rsidRPr="00046A82" w:rsidRDefault="00665B12" w:rsidP="00F173AB">
            <w:pPr>
              <w:pStyle w:val="berschrift4"/>
              <w:numPr>
                <w:ilvl w:val="0"/>
                <w:numId w:val="0"/>
              </w:numPr>
              <w:ind w:right="-321"/>
              <w:rPr>
                <w:b/>
                <w:bCs/>
                <w:i w:val="0"/>
                <w:u w:val="none"/>
              </w:rPr>
            </w:pPr>
            <w:proofErr w:type="gramStart"/>
            <w:r w:rsidRPr="00046A82">
              <w:rPr>
                <w:b/>
                <w:bCs/>
                <w:i w:val="0"/>
                <w:u w:val="none"/>
              </w:rPr>
              <w:t>FM22(</w:t>
            </w:r>
            <w:proofErr w:type="gramEnd"/>
            <w:r w:rsidR="00947414">
              <w:rPr>
                <w:b/>
                <w:bCs/>
                <w:i w:val="0"/>
                <w:u w:val="none"/>
              </w:rPr>
              <w:t>1</w:t>
            </w:r>
            <w:r w:rsidR="00F64475">
              <w:rPr>
                <w:b/>
                <w:bCs/>
                <w:i w:val="0"/>
                <w:u w:val="none"/>
              </w:rPr>
              <w:t>6</w:t>
            </w:r>
            <w:r w:rsidRPr="00046A82">
              <w:rPr>
                <w:b/>
                <w:bCs/>
                <w:i w:val="0"/>
                <w:u w:val="none"/>
              </w:rPr>
              <w:t>)</w:t>
            </w:r>
            <w:r w:rsidR="00F173AB">
              <w:rPr>
                <w:b/>
                <w:bCs/>
                <w:i w:val="0"/>
                <w:u w:val="none"/>
              </w:rPr>
              <w:t>51</w:t>
            </w:r>
          </w:p>
        </w:tc>
      </w:tr>
      <w:tr w:rsidR="00665B12" w:rsidTr="00047313">
        <w:tblPrEx>
          <w:tblCellMar>
            <w:left w:w="108" w:type="dxa"/>
            <w:right w:w="108" w:type="dxa"/>
          </w:tblCellMar>
        </w:tblPrEx>
        <w:trPr>
          <w:jc w:val="center"/>
        </w:trPr>
        <w:tc>
          <w:tcPr>
            <w:tcW w:w="9923" w:type="dxa"/>
            <w:gridSpan w:val="2"/>
            <w:vAlign w:val="center"/>
          </w:tcPr>
          <w:p w:rsidR="00665B12" w:rsidRDefault="00665B12" w:rsidP="0004757A">
            <w:pPr>
              <w:pStyle w:val="berschrift4"/>
              <w:numPr>
                <w:ilvl w:val="0"/>
                <w:numId w:val="0"/>
              </w:numPr>
            </w:pPr>
          </w:p>
          <w:p w:rsidR="00665B12" w:rsidRPr="00046A82" w:rsidRDefault="00665B12" w:rsidP="0004757A">
            <w:pPr>
              <w:pStyle w:val="berschrift4"/>
              <w:numPr>
                <w:ilvl w:val="0"/>
                <w:numId w:val="0"/>
              </w:numPr>
              <w:tabs>
                <w:tab w:val="left" w:pos="1735"/>
              </w:tabs>
              <w:rPr>
                <w:b/>
                <w:i w:val="0"/>
                <w:szCs w:val="24"/>
                <w:u w:val="none"/>
              </w:rPr>
            </w:pPr>
            <w:r w:rsidRPr="00046A82">
              <w:rPr>
                <w:b/>
                <w:i w:val="0"/>
                <w:szCs w:val="24"/>
                <w:u w:val="none"/>
              </w:rPr>
              <w:t xml:space="preserve">Date issued: </w:t>
            </w:r>
            <w:r w:rsidR="006C106C">
              <w:rPr>
                <w:b/>
                <w:i w:val="0"/>
                <w:szCs w:val="24"/>
                <w:u w:val="none"/>
              </w:rPr>
              <w:t xml:space="preserve">  </w:t>
            </w:r>
            <w:r w:rsidR="00F173AB">
              <w:rPr>
                <w:b/>
                <w:i w:val="0"/>
                <w:szCs w:val="24"/>
                <w:u w:val="none"/>
              </w:rPr>
              <w:t xml:space="preserve">22 </w:t>
            </w:r>
            <w:r w:rsidR="006C106C">
              <w:rPr>
                <w:b/>
                <w:i w:val="0"/>
                <w:szCs w:val="24"/>
                <w:u w:val="none"/>
              </w:rPr>
              <w:t>September 2016</w:t>
            </w:r>
          </w:p>
          <w:p w:rsidR="00665B12" w:rsidRDefault="00665B12" w:rsidP="0004757A">
            <w:pPr>
              <w:pStyle w:val="berschrift4"/>
              <w:numPr>
                <w:ilvl w:val="0"/>
                <w:numId w:val="0"/>
              </w:numPr>
              <w:rPr>
                <w:b/>
              </w:rPr>
            </w:pPr>
          </w:p>
          <w:p w:rsidR="00665B12" w:rsidRPr="00046A82" w:rsidRDefault="00665B12" w:rsidP="0004757A">
            <w:pPr>
              <w:pStyle w:val="berschrift4"/>
              <w:numPr>
                <w:ilvl w:val="0"/>
                <w:numId w:val="0"/>
              </w:numPr>
              <w:tabs>
                <w:tab w:val="left" w:pos="1735"/>
              </w:tabs>
              <w:rPr>
                <w:b/>
                <w:i w:val="0"/>
                <w:u w:val="none"/>
              </w:rPr>
            </w:pPr>
            <w:r w:rsidRPr="00046A82">
              <w:rPr>
                <w:b/>
                <w:i w:val="0"/>
                <w:u w:val="none"/>
              </w:rPr>
              <w:t xml:space="preserve">Source: </w:t>
            </w:r>
            <w:r w:rsidR="006C106C">
              <w:rPr>
                <w:b/>
                <w:i w:val="0"/>
                <w:u w:val="none"/>
              </w:rPr>
              <w:t xml:space="preserve">  France</w:t>
            </w:r>
          </w:p>
          <w:p w:rsidR="00665B12" w:rsidRDefault="00665B12" w:rsidP="0004757A">
            <w:pPr>
              <w:pStyle w:val="berschrift4"/>
              <w:numPr>
                <w:ilvl w:val="0"/>
                <w:numId w:val="0"/>
              </w:numPr>
              <w:rPr>
                <w:b/>
              </w:rPr>
            </w:pPr>
          </w:p>
          <w:p w:rsidR="00665B12" w:rsidRPr="00046A82" w:rsidRDefault="00665B12" w:rsidP="0004757A">
            <w:pPr>
              <w:pStyle w:val="berschrift4"/>
              <w:numPr>
                <w:ilvl w:val="0"/>
                <w:numId w:val="0"/>
              </w:numPr>
              <w:tabs>
                <w:tab w:val="left" w:pos="1779"/>
              </w:tabs>
              <w:rPr>
                <w:b/>
                <w:i w:val="0"/>
                <w:u w:val="none"/>
              </w:rPr>
            </w:pPr>
            <w:r w:rsidRPr="00046A82">
              <w:rPr>
                <w:b/>
                <w:i w:val="0"/>
                <w:u w:val="none"/>
              </w:rPr>
              <w:t xml:space="preserve">Subject: </w:t>
            </w:r>
            <w:r w:rsidR="006C106C">
              <w:rPr>
                <w:b/>
                <w:i w:val="0"/>
                <w:u w:val="none"/>
              </w:rPr>
              <w:t xml:space="preserve">  Monitoring </w:t>
            </w:r>
            <w:bookmarkStart w:id="0" w:name="_GoBack"/>
            <w:bookmarkEnd w:id="0"/>
            <w:r w:rsidR="006C106C">
              <w:rPr>
                <w:b/>
                <w:i w:val="0"/>
                <w:u w:val="none"/>
              </w:rPr>
              <w:t>of the adjacen</w:t>
            </w:r>
            <w:r w:rsidR="002542C0">
              <w:rPr>
                <w:b/>
                <w:i w:val="0"/>
                <w:u w:val="none"/>
              </w:rPr>
              <w:t>t frequency bands of the MSS Se</w:t>
            </w:r>
            <w:r w:rsidR="006C106C">
              <w:rPr>
                <w:b/>
                <w:i w:val="0"/>
                <w:u w:val="none"/>
              </w:rPr>
              <w:t>a</w:t>
            </w:r>
            <w:r w:rsidR="002542C0">
              <w:rPr>
                <w:b/>
                <w:i w:val="0"/>
                <w:u w:val="none"/>
              </w:rPr>
              <w:t>r</w:t>
            </w:r>
            <w:r w:rsidR="006C106C">
              <w:rPr>
                <w:b/>
                <w:i w:val="0"/>
                <w:u w:val="none"/>
              </w:rPr>
              <w:t>ch and Rescue band at 406 MHz</w:t>
            </w:r>
          </w:p>
          <w:p w:rsidR="00665B12" w:rsidRDefault="00665B12" w:rsidP="0004757A">
            <w:pPr>
              <w:pStyle w:val="berschrift4"/>
              <w:numPr>
                <w:ilvl w:val="0"/>
                <w:numId w:val="0"/>
              </w:numPr>
              <w:rPr>
                <w:b/>
              </w:rPr>
            </w:pPr>
          </w:p>
        </w:tc>
      </w:tr>
    </w:tbl>
    <w:p w:rsidR="00665B12" w:rsidRDefault="00F64475" w:rsidP="00665B12">
      <w:r>
        <w:rPr>
          <w:noProof/>
          <w:lang w:val="de-DE"/>
        </w:rPr>
        <mc:AlternateContent>
          <mc:Choice Requires="wps">
            <w:drawing>
              <wp:anchor distT="0" distB="0" distL="114300" distR="114300" simplePos="0" relativeHeight="251657728" behindDoc="0" locked="0" layoutInCell="1" allowOverlap="1">
                <wp:simplePos x="0" y="0"/>
                <wp:positionH relativeFrom="column">
                  <wp:posOffset>2127250</wp:posOffset>
                </wp:positionH>
                <wp:positionV relativeFrom="paragraph">
                  <wp:posOffset>120650</wp:posOffset>
                </wp:positionV>
                <wp:extent cx="457200" cy="228600"/>
                <wp:effectExtent l="12700" t="6350"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665B12" w:rsidRDefault="006C106C" w:rsidP="00665B12">
                            <w:pPr>
                              <w:jc w:val="center"/>
                              <w:rPr>
                                <w:lang w:val="en-IE"/>
                              </w:rPr>
                            </w:pPr>
                            <w:r>
                              <w:rPr>
                                <w:lang w:val="en-I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7.5pt;margin-top:9.5pt;width:36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">
                <v:textbox>
                  <w:txbxContent>
                    <w:p w:rsidR="00665B12" w:rsidRDefault="006C106C" w:rsidP="00665B12">
                      <w:pPr>
                        <w:jc w:val="center"/>
                        <w:rPr>
                          <w:lang w:val="en-IE"/>
                        </w:rPr>
                      </w:pPr>
                      <w:r>
                        <w:rPr>
                          <w:lang w:val="en-IE"/>
                        </w:rPr>
                        <w:t>N</w:t>
                      </w:r>
                    </w:p>
                  </w:txbxContent>
                </v:textbox>
              </v:shape>
            </w:pict>
          </mc:Fallback>
        </mc:AlternateContent>
      </w:r>
    </w:p>
    <w:p w:rsidR="00665B12" w:rsidRDefault="00665B12" w:rsidP="00665B12">
      <w:pPr>
        <w:ind w:right="-852" w:hanging="540"/>
      </w:pPr>
      <w:r>
        <w:t xml:space="preserve">Password protection required? (Y/N) *  </w:t>
      </w:r>
    </w:p>
    <w:p w:rsidR="00665B12" w:rsidRDefault="00665B12" w:rsidP="00665B1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665B12" w:rsidTr="00887B16">
        <w:trPr>
          <w:jc w:val="center"/>
        </w:trPr>
        <w:tc>
          <w:tcPr>
            <w:tcW w:w="9923" w:type="dxa"/>
            <w:vAlign w:val="center"/>
          </w:tcPr>
          <w:p w:rsidR="00665B12" w:rsidRPr="007C3500" w:rsidRDefault="00665B12" w:rsidP="0004757A">
            <w:pPr>
              <w:pStyle w:val="berschrift4"/>
              <w:numPr>
                <w:ilvl w:val="0"/>
                <w:numId w:val="0"/>
              </w:numPr>
            </w:pPr>
          </w:p>
          <w:p w:rsidR="00665B12" w:rsidRPr="00046A82" w:rsidRDefault="00665B12" w:rsidP="0004757A">
            <w:pPr>
              <w:pStyle w:val="berschrift4"/>
              <w:numPr>
                <w:ilvl w:val="0"/>
                <w:numId w:val="0"/>
              </w:numPr>
              <w:rPr>
                <w:rFonts w:cs="Arial"/>
                <w:b/>
                <w:i w:val="0"/>
                <w:u w:val="none"/>
              </w:rPr>
            </w:pPr>
            <w:r w:rsidRPr="00046A82">
              <w:rPr>
                <w:b/>
                <w:i w:val="0"/>
                <w:u w:val="none"/>
              </w:rPr>
              <w:t>Summary</w:t>
            </w:r>
          </w:p>
          <w:p w:rsidR="00665B12" w:rsidRPr="00D57FDC" w:rsidRDefault="00D57FDC" w:rsidP="0004757A">
            <w:pPr>
              <w:pStyle w:val="berschrift4"/>
              <w:numPr>
                <w:ilvl w:val="0"/>
                <w:numId w:val="0"/>
              </w:numPr>
              <w:rPr>
                <w:rFonts w:cs="Arial"/>
                <w:i w:val="0"/>
                <w:u w:val="none"/>
              </w:rPr>
            </w:pPr>
            <w:r w:rsidRPr="00D57FDC">
              <w:rPr>
                <w:rFonts w:cs="Arial"/>
                <w:i w:val="0"/>
                <w:u w:val="none"/>
              </w:rPr>
              <w:t xml:space="preserve"> </w:t>
            </w:r>
          </w:p>
        </w:tc>
      </w:tr>
      <w:tr w:rsidR="00665B12" w:rsidTr="00887B16">
        <w:trPr>
          <w:jc w:val="center"/>
        </w:trPr>
        <w:tc>
          <w:tcPr>
            <w:tcW w:w="9923" w:type="dxa"/>
            <w:vAlign w:val="center"/>
          </w:tcPr>
          <w:p w:rsidR="00665B12" w:rsidRDefault="00665B12" w:rsidP="0004757A">
            <w:pPr>
              <w:pStyle w:val="berschrift4"/>
              <w:numPr>
                <w:ilvl w:val="0"/>
                <w:numId w:val="0"/>
              </w:numPr>
              <w:rPr>
                <w:rFonts w:cs="Arial"/>
              </w:rPr>
            </w:pPr>
          </w:p>
          <w:p w:rsidR="00665B12" w:rsidRPr="00046A82" w:rsidRDefault="00665B12" w:rsidP="0004757A">
            <w:pPr>
              <w:pStyle w:val="berschrift4"/>
              <w:numPr>
                <w:ilvl w:val="0"/>
                <w:numId w:val="0"/>
              </w:numPr>
              <w:rPr>
                <w:b/>
                <w:bCs/>
                <w:i w:val="0"/>
                <w:u w:val="none"/>
              </w:rPr>
            </w:pPr>
            <w:r w:rsidRPr="00046A82">
              <w:rPr>
                <w:b/>
                <w:bCs/>
                <w:i w:val="0"/>
                <w:u w:val="none"/>
              </w:rPr>
              <w:t>Proposal</w:t>
            </w:r>
          </w:p>
          <w:p w:rsidR="00665B12" w:rsidRPr="00D57FDC" w:rsidRDefault="00D57FDC" w:rsidP="0004757A">
            <w:pPr>
              <w:pStyle w:val="berschrift4"/>
              <w:numPr>
                <w:ilvl w:val="0"/>
                <w:numId w:val="0"/>
              </w:numPr>
              <w:rPr>
                <w:rFonts w:cs="Arial"/>
                <w:i w:val="0"/>
                <w:u w:val="none"/>
              </w:rPr>
            </w:pPr>
            <w:r w:rsidRPr="00D57FDC">
              <w:rPr>
                <w:rFonts w:cs="Arial"/>
                <w:i w:val="0"/>
                <w:u w:val="none"/>
              </w:rPr>
              <w:t xml:space="preserve"> </w:t>
            </w:r>
          </w:p>
        </w:tc>
      </w:tr>
      <w:tr w:rsidR="00665B12" w:rsidTr="00887B16">
        <w:trPr>
          <w:jc w:val="center"/>
        </w:trPr>
        <w:tc>
          <w:tcPr>
            <w:tcW w:w="9923" w:type="dxa"/>
            <w:vAlign w:val="center"/>
          </w:tcPr>
          <w:p w:rsidR="00665B12" w:rsidRPr="007C3500" w:rsidRDefault="00665B12" w:rsidP="0004757A">
            <w:pPr>
              <w:pStyle w:val="berschrift4"/>
              <w:numPr>
                <w:ilvl w:val="0"/>
                <w:numId w:val="0"/>
              </w:numPr>
            </w:pPr>
          </w:p>
          <w:p w:rsidR="00665B12" w:rsidRPr="00046A82" w:rsidRDefault="00665B12" w:rsidP="0004757A">
            <w:pPr>
              <w:pStyle w:val="berschrift4"/>
              <w:numPr>
                <w:ilvl w:val="0"/>
                <w:numId w:val="0"/>
              </w:numPr>
              <w:rPr>
                <w:b/>
                <w:bCs/>
                <w:i w:val="0"/>
                <w:u w:val="none"/>
              </w:rPr>
            </w:pPr>
            <w:r w:rsidRPr="00046A82">
              <w:rPr>
                <w:b/>
                <w:bCs/>
                <w:i w:val="0"/>
                <w:u w:val="none"/>
              </w:rPr>
              <w:t>Background</w:t>
            </w:r>
          </w:p>
          <w:p w:rsidR="00665B12" w:rsidRPr="00D57FDC" w:rsidRDefault="00D57FDC" w:rsidP="0004757A">
            <w:pPr>
              <w:pStyle w:val="berschrift4"/>
              <w:numPr>
                <w:ilvl w:val="0"/>
                <w:numId w:val="0"/>
              </w:numPr>
              <w:rPr>
                <w:rFonts w:cs="Arial"/>
                <w:i w:val="0"/>
                <w:szCs w:val="24"/>
                <w:u w:val="none"/>
              </w:rPr>
            </w:pPr>
            <w:r w:rsidRPr="00D57FDC">
              <w:rPr>
                <w:rFonts w:cs="Arial"/>
                <w:i w:val="0"/>
                <w:szCs w:val="24"/>
                <w:u w:val="none"/>
              </w:rPr>
              <w:t xml:space="preserve"> </w:t>
            </w:r>
          </w:p>
        </w:tc>
      </w:tr>
    </w:tbl>
    <w:p w:rsidR="00665B12" w:rsidRDefault="00665B12" w:rsidP="00665B12"/>
    <w:tbl>
      <w:tblPr>
        <w:tblpPr w:leftFromText="180" w:rightFromText="180" w:horzAnchor="margin" w:tblpY="-687"/>
        <w:tblW w:w="9889" w:type="dxa"/>
        <w:tblLayout w:type="fixed"/>
        <w:tblLook w:val="0000" w:firstRow="0" w:lastRow="0" w:firstColumn="0" w:lastColumn="0" w:noHBand="0" w:noVBand="0"/>
      </w:tblPr>
      <w:tblGrid>
        <w:gridCol w:w="9889"/>
      </w:tblGrid>
      <w:tr w:rsidR="006670B4" w:rsidTr="008217EF">
        <w:trPr>
          <w:cantSplit/>
        </w:trPr>
        <w:tc>
          <w:tcPr>
            <w:tcW w:w="9889" w:type="dxa"/>
          </w:tcPr>
          <w:p w:rsidR="006670B4" w:rsidRDefault="006670B4" w:rsidP="008217EF">
            <w:pPr>
              <w:pStyle w:val="Title1"/>
              <w:spacing w:before="120"/>
              <w:rPr>
                <w:lang w:eastAsia="zh-CN"/>
              </w:rPr>
            </w:pPr>
            <w:bookmarkStart w:id="1" w:name="dtitle1" w:colFirst="0" w:colLast="0"/>
          </w:p>
        </w:tc>
      </w:tr>
    </w:tbl>
    <w:p w:rsidR="006670B4" w:rsidRPr="00A67AC6" w:rsidRDefault="006670B4" w:rsidP="006670B4">
      <w:pPr>
        <w:pStyle w:val="berschrift1"/>
      </w:pPr>
      <w:bookmarkStart w:id="2" w:name="dbreak"/>
      <w:bookmarkEnd w:id="1"/>
      <w:bookmarkEnd w:id="2"/>
      <w:r>
        <w:t>Introduction</w:t>
      </w:r>
    </w:p>
    <w:p w:rsidR="006670B4" w:rsidRPr="00AA2DAE" w:rsidRDefault="006670B4" w:rsidP="00742A02">
      <w:pPr>
        <w:jc w:val="both"/>
        <w:rPr>
          <w:rFonts w:eastAsiaTheme="minorHAnsi"/>
        </w:rPr>
      </w:pPr>
      <w:r w:rsidRPr="00AA2DAE">
        <w:rPr>
          <w:rFonts w:eastAsiaTheme="minorHAnsi"/>
        </w:rPr>
        <w:t xml:space="preserve">WRC Resolution </w:t>
      </w:r>
      <w:r w:rsidRPr="00196B1B">
        <w:rPr>
          <w:rFonts w:eastAsiaTheme="minorHAnsi"/>
          <w:b/>
          <w:bCs/>
        </w:rPr>
        <w:t>205</w:t>
      </w:r>
      <w:r w:rsidRPr="00AA2DAE">
        <w:rPr>
          <w:rFonts w:eastAsiaTheme="minorHAnsi"/>
        </w:rPr>
        <w:t xml:space="preserve"> was modified at the last </w:t>
      </w:r>
      <w:r w:rsidRPr="00AA2DAE">
        <w:t xml:space="preserve">World </w:t>
      </w:r>
      <w:proofErr w:type="spellStart"/>
      <w:r w:rsidRPr="00AA2DAE">
        <w:t>Radio</w:t>
      </w:r>
      <w:r>
        <w:t>communication</w:t>
      </w:r>
      <w:proofErr w:type="spellEnd"/>
      <w:r w:rsidRPr="00AA2DAE">
        <w:t xml:space="preserve"> Conference (November 2015)</w:t>
      </w:r>
      <w:r w:rsidRPr="00AA2DAE">
        <w:rPr>
          <w:rFonts w:eastAsiaTheme="minorHAnsi"/>
        </w:rPr>
        <w:t xml:space="preserve">, and in particular, an additional “resolves” was added to request Administrations not to make new frequency assignments within the frequency bands 405.9 </w:t>
      </w:r>
      <w:r>
        <w:rPr>
          <w:rFonts w:eastAsiaTheme="minorHAnsi"/>
        </w:rPr>
        <w:t>to 406.0 MHz and 406.1 to 406.2 </w:t>
      </w:r>
      <w:r w:rsidRPr="00AA2DAE">
        <w:rPr>
          <w:rFonts w:eastAsiaTheme="minorHAnsi"/>
        </w:rPr>
        <w:t>MHz under the mobile and fixed services. Administrations are also urged to take all practical steps to limit the levels of unwanted emissions of stations operating within the 403 to 406 MHz and 406.1 to 410 MHz frequency ranges in order not to cause harmful interference to mobile-satellite systems operating in the 406 to 406.1 MHz frequency band.</w:t>
      </w:r>
    </w:p>
    <w:p w:rsidR="006670B4" w:rsidRPr="00AA2DAE" w:rsidRDefault="006670B4" w:rsidP="00742A02">
      <w:pPr>
        <w:jc w:val="both"/>
        <w:rPr>
          <w:rFonts w:eastAsiaTheme="minorHAnsi"/>
        </w:rPr>
      </w:pPr>
      <w:r w:rsidRPr="00AA2DAE">
        <w:rPr>
          <w:rFonts w:eastAsiaTheme="minorHAnsi"/>
        </w:rPr>
        <w:t xml:space="preserve">Administrations are also encouraged to take measures such as authorizing new assignments to stations in the fixed and mobile services with priority given to selecting channels with greater frequency separation from the 406 to 406.1 MHz frequency band and ensuring that the </w:t>
      </w:r>
      <w:proofErr w:type="spellStart"/>
      <w:r w:rsidRPr="00AA2DAE">
        <w:rPr>
          <w:rFonts w:eastAsiaTheme="minorHAnsi"/>
        </w:rPr>
        <w:t>e.i.r.p</w:t>
      </w:r>
      <w:proofErr w:type="spellEnd"/>
      <w:r w:rsidRPr="00AA2DAE">
        <w:rPr>
          <w:rFonts w:eastAsiaTheme="minorHAnsi"/>
        </w:rPr>
        <w:t xml:space="preserve">. of new fixed and mobile systems at all but low elevation angles is kept to the minimum required level, </w:t>
      </w:r>
    </w:p>
    <w:p w:rsidR="006670B4" w:rsidRDefault="006670B4" w:rsidP="00532EFC">
      <w:pPr>
        <w:jc w:val="both"/>
        <w:rPr>
          <w:rFonts w:eastAsiaTheme="minorHAnsi" w:cs="Arial"/>
        </w:rPr>
      </w:pPr>
      <w:r w:rsidRPr="00AA2DAE">
        <w:rPr>
          <w:rFonts w:eastAsiaTheme="minorHAnsi"/>
        </w:rPr>
        <w:t>In addition to the added ITU requirements to p</w:t>
      </w:r>
      <w:r w:rsidR="005C7342">
        <w:rPr>
          <w:rFonts w:eastAsiaTheme="minorHAnsi"/>
        </w:rPr>
        <w:t xml:space="preserve">rotect the </w:t>
      </w:r>
      <w:proofErr w:type="spellStart"/>
      <w:r w:rsidR="005C7342">
        <w:rPr>
          <w:rFonts w:eastAsiaTheme="minorHAnsi"/>
        </w:rPr>
        <w:t>Cospas-Sarsat</w:t>
      </w:r>
      <w:proofErr w:type="spellEnd"/>
      <w:r w:rsidR="005C7342">
        <w:rPr>
          <w:rFonts w:eastAsiaTheme="minorHAnsi"/>
        </w:rPr>
        <w:t xml:space="preserve"> system</w:t>
      </w:r>
      <w:r w:rsidRPr="00AA2DAE">
        <w:rPr>
          <w:rFonts w:eastAsiaTheme="minorHAnsi"/>
        </w:rPr>
        <w:t>, the amendments to WRC</w:t>
      </w:r>
      <w:r w:rsidR="0023494B">
        <w:rPr>
          <w:rFonts w:eastAsiaTheme="minorHAnsi"/>
        </w:rPr>
        <w:t xml:space="preserve">, </w:t>
      </w:r>
      <w:r w:rsidRPr="008E140A">
        <w:rPr>
          <w:rFonts w:eastAsiaTheme="minorHAnsi"/>
          <w:b/>
        </w:rPr>
        <w:t xml:space="preserve">Resolution </w:t>
      </w:r>
      <w:r w:rsidRPr="008E140A">
        <w:rPr>
          <w:rFonts w:eastAsiaTheme="minorHAnsi"/>
          <w:b/>
          <w:bCs/>
        </w:rPr>
        <w:t>205</w:t>
      </w:r>
      <w:r w:rsidRPr="008E140A">
        <w:rPr>
          <w:rFonts w:eastAsiaTheme="minorHAnsi"/>
          <w:b/>
        </w:rPr>
        <w:t xml:space="preserve"> also instructs the Director of the ITU </w:t>
      </w:r>
      <w:proofErr w:type="spellStart"/>
      <w:r w:rsidRPr="008E140A">
        <w:rPr>
          <w:rFonts w:eastAsiaTheme="minorHAnsi"/>
          <w:b/>
        </w:rPr>
        <w:t>Radiocommunication</w:t>
      </w:r>
      <w:proofErr w:type="spellEnd"/>
      <w:r w:rsidRPr="008E140A">
        <w:rPr>
          <w:rFonts w:eastAsiaTheme="minorHAnsi"/>
          <w:b/>
        </w:rPr>
        <w:t xml:space="preserve"> Bureau to organize monitoring programmes on the impact of unwanted emissions from systems operating in the frequency bands 405.9-406 MHz and 406.1-406.2</w:t>
      </w:r>
      <w:r w:rsidRPr="00AA2DAE">
        <w:rPr>
          <w:rFonts w:eastAsiaTheme="minorHAnsi"/>
        </w:rPr>
        <w:t xml:space="preserve"> MHz on MSS reception in the frequency band 406-406.1 MHz in order to assess the effectiveness of this resolution, and to report </w:t>
      </w:r>
      <w:r>
        <w:rPr>
          <w:rFonts w:eastAsiaTheme="minorHAnsi"/>
        </w:rPr>
        <w:t xml:space="preserve">to </w:t>
      </w:r>
      <w:r>
        <w:rPr>
          <w:rFonts w:eastAsiaTheme="minorHAnsi"/>
        </w:rPr>
        <w:lastRenderedPageBreak/>
        <w:t xml:space="preserve">subsequent </w:t>
      </w:r>
      <w:r w:rsidRPr="00532EFC">
        <w:rPr>
          <w:rFonts w:eastAsiaTheme="minorHAnsi" w:cs="Arial"/>
        </w:rPr>
        <w:t xml:space="preserve">World </w:t>
      </w:r>
      <w:proofErr w:type="spellStart"/>
      <w:r w:rsidRPr="00532EFC">
        <w:rPr>
          <w:rFonts w:eastAsiaTheme="minorHAnsi" w:cs="Arial"/>
        </w:rPr>
        <w:t>Radiocommunication</w:t>
      </w:r>
      <w:proofErr w:type="spellEnd"/>
      <w:r w:rsidRPr="00532EFC">
        <w:rPr>
          <w:rFonts w:eastAsiaTheme="minorHAnsi" w:cs="Arial"/>
        </w:rPr>
        <w:t xml:space="preserve"> Conferences.</w:t>
      </w:r>
      <w:r w:rsidR="00532EFC" w:rsidRPr="00532EFC">
        <w:rPr>
          <w:rFonts w:eastAsiaTheme="minorHAnsi" w:cs="Arial"/>
        </w:rPr>
        <w:t xml:space="preserve"> It is planned that the next Report of the Director </w:t>
      </w:r>
      <w:r w:rsidR="0052363C">
        <w:rPr>
          <w:rFonts w:eastAsiaTheme="minorHAnsi" w:cs="Arial"/>
        </w:rPr>
        <w:t xml:space="preserve">to be published for the next WRC in 2019 </w:t>
      </w:r>
      <w:r w:rsidR="00532EFC" w:rsidRPr="00532EFC">
        <w:rPr>
          <w:rFonts w:eastAsiaTheme="minorHAnsi" w:cs="Arial"/>
        </w:rPr>
        <w:t>(agenda item 9 of the WRC) should contain elements regarding this important issue since the BR has a direct responsibility on this issue.</w:t>
      </w:r>
    </w:p>
    <w:p w:rsidR="0052363C" w:rsidRPr="00532EFC" w:rsidRDefault="0052363C" w:rsidP="00532EFC">
      <w:pPr>
        <w:jc w:val="both"/>
        <w:rPr>
          <w:rFonts w:eastAsiaTheme="minorHAnsi" w:cs="Arial"/>
        </w:rPr>
      </w:pPr>
    </w:p>
    <w:p w:rsidR="0052363C" w:rsidRDefault="0052363C" w:rsidP="00532EFC">
      <w:pPr>
        <w:jc w:val="both"/>
        <w:rPr>
          <w:rFonts w:cs="Arial"/>
        </w:rPr>
      </w:pPr>
      <w:r>
        <w:rPr>
          <w:rFonts w:cs="Arial"/>
        </w:rPr>
        <w:t>Currently,</w:t>
      </w:r>
      <w:r w:rsidR="006670B4" w:rsidRPr="00532EFC">
        <w:rPr>
          <w:rFonts w:cs="Arial"/>
        </w:rPr>
        <w:t xml:space="preserve"> it is to be noted that according to the Radio Regulations, through Resolution 205</w:t>
      </w:r>
      <w:r w:rsidR="0023494B" w:rsidRPr="00532EFC">
        <w:rPr>
          <w:rFonts w:cs="Arial"/>
        </w:rPr>
        <w:t>,</w:t>
      </w:r>
      <w:r w:rsidR="006670B4" w:rsidRPr="00532EFC">
        <w:rPr>
          <w:rFonts w:cs="Arial"/>
        </w:rPr>
        <w:t xml:space="preserve"> the BR is requested to organise a monitoring programme in the frequency band 406-406.1 MHz exclusively allocated to mobile-satellite service for search and rescue activities. The objective of this monitoring programme is to identify and locate unauthorized emissions in the band 406-406.1 MHz that cause harmful interference to the reception of satellite emergency position-indicating radio beacons (EPIRB) signals of the COSPAS-SARSAT system. The Administrations participating in this monitoring programme provide their reports to the Bureau in application of WRC Resolution </w:t>
      </w:r>
      <w:r w:rsidR="006670B4" w:rsidRPr="00532EFC">
        <w:rPr>
          <w:rFonts w:cs="Arial"/>
          <w:b/>
          <w:bCs/>
        </w:rPr>
        <w:t>205</w:t>
      </w:r>
      <w:r w:rsidR="006670B4" w:rsidRPr="00532EFC">
        <w:rPr>
          <w:rStyle w:val="ms-rtethemeforecolor-2-0"/>
          <w:rFonts w:cs="Arial"/>
        </w:rPr>
        <w:t xml:space="preserve">. </w:t>
      </w:r>
      <w:r w:rsidR="006670B4" w:rsidRPr="00532EFC">
        <w:rPr>
          <w:rFonts w:cs="Arial"/>
        </w:rPr>
        <w:t xml:space="preserve">Upon receipt of the reports, the </w:t>
      </w:r>
      <w:proofErr w:type="spellStart"/>
      <w:r w:rsidR="006670B4" w:rsidRPr="00532EFC">
        <w:rPr>
          <w:rFonts w:cs="Arial"/>
        </w:rPr>
        <w:t>Radiocommunication</w:t>
      </w:r>
      <w:proofErr w:type="spellEnd"/>
      <w:r w:rsidR="006670B4" w:rsidRPr="00532EFC">
        <w:rPr>
          <w:rFonts w:cs="Arial"/>
        </w:rPr>
        <w:t xml:space="preserve"> Bureau immediately contacts the Administrations responsible for the area where the unauthorized transmitters are located, requesting them to take immediate action with a view to stopping the emissions. </w:t>
      </w:r>
      <w:r>
        <w:rPr>
          <w:rFonts w:cs="Arial"/>
        </w:rPr>
        <w:t xml:space="preserve"> </w:t>
      </w:r>
      <w:r w:rsidR="006670B4" w:rsidRPr="00532EFC">
        <w:rPr>
          <w:rFonts w:cs="Arial"/>
        </w:rPr>
        <w:t xml:space="preserve">The publication of the monitoring reports for in band emissions can be found at </w:t>
      </w:r>
      <w:hyperlink r:id="rId10" w:history="1">
        <w:r w:rsidR="006670B4" w:rsidRPr="00532EFC">
          <w:rPr>
            <w:rStyle w:val="Hyperlink"/>
            <w:rFonts w:cs="Arial"/>
          </w:rPr>
          <w:t>http://www.itu.int/net4/ITU-R/terrestrial/res205/default.aspx</w:t>
        </w:r>
      </w:hyperlink>
      <w:r w:rsidR="006670B4" w:rsidRPr="00532EFC">
        <w:rPr>
          <w:rFonts w:cs="Arial"/>
        </w:rPr>
        <w:t>.</w:t>
      </w:r>
    </w:p>
    <w:p w:rsidR="0052363C" w:rsidRDefault="0052363C" w:rsidP="00532EFC">
      <w:pPr>
        <w:jc w:val="both"/>
        <w:rPr>
          <w:rFonts w:cs="Arial"/>
        </w:rPr>
      </w:pPr>
    </w:p>
    <w:p w:rsidR="006670B4" w:rsidRDefault="006670B4" w:rsidP="00532EFC">
      <w:pPr>
        <w:jc w:val="both"/>
        <w:rPr>
          <w:rFonts w:cs="Arial"/>
        </w:rPr>
      </w:pPr>
      <w:r w:rsidRPr="00532EFC">
        <w:rPr>
          <w:rFonts w:cs="Arial"/>
        </w:rPr>
        <w:t>The fact is that now, according to the revisions brought by WRC15, the BR is also requested to organise monitoring in the frequency adjacent bands 40</w:t>
      </w:r>
      <w:r w:rsidR="0052363C">
        <w:rPr>
          <w:rFonts w:cs="Arial"/>
        </w:rPr>
        <w:t>5.9-406 MHz and 406.1-406.2 MHz. The monitoring of these adjacent bands is probably much more complex than the in band monitoring. This is the reason why a specific CEPT action item has been agreed within WGFM.</w:t>
      </w:r>
    </w:p>
    <w:p w:rsidR="0052363C" w:rsidRDefault="0052363C" w:rsidP="00532EFC">
      <w:pPr>
        <w:jc w:val="both"/>
        <w:rPr>
          <w:rFonts w:cs="Arial"/>
        </w:rPr>
      </w:pPr>
    </w:p>
    <w:p w:rsidR="0052363C" w:rsidRDefault="0052363C" w:rsidP="00532EFC">
      <w:pPr>
        <w:jc w:val="both"/>
        <w:rPr>
          <w:rFonts w:cs="Arial"/>
        </w:rPr>
      </w:pPr>
      <w:r>
        <w:rPr>
          <w:rFonts w:cs="Arial"/>
        </w:rPr>
        <w:t>The purpose of this document is to explain in detail the basic problem and to begin proposing concrete solutions.</w:t>
      </w:r>
    </w:p>
    <w:p w:rsidR="0052363C" w:rsidRDefault="0052363C" w:rsidP="00532EFC">
      <w:pPr>
        <w:jc w:val="both"/>
        <w:rPr>
          <w:rFonts w:cs="Arial"/>
        </w:rPr>
      </w:pPr>
    </w:p>
    <w:p w:rsidR="00E56F77" w:rsidRDefault="0052363C" w:rsidP="00E56F77">
      <w:pPr>
        <w:pStyle w:val="berschrift1"/>
      </w:pPr>
      <w:r>
        <w:t>Background</w:t>
      </w:r>
    </w:p>
    <w:p w:rsidR="00E56F77" w:rsidRPr="00B72183" w:rsidRDefault="005C7342" w:rsidP="00E56F77">
      <w:pPr>
        <w:pStyle w:val="berschrift2"/>
      </w:pPr>
      <w:r>
        <w:t xml:space="preserve">Description </w:t>
      </w:r>
      <w:r w:rsidR="00D50408">
        <w:t>o</w:t>
      </w:r>
      <w:r>
        <w:t>f</w:t>
      </w:r>
      <w:r w:rsidR="00D50408">
        <w:t xml:space="preserve"> the </w:t>
      </w:r>
      <w:proofErr w:type="spellStart"/>
      <w:r w:rsidR="00D50408">
        <w:t>Cospas</w:t>
      </w:r>
      <w:proofErr w:type="spellEnd"/>
      <w:r w:rsidR="00D50408">
        <w:t xml:space="preserve"> </w:t>
      </w:r>
      <w:proofErr w:type="spellStart"/>
      <w:r w:rsidR="00D50408">
        <w:t>Sarsat</w:t>
      </w:r>
      <w:proofErr w:type="spellEnd"/>
      <w:r w:rsidR="00D50408">
        <w:t xml:space="preserve"> system</w:t>
      </w:r>
    </w:p>
    <w:p w:rsidR="00107E6A" w:rsidRPr="00107E6A" w:rsidRDefault="00107E6A" w:rsidP="005C7342">
      <w:pPr>
        <w:spacing w:before="100" w:beforeAutospacing="1"/>
        <w:ind w:left="113"/>
        <w:jc w:val="both"/>
        <w:rPr>
          <w:rFonts w:cs="Arial"/>
          <w:szCs w:val="22"/>
          <w:lang w:val="en-US"/>
        </w:rPr>
      </w:pPr>
      <w:r>
        <w:rPr>
          <w:rFonts w:cs="Arial"/>
          <w:szCs w:val="22"/>
          <w:lang w:val="en-US"/>
        </w:rPr>
        <w:t>T</w:t>
      </w:r>
      <w:r w:rsidRPr="00107E6A">
        <w:rPr>
          <w:rFonts w:cs="Arial"/>
          <w:szCs w:val="22"/>
          <w:lang w:val="en-US"/>
        </w:rPr>
        <w:t xml:space="preserve">he </w:t>
      </w:r>
      <w:proofErr w:type="spellStart"/>
      <w:r w:rsidRPr="00107E6A">
        <w:rPr>
          <w:rFonts w:cs="Arial"/>
          <w:szCs w:val="22"/>
          <w:lang w:val="en-US"/>
        </w:rPr>
        <w:t>Cospas-Sarsat</w:t>
      </w:r>
      <w:proofErr w:type="spellEnd"/>
      <w:r w:rsidRPr="00107E6A">
        <w:rPr>
          <w:rFonts w:cs="Arial"/>
          <w:szCs w:val="22"/>
          <w:lang w:val="en-US"/>
        </w:rPr>
        <w:t xml:space="preserve"> system encompasses three space segment components:</w:t>
      </w:r>
    </w:p>
    <w:p w:rsidR="00107E6A" w:rsidRPr="00107E6A" w:rsidRDefault="00107E6A" w:rsidP="005C7342">
      <w:pPr>
        <w:pStyle w:val="enumlev1"/>
        <w:spacing w:before="100" w:beforeAutospacing="1"/>
        <w:ind w:left="113" w:firstLine="0"/>
        <w:rPr>
          <w:rFonts w:ascii="Arial" w:hAnsi="Arial" w:cs="Arial"/>
          <w:sz w:val="22"/>
          <w:szCs w:val="22"/>
          <w:lang w:val="en-US"/>
        </w:rPr>
      </w:pPr>
      <w:r w:rsidRPr="00107E6A">
        <w:rPr>
          <w:rFonts w:ascii="Arial" w:hAnsi="Arial" w:cs="Arial"/>
          <w:sz w:val="22"/>
          <w:szCs w:val="22"/>
          <w:lang w:val="en-US"/>
        </w:rPr>
        <w:t>1)</w:t>
      </w:r>
      <w:r w:rsidRPr="00107E6A">
        <w:rPr>
          <w:rFonts w:ascii="Arial" w:hAnsi="Arial" w:cs="Arial"/>
          <w:sz w:val="22"/>
          <w:szCs w:val="22"/>
          <w:lang w:val="en-US"/>
        </w:rPr>
        <w:tab/>
      </w:r>
      <w:proofErr w:type="gramStart"/>
      <w:r w:rsidRPr="00107E6A">
        <w:rPr>
          <w:rFonts w:ascii="Arial" w:hAnsi="Arial" w:cs="Arial"/>
          <w:sz w:val="22"/>
          <w:szCs w:val="22"/>
          <w:lang w:val="en-US"/>
        </w:rPr>
        <w:t>a</w:t>
      </w:r>
      <w:proofErr w:type="gramEnd"/>
      <w:r w:rsidRPr="00107E6A">
        <w:rPr>
          <w:rFonts w:ascii="Arial" w:hAnsi="Arial" w:cs="Arial"/>
          <w:sz w:val="22"/>
          <w:szCs w:val="22"/>
          <w:lang w:val="en-US"/>
        </w:rPr>
        <w:t xml:space="preserve"> LEO component with satellites embarking SARP (Search and Rescue Processor) and SARR (Search and Rescue Repeater) instruments on polar sun</w:t>
      </w:r>
      <w:r w:rsidRPr="00107E6A">
        <w:rPr>
          <w:rFonts w:ascii="Arial" w:hAnsi="Arial" w:cs="Arial"/>
          <w:sz w:val="22"/>
          <w:szCs w:val="22"/>
          <w:lang w:val="en-US"/>
        </w:rPr>
        <w:noBreakHyphen/>
        <w:t>synchronized orbit;</w:t>
      </w:r>
    </w:p>
    <w:p w:rsidR="00107E6A" w:rsidRPr="00107E6A" w:rsidRDefault="00107E6A" w:rsidP="005C7342">
      <w:pPr>
        <w:pStyle w:val="enumlev1"/>
        <w:spacing w:before="100" w:beforeAutospacing="1"/>
        <w:ind w:left="113" w:firstLine="0"/>
        <w:rPr>
          <w:rFonts w:ascii="Arial" w:hAnsi="Arial" w:cs="Arial"/>
          <w:sz w:val="22"/>
          <w:szCs w:val="22"/>
          <w:lang w:val="en-US"/>
        </w:rPr>
      </w:pPr>
      <w:r w:rsidRPr="00107E6A">
        <w:rPr>
          <w:rFonts w:ascii="Arial" w:hAnsi="Arial" w:cs="Arial"/>
          <w:sz w:val="22"/>
          <w:szCs w:val="22"/>
          <w:lang w:val="en-US"/>
        </w:rPr>
        <w:t>2)</w:t>
      </w:r>
      <w:r w:rsidRPr="00107E6A">
        <w:rPr>
          <w:rFonts w:ascii="Arial" w:hAnsi="Arial" w:cs="Arial"/>
          <w:sz w:val="22"/>
          <w:szCs w:val="22"/>
          <w:lang w:val="en-US"/>
        </w:rPr>
        <w:tab/>
      </w:r>
      <w:proofErr w:type="gramStart"/>
      <w:r w:rsidRPr="00107E6A">
        <w:rPr>
          <w:rFonts w:ascii="Arial" w:hAnsi="Arial" w:cs="Arial"/>
          <w:sz w:val="22"/>
          <w:szCs w:val="22"/>
          <w:lang w:val="en-US"/>
        </w:rPr>
        <w:t>a</w:t>
      </w:r>
      <w:proofErr w:type="gramEnd"/>
      <w:r w:rsidRPr="00107E6A">
        <w:rPr>
          <w:rFonts w:ascii="Arial" w:hAnsi="Arial" w:cs="Arial"/>
          <w:sz w:val="22"/>
          <w:szCs w:val="22"/>
          <w:lang w:val="en-US"/>
        </w:rPr>
        <w:t xml:space="preserve"> GEO component with different satellites (MSG, GOES, Insat</w:t>
      </w:r>
      <w:r w:rsidRPr="00107E6A">
        <w:rPr>
          <w:rFonts w:ascii="Arial" w:hAnsi="Arial" w:cs="Arial"/>
          <w:sz w:val="22"/>
          <w:szCs w:val="22"/>
          <w:lang w:val="en-US"/>
        </w:rPr>
        <w:noBreakHyphen/>
        <w:t xml:space="preserve">3A, Electro and </w:t>
      </w:r>
      <w:proofErr w:type="spellStart"/>
      <w:r w:rsidRPr="00107E6A">
        <w:rPr>
          <w:rFonts w:ascii="Arial" w:hAnsi="Arial" w:cs="Arial"/>
          <w:sz w:val="22"/>
          <w:szCs w:val="22"/>
          <w:lang w:val="en-US"/>
        </w:rPr>
        <w:t>Luch</w:t>
      </w:r>
      <w:proofErr w:type="spellEnd"/>
      <w:r w:rsidRPr="00107E6A">
        <w:rPr>
          <w:rFonts w:ascii="Arial" w:hAnsi="Arial" w:cs="Arial"/>
          <w:sz w:val="22"/>
          <w:szCs w:val="22"/>
          <w:lang w:val="en-US"/>
        </w:rPr>
        <w:t>) embarking a SAR repeater;</w:t>
      </w:r>
    </w:p>
    <w:p w:rsidR="005C7342" w:rsidRDefault="00107E6A" w:rsidP="005C7342">
      <w:pPr>
        <w:spacing w:before="100" w:beforeAutospacing="1"/>
        <w:ind w:left="113"/>
        <w:jc w:val="both"/>
        <w:rPr>
          <w:rFonts w:cs="Arial"/>
          <w:szCs w:val="22"/>
          <w:lang w:val="en-US"/>
        </w:rPr>
      </w:pPr>
      <w:r w:rsidRPr="00107E6A">
        <w:rPr>
          <w:rFonts w:cs="Arial"/>
          <w:szCs w:val="22"/>
          <w:lang w:val="en-US"/>
        </w:rPr>
        <w:t>3)</w:t>
      </w:r>
      <w:r w:rsidRPr="00107E6A">
        <w:rPr>
          <w:rFonts w:cs="Arial"/>
          <w:szCs w:val="22"/>
          <w:lang w:val="en-US"/>
        </w:rPr>
        <w:tab/>
      </w:r>
      <w:proofErr w:type="gramStart"/>
      <w:r w:rsidRPr="00107E6A">
        <w:rPr>
          <w:rFonts w:cs="Arial"/>
          <w:szCs w:val="22"/>
          <w:lang w:val="en-US"/>
        </w:rPr>
        <w:t>a</w:t>
      </w:r>
      <w:proofErr w:type="gramEnd"/>
      <w:r w:rsidRPr="00107E6A">
        <w:rPr>
          <w:rFonts w:cs="Arial"/>
          <w:szCs w:val="22"/>
          <w:lang w:val="en-US"/>
        </w:rPr>
        <w:t xml:space="preserve"> MEO component with three main </w:t>
      </w:r>
      <w:proofErr w:type="spellStart"/>
      <w:r w:rsidRPr="00107E6A">
        <w:rPr>
          <w:rFonts w:cs="Arial"/>
          <w:szCs w:val="22"/>
          <w:lang w:val="en-US"/>
        </w:rPr>
        <w:t>radionavigation</w:t>
      </w:r>
      <w:proofErr w:type="spellEnd"/>
      <w:r w:rsidRPr="00107E6A">
        <w:rPr>
          <w:rFonts w:cs="Arial"/>
          <w:szCs w:val="22"/>
          <w:lang w:val="en-US"/>
        </w:rPr>
        <w:t xml:space="preserve"> systems (GPS, Galileo, </w:t>
      </w:r>
      <w:proofErr w:type="spellStart"/>
      <w:r w:rsidRPr="00107E6A">
        <w:rPr>
          <w:rFonts w:cs="Arial"/>
          <w:szCs w:val="22"/>
          <w:lang w:val="en-US"/>
        </w:rPr>
        <w:t>Glonass</w:t>
      </w:r>
      <w:proofErr w:type="spellEnd"/>
      <w:r w:rsidRPr="00107E6A">
        <w:rPr>
          <w:rFonts w:cs="Arial"/>
          <w:szCs w:val="22"/>
          <w:lang w:val="en-US"/>
        </w:rPr>
        <w:t>) embarking on their satellites a SAR repeater</w:t>
      </w:r>
      <w:r w:rsidR="005C7342">
        <w:rPr>
          <w:rFonts w:cs="Arial"/>
          <w:szCs w:val="22"/>
          <w:lang w:val="en-US"/>
        </w:rPr>
        <w:t>.</w:t>
      </w:r>
    </w:p>
    <w:p w:rsidR="00A44806" w:rsidRDefault="00A44806" w:rsidP="00A44806">
      <w:pPr>
        <w:spacing w:before="100" w:beforeAutospacing="1"/>
        <w:jc w:val="both"/>
        <w:rPr>
          <w:rFonts w:eastAsiaTheme="minorHAnsi"/>
        </w:rPr>
      </w:pPr>
    </w:p>
    <w:p w:rsidR="00A44806" w:rsidRDefault="00A44806" w:rsidP="00A44806">
      <w:pPr>
        <w:spacing w:before="100" w:beforeAutospacing="1"/>
        <w:jc w:val="both"/>
      </w:pPr>
    </w:p>
    <w:p w:rsidR="00A44806" w:rsidRDefault="00A44806" w:rsidP="00A44806">
      <w:pPr>
        <w:spacing w:before="100" w:beforeAutospacing="1"/>
        <w:jc w:val="both"/>
      </w:pPr>
    </w:p>
    <w:p w:rsidR="00887A52" w:rsidRDefault="00887A52" w:rsidP="00A44806">
      <w:pPr>
        <w:spacing w:before="100" w:beforeAutospacing="1"/>
        <w:jc w:val="both"/>
      </w:pPr>
    </w:p>
    <w:p w:rsidR="00887A52" w:rsidRDefault="00887A52" w:rsidP="00887A52">
      <w:pPr>
        <w:pStyle w:val="FigureNo"/>
        <w:rPr>
          <w:lang w:eastAsia="fr-FR"/>
        </w:rPr>
      </w:pPr>
      <w:r>
        <w:rPr>
          <w:lang w:eastAsia="fr-FR"/>
        </w:rPr>
        <w:lastRenderedPageBreak/>
        <w:t>Figure 1</w:t>
      </w:r>
    </w:p>
    <w:p w:rsidR="00887A52" w:rsidRDefault="00887A52" w:rsidP="00887A52">
      <w:pPr>
        <w:pStyle w:val="Figuretitle"/>
        <w:rPr>
          <w:rFonts w:eastAsiaTheme="minorHAnsi"/>
        </w:rPr>
      </w:pPr>
      <w:r>
        <w:rPr>
          <w:lang w:eastAsia="fr-FR"/>
        </w:rPr>
        <w:t xml:space="preserve">Existing </w:t>
      </w:r>
      <w:proofErr w:type="spellStart"/>
      <w:r>
        <w:rPr>
          <w:lang w:eastAsia="fr-FR"/>
        </w:rPr>
        <w:t>Cospas</w:t>
      </w:r>
      <w:proofErr w:type="spellEnd"/>
      <w:r>
        <w:rPr>
          <w:lang w:eastAsia="fr-FR"/>
        </w:rPr>
        <w:t xml:space="preserve"> </w:t>
      </w:r>
      <w:proofErr w:type="spellStart"/>
      <w:r>
        <w:rPr>
          <w:lang w:eastAsia="fr-FR"/>
        </w:rPr>
        <w:t>Sarsat</w:t>
      </w:r>
      <w:proofErr w:type="spellEnd"/>
      <w:r>
        <w:rPr>
          <w:lang w:eastAsia="fr-FR"/>
        </w:rPr>
        <w:t xml:space="preserve"> L</w:t>
      </w:r>
      <w:r w:rsidRPr="00DD51ED">
        <w:rPr>
          <w:lang w:eastAsia="fr-FR"/>
        </w:rPr>
        <w:t>EOSAR</w:t>
      </w:r>
      <w:r>
        <w:rPr>
          <w:lang w:eastAsia="fr-FR"/>
        </w:rPr>
        <w:t>, GEOSAR</w:t>
      </w:r>
      <w:r w:rsidRPr="00DD51ED">
        <w:rPr>
          <w:lang w:eastAsia="fr-FR"/>
        </w:rPr>
        <w:t xml:space="preserve"> system</w:t>
      </w:r>
    </w:p>
    <w:p w:rsidR="00887A52" w:rsidRDefault="00887A52" w:rsidP="00A44806">
      <w:pPr>
        <w:spacing w:before="100" w:beforeAutospacing="1"/>
        <w:jc w:val="both"/>
      </w:pPr>
    </w:p>
    <w:p w:rsidR="00887A52" w:rsidRDefault="00887A52" w:rsidP="00A44806">
      <w:pPr>
        <w:spacing w:before="100" w:beforeAutospacing="1"/>
        <w:jc w:val="both"/>
      </w:pPr>
    </w:p>
    <w:p w:rsidR="00A44806" w:rsidRDefault="00A44806" w:rsidP="00A44806">
      <w:pPr>
        <w:spacing w:before="100" w:beforeAutospacing="1"/>
        <w:jc w:val="both"/>
      </w:pPr>
    </w:p>
    <w:p w:rsidR="0067697F" w:rsidRDefault="00706C9A" w:rsidP="00A44806">
      <w:pPr>
        <w:spacing w:before="100" w:beforeAutospacing="1"/>
        <w:jc w:val="both"/>
      </w:pPr>
      <w:r>
        <w:rPr>
          <w:noProof/>
          <w:lang w:val="de-DE"/>
        </w:rPr>
        <w:drawing>
          <wp:anchor distT="0" distB="0" distL="0" distR="0" simplePos="0" relativeHeight="251659776" behindDoc="0" locked="0" layoutInCell="1" allowOverlap="0" wp14:anchorId="185BCDE4" wp14:editId="14F669D0">
            <wp:simplePos x="0" y="0"/>
            <wp:positionH relativeFrom="column">
              <wp:posOffset>1082675</wp:posOffset>
            </wp:positionH>
            <wp:positionV relativeFrom="line">
              <wp:posOffset>-812800</wp:posOffset>
            </wp:positionV>
            <wp:extent cx="3193415" cy="1640840"/>
            <wp:effectExtent l="0" t="0" r="6985" b="0"/>
            <wp:wrapSquare wrapText="bothSides"/>
            <wp:docPr id="5" name="Image 5" descr="http://www.cospas-sarsat.int/images/stories/combinedleogeowithinsatmsggo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pas-sarsat.int/images/stories/combinedleogeowithinsatmsggoe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415"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97F" w:rsidRDefault="0067697F" w:rsidP="00A44806">
      <w:pPr>
        <w:spacing w:before="100" w:beforeAutospacing="1"/>
        <w:jc w:val="both"/>
      </w:pPr>
    </w:p>
    <w:p w:rsidR="0067697F" w:rsidRDefault="0067697F" w:rsidP="00A44806">
      <w:pPr>
        <w:spacing w:before="100" w:beforeAutospacing="1"/>
        <w:jc w:val="both"/>
      </w:pPr>
    </w:p>
    <w:p w:rsidR="00A44806" w:rsidRPr="00706C9A" w:rsidRDefault="00A44806" w:rsidP="005C7342">
      <w:pPr>
        <w:spacing w:before="100" w:beforeAutospacing="1"/>
        <w:jc w:val="both"/>
        <w:rPr>
          <w:rFonts w:eastAsiaTheme="minorHAnsi"/>
        </w:rPr>
      </w:pPr>
      <w:r>
        <w:t xml:space="preserve">The MEOSAR system </w:t>
      </w:r>
      <w:r w:rsidR="0076345D">
        <w:t>should begin</w:t>
      </w:r>
      <w:r>
        <w:t xml:space="preserve"> the Init</w:t>
      </w:r>
      <w:r w:rsidR="0076345D">
        <w:t>ial Operational Capability</w:t>
      </w:r>
      <w:r>
        <w:t xml:space="preserve"> phase, in which distress alerts provided by the MEOSAR system will be operationally used by the SAR authorities. When enough MEOSAR satellites and commissioned ground stations are available to provide worldwide, real time coverage, the MEOSAR system will be declared at its Full Operational Capability.</w:t>
      </w:r>
    </w:p>
    <w:p w:rsidR="00E56F77" w:rsidRDefault="00E56F77" w:rsidP="005C7342">
      <w:pPr>
        <w:spacing w:before="100" w:beforeAutospacing="1"/>
        <w:jc w:val="both"/>
        <w:rPr>
          <w:rFonts w:eastAsiaTheme="minorHAnsi"/>
        </w:rPr>
      </w:pPr>
      <w:r w:rsidRPr="00107E6A">
        <w:rPr>
          <w:rFonts w:eastAsiaTheme="minorHAnsi" w:cs="Arial"/>
          <w:szCs w:val="22"/>
        </w:rPr>
        <w:t xml:space="preserve">Some of the current and future payloads </w:t>
      </w:r>
      <w:r w:rsidRPr="00107E6A">
        <w:rPr>
          <w:rFonts w:cs="Arial"/>
          <w:szCs w:val="22"/>
          <w:lang w:eastAsia="fr-FR"/>
        </w:rPr>
        <w:t>mounted on medium Earth altitude orbiting (MEO) satellite constellations (also called the MEOSAR</w:t>
      </w:r>
      <w:r>
        <w:rPr>
          <w:lang w:eastAsia="fr-FR"/>
        </w:rPr>
        <w:t xml:space="preserve"> space segment), </w:t>
      </w:r>
      <w:r w:rsidRPr="00DD51ED">
        <w:rPr>
          <w:rFonts w:eastAsiaTheme="minorHAnsi"/>
        </w:rPr>
        <w:t xml:space="preserve">in conjunction with suitable MEOLUTs </w:t>
      </w:r>
      <w:r>
        <w:rPr>
          <w:rFonts w:eastAsiaTheme="minorHAnsi"/>
        </w:rPr>
        <w:t xml:space="preserve">(ground stations applicable to the MEOSAR) </w:t>
      </w:r>
      <w:r w:rsidRPr="00DD51ED">
        <w:rPr>
          <w:rFonts w:eastAsiaTheme="minorHAnsi"/>
        </w:rPr>
        <w:t>in geographic</w:t>
      </w:r>
      <w:r>
        <w:rPr>
          <w:rFonts w:eastAsiaTheme="minorHAnsi"/>
        </w:rPr>
        <w:t>ally diverse locations,</w:t>
      </w:r>
      <w:r w:rsidRPr="00DD51ED">
        <w:rPr>
          <w:rFonts w:eastAsiaTheme="minorHAnsi"/>
        </w:rPr>
        <w:t xml:space="preserve"> </w:t>
      </w:r>
      <w:r>
        <w:rPr>
          <w:rFonts w:eastAsiaTheme="minorHAnsi"/>
        </w:rPr>
        <w:t>will</w:t>
      </w:r>
      <w:r w:rsidRPr="00DD51ED">
        <w:rPr>
          <w:rFonts w:eastAsiaTheme="minorHAnsi"/>
        </w:rPr>
        <w:t xml:space="preserve"> be particu</w:t>
      </w:r>
      <w:r>
        <w:rPr>
          <w:rFonts w:eastAsiaTheme="minorHAnsi"/>
        </w:rPr>
        <w:t>larly well s</w:t>
      </w:r>
      <w:r w:rsidR="0076345D">
        <w:rPr>
          <w:rFonts w:eastAsiaTheme="minorHAnsi"/>
        </w:rPr>
        <w:t xml:space="preserve">uited for this monitoring task. </w:t>
      </w:r>
      <w:r w:rsidR="00A44806">
        <w:rPr>
          <w:rFonts w:eastAsiaTheme="minorHAnsi"/>
        </w:rPr>
        <w:t>These</w:t>
      </w:r>
      <w:r>
        <w:rPr>
          <w:rFonts w:eastAsiaTheme="minorHAnsi"/>
        </w:rPr>
        <w:t xml:space="preserve"> particular </w:t>
      </w:r>
      <w:r>
        <w:rPr>
          <w:lang w:eastAsia="fr-FR"/>
        </w:rPr>
        <w:t>MEOSAR</w:t>
      </w:r>
      <w:r>
        <w:rPr>
          <w:rFonts w:eastAsiaTheme="minorHAnsi"/>
        </w:rPr>
        <w:t xml:space="preserve"> payloads, which </w:t>
      </w:r>
      <w:r w:rsidRPr="00DD51ED">
        <w:rPr>
          <w:rFonts w:eastAsiaTheme="minorHAnsi"/>
        </w:rPr>
        <w:t>had been succe</w:t>
      </w:r>
      <w:r w:rsidR="001B3535">
        <w:rPr>
          <w:rFonts w:eastAsiaTheme="minorHAnsi"/>
        </w:rPr>
        <w:t xml:space="preserve">ssfully used in recent years to </w:t>
      </w:r>
      <w:proofErr w:type="spellStart"/>
      <w:r w:rsidR="00597370">
        <w:rPr>
          <w:rFonts w:eastAsiaTheme="minorHAnsi"/>
        </w:rPr>
        <w:t>visualyse</w:t>
      </w:r>
      <w:proofErr w:type="spellEnd"/>
      <w:r w:rsidRPr="00DD51ED">
        <w:rPr>
          <w:rFonts w:eastAsiaTheme="minorHAnsi"/>
        </w:rPr>
        <w:t xml:space="preserve"> signals transmitting in th</w:t>
      </w:r>
      <w:r>
        <w:rPr>
          <w:rFonts w:eastAsiaTheme="minorHAnsi"/>
        </w:rPr>
        <w:t xml:space="preserve">e adjacent frequency range, are the DASS payloads </w:t>
      </w:r>
    </w:p>
    <w:p w:rsidR="00E56F77" w:rsidRDefault="00E56F77" w:rsidP="00E56F77">
      <w:pPr>
        <w:rPr>
          <w:rFonts w:eastAsiaTheme="minorHAnsi"/>
        </w:rPr>
      </w:pPr>
      <w:r>
        <w:rPr>
          <w:rFonts w:eastAsiaTheme="minorHAnsi"/>
        </w:rPr>
        <w:t>(</w:t>
      </w:r>
      <w:proofErr w:type="gramStart"/>
      <w:r>
        <w:rPr>
          <w:rFonts w:eastAsiaTheme="minorHAnsi"/>
        </w:rPr>
        <w:t>see</w:t>
      </w:r>
      <w:proofErr w:type="gramEnd"/>
      <w:r>
        <w:rPr>
          <w:rFonts w:eastAsiaTheme="minorHAnsi"/>
        </w:rPr>
        <w:t xml:space="preserve"> </w:t>
      </w:r>
      <w:hyperlink r:id="rId12" w:history="1">
        <w:r w:rsidRPr="00220C51">
          <w:rPr>
            <w:rStyle w:val="Hyperlink"/>
            <w:rFonts w:eastAsiaTheme="minorHAnsi"/>
            <w:szCs w:val="24"/>
          </w:rPr>
          <w:t>http://searchandrescue.gsfc.nasa.gov/dass/</w:t>
        </w:r>
      </w:hyperlink>
      <w:r>
        <w:rPr>
          <w:rFonts w:eastAsiaTheme="minorHAnsi"/>
        </w:rPr>
        <w:t xml:space="preserve">, </w:t>
      </w:r>
      <w:hyperlink r:id="rId13" w:history="1">
        <w:r w:rsidRPr="00220C51">
          <w:rPr>
            <w:rStyle w:val="Hyperlink"/>
            <w:rFonts w:eastAsiaTheme="minorHAnsi"/>
            <w:szCs w:val="24"/>
          </w:rPr>
          <w:t>http://gpsworld.com/innovation-the-distress-alerting-satellite-system-10883/</w:t>
        </w:r>
      </w:hyperlink>
      <w:r>
        <w:rPr>
          <w:rFonts w:eastAsiaTheme="minorHAnsi"/>
        </w:rPr>
        <w:t xml:space="preserve">, </w:t>
      </w:r>
      <w:hyperlink r:id="rId14" w:history="1">
        <w:r w:rsidRPr="00220C51">
          <w:rPr>
            <w:rStyle w:val="Hyperlink"/>
            <w:rFonts w:eastAsiaTheme="minorHAnsi"/>
            <w:szCs w:val="24"/>
          </w:rPr>
          <w:t>http://gpssystems.net/gps-emergency-systems-dass/</w:t>
        </w:r>
      </w:hyperlink>
      <w:r>
        <w:rPr>
          <w:rFonts w:eastAsiaTheme="minorHAnsi"/>
        </w:rPr>
        <w:t xml:space="preserve">) </w:t>
      </w:r>
    </w:p>
    <w:p w:rsidR="00E56F77" w:rsidRDefault="00E56F77" w:rsidP="00887A52">
      <w:pPr>
        <w:jc w:val="both"/>
        <w:rPr>
          <w:rFonts w:eastAsiaTheme="minorHAnsi"/>
        </w:rPr>
      </w:pPr>
      <w:proofErr w:type="gramStart"/>
      <w:r>
        <w:rPr>
          <w:rFonts w:eastAsiaTheme="minorHAnsi"/>
        </w:rPr>
        <w:t>as</w:t>
      </w:r>
      <w:proofErr w:type="gramEnd"/>
      <w:r>
        <w:rPr>
          <w:rFonts w:eastAsiaTheme="minorHAnsi"/>
        </w:rPr>
        <w:t xml:space="preserve"> shown in the following figure. These sp</w:t>
      </w:r>
      <w:r w:rsidR="00BD479E">
        <w:rPr>
          <w:rFonts w:eastAsiaTheme="minorHAnsi"/>
        </w:rPr>
        <w:t>ecific payloads are specific</w:t>
      </w:r>
      <w:r>
        <w:rPr>
          <w:rFonts w:eastAsiaTheme="minorHAnsi"/>
        </w:rPr>
        <w:t xml:space="preserve"> and since they have a “non-filtered” window of around 270 kHz (therefore much larger than the 100 kHz allocation), they could be used for test</w:t>
      </w:r>
      <w:r w:rsidR="00887A52">
        <w:rPr>
          <w:rFonts w:eastAsiaTheme="minorHAnsi"/>
        </w:rPr>
        <w:t>ing and monitoring purposes. On the contrary</w:t>
      </w:r>
      <w:r>
        <w:rPr>
          <w:rFonts w:eastAsiaTheme="minorHAnsi"/>
        </w:rPr>
        <w:t>, the GALILEO payloads which have sharper filtering patterns leaving only a 110 kHz bandwidth (10 dB attenuation) may be not adequate for this adjacent band monitoring task.</w:t>
      </w:r>
    </w:p>
    <w:p w:rsidR="00E56F77" w:rsidRDefault="00E56F77" w:rsidP="00E56F77">
      <w:pPr>
        <w:rPr>
          <w:rFonts w:eastAsiaTheme="minorHAnsi"/>
          <w:szCs w:val="24"/>
        </w:rPr>
      </w:pPr>
    </w:p>
    <w:p w:rsidR="00E56F77" w:rsidRDefault="00887A52" w:rsidP="00E56F77">
      <w:pPr>
        <w:pStyle w:val="FigureNo"/>
        <w:rPr>
          <w:lang w:eastAsia="fr-FR"/>
        </w:rPr>
      </w:pPr>
      <w:r>
        <w:rPr>
          <w:lang w:eastAsia="fr-FR"/>
        </w:rPr>
        <w:lastRenderedPageBreak/>
        <w:t>Figure 2</w:t>
      </w:r>
    </w:p>
    <w:p w:rsidR="00E56F77" w:rsidRDefault="00E56F77" w:rsidP="00E56F77">
      <w:pPr>
        <w:pStyle w:val="Figuretitle"/>
        <w:rPr>
          <w:rFonts w:eastAsiaTheme="minorHAnsi"/>
        </w:rPr>
      </w:pPr>
      <w:proofErr w:type="spellStart"/>
      <w:r w:rsidRPr="00DD51ED">
        <w:rPr>
          <w:lang w:eastAsia="fr-FR"/>
        </w:rPr>
        <w:t>Cospas</w:t>
      </w:r>
      <w:proofErr w:type="spellEnd"/>
      <w:r w:rsidRPr="00DD51ED">
        <w:rPr>
          <w:lang w:eastAsia="fr-FR"/>
        </w:rPr>
        <w:t xml:space="preserve"> </w:t>
      </w:r>
      <w:proofErr w:type="spellStart"/>
      <w:r w:rsidRPr="00DD51ED">
        <w:rPr>
          <w:lang w:eastAsia="fr-FR"/>
        </w:rPr>
        <w:t>Sarsat</w:t>
      </w:r>
      <w:proofErr w:type="spellEnd"/>
      <w:r w:rsidRPr="00DD51ED">
        <w:rPr>
          <w:lang w:eastAsia="fr-FR"/>
        </w:rPr>
        <w:t xml:space="preserve"> future MEOSAR system</w:t>
      </w:r>
    </w:p>
    <w:p w:rsidR="00E56F77" w:rsidRDefault="00E56F77" w:rsidP="00E56F77">
      <w:pPr>
        <w:jc w:val="center"/>
        <w:rPr>
          <w:rFonts w:eastAsiaTheme="minorHAnsi"/>
          <w:szCs w:val="24"/>
        </w:rPr>
      </w:pPr>
      <w:r w:rsidRPr="00CE1C07">
        <w:rPr>
          <w:noProof/>
          <w:szCs w:val="24"/>
          <w:lang w:val="de-DE"/>
        </w:rPr>
        <w:drawing>
          <wp:inline distT="0" distB="0" distL="0" distR="0" wp14:anchorId="0CAD4EEB" wp14:editId="6FB94377">
            <wp:extent cx="5760720" cy="346202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a:stretch>
                      <a:fillRect/>
                    </a:stretch>
                  </pic:blipFill>
                  <pic:spPr>
                    <a:xfrm>
                      <a:off x="0" y="0"/>
                      <a:ext cx="5760720" cy="3462020"/>
                    </a:xfrm>
                    <a:prstGeom prst="rect">
                      <a:avLst/>
                    </a:prstGeom>
                  </pic:spPr>
                </pic:pic>
              </a:graphicData>
            </a:graphic>
          </wp:inline>
        </w:drawing>
      </w:r>
    </w:p>
    <w:p w:rsidR="00597370" w:rsidRDefault="00597370" w:rsidP="00E56F77">
      <w:pPr>
        <w:rPr>
          <w:rFonts w:eastAsiaTheme="minorHAnsi"/>
        </w:rPr>
      </w:pPr>
    </w:p>
    <w:p w:rsidR="0052363C" w:rsidRPr="00B72183" w:rsidRDefault="00E56F77" w:rsidP="0052363C">
      <w:pPr>
        <w:pStyle w:val="berschrift2"/>
      </w:pPr>
      <w:r>
        <w:t>Plots of the out of band interference</w:t>
      </w:r>
      <w:r w:rsidR="0052363C" w:rsidRPr="00B72183">
        <w:t xml:space="preserve"> </w:t>
      </w:r>
    </w:p>
    <w:p w:rsidR="00E56F77" w:rsidRPr="006A3023" w:rsidRDefault="00597370" w:rsidP="006A3023">
      <w:pPr>
        <w:pStyle w:val="RepNo"/>
        <w:spacing w:before="0"/>
        <w:jc w:val="both"/>
        <w:rPr>
          <w:rFonts w:ascii="Arial" w:hAnsi="Arial" w:cs="Arial"/>
          <w:sz w:val="22"/>
          <w:szCs w:val="22"/>
          <w:lang w:val="en-US" w:eastAsia="zh-CN"/>
        </w:rPr>
      </w:pPr>
      <w:r w:rsidRPr="006A3023">
        <w:rPr>
          <w:rFonts w:ascii="Arial" w:hAnsi="Arial" w:cs="Arial"/>
          <w:sz w:val="22"/>
          <w:szCs w:val="22"/>
          <w:lang w:val="en-US"/>
        </w:rPr>
        <w:t xml:space="preserve">According to the </w:t>
      </w:r>
      <w:r w:rsidR="00E56F77" w:rsidRPr="006A3023">
        <w:rPr>
          <w:rFonts w:ascii="Arial" w:hAnsi="Arial" w:cs="Arial"/>
          <w:sz w:val="22"/>
          <w:szCs w:val="22"/>
          <w:lang w:val="en-US"/>
        </w:rPr>
        <w:t xml:space="preserve">REPORT </w:t>
      </w:r>
      <w:r w:rsidR="00A61E73" w:rsidRPr="006A3023">
        <w:rPr>
          <w:rStyle w:val="href"/>
          <w:rFonts w:ascii="Arial" w:hAnsi="Arial" w:cs="Arial"/>
          <w:sz w:val="22"/>
          <w:szCs w:val="22"/>
          <w:lang w:val="en-US"/>
        </w:rPr>
        <w:t xml:space="preserve">ITU-R </w:t>
      </w:r>
      <w:r w:rsidR="00E56F77" w:rsidRPr="006A3023">
        <w:rPr>
          <w:rStyle w:val="href"/>
          <w:rFonts w:ascii="Arial" w:hAnsi="Arial" w:cs="Arial"/>
          <w:sz w:val="22"/>
          <w:szCs w:val="22"/>
          <w:lang w:val="en-US"/>
        </w:rPr>
        <w:t>M.2359-0</w:t>
      </w:r>
      <w:r w:rsidR="00A61E73" w:rsidRPr="006A3023">
        <w:rPr>
          <w:rStyle w:val="href"/>
          <w:rFonts w:ascii="Arial" w:hAnsi="Arial" w:cs="Arial"/>
          <w:sz w:val="22"/>
          <w:szCs w:val="22"/>
          <w:lang w:val="en-US"/>
        </w:rPr>
        <w:t xml:space="preserve"> </w:t>
      </w:r>
      <w:r w:rsidR="00E56F77" w:rsidRPr="006A3023">
        <w:rPr>
          <w:rFonts w:ascii="Arial" w:hAnsi="Arial" w:cs="Arial"/>
          <w:sz w:val="22"/>
          <w:szCs w:val="22"/>
          <w:u w:val="single"/>
          <w:lang w:val="en-US" w:eastAsia="zh-CN"/>
        </w:rPr>
        <w:t>Protection of the 406-406.1 MHz band</w:t>
      </w:r>
      <w:r w:rsidR="00A44806" w:rsidRPr="006A3023">
        <w:rPr>
          <w:rFonts w:ascii="Arial" w:hAnsi="Arial" w:cs="Arial"/>
          <w:sz w:val="22"/>
          <w:szCs w:val="22"/>
          <w:lang w:val="en-US" w:eastAsia="zh-CN"/>
        </w:rPr>
        <w:t xml:space="preserve">, </w:t>
      </w:r>
      <w:r w:rsidR="00E56F77" w:rsidRPr="006A3023">
        <w:rPr>
          <w:rFonts w:ascii="Arial" w:hAnsi="Arial" w:cs="Arial"/>
          <w:sz w:val="22"/>
          <w:szCs w:val="22"/>
          <w:lang w:val="en-US" w:eastAsia="zh-CN"/>
        </w:rPr>
        <w:t xml:space="preserve">plots showing the signals relayed by existing satellite carrying a 406 MHz </w:t>
      </w:r>
      <w:proofErr w:type="gramStart"/>
      <w:r w:rsidR="00E56F77" w:rsidRPr="006A3023">
        <w:rPr>
          <w:rFonts w:ascii="Arial" w:hAnsi="Arial" w:cs="Arial"/>
          <w:sz w:val="22"/>
          <w:szCs w:val="22"/>
          <w:lang w:val="en-US" w:eastAsia="zh-CN"/>
        </w:rPr>
        <w:t>payload</w:t>
      </w:r>
      <w:r w:rsidR="00A44806" w:rsidRPr="006A3023">
        <w:rPr>
          <w:rFonts w:ascii="Arial" w:hAnsi="Arial" w:cs="Arial"/>
          <w:sz w:val="22"/>
          <w:szCs w:val="22"/>
          <w:lang w:val="en-US" w:eastAsia="zh-CN"/>
        </w:rPr>
        <w:t>,</w:t>
      </w:r>
      <w:proofErr w:type="gramEnd"/>
      <w:r w:rsidR="00A44806" w:rsidRPr="006A3023">
        <w:rPr>
          <w:rFonts w:ascii="Arial" w:hAnsi="Arial" w:cs="Arial"/>
          <w:sz w:val="22"/>
          <w:szCs w:val="22"/>
          <w:lang w:val="en-US" w:eastAsia="zh-CN"/>
        </w:rPr>
        <w:t xml:space="preserve"> are provided. </w:t>
      </w:r>
    </w:p>
    <w:p w:rsidR="00E56F77" w:rsidRPr="006A3023" w:rsidRDefault="00E56F77" w:rsidP="006A3023">
      <w:pPr>
        <w:jc w:val="both"/>
        <w:rPr>
          <w:rFonts w:cs="Arial"/>
          <w:szCs w:val="22"/>
          <w:lang w:val="en-US"/>
        </w:rPr>
      </w:pPr>
    </w:p>
    <w:p w:rsidR="00E56F77" w:rsidRPr="006A3023" w:rsidRDefault="00C925B9" w:rsidP="006A3023">
      <w:pPr>
        <w:jc w:val="both"/>
        <w:rPr>
          <w:rFonts w:cs="Arial"/>
          <w:szCs w:val="22"/>
          <w:lang w:val="en-US"/>
        </w:rPr>
      </w:pPr>
      <w:r w:rsidRPr="006A3023">
        <w:rPr>
          <w:rFonts w:cs="Arial"/>
          <w:szCs w:val="22"/>
          <w:lang w:val="en-US"/>
        </w:rPr>
        <w:t xml:space="preserve">Thanks to the </w:t>
      </w:r>
      <w:r w:rsidR="00E56F77" w:rsidRPr="006A3023">
        <w:rPr>
          <w:rFonts w:cs="Arial"/>
          <w:szCs w:val="22"/>
          <w:lang w:val="en-US"/>
        </w:rPr>
        <w:t>MEO DASS</w:t>
      </w:r>
      <w:r w:rsidRPr="006A3023">
        <w:rPr>
          <w:rFonts w:cs="Arial"/>
          <w:szCs w:val="22"/>
          <w:lang w:val="en-US"/>
        </w:rPr>
        <w:t xml:space="preserve">, spectral activity can be relayed and </w:t>
      </w:r>
      <w:r w:rsidR="00063BCC" w:rsidRPr="006A3023">
        <w:rPr>
          <w:rFonts w:cs="Arial"/>
          <w:szCs w:val="22"/>
          <w:lang w:val="en-US"/>
        </w:rPr>
        <w:t>explicitly shown in the following figures.</w:t>
      </w:r>
    </w:p>
    <w:p w:rsidR="00E56F77" w:rsidRPr="006A3023" w:rsidRDefault="00E56F77" w:rsidP="006A3023">
      <w:pPr>
        <w:jc w:val="both"/>
        <w:rPr>
          <w:rFonts w:cs="Arial"/>
          <w:szCs w:val="22"/>
          <w:lang w:val="en-US"/>
        </w:rPr>
      </w:pPr>
    </w:p>
    <w:p w:rsidR="00C925B9" w:rsidRPr="006A3023" w:rsidRDefault="00C925B9" w:rsidP="006A3023">
      <w:pPr>
        <w:jc w:val="both"/>
        <w:rPr>
          <w:rFonts w:cs="Arial"/>
          <w:szCs w:val="22"/>
          <w:lang w:val="en-US"/>
        </w:rPr>
      </w:pPr>
      <w:r w:rsidRPr="006A3023">
        <w:rPr>
          <w:rFonts w:cs="Arial"/>
          <w:szCs w:val="22"/>
          <w:lang w:val="en-US"/>
        </w:rPr>
        <w:t xml:space="preserve">Figure 3 shows a general </w:t>
      </w:r>
      <w:r w:rsidR="00063BCC" w:rsidRPr="006A3023">
        <w:rPr>
          <w:rFonts w:cs="Arial"/>
          <w:szCs w:val="22"/>
          <w:lang w:val="en-US"/>
        </w:rPr>
        <w:t>plot of the spectrum as repeated by DASS. Figure 4 and 5 are details of this general plot and big interferers can be seen in the upper adjacent band.</w:t>
      </w:r>
    </w:p>
    <w:p w:rsidR="00C925B9" w:rsidRPr="00F52104" w:rsidRDefault="00C925B9" w:rsidP="006A3023">
      <w:pPr>
        <w:pStyle w:val="FigureNo"/>
        <w:rPr>
          <w:lang w:val="en-US"/>
        </w:rPr>
      </w:pPr>
      <w:r w:rsidRPr="00F52104">
        <w:rPr>
          <w:lang w:val="en-US"/>
        </w:rPr>
        <w:lastRenderedPageBreak/>
        <w:t xml:space="preserve">Figure </w:t>
      </w:r>
      <w:r w:rsidR="006E57A7" w:rsidRPr="00F52104">
        <w:rPr>
          <w:lang w:val="en-US"/>
        </w:rPr>
        <w:t>3</w:t>
      </w:r>
    </w:p>
    <w:p w:rsidR="00C925B9" w:rsidRPr="00F52104" w:rsidRDefault="00C925B9" w:rsidP="006A3023">
      <w:pPr>
        <w:pStyle w:val="Figuretitle"/>
        <w:rPr>
          <w:rFonts w:ascii="Times New Roman" w:hAnsi="Times New Roman"/>
          <w:lang w:val="en-US"/>
        </w:rPr>
      </w:pPr>
      <w:r w:rsidRPr="00F52104">
        <w:rPr>
          <w:rFonts w:ascii="Times New Roman" w:hAnsi="Times New Roman"/>
          <w:lang w:val="en-US"/>
        </w:rPr>
        <w:t xml:space="preserve">Spectrum Graphic frequency versus time, power denoted by </w:t>
      </w:r>
      <w:proofErr w:type="spellStart"/>
      <w:r w:rsidRPr="00F52104">
        <w:rPr>
          <w:rFonts w:ascii="Times New Roman" w:hAnsi="Times New Roman"/>
          <w:lang w:val="en-US"/>
        </w:rPr>
        <w:t>colour</w:t>
      </w:r>
      <w:proofErr w:type="spellEnd"/>
      <w:r w:rsidRPr="00F52104">
        <w:rPr>
          <w:rFonts w:ascii="Times New Roman" w:hAnsi="Times New Roman"/>
          <w:lang w:val="en-US"/>
        </w:rPr>
        <w:t>) of the 406.0-406.1 MHz frequency band relayed by PRN17 (MEO).). The left edge of the image corresponds to August 20, 2012, at 17:00:05 UTC</w:t>
      </w:r>
    </w:p>
    <w:p w:rsidR="00C925B9" w:rsidRPr="006A3023" w:rsidRDefault="00C925B9" w:rsidP="006A3023">
      <w:pPr>
        <w:pStyle w:val="Figure"/>
        <w:jc w:val="both"/>
        <w:rPr>
          <w:rFonts w:ascii="Arial" w:hAnsi="Arial" w:cs="Arial"/>
          <w:sz w:val="22"/>
        </w:rPr>
      </w:pPr>
      <w:r w:rsidRPr="006A3023">
        <w:rPr>
          <w:rFonts w:ascii="Arial" w:hAnsi="Arial" w:cs="Arial"/>
          <w:noProof/>
          <w:sz w:val="22"/>
          <w:lang w:val="de-DE" w:eastAsia="de-DE"/>
        </w:rPr>
        <w:drawing>
          <wp:inline distT="0" distB="0" distL="0" distR="0" wp14:anchorId="0F9A1936" wp14:editId="25C5D8AD">
            <wp:extent cx="5622925" cy="2540000"/>
            <wp:effectExtent l="0" t="0" r="0" b="0"/>
            <wp:docPr id="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925" cy="2540000"/>
                    </a:xfrm>
                    <a:prstGeom prst="rect">
                      <a:avLst/>
                    </a:prstGeom>
                    <a:noFill/>
                    <a:ln>
                      <a:noFill/>
                    </a:ln>
                  </pic:spPr>
                </pic:pic>
              </a:graphicData>
            </a:graphic>
          </wp:inline>
        </w:drawing>
      </w:r>
    </w:p>
    <w:p w:rsidR="00E56F77" w:rsidRPr="006A3023" w:rsidRDefault="00E56F77" w:rsidP="006A3023">
      <w:pPr>
        <w:jc w:val="both"/>
        <w:rPr>
          <w:rFonts w:cs="Arial"/>
          <w:szCs w:val="22"/>
          <w:lang w:val="en-US"/>
        </w:rPr>
      </w:pPr>
    </w:p>
    <w:p w:rsidR="00E56F77" w:rsidRPr="00F52104" w:rsidRDefault="00063BCC" w:rsidP="006A3023">
      <w:pPr>
        <w:pStyle w:val="FigureNo"/>
        <w:rPr>
          <w:lang w:val="en-US"/>
        </w:rPr>
      </w:pPr>
      <w:r w:rsidRPr="00F52104">
        <w:rPr>
          <w:lang w:val="en-US"/>
        </w:rPr>
        <w:t>Figure 4</w:t>
      </w:r>
    </w:p>
    <w:p w:rsidR="00E56F77" w:rsidRPr="00F52104" w:rsidRDefault="00E56F77" w:rsidP="006A3023">
      <w:pPr>
        <w:pStyle w:val="Figuretitle"/>
        <w:rPr>
          <w:rFonts w:ascii="Times New Roman" w:hAnsi="Times New Roman"/>
          <w:lang w:val="en-US"/>
        </w:rPr>
      </w:pPr>
      <w:r w:rsidRPr="00F52104">
        <w:rPr>
          <w:rFonts w:ascii="Times New Roman" w:hAnsi="Times New Roman"/>
          <w:lang w:val="en-US"/>
        </w:rPr>
        <w:t>Power spectrum 406.0-406.1 MHz frequency band relayed by P</w:t>
      </w:r>
      <w:r w:rsidR="006A3023" w:rsidRPr="00F52104">
        <w:rPr>
          <w:rFonts w:ascii="Times New Roman" w:hAnsi="Times New Roman"/>
          <w:lang w:val="en-US"/>
        </w:rPr>
        <w:t>RN17 (MEO) on August 20, 2012</w:t>
      </w:r>
      <w:proofErr w:type="gramStart"/>
      <w:r w:rsidR="006A3023" w:rsidRPr="00F52104">
        <w:rPr>
          <w:rFonts w:ascii="Times New Roman" w:hAnsi="Times New Roman"/>
          <w:lang w:val="en-US"/>
        </w:rPr>
        <w:t xml:space="preserve">,  </w:t>
      </w:r>
      <w:r w:rsidRPr="00F52104">
        <w:rPr>
          <w:rFonts w:ascii="Times New Roman" w:hAnsi="Times New Roman"/>
          <w:lang w:val="en-US"/>
        </w:rPr>
        <w:t>at</w:t>
      </w:r>
      <w:proofErr w:type="gramEnd"/>
      <w:r w:rsidRPr="00F52104">
        <w:rPr>
          <w:rFonts w:ascii="Times New Roman" w:hAnsi="Times New Roman"/>
          <w:lang w:val="en-US"/>
        </w:rPr>
        <w:t xml:space="preserve"> 18:00:05 UTC (i.e. 1 hour after</w:t>
      </w:r>
      <w:r w:rsidR="006E57A7" w:rsidRPr="00F52104">
        <w:rPr>
          <w:rFonts w:ascii="Times New Roman" w:hAnsi="Times New Roman"/>
          <w:lang w:val="en-US"/>
        </w:rPr>
        <w:t xml:space="preserve"> the start of the image in Figure 3</w:t>
      </w:r>
      <w:r w:rsidRPr="00F52104">
        <w:rPr>
          <w:rFonts w:ascii="Times New Roman" w:hAnsi="Times New Roman"/>
          <w:lang w:val="en-US"/>
        </w:rPr>
        <w:t>)</w:t>
      </w:r>
    </w:p>
    <w:p w:rsidR="00E56F77" w:rsidRPr="006A3023" w:rsidRDefault="00E56F77" w:rsidP="006A3023">
      <w:pPr>
        <w:pStyle w:val="Figure"/>
        <w:jc w:val="both"/>
        <w:rPr>
          <w:rFonts w:ascii="Arial" w:hAnsi="Arial" w:cs="Arial"/>
          <w:sz w:val="22"/>
        </w:rPr>
      </w:pPr>
      <w:r w:rsidRPr="006A3023">
        <w:rPr>
          <w:rFonts w:ascii="Arial" w:hAnsi="Arial" w:cs="Arial"/>
          <w:noProof/>
          <w:sz w:val="22"/>
          <w:lang w:val="de-DE" w:eastAsia="de-DE"/>
        </w:rPr>
        <w:drawing>
          <wp:inline distT="0" distB="0" distL="0" distR="0" wp14:anchorId="32163732" wp14:editId="1950448B">
            <wp:extent cx="4879340" cy="23406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340" cy="2340610"/>
                    </a:xfrm>
                    <a:prstGeom prst="rect">
                      <a:avLst/>
                    </a:prstGeom>
                    <a:noFill/>
                    <a:ln>
                      <a:noFill/>
                    </a:ln>
                  </pic:spPr>
                </pic:pic>
              </a:graphicData>
            </a:graphic>
          </wp:inline>
        </w:drawing>
      </w:r>
    </w:p>
    <w:p w:rsidR="00E56F77" w:rsidRPr="006A3023" w:rsidRDefault="00E56F77" w:rsidP="006A3023">
      <w:pPr>
        <w:jc w:val="both"/>
        <w:rPr>
          <w:rFonts w:cs="Arial"/>
          <w:caps/>
          <w:szCs w:val="22"/>
        </w:rPr>
      </w:pPr>
    </w:p>
    <w:p w:rsidR="00E56F77" w:rsidRPr="00F52104" w:rsidRDefault="00063BCC" w:rsidP="006A3023">
      <w:pPr>
        <w:pStyle w:val="FigureNo"/>
        <w:rPr>
          <w:lang w:val="en-US"/>
        </w:rPr>
      </w:pPr>
      <w:r w:rsidRPr="00F52104">
        <w:rPr>
          <w:lang w:val="en-US"/>
        </w:rPr>
        <w:lastRenderedPageBreak/>
        <w:t>Figure 5</w:t>
      </w:r>
    </w:p>
    <w:p w:rsidR="00E56F77" w:rsidRPr="00F52104" w:rsidRDefault="00E56F77" w:rsidP="006A3023">
      <w:pPr>
        <w:pStyle w:val="Figuretitle"/>
        <w:rPr>
          <w:rFonts w:ascii="Times New Roman" w:hAnsi="Times New Roman"/>
          <w:lang w:val="en-US"/>
        </w:rPr>
      </w:pPr>
      <w:r w:rsidRPr="00F52104">
        <w:rPr>
          <w:rFonts w:ascii="Times New Roman" w:hAnsi="Times New Roman"/>
          <w:lang w:val="en-US"/>
        </w:rPr>
        <w:t>Power spectrum 406.0-406.1 MHz frequency band relayed by P</w:t>
      </w:r>
      <w:r w:rsidR="006A3023" w:rsidRPr="00F52104">
        <w:rPr>
          <w:rFonts w:ascii="Times New Roman" w:hAnsi="Times New Roman"/>
          <w:lang w:val="en-US"/>
        </w:rPr>
        <w:t>RN17 (MEO) on August 20, 2012</w:t>
      </w:r>
      <w:proofErr w:type="gramStart"/>
      <w:r w:rsidR="006A3023" w:rsidRPr="00F52104">
        <w:rPr>
          <w:rFonts w:ascii="Times New Roman" w:hAnsi="Times New Roman"/>
          <w:lang w:val="en-US"/>
        </w:rPr>
        <w:t xml:space="preserve">,  </w:t>
      </w:r>
      <w:r w:rsidRPr="00F52104">
        <w:rPr>
          <w:rFonts w:ascii="Times New Roman" w:hAnsi="Times New Roman"/>
          <w:lang w:val="en-US"/>
        </w:rPr>
        <w:t>at</w:t>
      </w:r>
      <w:proofErr w:type="gramEnd"/>
      <w:r w:rsidRPr="00F52104">
        <w:rPr>
          <w:rFonts w:ascii="Times New Roman" w:hAnsi="Times New Roman"/>
          <w:lang w:val="en-US"/>
        </w:rPr>
        <w:t xml:space="preserve"> 20:00:05 UTC (i.e. at time D, 3 hours after the</w:t>
      </w:r>
      <w:r w:rsidR="00063BCC" w:rsidRPr="00F52104">
        <w:rPr>
          <w:rFonts w:ascii="Times New Roman" w:hAnsi="Times New Roman"/>
          <w:lang w:val="en-US"/>
        </w:rPr>
        <w:t xml:space="preserve"> start of the image in Figure 3</w:t>
      </w:r>
      <w:r w:rsidRPr="00F52104">
        <w:rPr>
          <w:rFonts w:ascii="Times New Roman" w:hAnsi="Times New Roman"/>
          <w:lang w:val="en-US"/>
        </w:rPr>
        <w:t>)</w:t>
      </w:r>
    </w:p>
    <w:p w:rsidR="00E56F77" w:rsidRPr="006A3023" w:rsidRDefault="00E56F77" w:rsidP="006A3023">
      <w:pPr>
        <w:pStyle w:val="Figure"/>
        <w:jc w:val="both"/>
        <w:rPr>
          <w:rFonts w:ascii="Arial" w:hAnsi="Arial" w:cs="Arial"/>
          <w:sz w:val="22"/>
        </w:rPr>
      </w:pPr>
      <w:r w:rsidRPr="006A3023">
        <w:rPr>
          <w:rFonts w:ascii="Arial" w:hAnsi="Arial" w:cs="Arial"/>
          <w:noProof/>
          <w:sz w:val="22"/>
          <w:lang w:val="de-DE" w:eastAsia="de-DE"/>
        </w:rPr>
        <w:drawing>
          <wp:inline distT="0" distB="0" distL="0" distR="0" wp14:anchorId="376257FF" wp14:editId="52D6A0C3">
            <wp:extent cx="4879340" cy="23406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9340" cy="2340610"/>
                    </a:xfrm>
                    <a:prstGeom prst="rect">
                      <a:avLst/>
                    </a:prstGeom>
                    <a:noFill/>
                    <a:ln>
                      <a:noFill/>
                    </a:ln>
                  </pic:spPr>
                </pic:pic>
              </a:graphicData>
            </a:graphic>
          </wp:inline>
        </w:drawing>
      </w:r>
    </w:p>
    <w:p w:rsidR="00063BCC" w:rsidRPr="006A3023" w:rsidRDefault="00063BCC" w:rsidP="006A3023">
      <w:pPr>
        <w:jc w:val="both"/>
        <w:rPr>
          <w:rFonts w:cs="Arial"/>
          <w:szCs w:val="22"/>
        </w:rPr>
      </w:pPr>
      <w:r w:rsidRPr="006A3023">
        <w:rPr>
          <w:rFonts w:cs="Arial"/>
          <w:szCs w:val="22"/>
        </w:rPr>
        <w:t>In addition, observations made through GLONASS, GPS and GALILEO have shown that strong interferers are very close to 406 MHz, the lowe</w:t>
      </w:r>
      <w:r w:rsidR="009D3BBB" w:rsidRPr="006A3023">
        <w:rPr>
          <w:rFonts w:cs="Arial"/>
          <w:szCs w:val="22"/>
        </w:rPr>
        <w:t>r part of the MSS band. Figure 6</w:t>
      </w:r>
      <w:r w:rsidRPr="006A3023">
        <w:rPr>
          <w:rFonts w:cs="Arial"/>
          <w:szCs w:val="22"/>
        </w:rPr>
        <w:t xml:space="preserve"> shows the received 406 MHz signal relayed throu</w:t>
      </w:r>
      <w:r w:rsidR="009D3BBB" w:rsidRPr="006A3023">
        <w:rPr>
          <w:rFonts w:cs="Arial"/>
          <w:szCs w:val="22"/>
        </w:rPr>
        <w:t>gh a DASS</w:t>
      </w:r>
      <w:r w:rsidRPr="006A3023">
        <w:rPr>
          <w:rFonts w:cs="Arial"/>
          <w:szCs w:val="22"/>
        </w:rPr>
        <w:t>, as shown in the following figure.</w:t>
      </w:r>
    </w:p>
    <w:p w:rsidR="009D3BBB" w:rsidRPr="00F52104" w:rsidRDefault="009D3BBB" w:rsidP="00F52104">
      <w:pPr>
        <w:pStyle w:val="FigureNo"/>
        <w:rPr>
          <w:lang w:val="en-US"/>
        </w:rPr>
      </w:pPr>
      <w:r w:rsidRPr="00F52104">
        <w:rPr>
          <w:lang w:val="en-US"/>
        </w:rPr>
        <w:t>Figure 6</w:t>
      </w:r>
    </w:p>
    <w:p w:rsidR="009D3BBB" w:rsidRPr="00F52104" w:rsidRDefault="009D3BBB" w:rsidP="00F52104">
      <w:pPr>
        <w:pStyle w:val="Figuretitle"/>
        <w:rPr>
          <w:rFonts w:ascii="Times New Roman" w:hAnsi="Times New Roman"/>
          <w:lang w:val="en-US"/>
        </w:rPr>
      </w:pPr>
      <w:r w:rsidRPr="00F52104">
        <w:rPr>
          <w:rFonts w:ascii="Times New Roman" w:hAnsi="Times New Roman"/>
          <w:lang w:val="en-US"/>
        </w:rPr>
        <w:t>Power spectrum 406.0-406.1 MHz frequency band relayed by DASS (MEO)</w:t>
      </w:r>
    </w:p>
    <w:p w:rsidR="009D3BBB" w:rsidRPr="006A3023" w:rsidRDefault="009D3BBB" w:rsidP="006A3023">
      <w:pPr>
        <w:jc w:val="both"/>
        <w:rPr>
          <w:rFonts w:cs="Arial"/>
          <w:szCs w:val="22"/>
          <w:lang w:val="en-US"/>
        </w:rPr>
      </w:pPr>
    </w:p>
    <w:p w:rsidR="00063BCC" w:rsidRPr="006A3023" w:rsidRDefault="00063BCC" w:rsidP="006A3023">
      <w:pPr>
        <w:jc w:val="both"/>
        <w:rPr>
          <w:rFonts w:cs="Arial"/>
          <w:szCs w:val="22"/>
        </w:rPr>
      </w:pPr>
    </w:p>
    <w:p w:rsidR="00063BCC" w:rsidRPr="006A3023" w:rsidRDefault="00063BCC" w:rsidP="006A3023">
      <w:pPr>
        <w:jc w:val="both"/>
        <w:rPr>
          <w:rFonts w:cs="Arial"/>
          <w:szCs w:val="22"/>
        </w:rPr>
      </w:pPr>
      <w:r w:rsidRPr="006A3023">
        <w:rPr>
          <w:rFonts w:cs="Arial"/>
          <w:noProof/>
          <w:szCs w:val="22"/>
          <w:lang w:val="de-DE"/>
        </w:rPr>
        <w:drawing>
          <wp:inline distT="0" distB="0" distL="0" distR="0" wp14:anchorId="0EE22B7D" wp14:editId="15AB1B4D">
            <wp:extent cx="11822304" cy="2374711"/>
            <wp:effectExtent l="0" t="0" r="0" b="6985"/>
            <wp:docPr id="6" name="Image 6" descr="D:\Utilisateurs\plaj\Documents\datacnes\Frequence\cept_cpg\cpg_cmr15\PTB\PT B Janvier 2015\input\DASS Satellites 305 Spectrum 19 Decembre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plaj\Documents\datacnes\Frequence\cept_cpg\cpg_cmr15\PTB\PT B Janvier 2015\input\DASS Satellites 305 Spectrum 19 Decembre 20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28973" cy="2376051"/>
                    </a:xfrm>
                    <a:prstGeom prst="rect">
                      <a:avLst/>
                    </a:prstGeom>
                    <a:noFill/>
                    <a:ln>
                      <a:noFill/>
                    </a:ln>
                  </pic:spPr>
                </pic:pic>
              </a:graphicData>
            </a:graphic>
          </wp:inline>
        </w:drawing>
      </w:r>
    </w:p>
    <w:p w:rsidR="00063BCC" w:rsidRPr="006A3023" w:rsidRDefault="00063BCC" w:rsidP="006A3023">
      <w:pPr>
        <w:jc w:val="both"/>
        <w:rPr>
          <w:rFonts w:cs="Arial"/>
          <w:szCs w:val="22"/>
        </w:rPr>
      </w:pPr>
    </w:p>
    <w:p w:rsidR="00063BCC" w:rsidRPr="006A3023" w:rsidRDefault="00063BCC" w:rsidP="006A3023">
      <w:pPr>
        <w:pStyle w:val="StandardWeb"/>
        <w:jc w:val="both"/>
        <w:rPr>
          <w:rFonts w:ascii="Arial" w:hAnsi="Arial" w:cs="Arial"/>
          <w:color w:val="000000"/>
          <w:sz w:val="22"/>
          <w:szCs w:val="22"/>
          <w:lang w:val="en-US"/>
        </w:rPr>
      </w:pPr>
      <w:r w:rsidRPr="006A3023">
        <w:rPr>
          <w:rFonts w:ascii="Arial" w:hAnsi="Arial" w:cs="Arial"/>
          <w:color w:val="000000"/>
          <w:sz w:val="22"/>
          <w:szCs w:val="22"/>
          <w:lang w:val="en-US"/>
        </w:rPr>
        <w:t xml:space="preserve">The figures -105, -103, </w:t>
      </w:r>
      <w:proofErr w:type="gramStart"/>
      <w:r w:rsidRPr="006A3023">
        <w:rPr>
          <w:rFonts w:ascii="Arial" w:hAnsi="Arial" w:cs="Arial"/>
          <w:color w:val="000000"/>
          <w:sz w:val="22"/>
          <w:szCs w:val="22"/>
          <w:lang w:val="en-US"/>
        </w:rPr>
        <w:t>-102</w:t>
      </w:r>
      <w:proofErr w:type="gramEnd"/>
      <w:r w:rsidRPr="006A3023">
        <w:rPr>
          <w:rFonts w:ascii="Arial" w:hAnsi="Arial" w:cs="Arial"/>
          <w:color w:val="000000"/>
          <w:sz w:val="22"/>
          <w:szCs w:val="22"/>
          <w:lang w:val="en-US"/>
        </w:rPr>
        <w:t xml:space="preserve"> show the longitudes of the nadir positions as seen by the </w:t>
      </w:r>
      <w:r w:rsidR="00470F28" w:rsidRPr="006A3023">
        <w:rPr>
          <w:rFonts w:ascii="Arial" w:hAnsi="Arial" w:cs="Arial"/>
          <w:color w:val="000000"/>
          <w:sz w:val="22"/>
          <w:szCs w:val="22"/>
          <w:lang w:val="en-US"/>
        </w:rPr>
        <w:t>satellite at various</w:t>
      </w:r>
      <w:r w:rsidRPr="006A3023">
        <w:rPr>
          <w:rFonts w:ascii="Arial" w:hAnsi="Arial" w:cs="Arial"/>
          <w:color w:val="000000"/>
          <w:sz w:val="22"/>
          <w:szCs w:val="22"/>
          <w:lang w:val="en-US"/>
        </w:rPr>
        <w:t xml:space="preserve"> time</w:t>
      </w:r>
      <w:r w:rsidR="00470F28" w:rsidRPr="006A3023">
        <w:rPr>
          <w:rFonts w:ascii="Arial" w:hAnsi="Arial" w:cs="Arial"/>
          <w:color w:val="000000"/>
          <w:sz w:val="22"/>
          <w:szCs w:val="22"/>
          <w:lang w:val="en-US"/>
        </w:rPr>
        <w:t>s</w:t>
      </w:r>
      <w:r w:rsidRPr="006A3023">
        <w:rPr>
          <w:rFonts w:ascii="Arial" w:hAnsi="Arial" w:cs="Arial"/>
          <w:color w:val="000000"/>
          <w:sz w:val="22"/>
          <w:szCs w:val="22"/>
          <w:lang w:val="en-US"/>
        </w:rPr>
        <w:t>.</w:t>
      </w:r>
    </w:p>
    <w:p w:rsidR="00063BCC" w:rsidRPr="006A3023" w:rsidRDefault="00063BCC" w:rsidP="006A3023">
      <w:pPr>
        <w:pStyle w:val="StandardWeb"/>
        <w:jc w:val="both"/>
        <w:rPr>
          <w:rFonts w:ascii="Arial" w:hAnsi="Arial" w:cs="Arial"/>
          <w:color w:val="000000"/>
          <w:sz w:val="22"/>
          <w:szCs w:val="22"/>
          <w:lang w:val="en-US"/>
        </w:rPr>
      </w:pPr>
      <w:r w:rsidRPr="006A3023">
        <w:rPr>
          <w:rFonts w:ascii="Arial" w:hAnsi="Arial" w:cs="Arial"/>
          <w:color w:val="000000"/>
          <w:sz w:val="22"/>
          <w:szCs w:val="22"/>
          <w:lang w:val="en-US"/>
        </w:rPr>
        <w:lastRenderedPageBreak/>
        <w:t xml:space="preserve">The lower part of the figure corresponds to 405.9 MHz and the higher part to 406.2 MHz. Between those two parts, the search and rescue band 406-406.1 MHz can be found with dashed lines. </w:t>
      </w:r>
    </w:p>
    <w:p w:rsidR="00063BCC" w:rsidRPr="006A3023" w:rsidRDefault="004A4121" w:rsidP="006A3023">
      <w:pPr>
        <w:jc w:val="both"/>
        <w:rPr>
          <w:rFonts w:cs="Arial"/>
          <w:szCs w:val="22"/>
          <w:lang w:eastAsia="fr-FR"/>
        </w:rPr>
      </w:pPr>
      <w:r w:rsidRPr="006A3023">
        <w:rPr>
          <w:rFonts w:cs="Arial"/>
          <w:szCs w:val="22"/>
          <w:lang w:val="en-US"/>
        </w:rPr>
        <w:t xml:space="preserve">The REPORT </w:t>
      </w:r>
      <w:r w:rsidRPr="006A3023">
        <w:rPr>
          <w:rStyle w:val="href"/>
          <w:rFonts w:cs="Arial"/>
          <w:szCs w:val="22"/>
          <w:lang w:val="en-US"/>
        </w:rPr>
        <w:t xml:space="preserve">ITU-R M.2359-0 </w:t>
      </w:r>
      <w:r w:rsidRPr="006A3023">
        <w:rPr>
          <w:rFonts w:cs="Arial"/>
          <w:szCs w:val="22"/>
          <w:u w:val="single"/>
          <w:lang w:val="en-US" w:eastAsia="zh-CN"/>
        </w:rPr>
        <w:t xml:space="preserve">Protection of the 406-406.1 MHz </w:t>
      </w:r>
      <w:proofErr w:type="gramStart"/>
      <w:r w:rsidRPr="006A3023">
        <w:rPr>
          <w:rFonts w:cs="Arial"/>
          <w:szCs w:val="22"/>
          <w:u w:val="single"/>
          <w:lang w:val="en-US" w:eastAsia="zh-CN"/>
        </w:rPr>
        <w:t>band</w:t>
      </w:r>
      <w:r w:rsidR="00D77839" w:rsidRPr="006A3023">
        <w:rPr>
          <w:rFonts w:cs="Arial"/>
          <w:szCs w:val="22"/>
          <w:lang w:val="en-US" w:eastAsia="zh-CN"/>
        </w:rPr>
        <w:t>,</w:t>
      </w:r>
      <w:proofErr w:type="gramEnd"/>
      <w:r w:rsidR="00D77839" w:rsidRPr="006A3023">
        <w:rPr>
          <w:rFonts w:cs="Arial"/>
          <w:szCs w:val="22"/>
          <w:lang w:val="en-US" w:eastAsia="zh-CN"/>
        </w:rPr>
        <w:t xml:space="preserve"> </w:t>
      </w:r>
      <w:r w:rsidRPr="006A3023">
        <w:rPr>
          <w:rFonts w:cs="Arial"/>
          <w:szCs w:val="22"/>
          <w:lang w:val="en-US" w:eastAsia="zh-CN"/>
        </w:rPr>
        <w:t>contains many other plots showing similar situations.</w:t>
      </w:r>
    </w:p>
    <w:p w:rsidR="00E56F77" w:rsidRPr="006A3023" w:rsidRDefault="00E56F77" w:rsidP="006A3023">
      <w:pPr>
        <w:jc w:val="both"/>
        <w:rPr>
          <w:rFonts w:cs="Arial"/>
          <w:szCs w:val="22"/>
        </w:rPr>
      </w:pPr>
    </w:p>
    <w:p w:rsidR="00575EB1" w:rsidRDefault="00575EB1" w:rsidP="006A3023">
      <w:pPr>
        <w:pStyle w:val="berschrift2"/>
        <w:jc w:val="both"/>
      </w:pPr>
      <w:r w:rsidRPr="006A3023">
        <w:rPr>
          <w:sz w:val="22"/>
          <w:szCs w:val="22"/>
        </w:rPr>
        <w:t xml:space="preserve">Description of the of the usage within the adjacent </w:t>
      </w:r>
      <w:r>
        <w:t>bands</w:t>
      </w:r>
      <w:r w:rsidR="00317289">
        <w:t xml:space="preserve"> of the </w:t>
      </w:r>
      <w:proofErr w:type="spellStart"/>
      <w:r>
        <w:t>Cospas</w:t>
      </w:r>
      <w:proofErr w:type="spellEnd"/>
      <w:r>
        <w:t xml:space="preserve"> </w:t>
      </w:r>
      <w:proofErr w:type="spellStart"/>
      <w:r>
        <w:t>Sarsat</w:t>
      </w:r>
      <w:proofErr w:type="spellEnd"/>
      <w:r>
        <w:t xml:space="preserve"> system</w:t>
      </w:r>
    </w:p>
    <w:p w:rsidR="00963087" w:rsidRDefault="00963087" w:rsidP="00963087"/>
    <w:p w:rsidR="00D77839" w:rsidRPr="00C53B12" w:rsidRDefault="00D77839" w:rsidP="00094BE0">
      <w:pPr>
        <w:jc w:val="both"/>
        <w:rPr>
          <w:lang w:val="en-US"/>
        </w:rPr>
      </w:pPr>
      <w:r w:rsidRPr="00C53B12">
        <w:rPr>
          <w:lang w:val="en-US"/>
        </w:rPr>
        <w:t>The</w:t>
      </w:r>
      <w:r w:rsidR="00E26DE5">
        <w:rPr>
          <w:lang w:val="en-US"/>
        </w:rPr>
        <w:t xml:space="preserve"> other characteristics that need to be known before proposing a monitoring plan are the different </w:t>
      </w:r>
      <w:r w:rsidR="00094BE0">
        <w:rPr>
          <w:lang w:val="en-US"/>
        </w:rPr>
        <w:t>types of devices deploy</w:t>
      </w:r>
      <w:r w:rsidR="00E26DE5">
        <w:rPr>
          <w:lang w:val="en-US"/>
        </w:rPr>
        <w:t>ed</w:t>
      </w:r>
      <w:r w:rsidRPr="00C53B12">
        <w:rPr>
          <w:lang w:val="en-US"/>
        </w:rPr>
        <w:t xml:space="preserve"> </w:t>
      </w:r>
      <w:r w:rsidR="00094BE0">
        <w:rPr>
          <w:lang w:val="en-US"/>
        </w:rPr>
        <w:t xml:space="preserve">in these frequency bands. The following table 1 provides an overview of the deployment of mobile systems around 400 MHz. Especially above 406.1 MHz, according to table 2, the </w:t>
      </w:r>
      <w:r w:rsidR="006F0539">
        <w:rPr>
          <w:lang w:val="en-US"/>
        </w:rPr>
        <w:t>bandwidths currently used in CEPT countries are either 12.5 KHz or 25 kHz.</w:t>
      </w:r>
    </w:p>
    <w:p w:rsidR="00963087" w:rsidRPr="00D77839" w:rsidRDefault="00963087" w:rsidP="00D77839">
      <w:pPr>
        <w:jc w:val="both"/>
        <w:rPr>
          <w:lang w:val="en-US"/>
        </w:rPr>
      </w:pPr>
    </w:p>
    <w:p w:rsidR="00317289" w:rsidRPr="00F52104" w:rsidRDefault="00094BE0" w:rsidP="00317289">
      <w:pPr>
        <w:pStyle w:val="TableNo0"/>
        <w:rPr>
          <w:sz w:val="20"/>
          <w:lang w:val="en-US"/>
        </w:rPr>
      </w:pPr>
      <w:r w:rsidRPr="00F52104">
        <w:rPr>
          <w:sz w:val="20"/>
          <w:lang w:val="en-US"/>
        </w:rPr>
        <w:t>TABLE 1</w:t>
      </w:r>
    </w:p>
    <w:p w:rsidR="00317289" w:rsidRPr="00F52104" w:rsidRDefault="00317289" w:rsidP="00317289">
      <w:pPr>
        <w:pStyle w:val="Tabletitle0"/>
        <w:rPr>
          <w:sz w:val="20"/>
          <w:lang w:val="en-US"/>
        </w:rPr>
      </w:pPr>
      <w:r w:rsidRPr="00F52104">
        <w:rPr>
          <w:sz w:val="20"/>
          <w:lang w:val="en-US"/>
        </w:rPr>
        <w:t xml:space="preserve">Overview of CEPT documentation regarding the deployment </w:t>
      </w:r>
      <w:r w:rsidRPr="00F52104">
        <w:rPr>
          <w:sz w:val="20"/>
          <w:lang w:val="en-US"/>
        </w:rPr>
        <w:br/>
        <w:t>of mobile systems around 400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5"/>
        <w:gridCol w:w="7434"/>
      </w:tblGrid>
      <w:tr w:rsidR="00317289" w:rsidRPr="00D02BB9" w:rsidTr="002B358A">
        <w:trPr>
          <w:jc w:val="center"/>
        </w:trPr>
        <w:tc>
          <w:tcPr>
            <w:tcW w:w="0" w:type="auto"/>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head"/>
              <w:jc w:val="left"/>
              <w:rPr>
                <w:bCs/>
                <w:lang w:val="en-US"/>
              </w:rPr>
            </w:pPr>
            <w:r>
              <w:rPr>
                <w:rStyle w:val="hps"/>
                <w:bCs/>
                <w:lang w:val="en-US"/>
              </w:rPr>
              <w:t>Frequency plan</w:t>
            </w:r>
            <w:r>
              <w:rPr>
                <w:bCs/>
                <w:lang w:val="en-US"/>
              </w:rPr>
              <w:t xml:space="preserve"> </w:t>
            </w:r>
            <w:r>
              <w:rPr>
                <w:rStyle w:val="hps"/>
                <w:bCs/>
                <w:lang w:val="en-US"/>
              </w:rPr>
              <w:t>under</w:t>
            </w:r>
            <w:r>
              <w:rPr>
                <w:bCs/>
                <w:lang w:val="en-US"/>
              </w:rPr>
              <w:t xml:space="preserve"> </w:t>
            </w:r>
            <w:r>
              <w:rPr>
                <w:rStyle w:val="hps"/>
                <w:bCs/>
                <w:lang w:val="en-US"/>
              </w:rPr>
              <w:t xml:space="preserve">Recommendation </w:t>
            </w:r>
            <w:r>
              <w:rPr>
                <w:rStyle w:val="hps"/>
                <w:bCs/>
                <w:lang w:val="en-US"/>
              </w:rPr>
              <w:br/>
              <w:t>TR 25-08</w:t>
            </w:r>
            <w:r>
              <w:rPr>
                <w:bCs/>
                <w:lang w:val="en-US"/>
              </w:rPr>
              <w:t xml:space="preserve"> </w:t>
            </w:r>
            <w:r>
              <w:rPr>
                <w:rStyle w:val="hps"/>
                <w:bCs/>
                <w:lang w:val="en-US"/>
              </w:rPr>
              <w:t>CEPT</w:t>
            </w:r>
          </w:p>
        </w:tc>
        <w:tc>
          <w:tcPr>
            <w:tcW w:w="0" w:type="auto"/>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left"/>
              <w:rPr>
                <w:lang w:val="en-US" w:eastAsia="en-GB"/>
              </w:rPr>
            </w:pPr>
            <w:r>
              <w:rPr>
                <w:lang w:val="en-US" w:eastAsia="en-GB"/>
              </w:rPr>
              <w:t>29.9 MHz duplex</w:t>
            </w:r>
          </w:p>
          <w:p w:rsidR="00317289" w:rsidRDefault="00317289" w:rsidP="002B358A">
            <w:pPr>
              <w:pStyle w:val="Tabletext"/>
              <w:jc w:val="left"/>
              <w:rPr>
                <w:lang w:val="en-US" w:eastAsia="en-GB"/>
              </w:rPr>
            </w:pPr>
            <w:r>
              <w:rPr>
                <w:lang w:val="en-US" w:eastAsia="en-GB"/>
              </w:rPr>
              <w:t>–</w:t>
            </w:r>
            <w:r>
              <w:rPr>
                <w:lang w:val="en-US" w:eastAsia="en-GB"/>
              </w:rPr>
              <w:tab/>
              <w:t>380 to 389.9 MHz band (uplink) and 390 to 399.9 MHz (downlink);</w:t>
            </w:r>
            <w:r>
              <w:rPr>
                <w:lang w:val="en-US" w:eastAsia="en-GB"/>
              </w:rPr>
              <w:br/>
              <w:t>–</w:t>
            </w:r>
            <w:r>
              <w:rPr>
                <w:lang w:val="en-US" w:eastAsia="en-GB"/>
              </w:rPr>
              <w:tab/>
              <w:t>Bands 410-420 MHz (uplink) and 420-430 MHz (downlink);</w:t>
            </w:r>
            <w:r>
              <w:rPr>
                <w:lang w:val="en-US" w:eastAsia="en-GB"/>
              </w:rPr>
              <w:br/>
              <w:t>–</w:t>
            </w:r>
            <w:r>
              <w:rPr>
                <w:lang w:val="en-US" w:eastAsia="en-GB"/>
              </w:rPr>
              <w:tab/>
              <w:t>Bands 450-460 MHz (uplink) and 460-470 MHz (downlink).</w:t>
            </w:r>
          </w:p>
          <w:p w:rsidR="00317289" w:rsidRDefault="00317289" w:rsidP="002B358A">
            <w:pPr>
              <w:pStyle w:val="Tabletext"/>
              <w:jc w:val="left"/>
              <w:rPr>
                <w:lang w:val="en-US" w:eastAsia="en-GB"/>
              </w:rPr>
            </w:pPr>
            <w:r>
              <w:rPr>
                <w:lang w:val="en-US" w:eastAsia="en-GB"/>
              </w:rPr>
              <w:t>14 MHz simplex: band 389.9 to 390 MHz, 406.1-410 MHz and 440-450 MHz.</w:t>
            </w:r>
          </w:p>
        </w:tc>
      </w:tr>
      <w:tr w:rsidR="00317289" w:rsidRPr="00D02BB9" w:rsidTr="002B358A">
        <w:trPr>
          <w:jc w:val="center"/>
        </w:trPr>
        <w:tc>
          <w:tcPr>
            <w:tcW w:w="0" w:type="auto"/>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head"/>
              <w:jc w:val="left"/>
              <w:rPr>
                <w:lang w:val="en-US"/>
              </w:rPr>
            </w:pPr>
            <w:r>
              <w:rPr>
                <w:lang w:val="en-US"/>
              </w:rPr>
              <w:t>Other provisions</w:t>
            </w:r>
          </w:p>
        </w:tc>
        <w:tc>
          <w:tcPr>
            <w:tcW w:w="0" w:type="auto"/>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left"/>
              <w:rPr>
                <w:lang w:val="en-US" w:eastAsia="en-GB"/>
              </w:rPr>
            </w:pPr>
            <w:r>
              <w:rPr>
                <w:lang w:val="en-US" w:eastAsia="en-GB"/>
              </w:rPr>
              <w:t>The 400 MHz band is identified by Decision (08) 05 ECC dated June 27 2008 for the harmonized implementation of digital systems for PPDR applications. This decision provides that Member States must make available the necessary frequencies:</w:t>
            </w:r>
          </w:p>
          <w:p w:rsidR="00317289" w:rsidRDefault="00317289" w:rsidP="002B358A">
            <w:pPr>
              <w:pStyle w:val="Tabletext"/>
              <w:ind w:left="284" w:hanging="284"/>
              <w:jc w:val="left"/>
              <w:rPr>
                <w:lang w:val="en-US" w:eastAsia="en-GB"/>
              </w:rPr>
            </w:pPr>
            <w:r>
              <w:rPr>
                <w:lang w:val="en-US" w:eastAsia="en-GB"/>
              </w:rPr>
              <w:t>–</w:t>
            </w:r>
            <w:r>
              <w:rPr>
                <w:lang w:val="en-US" w:eastAsia="en-GB"/>
              </w:rPr>
              <w:tab/>
              <w:t>For the implementation of digital narrow-band (less than 25 kHz channel) for PPDR applications in the band 380-385 MHz duplex / 390-395 MHz;</w:t>
            </w:r>
          </w:p>
          <w:p w:rsidR="00317289" w:rsidRDefault="00317289" w:rsidP="002B358A">
            <w:pPr>
              <w:pStyle w:val="Tabletext"/>
              <w:ind w:left="284" w:hanging="284"/>
              <w:jc w:val="left"/>
              <w:rPr>
                <w:lang w:val="en-US" w:eastAsia="en-GB"/>
              </w:rPr>
            </w:pPr>
            <w:r>
              <w:rPr>
                <w:lang w:val="en-US" w:eastAsia="en-GB"/>
              </w:rPr>
              <w:t>–</w:t>
            </w:r>
            <w:r>
              <w:rPr>
                <w:lang w:val="en-US" w:eastAsia="en-GB"/>
              </w:rPr>
              <w:tab/>
              <w:t>The implementation of broadband digital systems (channel equal or greater than 25 kHz) for applications in the PPDR band 380-470 MHz.</w:t>
            </w:r>
          </w:p>
          <w:p w:rsidR="00317289" w:rsidRDefault="00317289" w:rsidP="002B358A">
            <w:pPr>
              <w:pStyle w:val="Tabletext"/>
              <w:jc w:val="left"/>
              <w:rPr>
                <w:lang w:val="en-US" w:eastAsia="en-GB"/>
              </w:rPr>
            </w:pPr>
            <w:r>
              <w:rPr>
                <w:lang w:val="en-US" w:eastAsia="en-GB"/>
              </w:rPr>
              <w:t>The bands 406.1-430 MHz and 440-470 MHz are identified by Decision (06) 06 ECC dated 7 July 2006, in which CEPT Member States are encouraged to make available, according to market demand, the amount of spectrum required for digital PMR systems to narrow-band (channels equal or less than 25 kHz).</w:t>
            </w:r>
          </w:p>
        </w:tc>
      </w:tr>
    </w:tbl>
    <w:p w:rsidR="00317289" w:rsidRDefault="00317289" w:rsidP="00317289">
      <w:pPr>
        <w:rPr>
          <w:lang w:val="en-US"/>
        </w:rPr>
      </w:pPr>
    </w:p>
    <w:p w:rsidR="00317289" w:rsidRPr="00F52104" w:rsidRDefault="00094BE0" w:rsidP="00317289">
      <w:pPr>
        <w:pStyle w:val="TableNo0"/>
        <w:rPr>
          <w:sz w:val="20"/>
          <w:lang w:val="en-US" w:eastAsia="zh-CN"/>
        </w:rPr>
      </w:pPr>
      <w:r w:rsidRPr="00F52104">
        <w:rPr>
          <w:sz w:val="20"/>
          <w:lang w:val="en-US" w:eastAsia="zh-CN"/>
        </w:rPr>
        <w:t>TABLE 2</w:t>
      </w:r>
    </w:p>
    <w:p w:rsidR="00317289" w:rsidRPr="00F52104" w:rsidRDefault="00317289" w:rsidP="00317289">
      <w:pPr>
        <w:pStyle w:val="Tabletitle0"/>
        <w:rPr>
          <w:sz w:val="20"/>
          <w:lang w:val="en-US" w:eastAsia="zh-CN"/>
        </w:rPr>
      </w:pPr>
      <w:r w:rsidRPr="00F52104">
        <w:rPr>
          <w:sz w:val="20"/>
          <w:lang w:val="en-US" w:eastAsia="zh-CN"/>
        </w:rPr>
        <w:t>TETRAPOL noise levels in the unwanted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763"/>
      </w:tblGrid>
      <w:tr w:rsidR="00317289" w:rsidTr="002B358A">
        <w:trPr>
          <w:jc w:val="center"/>
        </w:trPr>
        <w:tc>
          <w:tcPr>
            <w:tcW w:w="4842"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head"/>
              <w:rPr>
                <w:lang w:val="en-US"/>
              </w:rPr>
            </w:pPr>
            <w:r>
              <w:rPr>
                <w:lang w:val="en-US"/>
              </w:rPr>
              <w:t>Frequency offset</w:t>
            </w:r>
          </w:p>
        </w:tc>
        <w:tc>
          <w:tcPr>
            <w:tcW w:w="4729"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head"/>
              <w:rPr>
                <w:lang w:val="en-US"/>
              </w:rPr>
            </w:pPr>
            <w:r>
              <w:rPr>
                <w:lang w:val="en-US"/>
              </w:rPr>
              <w:t xml:space="preserve">Maximum level </w:t>
            </w:r>
          </w:p>
        </w:tc>
      </w:tr>
      <w:tr w:rsidR="00317289" w:rsidTr="002B358A">
        <w:trPr>
          <w:jc w:val="center"/>
        </w:trPr>
        <w:tc>
          <w:tcPr>
            <w:tcW w:w="4842"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center"/>
              <w:rPr>
                <w:lang w:val="en-US"/>
              </w:rPr>
            </w:pPr>
            <w:r>
              <w:rPr>
                <w:lang w:val="en-US"/>
              </w:rPr>
              <w:t>12.5 kHz</w:t>
            </w:r>
          </w:p>
        </w:tc>
        <w:tc>
          <w:tcPr>
            <w:tcW w:w="4729"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center"/>
              <w:rPr>
                <w:lang w:val="en-US"/>
              </w:rPr>
            </w:pPr>
            <w:r>
              <w:rPr>
                <w:lang w:val="en-US"/>
              </w:rPr>
              <w:t>–60 dBc</w:t>
            </w:r>
          </w:p>
        </w:tc>
      </w:tr>
      <w:tr w:rsidR="00317289" w:rsidTr="002B358A">
        <w:trPr>
          <w:jc w:val="center"/>
        </w:trPr>
        <w:tc>
          <w:tcPr>
            <w:tcW w:w="4842"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center"/>
              <w:rPr>
                <w:lang w:val="en-US"/>
              </w:rPr>
            </w:pPr>
            <w:r>
              <w:rPr>
                <w:lang w:val="en-US"/>
              </w:rPr>
              <w:t>25 kHz</w:t>
            </w:r>
          </w:p>
        </w:tc>
        <w:tc>
          <w:tcPr>
            <w:tcW w:w="4729" w:type="dxa"/>
            <w:tcBorders>
              <w:top w:val="single" w:sz="4" w:space="0" w:color="auto"/>
              <w:left w:val="single" w:sz="4" w:space="0" w:color="auto"/>
              <w:bottom w:val="single" w:sz="4" w:space="0" w:color="auto"/>
              <w:right w:val="single" w:sz="4" w:space="0" w:color="auto"/>
            </w:tcBorders>
            <w:hideMark/>
          </w:tcPr>
          <w:p w:rsidR="00317289" w:rsidRDefault="00317289" w:rsidP="002B358A">
            <w:pPr>
              <w:pStyle w:val="Tabletext"/>
              <w:jc w:val="center"/>
              <w:rPr>
                <w:lang w:val="en-US"/>
              </w:rPr>
            </w:pPr>
            <w:r>
              <w:rPr>
                <w:lang w:val="en-US"/>
              </w:rPr>
              <w:t>–70 dBc</w:t>
            </w:r>
          </w:p>
        </w:tc>
      </w:tr>
    </w:tbl>
    <w:p w:rsidR="00317289" w:rsidRDefault="00317289" w:rsidP="00317289">
      <w:pPr>
        <w:rPr>
          <w:lang w:val="en-US"/>
        </w:rPr>
      </w:pPr>
    </w:p>
    <w:p w:rsidR="006F0539" w:rsidRDefault="006F0539" w:rsidP="00317289">
      <w:pPr>
        <w:rPr>
          <w:rFonts w:cs="Arial"/>
        </w:rPr>
      </w:pPr>
    </w:p>
    <w:p w:rsidR="00317289" w:rsidRDefault="006F0539" w:rsidP="00746E8B">
      <w:pPr>
        <w:jc w:val="both"/>
        <w:rPr>
          <w:lang w:val="en-US"/>
        </w:rPr>
      </w:pPr>
      <w:r>
        <w:rPr>
          <w:rFonts w:cs="Arial"/>
        </w:rPr>
        <w:t xml:space="preserve">Outside CEPT, in </w:t>
      </w:r>
      <w:r>
        <w:rPr>
          <w:lang w:val="en-US"/>
        </w:rPr>
        <w:t xml:space="preserve">Canada, </w:t>
      </w:r>
      <w:r w:rsidR="00746E8B">
        <w:rPr>
          <w:lang w:val="en-US"/>
        </w:rPr>
        <w:t>tables 3 and 4</w:t>
      </w:r>
      <w:r w:rsidR="00317289">
        <w:rPr>
          <w:lang w:val="en-US"/>
        </w:rPr>
        <w:t xml:space="preserve"> provide information on the range of technical characteristics of Canadian land mobile systems operating in the b</w:t>
      </w:r>
      <w:r w:rsidR="00F52104">
        <w:rPr>
          <w:lang w:val="en-US"/>
        </w:rPr>
        <w:t xml:space="preserve">and 406.1-420 MHz. </w:t>
      </w:r>
      <w:r w:rsidR="00317289">
        <w:rPr>
          <w:lang w:val="en-US"/>
        </w:rPr>
        <w:t xml:space="preserve">Typical values are shown in parenthesis. Systems in this band are predominately analogue, using channels that are 12.5 kHz or 25 kHz wide. In spectrum congested areas, newer systems being deployed tend to be trending </w:t>
      </w:r>
      <w:r w:rsidR="00317289">
        <w:rPr>
          <w:lang w:val="en-US"/>
        </w:rPr>
        <w:lastRenderedPageBreak/>
        <w:t>towards digital technologies.</w:t>
      </w:r>
      <w:r w:rsidR="007269CB">
        <w:rPr>
          <w:lang w:val="en-US"/>
        </w:rPr>
        <w:t xml:space="preserve"> For this country, the bandwidths are around 11 and 16 kHz.</w:t>
      </w:r>
    </w:p>
    <w:p w:rsidR="00317289" w:rsidRPr="00F52104" w:rsidRDefault="00E65BD1" w:rsidP="00317289">
      <w:pPr>
        <w:pStyle w:val="TableNo0"/>
        <w:rPr>
          <w:sz w:val="20"/>
          <w:lang w:val="en-US"/>
        </w:rPr>
      </w:pPr>
      <w:r w:rsidRPr="00F52104">
        <w:rPr>
          <w:sz w:val="20"/>
          <w:lang w:val="en-US"/>
        </w:rPr>
        <w:t>TABLE 3</w:t>
      </w:r>
    </w:p>
    <w:p w:rsidR="00317289" w:rsidRPr="00F52104" w:rsidRDefault="00317289" w:rsidP="00317289">
      <w:pPr>
        <w:pStyle w:val="Tabletitle0"/>
        <w:rPr>
          <w:sz w:val="20"/>
          <w:lang w:val="en-US"/>
        </w:rPr>
      </w:pPr>
      <w:r w:rsidRPr="00F52104">
        <w:rPr>
          <w:sz w:val="20"/>
          <w:lang w:val="en-US"/>
        </w:rPr>
        <w:t xml:space="preserve">Base station characteristics of systems in Canada in the </w:t>
      </w:r>
      <w:r w:rsidRPr="00F52104">
        <w:rPr>
          <w:sz w:val="20"/>
          <w:lang w:val="en-US"/>
        </w:rPr>
        <w:br/>
        <w:t>band 406.1-420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663"/>
      </w:tblGrid>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rPr>
                <w:lang w:val="en-US"/>
              </w:rPr>
            </w:pPr>
            <w:r>
              <w:rPr>
                <w:lang w:val="en-US"/>
              </w:rPr>
              <w:t>Output power (W)</w:t>
            </w:r>
          </w:p>
        </w:tc>
        <w:tc>
          <w:tcPr>
            <w:tcW w:w="3663"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jc w:val="center"/>
              <w:rPr>
                <w:lang w:val="en-US"/>
              </w:rPr>
            </w:pPr>
            <w:r>
              <w:rPr>
                <w:lang w:val="en-US"/>
              </w:rPr>
              <w:t>1 to 30 (7)</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rPr>
                <w:lang w:val="en-US"/>
              </w:rPr>
            </w:pPr>
            <w:r>
              <w:rPr>
                <w:lang w:val="en-US"/>
              </w:rPr>
              <w:t>Antenna gain (</w:t>
            </w:r>
            <w:proofErr w:type="spellStart"/>
            <w:r>
              <w:rPr>
                <w:lang w:val="en-US"/>
              </w:rPr>
              <w:t>dBd</w:t>
            </w:r>
            <w:proofErr w:type="spellEnd"/>
            <w:r>
              <w:rPr>
                <w:lang w:val="en-US"/>
              </w:rPr>
              <w:t>)</w:t>
            </w:r>
          </w:p>
        </w:tc>
        <w:tc>
          <w:tcPr>
            <w:tcW w:w="3663"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jc w:val="center"/>
              <w:rPr>
                <w:lang w:val="en-US"/>
              </w:rPr>
            </w:pPr>
            <w:r>
              <w:rPr>
                <w:lang w:val="en-US"/>
              </w:rPr>
              <w:t>0 to 15 (10)</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rPr>
                <w:lang w:val="en-US"/>
              </w:rPr>
            </w:pPr>
            <w:r>
              <w:rPr>
                <w:lang w:val="en-US"/>
              </w:rPr>
              <w:t>ERP (</w:t>
            </w:r>
            <w:proofErr w:type="spellStart"/>
            <w:r>
              <w:rPr>
                <w:lang w:val="en-US"/>
              </w:rPr>
              <w:t>dBW</w:t>
            </w:r>
            <w:proofErr w:type="spellEnd"/>
            <w:r>
              <w:rPr>
                <w:lang w:val="en-US"/>
              </w:rPr>
              <w:t>)</w:t>
            </w:r>
          </w:p>
        </w:tc>
        <w:tc>
          <w:tcPr>
            <w:tcW w:w="3663"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jc w:val="center"/>
              <w:rPr>
                <w:lang w:val="en-US"/>
              </w:rPr>
            </w:pPr>
            <w:r>
              <w:rPr>
                <w:lang w:val="en-US"/>
              </w:rPr>
              <w:t>0 to 28 (16)</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rPr>
                <w:lang w:val="en-US"/>
              </w:rPr>
            </w:pPr>
            <w:r>
              <w:rPr>
                <w:lang w:val="en-US"/>
              </w:rPr>
              <w:t>Necessary bandwidth (kHz)</w:t>
            </w:r>
          </w:p>
        </w:tc>
        <w:tc>
          <w:tcPr>
            <w:tcW w:w="3663"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jc w:val="center"/>
              <w:rPr>
                <w:lang w:val="en-US"/>
              </w:rPr>
            </w:pPr>
            <w:r>
              <w:rPr>
                <w:lang w:val="en-US"/>
              </w:rPr>
              <w:t>11/16</w:t>
            </w:r>
          </w:p>
        </w:tc>
      </w:tr>
    </w:tbl>
    <w:p w:rsidR="00317289" w:rsidRDefault="00317289" w:rsidP="00317289">
      <w:pPr>
        <w:pStyle w:val="Tabletext"/>
        <w:rPr>
          <w:lang w:val="en-US"/>
        </w:rPr>
      </w:pPr>
      <w:r>
        <w:rPr>
          <w:lang w:val="en-US"/>
        </w:rPr>
        <w:t>NOTE – Typical values are shown in parenthesis.</w:t>
      </w:r>
    </w:p>
    <w:p w:rsidR="00317289" w:rsidRDefault="00317289" w:rsidP="00317289">
      <w:pPr>
        <w:pStyle w:val="Tablefin"/>
      </w:pPr>
    </w:p>
    <w:p w:rsidR="00317289" w:rsidRPr="00F52104" w:rsidRDefault="00E65BD1" w:rsidP="00317289">
      <w:pPr>
        <w:pStyle w:val="TableNo0"/>
        <w:spacing w:before="480"/>
        <w:rPr>
          <w:sz w:val="20"/>
          <w:lang w:val="en-US"/>
        </w:rPr>
      </w:pPr>
      <w:r w:rsidRPr="00F52104">
        <w:rPr>
          <w:sz w:val="20"/>
          <w:lang w:val="en-US"/>
        </w:rPr>
        <w:t>TABLE 4</w:t>
      </w:r>
    </w:p>
    <w:p w:rsidR="00317289" w:rsidRPr="00F52104" w:rsidRDefault="00317289" w:rsidP="00317289">
      <w:pPr>
        <w:pStyle w:val="Tabletitle0"/>
        <w:rPr>
          <w:sz w:val="20"/>
          <w:lang w:val="en-US"/>
        </w:rPr>
      </w:pPr>
      <w:r w:rsidRPr="00F52104">
        <w:rPr>
          <w:sz w:val="20"/>
          <w:lang w:val="en-US"/>
        </w:rPr>
        <w:t xml:space="preserve">Mobile station characteristics of systems in Canada in the </w:t>
      </w:r>
      <w:r w:rsidRPr="00F52104">
        <w:rPr>
          <w:sz w:val="20"/>
          <w:lang w:val="en-US"/>
        </w:rPr>
        <w:br/>
        <w:t>band 406.1-420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tblGrid>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rPr>
                <w:lang w:val="en-US"/>
              </w:rPr>
            </w:pPr>
            <w:r>
              <w:rPr>
                <w:lang w:val="en-US"/>
              </w:rPr>
              <w:t>Output power (W)</w:t>
            </w:r>
          </w:p>
        </w:tc>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jc w:val="center"/>
              <w:rPr>
                <w:lang w:val="en-US"/>
              </w:rPr>
            </w:pPr>
            <w:r>
              <w:rPr>
                <w:lang w:val="en-US"/>
              </w:rPr>
              <w:t>1 to 30 (H: 5, V: 30)</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rPr>
                <w:lang w:val="en-US"/>
              </w:rPr>
            </w:pPr>
            <w:r>
              <w:rPr>
                <w:lang w:val="en-US"/>
              </w:rPr>
              <w:t>Antenna gain (</w:t>
            </w:r>
            <w:proofErr w:type="spellStart"/>
            <w:r>
              <w:rPr>
                <w:lang w:val="en-US"/>
              </w:rPr>
              <w:t>dBd</w:t>
            </w:r>
            <w:proofErr w:type="spellEnd"/>
            <w:r>
              <w:rPr>
                <w:lang w:val="en-US"/>
              </w:rPr>
              <w:t>)</w:t>
            </w:r>
          </w:p>
        </w:tc>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jc w:val="center"/>
              <w:rPr>
                <w:lang w:val="en-US"/>
              </w:rPr>
            </w:pPr>
            <w:r>
              <w:rPr>
                <w:lang w:val="en-US"/>
              </w:rPr>
              <w:t>0</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rPr>
                <w:lang w:val="en-US"/>
              </w:rPr>
            </w:pPr>
            <w:r>
              <w:rPr>
                <w:lang w:val="en-US"/>
              </w:rPr>
              <w:t>ERP (</w:t>
            </w:r>
            <w:proofErr w:type="spellStart"/>
            <w:r>
              <w:rPr>
                <w:lang w:val="en-US"/>
              </w:rPr>
              <w:t>dBW</w:t>
            </w:r>
            <w:proofErr w:type="spellEnd"/>
            <w:r>
              <w:rPr>
                <w:lang w:val="en-US"/>
              </w:rPr>
              <w:t>)</w:t>
            </w:r>
          </w:p>
        </w:tc>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jc w:val="center"/>
              <w:rPr>
                <w:lang w:val="en-US"/>
              </w:rPr>
            </w:pPr>
            <w:r>
              <w:rPr>
                <w:lang w:val="en-US"/>
              </w:rPr>
              <w:t>0 to 15 (H: 7, V: 15)</w:t>
            </w:r>
          </w:p>
        </w:tc>
      </w:tr>
      <w:tr w:rsidR="00317289" w:rsidTr="002B358A">
        <w:trPr>
          <w:jc w:val="center"/>
        </w:trPr>
        <w:tc>
          <w:tcPr>
            <w:tcW w:w="3285" w:type="dxa"/>
            <w:tcBorders>
              <w:top w:val="single" w:sz="4" w:space="0" w:color="auto"/>
              <w:left w:val="single" w:sz="4" w:space="0" w:color="auto"/>
              <w:bottom w:val="single" w:sz="4" w:space="0" w:color="auto"/>
              <w:right w:val="single" w:sz="4" w:space="0" w:color="auto"/>
            </w:tcBorders>
            <w:vAlign w:val="bottom"/>
            <w:hideMark/>
          </w:tcPr>
          <w:p w:rsidR="00317289" w:rsidRDefault="00317289" w:rsidP="002B358A">
            <w:pPr>
              <w:pStyle w:val="Tabletext"/>
              <w:rPr>
                <w:lang w:val="en-US"/>
              </w:rPr>
            </w:pPr>
            <w:r>
              <w:rPr>
                <w:lang w:val="en-US"/>
              </w:rPr>
              <w:t>Necessary bandwidth (kHz)</w:t>
            </w:r>
          </w:p>
        </w:tc>
        <w:tc>
          <w:tcPr>
            <w:tcW w:w="3285" w:type="dxa"/>
            <w:tcBorders>
              <w:top w:val="single" w:sz="4" w:space="0" w:color="auto"/>
              <w:left w:val="single" w:sz="4" w:space="0" w:color="auto"/>
              <w:bottom w:val="single" w:sz="4" w:space="0" w:color="auto"/>
              <w:right w:val="single" w:sz="4" w:space="0" w:color="auto"/>
            </w:tcBorders>
            <w:vAlign w:val="center"/>
            <w:hideMark/>
          </w:tcPr>
          <w:p w:rsidR="00317289" w:rsidRDefault="00317289" w:rsidP="002B358A">
            <w:pPr>
              <w:pStyle w:val="Tabletext"/>
              <w:jc w:val="center"/>
              <w:rPr>
                <w:lang w:val="en-US"/>
              </w:rPr>
            </w:pPr>
            <w:r>
              <w:rPr>
                <w:lang w:val="en-US"/>
              </w:rPr>
              <w:t>11 / 16</w:t>
            </w:r>
          </w:p>
        </w:tc>
      </w:tr>
    </w:tbl>
    <w:p w:rsidR="00317289" w:rsidRDefault="00317289" w:rsidP="00317289">
      <w:pPr>
        <w:pStyle w:val="Tabletext"/>
        <w:rPr>
          <w:lang w:val="en-GB"/>
        </w:rPr>
      </w:pPr>
      <w:r>
        <w:rPr>
          <w:lang w:val="en-GB"/>
        </w:rPr>
        <w:t>NOTE – Typical values are shown in parenthesis. “H” represents the value for handheld mobile stations and “V” represents the value for vehicular mobile stations.</w:t>
      </w:r>
    </w:p>
    <w:p w:rsidR="00317289" w:rsidRPr="004E2E68" w:rsidRDefault="00317289" w:rsidP="00317289"/>
    <w:p w:rsidR="00E56F77" w:rsidRPr="00532EFC" w:rsidRDefault="00BA138F" w:rsidP="00532EFC">
      <w:pPr>
        <w:jc w:val="both"/>
        <w:rPr>
          <w:rFonts w:cs="Arial"/>
        </w:rPr>
      </w:pPr>
      <w:r>
        <w:rPr>
          <w:rFonts w:cs="Arial"/>
        </w:rPr>
        <w:t>Lastly, in China, bandwidths of 12.5 kHz are also widely used.</w:t>
      </w:r>
      <w:r w:rsidR="00684007">
        <w:rPr>
          <w:rFonts w:cs="Arial"/>
        </w:rPr>
        <w:t xml:space="preserve"> </w:t>
      </w:r>
    </w:p>
    <w:p w:rsidR="006670B4" w:rsidRPr="00915BE5" w:rsidRDefault="006670B4" w:rsidP="006670B4">
      <w:pPr>
        <w:pStyle w:val="berschrift1"/>
      </w:pPr>
      <w:r>
        <w:t>Implementation of WRC15 instructions</w:t>
      </w:r>
    </w:p>
    <w:p w:rsidR="006670B4" w:rsidRPr="00B72183" w:rsidRDefault="006670B4" w:rsidP="006670B4">
      <w:pPr>
        <w:pStyle w:val="berschrift2"/>
      </w:pPr>
      <w:r w:rsidRPr="00B72183">
        <w:t xml:space="preserve">Work to be conducted by </w:t>
      </w:r>
      <w:proofErr w:type="spellStart"/>
      <w:r w:rsidRPr="00B72183">
        <w:t>Cospas-Sarsat</w:t>
      </w:r>
      <w:proofErr w:type="spellEnd"/>
      <w:r w:rsidRPr="00B72183">
        <w:t xml:space="preserve"> Participants </w:t>
      </w:r>
    </w:p>
    <w:p w:rsidR="005720BF" w:rsidRDefault="000B78A4" w:rsidP="00862B90">
      <w:pPr>
        <w:jc w:val="both"/>
      </w:pPr>
      <w:r>
        <w:rPr>
          <w:rFonts w:eastAsiaTheme="minorHAnsi"/>
        </w:rPr>
        <w:t>The scope of</w:t>
      </w:r>
      <w:r w:rsidR="005720BF">
        <w:rPr>
          <w:rFonts w:eastAsiaTheme="minorHAnsi"/>
        </w:rPr>
        <w:t xml:space="preserve"> this monitoring program</w:t>
      </w:r>
      <w:r>
        <w:rPr>
          <w:rFonts w:eastAsiaTheme="minorHAnsi"/>
        </w:rPr>
        <w:t xml:space="preserve">, which is not yet </w:t>
      </w:r>
      <w:r w:rsidR="005720BF">
        <w:rPr>
          <w:rFonts w:eastAsiaTheme="minorHAnsi"/>
        </w:rPr>
        <w:t xml:space="preserve">implemented, </w:t>
      </w:r>
      <w:r>
        <w:rPr>
          <w:rFonts w:eastAsiaTheme="minorHAnsi"/>
        </w:rPr>
        <w:t xml:space="preserve">is to track </w:t>
      </w:r>
      <w:r w:rsidR="006A3023">
        <w:rPr>
          <w:rFonts w:eastAsiaTheme="minorHAnsi"/>
        </w:rPr>
        <w:t xml:space="preserve">the RF activity in these adjacent bands. Some </w:t>
      </w:r>
      <w:r w:rsidR="005720BF">
        <w:rPr>
          <w:rFonts w:eastAsiaTheme="minorHAnsi"/>
        </w:rPr>
        <w:t>work is ne</w:t>
      </w:r>
      <w:r w:rsidR="006A3023">
        <w:rPr>
          <w:rFonts w:eastAsiaTheme="minorHAnsi"/>
        </w:rPr>
        <w:t>eded to modify existing MEOLUTs</w:t>
      </w:r>
      <w:r w:rsidR="005720BF" w:rsidRPr="00DD51ED">
        <w:rPr>
          <w:rFonts w:eastAsiaTheme="minorHAnsi"/>
        </w:rPr>
        <w:t xml:space="preserve"> to make spectral measurement in the adjacent 100 kHz bands abo</w:t>
      </w:r>
      <w:r w:rsidR="00862B90">
        <w:rPr>
          <w:rFonts w:eastAsiaTheme="minorHAnsi"/>
        </w:rPr>
        <w:t>ve and below the</w:t>
      </w:r>
      <w:r w:rsidR="005720BF">
        <w:rPr>
          <w:rFonts w:eastAsiaTheme="minorHAnsi"/>
        </w:rPr>
        <w:t xml:space="preserve"> 406.0-406.1 MHz frequency band. These MEOLUTs,</w:t>
      </w:r>
      <w:r w:rsidR="005720BF" w:rsidRPr="00DD51ED">
        <w:rPr>
          <w:rFonts w:eastAsiaTheme="minorHAnsi"/>
        </w:rPr>
        <w:t xml:space="preserve"> located in geographically diverse locations, </w:t>
      </w:r>
      <w:r w:rsidR="005720BF">
        <w:rPr>
          <w:rFonts w:eastAsiaTheme="minorHAnsi"/>
        </w:rPr>
        <w:t>will also need to commit in tracking</w:t>
      </w:r>
      <w:r w:rsidR="005720BF" w:rsidRPr="00DD51ED">
        <w:rPr>
          <w:rFonts w:eastAsiaTheme="minorHAnsi"/>
        </w:rPr>
        <w:t xml:space="preserve"> DASS payloads on a periodic basis with spectrum analysis to compile data over the coverage area</w:t>
      </w:r>
      <w:r w:rsidR="005720BF">
        <w:rPr>
          <w:rFonts w:eastAsiaTheme="minorHAnsi"/>
        </w:rPr>
        <w:t xml:space="preserve">. The </w:t>
      </w:r>
      <w:proofErr w:type="spellStart"/>
      <w:r w:rsidR="005720BF">
        <w:rPr>
          <w:rFonts w:eastAsiaTheme="minorHAnsi"/>
        </w:rPr>
        <w:t>Cospas-Sarsat</w:t>
      </w:r>
      <w:proofErr w:type="spellEnd"/>
      <w:r w:rsidR="005720BF">
        <w:rPr>
          <w:rFonts w:eastAsiaTheme="minorHAnsi"/>
        </w:rPr>
        <w:t xml:space="preserve"> participants have to agree</w:t>
      </w:r>
      <w:r w:rsidR="005720BF" w:rsidRPr="00DD51ED">
        <w:rPr>
          <w:rFonts w:eastAsiaTheme="minorHAnsi"/>
        </w:rPr>
        <w:t xml:space="preserve"> </w:t>
      </w:r>
      <w:r w:rsidR="005720BF">
        <w:rPr>
          <w:rFonts w:eastAsiaTheme="minorHAnsi"/>
        </w:rPr>
        <w:t>on the</w:t>
      </w:r>
      <w:r w:rsidR="005720BF" w:rsidRPr="00DD51ED">
        <w:rPr>
          <w:rFonts w:eastAsiaTheme="minorHAnsi"/>
        </w:rPr>
        <w:t xml:space="preserve"> methodology for the measurements to be made</w:t>
      </w:r>
      <w:r w:rsidR="005720BF">
        <w:rPr>
          <w:rFonts w:eastAsiaTheme="minorHAnsi"/>
        </w:rPr>
        <w:t>, as well as</w:t>
      </w:r>
      <w:r w:rsidR="005720BF" w:rsidRPr="00DD51ED">
        <w:rPr>
          <w:rFonts w:eastAsiaTheme="minorHAnsi"/>
        </w:rPr>
        <w:t xml:space="preserve"> the possible timeline for the deployment of a frequency monitoring program capable of monitoring signals within and in bands adjacent </w:t>
      </w:r>
      <w:r w:rsidR="005720BF">
        <w:rPr>
          <w:rFonts w:eastAsiaTheme="minorHAnsi"/>
        </w:rPr>
        <w:t xml:space="preserve">to the 406.0 to 406.1 MHz band. </w:t>
      </w:r>
      <w:r w:rsidR="005720BF">
        <w:t>B</w:t>
      </w:r>
      <w:r w:rsidR="005720BF" w:rsidRPr="00876B4E">
        <w:t xml:space="preserve">eginning the monitoring of emissions </w:t>
      </w:r>
      <w:r w:rsidR="005720BF">
        <w:t>is</w:t>
      </w:r>
      <w:r w:rsidR="005720BF" w:rsidRPr="00876B4E">
        <w:t xml:space="preserve"> a matter of some urgency as any new terrestrial systems deployed in the adjacent bands 405.9 to 406.0 MHz and 406.1 to 406.2 MHz would subsequently be regarded as part of the noise “baseline” until systematic monitoring would have commenced</w:t>
      </w:r>
      <w:r w:rsidR="005720BF">
        <w:t>.</w:t>
      </w:r>
    </w:p>
    <w:p w:rsidR="00464481" w:rsidRDefault="00464481" w:rsidP="00862B90">
      <w:pPr>
        <w:jc w:val="both"/>
        <w:rPr>
          <w:rFonts w:eastAsiaTheme="minorHAnsi"/>
        </w:rPr>
      </w:pPr>
    </w:p>
    <w:p w:rsidR="005720BF" w:rsidRPr="00862B90" w:rsidRDefault="005720BF" w:rsidP="00862B90">
      <w:pPr>
        <w:jc w:val="both"/>
      </w:pPr>
      <w:proofErr w:type="spellStart"/>
      <w:r>
        <w:rPr>
          <w:rFonts w:eastAsiaTheme="minorHAnsi"/>
        </w:rPr>
        <w:t>Cospas-Sarsat</w:t>
      </w:r>
      <w:proofErr w:type="spellEnd"/>
      <w:r>
        <w:rPr>
          <w:rFonts w:eastAsiaTheme="minorHAnsi"/>
        </w:rPr>
        <w:t xml:space="preserve"> participants as </w:t>
      </w:r>
      <w:r w:rsidRPr="00DD51ED">
        <w:rPr>
          <w:rFonts w:eastAsiaTheme="minorHAnsi"/>
        </w:rPr>
        <w:t xml:space="preserve">MEOSAR ground segment providers </w:t>
      </w:r>
      <w:r>
        <w:rPr>
          <w:rFonts w:eastAsiaTheme="minorHAnsi"/>
        </w:rPr>
        <w:t xml:space="preserve">are aware that </w:t>
      </w:r>
      <w:r w:rsidRPr="00DD51ED">
        <w:rPr>
          <w:rFonts w:eastAsiaTheme="minorHAnsi"/>
        </w:rPr>
        <w:t>acquiring the capability to monitor the spectral activity of the band i</w:t>
      </w:r>
      <w:r>
        <w:rPr>
          <w:rFonts w:eastAsiaTheme="minorHAnsi"/>
        </w:rPr>
        <w:t>s essential to be in</w:t>
      </w:r>
      <w:r w:rsidRPr="00DD51ED">
        <w:rPr>
          <w:rFonts w:eastAsiaTheme="minorHAnsi"/>
        </w:rPr>
        <w:t xml:space="preserve"> compliance to the new </w:t>
      </w:r>
      <w:r>
        <w:rPr>
          <w:rFonts w:eastAsiaTheme="minorHAnsi"/>
        </w:rPr>
        <w:t>WRC Resolution.</w:t>
      </w:r>
    </w:p>
    <w:p w:rsidR="005720BF" w:rsidRDefault="005720BF" w:rsidP="00862B90">
      <w:pPr>
        <w:jc w:val="both"/>
        <w:rPr>
          <w:rFonts w:eastAsiaTheme="minorHAnsi"/>
        </w:rPr>
      </w:pPr>
    </w:p>
    <w:p w:rsidR="009962C9" w:rsidRDefault="006670B4" w:rsidP="00BA138F">
      <w:pPr>
        <w:jc w:val="both"/>
        <w:rPr>
          <w:rFonts w:eastAsiaTheme="minorHAnsi"/>
        </w:rPr>
      </w:pPr>
      <w:proofErr w:type="spellStart"/>
      <w:r w:rsidRPr="00DD51ED">
        <w:rPr>
          <w:rFonts w:eastAsiaTheme="minorHAnsi"/>
        </w:rPr>
        <w:t>Cospa</w:t>
      </w:r>
      <w:r>
        <w:rPr>
          <w:rFonts w:eastAsiaTheme="minorHAnsi"/>
        </w:rPr>
        <w:t>s-Sarsat</w:t>
      </w:r>
      <w:proofErr w:type="spellEnd"/>
      <w:r>
        <w:rPr>
          <w:rFonts w:eastAsiaTheme="minorHAnsi"/>
        </w:rPr>
        <w:t xml:space="preserve"> Participants will intensively help </w:t>
      </w:r>
      <w:r w:rsidRPr="00DD51ED">
        <w:rPr>
          <w:rFonts w:eastAsiaTheme="minorHAnsi"/>
        </w:rPr>
        <w:t xml:space="preserve">develop, support and implement the new monitoring program proposed in </w:t>
      </w:r>
      <w:r>
        <w:rPr>
          <w:rFonts w:eastAsiaTheme="minorHAnsi"/>
        </w:rPr>
        <w:t xml:space="preserve">WRC </w:t>
      </w:r>
      <w:r w:rsidRPr="00DD51ED">
        <w:rPr>
          <w:rFonts w:eastAsiaTheme="minorHAnsi"/>
        </w:rPr>
        <w:t xml:space="preserve">Resolution </w:t>
      </w:r>
      <w:r w:rsidRPr="00196B1B">
        <w:rPr>
          <w:rFonts w:eastAsiaTheme="minorHAnsi"/>
          <w:b/>
          <w:bCs/>
        </w:rPr>
        <w:t>205 (rev WRC15)</w:t>
      </w:r>
      <w:r w:rsidRPr="00DD51ED">
        <w:rPr>
          <w:rFonts w:eastAsiaTheme="minorHAnsi"/>
        </w:rPr>
        <w:t xml:space="preserve"> to assess </w:t>
      </w:r>
      <w:r w:rsidRPr="00DD51ED">
        <w:rPr>
          <w:rFonts w:eastAsiaTheme="minorHAnsi"/>
        </w:rPr>
        <w:lastRenderedPageBreak/>
        <w:t xml:space="preserve">the effectiveness of the new regulations in protecting </w:t>
      </w:r>
      <w:proofErr w:type="spellStart"/>
      <w:r w:rsidRPr="00DD51ED">
        <w:rPr>
          <w:rFonts w:eastAsiaTheme="minorHAnsi"/>
        </w:rPr>
        <w:t>Cospas-Sarsat</w:t>
      </w:r>
      <w:proofErr w:type="spellEnd"/>
      <w:r w:rsidRPr="00DD51ED">
        <w:rPr>
          <w:rFonts w:eastAsiaTheme="minorHAnsi"/>
        </w:rPr>
        <w:t xml:space="preserve"> from emissions in the adjacent 405.9 to 406.0 MHz and 406.1 to 406.2 MHz adjacent </w:t>
      </w:r>
      <w:r w:rsidRPr="008F1899">
        <w:rPr>
          <w:rFonts w:eastAsiaTheme="minorHAnsi"/>
        </w:rPr>
        <w:t xml:space="preserve">bands. </w:t>
      </w:r>
    </w:p>
    <w:p w:rsidR="0002580B" w:rsidRDefault="0002580B" w:rsidP="00BA138F">
      <w:pPr>
        <w:jc w:val="both"/>
        <w:rPr>
          <w:rFonts w:eastAsiaTheme="minorHAnsi"/>
        </w:rPr>
      </w:pPr>
    </w:p>
    <w:p w:rsidR="0002580B" w:rsidRDefault="0002580B" w:rsidP="00BA138F">
      <w:pPr>
        <w:jc w:val="both"/>
        <w:rPr>
          <w:rFonts w:eastAsiaTheme="minorHAnsi"/>
          <w:lang w:val="en-US"/>
        </w:rPr>
      </w:pPr>
      <w:r>
        <w:rPr>
          <w:rFonts w:eastAsiaTheme="minorHAnsi"/>
        </w:rPr>
        <w:t xml:space="preserve">The </w:t>
      </w:r>
      <w:r w:rsidR="00684007">
        <w:rPr>
          <w:rFonts w:eastAsiaTheme="minorHAnsi"/>
        </w:rPr>
        <w:t xml:space="preserve">objective of the satellite monitoring is to create a data base and the </w:t>
      </w:r>
      <w:r>
        <w:rPr>
          <w:rFonts w:eastAsiaTheme="minorHAnsi"/>
        </w:rPr>
        <w:t>following parameters will need to</w:t>
      </w:r>
      <w:r w:rsidR="003711F8">
        <w:rPr>
          <w:rFonts w:eastAsiaTheme="minorHAnsi"/>
        </w:rPr>
        <w:t xml:space="preserve"> be mentio</w:t>
      </w:r>
      <w:r w:rsidR="00684007">
        <w:rPr>
          <w:rFonts w:eastAsiaTheme="minorHAnsi"/>
        </w:rPr>
        <w:t>ned</w:t>
      </w:r>
      <w:r>
        <w:rPr>
          <w:rFonts w:eastAsiaTheme="minorHAnsi"/>
        </w:rPr>
        <w:t>.</w:t>
      </w:r>
    </w:p>
    <w:p w:rsidR="0002580B" w:rsidRDefault="0002580B" w:rsidP="00BA138F">
      <w:pPr>
        <w:ind w:firstLine="720"/>
        <w:jc w:val="both"/>
        <w:rPr>
          <w:lang w:val="en-US"/>
        </w:rPr>
      </w:pPr>
      <w:r w:rsidRPr="0002580B">
        <w:rPr>
          <w:lang w:val="en-US"/>
        </w:rPr>
        <w:t>The result</w:t>
      </w:r>
      <w:r>
        <w:rPr>
          <w:lang w:val="en-US"/>
        </w:rPr>
        <w:t>s should be provided for t</w:t>
      </w:r>
      <w:r w:rsidR="00BA138F">
        <w:rPr>
          <w:lang w:val="en-US"/>
        </w:rPr>
        <w:t>he following frequency bandwidths in kHz: 11, 12.5, 16 and 25.</w:t>
      </w:r>
      <w:r w:rsidR="00147011">
        <w:rPr>
          <w:lang w:val="en-US"/>
        </w:rPr>
        <w:t xml:space="preserve"> </w:t>
      </w:r>
      <w:r w:rsidR="008321D7">
        <w:rPr>
          <w:lang w:val="en-US"/>
        </w:rPr>
        <w:t>For each observed channel, a center frequency should be provided</w:t>
      </w:r>
      <w:r w:rsidR="002045A8">
        <w:rPr>
          <w:lang w:val="en-US"/>
        </w:rPr>
        <w:t xml:space="preserve"> (if the center frequency can be known)</w:t>
      </w:r>
      <w:r w:rsidR="008321D7">
        <w:rPr>
          <w:lang w:val="en-US"/>
        </w:rPr>
        <w:t>.</w:t>
      </w:r>
    </w:p>
    <w:p w:rsidR="0002580B" w:rsidRPr="0002580B" w:rsidRDefault="00BA138F" w:rsidP="00BA138F">
      <w:pPr>
        <w:ind w:firstLine="720"/>
        <w:jc w:val="both"/>
        <w:rPr>
          <w:lang w:val="en-US"/>
        </w:rPr>
      </w:pPr>
      <w:r>
        <w:rPr>
          <w:lang w:val="en-US"/>
        </w:rPr>
        <w:t>A specific algorithm should be optimized to track these signals and the d</w:t>
      </w:r>
      <w:r w:rsidR="0002580B" w:rsidRPr="0002580B">
        <w:rPr>
          <w:lang w:val="en-US"/>
        </w:rPr>
        <w:t>uration of the integration of the signals</w:t>
      </w:r>
      <w:r>
        <w:rPr>
          <w:lang w:val="en-US"/>
        </w:rPr>
        <w:t xml:space="preserve"> will be probably one of the key parameters. The advantage of using MEO satellites is that their relative speed is moderate compared to the LEO satellites</w:t>
      </w:r>
      <w:r w:rsidR="00684007">
        <w:rPr>
          <w:lang w:val="en-US"/>
        </w:rPr>
        <w:t>, and therefore the time spent over a specific area is long enough to get a good knowledge of the RF activity</w:t>
      </w:r>
      <w:r>
        <w:rPr>
          <w:lang w:val="en-US"/>
        </w:rPr>
        <w:t xml:space="preserve">. Once the monitoring program is installed, one of the first </w:t>
      </w:r>
      <w:proofErr w:type="gramStart"/>
      <w:r>
        <w:rPr>
          <w:lang w:val="en-US"/>
        </w:rPr>
        <w:t>task</w:t>
      </w:r>
      <w:proofErr w:type="gramEnd"/>
      <w:r>
        <w:rPr>
          <w:lang w:val="en-US"/>
        </w:rPr>
        <w:t xml:space="preserve"> </w:t>
      </w:r>
      <w:r w:rsidR="00684007">
        <w:rPr>
          <w:lang w:val="en-US"/>
        </w:rPr>
        <w:t xml:space="preserve">that </w:t>
      </w:r>
      <w:r>
        <w:rPr>
          <w:lang w:val="en-US"/>
        </w:rPr>
        <w:t xml:space="preserve">will </w:t>
      </w:r>
      <w:r w:rsidR="00684007">
        <w:rPr>
          <w:lang w:val="en-US"/>
        </w:rPr>
        <w:t xml:space="preserve">need </w:t>
      </w:r>
      <w:r>
        <w:rPr>
          <w:lang w:val="en-US"/>
        </w:rPr>
        <w:t>to</w:t>
      </w:r>
      <w:r w:rsidR="00684007">
        <w:rPr>
          <w:lang w:val="en-US"/>
        </w:rPr>
        <w:t xml:space="preserve"> be performed</w:t>
      </w:r>
      <w:r>
        <w:rPr>
          <w:lang w:val="en-US"/>
        </w:rPr>
        <w:t xml:space="preserve"> </w:t>
      </w:r>
      <w:r w:rsidR="00684007">
        <w:rPr>
          <w:lang w:val="en-US"/>
        </w:rPr>
        <w:t xml:space="preserve">is to carefully tune this integration time and answer the basic question: when is it possible to declare that a </w:t>
      </w:r>
      <w:r w:rsidR="008321D7">
        <w:rPr>
          <w:lang w:val="en-US"/>
        </w:rPr>
        <w:t>given observation can be</w:t>
      </w:r>
      <w:r w:rsidR="00684007">
        <w:rPr>
          <w:lang w:val="en-US"/>
        </w:rPr>
        <w:t xml:space="preserve"> put within the database </w:t>
      </w:r>
      <w:r w:rsidR="003711F8">
        <w:rPr>
          <w:lang w:val="en-US"/>
        </w:rPr>
        <w:t>of the RF activity?</w:t>
      </w:r>
    </w:p>
    <w:p w:rsidR="0002580B" w:rsidRDefault="003711F8" w:rsidP="00BA138F">
      <w:pPr>
        <w:jc w:val="both"/>
        <w:rPr>
          <w:lang w:val="en-US"/>
        </w:rPr>
      </w:pPr>
      <w:r>
        <w:rPr>
          <w:lang w:val="en-US"/>
        </w:rPr>
        <w:tab/>
        <w:t>At a certain stage, due to the relative movement of the satellite and taking advantage of the multiplicity of the MEO satellites looking at a given area in different orbits, the task of locating these sources should be initiated.</w:t>
      </w:r>
    </w:p>
    <w:p w:rsidR="00596336" w:rsidRDefault="00596336" w:rsidP="00BA138F">
      <w:pPr>
        <w:jc w:val="both"/>
        <w:rPr>
          <w:lang w:val="en-US"/>
        </w:rPr>
      </w:pPr>
      <w:r>
        <w:rPr>
          <w:lang w:val="en-US"/>
        </w:rPr>
        <w:tab/>
        <w:t>The level of each observed</w:t>
      </w:r>
      <w:r w:rsidR="008D3D3A">
        <w:rPr>
          <w:lang w:val="en-US"/>
        </w:rPr>
        <w:t xml:space="preserve"> emission</w:t>
      </w:r>
      <w:r>
        <w:rPr>
          <w:lang w:val="en-US"/>
        </w:rPr>
        <w:t xml:space="preserve"> in </w:t>
      </w:r>
      <w:proofErr w:type="spellStart"/>
      <w:r>
        <w:rPr>
          <w:lang w:val="en-US"/>
        </w:rPr>
        <w:t>dBW</w:t>
      </w:r>
      <w:proofErr w:type="spellEnd"/>
      <w:r>
        <w:rPr>
          <w:lang w:val="en-US"/>
        </w:rPr>
        <w:t>/Hz or any other adequate unit should be provided.</w:t>
      </w:r>
    </w:p>
    <w:p w:rsidR="00AA6D99" w:rsidRDefault="00AA6D99" w:rsidP="00BA138F">
      <w:pPr>
        <w:jc w:val="both"/>
        <w:rPr>
          <w:lang w:val="en-US"/>
        </w:rPr>
      </w:pPr>
    </w:p>
    <w:p w:rsidR="00AA6D99" w:rsidRPr="0002580B" w:rsidRDefault="00AA6D99" w:rsidP="00BA138F">
      <w:pPr>
        <w:jc w:val="both"/>
        <w:rPr>
          <w:lang w:val="en-US"/>
        </w:rPr>
      </w:pPr>
      <w:r>
        <w:rPr>
          <w:lang w:val="en-US"/>
        </w:rPr>
        <w:t xml:space="preserve">In order to have a good picture of the evolution of the situation, once the monitoring is in place, </w:t>
      </w:r>
      <w:proofErr w:type="spellStart"/>
      <w:r>
        <w:rPr>
          <w:lang w:val="en-US"/>
        </w:rPr>
        <w:t>Cospas-Sarsat</w:t>
      </w:r>
      <w:proofErr w:type="spellEnd"/>
      <w:r>
        <w:rPr>
          <w:lang w:val="en-US"/>
        </w:rPr>
        <w:t xml:space="preserve"> participants will be invited to reiterate this process several times a year</w:t>
      </w:r>
      <w:r w:rsidR="00596336">
        <w:rPr>
          <w:lang w:val="en-US"/>
        </w:rPr>
        <w:t>.</w:t>
      </w:r>
    </w:p>
    <w:p w:rsidR="00553DF2" w:rsidRDefault="00553DF2" w:rsidP="00862B90">
      <w:pPr>
        <w:jc w:val="both"/>
        <w:rPr>
          <w:rFonts w:eastAsiaTheme="minorHAnsi"/>
          <w:lang w:val="en-US"/>
        </w:rPr>
      </w:pPr>
    </w:p>
    <w:p w:rsidR="0021005B" w:rsidRPr="00B72183" w:rsidRDefault="0021005B" w:rsidP="0021005B">
      <w:pPr>
        <w:pStyle w:val="berschrift2"/>
      </w:pPr>
      <w:r w:rsidRPr="00B72183">
        <w:t>Work to be conducte</w:t>
      </w:r>
      <w:r w:rsidR="009962C9">
        <w:t>d by administrations</w:t>
      </w:r>
    </w:p>
    <w:p w:rsidR="009962C9" w:rsidRDefault="00DA6D0D" w:rsidP="00ED0D34">
      <w:pPr>
        <w:jc w:val="both"/>
        <w:rPr>
          <w:rFonts w:eastAsiaTheme="minorHAnsi"/>
          <w:lang w:val="en-US"/>
        </w:rPr>
      </w:pPr>
      <w:r w:rsidRPr="00AA2DAE">
        <w:rPr>
          <w:rFonts w:eastAsiaTheme="minorHAnsi"/>
        </w:rPr>
        <w:t xml:space="preserve">It is probably expected that the usage of MEO satellites such as DASS will provide more or less detailed pictures of the situation, but probably not exact locations of transmitters. This is the reason why it would be useful for administrations to actively </w:t>
      </w:r>
      <w:r w:rsidRPr="00AA2DAE">
        <w:rPr>
          <w:rFonts w:eastAsiaTheme="minorHAnsi"/>
          <w:iCs/>
        </w:rPr>
        <w:t xml:space="preserve">participate in the </w:t>
      </w:r>
      <w:r w:rsidRPr="00AA2DAE">
        <w:rPr>
          <w:rFonts w:eastAsiaTheme="minorHAnsi"/>
          <w:lang w:val="en-US"/>
        </w:rPr>
        <w:t xml:space="preserve">monitoring program capable of </w:t>
      </w:r>
      <w:r w:rsidRPr="00AA2DAE">
        <w:t>observing the use of the spectrum, identifying the emissions and location of interference sources,</w:t>
      </w:r>
      <w:r w:rsidR="008D3D3A">
        <w:rPr>
          <w:rFonts w:eastAsiaTheme="minorHAnsi"/>
          <w:lang w:val="en-US"/>
        </w:rPr>
        <w:t xml:space="preserve"> within the </w:t>
      </w:r>
      <w:r w:rsidRPr="00AA2DAE">
        <w:rPr>
          <w:rFonts w:eastAsiaTheme="minorHAnsi"/>
          <w:lang w:val="en-US"/>
        </w:rPr>
        <w:t>bands adjacent to the 406.0 to 406.1 MHz frequency band.</w:t>
      </w:r>
      <w:r w:rsidR="00AA6D99">
        <w:rPr>
          <w:rFonts w:eastAsiaTheme="minorHAnsi"/>
          <w:lang w:val="en-US"/>
        </w:rPr>
        <w:t xml:space="preserve"> </w:t>
      </w:r>
    </w:p>
    <w:p w:rsidR="00596336" w:rsidRDefault="00596336" w:rsidP="00ED0D34">
      <w:pPr>
        <w:jc w:val="both"/>
        <w:rPr>
          <w:rFonts w:eastAsiaTheme="minorHAnsi"/>
          <w:lang w:val="en-US"/>
        </w:rPr>
      </w:pPr>
    </w:p>
    <w:p w:rsidR="00596336" w:rsidRPr="00553DF2" w:rsidRDefault="00596336" w:rsidP="00ED0D34">
      <w:pPr>
        <w:jc w:val="both"/>
        <w:rPr>
          <w:rFonts w:eastAsiaTheme="minorHAnsi"/>
          <w:lang w:val="en-US"/>
        </w:rPr>
      </w:pPr>
      <w:r>
        <w:rPr>
          <w:rFonts w:eastAsiaTheme="minorHAnsi"/>
          <w:lang w:val="en-US"/>
        </w:rPr>
        <w:t>The characteristics ar</w:t>
      </w:r>
      <w:r w:rsidR="008D3D3A">
        <w:rPr>
          <w:rFonts w:eastAsiaTheme="minorHAnsi"/>
          <w:lang w:val="en-US"/>
        </w:rPr>
        <w:t>e the same as described before, and it is expected that the administrations provide the same kinds of results as explained above.</w:t>
      </w:r>
    </w:p>
    <w:p w:rsidR="0002580B" w:rsidRDefault="0002580B" w:rsidP="00ED0D34">
      <w:pPr>
        <w:jc w:val="both"/>
        <w:rPr>
          <w:lang w:val="en-US"/>
        </w:rPr>
      </w:pPr>
    </w:p>
    <w:p w:rsidR="008D3D3A" w:rsidRPr="00553DF2" w:rsidRDefault="008D3D3A" w:rsidP="00ED0D34">
      <w:pPr>
        <w:jc w:val="both"/>
        <w:rPr>
          <w:lang w:val="en-US"/>
        </w:rPr>
      </w:pPr>
      <w:r>
        <w:rPr>
          <w:lang w:val="en-US"/>
        </w:rPr>
        <w:t>It is also expected to maintain a certain periodicity of the observations, once the process has been agreed.</w:t>
      </w:r>
    </w:p>
    <w:p w:rsidR="009962C9" w:rsidRPr="0002580B" w:rsidRDefault="009962C9" w:rsidP="0021005B">
      <w:pPr>
        <w:jc w:val="both"/>
        <w:rPr>
          <w:rFonts w:eastAsiaTheme="minorHAnsi"/>
          <w:lang w:val="en-US"/>
        </w:rPr>
      </w:pPr>
    </w:p>
    <w:p w:rsidR="006670B4" w:rsidRPr="00876B4E" w:rsidRDefault="006670B4" w:rsidP="006670B4">
      <w:pPr>
        <w:pStyle w:val="berschrift1"/>
      </w:pPr>
      <w:r>
        <w:t>Conclusion</w:t>
      </w:r>
    </w:p>
    <w:p w:rsidR="006670B4" w:rsidRPr="00AA2DAE" w:rsidRDefault="006670B4" w:rsidP="007C3E69">
      <w:pPr>
        <w:jc w:val="both"/>
        <w:rPr>
          <w:lang w:val="en-US"/>
        </w:rPr>
      </w:pPr>
      <w:r w:rsidRPr="00AA2DAE">
        <w:rPr>
          <w:lang w:val="en-US"/>
        </w:rPr>
        <w:t xml:space="preserve">According to the terms of WRC Resolution </w:t>
      </w:r>
      <w:r w:rsidRPr="00196B1B">
        <w:rPr>
          <w:b/>
          <w:bCs/>
          <w:lang w:val="en-US"/>
        </w:rPr>
        <w:t>205</w:t>
      </w:r>
      <w:r w:rsidRPr="00AA2DAE">
        <w:rPr>
          <w:lang w:val="en-US"/>
        </w:rPr>
        <w:t xml:space="preserve">, the BR is entitled to provide results as parts of the monitoring program within the 405.9 to 406.2 MHz frequency bands. It is expected that these results be contained in the Director’s Report for the next WRC19. Therefore, in addition to the </w:t>
      </w:r>
      <w:proofErr w:type="spellStart"/>
      <w:r w:rsidRPr="00AA2DAE">
        <w:rPr>
          <w:lang w:val="en-US"/>
        </w:rPr>
        <w:t>Cospas-Sarsat</w:t>
      </w:r>
      <w:proofErr w:type="spellEnd"/>
      <w:r w:rsidRPr="00AA2DAE">
        <w:rPr>
          <w:lang w:val="en-US"/>
        </w:rPr>
        <w:t xml:space="preserve"> participants who are involved in this frequency monitoring, administrations are kindly asked to provide support within their own country to exchange and compare results for the benefit of completing the tasks attributed to the BR. A</w:t>
      </w:r>
      <w:r>
        <w:rPr>
          <w:lang w:val="en-US"/>
        </w:rPr>
        <w:t>t the end, a</w:t>
      </w:r>
      <w:r w:rsidRPr="00AA2DAE">
        <w:rPr>
          <w:lang w:val="en-US"/>
        </w:rPr>
        <w:t xml:space="preserve"> detailed methodology should be drafted and adopted by </w:t>
      </w:r>
      <w:r w:rsidR="00553DF2">
        <w:rPr>
          <w:lang w:val="en-US"/>
        </w:rPr>
        <w:t xml:space="preserve">CEPT and </w:t>
      </w:r>
      <w:r w:rsidRPr="00AA2DAE">
        <w:rPr>
          <w:lang w:val="en-US"/>
        </w:rPr>
        <w:t>ITU-R.</w:t>
      </w:r>
    </w:p>
    <w:p w:rsidR="006670B4" w:rsidRDefault="006670B4" w:rsidP="006670B4">
      <w:pPr>
        <w:pStyle w:val="Reasons"/>
      </w:pPr>
      <w:bookmarkStart w:id="3" w:name="8"/>
      <w:bookmarkEnd w:id="3"/>
    </w:p>
    <w:p w:rsidR="006670B4" w:rsidRDefault="006670B4" w:rsidP="006670B4">
      <w:pPr>
        <w:jc w:val="center"/>
      </w:pPr>
      <w:r>
        <w:t>______________</w:t>
      </w:r>
    </w:p>
    <w:p w:rsidR="006670B4" w:rsidRPr="00B72183" w:rsidRDefault="006670B4" w:rsidP="006670B4">
      <w:pPr>
        <w:jc w:val="center"/>
        <w:rPr>
          <w:szCs w:val="24"/>
        </w:rPr>
      </w:pPr>
    </w:p>
    <w:p w:rsidR="000A0D91" w:rsidRDefault="000A0D91" w:rsidP="006670B4">
      <w:pPr>
        <w:pStyle w:val="StandardSpaced"/>
      </w:pPr>
    </w:p>
    <w:sectPr w:rsidR="000A0D91" w:rsidSect="00665B12">
      <w:footerReference w:type="default" r:id="rId20"/>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5EF" w:rsidRDefault="00BE15EF">
      <w:r>
        <w:separator/>
      </w:r>
    </w:p>
  </w:endnote>
  <w:endnote w:type="continuationSeparator" w:id="0">
    <w:p w:rsidR="00BE15EF" w:rsidRDefault="00B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3AD" w:rsidRDefault="007A33AD">
    <w:pPr>
      <w:ind w:left="-540" w:right="-852"/>
    </w:pPr>
    <w:r>
      <w:t xml:space="preserve">* ECC policy is that in general all documents should be publicly available unless the author of the document requires that it be restricted to ECC family participants only. </w:t>
    </w:r>
  </w:p>
  <w:p w:rsidR="007A33AD" w:rsidRDefault="007A33A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5EF" w:rsidRDefault="00BE15EF">
      <w:r>
        <w:separator/>
      </w:r>
    </w:p>
  </w:footnote>
  <w:footnote w:type="continuationSeparator" w:id="0">
    <w:p w:rsidR="00BE15EF" w:rsidRDefault="00BE15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90B50"/>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CF15B23"/>
    <w:multiLevelType w:val="multilevel"/>
    <w:tmpl w:val="7B168E66"/>
    <w:lvl w:ilvl="0">
      <w:start w:val="1"/>
      <w:numFmt w:val="decimal"/>
      <w:pStyle w:val="berschrift1"/>
      <w:lvlText w:val="%1."/>
      <w:lvlJc w:val="left"/>
      <w:pPr>
        <w:tabs>
          <w:tab w:val="num" w:pos="0"/>
        </w:tabs>
        <w:ind w:left="-720" w:hanging="360"/>
      </w:pPr>
      <w:rPr>
        <w:rFonts w:hint="default"/>
      </w:rPr>
    </w:lvl>
    <w:lvl w:ilvl="1">
      <w:start w:val="1"/>
      <w:numFmt w:val="decimal"/>
      <w:pStyle w:val="berschrift2"/>
      <w:lvlText w:val="%1.%2."/>
      <w:lvlJc w:val="left"/>
      <w:pPr>
        <w:tabs>
          <w:tab w:val="num" w:pos="1080"/>
        </w:tabs>
        <w:ind w:left="-288" w:hanging="432"/>
      </w:pPr>
      <w:rPr>
        <w:rFonts w:hint="default"/>
      </w:rPr>
    </w:lvl>
    <w:lvl w:ilvl="2">
      <w:start w:val="1"/>
      <w:numFmt w:val="decimal"/>
      <w:pStyle w:val="berschrift3"/>
      <w:lvlText w:val="%1.%2.%3."/>
      <w:lvlJc w:val="left"/>
      <w:pPr>
        <w:tabs>
          <w:tab w:val="num" w:pos="2160"/>
        </w:tabs>
        <w:ind w:left="144" w:hanging="504"/>
      </w:pPr>
      <w:rPr>
        <w:rFonts w:hint="default"/>
      </w:rPr>
    </w:lvl>
    <w:lvl w:ilvl="3">
      <w:start w:val="1"/>
      <w:numFmt w:val="decimal"/>
      <w:pStyle w:val="berschrift4"/>
      <w:lvlText w:val="%1.%2.%3.%4."/>
      <w:lvlJc w:val="left"/>
      <w:pPr>
        <w:tabs>
          <w:tab w:val="num" w:pos="3240"/>
        </w:tabs>
        <w:ind w:left="648" w:hanging="648"/>
      </w:pPr>
      <w:rPr>
        <w:rFonts w:hint="default"/>
      </w:rPr>
    </w:lvl>
    <w:lvl w:ilvl="4">
      <w:start w:val="1"/>
      <w:numFmt w:val="decimal"/>
      <w:pStyle w:val="berschrift5"/>
      <w:lvlText w:val="%1.%2.%3.%4.%5."/>
      <w:lvlJc w:val="left"/>
      <w:pPr>
        <w:tabs>
          <w:tab w:val="num" w:pos="4320"/>
        </w:tabs>
        <w:ind w:left="1152" w:hanging="792"/>
      </w:pPr>
      <w:rPr>
        <w:rFonts w:hint="default"/>
      </w:rPr>
    </w:lvl>
    <w:lvl w:ilvl="5">
      <w:start w:val="1"/>
      <w:numFmt w:val="decimal"/>
      <w:pStyle w:val="berschrift6"/>
      <w:lvlText w:val="%1.%2.%3.%4.%5.%6."/>
      <w:lvlJc w:val="left"/>
      <w:pPr>
        <w:tabs>
          <w:tab w:val="num" w:pos="5400"/>
        </w:tabs>
        <w:ind w:left="1656" w:hanging="936"/>
      </w:pPr>
      <w:rPr>
        <w:rFonts w:hint="default"/>
      </w:rPr>
    </w:lvl>
    <w:lvl w:ilvl="6">
      <w:start w:val="1"/>
      <w:numFmt w:val="decimal"/>
      <w:pStyle w:val="berschrift7"/>
      <w:lvlText w:val="%1.%2.%3.%4.%5.%6.%7."/>
      <w:lvlJc w:val="left"/>
      <w:pPr>
        <w:tabs>
          <w:tab w:val="num" w:pos="6480"/>
        </w:tabs>
        <w:ind w:left="2160" w:hanging="1080"/>
      </w:pPr>
      <w:rPr>
        <w:rFonts w:hint="default"/>
      </w:rPr>
    </w:lvl>
    <w:lvl w:ilvl="7">
      <w:start w:val="1"/>
      <w:numFmt w:val="decimal"/>
      <w:pStyle w:val="berschrift8"/>
      <w:lvlText w:val="%1.%2.%3.%4.%5.%6.%7.%8."/>
      <w:lvlJc w:val="left"/>
      <w:pPr>
        <w:tabs>
          <w:tab w:val="num" w:pos="7560"/>
        </w:tabs>
        <w:ind w:left="2664" w:hanging="1224"/>
      </w:pPr>
      <w:rPr>
        <w:rFonts w:hint="default"/>
      </w:rPr>
    </w:lvl>
    <w:lvl w:ilvl="8">
      <w:start w:val="1"/>
      <w:numFmt w:val="decimal"/>
      <w:pStyle w:val="berschrift9"/>
      <w:lvlText w:val="%1.%2.%3.%4.%5.%6.%7.%8.%9."/>
      <w:lvlJc w:val="left"/>
      <w:pPr>
        <w:tabs>
          <w:tab w:val="num" w:pos="8640"/>
        </w:tabs>
        <w:ind w:left="32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B12"/>
    <w:rsid w:val="00001253"/>
    <w:rsid w:val="000031D7"/>
    <w:rsid w:val="00011263"/>
    <w:rsid w:val="0002580B"/>
    <w:rsid w:val="00027108"/>
    <w:rsid w:val="00036CCE"/>
    <w:rsid w:val="00043FD8"/>
    <w:rsid w:val="00045B9C"/>
    <w:rsid w:val="00047313"/>
    <w:rsid w:val="0004757A"/>
    <w:rsid w:val="0006257B"/>
    <w:rsid w:val="00063BCC"/>
    <w:rsid w:val="00064ACB"/>
    <w:rsid w:val="00073336"/>
    <w:rsid w:val="00073D2F"/>
    <w:rsid w:val="00074623"/>
    <w:rsid w:val="00087C75"/>
    <w:rsid w:val="00094BE0"/>
    <w:rsid w:val="000A0D91"/>
    <w:rsid w:val="000B39AD"/>
    <w:rsid w:val="000B71A7"/>
    <w:rsid w:val="000B78A4"/>
    <w:rsid w:val="000C7AB3"/>
    <w:rsid w:val="000D0731"/>
    <w:rsid w:val="000E0508"/>
    <w:rsid w:val="00106202"/>
    <w:rsid w:val="00107E6A"/>
    <w:rsid w:val="001210C1"/>
    <w:rsid w:val="001212CB"/>
    <w:rsid w:val="00122274"/>
    <w:rsid w:val="0013306D"/>
    <w:rsid w:val="00147011"/>
    <w:rsid w:val="001500FC"/>
    <w:rsid w:val="001508D1"/>
    <w:rsid w:val="00156819"/>
    <w:rsid w:val="001720BF"/>
    <w:rsid w:val="00174C65"/>
    <w:rsid w:val="0018706A"/>
    <w:rsid w:val="00192DFE"/>
    <w:rsid w:val="001B3535"/>
    <w:rsid w:val="001F0550"/>
    <w:rsid w:val="001F660D"/>
    <w:rsid w:val="002045A8"/>
    <w:rsid w:val="0021005B"/>
    <w:rsid w:val="00212CE6"/>
    <w:rsid w:val="00223B18"/>
    <w:rsid w:val="00230D67"/>
    <w:rsid w:val="00230F7E"/>
    <w:rsid w:val="00232693"/>
    <w:rsid w:val="0023494B"/>
    <w:rsid w:val="0024255A"/>
    <w:rsid w:val="00243CE0"/>
    <w:rsid w:val="002542C0"/>
    <w:rsid w:val="00265F37"/>
    <w:rsid w:val="00272C03"/>
    <w:rsid w:val="002764A7"/>
    <w:rsid w:val="002764FE"/>
    <w:rsid w:val="00280B79"/>
    <w:rsid w:val="002A38EA"/>
    <w:rsid w:val="002A7148"/>
    <w:rsid w:val="002B5905"/>
    <w:rsid w:val="002C0446"/>
    <w:rsid w:val="002C4809"/>
    <w:rsid w:val="002E0153"/>
    <w:rsid w:val="002F79EA"/>
    <w:rsid w:val="00310340"/>
    <w:rsid w:val="00317289"/>
    <w:rsid w:val="00320D2D"/>
    <w:rsid w:val="00344B8C"/>
    <w:rsid w:val="00356E38"/>
    <w:rsid w:val="003622CA"/>
    <w:rsid w:val="003669FC"/>
    <w:rsid w:val="003711F8"/>
    <w:rsid w:val="00373F79"/>
    <w:rsid w:val="003857D0"/>
    <w:rsid w:val="00395D42"/>
    <w:rsid w:val="003A679E"/>
    <w:rsid w:val="003C2333"/>
    <w:rsid w:val="003D5E1C"/>
    <w:rsid w:val="003E74D1"/>
    <w:rsid w:val="003F752A"/>
    <w:rsid w:val="00423A84"/>
    <w:rsid w:val="00435227"/>
    <w:rsid w:val="00440B7A"/>
    <w:rsid w:val="004416CF"/>
    <w:rsid w:val="00445813"/>
    <w:rsid w:val="0046007C"/>
    <w:rsid w:val="00463F48"/>
    <w:rsid w:val="00464481"/>
    <w:rsid w:val="0046709B"/>
    <w:rsid w:val="00470F28"/>
    <w:rsid w:val="00484311"/>
    <w:rsid w:val="004A000B"/>
    <w:rsid w:val="004A4121"/>
    <w:rsid w:val="004B4C82"/>
    <w:rsid w:val="004B7275"/>
    <w:rsid w:val="004C1938"/>
    <w:rsid w:val="004F3750"/>
    <w:rsid w:val="005004FD"/>
    <w:rsid w:val="00507577"/>
    <w:rsid w:val="0052363C"/>
    <w:rsid w:val="00524C58"/>
    <w:rsid w:val="00532EFC"/>
    <w:rsid w:val="005371FD"/>
    <w:rsid w:val="00537C6E"/>
    <w:rsid w:val="00553DF2"/>
    <w:rsid w:val="0055719F"/>
    <w:rsid w:val="005720BF"/>
    <w:rsid w:val="00575EB1"/>
    <w:rsid w:val="00594D52"/>
    <w:rsid w:val="00596336"/>
    <w:rsid w:val="00597370"/>
    <w:rsid w:val="005B0207"/>
    <w:rsid w:val="005C7342"/>
    <w:rsid w:val="005D1B4A"/>
    <w:rsid w:val="005D745B"/>
    <w:rsid w:val="005F438B"/>
    <w:rsid w:val="005F5851"/>
    <w:rsid w:val="00601E02"/>
    <w:rsid w:val="006278F0"/>
    <w:rsid w:val="00634C42"/>
    <w:rsid w:val="0063607B"/>
    <w:rsid w:val="006400E4"/>
    <w:rsid w:val="006456C2"/>
    <w:rsid w:val="00647A92"/>
    <w:rsid w:val="00653A7D"/>
    <w:rsid w:val="0066072A"/>
    <w:rsid w:val="00665B12"/>
    <w:rsid w:val="006670B4"/>
    <w:rsid w:val="006752B1"/>
    <w:rsid w:val="0067697F"/>
    <w:rsid w:val="00681D90"/>
    <w:rsid w:val="00684007"/>
    <w:rsid w:val="006A3023"/>
    <w:rsid w:val="006A4960"/>
    <w:rsid w:val="006C106C"/>
    <w:rsid w:val="006C1BD9"/>
    <w:rsid w:val="006D11C2"/>
    <w:rsid w:val="006E57A7"/>
    <w:rsid w:val="006E6F70"/>
    <w:rsid w:val="006E7944"/>
    <w:rsid w:val="006F0539"/>
    <w:rsid w:val="006F1F16"/>
    <w:rsid w:val="00701B49"/>
    <w:rsid w:val="00706C9A"/>
    <w:rsid w:val="0071140E"/>
    <w:rsid w:val="00723D4C"/>
    <w:rsid w:val="0072608F"/>
    <w:rsid w:val="007269CB"/>
    <w:rsid w:val="00726DF8"/>
    <w:rsid w:val="00742A02"/>
    <w:rsid w:val="00746E8B"/>
    <w:rsid w:val="0076345D"/>
    <w:rsid w:val="007661F9"/>
    <w:rsid w:val="0076660A"/>
    <w:rsid w:val="0076693A"/>
    <w:rsid w:val="00780E72"/>
    <w:rsid w:val="007858B3"/>
    <w:rsid w:val="00790FCD"/>
    <w:rsid w:val="007A04F0"/>
    <w:rsid w:val="007A33AD"/>
    <w:rsid w:val="007A4FE5"/>
    <w:rsid w:val="007B5317"/>
    <w:rsid w:val="007C3E69"/>
    <w:rsid w:val="007D08F3"/>
    <w:rsid w:val="007D1E31"/>
    <w:rsid w:val="007E1064"/>
    <w:rsid w:val="007E6A4D"/>
    <w:rsid w:val="007E6E07"/>
    <w:rsid w:val="007F0959"/>
    <w:rsid w:val="007F26C2"/>
    <w:rsid w:val="0080592E"/>
    <w:rsid w:val="008115F1"/>
    <w:rsid w:val="0081290F"/>
    <w:rsid w:val="008216F6"/>
    <w:rsid w:val="008321D7"/>
    <w:rsid w:val="00835DBC"/>
    <w:rsid w:val="00842863"/>
    <w:rsid w:val="00842D18"/>
    <w:rsid w:val="00843664"/>
    <w:rsid w:val="008457B6"/>
    <w:rsid w:val="00846746"/>
    <w:rsid w:val="0085647C"/>
    <w:rsid w:val="008576B9"/>
    <w:rsid w:val="00862B90"/>
    <w:rsid w:val="00864EB9"/>
    <w:rsid w:val="008766AC"/>
    <w:rsid w:val="00884A67"/>
    <w:rsid w:val="00887A52"/>
    <w:rsid w:val="00887B16"/>
    <w:rsid w:val="008D3BA2"/>
    <w:rsid w:val="008D3D3A"/>
    <w:rsid w:val="008E140A"/>
    <w:rsid w:val="009058D4"/>
    <w:rsid w:val="00912071"/>
    <w:rsid w:val="00921AAF"/>
    <w:rsid w:val="009249DF"/>
    <w:rsid w:val="00947414"/>
    <w:rsid w:val="00955859"/>
    <w:rsid w:val="00960232"/>
    <w:rsid w:val="00963087"/>
    <w:rsid w:val="00982C9A"/>
    <w:rsid w:val="009962C9"/>
    <w:rsid w:val="009A16B9"/>
    <w:rsid w:val="009B3327"/>
    <w:rsid w:val="009B6182"/>
    <w:rsid w:val="009C178E"/>
    <w:rsid w:val="009D3BBB"/>
    <w:rsid w:val="009E27D7"/>
    <w:rsid w:val="009E59D6"/>
    <w:rsid w:val="009F1FF1"/>
    <w:rsid w:val="009F6516"/>
    <w:rsid w:val="00A124B1"/>
    <w:rsid w:val="00A169CA"/>
    <w:rsid w:val="00A17B36"/>
    <w:rsid w:val="00A22A17"/>
    <w:rsid w:val="00A42553"/>
    <w:rsid w:val="00A44806"/>
    <w:rsid w:val="00A61E73"/>
    <w:rsid w:val="00A66499"/>
    <w:rsid w:val="00A8183E"/>
    <w:rsid w:val="00AA6D99"/>
    <w:rsid w:val="00AB6EDF"/>
    <w:rsid w:val="00AC4BC7"/>
    <w:rsid w:val="00AF3B61"/>
    <w:rsid w:val="00B00EFC"/>
    <w:rsid w:val="00B36F0F"/>
    <w:rsid w:val="00B419FF"/>
    <w:rsid w:val="00B559EB"/>
    <w:rsid w:val="00B7345A"/>
    <w:rsid w:val="00B92EE0"/>
    <w:rsid w:val="00BA138F"/>
    <w:rsid w:val="00BA265E"/>
    <w:rsid w:val="00BA3B0B"/>
    <w:rsid w:val="00BD479E"/>
    <w:rsid w:val="00BE15EF"/>
    <w:rsid w:val="00BE2BE0"/>
    <w:rsid w:val="00C103D7"/>
    <w:rsid w:val="00C1172A"/>
    <w:rsid w:val="00C227A8"/>
    <w:rsid w:val="00C45F0C"/>
    <w:rsid w:val="00C639AF"/>
    <w:rsid w:val="00C72C28"/>
    <w:rsid w:val="00C925B9"/>
    <w:rsid w:val="00CA3EE8"/>
    <w:rsid w:val="00CE1DC7"/>
    <w:rsid w:val="00CE3D93"/>
    <w:rsid w:val="00CE57EC"/>
    <w:rsid w:val="00CE5A2A"/>
    <w:rsid w:val="00CF14C5"/>
    <w:rsid w:val="00CF5F83"/>
    <w:rsid w:val="00CF6FC6"/>
    <w:rsid w:val="00D033AC"/>
    <w:rsid w:val="00D05298"/>
    <w:rsid w:val="00D1702B"/>
    <w:rsid w:val="00D22DB0"/>
    <w:rsid w:val="00D40A33"/>
    <w:rsid w:val="00D47CAA"/>
    <w:rsid w:val="00D50408"/>
    <w:rsid w:val="00D53077"/>
    <w:rsid w:val="00D57FDC"/>
    <w:rsid w:val="00D61A61"/>
    <w:rsid w:val="00D62220"/>
    <w:rsid w:val="00D71532"/>
    <w:rsid w:val="00D77839"/>
    <w:rsid w:val="00D8141C"/>
    <w:rsid w:val="00D8570F"/>
    <w:rsid w:val="00DA6D0D"/>
    <w:rsid w:val="00DB003F"/>
    <w:rsid w:val="00DC0427"/>
    <w:rsid w:val="00DC5D78"/>
    <w:rsid w:val="00DC7F3A"/>
    <w:rsid w:val="00DD14A7"/>
    <w:rsid w:val="00DD43C8"/>
    <w:rsid w:val="00DE5482"/>
    <w:rsid w:val="00DE6FD7"/>
    <w:rsid w:val="00E13C13"/>
    <w:rsid w:val="00E14CCA"/>
    <w:rsid w:val="00E26454"/>
    <w:rsid w:val="00E26DE5"/>
    <w:rsid w:val="00E44466"/>
    <w:rsid w:val="00E564AE"/>
    <w:rsid w:val="00E56F77"/>
    <w:rsid w:val="00E65BD1"/>
    <w:rsid w:val="00E7798A"/>
    <w:rsid w:val="00EB5861"/>
    <w:rsid w:val="00EB6CEC"/>
    <w:rsid w:val="00EC18B7"/>
    <w:rsid w:val="00ED0D34"/>
    <w:rsid w:val="00EE0D0B"/>
    <w:rsid w:val="00EE1B00"/>
    <w:rsid w:val="00EE4015"/>
    <w:rsid w:val="00F01E6B"/>
    <w:rsid w:val="00F109EB"/>
    <w:rsid w:val="00F1192E"/>
    <w:rsid w:val="00F12024"/>
    <w:rsid w:val="00F12B16"/>
    <w:rsid w:val="00F173AB"/>
    <w:rsid w:val="00F23280"/>
    <w:rsid w:val="00F40944"/>
    <w:rsid w:val="00F40B63"/>
    <w:rsid w:val="00F50C45"/>
    <w:rsid w:val="00F52104"/>
    <w:rsid w:val="00F5450F"/>
    <w:rsid w:val="00F567D3"/>
    <w:rsid w:val="00F6133E"/>
    <w:rsid w:val="00F6263C"/>
    <w:rsid w:val="00F64475"/>
    <w:rsid w:val="00F64522"/>
    <w:rsid w:val="00F65E1E"/>
    <w:rsid w:val="00F74D50"/>
    <w:rsid w:val="00F82E5F"/>
    <w:rsid w:val="00F85773"/>
    <w:rsid w:val="00FB27E7"/>
    <w:rsid w:val="00FF2ACB"/>
    <w:rsid w:val="00FF72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5B12"/>
    <w:rPr>
      <w:rFonts w:ascii="Arial" w:hAnsi="Arial"/>
      <w:sz w:val="22"/>
      <w:lang w:val="en-GB"/>
    </w:rPr>
  </w:style>
  <w:style w:type="paragraph" w:styleId="berschrift1">
    <w:name w:val="heading 1"/>
    <w:basedOn w:val="Standard"/>
    <w:next w:val="Standard"/>
    <w:qFormat/>
    <w:rsid w:val="0004757A"/>
    <w:pPr>
      <w:keepNext/>
      <w:numPr>
        <w:numId w:val="1"/>
      </w:numPr>
      <w:spacing w:before="240" w:after="60"/>
      <w:ind w:left="0" w:firstLine="0"/>
      <w:outlineLvl w:val="0"/>
    </w:pPr>
    <w:rPr>
      <w:rFonts w:cs="Arial"/>
      <w:b/>
      <w:bCs/>
      <w:kern w:val="32"/>
      <w:sz w:val="28"/>
      <w:szCs w:val="32"/>
    </w:rPr>
  </w:style>
  <w:style w:type="paragraph" w:styleId="berschrift2">
    <w:name w:val="heading 2"/>
    <w:basedOn w:val="Standard"/>
    <w:next w:val="Standard"/>
    <w:qFormat/>
    <w:rsid w:val="0004757A"/>
    <w:pPr>
      <w:keepNext/>
      <w:numPr>
        <w:ilvl w:val="1"/>
        <w:numId w:val="1"/>
      </w:numPr>
      <w:spacing w:before="240" w:after="60"/>
      <w:ind w:left="0" w:firstLine="0"/>
      <w:outlineLvl w:val="1"/>
    </w:pPr>
    <w:rPr>
      <w:rFonts w:cs="Arial"/>
      <w:b/>
      <w:bCs/>
      <w:i/>
      <w:iCs/>
      <w:sz w:val="24"/>
      <w:szCs w:val="28"/>
    </w:rPr>
  </w:style>
  <w:style w:type="paragraph" w:styleId="berschrift3">
    <w:name w:val="heading 3"/>
    <w:basedOn w:val="Standard"/>
    <w:next w:val="Standard"/>
    <w:qFormat/>
    <w:rsid w:val="0004757A"/>
    <w:pPr>
      <w:keepNext/>
      <w:numPr>
        <w:ilvl w:val="2"/>
        <w:numId w:val="1"/>
      </w:numPr>
      <w:spacing w:before="240" w:after="60"/>
      <w:ind w:left="0" w:firstLine="0"/>
      <w:outlineLvl w:val="2"/>
    </w:pPr>
    <w:rPr>
      <w:rFonts w:cs="Arial"/>
      <w:b/>
      <w:bCs/>
      <w:szCs w:val="26"/>
    </w:rPr>
  </w:style>
  <w:style w:type="paragraph" w:styleId="berschrift4">
    <w:name w:val="heading 4"/>
    <w:basedOn w:val="Standard"/>
    <w:next w:val="Standard"/>
    <w:qFormat/>
    <w:rsid w:val="0004757A"/>
    <w:pPr>
      <w:keepNext/>
      <w:numPr>
        <w:ilvl w:val="3"/>
        <w:numId w:val="1"/>
      </w:numPr>
      <w:outlineLvl w:val="3"/>
    </w:pPr>
    <w:rPr>
      <w:i/>
      <w:sz w:val="24"/>
      <w:u w:val="single"/>
    </w:rPr>
  </w:style>
  <w:style w:type="paragraph" w:styleId="berschrift5">
    <w:name w:val="heading 5"/>
    <w:basedOn w:val="Standard"/>
    <w:next w:val="Standard"/>
    <w:qFormat/>
    <w:rsid w:val="0004757A"/>
    <w:pPr>
      <w:numPr>
        <w:ilvl w:val="4"/>
        <w:numId w:val="1"/>
      </w:numPr>
      <w:spacing w:before="240" w:after="60"/>
      <w:outlineLvl w:val="4"/>
    </w:pPr>
    <w:rPr>
      <w:b/>
      <w:bCs/>
      <w:i/>
      <w:iCs/>
      <w:sz w:val="26"/>
      <w:szCs w:val="26"/>
    </w:rPr>
  </w:style>
  <w:style w:type="paragraph" w:styleId="berschrift6">
    <w:name w:val="heading 6"/>
    <w:basedOn w:val="Standard"/>
    <w:next w:val="Standard"/>
    <w:qFormat/>
    <w:rsid w:val="0004757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04757A"/>
    <w:pPr>
      <w:numPr>
        <w:ilvl w:val="6"/>
        <w:numId w:val="1"/>
      </w:numPr>
      <w:spacing w:before="240" w:after="60"/>
      <w:outlineLvl w:val="6"/>
    </w:pPr>
    <w:rPr>
      <w:rFonts w:ascii="Times New Roman" w:hAnsi="Times New Roman"/>
      <w:sz w:val="24"/>
      <w:szCs w:val="24"/>
    </w:rPr>
  </w:style>
  <w:style w:type="paragraph" w:styleId="berschrift8">
    <w:name w:val="heading 8"/>
    <w:basedOn w:val="Standard"/>
    <w:next w:val="Standard"/>
    <w:qFormat/>
    <w:rsid w:val="0004757A"/>
    <w:pPr>
      <w:numPr>
        <w:ilvl w:val="7"/>
        <w:numId w:val="1"/>
      </w:num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04757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665B12"/>
    <w:pPr>
      <w:tabs>
        <w:tab w:val="center" w:pos="4153"/>
        <w:tab w:val="right" w:pos="8306"/>
      </w:tabs>
    </w:pPr>
  </w:style>
  <w:style w:type="paragraph" w:customStyle="1" w:styleId="StandardSpaced">
    <w:name w:val="Standard Spaced"/>
    <w:basedOn w:val="Standard"/>
    <w:rsid w:val="00665B12"/>
    <w:pPr>
      <w:spacing w:after="120"/>
    </w:pPr>
  </w:style>
  <w:style w:type="paragraph" w:styleId="Sprechblasentext">
    <w:name w:val="Balloon Text"/>
    <w:basedOn w:val="Standard"/>
    <w:link w:val="SprechblasentextZchn"/>
    <w:rsid w:val="001720BF"/>
    <w:rPr>
      <w:rFonts w:ascii="Tahoma" w:hAnsi="Tahoma" w:cs="Tahoma"/>
      <w:sz w:val="16"/>
      <w:szCs w:val="16"/>
    </w:rPr>
  </w:style>
  <w:style w:type="character" w:customStyle="1" w:styleId="SprechblasentextZchn">
    <w:name w:val="Sprechblasentext Zchn"/>
    <w:basedOn w:val="Absatz-Standardschriftart"/>
    <w:link w:val="Sprechblasentext"/>
    <w:rsid w:val="001720BF"/>
    <w:rPr>
      <w:rFonts w:ascii="Tahoma" w:hAnsi="Tahoma" w:cs="Tahoma"/>
      <w:sz w:val="16"/>
      <w:szCs w:val="16"/>
      <w:lang w:val="en-GB"/>
    </w:rPr>
  </w:style>
  <w:style w:type="paragraph" w:customStyle="1" w:styleId="Title1">
    <w:name w:val="Title 1"/>
    <w:basedOn w:val="Standard"/>
    <w:next w:val="Standard"/>
    <w:rsid w:val="006670B4"/>
    <w:pPr>
      <w:tabs>
        <w:tab w:val="left" w:pos="567"/>
        <w:tab w:val="left" w:pos="1134"/>
        <w:tab w:val="left" w:pos="1701"/>
        <w:tab w:val="left" w:pos="1871"/>
        <w:tab w:val="left" w:pos="2268"/>
        <w:tab w:val="left" w:pos="2835"/>
      </w:tabs>
      <w:overflowPunct w:val="0"/>
      <w:autoSpaceDE w:val="0"/>
      <w:autoSpaceDN w:val="0"/>
      <w:adjustRightInd w:val="0"/>
      <w:spacing w:before="240"/>
      <w:jc w:val="center"/>
      <w:textAlignment w:val="baseline"/>
    </w:pPr>
    <w:rPr>
      <w:rFonts w:ascii="Times New Roman" w:hAnsi="Times New Roman"/>
      <w:caps/>
      <w:sz w:val="28"/>
      <w:lang w:eastAsia="en-US"/>
    </w:rPr>
  </w:style>
  <w:style w:type="paragraph" w:customStyle="1" w:styleId="Figuretitle">
    <w:name w:val="Figure_title"/>
    <w:basedOn w:val="Standard"/>
    <w:next w:val="Standard"/>
    <w:link w:val="FiguretitleChar"/>
    <w:rsid w:val="006670B4"/>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sz w:val="20"/>
      <w:lang w:eastAsia="en-US"/>
    </w:rPr>
  </w:style>
  <w:style w:type="paragraph" w:customStyle="1" w:styleId="FigureNo">
    <w:name w:val="Figure_No"/>
    <w:basedOn w:val="Standard"/>
    <w:next w:val="Standard"/>
    <w:link w:val="FigureNoChar"/>
    <w:rsid w:val="006670B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0"/>
      <w:lang w:eastAsia="en-US"/>
    </w:rPr>
  </w:style>
  <w:style w:type="paragraph" w:customStyle="1" w:styleId="Reasons">
    <w:name w:val="Reasons"/>
    <w:basedOn w:val="Standard"/>
    <w:qFormat/>
    <w:rsid w:val="006670B4"/>
    <w:pPr>
      <w:tabs>
        <w:tab w:val="left" w:pos="1134"/>
        <w:tab w:val="left" w:pos="1588"/>
        <w:tab w:val="left" w:pos="1985"/>
      </w:tabs>
      <w:overflowPunct w:val="0"/>
      <w:autoSpaceDE w:val="0"/>
      <w:autoSpaceDN w:val="0"/>
      <w:adjustRightInd w:val="0"/>
      <w:spacing w:before="120"/>
      <w:textAlignment w:val="baseline"/>
    </w:pPr>
    <w:rPr>
      <w:rFonts w:ascii="Times New Roman" w:hAnsi="Times New Roman"/>
      <w:sz w:val="24"/>
      <w:lang w:eastAsia="en-US"/>
    </w:rPr>
  </w:style>
  <w:style w:type="character" w:styleId="Hyperlink">
    <w:name w:val="Hyperlink"/>
    <w:basedOn w:val="Absatz-Standardschriftart"/>
    <w:uiPriority w:val="99"/>
    <w:unhideWhenUsed/>
    <w:rsid w:val="006670B4"/>
    <w:rPr>
      <w:color w:val="0000FF" w:themeColor="hyperlink"/>
      <w:u w:val="single"/>
    </w:rPr>
  </w:style>
  <w:style w:type="character" w:customStyle="1" w:styleId="ms-rtethemeforecolor-2-0">
    <w:name w:val="ms-rtethemeforecolor-2-0"/>
    <w:basedOn w:val="Absatz-Standardschriftart"/>
    <w:rsid w:val="006670B4"/>
  </w:style>
  <w:style w:type="character" w:customStyle="1" w:styleId="FigureNoChar">
    <w:name w:val="Figure_No Char"/>
    <w:basedOn w:val="Absatz-Standardschriftart"/>
    <w:link w:val="FigureNo"/>
    <w:locked/>
    <w:rsid w:val="00E56F77"/>
    <w:rPr>
      <w:caps/>
      <w:lang w:val="en-GB" w:eastAsia="en-US"/>
    </w:rPr>
  </w:style>
  <w:style w:type="character" w:customStyle="1" w:styleId="FiguretitleChar">
    <w:name w:val="Figure_title Char"/>
    <w:basedOn w:val="Absatz-Standardschriftart"/>
    <w:link w:val="Figuretitle"/>
    <w:locked/>
    <w:rsid w:val="00E56F77"/>
    <w:rPr>
      <w:rFonts w:ascii="Times New Roman Bold" w:hAnsi="Times New Roman Bold"/>
      <w:b/>
      <w:lang w:val="en-GB" w:eastAsia="en-US"/>
    </w:rPr>
  </w:style>
  <w:style w:type="paragraph" w:customStyle="1" w:styleId="Figure">
    <w:name w:val="Figure"/>
    <w:basedOn w:val="FigureNo"/>
    <w:next w:val="Standard"/>
    <w:rsid w:val="00E56F77"/>
    <w:pPr>
      <w:keepNext w:val="0"/>
      <w:tabs>
        <w:tab w:val="clear" w:pos="1134"/>
        <w:tab w:val="clear" w:pos="1871"/>
        <w:tab w:val="clear" w:pos="2268"/>
        <w:tab w:val="left" w:pos="794"/>
        <w:tab w:val="left" w:pos="1191"/>
        <w:tab w:val="left" w:pos="1588"/>
        <w:tab w:val="left" w:pos="1985"/>
      </w:tabs>
      <w:spacing w:before="0" w:after="240"/>
      <w:textAlignment w:val="auto"/>
    </w:pPr>
    <w:rPr>
      <w:rFonts w:asciiTheme="minorHAnsi" w:eastAsiaTheme="minorHAnsi" w:hAnsiTheme="minorHAnsi" w:cstheme="minorBidi"/>
      <w:sz w:val="18"/>
      <w:szCs w:val="22"/>
      <w:lang w:val="fr-FR"/>
    </w:rPr>
  </w:style>
  <w:style w:type="character" w:customStyle="1" w:styleId="href">
    <w:name w:val="href"/>
    <w:basedOn w:val="Absatz-Standardschriftart"/>
    <w:rsid w:val="00E56F77"/>
  </w:style>
  <w:style w:type="paragraph" w:customStyle="1" w:styleId="Rectitle">
    <w:name w:val="Rec_title"/>
    <w:basedOn w:val="Standard"/>
    <w:next w:val="Standard"/>
    <w:rsid w:val="00E56F77"/>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sz w:val="28"/>
      <w:lang w:val="fr-FR" w:eastAsia="en-US"/>
    </w:rPr>
  </w:style>
  <w:style w:type="paragraph" w:customStyle="1" w:styleId="RepNo">
    <w:name w:val="Rep_No"/>
    <w:basedOn w:val="Standard"/>
    <w:next w:val="Standard"/>
    <w:rsid w:val="00E56F77"/>
    <w:pPr>
      <w:keepNext/>
      <w:keepLines/>
      <w:overflowPunct w:val="0"/>
      <w:autoSpaceDE w:val="0"/>
      <w:autoSpaceDN w:val="0"/>
      <w:adjustRightInd w:val="0"/>
      <w:spacing w:before="480"/>
      <w:jc w:val="center"/>
      <w:textAlignment w:val="baseline"/>
    </w:pPr>
    <w:rPr>
      <w:rFonts w:ascii="Times New Roman" w:hAnsi="Times New Roman"/>
      <w:sz w:val="28"/>
      <w:lang w:val="fr-FR" w:eastAsia="en-US"/>
    </w:rPr>
  </w:style>
  <w:style w:type="paragraph" w:customStyle="1" w:styleId="enumlev1">
    <w:name w:val="enumlev1"/>
    <w:basedOn w:val="Standard"/>
    <w:link w:val="enumlev1Char"/>
    <w:rsid w:val="00107E6A"/>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hAnsi="Times New Roman"/>
      <w:sz w:val="24"/>
      <w:lang w:val="fr-FR" w:eastAsia="en-US"/>
    </w:rPr>
  </w:style>
  <w:style w:type="character" w:customStyle="1" w:styleId="enumlev1Char">
    <w:name w:val="enumlev1 Char"/>
    <w:basedOn w:val="Absatz-Standardschriftart"/>
    <w:link w:val="enumlev1"/>
    <w:locked/>
    <w:rsid w:val="00107E6A"/>
    <w:rPr>
      <w:sz w:val="24"/>
      <w:lang w:val="fr-FR" w:eastAsia="en-US"/>
    </w:rPr>
  </w:style>
  <w:style w:type="paragraph" w:styleId="StandardWeb">
    <w:name w:val="Normal (Web)"/>
    <w:basedOn w:val="Standard"/>
    <w:uiPriority w:val="99"/>
    <w:unhideWhenUsed/>
    <w:rsid w:val="00063BCC"/>
    <w:pPr>
      <w:spacing w:before="100" w:beforeAutospacing="1" w:after="100" w:afterAutospacing="1"/>
    </w:pPr>
    <w:rPr>
      <w:rFonts w:ascii="Times New Roman" w:hAnsi="Times New Roman"/>
      <w:sz w:val="24"/>
      <w:szCs w:val="24"/>
      <w:lang w:val="fr-FR" w:eastAsia="fr-FR"/>
    </w:rPr>
  </w:style>
  <w:style w:type="character" w:customStyle="1" w:styleId="TabletextChar">
    <w:name w:val="Table_text Char"/>
    <w:basedOn w:val="Absatz-Standardschriftart"/>
    <w:link w:val="Tabletext"/>
    <w:uiPriority w:val="99"/>
    <w:locked/>
    <w:rsid w:val="00317289"/>
  </w:style>
  <w:style w:type="paragraph" w:customStyle="1" w:styleId="Tabletext">
    <w:name w:val="Table_text"/>
    <w:basedOn w:val="Standard"/>
    <w:link w:val="TabletextChar"/>
    <w:uiPriority w:val="99"/>
    <w:rsid w:val="003172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0"/>
      <w:lang w:val="de-DE"/>
    </w:rPr>
  </w:style>
  <w:style w:type="character" w:customStyle="1" w:styleId="TableNo">
    <w:name w:val="Table_No Знак"/>
    <w:link w:val="TableNo0"/>
    <w:uiPriority w:val="99"/>
    <w:locked/>
    <w:rsid w:val="00317289"/>
    <w:rPr>
      <w:sz w:val="24"/>
    </w:rPr>
  </w:style>
  <w:style w:type="paragraph" w:customStyle="1" w:styleId="TableNo0">
    <w:name w:val="Table_No"/>
    <w:basedOn w:val="Standard"/>
    <w:next w:val="Standard"/>
    <w:link w:val="TableNo"/>
    <w:uiPriority w:val="99"/>
    <w:rsid w:val="00317289"/>
    <w:pPr>
      <w:keepNext/>
      <w:tabs>
        <w:tab w:val="left" w:pos="794"/>
        <w:tab w:val="left" w:pos="1191"/>
        <w:tab w:val="left" w:pos="1588"/>
        <w:tab w:val="left" w:pos="1985"/>
      </w:tabs>
      <w:overflowPunct w:val="0"/>
      <w:autoSpaceDE w:val="0"/>
      <w:autoSpaceDN w:val="0"/>
      <w:adjustRightInd w:val="0"/>
      <w:spacing w:before="360" w:after="120"/>
      <w:jc w:val="center"/>
    </w:pPr>
    <w:rPr>
      <w:rFonts w:ascii="Times New Roman" w:hAnsi="Times New Roman"/>
      <w:sz w:val="24"/>
      <w:lang w:val="de-DE"/>
    </w:rPr>
  </w:style>
  <w:style w:type="character" w:customStyle="1" w:styleId="Tabletitle">
    <w:name w:val="Table_title Знак"/>
    <w:link w:val="Tabletitle0"/>
    <w:uiPriority w:val="99"/>
    <w:locked/>
    <w:rsid w:val="00317289"/>
    <w:rPr>
      <w:b/>
      <w:sz w:val="24"/>
    </w:rPr>
  </w:style>
  <w:style w:type="paragraph" w:customStyle="1" w:styleId="Tabletitle0">
    <w:name w:val="Table_title"/>
    <w:basedOn w:val="Standard"/>
    <w:next w:val="Standard"/>
    <w:link w:val="Tabletitle"/>
    <w:uiPriority w:val="99"/>
    <w:rsid w:val="00317289"/>
    <w:pPr>
      <w:keepNext/>
      <w:tabs>
        <w:tab w:val="left" w:pos="794"/>
        <w:tab w:val="left" w:pos="1191"/>
        <w:tab w:val="left" w:pos="1588"/>
        <w:tab w:val="left" w:pos="1985"/>
      </w:tabs>
      <w:overflowPunct w:val="0"/>
      <w:autoSpaceDE w:val="0"/>
      <w:autoSpaceDN w:val="0"/>
      <w:adjustRightInd w:val="0"/>
      <w:spacing w:after="120"/>
      <w:jc w:val="center"/>
    </w:pPr>
    <w:rPr>
      <w:rFonts w:ascii="Times New Roman" w:hAnsi="Times New Roman"/>
      <w:b/>
      <w:sz w:val="24"/>
      <w:lang w:val="de-DE"/>
    </w:rPr>
  </w:style>
  <w:style w:type="character" w:customStyle="1" w:styleId="TableheadChar">
    <w:name w:val="Table_head Char"/>
    <w:basedOn w:val="Absatz-Standardschriftart"/>
    <w:link w:val="Tablehead"/>
    <w:uiPriority w:val="99"/>
    <w:locked/>
    <w:rsid w:val="00317289"/>
    <w:rPr>
      <w:b/>
    </w:rPr>
  </w:style>
  <w:style w:type="paragraph" w:customStyle="1" w:styleId="Tablehead">
    <w:name w:val="Table_head"/>
    <w:basedOn w:val="Standard"/>
    <w:next w:val="Standard"/>
    <w:link w:val="TableheadChar"/>
    <w:uiPriority w:val="99"/>
    <w:rsid w:val="003172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ascii="Times New Roman" w:hAnsi="Times New Roman"/>
      <w:b/>
      <w:sz w:val="20"/>
      <w:lang w:val="de-DE"/>
    </w:rPr>
  </w:style>
  <w:style w:type="character" w:customStyle="1" w:styleId="hps">
    <w:name w:val="hps"/>
    <w:basedOn w:val="Absatz-Standardschriftart"/>
    <w:uiPriority w:val="99"/>
    <w:rsid w:val="00317289"/>
    <w:rPr>
      <w:rFonts w:ascii="Times New Roman" w:hAnsi="Times New Roman" w:cs="Times New Roman" w:hint="default"/>
    </w:rPr>
  </w:style>
  <w:style w:type="paragraph" w:customStyle="1" w:styleId="Tablefin">
    <w:name w:val="Table_fin"/>
    <w:basedOn w:val="Standard"/>
    <w:next w:val="Standard"/>
    <w:rsid w:val="00317289"/>
    <w:pPr>
      <w:tabs>
        <w:tab w:val="left" w:pos="794"/>
        <w:tab w:val="left" w:pos="1191"/>
        <w:tab w:val="left" w:pos="1588"/>
        <w:tab w:val="left" w:pos="1985"/>
      </w:tabs>
      <w:overflowPunct w:val="0"/>
      <w:autoSpaceDE w:val="0"/>
      <w:autoSpaceDN w:val="0"/>
      <w:adjustRightInd w:val="0"/>
      <w:jc w:val="both"/>
    </w:pPr>
    <w:rPr>
      <w:rFonts w:ascii="Times New Roman" w:hAnsi="Times New Roman"/>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5B12"/>
    <w:rPr>
      <w:rFonts w:ascii="Arial" w:hAnsi="Arial"/>
      <w:sz w:val="22"/>
      <w:lang w:val="en-GB"/>
    </w:rPr>
  </w:style>
  <w:style w:type="paragraph" w:styleId="berschrift1">
    <w:name w:val="heading 1"/>
    <w:basedOn w:val="Standard"/>
    <w:next w:val="Standard"/>
    <w:qFormat/>
    <w:rsid w:val="0004757A"/>
    <w:pPr>
      <w:keepNext/>
      <w:numPr>
        <w:numId w:val="1"/>
      </w:numPr>
      <w:spacing w:before="240" w:after="60"/>
      <w:ind w:left="0" w:firstLine="0"/>
      <w:outlineLvl w:val="0"/>
    </w:pPr>
    <w:rPr>
      <w:rFonts w:cs="Arial"/>
      <w:b/>
      <w:bCs/>
      <w:kern w:val="32"/>
      <w:sz w:val="28"/>
      <w:szCs w:val="32"/>
    </w:rPr>
  </w:style>
  <w:style w:type="paragraph" w:styleId="berschrift2">
    <w:name w:val="heading 2"/>
    <w:basedOn w:val="Standard"/>
    <w:next w:val="Standard"/>
    <w:qFormat/>
    <w:rsid w:val="0004757A"/>
    <w:pPr>
      <w:keepNext/>
      <w:numPr>
        <w:ilvl w:val="1"/>
        <w:numId w:val="1"/>
      </w:numPr>
      <w:spacing w:before="240" w:after="60"/>
      <w:ind w:left="0" w:firstLine="0"/>
      <w:outlineLvl w:val="1"/>
    </w:pPr>
    <w:rPr>
      <w:rFonts w:cs="Arial"/>
      <w:b/>
      <w:bCs/>
      <w:i/>
      <w:iCs/>
      <w:sz w:val="24"/>
      <w:szCs w:val="28"/>
    </w:rPr>
  </w:style>
  <w:style w:type="paragraph" w:styleId="berschrift3">
    <w:name w:val="heading 3"/>
    <w:basedOn w:val="Standard"/>
    <w:next w:val="Standard"/>
    <w:qFormat/>
    <w:rsid w:val="0004757A"/>
    <w:pPr>
      <w:keepNext/>
      <w:numPr>
        <w:ilvl w:val="2"/>
        <w:numId w:val="1"/>
      </w:numPr>
      <w:spacing w:before="240" w:after="60"/>
      <w:ind w:left="0" w:firstLine="0"/>
      <w:outlineLvl w:val="2"/>
    </w:pPr>
    <w:rPr>
      <w:rFonts w:cs="Arial"/>
      <w:b/>
      <w:bCs/>
      <w:szCs w:val="26"/>
    </w:rPr>
  </w:style>
  <w:style w:type="paragraph" w:styleId="berschrift4">
    <w:name w:val="heading 4"/>
    <w:basedOn w:val="Standard"/>
    <w:next w:val="Standard"/>
    <w:qFormat/>
    <w:rsid w:val="0004757A"/>
    <w:pPr>
      <w:keepNext/>
      <w:numPr>
        <w:ilvl w:val="3"/>
        <w:numId w:val="1"/>
      </w:numPr>
      <w:outlineLvl w:val="3"/>
    </w:pPr>
    <w:rPr>
      <w:i/>
      <w:sz w:val="24"/>
      <w:u w:val="single"/>
    </w:rPr>
  </w:style>
  <w:style w:type="paragraph" w:styleId="berschrift5">
    <w:name w:val="heading 5"/>
    <w:basedOn w:val="Standard"/>
    <w:next w:val="Standard"/>
    <w:qFormat/>
    <w:rsid w:val="0004757A"/>
    <w:pPr>
      <w:numPr>
        <w:ilvl w:val="4"/>
        <w:numId w:val="1"/>
      </w:numPr>
      <w:spacing w:before="240" w:after="60"/>
      <w:outlineLvl w:val="4"/>
    </w:pPr>
    <w:rPr>
      <w:b/>
      <w:bCs/>
      <w:i/>
      <w:iCs/>
      <w:sz w:val="26"/>
      <w:szCs w:val="26"/>
    </w:rPr>
  </w:style>
  <w:style w:type="paragraph" w:styleId="berschrift6">
    <w:name w:val="heading 6"/>
    <w:basedOn w:val="Standard"/>
    <w:next w:val="Standard"/>
    <w:qFormat/>
    <w:rsid w:val="0004757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04757A"/>
    <w:pPr>
      <w:numPr>
        <w:ilvl w:val="6"/>
        <w:numId w:val="1"/>
      </w:numPr>
      <w:spacing w:before="240" w:after="60"/>
      <w:outlineLvl w:val="6"/>
    </w:pPr>
    <w:rPr>
      <w:rFonts w:ascii="Times New Roman" w:hAnsi="Times New Roman"/>
      <w:sz w:val="24"/>
      <w:szCs w:val="24"/>
    </w:rPr>
  </w:style>
  <w:style w:type="paragraph" w:styleId="berschrift8">
    <w:name w:val="heading 8"/>
    <w:basedOn w:val="Standard"/>
    <w:next w:val="Standard"/>
    <w:qFormat/>
    <w:rsid w:val="0004757A"/>
    <w:pPr>
      <w:numPr>
        <w:ilvl w:val="7"/>
        <w:numId w:val="1"/>
      </w:numPr>
      <w:spacing w:before="240" w:after="60"/>
      <w:outlineLvl w:val="7"/>
    </w:pPr>
    <w:rPr>
      <w:rFonts w:ascii="Times New Roman" w:hAnsi="Times New Roman"/>
      <w:i/>
      <w:iCs/>
      <w:sz w:val="24"/>
      <w:szCs w:val="24"/>
    </w:rPr>
  </w:style>
  <w:style w:type="paragraph" w:styleId="berschrift9">
    <w:name w:val="heading 9"/>
    <w:basedOn w:val="Standard"/>
    <w:next w:val="Standard"/>
    <w:qFormat/>
    <w:rsid w:val="0004757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665B12"/>
    <w:pPr>
      <w:tabs>
        <w:tab w:val="center" w:pos="4153"/>
        <w:tab w:val="right" w:pos="8306"/>
      </w:tabs>
    </w:pPr>
  </w:style>
  <w:style w:type="paragraph" w:customStyle="1" w:styleId="StandardSpaced">
    <w:name w:val="Standard Spaced"/>
    <w:basedOn w:val="Standard"/>
    <w:rsid w:val="00665B12"/>
    <w:pPr>
      <w:spacing w:after="120"/>
    </w:pPr>
  </w:style>
  <w:style w:type="paragraph" w:styleId="Sprechblasentext">
    <w:name w:val="Balloon Text"/>
    <w:basedOn w:val="Standard"/>
    <w:link w:val="SprechblasentextZchn"/>
    <w:rsid w:val="001720BF"/>
    <w:rPr>
      <w:rFonts w:ascii="Tahoma" w:hAnsi="Tahoma" w:cs="Tahoma"/>
      <w:sz w:val="16"/>
      <w:szCs w:val="16"/>
    </w:rPr>
  </w:style>
  <w:style w:type="character" w:customStyle="1" w:styleId="SprechblasentextZchn">
    <w:name w:val="Sprechblasentext Zchn"/>
    <w:basedOn w:val="Absatz-Standardschriftart"/>
    <w:link w:val="Sprechblasentext"/>
    <w:rsid w:val="001720BF"/>
    <w:rPr>
      <w:rFonts w:ascii="Tahoma" w:hAnsi="Tahoma" w:cs="Tahoma"/>
      <w:sz w:val="16"/>
      <w:szCs w:val="16"/>
      <w:lang w:val="en-GB"/>
    </w:rPr>
  </w:style>
  <w:style w:type="paragraph" w:customStyle="1" w:styleId="Title1">
    <w:name w:val="Title 1"/>
    <w:basedOn w:val="Standard"/>
    <w:next w:val="Standard"/>
    <w:rsid w:val="006670B4"/>
    <w:pPr>
      <w:tabs>
        <w:tab w:val="left" w:pos="567"/>
        <w:tab w:val="left" w:pos="1134"/>
        <w:tab w:val="left" w:pos="1701"/>
        <w:tab w:val="left" w:pos="1871"/>
        <w:tab w:val="left" w:pos="2268"/>
        <w:tab w:val="left" w:pos="2835"/>
      </w:tabs>
      <w:overflowPunct w:val="0"/>
      <w:autoSpaceDE w:val="0"/>
      <w:autoSpaceDN w:val="0"/>
      <w:adjustRightInd w:val="0"/>
      <w:spacing w:before="240"/>
      <w:jc w:val="center"/>
      <w:textAlignment w:val="baseline"/>
    </w:pPr>
    <w:rPr>
      <w:rFonts w:ascii="Times New Roman" w:hAnsi="Times New Roman"/>
      <w:caps/>
      <w:sz w:val="28"/>
      <w:lang w:eastAsia="en-US"/>
    </w:rPr>
  </w:style>
  <w:style w:type="paragraph" w:customStyle="1" w:styleId="Figuretitle">
    <w:name w:val="Figure_title"/>
    <w:basedOn w:val="Standard"/>
    <w:next w:val="Standard"/>
    <w:link w:val="FiguretitleChar"/>
    <w:rsid w:val="006670B4"/>
    <w:pPr>
      <w:keepNext/>
      <w:keepLines/>
      <w:tabs>
        <w:tab w:val="left" w:pos="1134"/>
        <w:tab w:val="left" w:pos="1871"/>
        <w:tab w:val="left" w:pos="2268"/>
      </w:tabs>
      <w:overflowPunct w:val="0"/>
      <w:autoSpaceDE w:val="0"/>
      <w:autoSpaceDN w:val="0"/>
      <w:adjustRightInd w:val="0"/>
      <w:spacing w:after="480"/>
      <w:jc w:val="center"/>
      <w:textAlignment w:val="baseline"/>
    </w:pPr>
    <w:rPr>
      <w:rFonts w:ascii="Times New Roman Bold" w:hAnsi="Times New Roman Bold"/>
      <w:b/>
      <w:sz w:val="20"/>
      <w:lang w:eastAsia="en-US"/>
    </w:rPr>
  </w:style>
  <w:style w:type="paragraph" w:customStyle="1" w:styleId="FigureNo">
    <w:name w:val="Figure_No"/>
    <w:basedOn w:val="Standard"/>
    <w:next w:val="Standard"/>
    <w:link w:val="FigureNoChar"/>
    <w:rsid w:val="006670B4"/>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hAnsi="Times New Roman"/>
      <w:caps/>
      <w:sz w:val="20"/>
      <w:lang w:eastAsia="en-US"/>
    </w:rPr>
  </w:style>
  <w:style w:type="paragraph" w:customStyle="1" w:styleId="Reasons">
    <w:name w:val="Reasons"/>
    <w:basedOn w:val="Standard"/>
    <w:qFormat/>
    <w:rsid w:val="006670B4"/>
    <w:pPr>
      <w:tabs>
        <w:tab w:val="left" w:pos="1134"/>
        <w:tab w:val="left" w:pos="1588"/>
        <w:tab w:val="left" w:pos="1985"/>
      </w:tabs>
      <w:overflowPunct w:val="0"/>
      <w:autoSpaceDE w:val="0"/>
      <w:autoSpaceDN w:val="0"/>
      <w:adjustRightInd w:val="0"/>
      <w:spacing w:before="120"/>
      <w:textAlignment w:val="baseline"/>
    </w:pPr>
    <w:rPr>
      <w:rFonts w:ascii="Times New Roman" w:hAnsi="Times New Roman"/>
      <w:sz w:val="24"/>
      <w:lang w:eastAsia="en-US"/>
    </w:rPr>
  </w:style>
  <w:style w:type="character" w:styleId="Hyperlink">
    <w:name w:val="Hyperlink"/>
    <w:basedOn w:val="Absatz-Standardschriftart"/>
    <w:uiPriority w:val="99"/>
    <w:unhideWhenUsed/>
    <w:rsid w:val="006670B4"/>
    <w:rPr>
      <w:color w:val="0000FF" w:themeColor="hyperlink"/>
      <w:u w:val="single"/>
    </w:rPr>
  </w:style>
  <w:style w:type="character" w:customStyle="1" w:styleId="ms-rtethemeforecolor-2-0">
    <w:name w:val="ms-rtethemeforecolor-2-0"/>
    <w:basedOn w:val="Absatz-Standardschriftart"/>
    <w:rsid w:val="006670B4"/>
  </w:style>
  <w:style w:type="character" w:customStyle="1" w:styleId="FigureNoChar">
    <w:name w:val="Figure_No Char"/>
    <w:basedOn w:val="Absatz-Standardschriftart"/>
    <w:link w:val="FigureNo"/>
    <w:locked/>
    <w:rsid w:val="00E56F77"/>
    <w:rPr>
      <w:caps/>
      <w:lang w:val="en-GB" w:eastAsia="en-US"/>
    </w:rPr>
  </w:style>
  <w:style w:type="character" w:customStyle="1" w:styleId="FiguretitleChar">
    <w:name w:val="Figure_title Char"/>
    <w:basedOn w:val="Absatz-Standardschriftart"/>
    <w:link w:val="Figuretitle"/>
    <w:locked/>
    <w:rsid w:val="00E56F77"/>
    <w:rPr>
      <w:rFonts w:ascii="Times New Roman Bold" w:hAnsi="Times New Roman Bold"/>
      <w:b/>
      <w:lang w:val="en-GB" w:eastAsia="en-US"/>
    </w:rPr>
  </w:style>
  <w:style w:type="paragraph" w:customStyle="1" w:styleId="Figure">
    <w:name w:val="Figure"/>
    <w:basedOn w:val="FigureNo"/>
    <w:next w:val="Standard"/>
    <w:rsid w:val="00E56F77"/>
    <w:pPr>
      <w:keepNext w:val="0"/>
      <w:tabs>
        <w:tab w:val="clear" w:pos="1134"/>
        <w:tab w:val="clear" w:pos="1871"/>
        <w:tab w:val="clear" w:pos="2268"/>
        <w:tab w:val="left" w:pos="794"/>
        <w:tab w:val="left" w:pos="1191"/>
        <w:tab w:val="left" w:pos="1588"/>
        <w:tab w:val="left" w:pos="1985"/>
      </w:tabs>
      <w:spacing w:before="0" w:after="240"/>
      <w:textAlignment w:val="auto"/>
    </w:pPr>
    <w:rPr>
      <w:rFonts w:asciiTheme="minorHAnsi" w:eastAsiaTheme="minorHAnsi" w:hAnsiTheme="minorHAnsi" w:cstheme="minorBidi"/>
      <w:sz w:val="18"/>
      <w:szCs w:val="22"/>
      <w:lang w:val="fr-FR"/>
    </w:rPr>
  </w:style>
  <w:style w:type="character" w:customStyle="1" w:styleId="href">
    <w:name w:val="href"/>
    <w:basedOn w:val="Absatz-Standardschriftart"/>
    <w:rsid w:val="00E56F77"/>
  </w:style>
  <w:style w:type="paragraph" w:customStyle="1" w:styleId="Rectitle">
    <w:name w:val="Rec_title"/>
    <w:basedOn w:val="Standard"/>
    <w:next w:val="Standard"/>
    <w:rsid w:val="00E56F77"/>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sz w:val="28"/>
      <w:lang w:val="fr-FR" w:eastAsia="en-US"/>
    </w:rPr>
  </w:style>
  <w:style w:type="paragraph" w:customStyle="1" w:styleId="RepNo">
    <w:name w:val="Rep_No"/>
    <w:basedOn w:val="Standard"/>
    <w:next w:val="Standard"/>
    <w:rsid w:val="00E56F77"/>
    <w:pPr>
      <w:keepNext/>
      <w:keepLines/>
      <w:overflowPunct w:val="0"/>
      <w:autoSpaceDE w:val="0"/>
      <w:autoSpaceDN w:val="0"/>
      <w:adjustRightInd w:val="0"/>
      <w:spacing w:before="480"/>
      <w:jc w:val="center"/>
      <w:textAlignment w:val="baseline"/>
    </w:pPr>
    <w:rPr>
      <w:rFonts w:ascii="Times New Roman" w:hAnsi="Times New Roman"/>
      <w:sz w:val="28"/>
      <w:lang w:val="fr-FR" w:eastAsia="en-US"/>
    </w:rPr>
  </w:style>
  <w:style w:type="paragraph" w:customStyle="1" w:styleId="enumlev1">
    <w:name w:val="enumlev1"/>
    <w:basedOn w:val="Standard"/>
    <w:link w:val="enumlev1Char"/>
    <w:rsid w:val="00107E6A"/>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hAnsi="Times New Roman"/>
      <w:sz w:val="24"/>
      <w:lang w:val="fr-FR" w:eastAsia="en-US"/>
    </w:rPr>
  </w:style>
  <w:style w:type="character" w:customStyle="1" w:styleId="enumlev1Char">
    <w:name w:val="enumlev1 Char"/>
    <w:basedOn w:val="Absatz-Standardschriftart"/>
    <w:link w:val="enumlev1"/>
    <w:locked/>
    <w:rsid w:val="00107E6A"/>
    <w:rPr>
      <w:sz w:val="24"/>
      <w:lang w:val="fr-FR" w:eastAsia="en-US"/>
    </w:rPr>
  </w:style>
  <w:style w:type="paragraph" w:styleId="StandardWeb">
    <w:name w:val="Normal (Web)"/>
    <w:basedOn w:val="Standard"/>
    <w:uiPriority w:val="99"/>
    <w:unhideWhenUsed/>
    <w:rsid w:val="00063BCC"/>
    <w:pPr>
      <w:spacing w:before="100" w:beforeAutospacing="1" w:after="100" w:afterAutospacing="1"/>
    </w:pPr>
    <w:rPr>
      <w:rFonts w:ascii="Times New Roman" w:hAnsi="Times New Roman"/>
      <w:sz w:val="24"/>
      <w:szCs w:val="24"/>
      <w:lang w:val="fr-FR" w:eastAsia="fr-FR"/>
    </w:rPr>
  </w:style>
  <w:style w:type="character" w:customStyle="1" w:styleId="TabletextChar">
    <w:name w:val="Table_text Char"/>
    <w:basedOn w:val="Absatz-Standardschriftart"/>
    <w:link w:val="Tabletext"/>
    <w:uiPriority w:val="99"/>
    <w:locked/>
    <w:rsid w:val="00317289"/>
  </w:style>
  <w:style w:type="paragraph" w:customStyle="1" w:styleId="Tabletext">
    <w:name w:val="Table_text"/>
    <w:basedOn w:val="Standard"/>
    <w:link w:val="TabletextChar"/>
    <w:uiPriority w:val="99"/>
    <w:rsid w:val="003172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ascii="Times New Roman" w:hAnsi="Times New Roman"/>
      <w:sz w:val="20"/>
      <w:lang w:val="de-DE"/>
    </w:rPr>
  </w:style>
  <w:style w:type="character" w:customStyle="1" w:styleId="TableNo">
    <w:name w:val="Table_No Знак"/>
    <w:link w:val="TableNo0"/>
    <w:uiPriority w:val="99"/>
    <w:locked/>
    <w:rsid w:val="00317289"/>
    <w:rPr>
      <w:sz w:val="24"/>
    </w:rPr>
  </w:style>
  <w:style w:type="paragraph" w:customStyle="1" w:styleId="TableNo0">
    <w:name w:val="Table_No"/>
    <w:basedOn w:val="Standard"/>
    <w:next w:val="Standard"/>
    <w:link w:val="TableNo"/>
    <w:uiPriority w:val="99"/>
    <w:rsid w:val="00317289"/>
    <w:pPr>
      <w:keepNext/>
      <w:tabs>
        <w:tab w:val="left" w:pos="794"/>
        <w:tab w:val="left" w:pos="1191"/>
        <w:tab w:val="left" w:pos="1588"/>
        <w:tab w:val="left" w:pos="1985"/>
      </w:tabs>
      <w:overflowPunct w:val="0"/>
      <w:autoSpaceDE w:val="0"/>
      <w:autoSpaceDN w:val="0"/>
      <w:adjustRightInd w:val="0"/>
      <w:spacing w:before="360" w:after="120"/>
      <w:jc w:val="center"/>
    </w:pPr>
    <w:rPr>
      <w:rFonts w:ascii="Times New Roman" w:hAnsi="Times New Roman"/>
      <w:sz w:val="24"/>
      <w:lang w:val="de-DE"/>
    </w:rPr>
  </w:style>
  <w:style w:type="character" w:customStyle="1" w:styleId="Tabletitle">
    <w:name w:val="Table_title Знак"/>
    <w:link w:val="Tabletitle0"/>
    <w:uiPriority w:val="99"/>
    <w:locked/>
    <w:rsid w:val="00317289"/>
    <w:rPr>
      <w:b/>
      <w:sz w:val="24"/>
    </w:rPr>
  </w:style>
  <w:style w:type="paragraph" w:customStyle="1" w:styleId="Tabletitle0">
    <w:name w:val="Table_title"/>
    <w:basedOn w:val="Standard"/>
    <w:next w:val="Standard"/>
    <w:link w:val="Tabletitle"/>
    <w:uiPriority w:val="99"/>
    <w:rsid w:val="00317289"/>
    <w:pPr>
      <w:keepNext/>
      <w:tabs>
        <w:tab w:val="left" w:pos="794"/>
        <w:tab w:val="left" w:pos="1191"/>
        <w:tab w:val="left" w:pos="1588"/>
        <w:tab w:val="left" w:pos="1985"/>
      </w:tabs>
      <w:overflowPunct w:val="0"/>
      <w:autoSpaceDE w:val="0"/>
      <w:autoSpaceDN w:val="0"/>
      <w:adjustRightInd w:val="0"/>
      <w:spacing w:after="120"/>
      <w:jc w:val="center"/>
    </w:pPr>
    <w:rPr>
      <w:rFonts w:ascii="Times New Roman" w:hAnsi="Times New Roman"/>
      <w:b/>
      <w:sz w:val="24"/>
      <w:lang w:val="de-DE"/>
    </w:rPr>
  </w:style>
  <w:style w:type="character" w:customStyle="1" w:styleId="TableheadChar">
    <w:name w:val="Table_head Char"/>
    <w:basedOn w:val="Absatz-Standardschriftart"/>
    <w:link w:val="Tablehead"/>
    <w:uiPriority w:val="99"/>
    <w:locked/>
    <w:rsid w:val="00317289"/>
    <w:rPr>
      <w:b/>
    </w:rPr>
  </w:style>
  <w:style w:type="paragraph" w:customStyle="1" w:styleId="Tablehead">
    <w:name w:val="Table_head"/>
    <w:basedOn w:val="Standard"/>
    <w:next w:val="Standard"/>
    <w:link w:val="TableheadChar"/>
    <w:uiPriority w:val="99"/>
    <w:rsid w:val="0031728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ascii="Times New Roman" w:hAnsi="Times New Roman"/>
      <w:b/>
      <w:sz w:val="20"/>
      <w:lang w:val="de-DE"/>
    </w:rPr>
  </w:style>
  <w:style w:type="character" w:customStyle="1" w:styleId="hps">
    <w:name w:val="hps"/>
    <w:basedOn w:val="Absatz-Standardschriftart"/>
    <w:uiPriority w:val="99"/>
    <w:rsid w:val="00317289"/>
    <w:rPr>
      <w:rFonts w:ascii="Times New Roman" w:hAnsi="Times New Roman" w:cs="Times New Roman" w:hint="default"/>
    </w:rPr>
  </w:style>
  <w:style w:type="paragraph" w:customStyle="1" w:styleId="Tablefin">
    <w:name w:val="Table_fin"/>
    <w:basedOn w:val="Standard"/>
    <w:next w:val="Standard"/>
    <w:rsid w:val="00317289"/>
    <w:pPr>
      <w:tabs>
        <w:tab w:val="left" w:pos="794"/>
        <w:tab w:val="left" w:pos="1191"/>
        <w:tab w:val="left" w:pos="1588"/>
        <w:tab w:val="left" w:pos="1985"/>
      </w:tabs>
      <w:overflowPunct w:val="0"/>
      <w:autoSpaceDE w:val="0"/>
      <w:autoSpaceDN w:val="0"/>
      <w:adjustRightInd w:val="0"/>
      <w:jc w:val="both"/>
    </w:pPr>
    <w:rPr>
      <w:rFonts w:ascii="Times New Roman" w:hAnsi="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psworld.com/innovation-the-distress-alerting-satellite-system-10883/"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archandrescue.gsfc.nasa.gov/das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itu.int/net4/ITU-R/terrestrial/res205/default.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gpssystems.net/gps-emergency-systems-dass/" TargetMode="Externa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ADD36-1BE3-49CE-9990-2B0071B1E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2398</Words>
  <Characters>13085</Characters>
  <Application>Microsoft Office Word</Application>
  <DocSecurity>4</DocSecurity>
  <Lines>109</Lines>
  <Paragraphs>30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Bundesnetzagentur</Company>
  <LinksUpToDate>false</LinksUpToDate>
  <CharactersWithSpaces>15453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FM22</dc:creator>
  <cp:lastModifiedBy>Thomas Hasenpusch</cp:lastModifiedBy>
  <cp:revision>2</cp:revision>
  <dcterms:created xsi:type="dcterms:W3CDTF">2016-09-23T10:31:00Z</dcterms:created>
  <dcterms:modified xsi:type="dcterms:W3CDTF">2016-09-23T10:31:00Z</dcterms:modified>
</cp:coreProperties>
</file>