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3001"/>
        <w:gridCol w:w="4961"/>
      </w:tblGrid>
      <w:tr w:rsidR="00265F50" w:rsidRPr="00A3755D" w14:paraId="2085C641" w14:textId="77777777" w:rsidTr="00C01F49">
        <w:trPr>
          <w:cantSplit/>
          <w:trHeight w:val="15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7937E" w14:textId="3D5625A2" w:rsidR="00265F50" w:rsidRPr="00265F50" w:rsidRDefault="00265F50" w:rsidP="00DD5136">
            <w:pPr>
              <w:pStyle w:val="ECCLetterHead"/>
            </w:pPr>
            <w:r w:rsidRPr="00265F50">
              <w:rPr>
                <w:noProof/>
                <w:lang w:val="tr-TR" w:eastAsia="tr-TR"/>
              </w:rPr>
              <w:drawing>
                <wp:inline distT="0" distB="0" distL="0" distR="0" wp14:anchorId="40AAA9EB" wp14:editId="6E4581F9">
                  <wp:extent cx="1617980" cy="8280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1832">
              <w:t>FM44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911F235" w14:textId="1292D061" w:rsidR="00265F50" w:rsidRPr="00265F50" w:rsidRDefault="00265F50" w:rsidP="00DD5136">
            <w:pPr>
              <w:pStyle w:val="ECCLetterHead"/>
            </w:pPr>
            <w:r>
              <w:tab/>
              <w:t xml:space="preserve">Doc. </w:t>
            </w:r>
            <w:r w:rsidR="00101832">
              <w:t>FM44</w:t>
            </w:r>
            <w:r w:rsidR="00F11542">
              <w:t>(</w:t>
            </w:r>
            <w:r w:rsidR="00BE0B23">
              <w:t>2</w:t>
            </w:r>
            <w:r w:rsidR="00101832">
              <w:t>4</w:t>
            </w:r>
            <w:r w:rsidRPr="00265F50">
              <w:t>)</w:t>
            </w:r>
            <w:r w:rsidR="007A191B">
              <w:t>048</w:t>
            </w:r>
            <w:bookmarkStart w:id="0" w:name="_GoBack"/>
            <w:bookmarkEnd w:id="0"/>
          </w:p>
        </w:tc>
      </w:tr>
      <w:tr w:rsidR="00F11542" w:rsidRPr="00A3755D" w14:paraId="4F672DAE" w14:textId="77777777" w:rsidTr="00C01F4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36DC6" w14:textId="6E14D1C4" w:rsidR="00F11542" w:rsidRPr="0011705C" w:rsidRDefault="00101832" w:rsidP="00DD5136">
            <w:pPr>
              <w:pStyle w:val="ECCLetterHead"/>
            </w:pPr>
            <w:r>
              <w:t>FM44#8</w:t>
            </w:r>
            <w:r w:rsidR="00970A17">
              <w:t>1</w:t>
            </w:r>
          </w:p>
        </w:tc>
      </w:tr>
      <w:tr w:rsidR="00F11542" w:rsidRPr="00A3755D" w14:paraId="563A76CA" w14:textId="77777777" w:rsidTr="00C01F4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04381" w14:textId="6196B75B" w:rsidR="00F11542" w:rsidRPr="0011705C" w:rsidRDefault="004229EC" w:rsidP="00265F50">
            <w:pPr>
              <w:pStyle w:val="ECCLetterHead"/>
            </w:pPr>
            <w:r>
              <w:t>Bienne</w:t>
            </w:r>
            <w:r w:rsidR="00F11542" w:rsidRPr="00265F50">
              <w:t xml:space="preserve">, </w:t>
            </w:r>
            <w:r w:rsidR="00970A17">
              <w:t>3</w:t>
            </w:r>
            <w:r w:rsidR="00101832">
              <w:t>-</w:t>
            </w:r>
            <w:r w:rsidR="00970A17">
              <w:t>5</w:t>
            </w:r>
            <w:r w:rsidR="00101832" w:rsidRPr="00101832">
              <w:rPr>
                <w:vertAlign w:val="superscript"/>
              </w:rPr>
              <w:t>th</w:t>
            </w:r>
            <w:r w:rsidR="00101832">
              <w:t xml:space="preserve"> </w:t>
            </w:r>
            <w:r w:rsidR="00970A17">
              <w:t>September</w:t>
            </w:r>
            <w:r w:rsidR="00101832">
              <w:t xml:space="preserve"> 2024</w:t>
            </w:r>
          </w:p>
        </w:tc>
      </w:tr>
      <w:tr w:rsidR="00F11542" w:rsidRPr="00A3755D" w14:paraId="4B0D1AF6" w14:textId="77777777" w:rsidTr="00C01F49">
        <w:tblPrEx>
          <w:tblCellMar>
            <w:left w:w="108" w:type="dxa"/>
            <w:right w:w="108" w:type="dxa"/>
          </w:tblCellMar>
        </w:tblPrEx>
        <w:trPr>
          <w:cantSplit/>
          <w:trHeight w:hRule="exact" w:val="79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C15CD" w14:textId="77777777" w:rsidR="00F11542" w:rsidRPr="00A3755D" w:rsidRDefault="00F11542" w:rsidP="00263FFB">
            <w:pPr>
              <w:pStyle w:val="ECCLetterHead"/>
            </w:pPr>
          </w:p>
        </w:tc>
      </w:tr>
      <w:tr w:rsidR="00263FFB" w:rsidRPr="00A3755D" w14:paraId="7893EA43" w14:textId="77777777" w:rsidTr="00C01F4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01FC4" w14:textId="77777777" w:rsidR="00263FFB" w:rsidRPr="00263FFB" w:rsidRDefault="00263FFB" w:rsidP="00263FFB">
            <w:pPr>
              <w:pStyle w:val="ECCLetterHead"/>
            </w:pPr>
            <w:r w:rsidRPr="00A3755D">
              <w:t xml:space="preserve">Date issued: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F7838" w14:textId="67FB7F2B" w:rsidR="00263FFB" w:rsidRPr="00263FFB" w:rsidRDefault="004229EC" w:rsidP="00263FFB">
            <w:pPr>
              <w:pStyle w:val="ECCLetterHead"/>
            </w:pPr>
            <w:r>
              <w:t>2</w:t>
            </w:r>
            <w:r w:rsidR="007A191B">
              <w:t>9</w:t>
            </w:r>
            <w:r>
              <w:t>/08/2024</w:t>
            </w:r>
          </w:p>
        </w:tc>
      </w:tr>
      <w:tr w:rsidR="00263FFB" w:rsidRPr="00A3755D" w14:paraId="610BD899" w14:textId="77777777" w:rsidTr="00C01F4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EF816" w14:textId="77777777" w:rsidR="00263FFB" w:rsidRPr="00263FFB" w:rsidRDefault="00263FFB" w:rsidP="00263FFB">
            <w:pPr>
              <w:pStyle w:val="ECCLetterHead"/>
            </w:pPr>
            <w:r w:rsidRPr="00A3755D">
              <w:t xml:space="preserve">Source: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045A0" w14:textId="1CF50811" w:rsidR="00263FFB" w:rsidRPr="00263FFB" w:rsidRDefault="004229EC" w:rsidP="00263FFB">
            <w:pPr>
              <w:pStyle w:val="ECCLetterHead"/>
            </w:pPr>
            <w:proofErr w:type="spellStart"/>
            <w:r>
              <w:t>Türkiye</w:t>
            </w:r>
            <w:proofErr w:type="spellEnd"/>
          </w:p>
        </w:tc>
      </w:tr>
      <w:tr w:rsidR="00263FFB" w:rsidRPr="00A3755D" w14:paraId="31AEFAF8" w14:textId="77777777" w:rsidTr="00C01F49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15EBE" w14:textId="77777777" w:rsidR="00263FFB" w:rsidRPr="00263FFB" w:rsidRDefault="00263FFB" w:rsidP="00263FFB">
            <w:pPr>
              <w:pStyle w:val="ECCLetterHead"/>
            </w:pPr>
            <w:r w:rsidRPr="00A3755D">
              <w:t xml:space="preserve">Subject: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C6DD9" w14:textId="2AB92428" w:rsidR="00263FFB" w:rsidRPr="00263FFB" w:rsidRDefault="004229EC" w:rsidP="00263FFB">
            <w:pPr>
              <w:pStyle w:val="ECCLetterHead"/>
            </w:pPr>
            <w:r>
              <w:t>Plan-S</w:t>
            </w:r>
            <w:r w:rsidRPr="004229EC">
              <w:t xml:space="preserve"> (</w:t>
            </w:r>
            <w:r>
              <w:t>CONNECTA IoT</w:t>
            </w:r>
            <w:r w:rsidRPr="004229EC">
              <w:t>) Declaration of compliance according to ERC Decision (99)06</w:t>
            </w:r>
          </w:p>
        </w:tc>
      </w:tr>
      <w:tr w:rsidR="00263FFB" w:rsidRPr="00A3755D" w14:paraId="1E7D321D" w14:textId="77777777" w:rsidTr="00C01F49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ECD78" w14:textId="77777777" w:rsidR="00263FFB" w:rsidRPr="00263FFB" w:rsidRDefault="00263FFB" w:rsidP="00263FFB">
            <w:pPr>
              <w:pStyle w:val="ECCTabletext"/>
            </w:pPr>
            <w:r w:rsidRPr="00263FFB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0" allowOverlap="1" wp14:anchorId="7B9812FB" wp14:editId="141D2C2F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186690</wp:posOffset>
                      </wp:positionV>
                      <wp:extent cx="457200" cy="269875"/>
                      <wp:effectExtent l="0" t="0" r="19050" b="15875"/>
                      <wp:wrapNone/>
                      <wp:docPr id="24" name="Textfeld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0CC951" w14:textId="77777777" w:rsidR="00263FFB" w:rsidRPr="00F45561" w:rsidRDefault="00F45561" w:rsidP="00F45561">
                                  <w:pPr>
                                    <w:pStyle w:val="ECCTabletext"/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43200" tIns="28800" rIns="36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7B9812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4" o:spid="_x0000_s1026" type="#_x0000_t202" style="position:absolute;left:0;text-align:left;margin-left:214.05pt;margin-top:14.7pt;width:36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" o:allowincell="f">
                      <v:textbox inset="1.2mm,.8mm,1mm,2mm">
                        <w:txbxContent>
                          <w:p w14:paraId="2F0CC951" w14:textId="77777777" w:rsidR="00263FFB" w:rsidRPr="00F45561" w:rsidRDefault="00F45561" w:rsidP="00F45561">
                            <w:pPr>
                              <w:pStyle w:val="ECCTabletext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3FFB">
              <w:t>Group membership required to read? (Y/N)</w:t>
            </w:r>
          </w:p>
        </w:tc>
      </w:tr>
      <w:tr w:rsidR="00263FFB" w:rsidRPr="00A3755D" w14:paraId="4EB50F1F" w14:textId="77777777" w:rsidTr="00C01F49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83AE2" w14:textId="77777777" w:rsidR="00263FFB" w:rsidRPr="00F32DEC" w:rsidRDefault="00263FFB" w:rsidP="00263FFB">
            <w:pPr>
              <w:rPr>
                <w:rStyle w:val="ECCParagraph"/>
              </w:rPr>
            </w:pPr>
          </w:p>
          <w:p w14:paraId="24F7BA5C" w14:textId="77777777" w:rsidR="00263FFB" w:rsidRPr="00A3755D" w:rsidRDefault="00263FFB" w:rsidP="00263FFB"/>
        </w:tc>
      </w:tr>
      <w:tr w:rsidR="00263FFB" w:rsidRPr="00A3755D" w14:paraId="346A4B22" w14:textId="77777777" w:rsidTr="00C01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1311FED7" w14:textId="77777777" w:rsidR="00263FFB" w:rsidRPr="00263FFB" w:rsidRDefault="00263FFB" w:rsidP="00263FFB">
            <w:pPr>
              <w:pStyle w:val="ECCLetterHead"/>
            </w:pPr>
            <w:r w:rsidRPr="00A3755D">
              <w:t xml:space="preserve">Summary: </w:t>
            </w:r>
          </w:p>
        </w:tc>
      </w:tr>
      <w:tr w:rsidR="00263FFB" w:rsidRPr="00A3755D" w14:paraId="6E5E5CE9" w14:textId="77777777" w:rsidTr="00C01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43EB19C7" w14:textId="3343633B" w:rsidR="004229EC" w:rsidRPr="004229EC" w:rsidRDefault="004229EC" w:rsidP="004229EC">
            <w:pPr>
              <w:pStyle w:val="ECCTabletext"/>
              <w:numPr>
                <w:ilvl w:val="0"/>
                <w:numId w:val="2"/>
              </w:numPr>
            </w:pPr>
            <w:r>
              <w:t xml:space="preserve">CONNECTA IoT </w:t>
            </w:r>
            <w:r w:rsidRPr="004229EC">
              <w:t xml:space="preserve">satellite system is compliant with milestone 1 of Annex 3 of the ERC Decision (99)06 and </w:t>
            </w:r>
            <w:proofErr w:type="spellStart"/>
            <w:r>
              <w:t>Türkiye</w:t>
            </w:r>
            <w:proofErr w:type="spellEnd"/>
            <w:r w:rsidRPr="004229EC">
              <w:t xml:space="preserve"> requests it is incorporated to the Annex 1 of the Decision.</w:t>
            </w:r>
          </w:p>
          <w:p w14:paraId="2D48B96A" w14:textId="2FC46BA9" w:rsidR="004229EC" w:rsidRPr="004229EC" w:rsidRDefault="004229EC" w:rsidP="004229EC">
            <w:pPr>
              <w:pStyle w:val="ECCTabletext"/>
              <w:numPr>
                <w:ilvl w:val="0"/>
                <w:numId w:val="2"/>
              </w:numPr>
            </w:pPr>
            <w:proofErr w:type="spellStart"/>
            <w:r>
              <w:t>Türkiye</w:t>
            </w:r>
            <w:proofErr w:type="spellEnd"/>
            <w:r w:rsidRPr="004229EC">
              <w:t xml:space="preserve"> also requests that the </w:t>
            </w:r>
            <w:r>
              <w:t>CONNECTA IoT satellite</w:t>
            </w:r>
            <w:r w:rsidRPr="004229EC">
              <w:t xml:space="preserve"> system is considered for the compatibility studies referred to in DECIDES 5b</w:t>
            </w:r>
            <w:r w:rsidR="00D55DF8">
              <w:t>)</w:t>
            </w:r>
            <w:r w:rsidRPr="004229EC">
              <w:t xml:space="preserve"> of ERC Decision (99)06</w:t>
            </w:r>
            <w:r w:rsidR="00D55DF8">
              <w:t xml:space="preserve"> for its</w:t>
            </w:r>
            <w:r w:rsidRPr="004229EC">
              <w:t xml:space="preserve"> inclusion in Annex 2 of the Decision.</w:t>
            </w:r>
          </w:p>
          <w:p w14:paraId="117270CF" w14:textId="77777777" w:rsidR="002F70E6" w:rsidRPr="00263FFB" w:rsidRDefault="002F70E6" w:rsidP="00263FFB">
            <w:pPr>
              <w:pStyle w:val="ECCTabletext"/>
            </w:pPr>
          </w:p>
        </w:tc>
      </w:tr>
      <w:tr w:rsidR="00263FFB" w:rsidRPr="00A3755D" w14:paraId="0A2084F3" w14:textId="77777777" w:rsidTr="00C01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351F3AD3" w14:textId="77777777" w:rsidR="00263FFB" w:rsidRPr="00263FFB" w:rsidRDefault="00263FFB" w:rsidP="00263FFB">
            <w:pPr>
              <w:pStyle w:val="ECCLetterHead"/>
            </w:pPr>
            <w:r w:rsidRPr="00A3755D">
              <w:t>Proposal:</w:t>
            </w:r>
          </w:p>
        </w:tc>
      </w:tr>
      <w:tr w:rsidR="00263FFB" w:rsidRPr="00A3755D" w14:paraId="55455C93" w14:textId="77777777" w:rsidTr="00C01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2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1C991F05" w14:textId="1FAD2E13" w:rsidR="00263FFB" w:rsidRDefault="007E1A57" w:rsidP="00263FFB">
            <w:pPr>
              <w:pStyle w:val="ECCTabletext"/>
            </w:pPr>
            <w:r>
              <w:t xml:space="preserve">invites </w:t>
            </w:r>
            <w:r w:rsidR="004229EC">
              <w:t>FM44</w:t>
            </w:r>
            <w:r w:rsidR="00265F50">
              <w:t xml:space="preserve"> to</w:t>
            </w:r>
          </w:p>
          <w:p w14:paraId="5F70496D" w14:textId="4065A1A7" w:rsidR="004229EC" w:rsidRDefault="004229EC" w:rsidP="004229EC">
            <w:pPr>
              <w:pStyle w:val="ECCTabletext"/>
              <w:numPr>
                <w:ilvl w:val="0"/>
                <w:numId w:val="2"/>
              </w:numPr>
            </w:pPr>
            <w:r w:rsidRPr="004229EC">
              <w:t xml:space="preserve">Approve the </w:t>
            </w:r>
            <w:r>
              <w:t>CONNECTA IoT satellite</w:t>
            </w:r>
            <w:r w:rsidRPr="004229EC">
              <w:t xml:space="preserve"> system to be added to Annex 1 of the amended ERC Decision (99)06</w:t>
            </w:r>
          </w:p>
          <w:p w14:paraId="0ECD310F" w14:textId="356C325B" w:rsidR="002F70E6" w:rsidRDefault="004229EC" w:rsidP="004229EC">
            <w:pPr>
              <w:pStyle w:val="ECCTabletext"/>
              <w:numPr>
                <w:ilvl w:val="0"/>
                <w:numId w:val="2"/>
              </w:numPr>
            </w:pPr>
            <w:r w:rsidRPr="004229EC">
              <w:t>Approve a LS from FM44 to SE</w:t>
            </w:r>
            <w:r w:rsidR="00995573">
              <w:t>40</w:t>
            </w:r>
            <w:r w:rsidR="00D55DF8">
              <w:t xml:space="preserve"> </w:t>
            </w:r>
            <w:r w:rsidRPr="004229EC">
              <w:t xml:space="preserve">with copy to </w:t>
            </w:r>
            <w:r w:rsidR="00995573">
              <w:t>WGSE</w:t>
            </w:r>
          </w:p>
          <w:p w14:paraId="70DFD042" w14:textId="77777777" w:rsidR="002F70E6" w:rsidRPr="00263FFB" w:rsidRDefault="002F70E6" w:rsidP="002F70E6">
            <w:pPr>
              <w:pStyle w:val="ECCBulletsLv2"/>
              <w:numPr>
                <w:ilvl w:val="0"/>
                <w:numId w:val="0"/>
              </w:numPr>
              <w:ind w:left="680" w:hanging="340"/>
            </w:pPr>
          </w:p>
        </w:tc>
      </w:tr>
      <w:tr w:rsidR="00263FFB" w:rsidRPr="00A3755D" w14:paraId="73D06F6E" w14:textId="77777777" w:rsidTr="00C01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14:paraId="60FD631E" w14:textId="77777777" w:rsidR="00263FFB" w:rsidRPr="00263FFB" w:rsidRDefault="00263FFB" w:rsidP="00263FFB">
            <w:pPr>
              <w:pStyle w:val="ECCLetterHead"/>
            </w:pPr>
            <w:r w:rsidRPr="00A3755D">
              <w:t>Background:</w:t>
            </w:r>
          </w:p>
        </w:tc>
      </w:tr>
      <w:tr w:rsidR="00265F50" w:rsidRPr="00A3755D" w14:paraId="6DA4B9F9" w14:textId="77777777" w:rsidTr="00C01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8"/>
        </w:trPr>
        <w:tc>
          <w:tcPr>
            <w:tcW w:w="9781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14:paraId="73E3D070" w14:textId="6D134DC6" w:rsidR="004229EC" w:rsidRDefault="004229EC" w:rsidP="00D24C54">
            <w:pPr>
              <w:pStyle w:val="ECCTabletext"/>
            </w:pPr>
            <w:r w:rsidRPr="004229EC">
              <w:lastRenderedPageBreak/>
              <w:t xml:space="preserve">The </w:t>
            </w:r>
            <w:r>
              <w:t>CONNECTA IoT</w:t>
            </w:r>
            <w:r w:rsidRPr="004229EC">
              <w:t xml:space="preserve"> satellite system </w:t>
            </w:r>
            <w:r w:rsidR="00C01F49">
              <w:t xml:space="preserve">will </w:t>
            </w:r>
            <w:r w:rsidRPr="004229EC">
              <w:t xml:space="preserve">operate </w:t>
            </w:r>
            <w:r>
              <w:t>within</w:t>
            </w:r>
            <w:r w:rsidR="00C01F49">
              <w:t xml:space="preserve"> one of</w:t>
            </w:r>
            <w:r>
              <w:t xml:space="preserve"> </w:t>
            </w:r>
            <w:r w:rsidRPr="004229EC">
              <w:t xml:space="preserve">the frequency </w:t>
            </w:r>
            <w:r>
              <w:t>bands</w:t>
            </w:r>
            <w:r w:rsidR="00D24C54">
              <w:t xml:space="preserve"> in the scope of ERC </w:t>
            </w:r>
            <w:r w:rsidR="00D24C54" w:rsidRPr="004229EC">
              <w:t>Decision (99)06</w:t>
            </w:r>
            <w:r>
              <w:t xml:space="preserve">. </w:t>
            </w:r>
            <w:r w:rsidR="00D24C54">
              <w:t xml:space="preserve">CONNECTA IoT satellite system will employ the frequency band 862-870 MHz band for uplink, and for downlink </w:t>
            </w:r>
            <w:r w:rsidR="00C01F49">
              <w:t>where permitted</w:t>
            </w:r>
            <w:r w:rsidR="00D24C54">
              <w:t xml:space="preserve">. </w:t>
            </w:r>
            <w:r w:rsidR="00C01F49" w:rsidRPr="00C01F49">
              <w:t>In jurisdictions where the 862-870 MHz band is not available for downlink, the 400.15-401 MHz band will be used as a backup.</w:t>
            </w:r>
          </w:p>
          <w:p w14:paraId="5CE0C5EB" w14:textId="77777777" w:rsidR="00C01F49" w:rsidRPr="004229EC" w:rsidRDefault="00C01F49" w:rsidP="00D24C54">
            <w:pPr>
              <w:pStyle w:val="ECCTabletext"/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768"/>
              <w:gridCol w:w="1913"/>
              <w:gridCol w:w="3260"/>
              <w:gridCol w:w="2685"/>
            </w:tblGrid>
            <w:tr w:rsidR="004229EC" w:rsidRPr="004229EC" w14:paraId="5D077698" w14:textId="77777777" w:rsidTr="00C01F49">
              <w:trPr>
                <w:trHeight w:val="655"/>
              </w:trPr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C047F6" w14:textId="77777777" w:rsidR="004229EC" w:rsidRPr="004229EC" w:rsidRDefault="004229EC" w:rsidP="004229EC">
                  <w:pPr>
                    <w:pStyle w:val="ECCTabletext"/>
                    <w:spacing w:after="60"/>
                    <w:rPr>
                      <w:b/>
                    </w:rPr>
                  </w:pPr>
                  <w:r w:rsidRPr="004229EC">
                    <w:rPr>
                      <w:b/>
                    </w:rPr>
                    <w:t>System name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9551CE" w14:textId="77777777" w:rsidR="004229EC" w:rsidRPr="004229EC" w:rsidRDefault="004229EC" w:rsidP="004229EC">
                  <w:pPr>
                    <w:pStyle w:val="ECCTabletext"/>
                    <w:spacing w:after="60"/>
                    <w:rPr>
                      <w:b/>
                    </w:rPr>
                  </w:pPr>
                  <w:r w:rsidRPr="004229EC">
                    <w:rPr>
                      <w:b/>
                    </w:rPr>
                    <w:t>ITU Name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701078" w14:textId="77777777" w:rsidR="004229EC" w:rsidRPr="004229EC" w:rsidRDefault="004229EC" w:rsidP="004229EC">
                  <w:pPr>
                    <w:pStyle w:val="ECCTabletext"/>
                    <w:spacing w:after="60"/>
                    <w:rPr>
                      <w:b/>
                    </w:rPr>
                  </w:pPr>
                  <w:r w:rsidRPr="004229EC">
                    <w:rPr>
                      <w:b/>
                    </w:rPr>
                    <w:t>Candidate bands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EECBA6" w14:textId="61B0B6E8" w:rsidR="004229EC" w:rsidRPr="004229EC" w:rsidRDefault="004229EC" w:rsidP="004229EC">
                  <w:pPr>
                    <w:pStyle w:val="ECCTabletext"/>
                    <w:spacing w:after="60"/>
                    <w:rPr>
                      <w:b/>
                    </w:rPr>
                  </w:pPr>
                  <w:r w:rsidRPr="004229EC">
                    <w:rPr>
                      <w:b/>
                    </w:rPr>
                    <w:t>Year of expected commercial</w:t>
                  </w:r>
                  <w:r>
                    <w:rPr>
                      <w:b/>
                    </w:rPr>
                    <w:t xml:space="preserve"> </w:t>
                  </w:r>
                  <w:r w:rsidRPr="004229EC">
                    <w:rPr>
                      <w:b/>
                    </w:rPr>
                    <w:t>service introduction</w:t>
                  </w:r>
                </w:p>
              </w:tc>
            </w:tr>
            <w:tr w:rsidR="004229EC" w:rsidRPr="004229EC" w14:paraId="0D5DEDDA" w14:textId="77777777" w:rsidTr="00C01F49">
              <w:trPr>
                <w:trHeight w:val="590"/>
              </w:trPr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D9684" w14:textId="0BC55394" w:rsidR="004229EC" w:rsidRPr="004229EC" w:rsidRDefault="00D55DF8" w:rsidP="004229EC">
                  <w:pPr>
                    <w:pStyle w:val="ECCTabletext"/>
                    <w:spacing w:after="60"/>
                  </w:pPr>
                  <w:r>
                    <w:t>Plan-S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3EBA4" w14:textId="77DED4BB" w:rsidR="004229EC" w:rsidRPr="004229EC" w:rsidRDefault="004229EC" w:rsidP="004229EC">
                  <w:pPr>
                    <w:pStyle w:val="ECCTabletext"/>
                    <w:spacing w:after="60"/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CONNECTA IOT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E4640B" w14:textId="63BA6645" w:rsidR="004229EC" w:rsidRPr="004229EC" w:rsidRDefault="004229EC" w:rsidP="004229EC">
                  <w:pPr>
                    <w:pStyle w:val="ECCTabletext"/>
                    <w:spacing w:after="60"/>
                  </w:pPr>
                  <w:r>
                    <w:t>D</w:t>
                  </w:r>
                  <w:r w:rsidR="00D24C54">
                    <w:t>own</w:t>
                  </w:r>
                  <w:r w:rsidR="00C01F49">
                    <w:t>-</w:t>
                  </w:r>
                  <w:r w:rsidR="00D24C54">
                    <w:t>link</w:t>
                  </w:r>
                  <w:r>
                    <w:t>: 400.15-401 MHz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DEBF4E" w14:textId="698C2EA1" w:rsidR="004229EC" w:rsidRPr="004229EC" w:rsidRDefault="004229EC" w:rsidP="004229EC">
                  <w:pPr>
                    <w:pStyle w:val="ECCTabletext"/>
                    <w:spacing w:after="60"/>
                  </w:pPr>
                  <w:r>
                    <w:t>2024</w:t>
                  </w:r>
                  <w:r w:rsidR="00C01F49">
                    <w:t>-</w:t>
                  </w:r>
                  <w:r w:rsidR="00D24C54">
                    <w:t>2025</w:t>
                  </w:r>
                </w:p>
              </w:tc>
            </w:tr>
          </w:tbl>
          <w:p w14:paraId="15BBE12E" w14:textId="77777777" w:rsidR="00C01F49" w:rsidRDefault="00C01F49" w:rsidP="00C01F49">
            <w:pPr>
              <w:pStyle w:val="ECCTabletext"/>
              <w:rPr>
                <w:lang w:val="en-US"/>
              </w:rPr>
            </w:pPr>
          </w:p>
          <w:p w14:paraId="419E3029" w14:textId="75E7C785" w:rsidR="00C01F49" w:rsidRPr="004229EC" w:rsidRDefault="00C01F49" w:rsidP="00C01F49">
            <w:pPr>
              <w:pStyle w:val="ECCTabletext"/>
            </w:pPr>
            <w:r>
              <w:rPr>
                <w:lang w:val="en-US"/>
              </w:rPr>
              <w:t>The</w:t>
            </w:r>
            <w:r w:rsidRPr="004229EC">
              <w:t xml:space="preserve"> information required for the declaration of a system to be added to Annex 1 of the ERC Decision (99)06</w:t>
            </w:r>
            <w:r>
              <w:t>, which involves the submission of a filing to ITU, is indicated in the table below.</w:t>
            </w: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2252"/>
              <w:gridCol w:w="1639"/>
              <w:gridCol w:w="2870"/>
              <w:gridCol w:w="2870"/>
            </w:tblGrid>
            <w:tr w:rsidR="00C01F49" w:rsidRPr="004229EC" w14:paraId="3C3CDFFF" w14:textId="77777777" w:rsidTr="008035D5">
              <w:trPr>
                <w:trHeight w:val="211"/>
              </w:trPr>
              <w:tc>
                <w:tcPr>
                  <w:tcW w:w="1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AA64C4" w14:textId="77777777" w:rsidR="00C01F49" w:rsidRPr="004229EC" w:rsidRDefault="00C01F49" w:rsidP="00C01F49">
                  <w:pPr>
                    <w:pStyle w:val="ECCTabletext"/>
                    <w:spacing w:after="60"/>
                    <w:rPr>
                      <w:b/>
                    </w:rPr>
                  </w:pPr>
                  <w:r w:rsidRPr="004229EC">
                    <w:rPr>
                      <w:b/>
                    </w:rPr>
                    <w:t>Satellite network designation</w:t>
                  </w:r>
                </w:p>
              </w:tc>
              <w:tc>
                <w:tcPr>
                  <w:tcW w:w="8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E8A52B" w14:textId="77777777" w:rsidR="00C01F49" w:rsidRPr="004229EC" w:rsidRDefault="00C01F49" w:rsidP="00C01F49">
                  <w:pPr>
                    <w:pStyle w:val="ECCTabletext"/>
                    <w:spacing w:after="60"/>
                    <w:rPr>
                      <w:b/>
                    </w:rPr>
                  </w:pPr>
                  <w:r w:rsidRPr="004229EC">
                    <w:rPr>
                      <w:b/>
                    </w:rPr>
                    <w:t>Orbit</w:t>
                  </w:r>
                </w:p>
              </w:tc>
              <w:tc>
                <w:tcPr>
                  <w:tcW w:w="14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54719" w14:textId="77777777" w:rsidR="00C01F49" w:rsidRPr="004229EC" w:rsidRDefault="00C01F49" w:rsidP="00C01F49">
                  <w:pPr>
                    <w:pStyle w:val="ECCTabletext"/>
                    <w:spacing w:after="60"/>
                    <w:rPr>
                      <w:b/>
                    </w:rPr>
                  </w:pPr>
                  <w:r w:rsidRPr="004229EC">
                    <w:rPr>
                      <w:b/>
                    </w:rPr>
                    <w:t xml:space="preserve">ITU </w:t>
                  </w:r>
                  <w:r>
                    <w:rPr>
                      <w:b/>
                    </w:rPr>
                    <w:t>Notice ID and BR Registry Date</w:t>
                  </w:r>
                </w:p>
              </w:tc>
              <w:tc>
                <w:tcPr>
                  <w:tcW w:w="14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57A2C" w14:textId="77777777" w:rsidR="00C01F49" w:rsidRPr="004229EC" w:rsidRDefault="00C01F49" w:rsidP="00C01F49">
                  <w:pPr>
                    <w:pStyle w:val="ECCTabletext"/>
                    <w:rPr>
                      <w:b/>
                    </w:rPr>
                  </w:pPr>
                  <w:r>
                    <w:rPr>
                      <w:b/>
                    </w:rPr>
                    <w:t>Notifying Administration</w:t>
                  </w:r>
                </w:p>
              </w:tc>
            </w:tr>
            <w:tr w:rsidR="00C01F49" w:rsidRPr="004229EC" w14:paraId="4AA94F89" w14:textId="77777777" w:rsidTr="008035D5">
              <w:tc>
                <w:tcPr>
                  <w:tcW w:w="1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A16C7" w14:textId="77777777" w:rsidR="00C01F49" w:rsidRPr="004229EC" w:rsidRDefault="00C01F49" w:rsidP="00C01F49">
                  <w:pPr>
                    <w:pStyle w:val="ECCTabletext"/>
                    <w:spacing w:after="60"/>
                  </w:pPr>
                  <w:r>
                    <w:t>CONNECTA IoT</w:t>
                  </w:r>
                </w:p>
              </w:tc>
              <w:tc>
                <w:tcPr>
                  <w:tcW w:w="8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F87B4E" w14:textId="77777777" w:rsidR="00C01F49" w:rsidRPr="004229EC" w:rsidRDefault="00C01F49" w:rsidP="00C01F49">
                  <w:pPr>
                    <w:pStyle w:val="ECCTabletext"/>
                    <w:spacing w:after="60"/>
                  </w:pPr>
                  <w:r w:rsidRPr="004229EC">
                    <w:t>N-GSO downlink</w:t>
                  </w:r>
                </w:p>
              </w:tc>
              <w:tc>
                <w:tcPr>
                  <w:tcW w:w="14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9F1CDB" w14:textId="77777777" w:rsidR="00C01F49" w:rsidRPr="004229EC" w:rsidRDefault="00C01F49" w:rsidP="00C01F49">
                  <w:pPr>
                    <w:pStyle w:val="ECCTabletext"/>
                    <w:spacing w:after="60"/>
                  </w:pPr>
                  <w:r>
                    <w:t>124520081-04.04.2024</w:t>
                  </w:r>
                </w:p>
              </w:tc>
              <w:tc>
                <w:tcPr>
                  <w:tcW w:w="14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2B5E8" w14:textId="77777777" w:rsidR="00C01F49" w:rsidRDefault="00C01F49" w:rsidP="00C01F49">
                  <w:pPr>
                    <w:pStyle w:val="ECCTabletext"/>
                  </w:pPr>
                  <w:proofErr w:type="spellStart"/>
                  <w:r>
                    <w:t>Türkiye</w:t>
                  </w:r>
                  <w:proofErr w:type="spellEnd"/>
                </w:p>
              </w:tc>
            </w:tr>
          </w:tbl>
          <w:p w14:paraId="5F6CD7EE" w14:textId="77777777" w:rsidR="002F70E6" w:rsidRPr="00265F50" w:rsidRDefault="002F70E6" w:rsidP="00C01F49">
            <w:pPr>
              <w:pStyle w:val="ECCTabletext"/>
            </w:pPr>
          </w:p>
        </w:tc>
      </w:tr>
    </w:tbl>
    <w:p w14:paraId="637F709A" w14:textId="77777777" w:rsidR="001B0583" w:rsidRDefault="001B0583" w:rsidP="001B0583">
      <w:pPr>
        <w:pStyle w:val="ECCTablenote"/>
        <w:rPr>
          <w:rStyle w:val="ECCParagraph"/>
        </w:rPr>
      </w:pPr>
    </w:p>
    <w:p w14:paraId="644CAD66" w14:textId="4FBEC4F3" w:rsidR="0010162E" w:rsidRPr="00455D6F" w:rsidRDefault="0010162E" w:rsidP="0010162E">
      <w:pPr>
        <w:pStyle w:val="Titre1"/>
        <w:rPr>
          <w:lang w:val="en-US"/>
        </w:rPr>
      </w:pPr>
      <w:r>
        <w:rPr>
          <w:lang w:val="en-US"/>
        </w:rPr>
        <w:t>ExPLANATORY NOTES FOR REQUESTS</w:t>
      </w:r>
    </w:p>
    <w:p w14:paraId="732BF08F" w14:textId="6EF2FC09" w:rsidR="005C3C18" w:rsidRDefault="005C3C18" w:rsidP="005C3C18">
      <w:pPr>
        <w:rPr>
          <w:rStyle w:val="ECCParagraph"/>
        </w:rPr>
      </w:pPr>
      <w:r w:rsidRPr="00681194">
        <w:rPr>
          <w:rStyle w:val="ECCParagraph"/>
        </w:rPr>
        <w:t>Plan-S was established in 2021</w:t>
      </w:r>
      <w:r>
        <w:rPr>
          <w:rStyle w:val="ECCParagraph"/>
        </w:rPr>
        <w:t xml:space="preserve"> and is headquartered in </w:t>
      </w:r>
      <w:proofErr w:type="spellStart"/>
      <w:r>
        <w:rPr>
          <w:rStyle w:val="ECCParagraph"/>
        </w:rPr>
        <w:t>Türkiye</w:t>
      </w:r>
      <w:proofErr w:type="spellEnd"/>
      <w:r>
        <w:rPr>
          <w:rStyle w:val="ECCParagraph"/>
        </w:rPr>
        <w:t>. T</w:t>
      </w:r>
      <w:r w:rsidRPr="00681194">
        <w:rPr>
          <w:rStyle w:val="ECCParagraph"/>
        </w:rPr>
        <w:t xml:space="preserve">he </w:t>
      </w:r>
      <w:r>
        <w:rPr>
          <w:rStyle w:val="ECCParagraph"/>
        </w:rPr>
        <w:t xml:space="preserve">company’s </w:t>
      </w:r>
      <w:r w:rsidRPr="00681194">
        <w:rPr>
          <w:rStyle w:val="ECCParagraph"/>
        </w:rPr>
        <w:t xml:space="preserve">primary mission </w:t>
      </w:r>
      <w:r>
        <w:rPr>
          <w:rStyle w:val="ECCParagraph"/>
        </w:rPr>
        <w:t xml:space="preserve">is to </w:t>
      </w:r>
      <w:r w:rsidRPr="00681194">
        <w:rPr>
          <w:rStyle w:val="ECCParagraph"/>
        </w:rPr>
        <w:t>provid</w:t>
      </w:r>
      <w:r>
        <w:rPr>
          <w:rStyle w:val="ECCParagraph"/>
        </w:rPr>
        <w:t>e</w:t>
      </w:r>
      <w:r w:rsidRPr="00681194">
        <w:rPr>
          <w:rStyle w:val="ECCParagraph"/>
        </w:rPr>
        <w:t xml:space="preserve"> IoT connectivity and Earth Observation services across diverse sectors such as agriculture, oil &amp; gas, maritime, transportation, energy, finance, and more</w:t>
      </w:r>
      <w:r>
        <w:rPr>
          <w:rStyle w:val="ECCParagraph"/>
        </w:rPr>
        <w:t xml:space="preserve"> as an international satellite operator</w:t>
      </w:r>
      <w:r w:rsidRPr="00681194">
        <w:rPr>
          <w:rStyle w:val="ECCParagraph"/>
        </w:rPr>
        <w:t xml:space="preserve">. Additionally, Plan-S is dedicated to design and manufacture of satellite systems, encompassing satellites, ground stations, and ground devices, as well as the essential network software for seamless operation. </w:t>
      </w:r>
    </w:p>
    <w:p w14:paraId="3B2F1447" w14:textId="2894B491" w:rsidR="00681194" w:rsidRDefault="00681194" w:rsidP="00681194">
      <w:r w:rsidRPr="00681194">
        <w:rPr>
          <w:rStyle w:val="ECCParagraph"/>
        </w:rPr>
        <w:t xml:space="preserve">Plan-S </w:t>
      </w:r>
      <w:r>
        <w:rPr>
          <w:rStyle w:val="ECCParagraph"/>
        </w:rPr>
        <w:t>will</w:t>
      </w:r>
      <w:r w:rsidRPr="00681194">
        <w:rPr>
          <w:rStyle w:val="ECCParagraph"/>
        </w:rPr>
        <w:t xml:space="preserve"> operate within 862-870 MHz in Europe, while fully adhering to regional and national regulations for the device-to-satellite link (Earth-to-space)</w:t>
      </w:r>
      <w:r>
        <w:rPr>
          <w:rStyle w:val="ECCParagraph"/>
        </w:rPr>
        <w:t>.</w:t>
      </w:r>
      <w:r w:rsidRPr="00681194">
        <w:rPr>
          <w:rStyle w:val="ECCParagraph"/>
        </w:rPr>
        <w:t xml:space="preserve"> IoT satellites </w:t>
      </w:r>
      <w:r w:rsidR="007A6A77">
        <w:rPr>
          <w:rStyle w:val="ECCParagraph"/>
        </w:rPr>
        <w:t xml:space="preserve">will </w:t>
      </w:r>
      <w:r w:rsidRPr="00681194">
        <w:rPr>
          <w:rStyle w:val="ECCParagraph"/>
        </w:rPr>
        <w:t>employ this range from space-to-Earth direction as well for sending wake-up beacons and broadcast messages only for a short period of time</w:t>
      </w:r>
      <w:r w:rsidR="007A6A77">
        <w:rPr>
          <w:rStyle w:val="ECCParagraph"/>
        </w:rPr>
        <w:t xml:space="preserve"> </w:t>
      </w:r>
      <w:r w:rsidR="00342CCB">
        <w:rPr>
          <w:rStyle w:val="ECCParagraph"/>
        </w:rPr>
        <w:t>in case national</w:t>
      </w:r>
      <w:r w:rsidR="006547A3">
        <w:rPr>
          <w:rStyle w:val="ECCParagraph"/>
        </w:rPr>
        <w:t xml:space="preserve"> regulation permits</w:t>
      </w:r>
      <w:r w:rsidRPr="00681194">
        <w:rPr>
          <w:rStyle w:val="ECCParagraph"/>
        </w:rPr>
        <w:t xml:space="preserve">. </w:t>
      </w:r>
      <w:r w:rsidRPr="00681194">
        <w:t>As a backup, Plan-S will utilize the 400.15-401 MHz frequency band where the 862-870 MHz band is unavailable due to regulatory constraints.</w:t>
      </w:r>
    </w:p>
    <w:p w14:paraId="7BD0BE1E" w14:textId="436D93F2" w:rsidR="00681194" w:rsidRPr="00681194" w:rsidRDefault="00681194" w:rsidP="00681194">
      <w:pPr>
        <w:rPr>
          <w:rStyle w:val="ECCParagraph"/>
        </w:rPr>
      </w:pPr>
      <w:r>
        <w:t>In order to operate within CEPT countries, Plan-S has in</w:t>
      </w:r>
      <w:r w:rsidR="005C3C18">
        <w:t>formed us about</w:t>
      </w:r>
      <w:r>
        <w:t xml:space="preserve"> its intention to the inclusion of ERC Decision (99)06. </w:t>
      </w:r>
    </w:p>
    <w:p w14:paraId="50B93CB7" w14:textId="77777777" w:rsidR="00681194" w:rsidRPr="00681194" w:rsidRDefault="00455D6F" w:rsidP="00455D6F">
      <w:pPr>
        <w:rPr>
          <w:rStyle w:val="ECCParagraph"/>
        </w:rPr>
      </w:pPr>
      <w:r w:rsidRPr="00455D6F">
        <w:rPr>
          <w:rStyle w:val="ECCParagraph"/>
        </w:rPr>
        <w:t>According to Decides 4) of ERC</w:t>
      </w:r>
      <w:r w:rsidR="0010162E" w:rsidRPr="00681194">
        <w:rPr>
          <w:rStyle w:val="ECCParagraph"/>
        </w:rPr>
        <w:t xml:space="preserve"> Decision </w:t>
      </w:r>
      <w:r w:rsidRPr="00455D6F">
        <w:rPr>
          <w:rStyle w:val="ECCParagraph"/>
        </w:rPr>
        <w:t>(99)06, S-PCS &lt; 1 GHz systems may be added to the list in Annex 1 upon the request of at least one CEPT administration</w:t>
      </w:r>
      <w:r w:rsidRPr="00681194">
        <w:rPr>
          <w:rStyle w:val="ECCParagraph"/>
        </w:rPr>
        <w:t>, on the condition that this Administration declares compliance of that system with milestone 1 of Annex 3</w:t>
      </w:r>
      <w:r w:rsidRPr="00455D6F">
        <w:rPr>
          <w:rStyle w:val="ECCParagraph"/>
        </w:rPr>
        <w:t xml:space="preserve">. </w:t>
      </w:r>
    </w:p>
    <w:p w14:paraId="792D1E22" w14:textId="568B4FA8" w:rsidR="00455D6F" w:rsidRPr="00681194" w:rsidRDefault="0010162E" w:rsidP="00455D6F">
      <w:pPr>
        <w:rPr>
          <w:rStyle w:val="ECCParagraph"/>
        </w:rPr>
      </w:pPr>
      <w:proofErr w:type="spellStart"/>
      <w:r w:rsidRPr="00681194">
        <w:rPr>
          <w:rStyle w:val="ECCParagraph"/>
        </w:rPr>
        <w:t>Türkiye</w:t>
      </w:r>
      <w:proofErr w:type="spellEnd"/>
      <w:r w:rsidR="00455D6F" w:rsidRPr="00681194">
        <w:rPr>
          <w:rStyle w:val="ECCParagraph"/>
        </w:rPr>
        <w:t xml:space="preserve"> hereby declare that the filing for CONNECTA IoT has been submitted, with the BR Registry Date recorded as April 4, 2024</w:t>
      </w:r>
      <w:r w:rsidRPr="00681194">
        <w:rPr>
          <w:rStyle w:val="ECCParagraph"/>
        </w:rPr>
        <w:t>, and request the inclusion of CONNECTA IoT Satellite System to the list in Annex 1</w:t>
      </w:r>
      <w:r w:rsidR="00681194" w:rsidRPr="00681194">
        <w:rPr>
          <w:rStyle w:val="ECCParagraph"/>
        </w:rPr>
        <w:t xml:space="preserve"> of </w:t>
      </w:r>
      <w:r w:rsidR="00681194" w:rsidRPr="00455D6F">
        <w:rPr>
          <w:rStyle w:val="ECCParagraph"/>
        </w:rPr>
        <w:t>ERC</w:t>
      </w:r>
      <w:r w:rsidR="00681194" w:rsidRPr="00681194">
        <w:rPr>
          <w:rStyle w:val="ECCParagraph"/>
        </w:rPr>
        <w:t xml:space="preserve"> Decision </w:t>
      </w:r>
      <w:r w:rsidR="00681194" w:rsidRPr="00455D6F">
        <w:rPr>
          <w:rStyle w:val="ECCParagraph"/>
        </w:rPr>
        <w:t>(99)06</w:t>
      </w:r>
      <w:r w:rsidR="00455D6F" w:rsidRPr="00681194">
        <w:rPr>
          <w:rStyle w:val="ECCParagraph"/>
        </w:rPr>
        <w:t>.</w:t>
      </w:r>
    </w:p>
    <w:p w14:paraId="6AC4D958" w14:textId="56525F41" w:rsidR="00455D6F" w:rsidRPr="00455D6F" w:rsidRDefault="00455D6F" w:rsidP="00455D6F">
      <w:pPr>
        <w:rPr>
          <w:rStyle w:val="ECCParagraph"/>
        </w:rPr>
      </w:pPr>
      <w:r w:rsidRPr="00455D6F">
        <w:rPr>
          <w:rStyle w:val="ECCParagraph"/>
        </w:rPr>
        <w:t xml:space="preserve">Additionally, </w:t>
      </w:r>
      <w:r w:rsidR="00D55DF8" w:rsidRPr="00455D6F">
        <w:rPr>
          <w:rStyle w:val="ECCParagraph"/>
        </w:rPr>
        <w:t>for its inclusion in Annex 2 of ERC</w:t>
      </w:r>
      <w:r w:rsidR="00D55DF8" w:rsidRPr="00681194">
        <w:rPr>
          <w:rStyle w:val="ECCParagraph"/>
        </w:rPr>
        <w:t xml:space="preserve"> Decision </w:t>
      </w:r>
      <w:r w:rsidR="00D55DF8" w:rsidRPr="00455D6F">
        <w:rPr>
          <w:rStyle w:val="ECCParagraph"/>
        </w:rPr>
        <w:t>(99)06</w:t>
      </w:r>
      <w:r w:rsidR="00D55DF8">
        <w:rPr>
          <w:rStyle w:val="ECCParagraph"/>
        </w:rPr>
        <w:t xml:space="preserve">, </w:t>
      </w:r>
      <w:r w:rsidRPr="00455D6F">
        <w:rPr>
          <w:rStyle w:val="ECCParagraph"/>
        </w:rPr>
        <w:t xml:space="preserve">it is required that all necessary compatibility studies for an S-PCS &lt; 1 GHz system be successfully completed, and that the satellite </w:t>
      </w:r>
      <w:r w:rsidRPr="00681194">
        <w:rPr>
          <w:rStyle w:val="ECCParagraph"/>
        </w:rPr>
        <w:t xml:space="preserve">system </w:t>
      </w:r>
      <w:r w:rsidRPr="00455D6F">
        <w:rPr>
          <w:rStyle w:val="ECCParagraph"/>
        </w:rPr>
        <w:t>has met milestones 1 to 6 outlined in Annex 3 of this Decision.</w:t>
      </w:r>
    </w:p>
    <w:p w14:paraId="1CD2FAAF" w14:textId="77777777" w:rsidR="00455D6F" w:rsidRPr="00455D6F" w:rsidRDefault="00455D6F" w:rsidP="00455D6F">
      <w:pPr>
        <w:rPr>
          <w:rStyle w:val="ECCParagraph"/>
        </w:rPr>
      </w:pPr>
      <w:r w:rsidRPr="00455D6F">
        <w:rPr>
          <w:rStyle w:val="ECCParagraph"/>
        </w:rPr>
        <w:t>Plan-S is a designer, developer, and manufacturer of small satellites, satellite subsystems, payloads, ground stations, ground infrastructures, and the hardware/software required to operate its satellites and deliver IoT and Earth Observation services. To date, Plan-S has successfully demonstrated these capabilities by operating five test satellites.</w:t>
      </w:r>
    </w:p>
    <w:p w14:paraId="64E7CCD6" w14:textId="2C873700" w:rsidR="00455D6F" w:rsidRPr="00455D6F" w:rsidRDefault="00455D6F" w:rsidP="00455D6F">
      <w:pPr>
        <w:rPr>
          <w:rStyle w:val="ECCParagraph"/>
        </w:rPr>
      </w:pPr>
      <w:r w:rsidRPr="00455D6F">
        <w:rPr>
          <w:rStyle w:val="ECCParagraph"/>
        </w:rPr>
        <w:lastRenderedPageBreak/>
        <w:t>Recently, on August 16, 2024, Plan-S successfully launched four</w:t>
      </w:r>
      <w:r w:rsidR="005C3C18">
        <w:rPr>
          <w:rStyle w:val="ECCParagraph"/>
        </w:rPr>
        <w:t xml:space="preserve"> commercial</w:t>
      </w:r>
      <w:r w:rsidRPr="00455D6F">
        <w:rPr>
          <w:rStyle w:val="ECCParagraph"/>
        </w:rPr>
        <w:t xml:space="preserve"> IoT satellites into orbit and has commenced the commissioning process. The company has declared that they will be ready to provide services through the </w:t>
      </w:r>
      <w:proofErr w:type="spellStart"/>
      <w:r w:rsidRPr="00455D6F">
        <w:rPr>
          <w:rStyle w:val="ECCParagraph"/>
        </w:rPr>
        <w:t>Connecta</w:t>
      </w:r>
      <w:proofErr w:type="spellEnd"/>
      <w:r w:rsidRPr="00455D6F">
        <w:rPr>
          <w:rStyle w:val="ECCParagraph"/>
        </w:rPr>
        <w:t xml:space="preserve"> IoT Satellite System as of October 2024. Furthermore, Plan-S has stated that they will increase the number of </w:t>
      </w:r>
      <w:r w:rsidR="00D55DF8">
        <w:rPr>
          <w:rStyle w:val="ECCParagraph"/>
        </w:rPr>
        <w:t xml:space="preserve">commercial </w:t>
      </w:r>
      <w:r w:rsidRPr="00455D6F">
        <w:rPr>
          <w:rStyle w:val="ECCParagraph"/>
        </w:rPr>
        <w:t>satellites to 16 by August next year through already scheduled launches. By 2029, Plan-S aims to deploy over 100 active satellites in orbit to provide IoT services with low latency, high QoS, and high capacity.</w:t>
      </w:r>
    </w:p>
    <w:p w14:paraId="257782EE" w14:textId="49E60728" w:rsidR="00455D6F" w:rsidRPr="00681194" w:rsidRDefault="00D55DF8" w:rsidP="00455D6F">
      <w:pPr>
        <w:rPr>
          <w:rStyle w:val="ECCParagraph"/>
        </w:rPr>
      </w:pPr>
      <w:r>
        <w:rPr>
          <w:rStyle w:val="ECCParagraph"/>
        </w:rPr>
        <w:t xml:space="preserve">With </w:t>
      </w:r>
      <w:r w:rsidR="0010162E" w:rsidRPr="00681194">
        <w:rPr>
          <w:rStyle w:val="ECCParagraph"/>
        </w:rPr>
        <w:t>the launch of satellites operating in the frequency band 400.15-401 MHz</w:t>
      </w:r>
      <w:r w:rsidR="00455D6F" w:rsidRPr="00681194">
        <w:rPr>
          <w:rStyle w:val="ECCParagraph"/>
        </w:rPr>
        <w:t xml:space="preserve">, </w:t>
      </w:r>
      <w:proofErr w:type="spellStart"/>
      <w:r w:rsidR="0010162E" w:rsidRPr="00681194">
        <w:rPr>
          <w:rStyle w:val="ECCParagraph"/>
        </w:rPr>
        <w:t>Türkiye</w:t>
      </w:r>
      <w:proofErr w:type="spellEnd"/>
      <w:r w:rsidR="00455D6F" w:rsidRPr="00681194">
        <w:rPr>
          <w:rStyle w:val="ECCParagraph"/>
        </w:rPr>
        <w:t xml:space="preserve"> confirm</w:t>
      </w:r>
      <w:r w:rsidR="0010162E" w:rsidRPr="00681194">
        <w:rPr>
          <w:rStyle w:val="ECCParagraph"/>
        </w:rPr>
        <w:t>s</w:t>
      </w:r>
      <w:r w:rsidR="00455D6F" w:rsidRPr="00681194">
        <w:rPr>
          <w:rStyle w:val="ECCParagraph"/>
        </w:rPr>
        <w:t xml:space="preserve"> that CONNECTA IoT Satellite System has met milestones 1 to 6 outlined in Annex 3 of this Decision as follows:</w:t>
      </w:r>
    </w:p>
    <w:p w14:paraId="74093759" w14:textId="77777777" w:rsidR="00455D6F" w:rsidRDefault="00455D6F" w:rsidP="0010162E">
      <w:pPr>
        <w:pStyle w:val="ECCTabletext"/>
        <w:numPr>
          <w:ilvl w:val="0"/>
          <w:numId w:val="2"/>
        </w:numPr>
      </w:pPr>
      <w:r w:rsidRPr="00455D6F">
        <w:t xml:space="preserve">Submission of ITU Advance Publication and Co-ordination Documents </w:t>
      </w:r>
    </w:p>
    <w:p w14:paraId="679DB174" w14:textId="060F917C" w:rsidR="00455D6F" w:rsidRDefault="00455D6F" w:rsidP="0010162E">
      <w:pPr>
        <w:pStyle w:val="ECCTabletext"/>
        <w:numPr>
          <w:ilvl w:val="0"/>
          <w:numId w:val="2"/>
        </w:numPr>
      </w:pPr>
      <w:r>
        <w:t>S</w:t>
      </w:r>
      <w:r w:rsidRPr="00455D6F">
        <w:t xml:space="preserve">atellite manufacturing  </w:t>
      </w:r>
    </w:p>
    <w:p w14:paraId="779E9699" w14:textId="1B2D652B" w:rsidR="0010162E" w:rsidRDefault="0010162E" w:rsidP="0010162E">
      <w:pPr>
        <w:pStyle w:val="ECCTabletext"/>
        <w:numPr>
          <w:ilvl w:val="0"/>
          <w:numId w:val="2"/>
        </w:numPr>
      </w:pPr>
      <w:r w:rsidRPr="0010162E">
        <w:t>Completion of the Critical Design Review</w:t>
      </w:r>
    </w:p>
    <w:p w14:paraId="10F7C30E" w14:textId="2FB49907" w:rsidR="0010162E" w:rsidRDefault="0010162E" w:rsidP="0010162E">
      <w:pPr>
        <w:pStyle w:val="ECCTabletext"/>
        <w:numPr>
          <w:ilvl w:val="0"/>
          <w:numId w:val="2"/>
        </w:numPr>
      </w:pPr>
      <w:r w:rsidRPr="0010162E">
        <w:t>Satellite launch agreement</w:t>
      </w:r>
    </w:p>
    <w:p w14:paraId="16EB3E74" w14:textId="6E735D18" w:rsidR="0010162E" w:rsidRDefault="0010162E" w:rsidP="0010162E">
      <w:pPr>
        <w:pStyle w:val="ECCTabletext"/>
        <w:numPr>
          <w:ilvl w:val="0"/>
          <w:numId w:val="2"/>
        </w:numPr>
      </w:pPr>
      <w:r w:rsidRPr="0010162E">
        <w:t>Gateway earth stations</w:t>
      </w:r>
    </w:p>
    <w:p w14:paraId="68F8749F" w14:textId="385149A2" w:rsidR="0010162E" w:rsidRDefault="0010162E" w:rsidP="0010162E">
      <w:pPr>
        <w:pStyle w:val="ECCTabletext"/>
        <w:numPr>
          <w:ilvl w:val="0"/>
          <w:numId w:val="2"/>
        </w:numPr>
      </w:pPr>
      <w:r w:rsidRPr="0010162E">
        <w:t>Launch of satellites</w:t>
      </w:r>
    </w:p>
    <w:p w14:paraId="7C3D208C" w14:textId="77777777" w:rsidR="0010162E" w:rsidRDefault="0010162E" w:rsidP="0010162E">
      <w:pPr>
        <w:pStyle w:val="ECCTabletext"/>
      </w:pPr>
    </w:p>
    <w:p w14:paraId="1FBAFF4B" w14:textId="27614AFF" w:rsidR="00C53A2B" w:rsidRPr="00C53A2B" w:rsidRDefault="00CC5596" w:rsidP="00C53A2B">
      <w:pPr>
        <w:pStyle w:val="ECCTabletext"/>
        <w:rPr>
          <w:rStyle w:val="ECCParagraph"/>
        </w:rPr>
      </w:pPr>
      <w:r w:rsidRPr="00681194">
        <w:rPr>
          <w:rStyle w:val="ECCParagraph"/>
        </w:rPr>
        <w:t xml:space="preserve">Finally, for the inclusion of the CONNECTA IoT Satellite System in Annex 2 of ERC Decision (99)06, </w:t>
      </w:r>
      <w:proofErr w:type="spellStart"/>
      <w:r w:rsidRPr="00681194">
        <w:rPr>
          <w:rStyle w:val="ECCParagraph"/>
        </w:rPr>
        <w:t>Türkiye</w:t>
      </w:r>
      <w:proofErr w:type="spellEnd"/>
      <w:r w:rsidRPr="00681194">
        <w:rPr>
          <w:rStyle w:val="ECCParagraph"/>
        </w:rPr>
        <w:t xml:space="preserve"> requests FM44 to initiate studies in </w:t>
      </w:r>
      <w:r w:rsidR="00D55DF8">
        <w:rPr>
          <w:rStyle w:val="ECCParagraph"/>
        </w:rPr>
        <w:t>WG</w:t>
      </w:r>
      <w:r w:rsidRPr="00681194">
        <w:rPr>
          <w:rStyle w:val="ECCParagraph"/>
        </w:rPr>
        <w:t>SE</w:t>
      </w:r>
      <w:r w:rsidR="00D55DF8">
        <w:rPr>
          <w:rStyle w:val="ECCParagraph"/>
        </w:rPr>
        <w:t xml:space="preserve"> and SE40</w:t>
      </w:r>
      <w:r w:rsidRPr="00681194">
        <w:rPr>
          <w:rStyle w:val="ECCParagraph"/>
        </w:rPr>
        <w:t xml:space="preserve"> to conduct the appropriate compatibility analysis according to DECIDES 5b) of ERC Decision (99)06. </w:t>
      </w:r>
      <w:proofErr w:type="spellStart"/>
      <w:r w:rsidRPr="00681194">
        <w:rPr>
          <w:rStyle w:val="ECCParagraph"/>
        </w:rPr>
        <w:t>Türkiye</w:t>
      </w:r>
      <w:proofErr w:type="spellEnd"/>
      <w:r w:rsidRPr="00681194">
        <w:rPr>
          <w:rStyle w:val="ECCParagraph"/>
        </w:rPr>
        <w:t xml:space="preserve"> and Plan-S will provide the necessary information and support to WGSE </w:t>
      </w:r>
      <w:r w:rsidR="00D55DF8">
        <w:rPr>
          <w:rStyle w:val="ECCParagraph"/>
        </w:rPr>
        <w:t xml:space="preserve">and </w:t>
      </w:r>
      <w:r w:rsidRPr="00681194">
        <w:rPr>
          <w:rStyle w:val="ECCParagraph"/>
        </w:rPr>
        <w:t>SE40 for these studies. For this purpose, a proposed liaison statement from FM44 to SE</w:t>
      </w:r>
      <w:r w:rsidR="00092EF0" w:rsidRPr="00681194">
        <w:rPr>
          <w:rStyle w:val="ECCParagraph"/>
        </w:rPr>
        <w:t>40</w:t>
      </w:r>
      <w:r w:rsidRPr="00681194">
        <w:rPr>
          <w:rStyle w:val="ECCParagraph"/>
        </w:rPr>
        <w:t xml:space="preserve"> (with a copy to </w:t>
      </w:r>
      <w:r w:rsidR="00092EF0" w:rsidRPr="00681194">
        <w:rPr>
          <w:rStyle w:val="ECCParagraph"/>
        </w:rPr>
        <w:t>WGSE</w:t>
      </w:r>
      <w:r w:rsidRPr="00681194">
        <w:rPr>
          <w:rStyle w:val="ECCParagraph"/>
        </w:rPr>
        <w:t>) for the next meeting is attached for consideration by the meeting.</w:t>
      </w:r>
    </w:p>
    <w:p w14:paraId="102A70D6" w14:textId="63E0A900" w:rsidR="0010162E" w:rsidRDefault="0010162E" w:rsidP="0010162E">
      <w:pPr>
        <w:pStyle w:val="ECCTabletext"/>
      </w:pPr>
    </w:p>
    <w:p w14:paraId="7CDFADE9" w14:textId="130EE298" w:rsidR="00CC5596" w:rsidRDefault="00CC5596" w:rsidP="00CC5596">
      <w:pPr>
        <w:pStyle w:val="ECCTabletext"/>
        <w:numPr>
          <w:ilvl w:val="0"/>
          <w:numId w:val="2"/>
        </w:numPr>
      </w:pPr>
      <w:r>
        <w:t>The information regarding CONNECTA IoT Satellite System provided by Plan-S is found in Section 2.</w:t>
      </w:r>
    </w:p>
    <w:p w14:paraId="050BBE29" w14:textId="053D04B6" w:rsidR="00CC5596" w:rsidRPr="00455D6F" w:rsidRDefault="00CC5596" w:rsidP="00CC5596">
      <w:pPr>
        <w:pStyle w:val="ECCTabletext"/>
        <w:numPr>
          <w:ilvl w:val="0"/>
          <w:numId w:val="2"/>
        </w:numPr>
      </w:pPr>
      <w:r>
        <w:t>A</w:t>
      </w:r>
      <w:r w:rsidRPr="00CC5596">
        <w:t xml:space="preserve"> proposed liaison statement from FM44 to</w:t>
      </w:r>
      <w:r w:rsidR="001A6CF0">
        <w:t xml:space="preserve"> </w:t>
      </w:r>
      <w:r w:rsidRPr="00CC5596">
        <w:t>SE</w:t>
      </w:r>
      <w:r w:rsidR="001A6CF0">
        <w:t>40</w:t>
      </w:r>
      <w:r>
        <w:t xml:space="preserve"> is found in Section 3.</w:t>
      </w:r>
    </w:p>
    <w:p w14:paraId="4290616C" w14:textId="0609D640" w:rsidR="00314DE1" w:rsidRPr="00455D6F" w:rsidRDefault="00314DE1" w:rsidP="00314DE1">
      <w:pPr>
        <w:pStyle w:val="Titre1"/>
        <w:rPr>
          <w:lang w:val="en-US"/>
        </w:rPr>
      </w:pPr>
      <w:r w:rsidRPr="00455D6F">
        <w:rPr>
          <w:lang w:val="en-US"/>
        </w:rPr>
        <w:t>Annex: CONNECTA IoT Satellite System Description Overview</w:t>
      </w:r>
    </w:p>
    <w:p w14:paraId="58DC1BD4" w14:textId="6FC49C42" w:rsidR="00314DE1" w:rsidRPr="00314DE1" w:rsidRDefault="00314DE1" w:rsidP="00314DE1">
      <w:pPr>
        <w:rPr>
          <w:lang w:val="en-US"/>
        </w:rPr>
      </w:pPr>
      <w:r w:rsidRPr="00314DE1">
        <w:rPr>
          <w:lang w:val="en-US"/>
        </w:rPr>
        <w:t xml:space="preserve">The </w:t>
      </w:r>
      <w:proofErr w:type="spellStart"/>
      <w:r w:rsidRPr="00314DE1">
        <w:rPr>
          <w:lang w:val="en-US"/>
        </w:rPr>
        <w:t>Connecta</w:t>
      </w:r>
      <w:proofErr w:type="spellEnd"/>
      <w:r w:rsidRPr="00314DE1">
        <w:rPr>
          <w:lang w:val="en-US"/>
        </w:rPr>
        <w:t xml:space="preserve"> IoT </w:t>
      </w:r>
      <w:r>
        <w:rPr>
          <w:lang w:val="en-US"/>
        </w:rPr>
        <w:t>satellite system</w:t>
      </w:r>
      <w:r w:rsidRPr="00314DE1">
        <w:rPr>
          <w:lang w:val="en-US"/>
        </w:rPr>
        <w:t xml:space="preserve"> has 45 orbital planes, each containing 8 satellites. It has two different inclination angles: 97.6 degrees and 53 degrees. For both orbital inclinations, the apogee and perigee values are the same, at 550 km with a 95-minute orbital period. </w:t>
      </w:r>
    </w:p>
    <w:p w14:paraId="0F24810A" w14:textId="77777777" w:rsidR="00314DE1" w:rsidRPr="00314DE1" w:rsidRDefault="00314DE1" w:rsidP="00314DE1">
      <w:pPr>
        <w:rPr>
          <w:lang w:val="en-US"/>
        </w:rPr>
      </w:pPr>
      <w:r w:rsidRPr="00314DE1">
        <w:rPr>
          <w:lang w:val="en-US"/>
        </w:rPr>
        <w:t xml:space="preserve">The satellite deployment plan of the </w:t>
      </w:r>
      <w:proofErr w:type="spellStart"/>
      <w:r w:rsidRPr="00314DE1">
        <w:rPr>
          <w:lang w:val="en-US"/>
        </w:rPr>
        <w:t>Connecta</w:t>
      </w:r>
      <w:proofErr w:type="spellEnd"/>
      <w:r w:rsidRPr="00314DE1">
        <w:rPr>
          <w:lang w:val="en-US"/>
        </w:rPr>
        <w:t xml:space="preserve"> IoT Network for the first 16 satellites is provided below:</w:t>
      </w:r>
    </w:p>
    <w:p w14:paraId="06771B20" w14:textId="25B00C50" w:rsidR="00314DE1" w:rsidRPr="00314DE1" w:rsidRDefault="00314DE1" w:rsidP="001A6CF0">
      <w:pPr>
        <w:pStyle w:val="ECCTabletext"/>
        <w:numPr>
          <w:ilvl w:val="0"/>
          <w:numId w:val="2"/>
        </w:numPr>
        <w:ind w:hanging="76"/>
      </w:pPr>
      <w:r w:rsidRPr="00314DE1">
        <w:t>4 satellites --&gt; SpaceX Transporter - 11 mission --&gt; 1</w:t>
      </w:r>
      <w:r>
        <w:t>6</w:t>
      </w:r>
      <w:r w:rsidRPr="00314DE1">
        <w:t xml:space="preserve">th of August </w:t>
      </w:r>
    </w:p>
    <w:p w14:paraId="225860D6" w14:textId="026988C1" w:rsidR="00314DE1" w:rsidRPr="00314DE1" w:rsidRDefault="00314DE1" w:rsidP="001A6CF0">
      <w:pPr>
        <w:pStyle w:val="ECCTabletext"/>
        <w:numPr>
          <w:ilvl w:val="0"/>
          <w:numId w:val="2"/>
        </w:numPr>
        <w:ind w:hanging="76"/>
      </w:pPr>
      <w:r w:rsidRPr="00314DE1">
        <w:t>4 satellites --&gt; SpaceX Transporter - 12 mission --&gt; Oct/Nov 2024</w:t>
      </w:r>
    </w:p>
    <w:p w14:paraId="3387ACC9" w14:textId="0AB7EA75" w:rsidR="00314DE1" w:rsidRPr="00314DE1" w:rsidRDefault="00314DE1" w:rsidP="001A6CF0">
      <w:pPr>
        <w:pStyle w:val="ECCTabletext"/>
        <w:numPr>
          <w:ilvl w:val="0"/>
          <w:numId w:val="2"/>
        </w:numPr>
        <w:ind w:hanging="76"/>
      </w:pPr>
      <w:r w:rsidRPr="00314DE1">
        <w:t>4 satellites --&gt; SpaceX Transporter - 13 mission --&gt; Feb/March 2025</w:t>
      </w:r>
    </w:p>
    <w:p w14:paraId="76FC79F3" w14:textId="54A96A8D" w:rsidR="00314DE1" w:rsidRPr="00314DE1" w:rsidRDefault="00314DE1" w:rsidP="001A6CF0">
      <w:pPr>
        <w:pStyle w:val="ECCTabletext"/>
        <w:numPr>
          <w:ilvl w:val="0"/>
          <w:numId w:val="2"/>
        </w:numPr>
        <w:ind w:hanging="76"/>
      </w:pPr>
      <w:r w:rsidRPr="00314DE1">
        <w:t>4 satellites --&gt; SpaceX TSIS-2 mission --&gt; Feb/Aug 2025</w:t>
      </w:r>
    </w:p>
    <w:p w14:paraId="4EDF64CD" w14:textId="0A6DBC63" w:rsidR="00314DE1" w:rsidRPr="00314DE1" w:rsidRDefault="00314DE1" w:rsidP="00314DE1">
      <w:pPr>
        <w:rPr>
          <w:lang w:val="en-US"/>
        </w:rPr>
      </w:pPr>
      <w:r w:rsidRPr="00314DE1">
        <w:rPr>
          <w:lang w:val="en-US"/>
        </w:rPr>
        <w:t xml:space="preserve">According to the deployment plan of the satellites into their orbits, </w:t>
      </w:r>
      <w:r>
        <w:rPr>
          <w:lang w:val="en-US"/>
        </w:rPr>
        <w:t>Plan-S</w:t>
      </w:r>
      <w:r w:rsidRPr="00314DE1">
        <w:rPr>
          <w:lang w:val="en-US"/>
        </w:rPr>
        <w:t xml:space="preserve"> aim</w:t>
      </w:r>
      <w:r>
        <w:rPr>
          <w:lang w:val="en-US"/>
        </w:rPr>
        <w:t>s</w:t>
      </w:r>
      <w:r w:rsidRPr="00314DE1">
        <w:rPr>
          <w:lang w:val="en-US"/>
        </w:rPr>
        <w:t xml:space="preserve"> to commence commercial services as of October 1, 2024</w:t>
      </w:r>
      <w:r>
        <w:rPr>
          <w:lang w:val="en-US"/>
        </w:rPr>
        <w:t>.</w:t>
      </w:r>
      <w:r w:rsidRPr="00314DE1">
        <w:rPr>
          <w:lang w:val="en-US"/>
        </w:rPr>
        <w:t xml:space="preserve"> </w:t>
      </w:r>
    </w:p>
    <w:p w14:paraId="6606716D" w14:textId="7841364B" w:rsidR="00314DE1" w:rsidRPr="00314DE1" w:rsidRDefault="00314DE1" w:rsidP="00314DE1">
      <w:pPr>
        <w:rPr>
          <w:lang w:val="en-US"/>
        </w:rPr>
      </w:pPr>
      <w:r w:rsidRPr="00314DE1">
        <w:rPr>
          <w:lang w:val="en-US"/>
        </w:rPr>
        <w:t xml:space="preserve">Additionally, </w:t>
      </w:r>
      <w:r>
        <w:rPr>
          <w:lang w:val="en-US"/>
        </w:rPr>
        <w:t>Plan-S</w:t>
      </w:r>
      <w:r w:rsidRPr="00314DE1">
        <w:rPr>
          <w:lang w:val="en-US"/>
        </w:rPr>
        <w:t xml:space="preserve"> plans to deploy over 100 active satellites in orbit to provide IoT services with low-latency, high QoS, and high capacity. To achieve this, </w:t>
      </w:r>
      <w:r>
        <w:rPr>
          <w:lang w:val="en-US"/>
        </w:rPr>
        <w:t>it has</w:t>
      </w:r>
      <w:r w:rsidRPr="00314DE1">
        <w:rPr>
          <w:lang w:val="en-US"/>
        </w:rPr>
        <w:t xml:space="preserve"> two major phases for the launch of satellites: </w:t>
      </w:r>
    </w:p>
    <w:p w14:paraId="203A4355" w14:textId="19E9E5AC" w:rsidR="00314DE1" w:rsidRPr="00314DE1" w:rsidRDefault="00314DE1" w:rsidP="001A6CF0">
      <w:pPr>
        <w:pStyle w:val="ECCTabletext"/>
        <w:numPr>
          <w:ilvl w:val="0"/>
          <w:numId w:val="2"/>
        </w:numPr>
        <w:ind w:hanging="76"/>
      </w:pPr>
      <w:r w:rsidRPr="00314DE1">
        <w:t xml:space="preserve">The expansion phase, during which we will increase the number of satellites in the network, </w:t>
      </w:r>
    </w:p>
    <w:p w14:paraId="7635DA75" w14:textId="0EFA1B00" w:rsidR="00314DE1" w:rsidRPr="00314DE1" w:rsidRDefault="00314DE1" w:rsidP="001A6CF0">
      <w:pPr>
        <w:pStyle w:val="ECCTabletext"/>
        <w:numPr>
          <w:ilvl w:val="0"/>
          <w:numId w:val="2"/>
        </w:numPr>
        <w:ind w:hanging="76"/>
      </w:pPr>
      <w:r w:rsidRPr="00314DE1">
        <w:t>The sustainment phase, during which we will both add new satellites and replace old ones.</w:t>
      </w:r>
    </w:p>
    <w:p w14:paraId="0B0ABEC2" w14:textId="043F96A8" w:rsidR="00314DE1" w:rsidRPr="00314DE1" w:rsidRDefault="00314DE1" w:rsidP="00314DE1">
      <w:pPr>
        <w:rPr>
          <w:lang w:val="en-US"/>
        </w:rPr>
      </w:pPr>
      <w:r w:rsidRPr="000C054A">
        <w:rPr>
          <w:rFonts w:ascii="Times New Roman" w:eastAsia="Aptos" w:hAnsi="Times New Roman"/>
          <w:noProof/>
          <w:sz w:val="24"/>
          <w:szCs w:val="24"/>
          <w:lang w:val="tr-TR" w:eastAsia="tr-TR"/>
        </w:rPr>
        <w:lastRenderedPageBreak/>
        <w:drawing>
          <wp:inline distT="0" distB="0" distL="0" distR="0" wp14:anchorId="16836C85" wp14:editId="4AE6FAB7">
            <wp:extent cx="5971540" cy="1731645"/>
            <wp:effectExtent l="0" t="0" r="0" b="1905"/>
            <wp:docPr id="466195818" name="Picture 1" descr="A diagram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95818" name="Picture 1" descr="A diagram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4BC85" w14:textId="0E066937" w:rsidR="00314DE1" w:rsidRPr="00314DE1" w:rsidRDefault="00314DE1" w:rsidP="00314DE1">
      <w:pPr>
        <w:pStyle w:val="Lgende"/>
        <w:rPr>
          <w:lang w:val="en-US"/>
        </w:rPr>
      </w:pPr>
      <w:proofErr w:type="spellStart"/>
      <w:r w:rsidRPr="00314DE1">
        <w:rPr>
          <w:lang w:val="en-US"/>
        </w:rPr>
        <w:t>Connecta</w:t>
      </w:r>
      <w:proofErr w:type="spellEnd"/>
      <w:r w:rsidRPr="00314DE1">
        <w:rPr>
          <w:lang w:val="en-US"/>
        </w:rPr>
        <w:t xml:space="preserve"> IoT Constellation Deployment Plan</w:t>
      </w:r>
    </w:p>
    <w:p w14:paraId="6A792A50" w14:textId="65C7BCE6" w:rsidR="00314DE1" w:rsidRDefault="00314DE1" w:rsidP="00314DE1">
      <w:pPr>
        <w:rPr>
          <w:lang w:val="en-US"/>
        </w:rPr>
      </w:pPr>
      <w:r w:rsidRPr="00314DE1">
        <w:rPr>
          <w:lang w:val="en-US"/>
        </w:rPr>
        <w:t xml:space="preserve">According to the plan depicted in </w:t>
      </w:r>
      <w:r w:rsidR="001A6CF0">
        <w:rPr>
          <w:lang w:val="en-US"/>
        </w:rPr>
        <w:t xml:space="preserve">the </w:t>
      </w:r>
      <w:r w:rsidRPr="00314DE1">
        <w:rPr>
          <w:lang w:val="en-US"/>
        </w:rPr>
        <w:t xml:space="preserve">Figure </w:t>
      </w:r>
      <w:r>
        <w:rPr>
          <w:lang w:val="en-US"/>
        </w:rPr>
        <w:t>above</w:t>
      </w:r>
      <w:r w:rsidRPr="00314DE1">
        <w:rPr>
          <w:lang w:val="en-US"/>
        </w:rPr>
        <w:t xml:space="preserve">, </w:t>
      </w:r>
      <w:r>
        <w:rPr>
          <w:lang w:val="en-US"/>
        </w:rPr>
        <w:t>Plan-S</w:t>
      </w:r>
      <w:r w:rsidRPr="00314DE1">
        <w:rPr>
          <w:lang w:val="en-US"/>
        </w:rPr>
        <w:t xml:space="preserve"> will have 84 active satellites by 2028 with a 48-minute revisit time and 286 million connected device capacity. With the increase of the number of satellites to 144 by 2035, </w:t>
      </w:r>
      <w:r>
        <w:rPr>
          <w:lang w:val="en-US"/>
        </w:rPr>
        <w:t>Plan-S</w:t>
      </w:r>
      <w:r w:rsidRPr="00314DE1">
        <w:rPr>
          <w:lang w:val="en-US"/>
        </w:rPr>
        <w:t xml:space="preserve"> will reduce the revisit time to 30 minutes and increase connected device capacity to 2.2 billion.</w:t>
      </w:r>
    </w:p>
    <w:p w14:paraId="4DD91E39" w14:textId="77777777" w:rsidR="002F4166" w:rsidRPr="002F4166" w:rsidRDefault="002F4166" w:rsidP="002F4166">
      <w:pPr>
        <w:pStyle w:val="Lgende"/>
        <w:jc w:val="both"/>
        <w:rPr>
          <w:rStyle w:val="ECCParagraph"/>
          <w:b w:val="0"/>
          <w:bCs w:val="0"/>
          <w:color w:val="auto"/>
        </w:rPr>
      </w:pPr>
      <w:r w:rsidRPr="002F4166">
        <w:rPr>
          <w:rStyle w:val="ECCParagraph"/>
          <w:b w:val="0"/>
          <w:bCs w:val="0"/>
          <w:color w:val="auto"/>
        </w:rPr>
        <w:t>The</w:t>
      </w:r>
      <w:r>
        <w:rPr>
          <w:rStyle w:val="ECCParagraph"/>
          <w:b w:val="0"/>
          <w:bCs w:val="0"/>
          <w:color w:val="auto"/>
        </w:rPr>
        <w:t xml:space="preserve"> transmission properties of CONNECTA IoT Satellite System within the frequency band 400.15-401 MHz are indicated in the table below. </w:t>
      </w:r>
    </w:p>
    <w:p w14:paraId="1D69417B" w14:textId="77777777" w:rsidR="002F4166" w:rsidRPr="002F4166" w:rsidRDefault="002F4166" w:rsidP="002F4166">
      <w:pPr>
        <w:rPr>
          <w:lang w:val="en-US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28"/>
        <w:gridCol w:w="1083"/>
        <w:gridCol w:w="1465"/>
        <w:gridCol w:w="1465"/>
        <w:gridCol w:w="1464"/>
        <w:gridCol w:w="1464"/>
        <w:gridCol w:w="1460"/>
      </w:tblGrid>
      <w:tr w:rsidR="002F4166" w:rsidRPr="004229EC" w14:paraId="1EEC28F0" w14:textId="77777777" w:rsidTr="008035D5">
        <w:trPr>
          <w:trHeight w:val="211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DE2D" w14:textId="77777777" w:rsidR="002F4166" w:rsidRPr="004229EC" w:rsidRDefault="002F4166" w:rsidP="00E130C3">
            <w:pPr>
              <w:pStyle w:val="ECCTabletext"/>
              <w:spacing w:after="60"/>
              <w:jc w:val="center"/>
              <w:rPr>
                <w:b/>
              </w:rPr>
            </w:pPr>
            <w:r>
              <w:rPr>
                <w:b/>
              </w:rPr>
              <w:t>Frequency Band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6406" w14:textId="77777777" w:rsidR="002F4166" w:rsidRPr="004229EC" w:rsidRDefault="002F4166" w:rsidP="00E130C3">
            <w:pPr>
              <w:pStyle w:val="ECCTabletext"/>
              <w:spacing w:after="60"/>
              <w:jc w:val="center"/>
              <w:rPr>
                <w:b/>
              </w:rPr>
            </w:pPr>
            <w:r>
              <w:rPr>
                <w:b/>
              </w:rPr>
              <w:t>Direction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27CD" w14:textId="77777777" w:rsidR="002F4166" w:rsidRPr="004229EC" w:rsidRDefault="002F4166" w:rsidP="00E130C3">
            <w:pPr>
              <w:pStyle w:val="ECCTabletext"/>
              <w:spacing w:after="60"/>
              <w:jc w:val="center"/>
              <w:rPr>
                <w:b/>
              </w:rPr>
            </w:pPr>
            <w:r>
              <w:rPr>
                <w:b/>
              </w:rPr>
              <w:t>Operating Bandwidth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B359" w14:textId="6299CFCD" w:rsidR="002F4166" w:rsidRPr="004229EC" w:rsidRDefault="002F4166" w:rsidP="00E130C3">
            <w:pPr>
              <w:pStyle w:val="ECCTabletext"/>
              <w:jc w:val="center"/>
              <w:rPr>
                <w:b/>
              </w:rPr>
            </w:pPr>
            <w:r>
              <w:rPr>
                <w:b/>
              </w:rPr>
              <w:t>EIRP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8EF" w14:textId="41C5E9A7" w:rsidR="002F4166" w:rsidRDefault="002F4166" w:rsidP="00E130C3">
            <w:pPr>
              <w:pStyle w:val="ECCTabletext"/>
              <w:jc w:val="center"/>
              <w:rPr>
                <w:b/>
              </w:rPr>
            </w:pPr>
            <w:r>
              <w:rPr>
                <w:b/>
              </w:rPr>
              <w:t>Polarization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3D3B" w14:textId="77777777" w:rsidR="002F4166" w:rsidRDefault="002F4166" w:rsidP="00E130C3">
            <w:pPr>
              <w:pStyle w:val="ECCTabletext"/>
              <w:jc w:val="center"/>
              <w:rPr>
                <w:b/>
              </w:rPr>
            </w:pPr>
            <w:r>
              <w:rPr>
                <w:b/>
              </w:rPr>
              <w:t>Duty Cycle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C331" w14:textId="77777777" w:rsidR="002F4166" w:rsidRDefault="002F4166" w:rsidP="00E130C3">
            <w:pPr>
              <w:pStyle w:val="ECCTabletext"/>
              <w:jc w:val="center"/>
              <w:rPr>
                <w:b/>
              </w:rPr>
            </w:pPr>
            <w:r>
              <w:rPr>
                <w:b/>
              </w:rPr>
              <w:t>Multiple Access</w:t>
            </w:r>
          </w:p>
        </w:tc>
      </w:tr>
      <w:tr w:rsidR="002F4166" w:rsidRPr="004229EC" w14:paraId="7F50D059" w14:textId="77777777" w:rsidTr="008035D5"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35A9" w14:textId="77777777" w:rsidR="002F4166" w:rsidRPr="004229EC" w:rsidRDefault="002F4166" w:rsidP="00E130C3">
            <w:pPr>
              <w:pStyle w:val="ECCTabletext"/>
              <w:spacing w:after="60"/>
              <w:jc w:val="center"/>
              <w:rPr>
                <w:sz w:val="16"/>
                <w:szCs w:val="16"/>
              </w:rPr>
            </w:pPr>
            <w:r w:rsidRPr="002F4166">
              <w:rPr>
                <w:sz w:val="16"/>
                <w:szCs w:val="16"/>
              </w:rPr>
              <w:t>400.15-401 MHz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7042" w14:textId="77777777" w:rsidR="002F4166" w:rsidRPr="004229EC" w:rsidRDefault="002F4166" w:rsidP="00E130C3">
            <w:pPr>
              <w:pStyle w:val="ECCTabletext"/>
              <w:spacing w:after="60"/>
              <w:jc w:val="center"/>
              <w:rPr>
                <w:sz w:val="16"/>
                <w:szCs w:val="16"/>
              </w:rPr>
            </w:pPr>
            <w:r w:rsidRPr="002F4166">
              <w:rPr>
                <w:sz w:val="16"/>
                <w:szCs w:val="16"/>
              </w:rPr>
              <w:t>Space-to-Earth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61FB" w14:textId="19F2CA3E" w:rsidR="002F4166" w:rsidRPr="004229EC" w:rsidRDefault="002F4166" w:rsidP="00E130C3">
            <w:pPr>
              <w:pStyle w:val="ECCTabletext"/>
              <w:spacing w:after="60"/>
              <w:jc w:val="center"/>
              <w:rPr>
                <w:sz w:val="16"/>
                <w:szCs w:val="16"/>
              </w:rPr>
            </w:pPr>
            <w:r w:rsidRPr="002F4166">
              <w:rPr>
                <w:sz w:val="16"/>
                <w:szCs w:val="16"/>
              </w:rPr>
              <w:t>62.5 or 125 kHz</w:t>
            </w:r>
            <w:r w:rsidR="000378A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9108" w14:textId="77777777" w:rsidR="002F4166" w:rsidRPr="002F4166" w:rsidRDefault="002F4166" w:rsidP="00E130C3">
            <w:pPr>
              <w:pStyle w:val="ECCTabletext"/>
              <w:jc w:val="center"/>
              <w:rPr>
                <w:sz w:val="16"/>
                <w:szCs w:val="16"/>
              </w:rPr>
            </w:pPr>
            <w:r w:rsidRPr="002F4166">
              <w:rPr>
                <w:sz w:val="16"/>
                <w:szCs w:val="16"/>
              </w:rPr>
              <w:t xml:space="preserve">&lt;2.7 </w:t>
            </w:r>
            <w:proofErr w:type="spellStart"/>
            <w:r w:rsidRPr="002F4166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B</w:t>
            </w:r>
            <w:r w:rsidRPr="002F4166">
              <w:rPr>
                <w:sz w:val="16"/>
                <w:szCs w:val="16"/>
              </w:rPr>
              <w:t>W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B83F" w14:textId="77777777" w:rsidR="002F4166" w:rsidRPr="002F4166" w:rsidRDefault="002F4166" w:rsidP="00E130C3">
            <w:pPr>
              <w:pStyle w:val="ECCTabletext"/>
              <w:jc w:val="center"/>
              <w:rPr>
                <w:sz w:val="16"/>
                <w:szCs w:val="16"/>
              </w:rPr>
            </w:pPr>
            <w:r w:rsidRPr="002F4166">
              <w:rPr>
                <w:sz w:val="16"/>
                <w:szCs w:val="16"/>
              </w:rPr>
              <w:t>CR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28A5" w14:textId="29240CFF" w:rsidR="002F4166" w:rsidRPr="002F4166" w:rsidRDefault="00784C35" w:rsidP="00E130C3">
            <w:pPr>
              <w:pStyle w:val="ECCTabletext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≤</w:t>
            </w:r>
            <w:r w:rsidR="001A6CF0">
              <w:rPr>
                <w:sz w:val="16"/>
                <w:szCs w:val="16"/>
              </w:rPr>
              <w:t>1</w:t>
            </w:r>
            <w:r w:rsidR="002F4166" w:rsidRPr="002F4166">
              <w:rPr>
                <w:sz w:val="16"/>
                <w:szCs w:val="16"/>
              </w:rPr>
              <w:t>%</w:t>
            </w:r>
            <w:r w:rsidR="002572E0">
              <w:rPr>
                <w:sz w:val="16"/>
                <w:szCs w:val="16"/>
              </w:rPr>
              <w:t xml:space="preserve"> per location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2107" w14:textId="77777777" w:rsidR="002F4166" w:rsidRPr="002F4166" w:rsidRDefault="002F4166" w:rsidP="00E130C3">
            <w:pPr>
              <w:pStyle w:val="ECCTabletext"/>
              <w:jc w:val="center"/>
              <w:rPr>
                <w:sz w:val="16"/>
                <w:szCs w:val="16"/>
              </w:rPr>
            </w:pPr>
            <w:r w:rsidRPr="002F4166">
              <w:rPr>
                <w:sz w:val="16"/>
                <w:szCs w:val="16"/>
              </w:rPr>
              <w:t>Chirp Spread Spectrum</w:t>
            </w:r>
          </w:p>
        </w:tc>
      </w:tr>
    </w:tbl>
    <w:p w14:paraId="5A55D91F" w14:textId="343473E0" w:rsidR="002F4166" w:rsidRDefault="002F4166" w:rsidP="002F4166">
      <w:pPr>
        <w:pStyle w:val="Lgende"/>
      </w:pPr>
      <w:r>
        <w:t>Satellite Transmission</w:t>
      </w:r>
      <w:r w:rsidR="000C111C">
        <w:t>’s Properties</w:t>
      </w:r>
      <w:r>
        <w:t xml:space="preserve"> </w:t>
      </w:r>
    </w:p>
    <w:p w14:paraId="2EB0C097" w14:textId="0A7B40D4" w:rsidR="002F4166" w:rsidRDefault="002C44FB" w:rsidP="002C44FB">
      <w:pPr>
        <w:rPr>
          <w:lang w:val="en-US"/>
        </w:rPr>
      </w:pPr>
      <w:r w:rsidRPr="002C44FB">
        <w:rPr>
          <w:lang w:val="en-US"/>
        </w:rPr>
        <w:t>Satellites will broadcast Lora signals (Chirp Spread Spectrum, CSS) to IoT modules at different time intervals.  Lora signals (Chirp Spread Spectrum) bandwidth can be equal to 62,5 kHz</w:t>
      </w:r>
      <w:r w:rsidR="000C111C">
        <w:rPr>
          <w:lang w:val="en-US"/>
        </w:rPr>
        <w:t xml:space="preserve"> and</w:t>
      </w:r>
      <w:r w:rsidRPr="002C44FB">
        <w:rPr>
          <w:lang w:val="en-US"/>
        </w:rPr>
        <w:t xml:space="preserve"> 125 kHz.</w:t>
      </w:r>
      <w:r>
        <w:rPr>
          <w:lang w:val="en-US"/>
        </w:rPr>
        <w:t xml:space="preserve"> Our plan is to </w:t>
      </w:r>
      <w:r w:rsidR="001545A4">
        <w:rPr>
          <w:lang w:val="en-US"/>
        </w:rPr>
        <w:t xml:space="preserve">use </w:t>
      </w:r>
      <w:r w:rsidR="005E6430">
        <w:rPr>
          <w:lang w:val="en-US"/>
        </w:rPr>
        <w:t>125</w:t>
      </w:r>
      <w:r>
        <w:rPr>
          <w:lang w:val="en-US"/>
        </w:rPr>
        <w:t xml:space="preserve"> kHz wide-channel in this frequency band to wake up IoT terminals.</w:t>
      </w:r>
      <w:r w:rsidRPr="002C44FB">
        <w:rPr>
          <w:lang w:val="en-US"/>
        </w:rPr>
        <w:t xml:space="preserve"> The sample spectrogram of chirp spread spectrum signal when the bandwidth equals to 125 kHz is shown </w:t>
      </w:r>
      <w:r>
        <w:rPr>
          <w:lang w:val="en-US"/>
        </w:rPr>
        <w:t xml:space="preserve">in the figure </w:t>
      </w:r>
      <w:r w:rsidRPr="002C44FB">
        <w:rPr>
          <w:lang w:val="en-US"/>
        </w:rPr>
        <w:t xml:space="preserve">below. </w:t>
      </w:r>
    </w:p>
    <w:p w14:paraId="25EB1686" w14:textId="029A8B03" w:rsidR="002F4166" w:rsidRDefault="002F4166" w:rsidP="002F4166">
      <w:pPr>
        <w:jc w:val="center"/>
        <w:rPr>
          <w:lang w:val="en-US"/>
        </w:rPr>
      </w:pPr>
      <w:r>
        <w:rPr>
          <w:noProof/>
          <w:lang w:val="tr-TR" w:eastAsia="tr-TR"/>
        </w:rPr>
        <w:drawing>
          <wp:inline distT="0" distB="0" distL="0" distR="0" wp14:anchorId="7DD3A7E3" wp14:editId="0F7255A9">
            <wp:extent cx="3461257" cy="2869588"/>
            <wp:effectExtent l="0" t="0" r="6350" b="6985"/>
            <wp:docPr id="31858268" name="Picture 1" descr="A picture containing text, screenshot, colorfulness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8268" name="Picture 1" descr="A picture containing text, screenshot, colorfulness, plo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72803" cy="287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9B1CD" w14:textId="67136548" w:rsidR="002F4166" w:rsidRPr="001545A4" w:rsidRDefault="002F4166" w:rsidP="001A6CF0">
      <w:pPr>
        <w:pStyle w:val="Lgende"/>
        <w:rPr>
          <w:lang w:val="en-US"/>
        </w:rPr>
      </w:pPr>
      <w:r w:rsidRPr="17E8CF33">
        <w:rPr>
          <w:lang w:val="en-GB"/>
        </w:rPr>
        <w:t xml:space="preserve">Sample spectrogram for 125 kHz </w:t>
      </w:r>
      <w:r w:rsidR="00560A55" w:rsidRPr="17E8CF33">
        <w:rPr>
          <w:lang w:val="en-GB"/>
        </w:rPr>
        <w:t>wide channel</w:t>
      </w:r>
      <w:r w:rsidRPr="001545A4">
        <w:rPr>
          <w:lang w:val="en-US"/>
        </w:rPr>
        <w:br w:type="page"/>
      </w:r>
    </w:p>
    <w:p w14:paraId="26BE1811" w14:textId="262244C1" w:rsidR="00CC5596" w:rsidRPr="00455D6F" w:rsidRDefault="00CC5596" w:rsidP="00CC5596">
      <w:pPr>
        <w:pStyle w:val="Titre1"/>
        <w:rPr>
          <w:lang w:val="en-US"/>
        </w:rPr>
      </w:pPr>
      <w:r>
        <w:rPr>
          <w:lang w:val="en-US"/>
        </w:rPr>
        <w:lastRenderedPageBreak/>
        <w:t>A proposed Lıason statement from fm44 to se</w:t>
      </w:r>
      <w:r w:rsidR="00467E31">
        <w:rPr>
          <w:lang w:val="en-US"/>
        </w:rPr>
        <w:t xml:space="preserve">40 with a copy to the </w:t>
      </w:r>
      <w:r w:rsidR="001F1EC6">
        <w:rPr>
          <w:lang w:val="en-US"/>
        </w:rPr>
        <w:t>WGSE</w:t>
      </w:r>
    </w:p>
    <w:tbl>
      <w:tblPr>
        <w:tblW w:w="9781" w:type="dxa"/>
        <w:tblInd w:w="-72" w:type="dxa"/>
        <w:tblLook w:val="0000" w:firstRow="0" w:lastRow="0" w:firstColumn="0" w:lastColumn="0" w:noHBand="0" w:noVBand="0"/>
      </w:tblPr>
      <w:tblGrid>
        <w:gridCol w:w="1819"/>
        <w:gridCol w:w="7962"/>
      </w:tblGrid>
      <w:tr w:rsidR="00092EF0" w:rsidRPr="0011705C" w14:paraId="1DAB11BE" w14:textId="77777777" w:rsidTr="008035D5">
        <w:trPr>
          <w:cantSplit/>
          <w:trHeight w:val="40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71846" w14:textId="77777777" w:rsidR="00092EF0" w:rsidRPr="0011705C" w:rsidRDefault="00092EF0" w:rsidP="008035D5">
            <w:pPr>
              <w:pStyle w:val="ECCLetterHead"/>
            </w:pPr>
            <w:r>
              <w:t>FM44#81</w:t>
            </w:r>
          </w:p>
        </w:tc>
      </w:tr>
      <w:tr w:rsidR="00092EF0" w:rsidRPr="0011705C" w14:paraId="5FF82171" w14:textId="77777777" w:rsidTr="008035D5">
        <w:trPr>
          <w:cantSplit/>
          <w:trHeight w:val="40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47778" w14:textId="77777777" w:rsidR="00092EF0" w:rsidRPr="0011705C" w:rsidRDefault="00092EF0" w:rsidP="008035D5">
            <w:pPr>
              <w:pStyle w:val="ECCLetterHead"/>
            </w:pPr>
            <w:r>
              <w:t>Bienne</w:t>
            </w:r>
            <w:r w:rsidRPr="00265F50">
              <w:t xml:space="preserve">, </w:t>
            </w:r>
            <w:r>
              <w:t>3-5</w:t>
            </w:r>
            <w:r w:rsidRPr="00101832">
              <w:rPr>
                <w:vertAlign w:val="superscript"/>
              </w:rPr>
              <w:t>th</w:t>
            </w:r>
            <w:r>
              <w:t xml:space="preserve"> September 2024</w:t>
            </w:r>
          </w:p>
        </w:tc>
      </w:tr>
      <w:tr w:rsidR="00092EF0" w:rsidRPr="00A3755D" w14:paraId="09FC4C36" w14:textId="77777777" w:rsidTr="008035D5">
        <w:trPr>
          <w:cantSplit/>
          <w:trHeight w:hRule="exact" w:val="7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7C6A3" w14:textId="77777777" w:rsidR="00092EF0" w:rsidRPr="00A3755D" w:rsidRDefault="00092EF0" w:rsidP="008035D5">
            <w:pPr>
              <w:pStyle w:val="ECCLetterHead"/>
            </w:pPr>
          </w:p>
        </w:tc>
      </w:tr>
      <w:tr w:rsidR="00092EF0" w:rsidRPr="00263FFB" w14:paraId="6F340387" w14:textId="77777777" w:rsidTr="008035D5"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463CC" w14:textId="77777777" w:rsidR="00092EF0" w:rsidRPr="00263FFB" w:rsidRDefault="00092EF0" w:rsidP="008035D5">
            <w:pPr>
              <w:pStyle w:val="ECCLetterHead"/>
            </w:pPr>
            <w:r w:rsidRPr="00A3755D">
              <w:t xml:space="preserve">Date issued: 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55B14" w14:textId="6A3D9697" w:rsidR="00092EF0" w:rsidRPr="00263FFB" w:rsidRDefault="001A6CF0" w:rsidP="008035D5">
            <w:pPr>
              <w:pStyle w:val="ECCLetterHead"/>
            </w:pPr>
            <w:r>
              <w:t>XX</w:t>
            </w:r>
            <w:r w:rsidR="00092EF0">
              <w:t>/09/2024</w:t>
            </w:r>
          </w:p>
        </w:tc>
      </w:tr>
      <w:tr w:rsidR="00092EF0" w:rsidRPr="00263FFB" w14:paraId="462C5B6A" w14:textId="77777777" w:rsidTr="008035D5"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B92CB" w14:textId="77777777" w:rsidR="00092EF0" w:rsidRPr="00263FFB" w:rsidRDefault="00092EF0" w:rsidP="008035D5">
            <w:pPr>
              <w:pStyle w:val="ECCLetterHead"/>
            </w:pPr>
            <w:r w:rsidRPr="00A3755D">
              <w:t xml:space="preserve">Subject: 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B51C3" w14:textId="77777777" w:rsidR="00092EF0" w:rsidRPr="00263FFB" w:rsidRDefault="00092EF0" w:rsidP="008035D5">
            <w:pPr>
              <w:pStyle w:val="ECCLetterHead"/>
            </w:pPr>
            <w:r>
              <w:t>Plan-S</w:t>
            </w:r>
            <w:r w:rsidRPr="004229EC">
              <w:t xml:space="preserve"> (</w:t>
            </w:r>
            <w:r>
              <w:t>CONNECTA IoT</w:t>
            </w:r>
            <w:r w:rsidRPr="004229EC">
              <w:t>) Declaration of compliance according to ERC Decision (99)06</w:t>
            </w:r>
          </w:p>
        </w:tc>
      </w:tr>
      <w:tr w:rsidR="00092EF0" w14:paraId="442606B5" w14:textId="77777777" w:rsidTr="00092EF0"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4C6CE" w14:textId="77777777" w:rsidR="00092EF0" w:rsidRDefault="00092EF0" w:rsidP="00092EF0">
            <w:pPr>
              <w:pStyle w:val="ECCLetterHead"/>
            </w:pPr>
            <w:r w:rsidRPr="00092EF0">
              <w:t>To: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B8A94" w14:textId="0B44C114" w:rsidR="00092EF0" w:rsidRPr="00092EF0" w:rsidRDefault="00092EF0">
            <w:pPr>
              <w:pStyle w:val="ECCLetterHead"/>
            </w:pPr>
            <w:r w:rsidRPr="00092EF0">
              <w:t xml:space="preserve">Mr. Jesús </w:t>
            </w:r>
            <w:proofErr w:type="spellStart"/>
            <w:r w:rsidRPr="00092EF0">
              <w:t>Arnau</w:t>
            </w:r>
            <w:proofErr w:type="spellEnd"/>
            <w:r w:rsidRPr="00092EF0">
              <w:t xml:space="preserve"> </w:t>
            </w:r>
            <w:proofErr w:type="spellStart"/>
            <w:r w:rsidRPr="00092EF0">
              <w:t>Yañez</w:t>
            </w:r>
            <w:proofErr w:type="spellEnd"/>
            <w:r w:rsidRPr="00092EF0">
              <w:t xml:space="preserve">, SE40 Chairman </w:t>
            </w:r>
          </w:p>
          <w:p w14:paraId="6BC01D04" w14:textId="4754D1CE" w:rsidR="00092EF0" w:rsidRPr="00092EF0" w:rsidRDefault="00092EF0">
            <w:pPr>
              <w:pStyle w:val="ECCLetterHead"/>
            </w:pPr>
            <w:r w:rsidRPr="00092EF0">
              <w:t>E-mail:  </w:t>
            </w:r>
            <w:hyperlink r:id="rId13" w:history="1">
              <w:r w:rsidRPr="00092EF0">
                <w:rPr>
                  <w:rStyle w:val="Lienhypertexte"/>
                </w:rPr>
                <w:t>jesus.arnauyanez@ofcom.org.uk</w:t>
              </w:r>
            </w:hyperlink>
          </w:p>
        </w:tc>
      </w:tr>
      <w:tr w:rsidR="00092EF0" w14:paraId="62A71CA0" w14:textId="77777777" w:rsidTr="00092EF0"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C2918" w14:textId="77777777" w:rsidR="00092EF0" w:rsidRPr="00092EF0" w:rsidRDefault="00092EF0" w:rsidP="00092EF0">
            <w:pPr>
              <w:pStyle w:val="ECCLetterHead"/>
            </w:pPr>
            <w:r w:rsidRPr="00092EF0">
              <w:t>Cc:</w:t>
            </w:r>
          </w:p>
        </w:tc>
        <w:tc>
          <w:tcPr>
            <w:tcW w:w="7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1414D" w14:textId="77777777" w:rsidR="00092EF0" w:rsidRPr="00092EF0" w:rsidRDefault="00092EF0">
            <w:pPr>
              <w:pStyle w:val="ECCLetterHead"/>
            </w:pPr>
            <w:r w:rsidRPr="00092EF0">
              <w:t xml:space="preserve">Mr. Jérôme Andre, WGSE Chairman </w:t>
            </w:r>
          </w:p>
          <w:p w14:paraId="74D32108" w14:textId="77777777" w:rsidR="00092EF0" w:rsidRPr="00092EF0" w:rsidRDefault="00092EF0">
            <w:pPr>
              <w:pStyle w:val="ECCLetterHead"/>
            </w:pPr>
            <w:r w:rsidRPr="00092EF0">
              <w:t xml:space="preserve">E-mail: </w:t>
            </w:r>
            <w:hyperlink r:id="rId14" w:history="1">
              <w:r w:rsidRPr="00092EF0">
                <w:rPr>
                  <w:rStyle w:val="Lienhypertexte"/>
                </w:rPr>
                <w:t>jerome.andre@anfr.fr</w:t>
              </w:r>
            </w:hyperlink>
          </w:p>
        </w:tc>
      </w:tr>
    </w:tbl>
    <w:p w14:paraId="6FE84124" w14:textId="47272471" w:rsidR="00092EF0" w:rsidRPr="00092EF0" w:rsidRDefault="00092EF0" w:rsidP="00092EF0">
      <w:pPr>
        <w:rPr>
          <w:rFonts w:eastAsia="Times New Roman"/>
          <w:szCs w:val="16"/>
        </w:rPr>
      </w:pPr>
      <w:r w:rsidRPr="00092EF0">
        <w:rPr>
          <w:rFonts w:eastAsia="Times New Roman"/>
          <w:szCs w:val="16"/>
        </w:rPr>
        <w:t xml:space="preserve">Dear </w:t>
      </w:r>
      <w:r w:rsidRPr="00092EF0">
        <w:t>Jesús</w:t>
      </w:r>
    </w:p>
    <w:p w14:paraId="3C17E73B" w14:textId="57C710BF" w:rsidR="00092EF0" w:rsidRPr="00092EF0" w:rsidRDefault="00092EF0" w:rsidP="00092EF0">
      <w:pPr>
        <w:rPr>
          <w:rFonts w:eastAsia="Times New Roman"/>
          <w:szCs w:val="16"/>
        </w:rPr>
      </w:pPr>
      <w:r w:rsidRPr="00092EF0">
        <w:rPr>
          <w:rFonts w:eastAsia="Times New Roman"/>
          <w:szCs w:val="16"/>
        </w:rPr>
        <w:t xml:space="preserve">During its </w:t>
      </w:r>
      <w:r>
        <w:rPr>
          <w:rFonts w:eastAsia="Times New Roman"/>
          <w:szCs w:val="16"/>
        </w:rPr>
        <w:t>81</w:t>
      </w:r>
      <w:r w:rsidRPr="00467E31">
        <w:rPr>
          <w:rFonts w:eastAsia="Times New Roman"/>
          <w:szCs w:val="16"/>
          <w:vertAlign w:val="superscript"/>
        </w:rPr>
        <w:t>st</w:t>
      </w:r>
      <w:r w:rsidRPr="00092EF0">
        <w:rPr>
          <w:rFonts w:eastAsia="Times New Roman"/>
          <w:szCs w:val="16"/>
        </w:rPr>
        <w:t xml:space="preserve"> meeting, the FM44 validated the compliance of the following new candidate to Annex 1 of the ERC</w:t>
      </w:r>
      <w:r>
        <w:rPr>
          <w:rFonts w:eastAsia="Times New Roman"/>
          <w:szCs w:val="16"/>
        </w:rPr>
        <w:t xml:space="preserve"> Decision </w:t>
      </w:r>
      <w:r w:rsidRPr="00092EF0">
        <w:rPr>
          <w:rFonts w:eastAsia="Times New Roman"/>
          <w:szCs w:val="16"/>
        </w:rPr>
        <w:t xml:space="preserve">(99)06: </w:t>
      </w:r>
      <w:r>
        <w:rPr>
          <w:rFonts w:eastAsia="Times New Roman"/>
          <w:szCs w:val="16"/>
        </w:rPr>
        <w:t>CONNECTA IoT</w:t>
      </w:r>
      <w:r w:rsidRPr="00092EF0">
        <w:rPr>
          <w:rFonts w:eastAsia="Times New Roman"/>
          <w:szCs w:val="16"/>
        </w:rPr>
        <w:t>.</w:t>
      </w:r>
    </w:p>
    <w:p w14:paraId="7C0EA4A9" w14:textId="43AC89B3" w:rsidR="00092EF0" w:rsidRPr="00092EF0" w:rsidRDefault="00092EF0" w:rsidP="00092EF0">
      <w:pPr>
        <w:rPr>
          <w:rFonts w:eastAsia="Times New Roman"/>
          <w:szCs w:val="16"/>
        </w:rPr>
      </w:pPr>
      <w:r w:rsidRPr="00092EF0">
        <w:rPr>
          <w:rFonts w:eastAsia="Times New Roman"/>
          <w:szCs w:val="16"/>
        </w:rPr>
        <w:t>According to ERC</w:t>
      </w:r>
      <w:r>
        <w:rPr>
          <w:rFonts w:eastAsia="Times New Roman"/>
          <w:szCs w:val="16"/>
        </w:rPr>
        <w:t xml:space="preserve"> Decision </w:t>
      </w:r>
      <w:r w:rsidRPr="00092EF0">
        <w:rPr>
          <w:rFonts w:eastAsia="Times New Roman"/>
          <w:szCs w:val="16"/>
        </w:rPr>
        <w:t>(99)06, there is a need that all necessary inter-service and intra-service compatibility studies for these S-PCS &lt; 1 GHz systems have been successfully completed for inclusion in Annex 2 of ERC</w:t>
      </w:r>
      <w:r w:rsidR="00467E31">
        <w:rPr>
          <w:rFonts w:eastAsia="Times New Roman"/>
          <w:szCs w:val="16"/>
        </w:rPr>
        <w:t xml:space="preserve"> Decision </w:t>
      </w:r>
      <w:r w:rsidRPr="00092EF0">
        <w:rPr>
          <w:rFonts w:eastAsia="Times New Roman"/>
          <w:szCs w:val="16"/>
        </w:rPr>
        <w:t>(99)06.</w:t>
      </w:r>
    </w:p>
    <w:p w14:paraId="58CFEC9E" w14:textId="774F1890" w:rsidR="00092EF0" w:rsidRPr="00092EF0" w:rsidRDefault="00092EF0" w:rsidP="00092EF0">
      <w:pPr>
        <w:rPr>
          <w:rFonts w:eastAsia="Times New Roman"/>
          <w:szCs w:val="16"/>
        </w:rPr>
      </w:pPr>
      <w:r w:rsidRPr="00092EF0">
        <w:rPr>
          <w:rFonts w:eastAsia="Times New Roman"/>
          <w:szCs w:val="16"/>
        </w:rPr>
        <w:t xml:space="preserve">Please note that the </w:t>
      </w:r>
      <w:r>
        <w:rPr>
          <w:rFonts w:eastAsia="Times New Roman"/>
          <w:szCs w:val="16"/>
        </w:rPr>
        <w:t>CONNECTA IoT satellite system’s</w:t>
      </w:r>
      <w:r w:rsidRPr="00092EF0">
        <w:rPr>
          <w:rFonts w:eastAsia="Times New Roman"/>
          <w:szCs w:val="16"/>
        </w:rPr>
        <w:t xml:space="preserve"> operations are </w:t>
      </w:r>
      <w:r>
        <w:rPr>
          <w:rFonts w:eastAsia="Times New Roman"/>
          <w:szCs w:val="16"/>
        </w:rPr>
        <w:t>carried out</w:t>
      </w:r>
      <w:r w:rsidRPr="00092EF0">
        <w:rPr>
          <w:rFonts w:eastAsia="Times New Roman"/>
          <w:szCs w:val="16"/>
        </w:rPr>
        <w:t xml:space="preserve"> in the frequency band</w:t>
      </w:r>
      <w:r>
        <w:rPr>
          <w:rFonts w:eastAsia="Times New Roman"/>
          <w:szCs w:val="16"/>
        </w:rPr>
        <w:t xml:space="preserve"> 400.</w:t>
      </w:r>
      <w:r w:rsidRPr="00092EF0">
        <w:rPr>
          <w:rFonts w:eastAsia="Times New Roman"/>
          <w:szCs w:val="16"/>
        </w:rPr>
        <w:t>15</w:t>
      </w:r>
      <w:r>
        <w:rPr>
          <w:rFonts w:eastAsia="Times New Roman"/>
          <w:szCs w:val="16"/>
        </w:rPr>
        <w:t xml:space="preserve"> - </w:t>
      </w:r>
      <w:r w:rsidRPr="00092EF0">
        <w:rPr>
          <w:rFonts w:eastAsia="Times New Roman"/>
          <w:szCs w:val="16"/>
        </w:rPr>
        <w:t>401 MHz (space-to-Earth</w:t>
      </w:r>
      <w:r>
        <w:rPr>
          <w:rFonts w:eastAsia="Times New Roman"/>
          <w:szCs w:val="16"/>
        </w:rPr>
        <w:t>).</w:t>
      </w:r>
    </w:p>
    <w:p w14:paraId="3BB541BD" w14:textId="0DDDDFE1" w:rsidR="00092EF0" w:rsidRPr="00092EF0" w:rsidRDefault="00092EF0" w:rsidP="00092EF0">
      <w:pPr>
        <w:rPr>
          <w:rFonts w:eastAsia="Times New Roman"/>
          <w:szCs w:val="16"/>
        </w:rPr>
      </w:pPr>
      <w:r w:rsidRPr="00092EF0">
        <w:rPr>
          <w:rFonts w:eastAsia="Times New Roman"/>
          <w:szCs w:val="16"/>
        </w:rPr>
        <w:t xml:space="preserve">We kindly request that your group conduct the relevant compatibility studies for the </w:t>
      </w:r>
      <w:r>
        <w:rPr>
          <w:rFonts w:eastAsia="Times New Roman"/>
          <w:szCs w:val="16"/>
        </w:rPr>
        <w:t>CONNECTA IoT satellite</w:t>
      </w:r>
      <w:r w:rsidRPr="00092EF0">
        <w:rPr>
          <w:rFonts w:eastAsia="Times New Roman"/>
          <w:szCs w:val="16"/>
        </w:rPr>
        <w:t xml:space="preserve"> system. For this purpose, </w:t>
      </w:r>
      <w:r w:rsidR="001A6CF0">
        <w:rPr>
          <w:rFonts w:eastAsia="Times New Roman"/>
          <w:szCs w:val="16"/>
        </w:rPr>
        <w:t xml:space="preserve">the </w:t>
      </w:r>
      <w:r w:rsidRPr="00092EF0">
        <w:rPr>
          <w:rFonts w:eastAsia="Times New Roman"/>
          <w:szCs w:val="16"/>
        </w:rPr>
        <w:t>detailed information will be provided to your group by the operator of th</w:t>
      </w:r>
      <w:r w:rsidR="001A6CF0">
        <w:rPr>
          <w:rFonts w:eastAsia="Times New Roman"/>
          <w:szCs w:val="16"/>
        </w:rPr>
        <w:t xml:space="preserve">is </w:t>
      </w:r>
      <w:r w:rsidRPr="00092EF0">
        <w:rPr>
          <w:rFonts w:eastAsia="Times New Roman"/>
          <w:szCs w:val="16"/>
        </w:rPr>
        <w:t>satellite system.</w:t>
      </w:r>
    </w:p>
    <w:p w14:paraId="228FEFBD" w14:textId="77777777" w:rsidR="00092EF0" w:rsidRPr="00092EF0" w:rsidRDefault="00092EF0" w:rsidP="00092EF0">
      <w:pPr>
        <w:rPr>
          <w:rFonts w:eastAsia="Times New Roman"/>
          <w:szCs w:val="16"/>
        </w:rPr>
      </w:pPr>
      <w:r w:rsidRPr="00092EF0">
        <w:rPr>
          <w:rFonts w:eastAsia="Times New Roman"/>
          <w:szCs w:val="16"/>
        </w:rPr>
        <w:t>Best regards,</w:t>
      </w:r>
    </w:p>
    <w:p w14:paraId="06ECEB1F" w14:textId="77777777" w:rsidR="00092EF0" w:rsidRPr="00092EF0" w:rsidRDefault="00092EF0" w:rsidP="00092EF0">
      <w:pPr>
        <w:rPr>
          <w:rFonts w:eastAsia="Times New Roman"/>
          <w:szCs w:val="16"/>
        </w:rPr>
      </w:pPr>
    </w:p>
    <w:p w14:paraId="4A04C659" w14:textId="77777777" w:rsidR="00092EF0" w:rsidRPr="00092EF0" w:rsidRDefault="00092EF0" w:rsidP="00092EF0">
      <w:pPr>
        <w:rPr>
          <w:rFonts w:eastAsia="Times New Roman"/>
          <w:szCs w:val="16"/>
        </w:rPr>
      </w:pPr>
      <w:r w:rsidRPr="00092EF0">
        <w:rPr>
          <w:rFonts w:eastAsia="Times New Roman"/>
          <w:szCs w:val="16"/>
        </w:rPr>
        <w:t>Amar SAÏDANI</w:t>
      </w:r>
    </w:p>
    <w:p w14:paraId="343A261D" w14:textId="77777777" w:rsidR="00092EF0" w:rsidRPr="00092EF0" w:rsidRDefault="00092EF0" w:rsidP="00092EF0">
      <w:pPr>
        <w:rPr>
          <w:rFonts w:eastAsia="Times New Roman"/>
          <w:szCs w:val="16"/>
        </w:rPr>
      </w:pPr>
      <w:r w:rsidRPr="00092EF0">
        <w:rPr>
          <w:rFonts w:eastAsia="Times New Roman"/>
          <w:szCs w:val="16"/>
        </w:rPr>
        <w:t>FM44 Chairman</w:t>
      </w:r>
    </w:p>
    <w:p w14:paraId="35D501F3" w14:textId="77777777" w:rsidR="00092EF0" w:rsidRPr="00092EF0" w:rsidRDefault="00092EF0" w:rsidP="00092EF0">
      <w:pPr>
        <w:rPr>
          <w:rFonts w:eastAsia="Times New Roman"/>
          <w:szCs w:val="16"/>
          <w:lang w:val="de-DE"/>
        </w:rPr>
      </w:pPr>
      <w:proofErr w:type="spellStart"/>
      <w:r w:rsidRPr="00092EF0">
        <w:rPr>
          <w:rFonts w:eastAsia="Times New Roman"/>
          <w:szCs w:val="16"/>
          <w:lang w:val="de-DE"/>
        </w:rPr>
        <w:t>E-mail</w:t>
      </w:r>
      <w:proofErr w:type="spellEnd"/>
      <w:r w:rsidRPr="00092EF0">
        <w:rPr>
          <w:rFonts w:eastAsia="Times New Roman"/>
          <w:szCs w:val="16"/>
          <w:lang w:val="de-DE"/>
        </w:rPr>
        <w:t xml:space="preserve">: </w:t>
      </w:r>
      <w:hyperlink r:id="rId15" w:history="1">
        <w:r w:rsidRPr="00092EF0">
          <w:rPr>
            <w:rStyle w:val="Lienhypertexte"/>
            <w:rFonts w:eastAsia="Times New Roman"/>
            <w:szCs w:val="16"/>
            <w:lang w:val="de-DE"/>
          </w:rPr>
          <w:t>amar.saidani@anfr.fr</w:t>
        </w:r>
      </w:hyperlink>
    </w:p>
    <w:sectPr w:rsidR="00092EF0" w:rsidRPr="00092EF0" w:rsidSect="00797DEE">
      <w:headerReference w:type="even" r:id="rId16"/>
      <w:headerReference w:type="default" r:id="rId17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97BF5" w14:textId="77777777" w:rsidR="00ED2928" w:rsidRDefault="00ED2928" w:rsidP="00DB17F9">
      <w:r>
        <w:separator/>
      </w:r>
    </w:p>
    <w:p w14:paraId="30253248" w14:textId="77777777" w:rsidR="00ED2928" w:rsidRDefault="00ED2928"/>
  </w:endnote>
  <w:endnote w:type="continuationSeparator" w:id="0">
    <w:p w14:paraId="05954743" w14:textId="77777777" w:rsidR="00ED2928" w:rsidRDefault="00ED2928" w:rsidP="00DB17F9">
      <w:r>
        <w:continuationSeparator/>
      </w:r>
    </w:p>
    <w:p w14:paraId="4ADB861E" w14:textId="77777777" w:rsidR="00ED2928" w:rsidRDefault="00ED29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9760A" w14:textId="77777777" w:rsidR="00ED2928" w:rsidRPr="00F51BD6" w:rsidRDefault="00ED2928" w:rsidP="00CD07E7">
      <w:pPr>
        <w:spacing w:before="120" w:after="0"/>
      </w:pPr>
      <w:r>
        <w:separator/>
      </w:r>
    </w:p>
  </w:footnote>
  <w:footnote w:type="continuationSeparator" w:id="0">
    <w:p w14:paraId="07079245" w14:textId="77777777" w:rsidR="00ED2928" w:rsidRDefault="00ED2928" w:rsidP="00CD07E7">
      <w:pPr>
        <w:spacing w:before="120" w:after="0"/>
      </w:pPr>
      <w:r>
        <w:continuationSeparator/>
      </w:r>
    </w:p>
  </w:footnote>
  <w:footnote w:type="continuationNotice" w:id="1">
    <w:p w14:paraId="68B1FEEA" w14:textId="77777777" w:rsidR="00ED2928" w:rsidRPr="00CD07E7" w:rsidRDefault="00ED2928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A45BD" w14:textId="77777777" w:rsidR="00E36601" w:rsidRPr="00AD1BE1" w:rsidRDefault="00102172" w:rsidP="00AD1BE1">
    <w:pPr>
      <w:pStyle w:val="ECCpageHeader"/>
    </w:pPr>
    <w:r w:rsidRPr="00AD1BE1">
      <w:t xml:space="preserve">ECC REPORT </w:t>
    </w:r>
    <w:r w:rsidR="00AD1BE1" w:rsidRPr="00AD1BE1">
      <w:t>&lt;No&gt;</w:t>
    </w:r>
    <w:r w:rsidR="00F56F62" w:rsidRPr="00AD1BE1">
      <w:t xml:space="preserve"> - </w:t>
    </w:r>
    <w:r w:rsidRPr="00AD1BE1">
      <w:t xml:space="preserve">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4C1A87"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FF9A8" w14:textId="14ACB789" w:rsidR="00102172" w:rsidRPr="00714F0F" w:rsidRDefault="00102172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B20384">
      <w:rPr>
        <w:noProof/>
      </w:rPr>
      <w:t>5</w:t>
    </w:r>
    <w:r w:rsidRPr="00714F0F">
      <w:fldChar w:fldCharType="end"/>
    </w:r>
  </w:p>
  <w:p w14:paraId="74496E01" w14:textId="77777777" w:rsidR="00E11D7E" w:rsidRDefault="00E11D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5.5pt;height:60pt;visibility:visible;mso-wrap-style:square" o:bullet="t">
        <v:imagedata r:id="rId1" o:title=""/>
      </v:shape>
    </w:pict>
  </w:numPicBullet>
  <w:abstractNum w:abstractNumId="0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4" w15:restartNumberingAfterBreak="0">
    <w:nsid w:val="3D163F7A"/>
    <w:multiLevelType w:val="multilevel"/>
    <w:tmpl w:val="C51432D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49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0"/>
    <w:rsid w:val="00003D12"/>
    <w:rsid w:val="0001112E"/>
    <w:rsid w:val="00012E3B"/>
    <w:rsid w:val="000378AD"/>
    <w:rsid w:val="00041A18"/>
    <w:rsid w:val="0004622B"/>
    <w:rsid w:val="00067793"/>
    <w:rsid w:val="00080D4D"/>
    <w:rsid w:val="00082DD7"/>
    <w:rsid w:val="00092EF0"/>
    <w:rsid w:val="00095620"/>
    <w:rsid w:val="000A3940"/>
    <w:rsid w:val="000B3066"/>
    <w:rsid w:val="000B6D45"/>
    <w:rsid w:val="000C028F"/>
    <w:rsid w:val="000C111C"/>
    <w:rsid w:val="000D1710"/>
    <w:rsid w:val="000D43BB"/>
    <w:rsid w:val="000E3E4D"/>
    <w:rsid w:val="000E42F5"/>
    <w:rsid w:val="000F0594"/>
    <w:rsid w:val="000F0CA8"/>
    <w:rsid w:val="000F24F5"/>
    <w:rsid w:val="000F2ED9"/>
    <w:rsid w:val="001006CA"/>
    <w:rsid w:val="00100F8B"/>
    <w:rsid w:val="0010162E"/>
    <w:rsid w:val="00101832"/>
    <w:rsid w:val="00102172"/>
    <w:rsid w:val="00110652"/>
    <w:rsid w:val="001526A2"/>
    <w:rsid w:val="001545A4"/>
    <w:rsid w:val="00154F16"/>
    <w:rsid w:val="00156314"/>
    <w:rsid w:val="00172B28"/>
    <w:rsid w:val="00183FE0"/>
    <w:rsid w:val="0018553F"/>
    <w:rsid w:val="001A01CA"/>
    <w:rsid w:val="001A6CF0"/>
    <w:rsid w:val="001B0583"/>
    <w:rsid w:val="001C30A8"/>
    <w:rsid w:val="001F1EC6"/>
    <w:rsid w:val="0020079A"/>
    <w:rsid w:val="00222F9E"/>
    <w:rsid w:val="002302A9"/>
    <w:rsid w:val="00231A0F"/>
    <w:rsid w:val="00247B0B"/>
    <w:rsid w:val="002572E0"/>
    <w:rsid w:val="00263FFB"/>
    <w:rsid w:val="00265F50"/>
    <w:rsid w:val="00274F84"/>
    <w:rsid w:val="0027730F"/>
    <w:rsid w:val="0027787F"/>
    <w:rsid w:val="0028060B"/>
    <w:rsid w:val="0028120C"/>
    <w:rsid w:val="00283417"/>
    <w:rsid w:val="002863E3"/>
    <w:rsid w:val="00295827"/>
    <w:rsid w:val="00295F16"/>
    <w:rsid w:val="00296C44"/>
    <w:rsid w:val="002A033F"/>
    <w:rsid w:val="002A4D3C"/>
    <w:rsid w:val="002C44FB"/>
    <w:rsid w:val="002C6DC3"/>
    <w:rsid w:val="002D1FA9"/>
    <w:rsid w:val="002D50A3"/>
    <w:rsid w:val="002F4166"/>
    <w:rsid w:val="002F70E6"/>
    <w:rsid w:val="003007C0"/>
    <w:rsid w:val="00307A79"/>
    <w:rsid w:val="00314DE1"/>
    <w:rsid w:val="003204D5"/>
    <w:rsid w:val="00320ED0"/>
    <w:rsid w:val="00322E6A"/>
    <w:rsid w:val="003314A0"/>
    <w:rsid w:val="00342CCB"/>
    <w:rsid w:val="00381169"/>
    <w:rsid w:val="00382669"/>
    <w:rsid w:val="0038287C"/>
    <w:rsid w:val="0038358E"/>
    <w:rsid w:val="00387DDE"/>
    <w:rsid w:val="00391A01"/>
    <w:rsid w:val="003A0EB5"/>
    <w:rsid w:val="003A5711"/>
    <w:rsid w:val="003B48D5"/>
    <w:rsid w:val="003C0BA9"/>
    <w:rsid w:val="003C64D9"/>
    <w:rsid w:val="003E2E42"/>
    <w:rsid w:val="003E70E0"/>
    <w:rsid w:val="00403CE6"/>
    <w:rsid w:val="004110CA"/>
    <w:rsid w:val="0041160E"/>
    <w:rsid w:val="004229EC"/>
    <w:rsid w:val="0042761F"/>
    <w:rsid w:val="00431162"/>
    <w:rsid w:val="00435F3D"/>
    <w:rsid w:val="00441EE0"/>
    <w:rsid w:val="00443482"/>
    <w:rsid w:val="00450308"/>
    <w:rsid w:val="00455D6F"/>
    <w:rsid w:val="00457AD1"/>
    <w:rsid w:val="0046427F"/>
    <w:rsid w:val="00467E31"/>
    <w:rsid w:val="00485665"/>
    <w:rsid w:val="00491977"/>
    <w:rsid w:val="004A1329"/>
    <w:rsid w:val="004C1A87"/>
    <w:rsid w:val="004C36D4"/>
    <w:rsid w:val="004C4A2E"/>
    <w:rsid w:val="004E057E"/>
    <w:rsid w:val="004E44C8"/>
    <w:rsid w:val="004E53BE"/>
    <w:rsid w:val="004E584A"/>
    <w:rsid w:val="004E7F82"/>
    <w:rsid w:val="004F3EA9"/>
    <w:rsid w:val="00501992"/>
    <w:rsid w:val="005026AC"/>
    <w:rsid w:val="00510AE7"/>
    <w:rsid w:val="005205AC"/>
    <w:rsid w:val="00520EFD"/>
    <w:rsid w:val="0053062A"/>
    <w:rsid w:val="00535050"/>
    <w:rsid w:val="00536F3C"/>
    <w:rsid w:val="0054260E"/>
    <w:rsid w:val="00550D79"/>
    <w:rsid w:val="00552E98"/>
    <w:rsid w:val="005559AC"/>
    <w:rsid w:val="00555FB3"/>
    <w:rsid w:val="00557B5A"/>
    <w:rsid w:val="00560A55"/>
    <w:rsid w:val="005611D0"/>
    <w:rsid w:val="00566BD4"/>
    <w:rsid w:val="00576411"/>
    <w:rsid w:val="00577CAF"/>
    <w:rsid w:val="00580223"/>
    <w:rsid w:val="00594186"/>
    <w:rsid w:val="005A05D1"/>
    <w:rsid w:val="005A53B8"/>
    <w:rsid w:val="005B202B"/>
    <w:rsid w:val="005C10EB"/>
    <w:rsid w:val="005C2301"/>
    <w:rsid w:val="005C3C18"/>
    <w:rsid w:val="005C5A96"/>
    <w:rsid w:val="005D371D"/>
    <w:rsid w:val="005E6430"/>
    <w:rsid w:val="005E7495"/>
    <w:rsid w:val="00621C12"/>
    <w:rsid w:val="00623E18"/>
    <w:rsid w:val="00625C5D"/>
    <w:rsid w:val="00635A22"/>
    <w:rsid w:val="00642083"/>
    <w:rsid w:val="006547A3"/>
    <w:rsid w:val="0065550D"/>
    <w:rsid w:val="00664295"/>
    <w:rsid w:val="00665364"/>
    <w:rsid w:val="00667B35"/>
    <w:rsid w:val="006713EB"/>
    <w:rsid w:val="00673A9B"/>
    <w:rsid w:val="00681194"/>
    <w:rsid w:val="006876A8"/>
    <w:rsid w:val="006A3B77"/>
    <w:rsid w:val="006A49E3"/>
    <w:rsid w:val="006B1EFD"/>
    <w:rsid w:val="006C14E4"/>
    <w:rsid w:val="006C6DA8"/>
    <w:rsid w:val="006C7F61"/>
    <w:rsid w:val="006D407F"/>
    <w:rsid w:val="006F0442"/>
    <w:rsid w:val="00714F0F"/>
    <w:rsid w:val="007160BE"/>
    <w:rsid w:val="00722F65"/>
    <w:rsid w:val="007257CD"/>
    <w:rsid w:val="00734A4F"/>
    <w:rsid w:val="007414C6"/>
    <w:rsid w:val="00762BCC"/>
    <w:rsid w:val="00763BA3"/>
    <w:rsid w:val="00765B66"/>
    <w:rsid w:val="00767BB2"/>
    <w:rsid w:val="0077159C"/>
    <w:rsid w:val="00776D23"/>
    <w:rsid w:val="00780376"/>
    <w:rsid w:val="00780EE3"/>
    <w:rsid w:val="00784C35"/>
    <w:rsid w:val="00791AAC"/>
    <w:rsid w:val="00797D4C"/>
    <w:rsid w:val="00797DEE"/>
    <w:rsid w:val="007A191B"/>
    <w:rsid w:val="007A6A77"/>
    <w:rsid w:val="007C0E7E"/>
    <w:rsid w:val="007C4098"/>
    <w:rsid w:val="007D17C5"/>
    <w:rsid w:val="007D52EC"/>
    <w:rsid w:val="007E1A57"/>
    <w:rsid w:val="007F1CEE"/>
    <w:rsid w:val="00807C77"/>
    <w:rsid w:val="00837537"/>
    <w:rsid w:val="00842766"/>
    <w:rsid w:val="00854EBF"/>
    <w:rsid w:val="0086094D"/>
    <w:rsid w:val="0086731C"/>
    <w:rsid w:val="00872382"/>
    <w:rsid w:val="00886906"/>
    <w:rsid w:val="008912FE"/>
    <w:rsid w:val="008A245D"/>
    <w:rsid w:val="008A54FC"/>
    <w:rsid w:val="008B3E6A"/>
    <w:rsid w:val="008B70CD"/>
    <w:rsid w:val="008D141C"/>
    <w:rsid w:val="008D2C13"/>
    <w:rsid w:val="008E6109"/>
    <w:rsid w:val="008F47AB"/>
    <w:rsid w:val="00907A34"/>
    <w:rsid w:val="009170EA"/>
    <w:rsid w:val="0092076F"/>
    <w:rsid w:val="00930439"/>
    <w:rsid w:val="00937AEB"/>
    <w:rsid w:val="009662E3"/>
    <w:rsid w:val="00966DD9"/>
    <w:rsid w:val="00970A17"/>
    <w:rsid w:val="00986677"/>
    <w:rsid w:val="0099421C"/>
    <w:rsid w:val="00995573"/>
    <w:rsid w:val="009A2F3A"/>
    <w:rsid w:val="009A7A45"/>
    <w:rsid w:val="009C3803"/>
    <w:rsid w:val="009D2C13"/>
    <w:rsid w:val="009D3BA5"/>
    <w:rsid w:val="009D4BA1"/>
    <w:rsid w:val="009D7D5A"/>
    <w:rsid w:val="009E47EB"/>
    <w:rsid w:val="009F3A37"/>
    <w:rsid w:val="009F6EA2"/>
    <w:rsid w:val="00A02090"/>
    <w:rsid w:val="00A03731"/>
    <w:rsid w:val="00A061CE"/>
    <w:rsid w:val="00A076B5"/>
    <w:rsid w:val="00A17F69"/>
    <w:rsid w:val="00A23870"/>
    <w:rsid w:val="00A274DB"/>
    <w:rsid w:val="00A41E1E"/>
    <w:rsid w:val="00A6411D"/>
    <w:rsid w:val="00A673EB"/>
    <w:rsid w:val="00A73298"/>
    <w:rsid w:val="00A751C0"/>
    <w:rsid w:val="00A95ACB"/>
    <w:rsid w:val="00A97942"/>
    <w:rsid w:val="00AA079B"/>
    <w:rsid w:val="00AA086A"/>
    <w:rsid w:val="00AB48B4"/>
    <w:rsid w:val="00AC0EA5"/>
    <w:rsid w:val="00AC2686"/>
    <w:rsid w:val="00AD1BE1"/>
    <w:rsid w:val="00AD695E"/>
    <w:rsid w:val="00AD7257"/>
    <w:rsid w:val="00AF0889"/>
    <w:rsid w:val="00AF2D0C"/>
    <w:rsid w:val="00AF4C0E"/>
    <w:rsid w:val="00B1360C"/>
    <w:rsid w:val="00B14E5E"/>
    <w:rsid w:val="00B20384"/>
    <w:rsid w:val="00B25910"/>
    <w:rsid w:val="00B26973"/>
    <w:rsid w:val="00B30D3B"/>
    <w:rsid w:val="00B432D4"/>
    <w:rsid w:val="00B5315C"/>
    <w:rsid w:val="00B576D7"/>
    <w:rsid w:val="00B80892"/>
    <w:rsid w:val="00B82735"/>
    <w:rsid w:val="00B92306"/>
    <w:rsid w:val="00B92861"/>
    <w:rsid w:val="00BA7A69"/>
    <w:rsid w:val="00BB15E2"/>
    <w:rsid w:val="00BD28DF"/>
    <w:rsid w:val="00BD6876"/>
    <w:rsid w:val="00BE0B23"/>
    <w:rsid w:val="00BE2864"/>
    <w:rsid w:val="00C00565"/>
    <w:rsid w:val="00C01F49"/>
    <w:rsid w:val="00C06108"/>
    <w:rsid w:val="00C076BF"/>
    <w:rsid w:val="00C212B5"/>
    <w:rsid w:val="00C25F81"/>
    <w:rsid w:val="00C27F02"/>
    <w:rsid w:val="00C32C20"/>
    <w:rsid w:val="00C41E14"/>
    <w:rsid w:val="00C44908"/>
    <w:rsid w:val="00C504F4"/>
    <w:rsid w:val="00C512DE"/>
    <w:rsid w:val="00C536FF"/>
    <w:rsid w:val="00C53A2B"/>
    <w:rsid w:val="00C57E85"/>
    <w:rsid w:val="00C6465A"/>
    <w:rsid w:val="00C65BB4"/>
    <w:rsid w:val="00C8071C"/>
    <w:rsid w:val="00C816CB"/>
    <w:rsid w:val="00C82461"/>
    <w:rsid w:val="00C91E3B"/>
    <w:rsid w:val="00CA07CC"/>
    <w:rsid w:val="00CA25B5"/>
    <w:rsid w:val="00CA4FCE"/>
    <w:rsid w:val="00CA5F8F"/>
    <w:rsid w:val="00CC5596"/>
    <w:rsid w:val="00CC5A6F"/>
    <w:rsid w:val="00CD07E7"/>
    <w:rsid w:val="00CE271A"/>
    <w:rsid w:val="00CE6FF5"/>
    <w:rsid w:val="00CF5245"/>
    <w:rsid w:val="00D06683"/>
    <w:rsid w:val="00D07B1A"/>
    <w:rsid w:val="00D1101B"/>
    <w:rsid w:val="00D1167E"/>
    <w:rsid w:val="00D11BD9"/>
    <w:rsid w:val="00D234E7"/>
    <w:rsid w:val="00D24C54"/>
    <w:rsid w:val="00D30E46"/>
    <w:rsid w:val="00D3663D"/>
    <w:rsid w:val="00D4349F"/>
    <w:rsid w:val="00D47EF6"/>
    <w:rsid w:val="00D50AC8"/>
    <w:rsid w:val="00D55DF8"/>
    <w:rsid w:val="00D60A44"/>
    <w:rsid w:val="00D7390F"/>
    <w:rsid w:val="00D74F04"/>
    <w:rsid w:val="00D84388"/>
    <w:rsid w:val="00D90913"/>
    <w:rsid w:val="00D92BEC"/>
    <w:rsid w:val="00DA18F2"/>
    <w:rsid w:val="00DB17F9"/>
    <w:rsid w:val="00DD08DF"/>
    <w:rsid w:val="00DD5136"/>
    <w:rsid w:val="00DD6973"/>
    <w:rsid w:val="00DF2C67"/>
    <w:rsid w:val="00DF3AE2"/>
    <w:rsid w:val="00DF7D21"/>
    <w:rsid w:val="00E03771"/>
    <w:rsid w:val="00E059C5"/>
    <w:rsid w:val="00E11D7E"/>
    <w:rsid w:val="00E130C3"/>
    <w:rsid w:val="00E14334"/>
    <w:rsid w:val="00E2303A"/>
    <w:rsid w:val="00E26ED4"/>
    <w:rsid w:val="00E32092"/>
    <w:rsid w:val="00E343BD"/>
    <w:rsid w:val="00E348D9"/>
    <w:rsid w:val="00E36601"/>
    <w:rsid w:val="00E4272A"/>
    <w:rsid w:val="00E46600"/>
    <w:rsid w:val="00E60351"/>
    <w:rsid w:val="00E668CE"/>
    <w:rsid w:val="00E71AE7"/>
    <w:rsid w:val="00E752E6"/>
    <w:rsid w:val="00EA2ED5"/>
    <w:rsid w:val="00EA6088"/>
    <w:rsid w:val="00EC1A2C"/>
    <w:rsid w:val="00ED1982"/>
    <w:rsid w:val="00ED2928"/>
    <w:rsid w:val="00ED2C10"/>
    <w:rsid w:val="00F11542"/>
    <w:rsid w:val="00F212EB"/>
    <w:rsid w:val="00F22486"/>
    <w:rsid w:val="00F23D13"/>
    <w:rsid w:val="00F32DEC"/>
    <w:rsid w:val="00F43E24"/>
    <w:rsid w:val="00F45561"/>
    <w:rsid w:val="00F465D3"/>
    <w:rsid w:val="00F51BD6"/>
    <w:rsid w:val="00F56F06"/>
    <w:rsid w:val="00F56F62"/>
    <w:rsid w:val="00F62D48"/>
    <w:rsid w:val="00F73815"/>
    <w:rsid w:val="00F7770D"/>
    <w:rsid w:val="00F905E7"/>
    <w:rsid w:val="00F91FDD"/>
    <w:rsid w:val="00F93115"/>
    <w:rsid w:val="00FA4E32"/>
    <w:rsid w:val="00FA5792"/>
    <w:rsid w:val="00FB04BE"/>
    <w:rsid w:val="00FB200D"/>
    <w:rsid w:val="00FB3571"/>
    <w:rsid w:val="00FB4F1D"/>
    <w:rsid w:val="00FD42E3"/>
    <w:rsid w:val="00FE7EEC"/>
    <w:rsid w:val="00FF0E5A"/>
    <w:rsid w:val="17E8C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b0a696"/>
    </o:shapedefaults>
    <o:shapelayout v:ext="edit">
      <o:idmap v:ext="edit" data="1"/>
    </o:shapelayout>
  </w:shapeDefaults>
  <w:decimalSymbol w:val=","/>
  <w:listSeparator w:val=";"/>
  <w14:docId w14:val="41C373E8"/>
  <w15:docId w15:val="{9D7B6B4A-B33B-448E-B501-9DF3F3D5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0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Titre1">
    <w:name w:val="heading 1"/>
    <w:aliases w:val="ECC Heading 1"/>
    <w:next w:val="Normal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Titre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Titre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Titre4">
    <w:name w:val="heading 4"/>
    <w:aliases w:val="ECC Heading 4"/>
    <w:next w:val="Normal"/>
    <w:link w:val="Titre4Car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Titre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Titre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CBulletsLv1">
    <w:name w:val="ECC Bullets Lv1"/>
    <w:basedOn w:val="Normal"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En-tte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M1">
    <w:name w:val="toc 1"/>
    <w:aliases w:val="ECC Index 1"/>
    <w:basedOn w:val="Normal"/>
    <w:link w:val="TM1C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Notedebasdepage">
    <w:name w:val="footnote text"/>
    <w:aliases w:val="ECC Footnote"/>
    <w:basedOn w:val="Normal"/>
    <w:link w:val="NotedebasdepageC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M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M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M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Policepardfau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NotedebasdepageCar">
    <w:name w:val="Note de bas de page Car"/>
    <w:aliases w:val="ECC Footnote Car"/>
    <w:basedOn w:val="Policepardfaut"/>
    <w:link w:val="Notedebasdepage"/>
    <w:rsid w:val="001526A2"/>
    <w:rPr>
      <w:rFonts w:eastAsia="Calibri"/>
      <w:sz w:val="16"/>
      <w:szCs w:val="16"/>
      <w14:cntxtAlts/>
    </w:rPr>
  </w:style>
  <w:style w:type="character" w:styleId="Appelnotedebasdep">
    <w:name w:val="footnote reference"/>
    <w:aliases w:val="ECC Footnote number"/>
    <w:basedOn w:val="Policepardfaut"/>
    <w:rsid w:val="00DB17F9"/>
    <w:rPr>
      <w:rFonts w:ascii="Arial" w:hAnsi="Arial"/>
      <w:sz w:val="20"/>
      <w:vertAlign w:val="superscript"/>
    </w:rPr>
  </w:style>
  <w:style w:type="paragraph" w:styleId="Lgende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Policepardfau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lev"/>
    <w:uiPriority w:val="1"/>
    <w:qFormat/>
    <w:rsid w:val="0038287C"/>
    <w:rPr>
      <w:b/>
      <w:bCs/>
    </w:rPr>
  </w:style>
  <w:style w:type="character" w:styleId="Accentuation">
    <w:name w:val="Emphasis"/>
    <w:aliases w:val="ECC HL italics"/>
    <w:basedOn w:val="Policepardfaut"/>
    <w:uiPriority w:val="1"/>
    <w:qFormat/>
    <w:rsid w:val="00DB17F9"/>
    <w:rPr>
      <w:i/>
    </w:rPr>
  </w:style>
  <w:style w:type="character" w:customStyle="1" w:styleId="TM1Car">
    <w:name w:val="TM 1 Car"/>
    <w:aliases w:val="ECC Index 1 Car"/>
    <w:basedOn w:val="Policepardfaut"/>
    <w:link w:val="TM1"/>
    <w:uiPriority w:val="39"/>
    <w:semiHidden/>
    <w:rsid w:val="00D3663D"/>
    <w:rPr>
      <w:rFonts w:eastAsia="Calibri"/>
      <w:b/>
      <w:noProof/>
    </w:rPr>
  </w:style>
  <w:style w:type="paragraph" w:styleId="En-ttedetabledesmatires">
    <w:name w:val="TOC Heading"/>
    <w:basedOn w:val="Titre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Policepardfau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Policepardfau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Policepardfau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Policepardfau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Paragraphedeliste">
    <w:name w:val="List Paragraph"/>
    <w:basedOn w:val="Normal"/>
    <w:uiPriority w:val="34"/>
    <w:semiHidden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Policepardfau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Policepardfau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Policepardfau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Lienhypertexte">
    <w:name w:val="Hyperlink"/>
    <w:aliases w:val="ECC Hyperlink"/>
    <w:basedOn w:val="Policepardfau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Titre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Policepardfau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Grillecouleur">
    <w:name w:val="Colorful Grid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ausimple1">
    <w:name w:val="Table Simple 1"/>
    <w:basedOn w:val="Tableau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Grillecouleur-Accent6">
    <w:name w:val="Colorful Grid Accent 6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Grilledutableau">
    <w:name w:val="Table Grid"/>
    <w:basedOn w:val="Tableau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Policepardfaut"/>
    <w:link w:val="ECCBreak"/>
    <w:rsid w:val="0042761F"/>
    <w:rPr>
      <w:b/>
      <w:bCs/>
      <w:iCs/>
      <w:caps/>
      <w:szCs w:val="28"/>
    </w:rPr>
  </w:style>
  <w:style w:type="paragraph" w:styleId="NormalWeb">
    <w:name w:val="Normal (Web)"/>
    <w:basedOn w:val="Normal"/>
    <w:uiPriority w:val="99"/>
    <w:semiHidden/>
    <w:unhideWhenUsed/>
    <w:locked/>
    <w:rsid w:val="00ED198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locked/>
    <w:rsid w:val="00CC5596"/>
    <w:pPr>
      <w:tabs>
        <w:tab w:val="center" w:pos="4703"/>
        <w:tab w:val="right" w:pos="940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C5596"/>
    <w:rPr>
      <w:rFonts w:eastAsia="Calibri"/>
      <w:szCs w:val="22"/>
      <w:lang w:val="en-GB"/>
    </w:rPr>
  </w:style>
  <w:style w:type="character" w:customStyle="1" w:styleId="Titre4Car">
    <w:name w:val="Titre 4 Car"/>
    <w:aliases w:val="ECC Heading 4 Car"/>
    <w:basedOn w:val="Policepardfaut"/>
    <w:link w:val="Titre4"/>
    <w:rsid w:val="00092EF0"/>
    <w:rPr>
      <w:rFonts w:cs="Arial"/>
      <w:bCs/>
      <w:i/>
      <w:color w:val="D2232A"/>
      <w:szCs w:val="2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92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esus.arnauyanez@ofcom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mailto:thomas.weilacher@bnetza.de" TargetMode="Externa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erome.andre@anfr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BF0CCE757D06A49822795E03813D3C8" ma:contentTypeVersion="18" ma:contentTypeDescription="Yeni belge oluşturun." ma:contentTypeScope="" ma:versionID="2d22cd41f7deb244d08dd4c62d9fdcdc">
  <xsd:schema xmlns:xsd="http://www.w3.org/2001/XMLSchema" xmlns:xs="http://www.w3.org/2001/XMLSchema" xmlns:p="http://schemas.microsoft.com/office/2006/metadata/properties" xmlns:ns2="d25371e7-a90f-455b-85ea-d592be05cd35" xmlns:ns3="ed6ace57-a9d5-449c-aaf3-1774b4f52345" targetNamespace="http://schemas.microsoft.com/office/2006/metadata/properties" ma:root="true" ma:fieldsID="96c730f4ba1e8f7d202c70c959f152a0" ns2:_="" ns3:_="">
    <xsd:import namespace="d25371e7-a90f-455b-85ea-d592be05cd35"/>
    <xsd:import namespace="ed6ace57-a9d5-449c-aaf3-1774b4f52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371e7-a90f-455b-85ea-d592be05c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Resim Etiketleri" ma:readOnly="false" ma:fieldId="{5cf76f15-5ced-4ddc-b409-7134ff3c332f}" ma:taxonomyMulti="true" ma:sspId="2d55bb30-f0ee-46a8-808a-0e7b9d1b5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ace57-a9d5-449c-aaf3-1774b4f523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f953dd-931b-4e4f-84a8-4f847a00d077}" ma:internalName="TaxCatchAll" ma:showField="CatchAllData" ma:web="ed6ace57-a9d5-449c-aaf3-1774b4f52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1AB650-D318-4A7B-BAA9-E93A31CEA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371e7-a90f-455b-85ea-d592be05cd35"/>
    <ds:schemaRef ds:uri="ed6ace57-a9d5-449c-aaf3-1774b4f52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C76B2-BE59-413F-955B-A5B4D5A02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0CFC6-AB82-4AEE-B8B5-764EC9B7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</Template>
  <TotalTime>21</TotalTime>
  <Pages>5</Pages>
  <Words>1452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XXX(YY)XX - Source - Content</vt:lpstr>
    </vt:vector>
  </TitlesOfParts>
  <Manager>ECC</Manager>
  <Company>ECO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XXX(YY)XX - Source - Content</dc:title>
  <dc:creator>ECC</dc:creator>
  <dc:description>This template is used as guidance to draft generic contributions to ECC groups</dc:description>
  <cp:lastModifiedBy>SAIDANI Amar</cp:lastModifiedBy>
  <cp:revision>9</cp:revision>
  <cp:lastPrinted>2016-10-04T08:55:00Z</cp:lastPrinted>
  <dcterms:created xsi:type="dcterms:W3CDTF">2024-08-26T13:27:00Z</dcterms:created>
  <dcterms:modified xsi:type="dcterms:W3CDTF">2024-09-02T16:31:00Z</dcterms:modified>
  <cp:category>protected templates</cp:category>
  <cp:contentStatus>Template ECC</cp:contentStatus>
</cp:coreProperties>
</file>