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Layout w:type="fixed"/>
        <w:tblCellMar>
          <w:left w:w="70" w:type="dxa"/>
          <w:right w:w="70" w:type="dxa"/>
        </w:tblCellMar>
        <w:tblLook w:val="0000" w:firstRow="0" w:lastRow="0" w:firstColumn="0" w:lastColumn="0" w:noHBand="0" w:noVBand="0"/>
      </w:tblPr>
      <w:tblGrid>
        <w:gridCol w:w="1842"/>
        <w:gridCol w:w="2496"/>
        <w:gridCol w:w="1734"/>
        <w:gridCol w:w="3568"/>
      </w:tblGrid>
      <w:tr w:rsidR="00530144" w:rsidRPr="009074AC" w14:paraId="41293001" w14:textId="77777777" w:rsidTr="00A32C19">
        <w:trPr>
          <w:cantSplit/>
        </w:trPr>
        <w:tc>
          <w:tcPr>
            <w:tcW w:w="6071" w:type="dxa"/>
            <w:gridSpan w:val="3"/>
            <w:tcBorders>
              <w:top w:val="nil"/>
              <w:left w:val="nil"/>
              <w:bottom w:val="nil"/>
              <w:right w:val="nil"/>
            </w:tcBorders>
          </w:tcPr>
          <w:p w14:paraId="158F5D2B" w14:textId="77777777" w:rsidR="00530144" w:rsidRPr="008E2415" w:rsidRDefault="00530144" w:rsidP="00591CAF">
            <w:pPr>
              <w:tabs>
                <w:tab w:val="center" w:pos="4536"/>
                <w:tab w:val="right" w:pos="9072"/>
              </w:tabs>
              <w:spacing w:line="300" w:lineRule="atLeast"/>
              <w:rPr>
                <w:b/>
              </w:rPr>
            </w:pPr>
          </w:p>
          <w:p w14:paraId="37F5F07F" w14:textId="77777777" w:rsidR="00530144" w:rsidRPr="00530144" w:rsidRDefault="00530144" w:rsidP="00591CAF">
            <w:pPr>
              <w:tabs>
                <w:tab w:val="center" w:pos="4536"/>
                <w:tab w:val="right" w:pos="9072"/>
              </w:tabs>
              <w:spacing w:line="300" w:lineRule="atLeast"/>
              <w:rPr>
                <w:b/>
              </w:rPr>
            </w:pPr>
            <w:r w:rsidRPr="00A23A3E">
              <w:rPr>
                <w:b/>
                <w:noProof/>
                <w:lang w:val="en-US"/>
              </w:rPr>
              <w:drawing>
                <wp:inline distT="0" distB="0" distL="0" distR="0" wp14:anchorId="62F445A5" wp14:editId="5020BC28">
                  <wp:extent cx="1943100" cy="53340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p>
        </w:tc>
        <w:tc>
          <w:tcPr>
            <w:tcW w:w="3569" w:type="dxa"/>
            <w:tcBorders>
              <w:top w:val="nil"/>
              <w:left w:val="nil"/>
              <w:bottom w:val="nil"/>
              <w:right w:val="nil"/>
            </w:tcBorders>
          </w:tcPr>
          <w:p w14:paraId="7118029D" w14:textId="3A930401" w:rsidR="00530144" w:rsidRPr="009D004E" w:rsidRDefault="00530144" w:rsidP="008D5E3E">
            <w:pPr>
              <w:tabs>
                <w:tab w:val="right" w:pos="3357"/>
                <w:tab w:val="right" w:pos="9072"/>
              </w:tabs>
              <w:spacing w:line="300" w:lineRule="atLeast"/>
              <w:jc w:val="center"/>
              <w:rPr>
                <w:b/>
                <w:lang w:val="de-DE"/>
              </w:rPr>
            </w:pPr>
            <w:r w:rsidRPr="009D004E">
              <w:rPr>
                <w:b/>
                <w:lang w:val="de-DE"/>
              </w:rPr>
              <w:t>Doc.</w:t>
            </w:r>
            <w:r>
              <w:rPr>
                <w:b/>
                <w:lang w:val="de-DE"/>
              </w:rPr>
              <w:t xml:space="preserve"> </w:t>
            </w:r>
            <w:r w:rsidR="002F66EB">
              <w:rPr>
                <w:b/>
                <w:lang w:val="de-DE"/>
              </w:rPr>
              <w:t>PT PP18 P (18) 21</w:t>
            </w:r>
          </w:p>
        </w:tc>
      </w:tr>
      <w:tr w:rsidR="00530144" w:rsidRPr="008E2415" w14:paraId="792CEDD4" w14:textId="77777777" w:rsidTr="00687A46">
        <w:tblPrEx>
          <w:tblCellMar>
            <w:left w:w="108" w:type="dxa"/>
            <w:right w:w="108" w:type="dxa"/>
          </w:tblCellMar>
        </w:tblPrEx>
        <w:trPr>
          <w:cantSplit/>
          <w:trHeight w:val="405"/>
        </w:trPr>
        <w:tc>
          <w:tcPr>
            <w:tcW w:w="6075" w:type="dxa"/>
            <w:gridSpan w:val="3"/>
            <w:tcBorders>
              <w:top w:val="nil"/>
              <w:left w:val="nil"/>
              <w:bottom w:val="nil"/>
              <w:right w:val="nil"/>
            </w:tcBorders>
            <w:vAlign w:val="center"/>
          </w:tcPr>
          <w:p w14:paraId="3EA58BC9" w14:textId="1E16B438" w:rsidR="00530144" w:rsidRPr="008E2415" w:rsidRDefault="003325E3" w:rsidP="00687A46">
            <w:pPr>
              <w:tabs>
                <w:tab w:val="center" w:pos="4536"/>
                <w:tab w:val="right" w:pos="9072"/>
              </w:tabs>
              <w:spacing w:line="300" w:lineRule="atLeast"/>
              <w:rPr>
                <w:b/>
              </w:rPr>
            </w:pPr>
            <w:r>
              <w:rPr>
                <w:b/>
              </w:rPr>
              <w:t xml:space="preserve">PT PP18 </w:t>
            </w:r>
            <w:r w:rsidR="00F200DC">
              <w:rPr>
                <w:b/>
              </w:rPr>
              <w:t xml:space="preserve">Policy </w:t>
            </w:r>
            <w:r w:rsidR="00C26091">
              <w:rPr>
                <w:b/>
              </w:rPr>
              <w:t>Meeting,Prague</w:t>
            </w:r>
            <w:r w:rsidR="00687A46">
              <w:rPr>
                <w:b/>
              </w:rPr>
              <w:t>,</w:t>
            </w:r>
            <w:r w:rsidR="00A32C19">
              <w:rPr>
                <w:b/>
              </w:rPr>
              <w:t xml:space="preserve"> </w:t>
            </w:r>
            <w:r w:rsidR="00C26091">
              <w:rPr>
                <w:b/>
              </w:rPr>
              <w:t>13-14 June</w:t>
            </w:r>
            <w:r w:rsidR="00496B22">
              <w:rPr>
                <w:b/>
              </w:rPr>
              <w:t xml:space="preserve"> 2018</w:t>
            </w:r>
          </w:p>
        </w:tc>
        <w:tc>
          <w:tcPr>
            <w:tcW w:w="3565" w:type="dxa"/>
            <w:tcBorders>
              <w:top w:val="nil"/>
              <w:left w:val="nil"/>
              <w:bottom w:val="nil"/>
              <w:right w:val="nil"/>
            </w:tcBorders>
            <w:vAlign w:val="center"/>
          </w:tcPr>
          <w:p w14:paraId="6FF0850B" w14:textId="77777777" w:rsidR="00530144" w:rsidRPr="008E2415" w:rsidRDefault="00530144" w:rsidP="00591CAF">
            <w:pPr>
              <w:tabs>
                <w:tab w:val="center" w:pos="4536"/>
                <w:tab w:val="right" w:pos="9072"/>
              </w:tabs>
              <w:spacing w:line="300" w:lineRule="atLeast"/>
              <w:rPr>
                <w:b/>
              </w:rPr>
            </w:pPr>
          </w:p>
        </w:tc>
      </w:tr>
      <w:tr w:rsidR="00530144" w:rsidRPr="008E2415" w14:paraId="388371E7" w14:textId="77777777" w:rsidTr="00A32C19">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14:paraId="4BACE184" w14:textId="77777777" w:rsidR="00530144" w:rsidRPr="008E2415" w:rsidRDefault="00530144" w:rsidP="00591CAF">
            <w:pPr>
              <w:tabs>
                <w:tab w:val="center" w:pos="4536"/>
                <w:tab w:val="right" w:pos="9072"/>
              </w:tabs>
              <w:spacing w:line="300" w:lineRule="atLeast"/>
              <w:rPr>
                <w:b/>
              </w:rPr>
            </w:pPr>
          </w:p>
        </w:tc>
        <w:tc>
          <w:tcPr>
            <w:tcW w:w="5300" w:type="dxa"/>
            <w:gridSpan w:val="2"/>
            <w:tcBorders>
              <w:top w:val="nil"/>
              <w:left w:val="nil"/>
              <w:bottom w:val="nil"/>
              <w:right w:val="nil"/>
            </w:tcBorders>
            <w:vAlign w:val="center"/>
          </w:tcPr>
          <w:p w14:paraId="42545666" w14:textId="77777777" w:rsidR="00530144" w:rsidRPr="008E2415" w:rsidRDefault="00530144" w:rsidP="00591CAF">
            <w:pPr>
              <w:tabs>
                <w:tab w:val="center" w:pos="4536"/>
                <w:tab w:val="right" w:pos="9072"/>
              </w:tabs>
              <w:spacing w:line="300" w:lineRule="atLeast"/>
              <w:rPr>
                <w:b/>
              </w:rPr>
            </w:pPr>
          </w:p>
        </w:tc>
      </w:tr>
      <w:tr w:rsidR="00530144" w:rsidRPr="002C69BE" w14:paraId="65C0F1AB" w14:textId="77777777" w:rsidTr="00A32C19">
        <w:tblPrEx>
          <w:tblCellMar>
            <w:left w:w="108" w:type="dxa"/>
            <w:right w:w="108" w:type="dxa"/>
          </w:tblCellMar>
        </w:tblPrEx>
        <w:trPr>
          <w:cantSplit/>
          <w:trHeight w:val="405"/>
        </w:trPr>
        <w:tc>
          <w:tcPr>
            <w:tcW w:w="1843" w:type="dxa"/>
            <w:tcBorders>
              <w:top w:val="nil"/>
              <w:left w:val="nil"/>
              <w:bottom w:val="nil"/>
              <w:right w:val="nil"/>
            </w:tcBorders>
            <w:vAlign w:val="center"/>
          </w:tcPr>
          <w:p w14:paraId="0751856C" w14:textId="77777777" w:rsidR="00530144" w:rsidRPr="002C69BE" w:rsidRDefault="00530144" w:rsidP="00591CAF">
            <w:pPr>
              <w:tabs>
                <w:tab w:val="center" w:pos="4536"/>
                <w:tab w:val="right" w:pos="9072"/>
              </w:tabs>
              <w:spacing w:line="300" w:lineRule="atLeast"/>
              <w:rPr>
                <w:b/>
              </w:rPr>
            </w:pPr>
            <w:r w:rsidRPr="002C69BE">
              <w:rPr>
                <w:b/>
              </w:rPr>
              <w:t>Date issued:</w:t>
            </w:r>
          </w:p>
        </w:tc>
        <w:tc>
          <w:tcPr>
            <w:tcW w:w="7797" w:type="dxa"/>
            <w:gridSpan w:val="3"/>
            <w:tcBorders>
              <w:top w:val="nil"/>
              <w:left w:val="nil"/>
              <w:bottom w:val="nil"/>
              <w:right w:val="nil"/>
            </w:tcBorders>
            <w:vAlign w:val="center"/>
          </w:tcPr>
          <w:p w14:paraId="5D7828C5" w14:textId="00394003" w:rsidR="00530144" w:rsidRPr="002C69BE" w:rsidRDefault="00E73E00" w:rsidP="00496B22">
            <w:pPr>
              <w:tabs>
                <w:tab w:val="center" w:pos="4536"/>
                <w:tab w:val="right" w:pos="9072"/>
              </w:tabs>
              <w:spacing w:line="300" w:lineRule="atLeast"/>
              <w:rPr>
                <w:b/>
              </w:rPr>
            </w:pPr>
            <w:r>
              <w:rPr>
                <w:b/>
                <w:lang w:val="en-US"/>
              </w:rPr>
              <w:t>May</w:t>
            </w:r>
            <w:r w:rsidR="00496B22">
              <w:rPr>
                <w:b/>
              </w:rPr>
              <w:t xml:space="preserve"> 2018</w:t>
            </w:r>
          </w:p>
        </w:tc>
      </w:tr>
      <w:tr w:rsidR="00530144" w:rsidRPr="002C69BE" w14:paraId="6649EC69" w14:textId="77777777" w:rsidTr="00A32C19">
        <w:tblPrEx>
          <w:tblCellMar>
            <w:left w:w="108" w:type="dxa"/>
            <w:right w:w="108" w:type="dxa"/>
          </w:tblCellMar>
        </w:tblPrEx>
        <w:trPr>
          <w:cantSplit/>
          <w:trHeight w:val="405"/>
        </w:trPr>
        <w:tc>
          <w:tcPr>
            <w:tcW w:w="1843" w:type="dxa"/>
            <w:tcBorders>
              <w:top w:val="nil"/>
              <w:left w:val="nil"/>
              <w:bottom w:val="nil"/>
              <w:right w:val="nil"/>
            </w:tcBorders>
            <w:vAlign w:val="center"/>
          </w:tcPr>
          <w:p w14:paraId="360420BD" w14:textId="77777777" w:rsidR="00530144" w:rsidRPr="002C69BE" w:rsidRDefault="00530144" w:rsidP="00591CAF">
            <w:pPr>
              <w:tabs>
                <w:tab w:val="center" w:pos="4536"/>
                <w:tab w:val="right" w:pos="9072"/>
              </w:tabs>
              <w:spacing w:line="300" w:lineRule="atLeast"/>
              <w:rPr>
                <w:b/>
              </w:rPr>
            </w:pPr>
            <w:r w:rsidRPr="002C69BE">
              <w:rPr>
                <w:b/>
              </w:rPr>
              <w:t>Source:</w:t>
            </w:r>
          </w:p>
        </w:tc>
        <w:tc>
          <w:tcPr>
            <w:tcW w:w="7797" w:type="dxa"/>
            <w:gridSpan w:val="3"/>
            <w:tcBorders>
              <w:top w:val="nil"/>
              <w:left w:val="nil"/>
              <w:bottom w:val="nil"/>
              <w:right w:val="nil"/>
            </w:tcBorders>
            <w:vAlign w:val="center"/>
          </w:tcPr>
          <w:p w14:paraId="5768B08D" w14:textId="5BDD5B44" w:rsidR="00530144" w:rsidRPr="008D5E3E" w:rsidRDefault="002F66EB" w:rsidP="00591CAF">
            <w:pPr>
              <w:tabs>
                <w:tab w:val="center" w:pos="4536"/>
                <w:tab w:val="right" w:pos="9072"/>
              </w:tabs>
              <w:spacing w:line="300" w:lineRule="atLeast"/>
              <w:rPr>
                <w:b/>
                <w:lang w:val="en-US"/>
              </w:rPr>
            </w:pPr>
            <w:r>
              <w:rPr>
                <w:b/>
                <w:lang w:val="en-US"/>
              </w:rPr>
              <w:t>Republic of Poland</w:t>
            </w:r>
          </w:p>
        </w:tc>
      </w:tr>
      <w:tr w:rsidR="00530144" w:rsidRPr="002C69BE" w14:paraId="4ED0F690" w14:textId="77777777" w:rsidTr="007E5256">
        <w:tblPrEx>
          <w:tblCellMar>
            <w:left w:w="108" w:type="dxa"/>
            <w:right w:w="108" w:type="dxa"/>
          </w:tblCellMar>
        </w:tblPrEx>
        <w:trPr>
          <w:cantSplit/>
          <w:trHeight w:val="94"/>
        </w:trPr>
        <w:tc>
          <w:tcPr>
            <w:tcW w:w="1843" w:type="dxa"/>
            <w:tcBorders>
              <w:top w:val="nil"/>
              <w:left w:val="nil"/>
              <w:bottom w:val="nil"/>
              <w:right w:val="nil"/>
            </w:tcBorders>
            <w:vAlign w:val="center"/>
          </w:tcPr>
          <w:p w14:paraId="3CFF5428" w14:textId="77777777" w:rsidR="00530144" w:rsidRPr="002C69BE" w:rsidRDefault="00530144" w:rsidP="00591CAF">
            <w:pPr>
              <w:tabs>
                <w:tab w:val="center" w:pos="4536"/>
                <w:tab w:val="right" w:pos="9072"/>
              </w:tabs>
              <w:spacing w:line="300" w:lineRule="atLeast"/>
              <w:rPr>
                <w:b/>
              </w:rPr>
            </w:pPr>
            <w:r w:rsidRPr="002C69BE">
              <w:rPr>
                <w:b/>
              </w:rPr>
              <w:t>Subject:</w:t>
            </w:r>
          </w:p>
        </w:tc>
        <w:tc>
          <w:tcPr>
            <w:tcW w:w="7797" w:type="dxa"/>
            <w:gridSpan w:val="3"/>
            <w:tcBorders>
              <w:top w:val="nil"/>
              <w:left w:val="nil"/>
              <w:bottom w:val="nil"/>
              <w:right w:val="nil"/>
            </w:tcBorders>
            <w:vAlign w:val="center"/>
          </w:tcPr>
          <w:p w14:paraId="2A4C5E78" w14:textId="656AD166" w:rsidR="00530144" w:rsidRPr="002C69BE" w:rsidRDefault="002F66EB" w:rsidP="008D5E3E">
            <w:pPr>
              <w:spacing w:line="300" w:lineRule="atLeast"/>
              <w:rPr>
                <w:b/>
              </w:rPr>
            </w:pPr>
            <w:bookmarkStart w:id="0" w:name="_GoBack"/>
            <w:r>
              <w:rPr>
                <w:rFonts w:ascii="Arial" w:eastAsia="Arial" w:hAnsi="Arial"/>
                <w:b/>
              </w:rPr>
              <w:t xml:space="preserve">Draft New Resolution </w:t>
            </w:r>
            <w:r w:rsidRPr="002F66EB">
              <w:rPr>
                <w:rFonts w:ascii="Arial" w:eastAsia="Arial" w:hAnsi="Arial"/>
                <w:b/>
              </w:rPr>
              <w:t>(Dubai, 2018) on ITU’s role in fostering telecommunication/ICT-centric innovation that accelerates digital transformation of society</w:t>
            </w:r>
            <w:bookmarkEnd w:id="0"/>
          </w:p>
        </w:tc>
      </w:tr>
    </w:tbl>
    <w:p w14:paraId="418FCB67" w14:textId="77777777" w:rsidR="00530144" w:rsidRPr="002C69BE" w:rsidRDefault="00530144" w:rsidP="00591CAF">
      <w:pPr>
        <w:spacing w:line="300" w:lineRule="atLeast"/>
      </w:pPr>
      <w:r w:rsidRPr="002C69BE">
        <w:rPr>
          <w:noProof/>
          <w:lang w:val="en-US"/>
        </w:rPr>
        <mc:AlternateContent>
          <mc:Choice Requires="wps">
            <w:drawing>
              <wp:anchor distT="0" distB="0" distL="114300" distR="114300" simplePos="0" relativeHeight="251659264" behindDoc="1" locked="0" layoutInCell="1" allowOverlap="1" wp14:anchorId="12DF35FB" wp14:editId="1826A3CB">
                <wp:simplePos x="0" y="0"/>
                <wp:positionH relativeFrom="column">
                  <wp:posOffset>2600960</wp:posOffset>
                </wp:positionH>
                <wp:positionV relativeFrom="paragraph">
                  <wp:posOffset>176530</wp:posOffset>
                </wp:positionV>
                <wp:extent cx="457200" cy="516890"/>
                <wp:effectExtent l="0" t="0" r="19050" b="16510"/>
                <wp:wrapTight wrapText="bothSides">
                  <wp:wrapPolygon edited="0">
                    <wp:start x="0" y="0"/>
                    <wp:lineTo x="0" y="21494"/>
                    <wp:lineTo x="21600" y="21494"/>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16890"/>
                        </a:xfrm>
                        <a:prstGeom prst="rect">
                          <a:avLst/>
                        </a:prstGeom>
                        <a:solidFill>
                          <a:srgbClr val="FFFFFF"/>
                        </a:solidFill>
                        <a:ln w="9525">
                          <a:solidFill>
                            <a:srgbClr val="000000"/>
                          </a:solidFill>
                          <a:miter lim="800000"/>
                          <a:headEnd/>
                          <a:tailEnd/>
                        </a:ln>
                      </wps:spPr>
                      <wps:txbx>
                        <w:txbxContent>
                          <w:p w14:paraId="1D6672C6" w14:textId="73D15B54" w:rsidR="00664BEA" w:rsidRPr="00254FD9" w:rsidRDefault="008D5E3E" w:rsidP="00530144">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F35FB" id="_x0000_t202" coordsize="21600,21600" o:spt="202" path="m,l,21600r21600,l21600,xe">
                <v:stroke joinstyle="miter"/>
                <v:path gradientshapeok="t" o:connecttype="rect"/>
              </v:shapetype>
              <v:shape id="Text Box 2" o:spid="_x0000_s1026" type="#_x0000_t202" style="position:absolute;margin-left:204.8pt;margin-top:13.9pt;width:36pt;height:4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">
                <v:textbox>
                  <w:txbxContent>
                    <w:p w14:paraId="1D6672C6" w14:textId="73D15B54" w:rsidR="00664BEA" w:rsidRPr="00254FD9" w:rsidRDefault="008D5E3E" w:rsidP="00530144">
                      <w:pPr>
                        <w:jc w:val="center"/>
                        <w:rPr>
                          <w:rFonts w:cs="Arial"/>
                          <w:szCs w:val="24"/>
                          <w:lang w:val="de-DE"/>
                        </w:rPr>
                      </w:pPr>
                      <w:r>
                        <w:rPr>
                          <w:rFonts w:cs="Arial"/>
                          <w:szCs w:val="24"/>
                          <w:lang w:val="de-DE"/>
                        </w:rPr>
                        <w:t>N</w:t>
                      </w:r>
                    </w:p>
                  </w:txbxContent>
                </v:textbox>
                <w10:wrap type="tight"/>
              </v:shape>
            </w:pict>
          </mc:Fallback>
        </mc:AlternateContent>
      </w:r>
    </w:p>
    <w:p w14:paraId="3ECD7F97" w14:textId="1097A15F" w:rsidR="00530144" w:rsidRPr="00F66E77" w:rsidRDefault="00530144" w:rsidP="00591CAF">
      <w:pPr>
        <w:spacing w:line="300" w:lineRule="atLeast"/>
      </w:pPr>
      <w:r w:rsidRPr="002C69BE">
        <w:t xml:space="preserve">Password protection required? (Y/N) </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C26091" w:rsidRPr="006F228A" w14:paraId="7AB6E0D2" w14:textId="77777777" w:rsidTr="004E78BA">
        <w:trPr>
          <w:cantSplit/>
          <w:trHeight w:val="446"/>
        </w:trPr>
        <w:tc>
          <w:tcPr>
            <w:tcW w:w="9640" w:type="dxa"/>
            <w:tcBorders>
              <w:bottom w:val="nil"/>
            </w:tcBorders>
          </w:tcPr>
          <w:p w14:paraId="641AFF09" w14:textId="77777777" w:rsidR="00C26091" w:rsidRPr="006F228A" w:rsidRDefault="00C26091" w:rsidP="004E78BA">
            <w:pPr>
              <w:pStyle w:val="Header1"/>
              <w:rPr>
                <w:sz w:val="22"/>
                <w:lang w:val="en-GB"/>
              </w:rPr>
            </w:pPr>
            <w:r w:rsidRPr="006F228A">
              <w:rPr>
                <w:sz w:val="22"/>
                <w:lang w:val="en-GB"/>
              </w:rPr>
              <w:t xml:space="preserve">Summary: </w:t>
            </w:r>
          </w:p>
        </w:tc>
      </w:tr>
      <w:tr w:rsidR="00C26091" w:rsidRPr="00040E8E" w14:paraId="0FAE7B4D" w14:textId="77777777" w:rsidTr="004E78BA">
        <w:trPr>
          <w:cantSplit/>
          <w:trHeight w:val="1112"/>
        </w:trPr>
        <w:tc>
          <w:tcPr>
            <w:tcW w:w="9640" w:type="dxa"/>
            <w:tcBorders>
              <w:top w:val="nil"/>
              <w:bottom w:val="single" w:sz="4" w:space="0" w:color="auto"/>
            </w:tcBorders>
          </w:tcPr>
          <w:p w14:paraId="54DBCF59" w14:textId="64CFC4EF" w:rsidR="00C26091" w:rsidRPr="006F228A" w:rsidRDefault="002F66EB" w:rsidP="004E78BA">
            <w:r w:rsidRPr="00715016">
              <w:rPr>
                <w:rFonts w:ascii="Arial" w:hAnsi="Arial" w:cs="Arial"/>
                <w:lang w:val="en-US"/>
              </w:rPr>
              <w:t>It is proposed to introduce a new resolution on International Telecommunications Union’s role in fostering telecommunication/ICT-centric innovation that accelerates digital transformation of society.</w:t>
            </w:r>
          </w:p>
        </w:tc>
      </w:tr>
      <w:tr w:rsidR="00C26091" w:rsidRPr="006F228A" w14:paraId="735D1736" w14:textId="77777777" w:rsidTr="004E78BA">
        <w:trPr>
          <w:cantSplit/>
          <w:trHeight w:val="443"/>
        </w:trPr>
        <w:tc>
          <w:tcPr>
            <w:tcW w:w="9640" w:type="dxa"/>
            <w:tcBorders>
              <w:bottom w:val="nil"/>
            </w:tcBorders>
          </w:tcPr>
          <w:p w14:paraId="33BCF704" w14:textId="77777777" w:rsidR="00C26091" w:rsidRPr="006F228A" w:rsidRDefault="00C26091" w:rsidP="004E78BA">
            <w:pPr>
              <w:pStyle w:val="Header1"/>
              <w:rPr>
                <w:sz w:val="22"/>
                <w:lang w:val="en-GB"/>
              </w:rPr>
            </w:pPr>
            <w:r w:rsidRPr="006F228A">
              <w:rPr>
                <w:sz w:val="22"/>
                <w:lang w:val="en-GB"/>
              </w:rPr>
              <w:t xml:space="preserve">Proposal: </w:t>
            </w:r>
          </w:p>
        </w:tc>
      </w:tr>
      <w:tr w:rsidR="00C26091" w:rsidRPr="00040E8E" w14:paraId="0968DE97" w14:textId="77777777" w:rsidTr="004E78BA">
        <w:trPr>
          <w:cantSplit/>
          <w:trHeight w:val="490"/>
        </w:trPr>
        <w:tc>
          <w:tcPr>
            <w:tcW w:w="9640" w:type="dxa"/>
            <w:tcBorders>
              <w:top w:val="nil"/>
              <w:bottom w:val="single" w:sz="4" w:space="0" w:color="auto"/>
            </w:tcBorders>
          </w:tcPr>
          <w:p w14:paraId="55506CC0" w14:textId="41BF72E3" w:rsidR="00C26091" w:rsidRPr="006F228A" w:rsidRDefault="002F66EB" w:rsidP="004E78BA">
            <w:r w:rsidRPr="00715016">
              <w:rPr>
                <w:rFonts w:ascii="Arial" w:hAnsi="Arial" w:cs="Arial"/>
                <w:lang w:val="en-US"/>
              </w:rPr>
              <w:t xml:space="preserve">Com-ITU is invited to discuss and comment </w:t>
            </w:r>
            <w:r>
              <w:rPr>
                <w:rFonts w:ascii="Arial" w:hAnsi="Arial" w:cs="Arial"/>
                <w:lang w:val="en-US"/>
              </w:rPr>
              <w:t>this draft proposal (see Annex)</w:t>
            </w:r>
            <w:r w:rsidR="00C26091" w:rsidRPr="006F228A">
              <w:t>.</w:t>
            </w:r>
          </w:p>
        </w:tc>
      </w:tr>
    </w:tbl>
    <w:p w14:paraId="182B10C9" w14:textId="6BDE739C" w:rsidR="00375A8F" w:rsidRDefault="00375A8F"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50061E22" w14:textId="77777777" w:rsidR="00C26091" w:rsidRDefault="00C26091"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15BEDEF0" w14:textId="77777777" w:rsidR="00C26091" w:rsidRDefault="00C26091"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68A73EC9" w14:textId="77777777" w:rsidR="002F66EB" w:rsidRDefault="002F66EB"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73209A6E" w14:textId="77777777" w:rsidR="002F66EB" w:rsidRDefault="002F66EB"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44D16000" w14:textId="77777777" w:rsidR="002F66EB" w:rsidRDefault="002F66EB"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2F5CCB86" w14:textId="77777777" w:rsidR="002F66EB" w:rsidRDefault="002F66EB"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15F8A042" w14:textId="77777777" w:rsidR="002F66EB" w:rsidRDefault="002F66EB"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7E28CFE0" w14:textId="77777777" w:rsidR="002F66EB" w:rsidRDefault="002F66EB"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7EBBC4A6" w14:textId="77777777" w:rsidR="002F66EB" w:rsidRDefault="002F66EB"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04741350" w14:textId="77777777" w:rsidR="002F66EB" w:rsidRDefault="002F66EB"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567B55D5" w14:textId="77777777" w:rsidR="00C26091" w:rsidRDefault="00C26091"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5498B281" w14:textId="77777777" w:rsidR="00C26091" w:rsidRDefault="00C26091" w:rsidP="00375A8F">
      <w:pPr>
        <w:overflowPunct w:val="0"/>
        <w:autoSpaceDE w:val="0"/>
        <w:autoSpaceDN w:val="0"/>
        <w:adjustRightInd w:val="0"/>
        <w:spacing w:before="120" w:after="0" w:line="240" w:lineRule="auto"/>
        <w:jc w:val="both"/>
        <w:textAlignment w:val="baseline"/>
        <w:rPr>
          <w:rFonts w:eastAsia="Calibri" w:cs="Times New Roman"/>
          <w:color w:val="000000"/>
          <w:sz w:val="24"/>
          <w:szCs w:val="24"/>
        </w:rPr>
      </w:pPr>
    </w:p>
    <w:p w14:paraId="4745D6C3" w14:textId="77777777" w:rsidR="002F66EB" w:rsidRPr="00715016" w:rsidRDefault="002F66EB" w:rsidP="002F66EB">
      <w:pPr>
        <w:pStyle w:val="Restitle"/>
        <w:rPr>
          <w:rFonts w:ascii="Arial" w:hAnsi="Arial" w:cs="Arial"/>
          <w:lang w:val="en-US"/>
        </w:rPr>
      </w:pPr>
      <w:r w:rsidRPr="00715016">
        <w:rPr>
          <w:rFonts w:ascii="Arial" w:hAnsi="Arial" w:cs="Arial"/>
          <w:lang w:val="en-US"/>
        </w:rPr>
        <w:lastRenderedPageBreak/>
        <w:t>ITU’s role in fostering telecommunication/ICT-centric innovation that accelerates digital transformation of society</w:t>
      </w:r>
    </w:p>
    <w:p w14:paraId="5D4CD373" w14:textId="77777777" w:rsidR="002F66EB" w:rsidRPr="00511779" w:rsidRDefault="002F66EB" w:rsidP="002F66EB">
      <w:pPr>
        <w:tabs>
          <w:tab w:val="left" w:pos="0"/>
          <w:tab w:val="left" w:pos="851"/>
        </w:tabs>
        <w:spacing w:before="244"/>
        <w:ind w:right="350"/>
        <w:rPr>
          <w:rFonts w:ascii="Arial" w:hAnsi="Arial" w:cs="Arial"/>
          <w:b/>
          <w:lang w:val="en-US"/>
        </w:rPr>
      </w:pPr>
      <w:r w:rsidRPr="00511779">
        <w:rPr>
          <w:rFonts w:ascii="Arial" w:hAnsi="Arial" w:cs="Arial"/>
          <w:b/>
          <w:lang w:val="en-US"/>
        </w:rPr>
        <w:t>I</w:t>
      </w:r>
      <w:r w:rsidRPr="00511779">
        <w:rPr>
          <w:rFonts w:ascii="Arial" w:hAnsi="Arial" w:cs="Arial"/>
          <w:b/>
          <w:lang w:val="en-US"/>
        </w:rPr>
        <w:tab/>
        <w:t>Introduction</w:t>
      </w:r>
    </w:p>
    <w:p w14:paraId="6758D018" w14:textId="77777777" w:rsidR="002F66EB" w:rsidRPr="00715016" w:rsidRDefault="002F66EB" w:rsidP="002F66EB">
      <w:pPr>
        <w:jc w:val="both"/>
        <w:rPr>
          <w:rFonts w:ascii="Arial" w:hAnsi="Arial" w:cs="Arial"/>
          <w:lang w:val="en-US"/>
        </w:rPr>
      </w:pPr>
      <w:r w:rsidRPr="00715016">
        <w:rPr>
          <w:rFonts w:ascii="Arial" w:hAnsi="Arial" w:cs="Arial"/>
          <w:lang w:val="en-US"/>
        </w:rPr>
        <w:t xml:space="preserve">The competitiveness of economies depends mainly on investments in innovation, which will become the driving force of technological and social changes. </w:t>
      </w:r>
    </w:p>
    <w:p w14:paraId="55342972" w14:textId="77777777" w:rsidR="002F66EB" w:rsidRPr="00715016" w:rsidRDefault="002F66EB" w:rsidP="002F66EB">
      <w:pPr>
        <w:jc w:val="both"/>
        <w:rPr>
          <w:rFonts w:ascii="Arial" w:hAnsi="Arial" w:cs="Arial"/>
          <w:lang w:val="en-US"/>
        </w:rPr>
      </w:pPr>
      <w:r w:rsidRPr="00715016">
        <w:rPr>
          <w:rFonts w:ascii="Arial" w:hAnsi="Arial" w:cs="Arial"/>
          <w:lang w:val="en-US"/>
        </w:rPr>
        <w:t xml:space="preserve">This has also proven to be true in case of Poland, as in the recent years Poland has been one of the fastest growing economies in Europe and since 1989 has </w:t>
      </w:r>
      <w:r>
        <w:rPr>
          <w:rFonts w:ascii="Arial" w:hAnsi="Arial" w:cs="Arial"/>
          <w:lang w:val="en-US"/>
        </w:rPr>
        <w:t>more than</w:t>
      </w:r>
      <w:r w:rsidRPr="00715016">
        <w:rPr>
          <w:rFonts w:ascii="Arial" w:hAnsi="Arial" w:cs="Arial"/>
          <w:lang w:val="en-US"/>
        </w:rPr>
        <w:t xml:space="preserve"> doubled its gross domestic product. Thanks to the current entrepreneurial generation, over a period of almost 30 years of reforms, and </w:t>
      </w:r>
      <w:r>
        <w:rPr>
          <w:rFonts w:ascii="Arial" w:hAnsi="Arial" w:cs="Arial"/>
          <w:lang w:val="en-US"/>
        </w:rPr>
        <w:t xml:space="preserve">almost </w:t>
      </w:r>
      <w:r w:rsidRPr="00715016">
        <w:rPr>
          <w:rFonts w:ascii="Arial" w:hAnsi="Arial" w:cs="Arial"/>
          <w:lang w:val="en-US"/>
        </w:rPr>
        <w:t xml:space="preserve">15 years in the European Union, Poland is considered to have entered its new golden age and, as the World Bank claims, “the country has not been as successful as today over the last 500 years”. </w:t>
      </w:r>
    </w:p>
    <w:p w14:paraId="4D26D680" w14:textId="77777777" w:rsidR="002F66EB" w:rsidRDefault="002F66EB" w:rsidP="002F66EB">
      <w:pPr>
        <w:jc w:val="both"/>
        <w:rPr>
          <w:rFonts w:ascii="Arial" w:hAnsi="Arial" w:cs="Arial"/>
          <w:lang w:val="en-US"/>
        </w:rPr>
      </w:pPr>
      <w:r w:rsidRPr="00715016">
        <w:rPr>
          <w:rFonts w:ascii="Arial" w:hAnsi="Arial" w:cs="Arial"/>
          <w:lang w:val="en-US"/>
        </w:rPr>
        <w:t xml:space="preserve">That’s why innovation in Poland is now a key factor for the public and private sector. </w:t>
      </w:r>
      <w:r>
        <w:rPr>
          <w:rFonts w:ascii="Arial" w:hAnsi="Arial" w:cs="Arial"/>
          <w:lang w:val="en-US"/>
        </w:rPr>
        <w:t xml:space="preserve">This is also reflected in our strategic approach. </w:t>
      </w:r>
      <w:r w:rsidRPr="00715016">
        <w:rPr>
          <w:rFonts w:ascii="Arial" w:hAnsi="Arial" w:cs="Arial"/>
          <w:lang w:val="en-US"/>
        </w:rPr>
        <w:t xml:space="preserve">In 2013 Poland </w:t>
      </w:r>
      <w:r>
        <w:rPr>
          <w:rFonts w:ascii="Arial" w:hAnsi="Arial" w:cs="Arial"/>
          <w:lang w:val="en-US"/>
        </w:rPr>
        <w:t>adopted</w:t>
      </w:r>
      <w:r w:rsidRPr="00715016">
        <w:rPr>
          <w:rFonts w:ascii="Arial" w:hAnsi="Arial" w:cs="Arial"/>
          <w:lang w:val="en-US"/>
        </w:rPr>
        <w:t xml:space="preserve"> an innovation and effective market strategy called ‘Dynamic Poland 2020’.</w:t>
      </w:r>
      <w:r>
        <w:rPr>
          <w:rFonts w:ascii="Arial" w:hAnsi="Arial" w:cs="Arial"/>
          <w:lang w:val="en-US"/>
        </w:rPr>
        <w:t>In 2017, the Polish Government adopted a new Strategy for Responsible Development for the period up to 2020 (including the perspective up to 2030). It is an applicable and key document for Poland’s economic policy. Boosting innovativeness is among its main goals. The implementation of this Strategy will require estimated 350 billion Euro.</w:t>
      </w:r>
    </w:p>
    <w:p w14:paraId="65FFCF67" w14:textId="77777777" w:rsidR="002F66EB" w:rsidRDefault="002F66EB" w:rsidP="002F66EB">
      <w:pPr>
        <w:jc w:val="both"/>
        <w:rPr>
          <w:rFonts w:ascii="Arial" w:hAnsi="Arial" w:cs="Arial"/>
          <w:lang w:val="en-US"/>
        </w:rPr>
      </w:pPr>
      <w:r>
        <w:rPr>
          <w:rFonts w:ascii="Arial" w:hAnsi="Arial" w:cs="Arial"/>
          <w:lang w:val="en-US"/>
        </w:rPr>
        <w:t xml:space="preserve">Establishing a separate Ministry responsible for digital affairs is a sign of the high level priority that is given to this field in Poland. With the aim of strengthening crosscutting impact of ICTs and ICT centric innovations on development, the Ministry is an active member of </w:t>
      </w:r>
      <w:r w:rsidRPr="00715016">
        <w:rPr>
          <w:rFonts w:ascii="Arial" w:hAnsi="Arial" w:cs="Arial"/>
          <w:lang w:val="en-US"/>
        </w:rPr>
        <w:t>an Innovation Council,</w:t>
      </w:r>
      <w:r>
        <w:rPr>
          <w:rFonts w:ascii="Arial" w:hAnsi="Arial" w:cs="Arial"/>
          <w:lang w:val="en-US"/>
        </w:rPr>
        <w:t xml:space="preserve"> a governmental body aiming at creating a right environment for innovation to flourish</w:t>
      </w:r>
      <w:r w:rsidRPr="00715016">
        <w:rPr>
          <w:rFonts w:ascii="Arial" w:hAnsi="Arial" w:cs="Arial"/>
          <w:lang w:val="en-US"/>
        </w:rPr>
        <w:t>. The body initiate</w:t>
      </w:r>
      <w:r>
        <w:rPr>
          <w:rFonts w:ascii="Arial" w:hAnsi="Arial" w:cs="Arial"/>
          <w:lang w:val="en-US"/>
        </w:rPr>
        <w:t>s</w:t>
      </w:r>
      <w:r w:rsidRPr="00715016">
        <w:rPr>
          <w:rFonts w:ascii="Arial" w:hAnsi="Arial" w:cs="Arial"/>
          <w:lang w:val="en-US"/>
        </w:rPr>
        <w:t xml:space="preserve"> action and suggest</w:t>
      </w:r>
      <w:r>
        <w:rPr>
          <w:rFonts w:ascii="Arial" w:hAnsi="Arial" w:cs="Arial"/>
          <w:lang w:val="en-US"/>
        </w:rPr>
        <w:t>s</w:t>
      </w:r>
      <w:r w:rsidRPr="00715016">
        <w:rPr>
          <w:rFonts w:ascii="Arial" w:hAnsi="Arial" w:cs="Arial"/>
          <w:lang w:val="en-US"/>
        </w:rPr>
        <w:t xml:space="preserve"> solutions </w:t>
      </w:r>
      <w:r>
        <w:rPr>
          <w:rFonts w:ascii="Arial" w:hAnsi="Arial" w:cs="Arial"/>
          <w:lang w:val="en-US"/>
        </w:rPr>
        <w:t>which</w:t>
      </w:r>
      <w:r w:rsidRPr="00715016">
        <w:rPr>
          <w:rFonts w:ascii="Arial" w:hAnsi="Arial" w:cs="Arial"/>
          <w:lang w:val="en-US"/>
        </w:rPr>
        <w:t xml:space="preserve"> will actively support entrepreneurs in searching for new products and processes and consequently contribute to creating competitive advantages of our economy. </w:t>
      </w:r>
    </w:p>
    <w:p w14:paraId="21C499A2" w14:textId="77777777" w:rsidR="002F66EB" w:rsidRPr="00715016" w:rsidRDefault="002F66EB" w:rsidP="002F66EB">
      <w:pPr>
        <w:jc w:val="both"/>
        <w:rPr>
          <w:rFonts w:ascii="Arial" w:hAnsi="Arial" w:cs="Arial"/>
          <w:lang w:val="en-US"/>
        </w:rPr>
      </w:pPr>
      <w:r w:rsidRPr="00715016">
        <w:rPr>
          <w:rFonts w:ascii="Arial" w:hAnsi="Arial" w:cs="Arial"/>
          <w:lang w:val="en-US"/>
        </w:rPr>
        <w:t xml:space="preserve">The business climate </w:t>
      </w:r>
      <w:r>
        <w:rPr>
          <w:rFonts w:ascii="Arial" w:hAnsi="Arial" w:cs="Arial"/>
          <w:lang w:val="en-US"/>
        </w:rPr>
        <w:t xml:space="preserve">in Poland, one of the key ingredients for increased competitiveness </w:t>
      </w:r>
      <w:r w:rsidRPr="00715016">
        <w:rPr>
          <w:rFonts w:ascii="Arial" w:hAnsi="Arial" w:cs="Arial"/>
          <w:lang w:val="en-US"/>
        </w:rPr>
        <w:t>has significantly improved</w:t>
      </w:r>
      <w:r>
        <w:rPr>
          <w:rFonts w:ascii="Arial" w:hAnsi="Arial" w:cs="Arial"/>
          <w:lang w:val="en-US"/>
        </w:rPr>
        <w:t xml:space="preserve"> in recent years, Poland has moved from rank 72 to 27 in World Bank’s Doing Business report</w:t>
      </w:r>
      <w:r w:rsidRPr="00715016">
        <w:rPr>
          <w:rFonts w:ascii="Arial" w:hAnsi="Arial" w:cs="Arial"/>
          <w:lang w:val="en-US"/>
        </w:rPr>
        <w:t>. One of the most innovative branches</w:t>
      </w:r>
      <w:r>
        <w:rPr>
          <w:rFonts w:ascii="Arial" w:hAnsi="Arial" w:cs="Arial"/>
          <w:lang w:val="en-US"/>
        </w:rPr>
        <w:t xml:space="preserve"> of the modern economy</w:t>
      </w:r>
      <w:r w:rsidRPr="00715016">
        <w:rPr>
          <w:rFonts w:ascii="Arial" w:hAnsi="Arial" w:cs="Arial"/>
          <w:lang w:val="en-US"/>
        </w:rPr>
        <w:t>, the financial technology, so called, FinTech, in Central and Eastern Europe generates 2,2 billion Euro revenue annually, of which nearly 40% is allocated in the Polish market.</w:t>
      </w:r>
    </w:p>
    <w:p w14:paraId="0E468EF5" w14:textId="77777777" w:rsidR="002F66EB" w:rsidRPr="00715016" w:rsidRDefault="002F66EB" w:rsidP="002F66EB">
      <w:pPr>
        <w:jc w:val="both"/>
        <w:rPr>
          <w:rFonts w:ascii="Arial" w:hAnsi="Arial" w:cs="Arial"/>
          <w:lang w:val="en-US"/>
        </w:rPr>
      </w:pPr>
      <w:r w:rsidRPr="00715016">
        <w:rPr>
          <w:rFonts w:ascii="Arial" w:hAnsi="Arial" w:cs="Arial"/>
          <w:lang w:val="en-US"/>
        </w:rPr>
        <w:t>Innovation is also addressed in the UN environment on several occasions. Its importance is highlighted in the 2030 Agenda for Sustainable Development. Within the SDG framework it is linked with infrastructure under SDG 9</w:t>
      </w:r>
      <w:r>
        <w:rPr>
          <w:rFonts w:ascii="Arial" w:hAnsi="Arial" w:cs="Arial"/>
          <w:lang w:val="en-US"/>
        </w:rPr>
        <w:t>, where ITU has some special role to play</w:t>
      </w:r>
      <w:r w:rsidRPr="00715016">
        <w:rPr>
          <w:rFonts w:ascii="Arial" w:hAnsi="Arial" w:cs="Arial"/>
          <w:lang w:val="en-US"/>
        </w:rPr>
        <w:t>. The G20 declaration proposes a new term “digital transformation”, which aims to underline how innovation can help to collectively address issues to make digitalization a global success and to ensure that everyone can benefit from the digital transformation.</w:t>
      </w:r>
    </w:p>
    <w:p w14:paraId="43E6FBD6" w14:textId="77777777" w:rsidR="002F66EB" w:rsidRDefault="002F66EB" w:rsidP="002F66EB">
      <w:pPr>
        <w:jc w:val="both"/>
        <w:rPr>
          <w:rFonts w:ascii="Arial" w:hAnsi="Arial" w:cs="Arial"/>
          <w:lang w:val="en-US"/>
        </w:rPr>
      </w:pPr>
      <w:r w:rsidRPr="00715016">
        <w:rPr>
          <w:rFonts w:ascii="Arial" w:hAnsi="Arial" w:cs="Arial"/>
          <w:lang w:val="en-US"/>
        </w:rPr>
        <w:t xml:space="preserve">Moreover the ITU Strategic Plan for 2020-2022 </w:t>
      </w:r>
      <w:r>
        <w:rPr>
          <w:rFonts w:ascii="Arial" w:hAnsi="Arial" w:cs="Arial"/>
          <w:lang w:val="en-US"/>
        </w:rPr>
        <w:t xml:space="preserve">identifies </w:t>
      </w:r>
      <w:r w:rsidRPr="00715016">
        <w:rPr>
          <w:rFonts w:ascii="Arial" w:hAnsi="Arial" w:cs="Arial"/>
          <w:lang w:val="en-US"/>
        </w:rPr>
        <w:t xml:space="preserve">innovation as a separate </w:t>
      </w:r>
      <w:r>
        <w:rPr>
          <w:rFonts w:ascii="Arial" w:hAnsi="Arial" w:cs="Arial"/>
          <w:lang w:val="en-US"/>
        </w:rPr>
        <w:t>goal, setting concrete target to be achieved by the members. This document</w:t>
      </w:r>
      <w:r w:rsidRPr="00715016">
        <w:rPr>
          <w:rFonts w:ascii="Arial" w:hAnsi="Arial" w:cs="Arial"/>
          <w:lang w:val="en-US"/>
        </w:rPr>
        <w:t xml:space="preserve"> </w:t>
      </w:r>
      <w:r>
        <w:rPr>
          <w:rFonts w:ascii="Arial" w:hAnsi="Arial" w:cs="Arial"/>
          <w:lang w:val="en-US"/>
        </w:rPr>
        <w:t>points to</w:t>
      </w:r>
      <w:r w:rsidRPr="00715016">
        <w:rPr>
          <w:rFonts w:ascii="Arial" w:hAnsi="Arial" w:cs="Arial"/>
          <w:lang w:val="en-US"/>
        </w:rPr>
        <w:t xml:space="preserve"> innovation in telecommunication/ICT as </w:t>
      </w:r>
      <w:r>
        <w:rPr>
          <w:rFonts w:ascii="Arial" w:hAnsi="Arial" w:cs="Arial"/>
          <w:lang w:val="en-US"/>
        </w:rPr>
        <w:t xml:space="preserve">a </w:t>
      </w:r>
      <w:r w:rsidRPr="00715016">
        <w:rPr>
          <w:rFonts w:ascii="Arial" w:hAnsi="Arial" w:cs="Arial"/>
          <w:lang w:val="en-US"/>
        </w:rPr>
        <w:t xml:space="preserve">support </w:t>
      </w:r>
      <w:r>
        <w:rPr>
          <w:rFonts w:ascii="Arial" w:hAnsi="Arial" w:cs="Arial"/>
          <w:lang w:val="en-US"/>
        </w:rPr>
        <w:t>to</w:t>
      </w:r>
      <w:r w:rsidRPr="00715016">
        <w:rPr>
          <w:rFonts w:ascii="Arial" w:hAnsi="Arial" w:cs="Arial"/>
          <w:lang w:val="en-US"/>
        </w:rPr>
        <w:t xml:space="preserve"> the digital transformation of society</w:t>
      </w:r>
      <w:r>
        <w:rPr>
          <w:rFonts w:ascii="Arial" w:hAnsi="Arial" w:cs="Arial"/>
          <w:lang w:val="en-US"/>
        </w:rPr>
        <w:t xml:space="preserve">, while on the other had drawing links to different objectives and outputs relevant to the new goal of innovation. Taking into account cross sectoral nature of digital innovation and diverse type of activities </w:t>
      </w:r>
      <w:r>
        <w:rPr>
          <w:rFonts w:ascii="Arial" w:hAnsi="Arial" w:cs="Arial"/>
          <w:lang w:val="en-US"/>
        </w:rPr>
        <w:lastRenderedPageBreak/>
        <w:t xml:space="preserve">carried out by the Union based on the outcomes of conferences and assemblies, there is a need for a global resolution, to be used as a guiding tool for the Union, </w:t>
      </w:r>
    </w:p>
    <w:p w14:paraId="0F580860" w14:textId="77777777" w:rsidR="002F66EB" w:rsidRDefault="002F66EB" w:rsidP="002F66EB">
      <w:pPr>
        <w:pStyle w:val="ListParagraph"/>
        <w:numPr>
          <w:ilvl w:val="0"/>
          <w:numId w:val="27"/>
        </w:numPr>
        <w:tabs>
          <w:tab w:val="left" w:pos="1134"/>
          <w:tab w:val="left" w:pos="1871"/>
          <w:tab w:val="left" w:pos="2268"/>
        </w:tabs>
        <w:overflowPunct w:val="0"/>
        <w:autoSpaceDE w:val="0"/>
        <w:autoSpaceDN w:val="0"/>
        <w:adjustRightInd w:val="0"/>
        <w:spacing w:before="120" w:after="0" w:line="240" w:lineRule="auto"/>
        <w:jc w:val="both"/>
        <w:textAlignment w:val="baseline"/>
        <w:rPr>
          <w:rFonts w:ascii="Arial" w:hAnsi="Arial" w:cs="Arial"/>
          <w:lang w:val="en-US"/>
        </w:rPr>
      </w:pPr>
      <w:r w:rsidRPr="00EF72B8">
        <w:rPr>
          <w:rFonts w:ascii="Arial" w:hAnsi="Arial" w:cs="Arial"/>
          <w:lang w:val="en-US"/>
        </w:rPr>
        <w:t xml:space="preserve">helping to streamline ITU activities in field of telecommunication/ICT-centric innovation carried out by the Sectors and General Secretariat </w:t>
      </w:r>
    </w:p>
    <w:p w14:paraId="3F46173A" w14:textId="77777777" w:rsidR="002F66EB" w:rsidRDefault="002F66EB" w:rsidP="002F66EB">
      <w:pPr>
        <w:pStyle w:val="ListParagraph"/>
        <w:numPr>
          <w:ilvl w:val="0"/>
          <w:numId w:val="27"/>
        </w:numPr>
        <w:tabs>
          <w:tab w:val="left" w:pos="1134"/>
          <w:tab w:val="left" w:pos="1871"/>
          <w:tab w:val="left" w:pos="2268"/>
        </w:tabs>
        <w:overflowPunct w:val="0"/>
        <w:autoSpaceDE w:val="0"/>
        <w:autoSpaceDN w:val="0"/>
        <w:adjustRightInd w:val="0"/>
        <w:spacing w:before="120" w:after="0" w:line="240" w:lineRule="auto"/>
        <w:jc w:val="both"/>
        <w:textAlignment w:val="baseline"/>
        <w:rPr>
          <w:rFonts w:ascii="Arial" w:hAnsi="Arial" w:cs="Arial"/>
          <w:lang w:val="en-US"/>
        </w:rPr>
      </w:pPr>
      <w:r w:rsidRPr="00EF72B8">
        <w:rPr>
          <w:rFonts w:ascii="Arial" w:hAnsi="Arial" w:cs="Arial"/>
          <w:lang w:val="en-US"/>
        </w:rPr>
        <w:t>avoid</w:t>
      </w:r>
      <w:r>
        <w:rPr>
          <w:rFonts w:ascii="Arial" w:hAnsi="Arial" w:cs="Arial"/>
          <w:lang w:val="en-US"/>
        </w:rPr>
        <w:t xml:space="preserve">ing </w:t>
      </w:r>
      <w:r w:rsidRPr="00C540BB">
        <w:rPr>
          <w:rFonts w:ascii="Arial" w:hAnsi="Arial" w:cs="Arial"/>
          <w:lang w:val="en-US"/>
        </w:rPr>
        <w:t>duplication of any actions</w:t>
      </w:r>
    </w:p>
    <w:p w14:paraId="7EF5E96D" w14:textId="77777777" w:rsidR="002F66EB" w:rsidRPr="00C540BB" w:rsidRDefault="002F66EB" w:rsidP="002F66EB">
      <w:pPr>
        <w:pStyle w:val="ListParagraph"/>
        <w:numPr>
          <w:ilvl w:val="0"/>
          <w:numId w:val="27"/>
        </w:numPr>
        <w:tabs>
          <w:tab w:val="left" w:pos="1134"/>
          <w:tab w:val="left" w:pos="1871"/>
          <w:tab w:val="left" w:pos="2268"/>
        </w:tabs>
        <w:overflowPunct w:val="0"/>
        <w:autoSpaceDE w:val="0"/>
        <w:autoSpaceDN w:val="0"/>
        <w:adjustRightInd w:val="0"/>
        <w:spacing w:before="120" w:after="0" w:line="240" w:lineRule="auto"/>
        <w:jc w:val="both"/>
        <w:textAlignment w:val="baseline"/>
        <w:rPr>
          <w:rFonts w:ascii="Arial" w:hAnsi="Arial" w:cs="Arial"/>
          <w:lang w:val="en-US"/>
        </w:rPr>
      </w:pPr>
      <w:r>
        <w:rPr>
          <w:rFonts w:ascii="Arial" w:hAnsi="Arial" w:cs="Arial"/>
          <w:lang w:val="en-US"/>
        </w:rPr>
        <w:t xml:space="preserve">strengthening contribution of ITU to the UN system work on digital innovation while contributing to achievement of SDG9 </w:t>
      </w:r>
      <w:r w:rsidRPr="00C540BB">
        <w:rPr>
          <w:rFonts w:ascii="Arial" w:hAnsi="Arial" w:cs="Arial"/>
          <w:lang w:val="en-US"/>
        </w:rPr>
        <w:t xml:space="preserve"> </w:t>
      </w:r>
    </w:p>
    <w:p w14:paraId="3B09073D" w14:textId="77777777" w:rsidR="002F66EB" w:rsidRPr="00511779" w:rsidRDefault="002F66EB" w:rsidP="002F66EB">
      <w:pPr>
        <w:tabs>
          <w:tab w:val="left" w:pos="0"/>
          <w:tab w:val="left" w:pos="851"/>
        </w:tabs>
        <w:spacing w:before="244"/>
        <w:ind w:right="350"/>
        <w:jc w:val="both"/>
        <w:rPr>
          <w:rFonts w:ascii="Arial" w:hAnsi="Arial" w:cs="Arial"/>
          <w:lang w:val="en-US"/>
        </w:rPr>
      </w:pPr>
      <w:r w:rsidRPr="00715016">
        <w:rPr>
          <w:rFonts w:ascii="Arial" w:hAnsi="Arial" w:cs="Arial"/>
          <w:lang w:val="en-US"/>
        </w:rPr>
        <w:t xml:space="preserve">As far as financing is concerned, </w:t>
      </w:r>
      <w:r>
        <w:rPr>
          <w:rFonts w:ascii="Arial" w:hAnsi="Arial" w:cs="Arial"/>
          <w:lang w:val="en-US"/>
        </w:rPr>
        <w:t xml:space="preserve">activities of the Union addressing digital innovation should be carried out within the framework of the financial plan. </w:t>
      </w:r>
      <w:r w:rsidRPr="00715016">
        <w:rPr>
          <w:rFonts w:ascii="Arial" w:hAnsi="Arial" w:cs="Arial"/>
          <w:lang w:val="en-US"/>
        </w:rPr>
        <w:t xml:space="preserve">The focused approach of this resolution is to set a clear overview </w:t>
      </w:r>
      <w:r>
        <w:rPr>
          <w:rFonts w:ascii="Arial" w:hAnsi="Arial" w:cs="Arial"/>
          <w:lang w:val="en-US"/>
        </w:rPr>
        <w:t xml:space="preserve">of diverse dimensions of actions carried out by the Union while ensuring efficiency in terms of use of resources available. </w:t>
      </w:r>
    </w:p>
    <w:p w14:paraId="646786C0" w14:textId="77777777" w:rsidR="002F66EB" w:rsidRDefault="002F66EB" w:rsidP="002F66EB">
      <w:pPr>
        <w:tabs>
          <w:tab w:val="left" w:pos="0"/>
          <w:tab w:val="left" w:pos="851"/>
        </w:tabs>
        <w:spacing w:before="244"/>
        <w:ind w:right="350"/>
        <w:jc w:val="both"/>
        <w:rPr>
          <w:rFonts w:ascii="Arial" w:hAnsi="Arial" w:cs="Arial"/>
          <w:b/>
          <w:lang w:val="en-US"/>
        </w:rPr>
      </w:pPr>
      <w:r w:rsidRPr="00511779">
        <w:rPr>
          <w:rFonts w:ascii="Arial" w:hAnsi="Arial" w:cs="Arial"/>
          <w:b/>
          <w:lang w:val="en-US"/>
        </w:rPr>
        <w:t>II</w:t>
      </w:r>
      <w:r w:rsidRPr="00511779">
        <w:rPr>
          <w:rFonts w:ascii="Arial" w:hAnsi="Arial" w:cs="Arial"/>
          <w:b/>
          <w:lang w:val="en-US"/>
        </w:rPr>
        <w:tab/>
        <w:t>Proposals</w:t>
      </w:r>
    </w:p>
    <w:p w14:paraId="72A95A8D" w14:textId="77777777" w:rsidR="002F66EB" w:rsidRPr="00715016" w:rsidRDefault="002F66EB" w:rsidP="002F66EB">
      <w:pPr>
        <w:tabs>
          <w:tab w:val="left" w:pos="0"/>
          <w:tab w:val="left" w:pos="851"/>
        </w:tabs>
        <w:spacing w:before="244"/>
        <w:ind w:right="350"/>
        <w:jc w:val="both"/>
        <w:rPr>
          <w:rFonts w:ascii="Arial" w:hAnsi="Arial" w:cs="Arial"/>
          <w:b/>
          <w:lang w:val="en-US"/>
        </w:rPr>
      </w:pPr>
      <w:r>
        <w:rPr>
          <w:rFonts w:ascii="Arial" w:hAnsi="Arial" w:cs="Arial"/>
          <w:lang w:val="en-US"/>
        </w:rPr>
        <w:t>C</w:t>
      </w:r>
      <w:r w:rsidRPr="00715016">
        <w:rPr>
          <w:rFonts w:ascii="Arial" w:hAnsi="Arial" w:cs="Arial"/>
          <w:lang w:val="en-US"/>
        </w:rPr>
        <w:t xml:space="preserve">reate an instrument to manage avoiding duplication between ITU Secretary General, three </w:t>
      </w:r>
      <w:r>
        <w:rPr>
          <w:rFonts w:ascii="Arial" w:hAnsi="Arial" w:cs="Arial"/>
          <w:lang w:val="en-US"/>
        </w:rPr>
        <w:t>Sectors</w:t>
      </w:r>
      <w:r w:rsidRPr="00715016">
        <w:rPr>
          <w:rFonts w:ascii="Arial" w:hAnsi="Arial" w:cs="Arial"/>
          <w:lang w:val="en-US"/>
        </w:rPr>
        <w:t xml:space="preserve"> </w:t>
      </w:r>
      <w:r>
        <w:rPr>
          <w:rFonts w:ascii="Arial" w:hAnsi="Arial" w:cs="Arial"/>
          <w:lang w:val="en-US"/>
        </w:rPr>
        <w:t>and other UN agencies, which addresses telecommunication/ICT centric innovation.</w:t>
      </w:r>
    </w:p>
    <w:p w14:paraId="6603B527" w14:textId="77777777" w:rsidR="002F66EB" w:rsidRDefault="002F66EB" w:rsidP="002F66EB">
      <w:pPr>
        <w:pStyle w:val="Normalaftertitle"/>
        <w:rPr>
          <w:rFonts w:ascii="Arial" w:hAnsi="Arial" w:cs="Arial"/>
          <w:color w:val="231F20"/>
          <w:w w:val="105"/>
          <w:szCs w:val="22"/>
          <w:lang w:val="en-US"/>
        </w:rPr>
      </w:pPr>
    </w:p>
    <w:p w14:paraId="37498298" w14:textId="77777777" w:rsidR="002F66EB" w:rsidRDefault="002F66EB" w:rsidP="002F66EB">
      <w:pPr>
        <w:rPr>
          <w:lang w:val="en-US"/>
        </w:rPr>
      </w:pPr>
    </w:p>
    <w:p w14:paraId="1A23CA80" w14:textId="77777777" w:rsidR="002F66EB" w:rsidRDefault="002F66EB" w:rsidP="002F66EB">
      <w:pPr>
        <w:rPr>
          <w:lang w:val="en-US"/>
        </w:rPr>
      </w:pPr>
    </w:p>
    <w:p w14:paraId="6A1C5CB3" w14:textId="77777777" w:rsidR="002F66EB" w:rsidRDefault="002F66EB" w:rsidP="002F66EB">
      <w:pPr>
        <w:rPr>
          <w:lang w:val="en-US"/>
        </w:rPr>
      </w:pPr>
    </w:p>
    <w:p w14:paraId="5D1D34D0" w14:textId="77777777" w:rsidR="002F66EB" w:rsidRDefault="002F66EB" w:rsidP="002F66EB">
      <w:pPr>
        <w:rPr>
          <w:lang w:val="en-US"/>
        </w:rPr>
      </w:pPr>
    </w:p>
    <w:p w14:paraId="447FFE15" w14:textId="77777777" w:rsidR="002F66EB" w:rsidRDefault="002F66EB" w:rsidP="002F66EB">
      <w:pPr>
        <w:rPr>
          <w:lang w:val="en-US"/>
        </w:rPr>
      </w:pPr>
    </w:p>
    <w:p w14:paraId="7D434264" w14:textId="77777777" w:rsidR="002F66EB" w:rsidRDefault="002F66EB" w:rsidP="002F66EB">
      <w:pPr>
        <w:rPr>
          <w:lang w:val="en-US"/>
        </w:rPr>
      </w:pPr>
    </w:p>
    <w:p w14:paraId="18570392" w14:textId="77777777" w:rsidR="002F66EB" w:rsidRDefault="002F66EB" w:rsidP="002F66EB">
      <w:pPr>
        <w:rPr>
          <w:lang w:val="en-US"/>
        </w:rPr>
      </w:pPr>
    </w:p>
    <w:p w14:paraId="5D30BAA6" w14:textId="77777777" w:rsidR="002F66EB" w:rsidRDefault="002F66EB" w:rsidP="002F66EB">
      <w:pPr>
        <w:rPr>
          <w:lang w:val="en-US"/>
        </w:rPr>
      </w:pPr>
    </w:p>
    <w:p w14:paraId="31755E81" w14:textId="77777777" w:rsidR="002F66EB" w:rsidRDefault="002F66EB" w:rsidP="002F66EB">
      <w:pPr>
        <w:rPr>
          <w:lang w:val="en-US"/>
        </w:rPr>
      </w:pPr>
    </w:p>
    <w:p w14:paraId="7EB7396D" w14:textId="77777777" w:rsidR="002F66EB" w:rsidRDefault="002F66EB" w:rsidP="002F66EB">
      <w:pPr>
        <w:rPr>
          <w:lang w:val="en-US"/>
        </w:rPr>
      </w:pPr>
    </w:p>
    <w:p w14:paraId="5622FE23" w14:textId="77777777" w:rsidR="002F66EB" w:rsidRDefault="002F66EB" w:rsidP="002F66EB">
      <w:pPr>
        <w:rPr>
          <w:lang w:val="en-US"/>
        </w:rPr>
      </w:pPr>
    </w:p>
    <w:p w14:paraId="177C6227" w14:textId="77777777" w:rsidR="002F66EB" w:rsidRDefault="002F66EB" w:rsidP="002F66EB">
      <w:pPr>
        <w:rPr>
          <w:lang w:val="en-US"/>
        </w:rPr>
      </w:pPr>
    </w:p>
    <w:p w14:paraId="19CE390E" w14:textId="77777777" w:rsidR="002F66EB" w:rsidRDefault="002F66EB" w:rsidP="002F66EB">
      <w:pPr>
        <w:rPr>
          <w:lang w:val="en-US"/>
        </w:rPr>
      </w:pPr>
    </w:p>
    <w:p w14:paraId="176F7B1F" w14:textId="77777777" w:rsidR="002F66EB" w:rsidRDefault="002F66EB" w:rsidP="002F66EB">
      <w:pPr>
        <w:rPr>
          <w:lang w:val="en-US"/>
        </w:rPr>
      </w:pPr>
    </w:p>
    <w:p w14:paraId="2AD30E1C" w14:textId="77777777" w:rsidR="002F66EB" w:rsidRDefault="002F66EB" w:rsidP="002F66EB">
      <w:pPr>
        <w:rPr>
          <w:lang w:val="en-US"/>
        </w:rPr>
      </w:pPr>
    </w:p>
    <w:p w14:paraId="7CA197E7" w14:textId="77777777" w:rsidR="002F66EB" w:rsidRDefault="002F66EB" w:rsidP="002F66EB">
      <w:pPr>
        <w:rPr>
          <w:lang w:val="en-US"/>
        </w:rPr>
      </w:pPr>
    </w:p>
    <w:p w14:paraId="5E4D6EC7" w14:textId="77777777" w:rsidR="002F66EB" w:rsidRPr="004F0D54" w:rsidRDefault="002F66EB" w:rsidP="002F66EB">
      <w:pPr>
        <w:rPr>
          <w:lang w:val="en-US"/>
        </w:rPr>
      </w:pPr>
    </w:p>
    <w:p w14:paraId="5B9FBDDB" w14:textId="77777777" w:rsidR="002F66EB" w:rsidRPr="00715016" w:rsidRDefault="002F66EB" w:rsidP="002F66EB">
      <w:pPr>
        <w:jc w:val="center"/>
        <w:rPr>
          <w:rFonts w:ascii="Arial" w:hAnsi="Arial" w:cs="Arial"/>
          <w:sz w:val="28"/>
          <w:szCs w:val="28"/>
          <w:lang w:val="en-US"/>
        </w:rPr>
      </w:pPr>
      <w:r w:rsidRPr="00715016">
        <w:rPr>
          <w:rFonts w:ascii="Arial" w:hAnsi="Arial" w:cs="Arial"/>
          <w:sz w:val="28"/>
          <w:szCs w:val="28"/>
          <w:lang w:val="en-US"/>
        </w:rPr>
        <w:lastRenderedPageBreak/>
        <w:t>DRAFT NEW RESOLUTION (Dubai, 2018)</w:t>
      </w:r>
    </w:p>
    <w:p w14:paraId="1A43542D" w14:textId="77777777" w:rsidR="002F66EB" w:rsidRPr="00715016" w:rsidRDefault="002F66EB" w:rsidP="002F66EB">
      <w:pPr>
        <w:pStyle w:val="Restitle"/>
        <w:rPr>
          <w:rFonts w:ascii="Arial" w:hAnsi="Arial" w:cs="Arial"/>
          <w:lang w:val="en-US"/>
        </w:rPr>
      </w:pPr>
      <w:r w:rsidRPr="00715016">
        <w:rPr>
          <w:rFonts w:ascii="Arial" w:hAnsi="Arial" w:cs="Arial"/>
          <w:lang w:val="en-US"/>
        </w:rPr>
        <w:t>ITU’s role in fostering telecommunication/ICT-centric innovation that accelerates digital transformation of society</w:t>
      </w:r>
    </w:p>
    <w:p w14:paraId="2400FF1E" w14:textId="77777777" w:rsidR="002F66EB" w:rsidRPr="00C540BB" w:rsidRDefault="002F66EB" w:rsidP="002F66EB">
      <w:pPr>
        <w:rPr>
          <w:lang w:val="en-US"/>
        </w:rPr>
      </w:pPr>
    </w:p>
    <w:p w14:paraId="5547E149" w14:textId="77777777" w:rsidR="002F66EB" w:rsidRDefault="002F66EB" w:rsidP="002F66EB">
      <w:pPr>
        <w:pStyle w:val="Normalaftertitle"/>
        <w:rPr>
          <w:rFonts w:ascii="Arial" w:hAnsi="Arial" w:cs="Arial"/>
          <w:szCs w:val="24"/>
          <w:lang w:val="en-US"/>
        </w:rPr>
      </w:pPr>
      <w:r w:rsidRPr="00715016">
        <w:rPr>
          <w:rFonts w:ascii="Arial" w:hAnsi="Arial" w:cs="Arial"/>
          <w:szCs w:val="24"/>
          <w:lang w:val="en-US"/>
        </w:rPr>
        <w:t>The Plenipotentiary Conference of the International Telecommunication Union (Dubai, 2018),</w:t>
      </w:r>
    </w:p>
    <w:p w14:paraId="419AA0FC" w14:textId="77777777" w:rsidR="002F66EB" w:rsidRPr="00715016" w:rsidRDefault="002F66EB" w:rsidP="002F66EB">
      <w:pPr>
        <w:jc w:val="both"/>
        <w:rPr>
          <w:lang w:val="en-US"/>
        </w:rPr>
      </w:pPr>
    </w:p>
    <w:p w14:paraId="641EB9DD" w14:textId="77777777" w:rsidR="002F66EB" w:rsidRDefault="002F66EB" w:rsidP="002F66EB">
      <w:pPr>
        <w:pStyle w:val="Call"/>
        <w:rPr>
          <w:rFonts w:ascii="Arial" w:hAnsi="Arial" w:cs="Arial"/>
          <w:szCs w:val="24"/>
          <w:lang w:val="en-US"/>
        </w:rPr>
      </w:pPr>
      <w:r w:rsidRPr="00715016">
        <w:rPr>
          <w:rFonts w:ascii="Arial" w:hAnsi="Arial" w:cs="Arial"/>
          <w:szCs w:val="24"/>
          <w:lang w:val="en-US"/>
        </w:rPr>
        <w:t>Recalling</w:t>
      </w:r>
    </w:p>
    <w:p w14:paraId="09CD36B8" w14:textId="77777777" w:rsidR="002F66EB" w:rsidRPr="00715016" w:rsidRDefault="002F66EB" w:rsidP="002F66EB">
      <w:pPr>
        <w:jc w:val="both"/>
        <w:rPr>
          <w:lang w:val="en-US"/>
        </w:rPr>
      </w:pPr>
    </w:p>
    <w:p w14:paraId="20B8E5BF"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t xml:space="preserve">a) </w:t>
      </w:r>
      <w:r w:rsidRPr="00715016">
        <w:rPr>
          <w:rFonts w:ascii="Arial" w:hAnsi="Arial" w:cs="Arial"/>
          <w:sz w:val="24"/>
          <w:szCs w:val="24"/>
          <w:lang w:val="en-US"/>
        </w:rPr>
        <w:tab/>
        <w:t xml:space="preserve">Resolution 11 (Rev.) on ITU Telecom Events; </w:t>
      </w:r>
    </w:p>
    <w:p w14:paraId="70528D00"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t>b)</w:t>
      </w:r>
      <w:r w:rsidRPr="00715016">
        <w:rPr>
          <w:rFonts w:ascii="Arial" w:hAnsi="Arial" w:cs="Arial"/>
          <w:sz w:val="24"/>
          <w:szCs w:val="24"/>
          <w:lang w:val="en-US"/>
        </w:rPr>
        <w:tab/>
        <w:t>Resolution 123 (Rev.) on bridging the standardization gap between developing and developed countries;</w:t>
      </w:r>
    </w:p>
    <w:p w14:paraId="29F8372E"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t>c)</w:t>
      </w:r>
      <w:r w:rsidRPr="00715016">
        <w:rPr>
          <w:rFonts w:ascii="Arial" w:hAnsi="Arial" w:cs="Arial"/>
          <w:sz w:val="24"/>
          <w:szCs w:val="24"/>
          <w:lang w:val="en-US"/>
        </w:rPr>
        <w:tab/>
        <w:t>Resolution 140 (Rev.) on ITU's role in implementing the outcomes of the World Summit on the Information Society and the 2030 Agenda for Sustainable Development;</w:t>
      </w:r>
    </w:p>
    <w:p w14:paraId="3269B50E"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t xml:space="preserve">d) </w:t>
      </w:r>
      <w:r w:rsidRPr="00715016">
        <w:rPr>
          <w:rFonts w:ascii="Arial" w:hAnsi="Arial" w:cs="Arial"/>
          <w:sz w:val="24"/>
          <w:szCs w:val="24"/>
          <w:lang w:val="en-US"/>
        </w:rPr>
        <w:tab/>
        <w:t xml:space="preserve">Resolution 191 (Rev.) on strategy for the coordination of efforts among three Sectors of the Union; </w:t>
      </w:r>
    </w:p>
    <w:p w14:paraId="1C53AFA8"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t xml:space="preserve">e) </w:t>
      </w:r>
      <w:r w:rsidRPr="00715016">
        <w:rPr>
          <w:rFonts w:ascii="Arial" w:hAnsi="Arial" w:cs="Arial"/>
          <w:sz w:val="24"/>
          <w:szCs w:val="24"/>
          <w:lang w:val="en-US"/>
        </w:rPr>
        <w:tab/>
        <w:t xml:space="preserve">Resolution 195 (Rev.) on implementation of Smart Africa Manifesto;  </w:t>
      </w:r>
    </w:p>
    <w:p w14:paraId="51868424"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t>f)</w:t>
      </w:r>
      <w:r w:rsidRPr="00715016">
        <w:rPr>
          <w:rFonts w:ascii="Arial" w:hAnsi="Arial" w:cs="Arial"/>
          <w:sz w:val="24"/>
          <w:szCs w:val="24"/>
          <w:lang w:val="en-US"/>
        </w:rPr>
        <w:tab/>
        <w:t xml:space="preserve">Resolution 198 (Rev.) on </w:t>
      </w:r>
      <w:r w:rsidRPr="00715016">
        <w:rPr>
          <w:rFonts w:ascii="Arial" w:hAnsi="Arial" w:cs="Arial"/>
          <w:sz w:val="24"/>
          <w:szCs w:val="24"/>
        </w:rPr>
        <w:t>empowerment of youth through telecommunication/information and communication technology;</w:t>
      </w:r>
    </w:p>
    <w:p w14:paraId="30883730"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t>g)</w:t>
      </w:r>
      <w:r w:rsidRPr="00715016">
        <w:rPr>
          <w:rFonts w:ascii="Arial" w:hAnsi="Arial" w:cs="Arial"/>
          <w:sz w:val="24"/>
          <w:szCs w:val="24"/>
          <w:lang w:val="en-US"/>
        </w:rPr>
        <w:tab/>
        <w:t>Resolution 200 (Rev.) on the Connect 2020 Agenda on global telecommunication/ICT development,</w:t>
      </w:r>
    </w:p>
    <w:p w14:paraId="74BA0BAB" w14:textId="77777777" w:rsidR="002F66EB" w:rsidRDefault="002F66EB" w:rsidP="002F66EB">
      <w:pPr>
        <w:pStyle w:val="Call"/>
        <w:rPr>
          <w:rFonts w:ascii="Arial" w:hAnsi="Arial" w:cs="Arial"/>
          <w:szCs w:val="24"/>
          <w:lang w:val="en-US"/>
        </w:rPr>
      </w:pPr>
    </w:p>
    <w:p w14:paraId="205E9A28" w14:textId="77777777" w:rsidR="002F66EB" w:rsidRDefault="002F66EB" w:rsidP="002F66EB">
      <w:pPr>
        <w:pStyle w:val="Call"/>
        <w:rPr>
          <w:rFonts w:ascii="Arial" w:hAnsi="Arial" w:cs="Arial"/>
          <w:szCs w:val="24"/>
          <w:lang w:val="en-US"/>
        </w:rPr>
      </w:pPr>
      <w:r w:rsidRPr="00715016">
        <w:rPr>
          <w:rFonts w:ascii="Arial" w:hAnsi="Arial" w:cs="Arial"/>
          <w:szCs w:val="24"/>
          <w:lang w:val="en-US"/>
        </w:rPr>
        <w:t>recalling further</w:t>
      </w:r>
    </w:p>
    <w:p w14:paraId="684CADE5" w14:textId="77777777" w:rsidR="002F66EB" w:rsidRPr="00715016" w:rsidRDefault="002F66EB" w:rsidP="002F66EB">
      <w:pPr>
        <w:jc w:val="both"/>
        <w:rPr>
          <w:lang w:val="en-US"/>
        </w:rPr>
      </w:pPr>
    </w:p>
    <w:p w14:paraId="60B82153"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i/>
          <w:iCs/>
          <w:sz w:val="24"/>
          <w:szCs w:val="24"/>
          <w:lang w:val="en-US"/>
        </w:rPr>
        <w:t>a)</w:t>
      </w:r>
      <w:r w:rsidRPr="00715016">
        <w:rPr>
          <w:rFonts w:ascii="Arial" w:hAnsi="Arial" w:cs="Arial"/>
          <w:i/>
          <w:iCs/>
          <w:sz w:val="24"/>
          <w:szCs w:val="24"/>
          <w:lang w:val="en-US"/>
        </w:rPr>
        <w:tab/>
      </w:r>
      <w:r w:rsidRPr="00715016">
        <w:rPr>
          <w:rFonts w:ascii="Arial" w:hAnsi="Arial" w:cs="Arial"/>
          <w:sz w:val="24"/>
          <w:szCs w:val="24"/>
          <w:lang w:val="en-US"/>
        </w:rPr>
        <w:t>the Geneva Declaration of Principles and the Geneva Plan of Action, adopted in 2003, the Tunis Commitment and the Tunis Agenda for the Information Society, adopted in 2005, which were endorsed by the United Nations General Assembly (UNGA);</w:t>
      </w:r>
    </w:p>
    <w:p w14:paraId="12E36604"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t>b)</w:t>
      </w:r>
      <w:r w:rsidRPr="00715016">
        <w:rPr>
          <w:rFonts w:ascii="Arial" w:hAnsi="Arial" w:cs="Arial"/>
          <w:sz w:val="24"/>
          <w:szCs w:val="24"/>
          <w:lang w:val="en-US"/>
        </w:rPr>
        <w:tab/>
        <w:t>UNGA resolution A/70/1 on Transforming Our World: the 2030 Agenda for Sustainable Development;</w:t>
      </w:r>
    </w:p>
    <w:p w14:paraId="38CD5A68"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t>c)</w:t>
      </w:r>
      <w:r w:rsidRPr="00715016">
        <w:rPr>
          <w:rFonts w:ascii="Arial" w:hAnsi="Arial" w:cs="Arial"/>
          <w:sz w:val="24"/>
          <w:szCs w:val="24"/>
          <w:lang w:val="en-US"/>
        </w:rPr>
        <w:tab/>
        <w:t>UNGA resolution A/70/125 on the outcome document of the High-Level Meeting of UNGA on the overall review of the implementation of the outcomes of WSIS;</w:t>
      </w:r>
    </w:p>
    <w:p w14:paraId="39120F0A"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lastRenderedPageBreak/>
        <w:t>d)</w:t>
      </w:r>
      <w:r w:rsidRPr="00715016">
        <w:rPr>
          <w:rFonts w:ascii="Arial" w:hAnsi="Arial" w:cs="Arial"/>
          <w:sz w:val="24"/>
          <w:szCs w:val="24"/>
          <w:lang w:val="en-US"/>
        </w:rPr>
        <w:tab/>
        <w:t>UNGA Resolution 68/220, on science, technology and innovation for development;</w:t>
      </w:r>
    </w:p>
    <w:p w14:paraId="04D7C283" w14:textId="77777777" w:rsidR="002F66EB" w:rsidRDefault="002F66EB" w:rsidP="002F66EB">
      <w:pPr>
        <w:jc w:val="both"/>
        <w:rPr>
          <w:rFonts w:ascii="Arial" w:hAnsi="Arial" w:cs="Arial"/>
          <w:i/>
          <w:sz w:val="24"/>
          <w:szCs w:val="24"/>
          <w:lang w:val="en-US"/>
        </w:rPr>
      </w:pPr>
      <w:r w:rsidRPr="00715016">
        <w:rPr>
          <w:rFonts w:ascii="Arial" w:hAnsi="Arial" w:cs="Arial"/>
          <w:i/>
          <w:sz w:val="24"/>
          <w:szCs w:val="24"/>
          <w:lang w:val="en-US"/>
        </w:rPr>
        <w:tab/>
      </w:r>
    </w:p>
    <w:p w14:paraId="644DC0D4" w14:textId="77777777" w:rsidR="002F66EB" w:rsidRDefault="002F66EB" w:rsidP="002F66EB">
      <w:pPr>
        <w:ind w:firstLine="567"/>
        <w:jc w:val="both"/>
        <w:rPr>
          <w:rFonts w:ascii="Arial" w:hAnsi="Arial" w:cs="Arial"/>
          <w:i/>
          <w:sz w:val="24"/>
          <w:szCs w:val="24"/>
          <w:lang w:val="en-US"/>
        </w:rPr>
      </w:pPr>
      <w:r w:rsidRPr="00715016">
        <w:rPr>
          <w:rFonts w:ascii="Arial" w:hAnsi="Arial" w:cs="Arial"/>
          <w:i/>
          <w:sz w:val="24"/>
          <w:szCs w:val="24"/>
          <w:lang w:val="en-US"/>
        </w:rPr>
        <w:t xml:space="preserve">taking into account </w:t>
      </w:r>
    </w:p>
    <w:p w14:paraId="15EB696C" w14:textId="77777777" w:rsidR="002F66EB" w:rsidRPr="00715016" w:rsidRDefault="002F66EB" w:rsidP="002F66EB">
      <w:pPr>
        <w:jc w:val="both"/>
        <w:rPr>
          <w:rFonts w:ascii="Arial" w:hAnsi="Arial" w:cs="Arial"/>
          <w:b/>
          <w:bCs/>
          <w:sz w:val="24"/>
          <w:szCs w:val="24"/>
          <w:lang w:val="en-US"/>
        </w:rPr>
      </w:pPr>
    </w:p>
    <w:p w14:paraId="03381700" w14:textId="77777777" w:rsidR="002F66EB" w:rsidRPr="00715016" w:rsidRDefault="002F66EB" w:rsidP="002F66EB">
      <w:pPr>
        <w:ind w:left="34"/>
        <w:jc w:val="both"/>
        <w:rPr>
          <w:rFonts w:ascii="Arial" w:hAnsi="Arial" w:cs="Arial"/>
          <w:sz w:val="24"/>
          <w:szCs w:val="24"/>
          <w:lang w:val="en-US"/>
        </w:rPr>
      </w:pPr>
      <w:r w:rsidRPr="00715016">
        <w:rPr>
          <w:rFonts w:ascii="Arial" w:hAnsi="Arial" w:cs="Arial"/>
          <w:sz w:val="24"/>
          <w:szCs w:val="24"/>
          <w:lang w:val="en-US"/>
        </w:rPr>
        <w:t>that innovation is essential to strengthening ITU’s result based, people-centred and service oriented delivery</w:t>
      </w:r>
    </w:p>
    <w:p w14:paraId="19D70869" w14:textId="77777777" w:rsidR="002F66EB" w:rsidRDefault="002F66EB" w:rsidP="002F66EB">
      <w:pPr>
        <w:ind w:left="34"/>
        <w:jc w:val="both"/>
        <w:rPr>
          <w:rFonts w:ascii="Arial" w:hAnsi="Arial" w:cs="Arial"/>
          <w:sz w:val="24"/>
          <w:szCs w:val="24"/>
          <w:lang w:val="en-US"/>
        </w:rPr>
      </w:pPr>
      <w:r w:rsidRPr="00715016">
        <w:rPr>
          <w:rFonts w:ascii="Arial" w:hAnsi="Arial" w:cs="Arial"/>
          <w:sz w:val="24"/>
          <w:szCs w:val="24"/>
          <w:lang w:val="en-US"/>
        </w:rPr>
        <w:tab/>
      </w:r>
    </w:p>
    <w:p w14:paraId="696A5A78" w14:textId="77777777" w:rsidR="002F66EB" w:rsidRDefault="002F66EB" w:rsidP="002F66EB">
      <w:pPr>
        <w:ind w:left="34" w:firstLine="533"/>
        <w:jc w:val="both"/>
        <w:rPr>
          <w:rFonts w:ascii="Arial" w:hAnsi="Arial" w:cs="Arial"/>
          <w:i/>
          <w:sz w:val="24"/>
          <w:szCs w:val="24"/>
          <w:lang w:val="en-US"/>
        </w:rPr>
      </w:pPr>
      <w:r w:rsidRPr="00715016">
        <w:rPr>
          <w:rFonts w:ascii="Arial" w:hAnsi="Arial" w:cs="Arial"/>
          <w:i/>
          <w:sz w:val="24"/>
          <w:szCs w:val="24"/>
          <w:lang w:val="en-US"/>
        </w:rPr>
        <w:t>considering</w:t>
      </w:r>
    </w:p>
    <w:p w14:paraId="301D9286" w14:textId="77777777" w:rsidR="002F66EB" w:rsidRPr="00715016" w:rsidRDefault="002F66EB" w:rsidP="002F66EB">
      <w:pPr>
        <w:ind w:left="34"/>
        <w:jc w:val="both"/>
        <w:rPr>
          <w:rFonts w:ascii="Arial" w:hAnsi="Arial" w:cs="Arial"/>
          <w:i/>
          <w:sz w:val="24"/>
          <w:szCs w:val="24"/>
          <w:lang w:val="en-US"/>
        </w:rPr>
      </w:pPr>
    </w:p>
    <w:p w14:paraId="798AEBDA" w14:textId="77777777" w:rsidR="002F66EB" w:rsidRPr="00715016" w:rsidRDefault="002F66EB" w:rsidP="002F66EB">
      <w:pPr>
        <w:jc w:val="both"/>
        <w:rPr>
          <w:rFonts w:ascii="Arial" w:hAnsi="Arial" w:cs="Arial"/>
          <w:sz w:val="24"/>
          <w:szCs w:val="24"/>
          <w:lang w:val="en-US"/>
        </w:rPr>
      </w:pPr>
      <w:r w:rsidRPr="00715016">
        <w:rPr>
          <w:rFonts w:ascii="Arial" w:hAnsi="Arial" w:cs="Arial"/>
          <w:i/>
          <w:iCs/>
          <w:sz w:val="24"/>
          <w:szCs w:val="24"/>
          <w:lang w:val="en-US"/>
        </w:rPr>
        <w:t>a)</w:t>
      </w:r>
      <w:r w:rsidRPr="00715016">
        <w:rPr>
          <w:rFonts w:ascii="Arial" w:hAnsi="Arial" w:cs="Arial"/>
          <w:sz w:val="24"/>
          <w:szCs w:val="24"/>
          <w:lang w:val="en-US"/>
        </w:rPr>
        <w:tab/>
        <w:t xml:space="preserve">that ITU plays a fundamental role in providing global perspectives on the development of the information society; </w:t>
      </w:r>
    </w:p>
    <w:p w14:paraId="61870DD8" w14:textId="77777777" w:rsidR="002F66EB" w:rsidRPr="00715016" w:rsidRDefault="002F66EB" w:rsidP="002F66EB">
      <w:pPr>
        <w:jc w:val="both"/>
        <w:rPr>
          <w:rFonts w:ascii="Arial" w:hAnsi="Arial" w:cs="Arial"/>
          <w:sz w:val="24"/>
          <w:szCs w:val="24"/>
          <w:lang w:val="en-US"/>
        </w:rPr>
      </w:pPr>
      <w:r w:rsidRPr="00715016">
        <w:rPr>
          <w:rFonts w:ascii="Arial" w:hAnsi="Arial" w:cs="Arial"/>
          <w:i/>
          <w:iCs/>
          <w:sz w:val="24"/>
          <w:szCs w:val="24"/>
          <w:lang w:val="en-US"/>
        </w:rPr>
        <w:t>b)</w:t>
      </w:r>
      <w:r w:rsidRPr="00715016">
        <w:rPr>
          <w:rFonts w:ascii="Arial" w:hAnsi="Arial" w:cs="Arial"/>
          <w:sz w:val="24"/>
          <w:szCs w:val="24"/>
          <w:lang w:val="en-US"/>
        </w:rPr>
        <w:tab/>
        <w:t>that the strategic plan for the Union for 2020-2023 set out in Resolution 71 (Rev. Dubai, 2018) of this conference identified innovation as one of five ITU goals aiming at enabling innovation in telecommunication/ICT in support of the digital transformation of society;</w:t>
      </w:r>
    </w:p>
    <w:p w14:paraId="152AF6DB" w14:textId="77777777" w:rsidR="002F66EB" w:rsidRPr="00715016" w:rsidRDefault="002F66EB" w:rsidP="002F66EB">
      <w:pPr>
        <w:jc w:val="both"/>
        <w:rPr>
          <w:rFonts w:ascii="Arial" w:hAnsi="Arial" w:cs="Arial"/>
          <w:sz w:val="24"/>
          <w:szCs w:val="24"/>
          <w:lang w:eastAsia="zh-CN"/>
        </w:rPr>
      </w:pPr>
      <w:r w:rsidRPr="00715016">
        <w:rPr>
          <w:rFonts w:ascii="Arial" w:hAnsi="Arial" w:cs="Arial"/>
          <w:i/>
          <w:iCs/>
          <w:sz w:val="24"/>
          <w:szCs w:val="24"/>
          <w:lang w:val="en-US"/>
        </w:rPr>
        <w:t xml:space="preserve">c) </w:t>
      </w:r>
      <w:r w:rsidRPr="00715016">
        <w:rPr>
          <w:rFonts w:ascii="Arial" w:hAnsi="Arial" w:cs="Arial"/>
          <w:sz w:val="24"/>
          <w:szCs w:val="24"/>
          <w:lang w:val="en-US"/>
        </w:rPr>
        <w:tab/>
        <w:t xml:space="preserve">that Resolution 200 (Rev.) endorsed the Connect 2020 global communication/ICT goals and targets, including target on innovation, calling </w:t>
      </w:r>
      <w:r w:rsidRPr="00715016">
        <w:rPr>
          <w:rFonts w:ascii="Arial" w:hAnsi="Arial" w:cs="Arial"/>
          <w:sz w:val="24"/>
          <w:szCs w:val="24"/>
          <w:lang w:eastAsia="zh-CN"/>
        </w:rPr>
        <w:t>all countries to have policies/strategies fostering telecommunication/ICT-centric innovation by 2023;</w:t>
      </w:r>
    </w:p>
    <w:p w14:paraId="2C4CEBCD" w14:textId="77777777" w:rsidR="002F66EB" w:rsidRPr="00715016" w:rsidRDefault="002F66EB" w:rsidP="002F66EB">
      <w:pPr>
        <w:jc w:val="both"/>
        <w:rPr>
          <w:rFonts w:ascii="Arial" w:hAnsi="Arial" w:cs="Arial"/>
          <w:sz w:val="24"/>
          <w:szCs w:val="24"/>
          <w:lang w:eastAsia="zh-CN"/>
        </w:rPr>
      </w:pPr>
      <w:r w:rsidRPr="00715016">
        <w:rPr>
          <w:rFonts w:ascii="Arial" w:hAnsi="Arial" w:cs="Arial"/>
          <w:sz w:val="24"/>
          <w:szCs w:val="24"/>
          <w:lang w:eastAsia="zh-CN"/>
        </w:rPr>
        <w:t xml:space="preserve">d) </w:t>
      </w:r>
      <w:r w:rsidRPr="00715016">
        <w:rPr>
          <w:rFonts w:ascii="Arial" w:hAnsi="Arial" w:cs="Arial"/>
          <w:sz w:val="24"/>
          <w:szCs w:val="24"/>
          <w:lang w:eastAsia="zh-CN"/>
        </w:rPr>
        <w:tab/>
        <w:t>that ITU promote innovation, entrepreneurship and skills development, in order to provide tools for self-empowerment of youth and their satisfactory participation in the digital economy and all aspects of society;</w:t>
      </w:r>
    </w:p>
    <w:p w14:paraId="1DFEF2D0" w14:textId="77777777" w:rsidR="002F66EB" w:rsidRDefault="002F66EB" w:rsidP="002F66EB">
      <w:pPr>
        <w:pStyle w:val="Call"/>
        <w:rPr>
          <w:rFonts w:ascii="Arial" w:hAnsi="Arial" w:cs="Arial"/>
          <w:szCs w:val="24"/>
          <w:lang w:val="en-US"/>
        </w:rPr>
      </w:pPr>
    </w:p>
    <w:p w14:paraId="58B5D926" w14:textId="77777777" w:rsidR="002F66EB" w:rsidRDefault="002F66EB" w:rsidP="002F66EB">
      <w:pPr>
        <w:pStyle w:val="Call"/>
        <w:rPr>
          <w:rFonts w:ascii="Arial" w:hAnsi="Arial" w:cs="Arial"/>
          <w:szCs w:val="24"/>
          <w:lang w:val="en-US"/>
        </w:rPr>
      </w:pPr>
      <w:r w:rsidRPr="00715016">
        <w:rPr>
          <w:rFonts w:ascii="Arial" w:hAnsi="Arial" w:cs="Arial"/>
          <w:szCs w:val="24"/>
          <w:lang w:val="en-US"/>
        </w:rPr>
        <w:t xml:space="preserve">considering further </w:t>
      </w:r>
    </w:p>
    <w:p w14:paraId="53585A80" w14:textId="77777777" w:rsidR="002F66EB" w:rsidRPr="00715016" w:rsidRDefault="002F66EB" w:rsidP="002F66EB">
      <w:pPr>
        <w:jc w:val="both"/>
        <w:rPr>
          <w:lang w:val="en-US"/>
        </w:rPr>
      </w:pPr>
    </w:p>
    <w:p w14:paraId="7F94B637"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 xml:space="preserve">the need to carefully deploy the Union's human and financial resources in a manner consistent with the priorities of the membership and cognizant of budgetary constraints, and the need to avoid duplication among the Bureaux and the General Secretariat; </w:t>
      </w:r>
    </w:p>
    <w:p w14:paraId="071F5465" w14:textId="77777777" w:rsidR="002F66EB" w:rsidRDefault="002F66EB" w:rsidP="002F66EB">
      <w:pPr>
        <w:pStyle w:val="Call"/>
        <w:rPr>
          <w:rFonts w:ascii="Arial" w:hAnsi="Arial" w:cs="Arial"/>
          <w:szCs w:val="24"/>
          <w:lang w:val="en-US"/>
        </w:rPr>
      </w:pPr>
    </w:p>
    <w:p w14:paraId="57F55645" w14:textId="77777777" w:rsidR="002F66EB" w:rsidRDefault="002F66EB" w:rsidP="002F66EB">
      <w:pPr>
        <w:pStyle w:val="Call"/>
        <w:rPr>
          <w:rFonts w:ascii="Arial" w:hAnsi="Arial" w:cs="Arial"/>
          <w:szCs w:val="24"/>
          <w:lang w:val="en-US"/>
        </w:rPr>
      </w:pPr>
      <w:r w:rsidRPr="00715016">
        <w:rPr>
          <w:rFonts w:ascii="Arial" w:hAnsi="Arial" w:cs="Arial"/>
          <w:szCs w:val="24"/>
          <w:lang w:val="en-US"/>
        </w:rPr>
        <w:t>noting</w:t>
      </w:r>
    </w:p>
    <w:p w14:paraId="79FB7C04" w14:textId="77777777" w:rsidR="002F66EB" w:rsidRPr="00715016" w:rsidRDefault="002F66EB" w:rsidP="002F66EB">
      <w:pPr>
        <w:jc w:val="both"/>
        <w:rPr>
          <w:lang w:val="en-US"/>
        </w:rPr>
      </w:pPr>
    </w:p>
    <w:p w14:paraId="3FD19552" w14:textId="77777777" w:rsidR="002F66EB" w:rsidRPr="00715016" w:rsidRDefault="002F66EB" w:rsidP="002F66EB">
      <w:pPr>
        <w:jc w:val="both"/>
        <w:rPr>
          <w:rFonts w:ascii="Arial" w:hAnsi="Arial" w:cs="Arial"/>
          <w:sz w:val="24"/>
          <w:szCs w:val="24"/>
          <w:lang w:val="en-US"/>
        </w:rPr>
      </w:pPr>
      <w:r w:rsidRPr="00715016">
        <w:rPr>
          <w:rFonts w:ascii="Arial" w:hAnsi="Arial" w:cs="Arial"/>
          <w:i/>
          <w:iCs/>
          <w:sz w:val="24"/>
          <w:szCs w:val="24"/>
          <w:lang w:val="en-US"/>
        </w:rPr>
        <w:lastRenderedPageBreak/>
        <w:t>a)</w:t>
      </w:r>
      <w:r w:rsidRPr="00715016">
        <w:rPr>
          <w:rFonts w:ascii="Arial" w:hAnsi="Arial" w:cs="Arial"/>
          <w:sz w:val="24"/>
          <w:szCs w:val="24"/>
          <w:lang w:val="en-US"/>
        </w:rPr>
        <w:tab/>
        <w:t xml:space="preserve">organization of dedicated annual events addressing innovation dynamics at the regional and international level, including Regional Innovation Forums, Transform Africa Summits, innovation track of WSIS Forum, TELECOM World, Artificial Intelligence Global Summit, Global ICT Capacity Building Symposium, Global Symposium for Regulators, etc. </w:t>
      </w:r>
    </w:p>
    <w:p w14:paraId="665A4BF8"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 xml:space="preserve">b) </w:t>
      </w:r>
      <w:r w:rsidRPr="00715016">
        <w:rPr>
          <w:rFonts w:ascii="Arial" w:hAnsi="Arial" w:cs="Arial"/>
          <w:sz w:val="24"/>
          <w:szCs w:val="24"/>
          <w:lang w:val="en-US"/>
        </w:rPr>
        <w:tab/>
        <w:t>the new "Broadband targets for 2025", in particular goal on innovation, agreed by the Broadband Commission for Digital Development,</w:t>
      </w:r>
    </w:p>
    <w:p w14:paraId="3121597D" w14:textId="77777777" w:rsidR="002F66EB" w:rsidRDefault="002F66EB" w:rsidP="002F66EB">
      <w:pPr>
        <w:pStyle w:val="Call"/>
        <w:rPr>
          <w:rFonts w:ascii="Arial" w:hAnsi="Arial" w:cs="Arial"/>
          <w:szCs w:val="24"/>
          <w:lang w:val="en-US"/>
        </w:rPr>
      </w:pPr>
    </w:p>
    <w:p w14:paraId="6772D591" w14:textId="77777777" w:rsidR="002F66EB" w:rsidRDefault="002F66EB" w:rsidP="002F66EB">
      <w:pPr>
        <w:pStyle w:val="Call"/>
        <w:rPr>
          <w:rFonts w:ascii="Arial" w:hAnsi="Arial" w:cs="Arial"/>
          <w:szCs w:val="24"/>
          <w:lang w:val="en-US"/>
        </w:rPr>
      </w:pPr>
      <w:r w:rsidRPr="00715016">
        <w:rPr>
          <w:rFonts w:ascii="Arial" w:hAnsi="Arial" w:cs="Arial"/>
          <w:szCs w:val="24"/>
          <w:lang w:val="en-US"/>
        </w:rPr>
        <w:t>taking into account</w:t>
      </w:r>
    </w:p>
    <w:p w14:paraId="3B780E9E" w14:textId="77777777" w:rsidR="002F66EB" w:rsidRPr="00715016" w:rsidRDefault="002F66EB" w:rsidP="002F66EB">
      <w:pPr>
        <w:jc w:val="both"/>
        <w:rPr>
          <w:lang w:val="en-US"/>
        </w:rPr>
      </w:pPr>
    </w:p>
    <w:p w14:paraId="07D58F4E" w14:textId="77777777" w:rsidR="002F66EB" w:rsidRPr="00715016" w:rsidRDefault="002F66EB" w:rsidP="002F66EB">
      <w:pPr>
        <w:pStyle w:val="ListParagraph"/>
        <w:numPr>
          <w:ilvl w:val="0"/>
          <w:numId w:val="26"/>
        </w:numPr>
        <w:jc w:val="both"/>
        <w:rPr>
          <w:rFonts w:ascii="Arial" w:hAnsi="Arial" w:cs="Arial"/>
          <w:sz w:val="24"/>
          <w:szCs w:val="24"/>
        </w:rPr>
      </w:pPr>
      <w:r w:rsidRPr="00715016">
        <w:rPr>
          <w:rFonts w:ascii="Arial" w:hAnsi="Arial" w:cs="Arial"/>
          <w:iCs/>
          <w:sz w:val="24"/>
          <w:szCs w:val="24"/>
          <w:lang w:val="en-US"/>
        </w:rPr>
        <w:t xml:space="preserve">the WTDC-17 Declaration which stated </w:t>
      </w:r>
    </w:p>
    <w:p w14:paraId="26E756E3" w14:textId="77777777" w:rsidR="002F66EB" w:rsidRPr="00715016" w:rsidRDefault="002F66EB" w:rsidP="002F66EB">
      <w:pPr>
        <w:pStyle w:val="ListParagraph"/>
        <w:numPr>
          <w:ilvl w:val="1"/>
          <w:numId w:val="26"/>
        </w:numPr>
        <w:jc w:val="both"/>
        <w:rPr>
          <w:rFonts w:ascii="Arial" w:hAnsi="Arial" w:cs="Arial"/>
          <w:sz w:val="24"/>
          <w:szCs w:val="24"/>
          <w:lang w:val="en-US"/>
        </w:rPr>
      </w:pPr>
      <w:r w:rsidRPr="00715016">
        <w:rPr>
          <w:rFonts w:ascii="Arial" w:hAnsi="Arial" w:cs="Arial"/>
          <w:sz w:val="24"/>
          <w:szCs w:val="24"/>
          <w:lang w:val="en-US"/>
        </w:rPr>
        <w:t xml:space="preserve">that innovation is essential in enabling infrastructure deployment and boosting the penetration of high-capacity, high-quality telecommunication/ICT infrastructure and services, especially for rural and remote areas; </w:t>
      </w:r>
    </w:p>
    <w:p w14:paraId="13FD1B1C" w14:textId="77777777" w:rsidR="002F66EB" w:rsidRPr="00715016" w:rsidRDefault="002F66EB" w:rsidP="002F66EB">
      <w:pPr>
        <w:pStyle w:val="ListParagraph"/>
        <w:numPr>
          <w:ilvl w:val="1"/>
          <w:numId w:val="26"/>
        </w:numPr>
        <w:jc w:val="both"/>
        <w:rPr>
          <w:rFonts w:ascii="Arial" w:hAnsi="Arial" w:cs="Arial"/>
          <w:sz w:val="24"/>
          <w:szCs w:val="24"/>
          <w:lang w:val="en-US"/>
        </w:rPr>
      </w:pPr>
      <w:r w:rsidRPr="00715016">
        <w:rPr>
          <w:rFonts w:ascii="Arial" w:hAnsi="Arial" w:cs="Arial"/>
          <w:sz w:val="24"/>
          <w:szCs w:val="24"/>
          <w:lang w:val="en-US"/>
        </w:rPr>
        <w:t>and that innovation should be integrated into national policies, initiatives and programmes, with cooperation and partnership between developing countries and between developed and developing countries to promote sustainable development and economic growth;</w:t>
      </w:r>
    </w:p>
    <w:p w14:paraId="7005B013" w14:textId="77777777" w:rsidR="002F66EB" w:rsidRPr="00715016" w:rsidRDefault="002F66EB" w:rsidP="002F66EB">
      <w:pPr>
        <w:pStyle w:val="ListParagraph"/>
        <w:numPr>
          <w:ilvl w:val="0"/>
          <w:numId w:val="26"/>
        </w:numPr>
        <w:jc w:val="both"/>
        <w:rPr>
          <w:rFonts w:ascii="Arial" w:hAnsi="Arial" w:cs="Arial"/>
          <w:sz w:val="24"/>
          <w:szCs w:val="24"/>
          <w:lang w:val="en-US"/>
        </w:rPr>
      </w:pPr>
      <w:r w:rsidRPr="00715016">
        <w:rPr>
          <w:rFonts w:ascii="Arial" w:hAnsi="Arial" w:cs="Arial"/>
          <w:sz w:val="24"/>
          <w:szCs w:val="24"/>
          <w:lang w:val="en-US"/>
        </w:rPr>
        <w:t>Resolution 30 (Rev. Buenos  Aires, 2017) of the World Telecommunication Development Conference (WTDC), on the role of the ITU Telecommunication Development Sector (ITU</w:t>
      </w:r>
      <w:r w:rsidRPr="00715016">
        <w:rPr>
          <w:rFonts w:ascii="Arial" w:hAnsi="Arial" w:cs="Arial"/>
          <w:sz w:val="24"/>
          <w:szCs w:val="24"/>
          <w:lang w:val="en-US"/>
        </w:rPr>
        <w:noBreakHyphen/>
        <w:t>D) in implementing the WSIS outcomes taking into account the 2030 Agenda for Sustainable Development;</w:t>
      </w:r>
    </w:p>
    <w:p w14:paraId="2540BDDE" w14:textId="77777777" w:rsidR="002F66EB" w:rsidRPr="00715016" w:rsidRDefault="002F66EB" w:rsidP="002F66EB">
      <w:pPr>
        <w:pStyle w:val="ListParagraph"/>
        <w:numPr>
          <w:ilvl w:val="0"/>
          <w:numId w:val="26"/>
        </w:numPr>
        <w:jc w:val="both"/>
        <w:rPr>
          <w:rFonts w:ascii="Arial" w:hAnsi="Arial" w:cs="Arial"/>
          <w:sz w:val="24"/>
          <w:szCs w:val="24"/>
          <w:lang w:val="en-US"/>
        </w:rPr>
      </w:pPr>
      <w:r w:rsidRPr="00715016">
        <w:rPr>
          <w:rFonts w:ascii="Arial" w:hAnsi="Arial" w:cs="Arial"/>
          <w:sz w:val="24"/>
          <w:szCs w:val="24"/>
          <w:lang w:val="en-US"/>
        </w:rPr>
        <w:t>programmes, activities and regional activities established by WTDC</w:t>
      </w:r>
      <w:r w:rsidRPr="00715016">
        <w:rPr>
          <w:rFonts w:ascii="Arial" w:hAnsi="Arial" w:cs="Arial"/>
          <w:sz w:val="24"/>
          <w:szCs w:val="24"/>
          <w:lang w:val="en-US"/>
        </w:rPr>
        <w:noBreakHyphen/>
        <w:t>17 with the objective of accelerating digital transformation and assisting countries in this area;</w:t>
      </w:r>
    </w:p>
    <w:p w14:paraId="3FC0B5F4" w14:textId="77777777" w:rsidR="002F66EB" w:rsidRPr="00715016" w:rsidRDefault="002F66EB" w:rsidP="002F66EB">
      <w:pPr>
        <w:pStyle w:val="ListParagraph"/>
        <w:numPr>
          <w:ilvl w:val="0"/>
          <w:numId w:val="26"/>
        </w:numPr>
        <w:jc w:val="both"/>
        <w:rPr>
          <w:rFonts w:ascii="Arial" w:hAnsi="Arial" w:cs="Arial"/>
          <w:sz w:val="24"/>
          <w:szCs w:val="24"/>
          <w:lang w:val="en-US"/>
        </w:rPr>
      </w:pPr>
      <w:r w:rsidRPr="00715016">
        <w:rPr>
          <w:rFonts w:ascii="Arial" w:hAnsi="Arial" w:cs="Arial"/>
          <w:sz w:val="24"/>
          <w:szCs w:val="24"/>
          <w:lang w:val="en-US"/>
        </w:rPr>
        <w:t>Resolution 44 (Rev. Hammamet, 2016), of the World Telecommunications Standardization Assembly, Bridging the standardization gap between developing and developed countries, calling ITU-T, in collaboration with other Sectors, especially the ITU Telecommunication Development Sector (ITU-D), shall develop a programme to:</w:t>
      </w:r>
    </w:p>
    <w:p w14:paraId="5F113658" w14:textId="77777777" w:rsidR="002F66EB" w:rsidRPr="00715016" w:rsidRDefault="002F66EB" w:rsidP="002F66EB">
      <w:pPr>
        <w:pStyle w:val="ListParagraph"/>
        <w:numPr>
          <w:ilvl w:val="1"/>
          <w:numId w:val="26"/>
        </w:numPr>
        <w:jc w:val="both"/>
        <w:rPr>
          <w:rFonts w:ascii="Arial" w:hAnsi="Arial" w:cs="Arial"/>
          <w:sz w:val="24"/>
          <w:szCs w:val="24"/>
          <w:lang w:val="en-US"/>
        </w:rPr>
      </w:pPr>
      <w:r w:rsidRPr="00715016">
        <w:rPr>
          <w:rFonts w:ascii="Arial" w:hAnsi="Arial" w:cs="Arial"/>
          <w:sz w:val="24"/>
          <w:szCs w:val="24"/>
          <w:lang w:val="en-US"/>
        </w:rPr>
        <w:t xml:space="preserve">assist developing countries in developing means to align their national industrial and innovation strategies towards the goal of achieving highest impact on their socio-economic ecosystems; </w:t>
      </w:r>
    </w:p>
    <w:p w14:paraId="325EAC9B" w14:textId="77777777" w:rsidR="002F66EB" w:rsidRPr="00715016" w:rsidRDefault="002F66EB" w:rsidP="002F66EB">
      <w:pPr>
        <w:pStyle w:val="ListParagraph"/>
        <w:numPr>
          <w:ilvl w:val="1"/>
          <w:numId w:val="26"/>
        </w:numPr>
        <w:jc w:val="both"/>
        <w:rPr>
          <w:rFonts w:ascii="Arial" w:hAnsi="Arial" w:cs="Arial"/>
          <w:sz w:val="24"/>
          <w:szCs w:val="24"/>
          <w:lang w:val="en-US"/>
        </w:rPr>
      </w:pPr>
      <w:r w:rsidRPr="00715016">
        <w:rPr>
          <w:rFonts w:ascii="Arial" w:hAnsi="Arial" w:cs="Arial"/>
          <w:sz w:val="24"/>
          <w:szCs w:val="24"/>
          <w:lang w:val="en-US"/>
        </w:rPr>
        <w:t>Assist developing countries in developing strategies and methods that facilitate the process of linking innovation to the standardization process.</w:t>
      </w:r>
    </w:p>
    <w:p w14:paraId="75107997" w14:textId="77777777" w:rsidR="002F66EB" w:rsidRDefault="002F66EB" w:rsidP="002F66EB">
      <w:pPr>
        <w:pStyle w:val="Call"/>
        <w:rPr>
          <w:rFonts w:ascii="Arial" w:hAnsi="Arial" w:cs="Arial"/>
          <w:szCs w:val="24"/>
          <w:lang w:val="en-US"/>
        </w:rPr>
      </w:pPr>
    </w:p>
    <w:p w14:paraId="14159A68" w14:textId="77777777" w:rsidR="002F66EB" w:rsidRDefault="002F66EB" w:rsidP="002F66EB">
      <w:pPr>
        <w:pStyle w:val="Call"/>
        <w:rPr>
          <w:rFonts w:ascii="Arial" w:hAnsi="Arial" w:cs="Arial"/>
          <w:szCs w:val="24"/>
          <w:lang w:val="en-US"/>
        </w:rPr>
      </w:pPr>
      <w:r w:rsidRPr="00715016">
        <w:rPr>
          <w:rFonts w:ascii="Arial" w:hAnsi="Arial" w:cs="Arial"/>
          <w:szCs w:val="24"/>
          <w:lang w:val="en-US"/>
        </w:rPr>
        <w:t xml:space="preserve">recognizing </w:t>
      </w:r>
    </w:p>
    <w:p w14:paraId="1BD147B3" w14:textId="77777777" w:rsidR="002F66EB" w:rsidRPr="00715016" w:rsidRDefault="002F66EB" w:rsidP="002F66EB">
      <w:pPr>
        <w:jc w:val="both"/>
        <w:rPr>
          <w:lang w:val="en-US"/>
        </w:rPr>
      </w:pPr>
    </w:p>
    <w:p w14:paraId="46B84F2E" w14:textId="77777777" w:rsidR="002F66EB" w:rsidRPr="00715016" w:rsidRDefault="002F66EB" w:rsidP="002F66EB">
      <w:pPr>
        <w:pStyle w:val="Call"/>
        <w:ind w:left="0"/>
        <w:rPr>
          <w:rFonts w:ascii="Arial" w:hAnsi="Arial" w:cs="Arial"/>
          <w:i w:val="0"/>
          <w:szCs w:val="24"/>
          <w:lang w:val="en-US"/>
        </w:rPr>
      </w:pPr>
      <w:r w:rsidRPr="00715016">
        <w:rPr>
          <w:rFonts w:ascii="Arial" w:hAnsi="Arial" w:cs="Arial"/>
          <w:i w:val="0"/>
          <w:szCs w:val="24"/>
          <w:lang w:val="en-US"/>
        </w:rPr>
        <w:lastRenderedPageBreak/>
        <w:t xml:space="preserve">a) </w:t>
      </w:r>
      <w:r w:rsidRPr="00715016">
        <w:rPr>
          <w:rFonts w:ascii="Arial" w:hAnsi="Arial" w:cs="Arial"/>
          <w:i w:val="0"/>
          <w:szCs w:val="24"/>
          <w:lang w:val="en-US"/>
        </w:rPr>
        <w:tab/>
        <w:t xml:space="preserve">that </w:t>
      </w:r>
      <w:r w:rsidRPr="00715016">
        <w:rPr>
          <w:rFonts w:ascii="Arial" w:eastAsia="SimSun" w:hAnsi="Arial" w:cs="Arial"/>
          <w:i w:val="0"/>
          <w:szCs w:val="24"/>
          <w:lang w:val="en-US"/>
        </w:rPr>
        <w:t xml:space="preserve">the member states under </w:t>
      </w:r>
      <w:r w:rsidRPr="00715016">
        <w:rPr>
          <w:rFonts w:ascii="Arial" w:hAnsi="Arial" w:cs="Arial"/>
          <w:i w:val="0"/>
          <w:szCs w:val="24"/>
          <w:lang w:val="en-US"/>
        </w:rPr>
        <w:t xml:space="preserve">UNGA Resolution 70/125 </w:t>
      </w:r>
      <w:r w:rsidRPr="00715016">
        <w:rPr>
          <w:rFonts w:ascii="Arial" w:eastAsia="SimSun" w:hAnsi="Arial" w:cs="Arial"/>
          <w:i w:val="0"/>
          <w:szCs w:val="24"/>
          <w:lang w:val="en-US"/>
        </w:rPr>
        <w:t>on the overall review of the implementation of the outcomes of the World Summit on the Information Society</w:t>
      </w:r>
    </w:p>
    <w:p w14:paraId="27C2778C" w14:textId="77777777" w:rsidR="002F66EB" w:rsidRPr="00715016" w:rsidRDefault="002F66EB" w:rsidP="002F66EB">
      <w:pPr>
        <w:numPr>
          <w:ilvl w:val="0"/>
          <w:numId w:val="25"/>
        </w:numPr>
        <w:ind w:left="993" w:hanging="425"/>
        <w:contextualSpacing/>
        <w:jc w:val="both"/>
        <w:rPr>
          <w:rFonts w:ascii="Arial" w:hAnsi="Arial" w:cs="Arial"/>
          <w:sz w:val="24"/>
          <w:szCs w:val="24"/>
          <w:lang w:val="en-US"/>
        </w:rPr>
      </w:pPr>
      <w:r w:rsidRPr="00715016">
        <w:rPr>
          <w:rFonts w:ascii="Arial" w:eastAsia="SimSun" w:hAnsi="Arial" w:cs="Arial"/>
          <w:sz w:val="24"/>
          <w:szCs w:val="24"/>
          <w:lang w:val="en-US"/>
        </w:rPr>
        <w:t xml:space="preserve">committed </w:t>
      </w:r>
      <w:r w:rsidRPr="00715016">
        <w:rPr>
          <w:rFonts w:ascii="Arial" w:hAnsi="Arial" w:cs="Arial"/>
          <w:sz w:val="24"/>
          <w:szCs w:val="24"/>
        </w:rPr>
        <w:t>to continuing to identify and implementing best and emerging practices for the establishment and functioning of innovation frameworks for information and communications technologies;</w:t>
      </w:r>
    </w:p>
    <w:p w14:paraId="6A70F58C" w14:textId="77777777" w:rsidR="002F66EB" w:rsidRPr="00715016" w:rsidRDefault="002F66EB" w:rsidP="002F66EB">
      <w:pPr>
        <w:numPr>
          <w:ilvl w:val="0"/>
          <w:numId w:val="25"/>
        </w:numPr>
        <w:ind w:left="993" w:hanging="425"/>
        <w:contextualSpacing/>
        <w:jc w:val="both"/>
        <w:rPr>
          <w:rFonts w:ascii="Arial" w:hAnsi="Arial" w:cs="Arial"/>
          <w:sz w:val="24"/>
          <w:szCs w:val="24"/>
        </w:rPr>
      </w:pPr>
      <w:r w:rsidRPr="00715016">
        <w:rPr>
          <w:rFonts w:ascii="Arial" w:hAnsi="Arial" w:cs="Arial"/>
          <w:sz w:val="24"/>
          <w:szCs w:val="24"/>
        </w:rPr>
        <w:t>recommended that capacity development, including for innovation, be emphasized to empower local experts and local communities to benefit fully from and contribute to information and communications technology applications for development;</w:t>
      </w:r>
    </w:p>
    <w:p w14:paraId="0A88E4D6" w14:textId="77777777" w:rsidR="002F66EB" w:rsidRPr="00715016" w:rsidRDefault="002F66EB" w:rsidP="002F66EB">
      <w:pPr>
        <w:numPr>
          <w:ilvl w:val="0"/>
          <w:numId w:val="25"/>
        </w:numPr>
        <w:ind w:left="993" w:hanging="425"/>
        <w:contextualSpacing/>
        <w:jc w:val="both"/>
        <w:rPr>
          <w:rFonts w:ascii="Arial" w:hAnsi="Arial" w:cs="Arial"/>
          <w:sz w:val="24"/>
          <w:szCs w:val="24"/>
        </w:rPr>
      </w:pPr>
      <w:r w:rsidRPr="00715016">
        <w:rPr>
          <w:rFonts w:ascii="Arial" w:hAnsi="Arial" w:cs="Arial"/>
          <w:sz w:val="24"/>
          <w:szCs w:val="24"/>
        </w:rPr>
        <w:t>encouraged Governments to create legal and regulatory frameworks conducive to increased investment and innovation.</w:t>
      </w:r>
    </w:p>
    <w:p w14:paraId="40BFAB93" w14:textId="77777777" w:rsidR="002F66EB" w:rsidRPr="00715016" w:rsidRDefault="002F66EB" w:rsidP="002F66EB">
      <w:pPr>
        <w:jc w:val="both"/>
        <w:rPr>
          <w:rFonts w:ascii="Arial" w:eastAsia="SimSun" w:hAnsi="Arial" w:cs="Arial"/>
          <w:sz w:val="24"/>
          <w:szCs w:val="24"/>
          <w:lang w:val="en-US"/>
        </w:rPr>
      </w:pPr>
      <w:r w:rsidRPr="00715016">
        <w:rPr>
          <w:rFonts w:ascii="Arial" w:hAnsi="Arial" w:cs="Arial"/>
          <w:sz w:val="24"/>
          <w:szCs w:val="24"/>
          <w:lang w:val="en-US"/>
        </w:rPr>
        <w:t>b)</w:t>
      </w:r>
      <w:r w:rsidRPr="00715016">
        <w:rPr>
          <w:rFonts w:ascii="Arial" w:hAnsi="Arial" w:cs="Arial"/>
          <w:sz w:val="24"/>
          <w:szCs w:val="24"/>
          <w:lang w:val="en-US"/>
        </w:rPr>
        <w:tab/>
        <w:t xml:space="preserve">that the UNGA Resolution 70/1 on the 2030 Agenda for Sustainable Development </w:t>
      </w:r>
      <w:r w:rsidRPr="00715016">
        <w:rPr>
          <w:rFonts w:ascii="Arial" w:eastAsia="SimSun" w:hAnsi="Arial" w:cs="Arial"/>
          <w:sz w:val="24"/>
          <w:szCs w:val="24"/>
          <w:lang w:val="en-US"/>
        </w:rPr>
        <w:t>has substantial implications on the activities of the ITU in particular calling for fostering innovation, thereby advancing implementation of Sustainable Development Goal 9;</w:t>
      </w:r>
    </w:p>
    <w:p w14:paraId="14260B55" w14:textId="77777777" w:rsidR="002F66EB" w:rsidRDefault="002F66EB" w:rsidP="002F66EB">
      <w:pPr>
        <w:pStyle w:val="Call"/>
        <w:rPr>
          <w:rFonts w:ascii="Arial" w:hAnsi="Arial" w:cs="Arial"/>
          <w:szCs w:val="24"/>
          <w:lang w:val="en-US"/>
        </w:rPr>
      </w:pPr>
    </w:p>
    <w:p w14:paraId="128D890F" w14:textId="77777777" w:rsidR="002F66EB" w:rsidRDefault="002F66EB" w:rsidP="002F66EB">
      <w:pPr>
        <w:pStyle w:val="Call"/>
        <w:rPr>
          <w:rFonts w:ascii="Arial" w:hAnsi="Arial" w:cs="Arial"/>
          <w:szCs w:val="24"/>
          <w:lang w:val="en-US"/>
        </w:rPr>
      </w:pPr>
      <w:r w:rsidRPr="00715016">
        <w:rPr>
          <w:rFonts w:ascii="Arial" w:hAnsi="Arial" w:cs="Arial"/>
          <w:szCs w:val="24"/>
          <w:lang w:val="en-US"/>
        </w:rPr>
        <w:t>resolves</w:t>
      </w:r>
    </w:p>
    <w:p w14:paraId="5ACFBB5F" w14:textId="77777777" w:rsidR="002F66EB" w:rsidRPr="00715016" w:rsidRDefault="002F66EB" w:rsidP="002F66EB">
      <w:pPr>
        <w:jc w:val="both"/>
        <w:rPr>
          <w:lang w:val="en-US"/>
        </w:rPr>
      </w:pPr>
    </w:p>
    <w:p w14:paraId="6E540AD1"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1</w:t>
      </w:r>
      <w:r w:rsidRPr="00715016">
        <w:rPr>
          <w:rFonts w:ascii="Arial" w:hAnsi="Arial" w:cs="Arial"/>
          <w:sz w:val="24"/>
          <w:szCs w:val="24"/>
          <w:lang w:val="en-US"/>
        </w:rPr>
        <w:tab/>
        <w:t>that innovation is a key element in the transformation of the telecommunication/ICT environment, and in order to be successful in what it does, ITU must continuously contribute to shaping and adapting quickly to this rapidly changing telecommunication/ICT environment;</w:t>
      </w:r>
    </w:p>
    <w:p w14:paraId="292FF5EE"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2</w:t>
      </w:r>
      <w:r w:rsidRPr="00715016">
        <w:rPr>
          <w:rFonts w:ascii="Arial" w:hAnsi="Arial" w:cs="Arial"/>
          <w:sz w:val="24"/>
          <w:szCs w:val="24"/>
          <w:lang w:val="en-US"/>
        </w:rPr>
        <w:tab/>
        <w:t xml:space="preserve">that ITU should play a leading role in driving digital transformation, through building ICT-centric innovation ecosystems; </w:t>
      </w:r>
    </w:p>
    <w:p w14:paraId="2FFA64A2" w14:textId="77777777" w:rsidR="002F66EB" w:rsidRPr="00715016" w:rsidRDefault="002F66EB" w:rsidP="002F66EB">
      <w:pPr>
        <w:jc w:val="both"/>
        <w:rPr>
          <w:rFonts w:ascii="Arial" w:hAnsi="Arial" w:cs="Arial"/>
          <w:sz w:val="24"/>
          <w:szCs w:val="24"/>
        </w:rPr>
      </w:pPr>
      <w:r w:rsidRPr="00715016">
        <w:rPr>
          <w:rFonts w:ascii="Arial" w:hAnsi="Arial" w:cs="Arial"/>
          <w:sz w:val="24"/>
          <w:szCs w:val="24"/>
        </w:rPr>
        <w:t>3</w:t>
      </w:r>
      <w:r w:rsidRPr="00715016">
        <w:rPr>
          <w:rFonts w:ascii="Arial" w:hAnsi="Arial" w:cs="Arial"/>
          <w:sz w:val="24"/>
          <w:szCs w:val="24"/>
        </w:rPr>
        <w:tab/>
        <w:t xml:space="preserve">that ITU should continue responding to the global need to foster telecommunication/ICT-centric innovation that accelerates the digital transformation of society, thereby </w:t>
      </w:r>
      <w:r w:rsidRPr="00C57E41">
        <w:rPr>
          <w:rFonts w:ascii="Arial" w:hAnsi="Arial" w:cs="Arial"/>
          <w:sz w:val="24"/>
          <w:szCs w:val="24"/>
          <w:lang w:val="en-US"/>
        </w:rPr>
        <w:t>supporting</w:t>
      </w:r>
      <w:r w:rsidRPr="00715016">
        <w:rPr>
          <w:rFonts w:ascii="Arial" w:hAnsi="Arial" w:cs="Arial"/>
          <w:sz w:val="24"/>
          <w:szCs w:val="24"/>
        </w:rPr>
        <w:t xml:space="preserve"> implementation of the WSIS Action Lines and the 2030 Agenda for Sustainable Development.</w:t>
      </w:r>
    </w:p>
    <w:p w14:paraId="33F36508" w14:textId="77777777" w:rsidR="002F66EB" w:rsidRPr="00715016" w:rsidRDefault="002F66EB" w:rsidP="002F66EB">
      <w:pPr>
        <w:jc w:val="both"/>
        <w:rPr>
          <w:rFonts w:ascii="Arial" w:hAnsi="Arial" w:cs="Arial"/>
          <w:sz w:val="24"/>
          <w:szCs w:val="24"/>
        </w:rPr>
      </w:pPr>
      <w:r w:rsidRPr="00715016">
        <w:rPr>
          <w:rFonts w:ascii="Arial" w:hAnsi="Arial" w:cs="Arial"/>
          <w:sz w:val="24"/>
          <w:szCs w:val="24"/>
        </w:rPr>
        <w:t xml:space="preserve">4. </w:t>
      </w:r>
      <w:r w:rsidRPr="00715016">
        <w:rPr>
          <w:rFonts w:ascii="Arial" w:hAnsi="Arial" w:cs="Arial"/>
          <w:sz w:val="24"/>
          <w:szCs w:val="24"/>
        </w:rPr>
        <w:tab/>
        <w:t>that, given the crucial role of telecommunications/ICTs in digital transformation and, in particular, in the advancement of the digital economy, ITU should enhance international cooperation on sharing best practice in digital transformation and the development of approaches, regulatory texts, standards and applications for the digital economy;</w:t>
      </w:r>
    </w:p>
    <w:p w14:paraId="1B77B701" w14:textId="77777777" w:rsidR="002F66EB" w:rsidRPr="00715016" w:rsidRDefault="002F66EB" w:rsidP="002F66EB">
      <w:pPr>
        <w:jc w:val="both"/>
        <w:rPr>
          <w:rFonts w:ascii="Arial" w:hAnsi="Arial" w:cs="Arial"/>
          <w:sz w:val="24"/>
          <w:szCs w:val="24"/>
        </w:rPr>
      </w:pPr>
      <w:r w:rsidRPr="00715016">
        <w:rPr>
          <w:rFonts w:ascii="Arial" w:hAnsi="Arial" w:cs="Arial"/>
          <w:sz w:val="24"/>
          <w:szCs w:val="24"/>
        </w:rPr>
        <w:t>5.</w:t>
      </w:r>
      <w:r w:rsidRPr="00715016">
        <w:rPr>
          <w:rFonts w:ascii="Arial" w:hAnsi="Arial" w:cs="Arial"/>
          <w:sz w:val="24"/>
          <w:szCs w:val="24"/>
        </w:rPr>
        <w:tab/>
        <w:t>to encourage youth to take advantage of ICT opportunities to advance their development and promote innovation and economic development at national and international level,</w:t>
      </w:r>
    </w:p>
    <w:p w14:paraId="5AB465B2" w14:textId="77777777" w:rsidR="002F66EB" w:rsidRPr="00715016" w:rsidRDefault="002F66EB" w:rsidP="002F66EB">
      <w:pPr>
        <w:jc w:val="both"/>
        <w:rPr>
          <w:rFonts w:ascii="Arial" w:hAnsi="Arial" w:cs="Arial"/>
          <w:sz w:val="24"/>
          <w:szCs w:val="24"/>
        </w:rPr>
      </w:pPr>
      <w:r w:rsidRPr="00715016">
        <w:rPr>
          <w:rFonts w:ascii="Arial" w:hAnsi="Arial" w:cs="Arial"/>
          <w:sz w:val="24"/>
          <w:szCs w:val="24"/>
        </w:rPr>
        <w:t xml:space="preserve">6. </w:t>
      </w:r>
      <w:r w:rsidRPr="00715016">
        <w:rPr>
          <w:rFonts w:ascii="Arial" w:hAnsi="Arial" w:cs="Arial"/>
          <w:sz w:val="24"/>
          <w:szCs w:val="24"/>
        </w:rPr>
        <w:tab/>
        <w:t>that ITU should avoid duplication of actions in field of innovation based on resolves of all conferences.</w:t>
      </w:r>
    </w:p>
    <w:p w14:paraId="55AE50AE" w14:textId="77777777" w:rsidR="002F66EB" w:rsidRPr="00715016" w:rsidRDefault="002F66EB" w:rsidP="002F66EB">
      <w:pPr>
        <w:jc w:val="both"/>
        <w:rPr>
          <w:rFonts w:ascii="Arial" w:hAnsi="Arial" w:cs="Arial"/>
          <w:sz w:val="24"/>
          <w:szCs w:val="24"/>
        </w:rPr>
      </w:pPr>
      <w:r w:rsidRPr="00715016">
        <w:rPr>
          <w:rFonts w:ascii="Arial" w:hAnsi="Arial" w:cs="Arial"/>
          <w:sz w:val="24"/>
          <w:szCs w:val="24"/>
        </w:rPr>
        <w:lastRenderedPageBreak/>
        <w:t>7</w:t>
      </w:r>
      <w:r w:rsidRPr="00715016">
        <w:rPr>
          <w:rFonts w:ascii="Arial" w:hAnsi="Arial" w:cs="Arial"/>
          <w:sz w:val="24"/>
          <w:szCs w:val="24"/>
        </w:rPr>
        <w:tab/>
        <w:t>that ITU should continue to adapt itself, taking into account dynamics of telecommunication/ICT innovation and its potential to contribute significantly to accelerating digital transformation, which fosters sustainable growth of digital economy and contributes to achievement of SDGs;</w:t>
      </w:r>
    </w:p>
    <w:p w14:paraId="1B59F616"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8</w:t>
      </w:r>
      <w:r w:rsidRPr="00715016">
        <w:rPr>
          <w:rFonts w:ascii="Arial" w:hAnsi="Arial" w:cs="Arial"/>
          <w:sz w:val="24"/>
          <w:szCs w:val="24"/>
          <w:lang w:val="en-US"/>
        </w:rPr>
        <w:tab/>
        <w:t>that ITU should continue to coordinate with other UN agencies, on the scope of action and  activities related to ICT-centric innovation ecosystem and digital entrepreneurship in order to avoid duplication at the UN level;</w:t>
      </w:r>
    </w:p>
    <w:p w14:paraId="6542596B"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9</w:t>
      </w:r>
      <w:r w:rsidRPr="00715016">
        <w:rPr>
          <w:rFonts w:ascii="Arial" w:hAnsi="Arial" w:cs="Arial"/>
          <w:sz w:val="24"/>
          <w:szCs w:val="24"/>
          <w:lang w:val="en-US"/>
        </w:rPr>
        <w:tab/>
        <w:t>that ITU should submit a progress report on the implementation of this resolution to the ITU Plenipotentiary Conference in 2022,</w:t>
      </w:r>
    </w:p>
    <w:p w14:paraId="3D6D5D40" w14:textId="77777777" w:rsidR="002F66EB" w:rsidRPr="00715016" w:rsidRDefault="002F66EB" w:rsidP="002F66EB">
      <w:pPr>
        <w:pStyle w:val="Call"/>
        <w:rPr>
          <w:rFonts w:ascii="Arial" w:hAnsi="Arial" w:cs="Arial"/>
          <w:szCs w:val="24"/>
          <w:lang w:val="en-US"/>
        </w:rPr>
      </w:pPr>
      <w:r w:rsidRPr="00715016">
        <w:rPr>
          <w:rFonts w:ascii="Arial" w:hAnsi="Arial" w:cs="Arial"/>
          <w:szCs w:val="24"/>
          <w:lang w:val="en-US"/>
        </w:rPr>
        <w:t>instructs the Secretary-General</w:t>
      </w:r>
    </w:p>
    <w:p w14:paraId="279F3200"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1</w:t>
      </w:r>
      <w:r w:rsidRPr="00715016">
        <w:rPr>
          <w:rFonts w:ascii="Arial" w:hAnsi="Arial" w:cs="Arial"/>
          <w:sz w:val="24"/>
          <w:szCs w:val="24"/>
          <w:lang w:val="en-US"/>
        </w:rPr>
        <w:tab/>
        <w:t xml:space="preserve">to support ITU's role in building ICT-centric innovation ecosystems worldwide, in particular in context of ITU Strategic Plan Goal 4 on Innovation and SDG9 of 2030 Agendas for Sustainable Development; </w:t>
      </w:r>
    </w:p>
    <w:p w14:paraId="214DE3FF"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2</w:t>
      </w:r>
      <w:r w:rsidRPr="00715016">
        <w:rPr>
          <w:rFonts w:ascii="Arial" w:hAnsi="Arial" w:cs="Arial"/>
          <w:sz w:val="24"/>
          <w:szCs w:val="24"/>
          <w:lang w:val="en-US"/>
        </w:rPr>
        <w:tab/>
        <w:t>to ensure that ITU activities related to building ICT-centric Innovation ecosys</w:t>
      </w:r>
      <w:r>
        <w:rPr>
          <w:rFonts w:ascii="Arial" w:hAnsi="Arial" w:cs="Arial"/>
          <w:sz w:val="24"/>
          <w:szCs w:val="24"/>
          <w:lang w:val="en-US"/>
        </w:rPr>
        <w:t>t</w:t>
      </w:r>
      <w:r w:rsidRPr="00715016">
        <w:rPr>
          <w:rFonts w:ascii="Arial" w:hAnsi="Arial" w:cs="Arial"/>
          <w:sz w:val="24"/>
          <w:szCs w:val="24"/>
          <w:lang w:val="en-US"/>
        </w:rPr>
        <w:t>ems are implemented in accordance with its mandate, within established policies and procedures, and within the allocated resources in the financial plan and biennial budget;</w:t>
      </w:r>
    </w:p>
    <w:p w14:paraId="443077BE" w14:textId="77777777" w:rsidR="002F66EB" w:rsidRPr="00715016" w:rsidRDefault="002F66EB" w:rsidP="002F66EB">
      <w:pPr>
        <w:jc w:val="both"/>
        <w:rPr>
          <w:rFonts w:ascii="Arial" w:hAnsi="Arial" w:cs="Arial"/>
          <w:sz w:val="24"/>
          <w:szCs w:val="24"/>
          <w:lang w:val="en-US"/>
        </w:rPr>
      </w:pPr>
      <w:r>
        <w:rPr>
          <w:rFonts w:ascii="Arial" w:hAnsi="Arial" w:cs="Arial"/>
          <w:sz w:val="24"/>
          <w:szCs w:val="24"/>
          <w:lang w:val="en-US"/>
        </w:rPr>
        <w:t>3</w:t>
      </w:r>
      <w:r>
        <w:rPr>
          <w:rFonts w:ascii="Arial" w:hAnsi="Arial" w:cs="Arial"/>
          <w:sz w:val="24"/>
          <w:szCs w:val="24"/>
          <w:lang w:val="en-US"/>
        </w:rPr>
        <w:tab/>
        <w:t>to ensure appropriate inter</w:t>
      </w:r>
      <w:r w:rsidRPr="00715016">
        <w:rPr>
          <w:rFonts w:ascii="Arial" w:hAnsi="Arial" w:cs="Arial"/>
          <w:sz w:val="24"/>
          <w:szCs w:val="24"/>
          <w:lang w:val="en-US"/>
        </w:rPr>
        <w:t xml:space="preserve">sectoral coordination, in order to ensure coherence in action and reporting, as well as to avoid duplications in the implementation of this resolution;  </w:t>
      </w:r>
    </w:p>
    <w:p w14:paraId="126E8027"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4</w:t>
      </w:r>
      <w:r w:rsidRPr="00715016">
        <w:rPr>
          <w:rFonts w:ascii="Arial" w:hAnsi="Arial" w:cs="Arial"/>
          <w:sz w:val="24"/>
          <w:szCs w:val="24"/>
          <w:lang w:val="en-US"/>
        </w:rPr>
        <w:tab/>
        <w:t>in close coordination with all Sectors, to ensure appropriate coordination with other UN agencies on the scope of action and  activities related to ICT-centric innovation ecosystem and digital entrepreneurship in order to avoid duplication at the UN level, while strengthening partnership building and implementation at the national and regional level, following delivering as one approach;</w:t>
      </w:r>
    </w:p>
    <w:p w14:paraId="343720A0"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5</w:t>
      </w:r>
      <w:r w:rsidRPr="00715016">
        <w:rPr>
          <w:rFonts w:ascii="Arial" w:hAnsi="Arial" w:cs="Arial"/>
          <w:sz w:val="24"/>
          <w:szCs w:val="24"/>
          <w:lang w:val="en-US"/>
        </w:rPr>
        <w:tab/>
        <w:t xml:space="preserve">to highlight the work of ITU in field of fostering telecommunication/ICT innovation as contribution of ITU to the achievement of SDG9 at the level of UN High Level Political Forum and STI Forum, applying mechanisms established by UNGA Resolution A/70/1; </w:t>
      </w:r>
    </w:p>
    <w:p w14:paraId="41EB6667" w14:textId="77777777" w:rsidR="002F66EB" w:rsidRPr="00715016" w:rsidRDefault="002F66EB" w:rsidP="002F66EB">
      <w:pPr>
        <w:pStyle w:val="Call"/>
        <w:ind w:left="0"/>
        <w:rPr>
          <w:rFonts w:ascii="Arial" w:hAnsi="Arial" w:cs="Arial"/>
          <w:i w:val="0"/>
          <w:szCs w:val="24"/>
          <w:lang w:val="en-US"/>
        </w:rPr>
      </w:pPr>
      <w:r w:rsidRPr="00715016">
        <w:rPr>
          <w:rFonts w:ascii="Arial" w:hAnsi="Arial" w:cs="Arial"/>
          <w:i w:val="0"/>
          <w:szCs w:val="24"/>
          <w:lang w:val="en-US"/>
        </w:rPr>
        <w:t>6</w:t>
      </w:r>
      <w:r w:rsidRPr="00715016">
        <w:rPr>
          <w:rFonts w:ascii="Arial" w:hAnsi="Arial" w:cs="Arial"/>
          <w:i w:val="0"/>
          <w:szCs w:val="24"/>
          <w:lang w:val="en-US"/>
        </w:rPr>
        <w:tab/>
        <w:t xml:space="preserve">to use, to the extent possible, the TELECOM World as global platform for discussion and sharing of best practices on telecommunication/ICT innovation; </w:t>
      </w:r>
    </w:p>
    <w:p w14:paraId="7EC453CF" w14:textId="77777777" w:rsidR="002F66EB" w:rsidRPr="00715016" w:rsidRDefault="002F66EB" w:rsidP="002F66EB">
      <w:pPr>
        <w:jc w:val="both"/>
        <w:rPr>
          <w:rFonts w:ascii="Arial" w:hAnsi="Arial" w:cs="Arial"/>
          <w:sz w:val="24"/>
          <w:szCs w:val="24"/>
          <w:lang w:val="en-US"/>
        </w:rPr>
      </w:pPr>
      <w:r w:rsidRPr="00715016">
        <w:rPr>
          <w:rFonts w:ascii="Arial" w:hAnsi="Arial" w:cs="Arial"/>
          <w:i/>
          <w:sz w:val="24"/>
          <w:szCs w:val="24"/>
          <w:lang w:val="en-US"/>
        </w:rPr>
        <w:t>7</w:t>
      </w:r>
      <w:r w:rsidRPr="00715016">
        <w:rPr>
          <w:rFonts w:ascii="Arial" w:hAnsi="Arial" w:cs="Arial"/>
          <w:sz w:val="24"/>
          <w:szCs w:val="24"/>
          <w:lang w:val="en-US"/>
        </w:rPr>
        <w:tab/>
        <w:t xml:space="preserve">to continue to raise public awareness of the Union's mandate, role and activities in field of telecommunication/ICT innovation, while providing broader access to the Union's resources for all stakeholders, in particular those from other sectors than telecommunication/ICT; </w:t>
      </w:r>
    </w:p>
    <w:p w14:paraId="4CD01699"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8</w:t>
      </w:r>
      <w:r w:rsidRPr="00715016">
        <w:rPr>
          <w:rFonts w:ascii="Arial" w:hAnsi="Arial" w:cs="Arial"/>
          <w:sz w:val="24"/>
          <w:szCs w:val="24"/>
          <w:lang w:val="en-US"/>
        </w:rPr>
        <w:tab/>
        <w:t>to provide annually to the ITU Council a comprehensive report detailing the activities, actions, and engagements that the Union is undertaking in response to this resolution;</w:t>
      </w:r>
    </w:p>
    <w:p w14:paraId="65FFC2B9"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lastRenderedPageBreak/>
        <w:t>9</w:t>
      </w:r>
      <w:r w:rsidRPr="00715016">
        <w:rPr>
          <w:rFonts w:ascii="Arial" w:hAnsi="Arial" w:cs="Arial"/>
          <w:sz w:val="24"/>
          <w:szCs w:val="24"/>
          <w:lang w:val="en-US"/>
        </w:rPr>
        <w:tab/>
        <w:t>to prepare and submit a progress report on the ITU activities related to this resolution to the next plenipotentiary conference in 2022;</w:t>
      </w:r>
    </w:p>
    <w:p w14:paraId="1FDE1690" w14:textId="77777777" w:rsidR="002F66EB" w:rsidRPr="00715016" w:rsidRDefault="002F66EB" w:rsidP="002F66EB">
      <w:pPr>
        <w:jc w:val="both"/>
        <w:rPr>
          <w:rFonts w:ascii="Arial" w:hAnsi="Arial" w:cs="Arial"/>
          <w:sz w:val="24"/>
          <w:szCs w:val="24"/>
          <w:lang w:val="en-US"/>
        </w:rPr>
      </w:pPr>
    </w:p>
    <w:p w14:paraId="2614669C" w14:textId="77777777" w:rsidR="002F66EB" w:rsidRDefault="002F66EB" w:rsidP="002F66EB">
      <w:pPr>
        <w:pStyle w:val="Call"/>
        <w:rPr>
          <w:rFonts w:ascii="Arial" w:hAnsi="Arial" w:cs="Arial"/>
          <w:szCs w:val="24"/>
          <w:lang w:val="en-US"/>
        </w:rPr>
      </w:pPr>
      <w:r w:rsidRPr="00715016">
        <w:rPr>
          <w:rFonts w:ascii="Arial" w:hAnsi="Arial" w:cs="Arial"/>
          <w:szCs w:val="24"/>
          <w:lang w:val="en-US"/>
        </w:rPr>
        <w:t>instructs the Director of the Telecommunication Development Bureau</w:t>
      </w:r>
    </w:p>
    <w:p w14:paraId="77B12F68" w14:textId="77777777" w:rsidR="002F66EB" w:rsidRPr="00715016" w:rsidRDefault="002F66EB" w:rsidP="002F66EB">
      <w:pPr>
        <w:jc w:val="both"/>
        <w:rPr>
          <w:lang w:val="en-US"/>
        </w:rPr>
      </w:pPr>
    </w:p>
    <w:p w14:paraId="6374A696" w14:textId="77777777" w:rsidR="002F66EB" w:rsidRPr="00715016" w:rsidRDefault="002F66EB" w:rsidP="002F66EB">
      <w:pPr>
        <w:jc w:val="both"/>
        <w:rPr>
          <w:rFonts w:ascii="Arial" w:hAnsi="Arial" w:cs="Arial"/>
          <w:sz w:val="24"/>
          <w:szCs w:val="24"/>
          <w:lang w:eastAsia="zh-CN"/>
        </w:rPr>
      </w:pPr>
      <w:r w:rsidRPr="00715016">
        <w:rPr>
          <w:rFonts w:ascii="Arial" w:hAnsi="Arial" w:cs="Arial"/>
          <w:sz w:val="24"/>
          <w:szCs w:val="24"/>
        </w:rPr>
        <w:t>1</w:t>
      </w:r>
      <w:r w:rsidRPr="00715016">
        <w:rPr>
          <w:rFonts w:ascii="Arial" w:hAnsi="Arial" w:cs="Arial"/>
          <w:sz w:val="24"/>
          <w:szCs w:val="24"/>
        </w:rPr>
        <w:tab/>
        <w:t xml:space="preserve">to ensure effective mechanism for collection of information on </w:t>
      </w:r>
      <w:r w:rsidRPr="00715016">
        <w:rPr>
          <w:rFonts w:ascii="Arial" w:hAnsi="Arial" w:cs="Arial"/>
          <w:sz w:val="24"/>
          <w:szCs w:val="24"/>
          <w:lang w:eastAsia="zh-CN"/>
        </w:rPr>
        <w:t>policies/strategies fostering telecommunication/ICT-centric innovation across the world and report on annual basis on the status in context to the ITU Target 4.1;</w:t>
      </w:r>
    </w:p>
    <w:p w14:paraId="0D27A16F" w14:textId="77777777" w:rsidR="002F66EB" w:rsidRPr="00715016" w:rsidRDefault="002F66EB" w:rsidP="002F66EB">
      <w:pPr>
        <w:jc w:val="both"/>
        <w:rPr>
          <w:rFonts w:ascii="Arial" w:hAnsi="Arial" w:cs="Arial"/>
          <w:sz w:val="24"/>
          <w:szCs w:val="24"/>
          <w:lang w:eastAsia="zh-CN"/>
        </w:rPr>
      </w:pPr>
      <w:r w:rsidRPr="00715016">
        <w:rPr>
          <w:rFonts w:ascii="Arial" w:hAnsi="Arial" w:cs="Arial"/>
          <w:sz w:val="24"/>
          <w:szCs w:val="24"/>
        </w:rPr>
        <w:t>2</w:t>
      </w:r>
      <w:r w:rsidRPr="00715016">
        <w:rPr>
          <w:rFonts w:ascii="Arial" w:hAnsi="Arial" w:cs="Arial"/>
          <w:sz w:val="24"/>
          <w:szCs w:val="24"/>
        </w:rPr>
        <w:tab/>
        <w:t xml:space="preserve">to assist countries in their efforts of establishing and/or updating the </w:t>
      </w:r>
      <w:r w:rsidRPr="00715016">
        <w:rPr>
          <w:rFonts w:ascii="Arial" w:hAnsi="Arial" w:cs="Arial"/>
          <w:sz w:val="24"/>
          <w:szCs w:val="24"/>
          <w:lang w:eastAsia="zh-CN"/>
        </w:rPr>
        <w:t>policies/strategies fostering telecommunication/ICT-centric innovation and thereby accelerating digital transformation;</w:t>
      </w:r>
    </w:p>
    <w:p w14:paraId="4468EA1A" w14:textId="77777777" w:rsidR="002F66EB" w:rsidRPr="00715016" w:rsidRDefault="002F66EB" w:rsidP="002F66EB">
      <w:pPr>
        <w:jc w:val="both"/>
        <w:rPr>
          <w:rFonts w:ascii="Arial" w:hAnsi="Arial" w:cs="Arial"/>
          <w:sz w:val="24"/>
          <w:szCs w:val="24"/>
          <w:u w:val="single"/>
        </w:rPr>
      </w:pPr>
      <w:r w:rsidRPr="00715016">
        <w:rPr>
          <w:rFonts w:ascii="Arial" w:hAnsi="Arial" w:cs="Arial"/>
          <w:sz w:val="24"/>
          <w:szCs w:val="24"/>
        </w:rPr>
        <w:t>3</w:t>
      </w:r>
      <w:r w:rsidRPr="00715016">
        <w:rPr>
          <w:rFonts w:ascii="Arial" w:hAnsi="Arial" w:cs="Arial"/>
          <w:sz w:val="24"/>
          <w:szCs w:val="24"/>
        </w:rPr>
        <w:tab/>
        <w:t>to identify best and emerging practices for the establishment and functioning of innovation frameworks for information and communications technologies;</w:t>
      </w:r>
    </w:p>
    <w:p w14:paraId="07E9CBEE"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rPr>
        <w:t>4</w:t>
      </w:r>
      <w:r w:rsidRPr="00715016">
        <w:rPr>
          <w:rFonts w:ascii="Arial" w:hAnsi="Arial" w:cs="Arial"/>
          <w:sz w:val="24"/>
          <w:szCs w:val="24"/>
        </w:rPr>
        <w:tab/>
        <w:t>to assist developing countries in developing means to align their national industrial and innovation strategies towards the goal of achieving highest impact on their socio-economic ecosystems;</w:t>
      </w:r>
    </w:p>
    <w:p w14:paraId="2F410CD4" w14:textId="77777777" w:rsidR="002F66EB" w:rsidRPr="00715016" w:rsidRDefault="002F66EB" w:rsidP="002F66EB">
      <w:pPr>
        <w:jc w:val="both"/>
        <w:rPr>
          <w:rFonts w:ascii="Arial" w:hAnsi="Arial" w:cs="Arial"/>
          <w:sz w:val="24"/>
          <w:szCs w:val="24"/>
        </w:rPr>
      </w:pPr>
      <w:r w:rsidRPr="00715016">
        <w:rPr>
          <w:rFonts w:ascii="Arial" w:hAnsi="Arial" w:cs="Arial"/>
          <w:sz w:val="24"/>
          <w:szCs w:val="24"/>
          <w:lang w:val="en-US"/>
        </w:rPr>
        <w:t>5</w:t>
      </w:r>
      <w:r w:rsidRPr="00715016">
        <w:rPr>
          <w:rFonts w:ascii="Arial" w:hAnsi="Arial" w:cs="Arial"/>
          <w:sz w:val="24"/>
          <w:szCs w:val="24"/>
          <w:lang w:val="en-US"/>
        </w:rPr>
        <w:tab/>
        <w:t xml:space="preserve">in close collaboration with the Directors of </w:t>
      </w:r>
      <w:r w:rsidRPr="00715016">
        <w:rPr>
          <w:rFonts w:ascii="Arial" w:hAnsi="Arial" w:cs="Arial"/>
          <w:sz w:val="24"/>
          <w:szCs w:val="24"/>
        </w:rPr>
        <w:t>the Radiocommunication Bureau and the Telecommunication Standardization Bureau, to take account of the impact of ITU’s work related to digital transformation, which fosters sustainable growth of the digital economy and provide assistance to membership upon request;</w:t>
      </w:r>
    </w:p>
    <w:p w14:paraId="6D95F0A9" w14:textId="77777777" w:rsidR="002F66EB" w:rsidRPr="00715016" w:rsidRDefault="002F66EB" w:rsidP="002F66EB">
      <w:pPr>
        <w:jc w:val="both"/>
        <w:rPr>
          <w:rFonts w:ascii="Arial" w:hAnsi="Arial" w:cs="Arial"/>
          <w:sz w:val="24"/>
          <w:szCs w:val="24"/>
        </w:rPr>
      </w:pPr>
      <w:r w:rsidRPr="00715016">
        <w:rPr>
          <w:rFonts w:ascii="Arial" w:hAnsi="Arial" w:cs="Arial"/>
          <w:sz w:val="24"/>
          <w:szCs w:val="24"/>
        </w:rPr>
        <w:t>6</w:t>
      </w:r>
      <w:r w:rsidRPr="00715016">
        <w:rPr>
          <w:rFonts w:ascii="Arial" w:hAnsi="Arial" w:cs="Arial"/>
          <w:sz w:val="24"/>
          <w:szCs w:val="24"/>
        </w:rPr>
        <w:tab/>
        <w:t xml:space="preserve">to leverage the work in field of telecommunication/ICT-centric innovation under the Regional Initiatives, while building regional and global communities, using means of relevant existing forums, such as Regional Innovation Forums, that empowers national and regional stakeholders; </w:t>
      </w:r>
    </w:p>
    <w:p w14:paraId="2C3E86D2" w14:textId="77777777" w:rsidR="002F66EB" w:rsidRPr="00715016" w:rsidRDefault="002F66EB" w:rsidP="002F66EB">
      <w:pPr>
        <w:jc w:val="both"/>
        <w:rPr>
          <w:rFonts w:ascii="Arial" w:hAnsi="Arial" w:cs="Arial"/>
          <w:sz w:val="24"/>
          <w:szCs w:val="24"/>
        </w:rPr>
      </w:pPr>
      <w:r w:rsidRPr="00715016">
        <w:rPr>
          <w:rFonts w:ascii="Arial" w:hAnsi="Arial" w:cs="Arial"/>
          <w:sz w:val="24"/>
          <w:szCs w:val="24"/>
        </w:rPr>
        <w:t>7</w:t>
      </w:r>
      <w:r w:rsidRPr="00715016">
        <w:rPr>
          <w:rFonts w:ascii="Arial" w:hAnsi="Arial" w:cs="Arial"/>
          <w:sz w:val="24"/>
          <w:szCs w:val="24"/>
        </w:rPr>
        <w:tab/>
        <w:t>to continue strengthening capacity of the ITU membership to integrate telecommunication/ICT innovation in national development agendas and to develop strategies to promote innovation initiatives, including through public, private and public-private partnerships.</w:t>
      </w:r>
    </w:p>
    <w:p w14:paraId="75C6F0D7" w14:textId="77777777" w:rsidR="002F66EB" w:rsidRPr="00715016" w:rsidRDefault="002F66EB" w:rsidP="002F66EB">
      <w:pPr>
        <w:jc w:val="both"/>
        <w:rPr>
          <w:rFonts w:ascii="Arial" w:hAnsi="Arial" w:cs="Arial"/>
          <w:sz w:val="24"/>
          <w:szCs w:val="24"/>
        </w:rPr>
      </w:pPr>
      <w:r w:rsidRPr="00715016">
        <w:rPr>
          <w:rFonts w:ascii="Arial" w:hAnsi="Arial" w:cs="Arial"/>
          <w:sz w:val="24"/>
          <w:szCs w:val="24"/>
        </w:rPr>
        <w:t xml:space="preserve">8 </w:t>
      </w:r>
      <w:r w:rsidRPr="00715016">
        <w:rPr>
          <w:rFonts w:ascii="Arial" w:hAnsi="Arial" w:cs="Arial"/>
          <w:sz w:val="24"/>
          <w:szCs w:val="24"/>
        </w:rPr>
        <w:tab/>
        <w:t xml:space="preserve">to provide assistance to the Smart Africa Initiative with the aim of strengthening countries capacities to integrate ICT innovation in their national sustainable development agendas; </w:t>
      </w:r>
    </w:p>
    <w:p w14:paraId="6C125E0A" w14:textId="77777777" w:rsidR="002F66EB" w:rsidRPr="00715016" w:rsidRDefault="002F66EB" w:rsidP="002F66EB">
      <w:pPr>
        <w:jc w:val="both"/>
        <w:rPr>
          <w:rFonts w:ascii="Arial" w:hAnsi="Arial" w:cs="Arial"/>
          <w:sz w:val="24"/>
          <w:szCs w:val="24"/>
        </w:rPr>
      </w:pPr>
      <w:r w:rsidRPr="00715016">
        <w:rPr>
          <w:rFonts w:ascii="Arial" w:hAnsi="Arial" w:cs="Arial"/>
          <w:sz w:val="24"/>
          <w:szCs w:val="24"/>
        </w:rPr>
        <w:t xml:space="preserve">9 </w:t>
      </w:r>
      <w:r w:rsidRPr="00715016">
        <w:rPr>
          <w:rFonts w:ascii="Arial" w:hAnsi="Arial" w:cs="Arial"/>
          <w:sz w:val="24"/>
          <w:szCs w:val="24"/>
        </w:rPr>
        <w:tab/>
        <w:t xml:space="preserve">to continue encouraging a culture of innovation in ITU-D; </w:t>
      </w:r>
    </w:p>
    <w:p w14:paraId="17AEA23E" w14:textId="77777777" w:rsidR="002F66EB" w:rsidRPr="00715016" w:rsidRDefault="002F66EB" w:rsidP="002F66EB">
      <w:pPr>
        <w:jc w:val="both"/>
        <w:rPr>
          <w:rFonts w:ascii="Arial" w:hAnsi="Arial" w:cs="Arial"/>
          <w:sz w:val="24"/>
          <w:szCs w:val="24"/>
        </w:rPr>
      </w:pPr>
    </w:p>
    <w:p w14:paraId="2192DAB3" w14:textId="77777777" w:rsidR="002F66EB" w:rsidRDefault="002F66EB" w:rsidP="002F66EB">
      <w:pPr>
        <w:pStyle w:val="Call"/>
        <w:rPr>
          <w:rFonts w:ascii="Arial" w:hAnsi="Arial" w:cs="Arial"/>
          <w:szCs w:val="24"/>
          <w:lang w:val="en-US"/>
        </w:rPr>
      </w:pPr>
      <w:r w:rsidRPr="00715016">
        <w:rPr>
          <w:rFonts w:ascii="Arial" w:hAnsi="Arial" w:cs="Arial"/>
          <w:szCs w:val="24"/>
          <w:lang w:val="en-US"/>
        </w:rPr>
        <w:t xml:space="preserve">instructs the Director of the Telecommunication Standardization Bureau </w:t>
      </w:r>
    </w:p>
    <w:p w14:paraId="19DCC505" w14:textId="77777777" w:rsidR="002F66EB" w:rsidRPr="00715016" w:rsidRDefault="002F66EB" w:rsidP="002F66EB">
      <w:pPr>
        <w:jc w:val="both"/>
        <w:rPr>
          <w:lang w:val="en-US"/>
        </w:rPr>
      </w:pPr>
    </w:p>
    <w:p w14:paraId="457F08F0"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lastRenderedPageBreak/>
        <w:t xml:space="preserve">1. </w:t>
      </w:r>
      <w:r>
        <w:rPr>
          <w:rFonts w:ascii="Arial" w:hAnsi="Arial" w:cs="Arial"/>
          <w:sz w:val="24"/>
          <w:szCs w:val="24"/>
          <w:lang w:val="en-US"/>
        </w:rPr>
        <w:tab/>
      </w:r>
      <w:r w:rsidRPr="00715016">
        <w:rPr>
          <w:rFonts w:ascii="Arial" w:hAnsi="Arial" w:cs="Arial"/>
          <w:sz w:val="24"/>
          <w:szCs w:val="24"/>
          <w:lang w:val="en-US"/>
        </w:rPr>
        <w:t>to continue efforts on fostering innovation in standardization of the telecommunication/ICTs, while monitoring emerging technology trends that may impact future development of the telecommunication/ICT sector</w:t>
      </w:r>
      <w:r>
        <w:rPr>
          <w:rFonts w:ascii="Arial" w:hAnsi="Arial" w:cs="Arial"/>
          <w:sz w:val="24"/>
          <w:szCs w:val="24"/>
          <w:lang w:val="en-US"/>
        </w:rPr>
        <w:t>;</w:t>
      </w:r>
    </w:p>
    <w:p w14:paraId="3586BAE7"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 xml:space="preserve">2. </w:t>
      </w:r>
      <w:r w:rsidRPr="00715016">
        <w:rPr>
          <w:rFonts w:ascii="Arial" w:hAnsi="Arial" w:cs="Arial"/>
          <w:sz w:val="24"/>
          <w:szCs w:val="24"/>
          <w:lang w:val="en-US"/>
        </w:rPr>
        <w:tab/>
        <w:t>to coordinate and harmonize the programme of ITU-T workshops and seminars in order to optimize the participation of non ITU-T members involved with technological innovation  and technical change (e.g. academia, research organizations, and small and medium enterprises) in as many events as practicable;</w:t>
      </w:r>
    </w:p>
    <w:p w14:paraId="0CBCEFFC"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3.</w:t>
      </w:r>
      <w:r w:rsidRPr="00715016">
        <w:rPr>
          <w:rFonts w:ascii="Arial" w:hAnsi="Arial" w:cs="Arial"/>
          <w:sz w:val="24"/>
          <w:szCs w:val="24"/>
          <w:lang w:val="en-US"/>
        </w:rPr>
        <w:tab/>
        <w:t xml:space="preserve">to continue studying emerging technologies and technological innovation driven by ICTs  from standardization perspective, such as focus groups; </w:t>
      </w:r>
    </w:p>
    <w:p w14:paraId="474F55A3"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4.</w:t>
      </w:r>
      <w:r w:rsidRPr="00715016">
        <w:rPr>
          <w:rFonts w:ascii="Arial" w:hAnsi="Arial" w:cs="Arial"/>
          <w:sz w:val="24"/>
          <w:szCs w:val="24"/>
          <w:lang w:val="en-US"/>
        </w:rPr>
        <w:tab/>
        <w:t>to carry out the necessary studies on the role of innovation management and innovation stimulation programmes on bridging the standardization gap between the developed and developing countries;</w:t>
      </w:r>
    </w:p>
    <w:p w14:paraId="499525CE"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 xml:space="preserve">5. </w:t>
      </w:r>
      <w:r w:rsidRPr="00715016">
        <w:rPr>
          <w:rFonts w:ascii="Arial" w:hAnsi="Arial" w:cs="Arial"/>
          <w:sz w:val="24"/>
          <w:szCs w:val="24"/>
          <w:lang w:val="en-US"/>
        </w:rPr>
        <w:tab/>
        <w:t>to leverage existing ITU-D platforms, such as global innovation platform, in order to strengthen the involvement of developing countries in ITU-T standardization work;</w:t>
      </w:r>
    </w:p>
    <w:p w14:paraId="79D836A2" w14:textId="77777777" w:rsidR="002F66EB" w:rsidRPr="00715016" w:rsidRDefault="002F66EB" w:rsidP="002F66EB">
      <w:pPr>
        <w:jc w:val="both"/>
        <w:rPr>
          <w:rFonts w:ascii="Arial" w:hAnsi="Arial" w:cs="Arial"/>
          <w:sz w:val="24"/>
          <w:szCs w:val="24"/>
        </w:rPr>
      </w:pPr>
      <w:r w:rsidRPr="00715016">
        <w:rPr>
          <w:rFonts w:ascii="Arial" w:hAnsi="Arial" w:cs="Arial"/>
          <w:sz w:val="24"/>
          <w:szCs w:val="24"/>
          <w:lang w:val="en-US"/>
        </w:rPr>
        <w:t>6.</w:t>
      </w:r>
      <w:r w:rsidRPr="00715016">
        <w:rPr>
          <w:rFonts w:ascii="Arial" w:hAnsi="Arial" w:cs="Arial"/>
          <w:sz w:val="24"/>
          <w:szCs w:val="24"/>
          <w:lang w:val="en-US"/>
        </w:rPr>
        <w:tab/>
        <w:t>i</w:t>
      </w:r>
      <w:r w:rsidRPr="00715016">
        <w:rPr>
          <w:rFonts w:ascii="Arial" w:hAnsi="Arial" w:cs="Arial"/>
          <w:sz w:val="24"/>
          <w:szCs w:val="24"/>
        </w:rPr>
        <w:t>n collaboration with the other Sectors, especially the ITU Telecommunication Development Sector (ITU-D), as appropriate, to develop a programme to assist developing countries in developing strategies and methods that facilitate the process of linking innovations to the standardization process;</w:t>
      </w:r>
    </w:p>
    <w:p w14:paraId="76B4ED25" w14:textId="77777777" w:rsidR="002F66EB" w:rsidRDefault="002F66EB" w:rsidP="002F66EB">
      <w:pPr>
        <w:pStyle w:val="Call"/>
        <w:rPr>
          <w:rFonts w:ascii="Arial" w:hAnsi="Arial" w:cs="Arial"/>
          <w:szCs w:val="24"/>
          <w:lang w:val="en-US"/>
        </w:rPr>
      </w:pPr>
    </w:p>
    <w:p w14:paraId="15FA8DDE" w14:textId="77777777" w:rsidR="002F66EB" w:rsidRPr="000E72A8" w:rsidRDefault="002F66EB" w:rsidP="002F66EB">
      <w:pPr>
        <w:pStyle w:val="Call"/>
        <w:rPr>
          <w:rFonts w:ascii="Arial" w:hAnsi="Arial" w:cs="Arial"/>
          <w:szCs w:val="24"/>
          <w:lang w:val="en-US"/>
        </w:rPr>
      </w:pPr>
      <w:r w:rsidRPr="00715016">
        <w:rPr>
          <w:rFonts w:ascii="Arial" w:hAnsi="Arial" w:cs="Arial"/>
          <w:szCs w:val="24"/>
          <w:lang w:val="en-US"/>
        </w:rPr>
        <w:t xml:space="preserve">instructs the Director of the </w:t>
      </w:r>
      <w:r>
        <w:rPr>
          <w:rFonts w:ascii="Arial" w:hAnsi="Arial" w:cs="Arial"/>
          <w:szCs w:val="24"/>
          <w:lang w:val="en-US"/>
        </w:rPr>
        <w:t>Radiocommunication</w:t>
      </w:r>
      <w:r w:rsidRPr="00715016">
        <w:rPr>
          <w:rFonts w:ascii="Arial" w:hAnsi="Arial" w:cs="Arial"/>
          <w:szCs w:val="24"/>
          <w:lang w:val="en-US"/>
        </w:rPr>
        <w:t xml:space="preserve"> Bureau</w:t>
      </w:r>
    </w:p>
    <w:p w14:paraId="48214701" w14:textId="77777777" w:rsidR="002F66EB" w:rsidRDefault="002F66EB" w:rsidP="002F66EB">
      <w:pPr>
        <w:rPr>
          <w:lang w:val="en-US"/>
        </w:rPr>
      </w:pPr>
    </w:p>
    <w:p w14:paraId="3FADC489" w14:textId="77777777" w:rsidR="002F66EB" w:rsidRDefault="002F66EB" w:rsidP="002F66EB">
      <w:pPr>
        <w:jc w:val="both"/>
        <w:rPr>
          <w:rFonts w:ascii="Arial" w:hAnsi="Arial" w:cs="Arial"/>
          <w:sz w:val="24"/>
          <w:szCs w:val="24"/>
          <w:lang w:val="en-US"/>
        </w:rPr>
      </w:pPr>
      <w:r w:rsidRPr="00715016">
        <w:rPr>
          <w:rFonts w:ascii="Arial" w:hAnsi="Arial" w:cs="Arial"/>
          <w:sz w:val="24"/>
          <w:szCs w:val="24"/>
          <w:lang w:val="en-US"/>
        </w:rPr>
        <w:t xml:space="preserve">1. </w:t>
      </w:r>
      <w:r>
        <w:rPr>
          <w:rFonts w:ascii="Arial" w:hAnsi="Arial" w:cs="Arial"/>
          <w:sz w:val="24"/>
          <w:szCs w:val="24"/>
          <w:lang w:val="en-US"/>
        </w:rPr>
        <w:tab/>
      </w:r>
      <w:r w:rsidRPr="00C540BB">
        <w:rPr>
          <w:rFonts w:ascii="Arial" w:hAnsi="Arial" w:cs="Arial"/>
          <w:sz w:val="24"/>
          <w:szCs w:val="24"/>
          <w:lang w:val="en-US"/>
        </w:rPr>
        <w:t>to continue the cooperation with BDT</w:t>
      </w:r>
      <w:r w:rsidRPr="00715016">
        <w:rPr>
          <w:rFonts w:ascii="Arial" w:hAnsi="Arial" w:cs="Arial"/>
          <w:sz w:val="24"/>
          <w:szCs w:val="24"/>
          <w:lang w:val="en-US"/>
        </w:rPr>
        <w:t xml:space="preserve"> </w:t>
      </w:r>
      <w:r w:rsidRPr="00C540BB">
        <w:rPr>
          <w:rFonts w:ascii="Arial" w:hAnsi="Arial" w:cs="Arial"/>
          <w:sz w:val="24"/>
          <w:szCs w:val="24"/>
          <w:lang w:val="en-US"/>
        </w:rPr>
        <w:t>to promote further the use of all appropriate means of telecommunication/ICT to facilitate effective development and implementation of telecommunication/ICT services in rural, isolated and poorly served areas and indigenous communities of the world through the relevant programmes;</w:t>
      </w:r>
    </w:p>
    <w:p w14:paraId="08598714" w14:textId="77777777" w:rsidR="002F66EB" w:rsidRDefault="002F66EB" w:rsidP="002F66EB">
      <w:pPr>
        <w:jc w:val="both"/>
        <w:rPr>
          <w:rFonts w:ascii="Arial" w:hAnsi="Arial" w:cs="Arial"/>
          <w:sz w:val="24"/>
          <w:szCs w:val="24"/>
          <w:lang w:val="en-US"/>
        </w:rPr>
      </w:pPr>
      <w:r>
        <w:rPr>
          <w:rFonts w:ascii="Arial" w:hAnsi="Arial" w:cs="Arial"/>
          <w:sz w:val="24"/>
          <w:szCs w:val="24"/>
          <w:lang w:val="en-US"/>
        </w:rPr>
        <w:t>2.</w:t>
      </w:r>
      <w:r>
        <w:rPr>
          <w:rFonts w:ascii="Arial" w:hAnsi="Arial" w:cs="Arial"/>
          <w:sz w:val="24"/>
          <w:szCs w:val="24"/>
          <w:lang w:val="en-US"/>
        </w:rPr>
        <w:tab/>
      </w:r>
      <w:r w:rsidRPr="00C540BB">
        <w:rPr>
          <w:rFonts w:ascii="Arial" w:hAnsi="Arial" w:cs="Arial"/>
          <w:sz w:val="24"/>
          <w:szCs w:val="24"/>
          <w:lang w:val="en-US"/>
        </w:rPr>
        <w:t>to coordinate efforts on supporting governments for the development of telecommunication/ICT services in rural, isolated and poorly served areas and indigenous communities;</w:t>
      </w:r>
    </w:p>
    <w:p w14:paraId="6D9FAC6E" w14:textId="77777777" w:rsidR="002F66EB" w:rsidRDefault="002F66EB" w:rsidP="002F66EB">
      <w:pPr>
        <w:jc w:val="both"/>
        <w:rPr>
          <w:rFonts w:ascii="Arial" w:hAnsi="Arial" w:cs="Arial"/>
          <w:sz w:val="24"/>
          <w:szCs w:val="24"/>
          <w:lang w:val="en-US"/>
        </w:rPr>
      </w:pPr>
      <w:r>
        <w:rPr>
          <w:rFonts w:ascii="Arial" w:hAnsi="Arial" w:cs="Arial"/>
          <w:sz w:val="24"/>
          <w:szCs w:val="24"/>
          <w:lang w:val="en-US"/>
        </w:rPr>
        <w:t xml:space="preserve">3. </w:t>
      </w:r>
      <w:r>
        <w:rPr>
          <w:rFonts w:ascii="Arial" w:hAnsi="Arial" w:cs="Arial"/>
          <w:sz w:val="24"/>
          <w:szCs w:val="24"/>
          <w:lang w:val="en-US"/>
        </w:rPr>
        <w:tab/>
      </w:r>
      <w:r w:rsidRPr="00C540BB">
        <w:rPr>
          <w:rFonts w:ascii="Arial" w:hAnsi="Arial" w:cs="Arial"/>
          <w:sz w:val="24"/>
          <w:szCs w:val="24"/>
          <w:lang w:val="en-US"/>
        </w:rPr>
        <w:t>to provide assistance to Member States so they can identify and develop policies, mechanisms and regulatory initiatives to reduce the digital divide by promoting the deployment and adoption of broadband</w:t>
      </w:r>
    </w:p>
    <w:p w14:paraId="21A6F192" w14:textId="77777777" w:rsidR="002F66EB" w:rsidRDefault="002F66EB" w:rsidP="002F66EB">
      <w:pPr>
        <w:rPr>
          <w:rFonts w:ascii="Arial" w:hAnsi="Arial" w:cs="Arial"/>
          <w:szCs w:val="24"/>
          <w:lang w:val="en-US"/>
        </w:rPr>
      </w:pPr>
    </w:p>
    <w:p w14:paraId="1C8E4063" w14:textId="77777777" w:rsidR="002F66EB" w:rsidRPr="004F0D54" w:rsidRDefault="002F66EB" w:rsidP="002F66EB">
      <w:pPr>
        <w:rPr>
          <w:rFonts w:ascii="Arial" w:hAnsi="Arial" w:cs="Arial"/>
          <w:i/>
          <w:sz w:val="24"/>
          <w:szCs w:val="24"/>
          <w:lang w:val="en-US"/>
        </w:rPr>
      </w:pPr>
      <w:r>
        <w:rPr>
          <w:rFonts w:ascii="Arial" w:hAnsi="Arial" w:cs="Arial"/>
          <w:szCs w:val="24"/>
          <w:lang w:val="en-US"/>
        </w:rPr>
        <w:tab/>
      </w:r>
      <w:r w:rsidRPr="004F0D54">
        <w:rPr>
          <w:rFonts w:ascii="Arial" w:hAnsi="Arial" w:cs="Arial"/>
          <w:i/>
          <w:sz w:val="24"/>
          <w:szCs w:val="24"/>
          <w:lang w:val="en-US"/>
        </w:rPr>
        <w:t>requests the Council</w:t>
      </w:r>
    </w:p>
    <w:p w14:paraId="1848E158" w14:textId="77777777" w:rsidR="002F66EB" w:rsidRPr="00715016" w:rsidRDefault="002F66EB" w:rsidP="002F66EB">
      <w:pPr>
        <w:jc w:val="both"/>
        <w:rPr>
          <w:lang w:val="en-US"/>
        </w:rPr>
      </w:pPr>
    </w:p>
    <w:p w14:paraId="3EF9BC78"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lastRenderedPageBreak/>
        <w:t>1</w:t>
      </w:r>
      <w:r w:rsidRPr="00715016">
        <w:rPr>
          <w:rFonts w:ascii="Arial" w:hAnsi="Arial" w:cs="Arial"/>
          <w:sz w:val="24"/>
          <w:szCs w:val="24"/>
          <w:lang w:val="en-US"/>
        </w:rPr>
        <w:tab/>
        <w:t xml:space="preserve">to oversee, consider and discuss, as appropriate, ITU's implementation of activities related to this resolution, and, within the financial limits set by the Plenipotentiary Conference, to make resources available as appropriate; </w:t>
      </w:r>
    </w:p>
    <w:p w14:paraId="0DC016B9"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2</w:t>
      </w:r>
      <w:r w:rsidRPr="00715016">
        <w:rPr>
          <w:rFonts w:ascii="Arial" w:hAnsi="Arial" w:cs="Arial"/>
          <w:sz w:val="24"/>
          <w:szCs w:val="24"/>
          <w:lang w:val="en-US"/>
        </w:rPr>
        <w:tab/>
        <w:t>to consider under WG-WSIS&amp;SDG membership inputs and guidance on the ITU implementation of decisions of this resolution, while ensuring alignment with the work under implementation of the 2030 Agenda for Sustainable Development, in particular related to SDG9;</w:t>
      </w:r>
    </w:p>
    <w:p w14:paraId="1D34637E"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3</w:t>
      </w:r>
      <w:r w:rsidRPr="00715016">
        <w:rPr>
          <w:rFonts w:ascii="Arial" w:hAnsi="Arial" w:cs="Arial"/>
          <w:sz w:val="24"/>
          <w:szCs w:val="24"/>
          <w:lang w:val="en-US"/>
        </w:rPr>
        <w:tab/>
        <w:t>to take into account the relevant decisions of the United Nations General Assembly with regard to implementation of the SDG9;</w:t>
      </w:r>
    </w:p>
    <w:p w14:paraId="7DD999A8" w14:textId="77777777" w:rsidR="002F66EB" w:rsidRDefault="002F66EB" w:rsidP="002F66EB">
      <w:pPr>
        <w:pStyle w:val="Call"/>
        <w:rPr>
          <w:rFonts w:ascii="Arial" w:hAnsi="Arial" w:cs="Arial"/>
          <w:szCs w:val="24"/>
          <w:lang w:val="en-US"/>
        </w:rPr>
      </w:pPr>
    </w:p>
    <w:p w14:paraId="1FE8CDC6" w14:textId="77777777" w:rsidR="002F66EB" w:rsidRDefault="002F66EB" w:rsidP="002F66EB">
      <w:pPr>
        <w:pStyle w:val="Call"/>
        <w:rPr>
          <w:rFonts w:ascii="Arial" w:hAnsi="Arial" w:cs="Arial"/>
          <w:szCs w:val="24"/>
          <w:lang w:val="en-US"/>
        </w:rPr>
      </w:pPr>
      <w:r w:rsidRPr="00715016">
        <w:rPr>
          <w:rFonts w:ascii="Arial" w:hAnsi="Arial" w:cs="Arial"/>
          <w:szCs w:val="24"/>
          <w:lang w:val="en-US"/>
        </w:rPr>
        <w:t>invites Member States, Sector Members, Associates and Academia</w:t>
      </w:r>
    </w:p>
    <w:p w14:paraId="412AF5A1" w14:textId="77777777" w:rsidR="002F66EB" w:rsidRPr="00715016" w:rsidRDefault="002F66EB" w:rsidP="002F66EB">
      <w:pPr>
        <w:jc w:val="both"/>
        <w:rPr>
          <w:lang w:val="en-US"/>
        </w:rPr>
      </w:pPr>
    </w:p>
    <w:p w14:paraId="281DED05"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1</w:t>
      </w:r>
      <w:r w:rsidRPr="00715016">
        <w:rPr>
          <w:rFonts w:ascii="Arial" w:hAnsi="Arial" w:cs="Arial"/>
          <w:sz w:val="24"/>
          <w:szCs w:val="24"/>
          <w:lang w:val="en-US"/>
        </w:rPr>
        <w:tab/>
        <w:t xml:space="preserve">to participate actively in the innovation related activities of the Union, while facilitating participation of other stakeholders; </w:t>
      </w:r>
    </w:p>
    <w:p w14:paraId="1F1A8FE4" w14:textId="77777777" w:rsidR="002F66EB" w:rsidRPr="00715016" w:rsidRDefault="002F66EB" w:rsidP="002F66EB">
      <w:pPr>
        <w:jc w:val="both"/>
        <w:rPr>
          <w:rFonts w:ascii="Arial" w:hAnsi="Arial" w:cs="Arial"/>
          <w:sz w:val="24"/>
          <w:szCs w:val="24"/>
          <w:lang w:val="en-US"/>
        </w:rPr>
      </w:pPr>
      <w:r w:rsidRPr="00715016">
        <w:rPr>
          <w:rFonts w:ascii="Arial" w:hAnsi="Arial" w:cs="Arial"/>
          <w:sz w:val="24"/>
          <w:szCs w:val="24"/>
          <w:lang w:val="en-US"/>
        </w:rPr>
        <w:t>2</w:t>
      </w:r>
      <w:r w:rsidRPr="00715016">
        <w:rPr>
          <w:rFonts w:ascii="Arial" w:hAnsi="Arial" w:cs="Arial"/>
          <w:sz w:val="24"/>
          <w:szCs w:val="24"/>
          <w:lang w:val="en-US"/>
        </w:rPr>
        <w:tab/>
        <w:t>to report on the taken actions related to the SDG9 implementation;</w:t>
      </w:r>
    </w:p>
    <w:p w14:paraId="590EE4B6" w14:textId="77777777" w:rsidR="002F66EB" w:rsidRPr="00715016" w:rsidRDefault="002F66EB" w:rsidP="002F66EB">
      <w:pPr>
        <w:jc w:val="both"/>
        <w:rPr>
          <w:rFonts w:ascii="Arial" w:hAnsi="Arial" w:cs="Arial"/>
          <w:sz w:val="24"/>
          <w:szCs w:val="24"/>
        </w:rPr>
      </w:pPr>
      <w:r w:rsidRPr="00715016">
        <w:rPr>
          <w:rFonts w:ascii="Arial" w:hAnsi="Arial" w:cs="Arial"/>
          <w:sz w:val="24"/>
          <w:szCs w:val="24"/>
          <w:lang w:val="en-US"/>
        </w:rPr>
        <w:t>3</w:t>
      </w:r>
      <w:r w:rsidRPr="00715016">
        <w:rPr>
          <w:rFonts w:ascii="Arial" w:hAnsi="Arial" w:cs="Arial"/>
          <w:sz w:val="24"/>
          <w:szCs w:val="24"/>
          <w:lang w:val="en-US"/>
        </w:rPr>
        <w:tab/>
        <w:t xml:space="preserve">to establish by 2023 </w:t>
      </w:r>
      <w:r w:rsidRPr="00715016">
        <w:rPr>
          <w:rFonts w:ascii="Arial" w:hAnsi="Arial" w:cs="Arial"/>
          <w:sz w:val="24"/>
          <w:szCs w:val="24"/>
          <w:lang w:eastAsia="zh-CN"/>
        </w:rPr>
        <w:t>policies/strategies fostering telecommunication/ICT-centric innovation;</w:t>
      </w:r>
    </w:p>
    <w:p w14:paraId="2B68ED84" w14:textId="77777777" w:rsidR="002F66EB" w:rsidRPr="00715016" w:rsidRDefault="002F66EB" w:rsidP="002F66EB">
      <w:pPr>
        <w:jc w:val="both"/>
        <w:rPr>
          <w:rFonts w:ascii="Arial" w:hAnsi="Arial" w:cs="Arial"/>
          <w:color w:val="231F20"/>
          <w:w w:val="105"/>
          <w:sz w:val="24"/>
          <w:szCs w:val="24"/>
          <w:lang w:val="en-US"/>
        </w:rPr>
      </w:pPr>
      <w:r w:rsidRPr="00715016">
        <w:rPr>
          <w:rFonts w:ascii="Arial" w:hAnsi="Arial" w:cs="Arial"/>
          <w:sz w:val="24"/>
          <w:szCs w:val="24"/>
        </w:rPr>
        <w:t>4</w:t>
      </w:r>
      <w:r w:rsidRPr="00715016">
        <w:rPr>
          <w:rFonts w:ascii="Arial" w:hAnsi="Arial" w:cs="Arial"/>
          <w:sz w:val="24"/>
          <w:szCs w:val="24"/>
        </w:rPr>
        <w:tab/>
        <w:t>to report on regular basis on the progress of implementation of above mentioned policies/strategies.</w:t>
      </w:r>
    </w:p>
    <w:p w14:paraId="7168A077" w14:textId="77777777" w:rsidR="00375A8F" w:rsidRPr="00375A8F" w:rsidRDefault="00375A8F" w:rsidP="002F66EB">
      <w:pPr>
        <w:tabs>
          <w:tab w:val="left" w:pos="794"/>
          <w:tab w:val="left" w:pos="1191"/>
          <w:tab w:val="left" w:pos="1588"/>
          <w:tab w:val="left" w:pos="1985"/>
        </w:tabs>
        <w:overflowPunct w:val="0"/>
        <w:autoSpaceDE w:val="0"/>
        <w:autoSpaceDN w:val="0"/>
        <w:adjustRightInd w:val="0"/>
        <w:spacing w:before="280" w:after="0"/>
        <w:jc w:val="center"/>
        <w:textAlignment w:val="baseline"/>
        <w:rPr>
          <w:rFonts w:eastAsia="Calibri" w:cs="Times New Roman"/>
          <w:color w:val="000000"/>
          <w:sz w:val="24"/>
          <w:szCs w:val="24"/>
          <w:lang w:val="en-US"/>
        </w:rPr>
      </w:pPr>
    </w:p>
    <w:sectPr w:rsidR="00375A8F" w:rsidRPr="00375A8F" w:rsidSect="00842A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4D9F8" w14:textId="77777777" w:rsidR="00E653B0" w:rsidRDefault="00E653B0" w:rsidP="00CD5264">
      <w:pPr>
        <w:spacing w:after="0" w:line="240" w:lineRule="auto"/>
      </w:pPr>
      <w:r>
        <w:separator/>
      </w:r>
    </w:p>
  </w:endnote>
  <w:endnote w:type="continuationSeparator" w:id="0">
    <w:p w14:paraId="79116B5D" w14:textId="77777777" w:rsidR="00E653B0" w:rsidRDefault="00E653B0" w:rsidP="00CD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roid Serif">
    <w:altName w:val="Times New Roman"/>
    <w:charset w:val="00"/>
    <w:family w:val="auto"/>
    <w:pitch w:val="default"/>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8E9F" w14:textId="77777777" w:rsidR="00664BEA" w:rsidRDefault="00664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B94AC" w14:textId="77777777" w:rsidR="00664BEA" w:rsidRDefault="00664B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305F9" w14:textId="77777777" w:rsidR="00664BEA" w:rsidRDefault="00664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37218" w14:textId="77777777" w:rsidR="00E653B0" w:rsidRDefault="00E653B0" w:rsidP="00CD5264">
      <w:pPr>
        <w:spacing w:after="0" w:line="240" w:lineRule="auto"/>
      </w:pPr>
      <w:r>
        <w:separator/>
      </w:r>
    </w:p>
  </w:footnote>
  <w:footnote w:type="continuationSeparator" w:id="0">
    <w:p w14:paraId="5B0CDDF8" w14:textId="77777777" w:rsidR="00E653B0" w:rsidRDefault="00E653B0" w:rsidP="00CD5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D6684" w14:textId="77777777" w:rsidR="00664BEA" w:rsidRDefault="00664B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8C5F6" w14:textId="77777777" w:rsidR="00664BEA" w:rsidRDefault="00664B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E97E4" w14:textId="77777777" w:rsidR="00664BEA" w:rsidRDefault="00664B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9F8"/>
    <w:multiLevelType w:val="hybridMultilevel"/>
    <w:tmpl w:val="60B4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56A23"/>
    <w:multiLevelType w:val="hybridMultilevel"/>
    <w:tmpl w:val="87C8A390"/>
    <w:lvl w:ilvl="0" w:tplc="6D002854">
      <w:start w:val="1"/>
      <w:numFmt w:val="decimal"/>
      <w:lvlText w:val="%1."/>
      <w:lvlJc w:val="left"/>
      <w:pPr>
        <w:ind w:left="720" w:hanging="360"/>
      </w:pPr>
      <w:rPr>
        <w:rFonts w:asciiTheme="minorHAnsi" w:hAnsiTheme="minorHAnsi" w:hint="default"/>
        <w:b w:val="0"/>
        <w:i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623FB"/>
    <w:multiLevelType w:val="hybridMultilevel"/>
    <w:tmpl w:val="38C2D3F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7D94053"/>
    <w:multiLevelType w:val="hybridMultilevel"/>
    <w:tmpl w:val="CD945A2C"/>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FA67F1"/>
    <w:multiLevelType w:val="hybridMultilevel"/>
    <w:tmpl w:val="9EFE263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60134"/>
    <w:multiLevelType w:val="hybridMultilevel"/>
    <w:tmpl w:val="E0EC771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3507E1"/>
    <w:multiLevelType w:val="hybridMultilevel"/>
    <w:tmpl w:val="DD00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839A6"/>
    <w:multiLevelType w:val="hybridMultilevel"/>
    <w:tmpl w:val="7A6640D6"/>
    <w:lvl w:ilvl="0" w:tplc="321226B0">
      <w:start w:val="2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4491A"/>
    <w:multiLevelType w:val="hybridMultilevel"/>
    <w:tmpl w:val="3DFA058E"/>
    <w:lvl w:ilvl="0" w:tplc="618A5F7A">
      <w:start w:val="1"/>
      <w:numFmt w:val="lowerLetter"/>
      <w:lvlText w:val="%1)"/>
      <w:lvlJc w:val="left"/>
      <w:pPr>
        <w:ind w:left="570" w:hanging="57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6F1115"/>
    <w:multiLevelType w:val="hybridMultilevel"/>
    <w:tmpl w:val="E2BA8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84BC6"/>
    <w:multiLevelType w:val="hybridMultilevel"/>
    <w:tmpl w:val="53D2393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4B64F2"/>
    <w:multiLevelType w:val="hybridMultilevel"/>
    <w:tmpl w:val="CF160FA2"/>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281CB7"/>
    <w:multiLevelType w:val="hybridMultilevel"/>
    <w:tmpl w:val="8196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65823"/>
    <w:multiLevelType w:val="hybridMultilevel"/>
    <w:tmpl w:val="E6E6AB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43C051BC"/>
    <w:multiLevelType w:val="hybridMultilevel"/>
    <w:tmpl w:val="CA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77BB8"/>
    <w:multiLevelType w:val="hybridMultilevel"/>
    <w:tmpl w:val="1788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913C4"/>
    <w:multiLevelType w:val="hybridMultilevel"/>
    <w:tmpl w:val="C66C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B6017"/>
    <w:multiLevelType w:val="hybridMultilevel"/>
    <w:tmpl w:val="48543886"/>
    <w:lvl w:ilvl="0" w:tplc="04090001">
      <w:start w:val="1"/>
      <w:numFmt w:val="bullet"/>
      <w:lvlText w:val=""/>
      <w:lvlJc w:val="left"/>
      <w:pPr>
        <w:ind w:left="720" w:hanging="360"/>
      </w:pPr>
      <w:rPr>
        <w:rFonts w:ascii="Symbol" w:hAnsi="Symbol" w:hint="default"/>
        <w:b w:val="0"/>
        <w:i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61741"/>
    <w:multiLevelType w:val="hybridMultilevel"/>
    <w:tmpl w:val="13DE8116"/>
    <w:lvl w:ilvl="0" w:tplc="74545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F51B9E"/>
    <w:multiLevelType w:val="hybridMultilevel"/>
    <w:tmpl w:val="6262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94085"/>
    <w:multiLevelType w:val="hybridMultilevel"/>
    <w:tmpl w:val="03A4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241765"/>
    <w:multiLevelType w:val="hybridMultilevel"/>
    <w:tmpl w:val="75362C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27D92"/>
    <w:multiLevelType w:val="hybridMultilevel"/>
    <w:tmpl w:val="8DE2A0EA"/>
    <w:lvl w:ilvl="0" w:tplc="AC56D9AC">
      <w:start w:val="1"/>
      <w:numFmt w:val="lowerRoman"/>
      <w:lvlText w:val="%1)"/>
      <w:lvlJc w:val="left"/>
      <w:pPr>
        <w:ind w:left="2505" w:hanging="705"/>
      </w:pPr>
      <w:rPr>
        <w:rFonts w:ascii="Calibri" w:eastAsia="SimSun" w:hAnsi="Calibri" w:cs="Calibri"/>
        <w:i/>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3" w15:restartNumberingAfterBreak="0">
    <w:nsid w:val="71EB17A0"/>
    <w:multiLevelType w:val="hybridMultilevel"/>
    <w:tmpl w:val="DB76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F2346"/>
    <w:multiLevelType w:val="hybridMultilevel"/>
    <w:tmpl w:val="F5CA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52350"/>
    <w:multiLevelType w:val="hybridMultilevel"/>
    <w:tmpl w:val="C026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15555"/>
    <w:multiLevelType w:val="hybridMultilevel"/>
    <w:tmpl w:val="A60CA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0"/>
  </w:num>
  <w:num w:numId="4">
    <w:abstractNumId w:val="16"/>
  </w:num>
  <w:num w:numId="5">
    <w:abstractNumId w:val="23"/>
  </w:num>
  <w:num w:numId="6">
    <w:abstractNumId w:val="18"/>
  </w:num>
  <w:num w:numId="7">
    <w:abstractNumId w:val="15"/>
  </w:num>
  <w:num w:numId="8">
    <w:abstractNumId w:val="13"/>
  </w:num>
  <w:num w:numId="9">
    <w:abstractNumId w:val="9"/>
  </w:num>
  <w:num w:numId="10">
    <w:abstractNumId w:val="14"/>
  </w:num>
  <w:num w:numId="11">
    <w:abstractNumId w:val="26"/>
  </w:num>
  <w:num w:numId="12">
    <w:abstractNumId w:val="11"/>
  </w:num>
  <w:num w:numId="13">
    <w:abstractNumId w:val="3"/>
  </w:num>
  <w:num w:numId="14">
    <w:abstractNumId w:val="12"/>
  </w:num>
  <w:num w:numId="15">
    <w:abstractNumId w:val="5"/>
  </w:num>
  <w:num w:numId="16">
    <w:abstractNumId w:val="2"/>
  </w:num>
  <w:num w:numId="17">
    <w:abstractNumId w:val="1"/>
  </w:num>
  <w:num w:numId="18">
    <w:abstractNumId w:val="17"/>
  </w:num>
  <w:num w:numId="19">
    <w:abstractNumId w:val="24"/>
  </w:num>
  <w:num w:numId="20">
    <w:abstractNumId w:val="20"/>
  </w:num>
  <w:num w:numId="21">
    <w:abstractNumId w:val="0"/>
  </w:num>
  <w:num w:numId="22">
    <w:abstractNumId w:val="21"/>
  </w:num>
  <w:num w:numId="23">
    <w:abstractNumId w:val="25"/>
  </w:num>
  <w:num w:numId="24">
    <w:abstractNumId w:val="6"/>
  </w:num>
  <w:num w:numId="25">
    <w:abstractNumId w:val="22"/>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70"/>
    <w:rsid w:val="000037D6"/>
    <w:rsid w:val="0001663C"/>
    <w:rsid w:val="0003580C"/>
    <w:rsid w:val="00046BFA"/>
    <w:rsid w:val="0004742A"/>
    <w:rsid w:val="000C2CFC"/>
    <w:rsid w:val="000C5CDE"/>
    <w:rsid w:val="000E5AF6"/>
    <w:rsid w:val="000F05C4"/>
    <w:rsid w:val="000F77B2"/>
    <w:rsid w:val="00101FE0"/>
    <w:rsid w:val="00105728"/>
    <w:rsid w:val="00106AEC"/>
    <w:rsid w:val="00115558"/>
    <w:rsid w:val="00131DFC"/>
    <w:rsid w:val="00153799"/>
    <w:rsid w:val="001701E0"/>
    <w:rsid w:val="001715D1"/>
    <w:rsid w:val="00171909"/>
    <w:rsid w:val="00177E7E"/>
    <w:rsid w:val="001927F6"/>
    <w:rsid w:val="0019330D"/>
    <w:rsid w:val="001A456B"/>
    <w:rsid w:val="001A748E"/>
    <w:rsid w:val="001D2652"/>
    <w:rsid w:val="001E1FCB"/>
    <w:rsid w:val="001F5F39"/>
    <w:rsid w:val="0020048B"/>
    <w:rsid w:val="002025D9"/>
    <w:rsid w:val="002030CC"/>
    <w:rsid w:val="00206442"/>
    <w:rsid w:val="00217102"/>
    <w:rsid w:val="00230627"/>
    <w:rsid w:val="002317B4"/>
    <w:rsid w:val="00231A46"/>
    <w:rsid w:val="00237BDF"/>
    <w:rsid w:val="00240BC0"/>
    <w:rsid w:val="002726D5"/>
    <w:rsid w:val="00273679"/>
    <w:rsid w:val="002853F1"/>
    <w:rsid w:val="002B699D"/>
    <w:rsid w:val="002D34D1"/>
    <w:rsid w:val="002F66EB"/>
    <w:rsid w:val="003325E3"/>
    <w:rsid w:val="00334447"/>
    <w:rsid w:val="00335411"/>
    <w:rsid w:val="003507E8"/>
    <w:rsid w:val="0037104E"/>
    <w:rsid w:val="003721FE"/>
    <w:rsid w:val="00375A8F"/>
    <w:rsid w:val="003A7266"/>
    <w:rsid w:val="003B70DB"/>
    <w:rsid w:val="003B7A1D"/>
    <w:rsid w:val="003C3F42"/>
    <w:rsid w:val="003D0E8B"/>
    <w:rsid w:val="003D597D"/>
    <w:rsid w:val="003E2424"/>
    <w:rsid w:val="00403B73"/>
    <w:rsid w:val="004062B8"/>
    <w:rsid w:val="00406CB8"/>
    <w:rsid w:val="0043319D"/>
    <w:rsid w:val="004348B9"/>
    <w:rsid w:val="00493677"/>
    <w:rsid w:val="00496B22"/>
    <w:rsid w:val="004A5E27"/>
    <w:rsid w:val="004C1B45"/>
    <w:rsid w:val="004C7C18"/>
    <w:rsid w:val="004E6EFE"/>
    <w:rsid w:val="004F33F3"/>
    <w:rsid w:val="00530144"/>
    <w:rsid w:val="005574C0"/>
    <w:rsid w:val="00562F20"/>
    <w:rsid w:val="00563FE2"/>
    <w:rsid w:val="00571A00"/>
    <w:rsid w:val="00577E80"/>
    <w:rsid w:val="005816A5"/>
    <w:rsid w:val="005860EE"/>
    <w:rsid w:val="00591CAF"/>
    <w:rsid w:val="0059215E"/>
    <w:rsid w:val="005E121B"/>
    <w:rsid w:val="005E2DB4"/>
    <w:rsid w:val="00602FA3"/>
    <w:rsid w:val="00623634"/>
    <w:rsid w:val="00637645"/>
    <w:rsid w:val="00657C36"/>
    <w:rsid w:val="00664BEA"/>
    <w:rsid w:val="00687A46"/>
    <w:rsid w:val="00693B4B"/>
    <w:rsid w:val="00695595"/>
    <w:rsid w:val="006A6BE3"/>
    <w:rsid w:val="006D289E"/>
    <w:rsid w:val="006F10B1"/>
    <w:rsid w:val="006F2809"/>
    <w:rsid w:val="00710459"/>
    <w:rsid w:val="00715D02"/>
    <w:rsid w:val="0072145D"/>
    <w:rsid w:val="007371BF"/>
    <w:rsid w:val="00755C8C"/>
    <w:rsid w:val="007833EC"/>
    <w:rsid w:val="007B1C0F"/>
    <w:rsid w:val="007B7F45"/>
    <w:rsid w:val="007E5256"/>
    <w:rsid w:val="007F1E60"/>
    <w:rsid w:val="007F7562"/>
    <w:rsid w:val="00801E34"/>
    <w:rsid w:val="00806AF1"/>
    <w:rsid w:val="00811905"/>
    <w:rsid w:val="00812980"/>
    <w:rsid w:val="00812C6B"/>
    <w:rsid w:val="00842A66"/>
    <w:rsid w:val="00842FDB"/>
    <w:rsid w:val="00877FCD"/>
    <w:rsid w:val="008A445D"/>
    <w:rsid w:val="008B11AA"/>
    <w:rsid w:val="008C3F22"/>
    <w:rsid w:val="008D5E3E"/>
    <w:rsid w:val="008D7D24"/>
    <w:rsid w:val="008E5F74"/>
    <w:rsid w:val="008F17D9"/>
    <w:rsid w:val="0090233F"/>
    <w:rsid w:val="0091615C"/>
    <w:rsid w:val="00916AAF"/>
    <w:rsid w:val="00920E01"/>
    <w:rsid w:val="0092445E"/>
    <w:rsid w:val="00932E34"/>
    <w:rsid w:val="00933C90"/>
    <w:rsid w:val="00936F1C"/>
    <w:rsid w:val="009431A5"/>
    <w:rsid w:val="009507CE"/>
    <w:rsid w:val="0095688E"/>
    <w:rsid w:val="00961C73"/>
    <w:rsid w:val="009668E4"/>
    <w:rsid w:val="00970285"/>
    <w:rsid w:val="009822F1"/>
    <w:rsid w:val="009A59C1"/>
    <w:rsid w:val="009B33FC"/>
    <w:rsid w:val="009D1D3A"/>
    <w:rsid w:val="009F5CA3"/>
    <w:rsid w:val="00A00F3F"/>
    <w:rsid w:val="00A04197"/>
    <w:rsid w:val="00A06712"/>
    <w:rsid w:val="00A069DB"/>
    <w:rsid w:val="00A16108"/>
    <w:rsid w:val="00A246D7"/>
    <w:rsid w:val="00A32C19"/>
    <w:rsid w:val="00A353AE"/>
    <w:rsid w:val="00A36CFA"/>
    <w:rsid w:val="00A47F69"/>
    <w:rsid w:val="00A75AEE"/>
    <w:rsid w:val="00A762DC"/>
    <w:rsid w:val="00AF1E9B"/>
    <w:rsid w:val="00B120EC"/>
    <w:rsid w:val="00B20E5A"/>
    <w:rsid w:val="00B26250"/>
    <w:rsid w:val="00B32A53"/>
    <w:rsid w:val="00B7200D"/>
    <w:rsid w:val="00B73611"/>
    <w:rsid w:val="00BB4158"/>
    <w:rsid w:val="00BB45C0"/>
    <w:rsid w:val="00BC401A"/>
    <w:rsid w:val="00BF120A"/>
    <w:rsid w:val="00BF7EBB"/>
    <w:rsid w:val="00C049AD"/>
    <w:rsid w:val="00C215AC"/>
    <w:rsid w:val="00C26091"/>
    <w:rsid w:val="00C52A75"/>
    <w:rsid w:val="00C61769"/>
    <w:rsid w:val="00C83DFA"/>
    <w:rsid w:val="00CC1FED"/>
    <w:rsid w:val="00CD43F1"/>
    <w:rsid w:val="00CD5264"/>
    <w:rsid w:val="00D019DB"/>
    <w:rsid w:val="00D101EE"/>
    <w:rsid w:val="00D11276"/>
    <w:rsid w:val="00D1259B"/>
    <w:rsid w:val="00D15F06"/>
    <w:rsid w:val="00D3254F"/>
    <w:rsid w:val="00D40637"/>
    <w:rsid w:val="00D41FE8"/>
    <w:rsid w:val="00D61834"/>
    <w:rsid w:val="00D75577"/>
    <w:rsid w:val="00D91B91"/>
    <w:rsid w:val="00D923B8"/>
    <w:rsid w:val="00D93D9E"/>
    <w:rsid w:val="00D96CDE"/>
    <w:rsid w:val="00DD6F69"/>
    <w:rsid w:val="00E021CB"/>
    <w:rsid w:val="00E21272"/>
    <w:rsid w:val="00E21A36"/>
    <w:rsid w:val="00E22178"/>
    <w:rsid w:val="00E25F1C"/>
    <w:rsid w:val="00E3003F"/>
    <w:rsid w:val="00E402BE"/>
    <w:rsid w:val="00E54C3D"/>
    <w:rsid w:val="00E614EF"/>
    <w:rsid w:val="00E651D3"/>
    <w:rsid w:val="00E653B0"/>
    <w:rsid w:val="00E72A0C"/>
    <w:rsid w:val="00E73E00"/>
    <w:rsid w:val="00E81856"/>
    <w:rsid w:val="00E83D98"/>
    <w:rsid w:val="00E93646"/>
    <w:rsid w:val="00E93D56"/>
    <w:rsid w:val="00EA075A"/>
    <w:rsid w:val="00EA5C9C"/>
    <w:rsid w:val="00EB4367"/>
    <w:rsid w:val="00EB5539"/>
    <w:rsid w:val="00EB55F6"/>
    <w:rsid w:val="00EC7DD5"/>
    <w:rsid w:val="00ED6317"/>
    <w:rsid w:val="00EF38E1"/>
    <w:rsid w:val="00F122D2"/>
    <w:rsid w:val="00F13611"/>
    <w:rsid w:val="00F200DC"/>
    <w:rsid w:val="00F23E94"/>
    <w:rsid w:val="00F30637"/>
    <w:rsid w:val="00F37B28"/>
    <w:rsid w:val="00F53F1E"/>
    <w:rsid w:val="00F66E77"/>
    <w:rsid w:val="00F772F2"/>
    <w:rsid w:val="00F82C57"/>
    <w:rsid w:val="00F93A70"/>
    <w:rsid w:val="00FA0734"/>
    <w:rsid w:val="00FA5053"/>
    <w:rsid w:val="00FC276C"/>
    <w:rsid w:val="00FD4088"/>
    <w:rsid w:val="00FD592D"/>
    <w:rsid w:val="00FF6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97E9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144"/>
    <w:rPr>
      <w:rFonts w:ascii="Tahoma" w:hAnsi="Tahoma" w:cs="Tahoma"/>
      <w:sz w:val="16"/>
      <w:szCs w:val="16"/>
    </w:rPr>
  </w:style>
  <w:style w:type="paragraph" w:styleId="ListParagraph">
    <w:name w:val="List Paragraph"/>
    <w:basedOn w:val="Normal"/>
    <w:uiPriority w:val="34"/>
    <w:qFormat/>
    <w:rsid w:val="00115558"/>
    <w:pPr>
      <w:ind w:left="720"/>
      <w:contextualSpacing/>
    </w:pPr>
  </w:style>
  <w:style w:type="paragraph" w:styleId="NoSpacing">
    <w:name w:val="No Spacing"/>
    <w:uiPriority w:val="1"/>
    <w:qFormat/>
    <w:rsid w:val="00CD5264"/>
    <w:pPr>
      <w:spacing w:after="0" w:line="240" w:lineRule="auto"/>
    </w:pPr>
  </w:style>
  <w:style w:type="paragraph" w:styleId="FootnoteText">
    <w:name w:val="footnote text"/>
    <w:basedOn w:val="Normal"/>
    <w:link w:val="FootnoteTextChar"/>
    <w:unhideWhenUsed/>
    <w:rsid w:val="00CD5264"/>
    <w:pPr>
      <w:spacing w:after="0" w:line="240" w:lineRule="auto"/>
    </w:pPr>
    <w:rPr>
      <w:sz w:val="24"/>
      <w:szCs w:val="24"/>
    </w:rPr>
  </w:style>
  <w:style w:type="character" w:customStyle="1" w:styleId="FootnoteTextChar">
    <w:name w:val="Footnote Text Char"/>
    <w:basedOn w:val="DefaultParagraphFont"/>
    <w:link w:val="FootnoteText"/>
    <w:rsid w:val="00CD5264"/>
    <w:rPr>
      <w:sz w:val="24"/>
      <w:szCs w:val="24"/>
    </w:rPr>
  </w:style>
  <w:style w:type="character" w:styleId="FootnoteReference">
    <w:name w:val="footnote reference"/>
    <w:basedOn w:val="DefaultParagraphFont"/>
    <w:unhideWhenUsed/>
    <w:rsid w:val="00CD5264"/>
    <w:rPr>
      <w:vertAlign w:val="superscript"/>
    </w:rPr>
  </w:style>
  <w:style w:type="character" w:styleId="Hyperlink">
    <w:name w:val="Hyperlink"/>
    <w:basedOn w:val="DefaultParagraphFont"/>
    <w:uiPriority w:val="99"/>
    <w:unhideWhenUsed/>
    <w:rsid w:val="00CD5264"/>
    <w:rPr>
      <w:color w:val="C90044" w:themeColor="hyperlink"/>
      <w:u w:val="single"/>
    </w:rPr>
  </w:style>
  <w:style w:type="character" w:styleId="FollowedHyperlink">
    <w:name w:val="FollowedHyperlink"/>
    <w:basedOn w:val="DefaultParagraphFont"/>
    <w:uiPriority w:val="99"/>
    <w:semiHidden/>
    <w:unhideWhenUsed/>
    <w:rsid w:val="00CD5264"/>
    <w:rPr>
      <w:color w:val="A67DAA" w:themeColor="followedHyperlink"/>
      <w:u w:val="single"/>
    </w:rPr>
  </w:style>
  <w:style w:type="paragraph" w:styleId="Header">
    <w:name w:val="header"/>
    <w:basedOn w:val="Normal"/>
    <w:link w:val="HeaderChar"/>
    <w:uiPriority w:val="99"/>
    <w:unhideWhenUsed/>
    <w:rsid w:val="00E54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C3D"/>
  </w:style>
  <w:style w:type="paragraph" w:styleId="Footer">
    <w:name w:val="footer"/>
    <w:basedOn w:val="Normal"/>
    <w:link w:val="FooterChar"/>
    <w:uiPriority w:val="99"/>
    <w:unhideWhenUsed/>
    <w:rsid w:val="00E54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C3D"/>
  </w:style>
  <w:style w:type="paragraph" w:customStyle="1" w:styleId="enumlev1">
    <w:name w:val="enumlev1"/>
    <w:basedOn w:val="Normal"/>
    <w:link w:val="enumlev1Char"/>
    <w:rsid w:val="00664BEA"/>
    <w:pPr>
      <w:tabs>
        <w:tab w:val="left" w:pos="567"/>
        <w:tab w:val="left" w:pos="1134"/>
        <w:tab w:val="left" w:pos="1701"/>
        <w:tab w:val="left" w:pos="2268"/>
        <w:tab w:val="left" w:pos="2835"/>
      </w:tabs>
      <w:overflowPunct w:val="0"/>
      <w:autoSpaceDE w:val="0"/>
      <w:autoSpaceDN w:val="0"/>
      <w:adjustRightInd w:val="0"/>
      <w:spacing w:before="86" w:after="0" w:line="240" w:lineRule="auto"/>
      <w:ind w:left="567" w:hanging="567"/>
      <w:textAlignment w:val="baseline"/>
    </w:pPr>
    <w:rPr>
      <w:rFonts w:ascii="Calibri" w:eastAsia="Times New Roman" w:hAnsi="Calibri" w:cs="Times New Roman"/>
      <w:sz w:val="24"/>
      <w:szCs w:val="20"/>
    </w:rPr>
  </w:style>
  <w:style w:type="character" w:customStyle="1" w:styleId="enumlev1Char">
    <w:name w:val="enumlev1 Char"/>
    <w:basedOn w:val="DefaultParagraphFont"/>
    <w:link w:val="enumlev1"/>
    <w:rsid w:val="00664BEA"/>
    <w:rPr>
      <w:rFonts w:ascii="Calibri" w:eastAsia="Times New Roman" w:hAnsi="Calibri" w:cs="Times New Roman"/>
      <w:sz w:val="24"/>
      <w:szCs w:val="20"/>
    </w:rPr>
  </w:style>
  <w:style w:type="paragraph" w:customStyle="1" w:styleId="Normalaftertitle">
    <w:name w:val="Normal after title"/>
    <w:basedOn w:val="Normal"/>
    <w:next w:val="Normal"/>
    <w:link w:val="NormalaftertitleChar"/>
    <w:rsid w:val="00664BEA"/>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rPr>
  </w:style>
  <w:style w:type="character" w:customStyle="1" w:styleId="NormalaftertitleChar">
    <w:name w:val="Normal after title Char"/>
    <w:basedOn w:val="DefaultParagraphFont"/>
    <w:link w:val="Normalaftertitle"/>
    <w:locked/>
    <w:rsid w:val="00664BEA"/>
    <w:rPr>
      <w:rFonts w:ascii="Calibri" w:eastAsia="Times New Roman" w:hAnsi="Calibri" w:cs="Times New Roman"/>
      <w:sz w:val="24"/>
      <w:szCs w:val="20"/>
    </w:rPr>
  </w:style>
  <w:style w:type="paragraph" w:customStyle="1" w:styleId="Call">
    <w:name w:val="Call"/>
    <w:basedOn w:val="Normal"/>
    <w:next w:val="Normal"/>
    <w:link w:val="CallChar"/>
    <w:rsid w:val="00664BEA"/>
    <w:pPr>
      <w:keepNext/>
      <w:keepLines/>
      <w:tabs>
        <w:tab w:val="left" w:pos="567"/>
      </w:tabs>
      <w:overflowPunct w:val="0"/>
      <w:autoSpaceDE w:val="0"/>
      <w:autoSpaceDN w:val="0"/>
      <w:adjustRightInd w:val="0"/>
      <w:spacing w:before="160" w:after="0" w:line="240" w:lineRule="auto"/>
      <w:ind w:left="567"/>
      <w:textAlignment w:val="baseline"/>
    </w:pPr>
    <w:rPr>
      <w:rFonts w:ascii="Calibri" w:eastAsia="Times New Roman" w:hAnsi="Calibri" w:cs="Times New Roman"/>
      <w:i/>
      <w:sz w:val="24"/>
      <w:szCs w:val="20"/>
    </w:rPr>
  </w:style>
  <w:style w:type="character" w:customStyle="1" w:styleId="CallChar">
    <w:name w:val="Call Char"/>
    <w:basedOn w:val="DefaultParagraphFont"/>
    <w:link w:val="Call"/>
    <w:locked/>
    <w:rsid w:val="00664BEA"/>
    <w:rPr>
      <w:rFonts w:ascii="Calibri" w:eastAsia="Times New Roman" w:hAnsi="Calibri" w:cs="Times New Roman"/>
      <w:i/>
      <w:sz w:val="24"/>
      <w:szCs w:val="20"/>
    </w:rPr>
  </w:style>
  <w:style w:type="paragraph" w:customStyle="1" w:styleId="ResNo">
    <w:name w:val="Res_No"/>
    <w:basedOn w:val="Normal"/>
    <w:next w:val="Restitle"/>
    <w:rsid w:val="00664BEA"/>
    <w:pPr>
      <w:tabs>
        <w:tab w:val="left" w:pos="567"/>
        <w:tab w:val="left" w:pos="1134"/>
        <w:tab w:val="left" w:pos="1701"/>
        <w:tab w:val="left" w:pos="2268"/>
        <w:tab w:val="left" w:pos="2835"/>
      </w:tabs>
      <w:overflowPunct w:val="0"/>
      <w:autoSpaceDE w:val="0"/>
      <w:autoSpaceDN w:val="0"/>
      <w:adjustRightInd w:val="0"/>
      <w:spacing w:before="720" w:after="0" w:line="240" w:lineRule="auto"/>
      <w:jc w:val="center"/>
      <w:textAlignment w:val="baseline"/>
    </w:pPr>
    <w:rPr>
      <w:rFonts w:ascii="Calibri" w:eastAsia="Times New Roman" w:hAnsi="Calibri" w:cs="Times New Roman"/>
      <w:caps/>
      <w:sz w:val="28"/>
      <w:szCs w:val="20"/>
    </w:rPr>
  </w:style>
  <w:style w:type="paragraph" w:customStyle="1" w:styleId="Restitle">
    <w:name w:val="Res_title"/>
    <w:basedOn w:val="Normal"/>
    <w:next w:val="Normal"/>
    <w:link w:val="RestitleChar"/>
    <w:rsid w:val="00664BEA"/>
    <w:pPr>
      <w:tabs>
        <w:tab w:val="left" w:pos="567"/>
        <w:tab w:val="left" w:pos="1134"/>
        <w:tab w:val="left" w:pos="1701"/>
        <w:tab w:val="left" w:pos="2268"/>
        <w:tab w:val="left" w:pos="2835"/>
      </w:tabs>
      <w:overflowPunct w:val="0"/>
      <w:autoSpaceDE w:val="0"/>
      <w:autoSpaceDN w:val="0"/>
      <w:adjustRightInd w:val="0"/>
      <w:spacing w:before="240" w:after="240" w:line="240" w:lineRule="auto"/>
      <w:jc w:val="center"/>
      <w:textAlignment w:val="baseline"/>
    </w:pPr>
    <w:rPr>
      <w:rFonts w:ascii="Calibri" w:eastAsia="Times New Roman" w:hAnsi="Calibri" w:cs="Times New Roman"/>
      <w:b/>
      <w:sz w:val="28"/>
      <w:szCs w:val="20"/>
    </w:rPr>
  </w:style>
  <w:style w:type="character" w:customStyle="1" w:styleId="href">
    <w:name w:val="href"/>
    <w:basedOn w:val="DefaultParagraphFont"/>
    <w:uiPriority w:val="99"/>
    <w:rsid w:val="00664BEA"/>
    <w:rPr>
      <w:color w:val="auto"/>
    </w:rPr>
  </w:style>
  <w:style w:type="paragraph" w:customStyle="1" w:styleId="Header1">
    <w:name w:val="Header1"/>
    <w:basedOn w:val="Header"/>
    <w:rsid w:val="00C26091"/>
    <w:pPr>
      <w:tabs>
        <w:tab w:val="clear" w:pos="4513"/>
        <w:tab w:val="clear" w:pos="9026"/>
        <w:tab w:val="center" w:pos="4536"/>
        <w:tab w:val="right" w:pos="9072"/>
      </w:tabs>
    </w:pPr>
    <w:rPr>
      <w:rFonts w:ascii="Arial" w:eastAsia="Times New Roman" w:hAnsi="Arial" w:cs="Times New Roman"/>
      <w:b/>
      <w:sz w:val="20"/>
      <w:szCs w:val="20"/>
      <w:lang w:val="nb-NO" w:eastAsia="de-DE"/>
    </w:rPr>
  </w:style>
  <w:style w:type="paragraph" w:customStyle="1" w:styleId="CEONormal">
    <w:name w:val="CEO_Normal"/>
    <w:link w:val="CEONormalChar"/>
    <w:rsid w:val="00C26091"/>
    <w:pPr>
      <w:spacing w:before="120" w:after="120" w:line="240" w:lineRule="auto"/>
    </w:pPr>
    <w:rPr>
      <w:rFonts w:ascii="Verdana" w:eastAsia="SimSun" w:hAnsi="Verdana" w:cs="Verdana"/>
      <w:sz w:val="19"/>
      <w:szCs w:val="19"/>
      <w:lang w:eastAsia="fr-FR"/>
    </w:rPr>
  </w:style>
  <w:style w:type="character" w:customStyle="1" w:styleId="CEONormalChar">
    <w:name w:val="CEO_Normal Char"/>
    <w:link w:val="CEONormal"/>
    <w:rsid w:val="00C26091"/>
    <w:rPr>
      <w:rFonts w:ascii="Verdana" w:eastAsia="SimSun" w:hAnsi="Verdana" w:cs="Verdana"/>
      <w:sz w:val="19"/>
      <w:szCs w:val="19"/>
      <w:lang w:eastAsia="fr-FR"/>
    </w:rPr>
  </w:style>
  <w:style w:type="paragraph" w:customStyle="1" w:styleId="Standard1">
    <w:name w:val="Standard1"/>
    <w:rsid w:val="00C26091"/>
    <w:pPr>
      <w:widowControl w:val="0"/>
    </w:pPr>
    <w:rPr>
      <w:rFonts w:ascii="Droid Serif" w:eastAsia="Droid Serif" w:hAnsi="Droid Serif" w:cs="Droid Serif"/>
      <w:sz w:val="24"/>
      <w:szCs w:val="24"/>
      <w:lang w:val="uz-Cyrl-UZ"/>
    </w:rPr>
  </w:style>
  <w:style w:type="character" w:customStyle="1" w:styleId="RestitleChar">
    <w:name w:val="Res_title Char"/>
    <w:basedOn w:val="DefaultParagraphFont"/>
    <w:link w:val="Restitle"/>
    <w:rsid w:val="002F66EB"/>
    <w:rPr>
      <w:rFonts w:ascii="Calibri" w:eastAsia="Times New Roman" w:hAnsi="Calibri"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7996">
      <w:bodyDiv w:val="1"/>
      <w:marLeft w:val="0"/>
      <w:marRight w:val="0"/>
      <w:marTop w:val="0"/>
      <w:marBottom w:val="0"/>
      <w:divBdr>
        <w:top w:val="none" w:sz="0" w:space="0" w:color="auto"/>
        <w:left w:val="none" w:sz="0" w:space="0" w:color="auto"/>
        <w:bottom w:val="none" w:sz="0" w:space="0" w:color="auto"/>
        <w:right w:val="none" w:sz="0" w:space="0" w:color="auto"/>
      </w:divBdr>
    </w:div>
    <w:div w:id="176236242">
      <w:bodyDiv w:val="1"/>
      <w:marLeft w:val="0"/>
      <w:marRight w:val="0"/>
      <w:marTop w:val="0"/>
      <w:marBottom w:val="0"/>
      <w:divBdr>
        <w:top w:val="none" w:sz="0" w:space="0" w:color="auto"/>
        <w:left w:val="none" w:sz="0" w:space="0" w:color="auto"/>
        <w:bottom w:val="none" w:sz="0" w:space="0" w:color="auto"/>
        <w:right w:val="none" w:sz="0" w:space="0" w:color="auto"/>
      </w:divBdr>
    </w:div>
    <w:div w:id="209539495">
      <w:bodyDiv w:val="1"/>
      <w:marLeft w:val="0"/>
      <w:marRight w:val="0"/>
      <w:marTop w:val="0"/>
      <w:marBottom w:val="0"/>
      <w:divBdr>
        <w:top w:val="none" w:sz="0" w:space="0" w:color="auto"/>
        <w:left w:val="none" w:sz="0" w:space="0" w:color="auto"/>
        <w:bottom w:val="none" w:sz="0" w:space="0" w:color="auto"/>
        <w:right w:val="none" w:sz="0" w:space="0" w:color="auto"/>
      </w:divBdr>
    </w:div>
    <w:div w:id="19731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com">
  <a:themeElements>
    <a:clrScheme name="Ofcom">
      <a:dk1>
        <a:srgbClr val="000000"/>
      </a:dk1>
      <a:lt1>
        <a:srgbClr val="FFFFFF"/>
      </a:lt1>
      <a:dk2>
        <a:srgbClr val="5E243C"/>
      </a:dk2>
      <a:lt2>
        <a:srgbClr val="F7941D"/>
      </a:lt2>
      <a:accent1>
        <a:srgbClr val="C90044"/>
      </a:accent1>
      <a:accent2>
        <a:srgbClr val="642566"/>
      </a:accent2>
      <a:accent3>
        <a:srgbClr val="FFF200"/>
      </a:accent3>
      <a:accent4>
        <a:srgbClr val="A9CF38"/>
      </a:accent4>
      <a:accent5>
        <a:srgbClr val="00ABBD"/>
      </a:accent5>
      <a:accent6>
        <a:srgbClr val="EF0973"/>
      </a:accent6>
      <a:hlink>
        <a:srgbClr val="C90044"/>
      </a:hlink>
      <a:folHlink>
        <a:srgbClr val="A67DA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18850-686C-4572-B680-45A3695C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3024</Words>
  <Characters>17240</Characters>
  <Application>Microsoft Office Word</Application>
  <DocSecurity>0</DocSecurity>
  <Lines>143</Lines>
  <Paragraphs>40</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Ofcom</Company>
  <LinksUpToDate>false</LinksUpToDate>
  <CharactersWithSpaces>20224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 Affleck</dc:creator>
  <cp:lastModifiedBy>Cristiana Flutur</cp:lastModifiedBy>
  <cp:revision>2</cp:revision>
  <dcterms:created xsi:type="dcterms:W3CDTF">2018-06-04T11:44:00Z</dcterms:created>
  <dcterms:modified xsi:type="dcterms:W3CDTF">2018-06-04T11:44:00Z</dcterms:modified>
</cp:coreProperties>
</file>