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781" w:type="dxa"/>
        <w:tblInd w:w="-72" w:type="dxa"/>
        <w:tblLayout w:type="fixed"/>
        <w:tblCellMar>
          <w:left w:w="70" w:type="dxa"/>
          <w:right w:w="70" w:type="dxa"/>
        </w:tblCellMar>
        <w:tblLook w:val="0000" w:firstRow="0" w:lastRow="0" w:firstColumn="0" w:lastColumn="0" w:noHBand="0" w:noVBand="0"/>
      </w:tblPr>
      <w:tblGrid>
        <w:gridCol w:w="1819"/>
        <w:gridCol w:w="3001"/>
        <w:gridCol w:w="4961"/>
      </w:tblGrid>
      <w:tr w:rsidR="00265F50" w:rsidRPr="00F74E2F" w14:paraId="2085C641" w14:textId="77777777" w:rsidTr="000E3E4D">
        <w:trPr>
          <w:cantSplit/>
          <w:trHeight w:val="1560"/>
        </w:trPr>
        <w:tc>
          <w:tcPr>
            <w:tcW w:w="4820" w:type="dxa"/>
            <w:gridSpan w:val="2"/>
            <w:tcBorders>
              <w:top w:val="nil"/>
              <w:left w:val="nil"/>
              <w:bottom w:val="nil"/>
              <w:right w:val="nil"/>
            </w:tcBorders>
            <w:vAlign w:val="center"/>
          </w:tcPr>
          <w:p w14:paraId="12E7937E" w14:textId="1DC0BD9A" w:rsidR="00265F50" w:rsidRPr="00F74E2F" w:rsidRDefault="00265F50" w:rsidP="00DD5136">
            <w:pPr>
              <w:pStyle w:val="ECCLetterHead"/>
            </w:pPr>
            <w:r w:rsidRPr="00F74E2F">
              <w:rPr>
                <w:noProof/>
                <w:lang w:eastAsia="da-DK"/>
              </w:rPr>
              <w:drawing>
                <wp:inline distT="0" distB="0" distL="0" distR="0" wp14:anchorId="40AAA9EB" wp14:editId="6E4581F9">
                  <wp:extent cx="1617980" cy="82804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17980" cy="828040"/>
                          </a:xfrm>
                          <a:prstGeom prst="rect">
                            <a:avLst/>
                          </a:prstGeom>
                          <a:noFill/>
                          <a:ln>
                            <a:noFill/>
                          </a:ln>
                        </pic:spPr>
                      </pic:pic>
                    </a:graphicData>
                  </a:graphic>
                </wp:inline>
              </w:drawing>
            </w:r>
            <w:r w:rsidR="004A28B0" w:rsidRPr="00F74E2F">
              <w:t>WG SE / SE</w:t>
            </w:r>
            <w:r w:rsidR="00B12B33" w:rsidRPr="00F74E2F">
              <w:t>45</w:t>
            </w:r>
          </w:p>
        </w:tc>
        <w:tc>
          <w:tcPr>
            <w:tcW w:w="4961" w:type="dxa"/>
            <w:tcBorders>
              <w:top w:val="nil"/>
              <w:left w:val="nil"/>
              <w:bottom w:val="nil"/>
              <w:right w:val="nil"/>
            </w:tcBorders>
          </w:tcPr>
          <w:p w14:paraId="5911F235" w14:textId="15C4883F" w:rsidR="00265F50" w:rsidRPr="00F74E2F" w:rsidRDefault="00265F50" w:rsidP="00DD5136">
            <w:pPr>
              <w:pStyle w:val="ECCLetterHead"/>
            </w:pPr>
            <w:r w:rsidRPr="00F74E2F">
              <w:tab/>
              <w:t xml:space="preserve">Doc. </w:t>
            </w:r>
            <w:r w:rsidR="00A524DA" w:rsidRPr="00F74E2F">
              <w:t>SE45(25)</w:t>
            </w:r>
            <w:r w:rsidR="006802B4">
              <w:t>Info012</w:t>
            </w:r>
            <w:bookmarkStart w:id="0" w:name="_GoBack"/>
            <w:bookmarkEnd w:id="0"/>
          </w:p>
        </w:tc>
      </w:tr>
      <w:tr w:rsidR="00F11542" w:rsidRPr="00F74E2F" w14:paraId="4F672DAE" w14:textId="77777777" w:rsidTr="006D6CB8">
        <w:tblPrEx>
          <w:tblCellMar>
            <w:left w:w="108" w:type="dxa"/>
            <w:right w:w="108" w:type="dxa"/>
          </w:tblCellMar>
        </w:tblPrEx>
        <w:trPr>
          <w:cantSplit/>
          <w:trHeight w:val="405"/>
        </w:trPr>
        <w:tc>
          <w:tcPr>
            <w:tcW w:w="9781" w:type="dxa"/>
            <w:gridSpan w:val="3"/>
            <w:tcBorders>
              <w:top w:val="nil"/>
              <w:left w:val="nil"/>
              <w:bottom w:val="nil"/>
              <w:right w:val="nil"/>
            </w:tcBorders>
            <w:vAlign w:val="center"/>
          </w:tcPr>
          <w:p w14:paraId="029BB179" w14:textId="77777777" w:rsidR="00F11542" w:rsidRPr="00F74E2F" w:rsidRDefault="00B12B33" w:rsidP="00DD5136">
            <w:pPr>
              <w:pStyle w:val="ECCLetterHead"/>
            </w:pPr>
            <w:r w:rsidRPr="00F74E2F">
              <w:t>SE45 #</w:t>
            </w:r>
            <w:r w:rsidR="0001213F" w:rsidRPr="00F74E2F">
              <w:t>30</w:t>
            </w:r>
            <w:r w:rsidRPr="00F74E2F">
              <w:t xml:space="preserve"> </w:t>
            </w:r>
            <w:r w:rsidR="00F21B91" w:rsidRPr="00F74E2F">
              <w:t>Hybrid</w:t>
            </w:r>
            <w:r w:rsidR="00804553" w:rsidRPr="00F74E2F">
              <w:t xml:space="preserve"> meeting, </w:t>
            </w:r>
            <w:r w:rsidR="0001213F" w:rsidRPr="00F74E2F">
              <w:t>11</w:t>
            </w:r>
            <w:r w:rsidR="00804553" w:rsidRPr="00F74E2F">
              <w:t xml:space="preserve"> – </w:t>
            </w:r>
            <w:r w:rsidR="003E0779" w:rsidRPr="00F74E2F">
              <w:t>12</w:t>
            </w:r>
            <w:r w:rsidR="00804553" w:rsidRPr="00F74E2F">
              <w:t xml:space="preserve"> </w:t>
            </w:r>
            <w:r w:rsidR="003E0779" w:rsidRPr="00F74E2F">
              <w:t>September</w:t>
            </w:r>
            <w:r w:rsidR="00804553" w:rsidRPr="00F74E2F">
              <w:t xml:space="preserve"> 2025</w:t>
            </w:r>
          </w:p>
          <w:p w14:paraId="47136DC6" w14:textId="74194AA1" w:rsidR="003E0779" w:rsidRPr="00F74E2F" w:rsidRDefault="003E0779" w:rsidP="00DD5136">
            <w:pPr>
              <w:pStyle w:val="ECCLetterHead"/>
            </w:pPr>
            <w:r w:rsidRPr="00F74E2F">
              <w:t>Copenhagen, Denmark</w:t>
            </w:r>
          </w:p>
        </w:tc>
      </w:tr>
      <w:tr w:rsidR="00F11542" w:rsidRPr="00F74E2F" w14:paraId="4B0D1AF6" w14:textId="77777777" w:rsidTr="00FB4A71">
        <w:tblPrEx>
          <w:tblCellMar>
            <w:left w:w="108" w:type="dxa"/>
            <w:right w:w="108" w:type="dxa"/>
          </w:tblCellMar>
        </w:tblPrEx>
        <w:trPr>
          <w:cantSplit/>
          <w:trHeight w:hRule="exact" w:val="79"/>
        </w:trPr>
        <w:tc>
          <w:tcPr>
            <w:tcW w:w="9781" w:type="dxa"/>
            <w:gridSpan w:val="3"/>
            <w:tcBorders>
              <w:top w:val="nil"/>
              <w:left w:val="nil"/>
              <w:bottom w:val="nil"/>
              <w:right w:val="nil"/>
            </w:tcBorders>
            <w:vAlign w:val="center"/>
          </w:tcPr>
          <w:p w14:paraId="1BEC15CD" w14:textId="77777777" w:rsidR="00F11542" w:rsidRPr="00F74E2F" w:rsidRDefault="00F11542" w:rsidP="00263FFB">
            <w:pPr>
              <w:pStyle w:val="ECCLetterHead"/>
            </w:pPr>
          </w:p>
        </w:tc>
      </w:tr>
      <w:tr w:rsidR="00263FFB" w:rsidRPr="00F74E2F" w14:paraId="7893EA43" w14:textId="77777777" w:rsidTr="001B0583">
        <w:tblPrEx>
          <w:tblCellMar>
            <w:left w:w="108" w:type="dxa"/>
            <w:right w:w="108" w:type="dxa"/>
          </w:tblCellMar>
        </w:tblPrEx>
        <w:trPr>
          <w:cantSplit/>
          <w:trHeight w:val="405"/>
        </w:trPr>
        <w:tc>
          <w:tcPr>
            <w:tcW w:w="1819" w:type="dxa"/>
            <w:tcBorders>
              <w:top w:val="nil"/>
              <w:left w:val="nil"/>
              <w:bottom w:val="nil"/>
              <w:right w:val="nil"/>
            </w:tcBorders>
            <w:vAlign w:val="center"/>
          </w:tcPr>
          <w:p w14:paraId="50D01FC4" w14:textId="77777777" w:rsidR="00263FFB" w:rsidRPr="00F74E2F" w:rsidRDefault="00263FFB" w:rsidP="00263FFB">
            <w:pPr>
              <w:pStyle w:val="ECCLetterHead"/>
            </w:pPr>
            <w:r w:rsidRPr="00F74E2F">
              <w:t xml:space="preserve">Date issued: </w:t>
            </w:r>
          </w:p>
        </w:tc>
        <w:tc>
          <w:tcPr>
            <w:tcW w:w="7962" w:type="dxa"/>
            <w:gridSpan w:val="2"/>
            <w:tcBorders>
              <w:top w:val="nil"/>
              <w:left w:val="nil"/>
              <w:bottom w:val="nil"/>
              <w:right w:val="nil"/>
            </w:tcBorders>
            <w:vAlign w:val="center"/>
          </w:tcPr>
          <w:p w14:paraId="5B5F7838" w14:textId="05C5E995" w:rsidR="00263FFB" w:rsidRPr="00F74E2F" w:rsidRDefault="00BE5A7C" w:rsidP="00263FFB">
            <w:pPr>
              <w:pStyle w:val="ECCLetterHead"/>
            </w:pPr>
            <w:r w:rsidRPr="00F74E2F">
              <w:t>9</w:t>
            </w:r>
            <w:r w:rsidR="007F798D" w:rsidRPr="00F74E2F">
              <w:t xml:space="preserve"> </w:t>
            </w:r>
            <w:r w:rsidR="008E18F8" w:rsidRPr="00F74E2F">
              <w:t>September</w:t>
            </w:r>
            <w:r w:rsidR="003E0779" w:rsidRPr="00F74E2F">
              <w:t xml:space="preserve"> </w:t>
            </w:r>
            <w:r w:rsidR="009553B4" w:rsidRPr="00F74E2F">
              <w:t>2025</w:t>
            </w:r>
          </w:p>
        </w:tc>
      </w:tr>
      <w:tr w:rsidR="00263FFB" w:rsidRPr="00F74E2F" w14:paraId="610BD899" w14:textId="77777777" w:rsidTr="001B0583">
        <w:tblPrEx>
          <w:tblCellMar>
            <w:left w:w="108" w:type="dxa"/>
            <w:right w:w="108" w:type="dxa"/>
          </w:tblCellMar>
        </w:tblPrEx>
        <w:trPr>
          <w:cantSplit/>
          <w:trHeight w:val="405"/>
        </w:trPr>
        <w:tc>
          <w:tcPr>
            <w:tcW w:w="1819" w:type="dxa"/>
            <w:tcBorders>
              <w:top w:val="nil"/>
              <w:left w:val="nil"/>
              <w:bottom w:val="nil"/>
              <w:right w:val="nil"/>
            </w:tcBorders>
            <w:vAlign w:val="center"/>
          </w:tcPr>
          <w:p w14:paraId="5D8EF816" w14:textId="77777777" w:rsidR="00263FFB" w:rsidRPr="00F74E2F" w:rsidRDefault="00263FFB" w:rsidP="00263FFB">
            <w:pPr>
              <w:pStyle w:val="ECCLetterHead"/>
            </w:pPr>
            <w:r w:rsidRPr="00F74E2F">
              <w:t xml:space="preserve">Source: </w:t>
            </w:r>
          </w:p>
        </w:tc>
        <w:tc>
          <w:tcPr>
            <w:tcW w:w="7962" w:type="dxa"/>
            <w:gridSpan w:val="2"/>
            <w:tcBorders>
              <w:top w:val="nil"/>
              <w:left w:val="nil"/>
              <w:bottom w:val="nil"/>
              <w:right w:val="nil"/>
            </w:tcBorders>
            <w:vAlign w:val="center"/>
          </w:tcPr>
          <w:p w14:paraId="50D045A0" w14:textId="66EFA8C1" w:rsidR="00263FFB" w:rsidRPr="00F74E2F" w:rsidRDefault="00BE5A7C" w:rsidP="00263FFB">
            <w:pPr>
              <w:pStyle w:val="ECCLetterHead"/>
            </w:pPr>
            <w:r w:rsidRPr="00F74E2F">
              <w:t>HPE</w:t>
            </w:r>
          </w:p>
        </w:tc>
      </w:tr>
      <w:tr w:rsidR="00263FFB" w:rsidRPr="00F74E2F" w14:paraId="31AEFAF8" w14:textId="77777777" w:rsidTr="001B0583">
        <w:tblPrEx>
          <w:tblCellMar>
            <w:left w:w="108" w:type="dxa"/>
            <w:right w:w="108" w:type="dxa"/>
          </w:tblCellMar>
        </w:tblPrEx>
        <w:trPr>
          <w:cantSplit/>
          <w:trHeight w:val="405"/>
        </w:trPr>
        <w:tc>
          <w:tcPr>
            <w:tcW w:w="1819" w:type="dxa"/>
            <w:tcBorders>
              <w:top w:val="nil"/>
              <w:left w:val="nil"/>
              <w:bottom w:val="nil"/>
              <w:right w:val="nil"/>
            </w:tcBorders>
            <w:vAlign w:val="center"/>
          </w:tcPr>
          <w:p w14:paraId="1E815EBE" w14:textId="77777777" w:rsidR="00263FFB" w:rsidRPr="00F74E2F" w:rsidRDefault="00263FFB" w:rsidP="00263FFB">
            <w:pPr>
              <w:pStyle w:val="ECCLetterHead"/>
            </w:pPr>
            <w:r w:rsidRPr="00F74E2F">
              <w:t xml:space="preserve">Subject: </w:t>
            </w:r>
          </w:p>
        </w:tc>
        <w:tc>
          <w:tcPr>
            <w:tcW w:w="7962" w:type="dxa"/>
            <w:gridSpan w:val="2"/>
            <w:tcBorders>
              <w:top w:val="nil"/>
              <w:left w:val="nil"/>
              <w:bottom w:val="nil"/>
              <w:right w:val="nil"/>
            </w:tcBorders>
            <w:vAlign w:val="center"/>
          </w:tcPr>
          <w:p w14:paraId="641C6DD9" w14:textId="64359C9D" w:rsidR="00263FFB" w:rsidRPr="00F74E2F" w:rsidRDefault="00BE5A7C" w:rsidP="00263FFB">
            <w:pPr>
              <w:pStyle w:val="ECCLetterHead"/>
            </w:pPr>
            <w:r w:rsidRPr="00F74E2F">
              <w:t>Summary of the June 2025 European Spectrum Management Conference discussions</w:t>
            </w:r>
          </w:p>
        </w:tc>
      </w:tr>
      <w:tr w:rsidR="00263FFB" w:rsidRPr="00F74E2F" w14:paraId="1E7D321D" w14:textId="77777777" w:rsidTr="001B0583">
        <w:tblPrEx>
          <w:tblCellMar>
            <w:left w:w="108" w:type="dxa"/>
            <w:right w:w="108" w:type="dxa"/>
          </w:tblCellMar>
        </w:tblPrEx>
        <w:trPr>
          <w:cantSplit/>
          <w:trHeight w:val="1040"/>
        </w:trPr>
        <w:tc>
          <w:tcPr>
            <w:tcW w:w="9781" w:type="dxa"/>
            <w:gridSpan w:val="3"/>
            <w:tcBorders>
              <w:top w:val="nil"/>
              <w:left w:val="nil"/>
              <w:bottom w:val="nil"/>
              <w:right w:val="nil"/>
            </w:tcBorders>
            <w:vAlign w:val="center"/>
          </w:tcPr>
          <w:p w14:paraId="20DECD78" w14:textId="77777777" w:rsidR="00263FFB" w:rsidRPr="00F74E2F" w:rsidRDefault="00263FFB" w:rsidP="00263FFB">
            <w:pPr>
              <w:pStyle w:val="ECCTabletext"/>
            </w:pPr>
            <w:r w:rsidRPr="00F74E2F">
              <w:rPr>
                <w:noProof/>
                <w:lang w:eastAsia="da-DK"/>
              </w:rPr>
              <mc:AlternateContent>
                <mc:Choice Requires="wps">
                  <w:drawing>
                    <wp:anchor distT="0" distB="0" distL="114300" distR="114300" simplePos="0" relativeHeight="251658240" behindDoc="0" locked="1" layoutInCell="0" allowOverlap="1" wp14:anchorId="7B9812FB" wp14:editId="141D2C2F">
                      <wp:simplePos x="0" y="0"/>
                      <wp:positionH relativeFrom="column">
                        <wp:posOffset>2718435</wp:posOffset>
                      </wp:positionH>
                      <wp:positionV relativeFrom="paragraph">
                        <wp:posOffset>186690</wp:posOffset>
                      </wp:positionV>
                      <wp:extent cx="457200" cy="269875"/>
                      <wp:effectExtent l="0" t="0" r="19050" b="15875"/>
                      <wp:wrapNone/>
                      <wp:docPr id="24" name="Textfeld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69875"/>
                              </a:xfrm>
                              <a:prstGeom prst="rect">
                                <a:avLst/>
                              </a:prstGeom>
                              <a:solidFill>
                                <a:srgbClr val="FFFFFF"/>
                              </a:solidFill>
                              <a:ln w="9525">
                                <a:solidFill>
                                  <a:srgbClr val="000000"/>
                                </a:solidFill>
                                <a:miter lim="800000"/>
                                <a:headEnd/>
                                <a:tailEnd/>
                              </a:ln>
                            </wps:spPr>
                            <wps:txbx>
                              <w:txbxContent>
                                <w:p w14:paraId="2F0CC951" w14:textId="77777777" w:rsidR="00263FFB" w:rsidRPr="00F45561" w:rsidRDefault="00F45561" w:rsidP="00F45561">
                                  <w:pPr>
                                    <w:pStyle w:val="ECCTabletext"/>
                                    <w:jc w:val="center"/>
                                    <w:rPr>
                                      <w:lang w:val="de-DE"/>
                                    </w:rPr>
                                  </w:pPr>
                                  <w:r>
                                    <w:rPr>
                                      <w:lang w:val="de-DE"/>
                                    </w:rPr>
                                    <w:t>N</w:t>
                                  </w:r>
                                </w:p>
                              </w:txbxContent>
                            </wps:txbx>
                            <wps:bodyPr rot="0" vert="horz" wrap="square" lIns="43200" tIns="28800" rIns="36000" bIns="72000" anchor="ctr"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7B9812FB" id="_x0000_t202" coordsize="21600,21600" o:spt="202" path="m,l,21600r21600,l21600,xe">
                      <v:stroke joinstyle="miter"/>
                      <v:path gradientshapeok="t" o:connecttype="rect"/>
                    </v:shapetype>
                    <v:shape id="Textfeld 24" o:spid="_x0000_s1026" type="#_x0000_t202" style="position:absolute;left:0;text-align:left;margin-left:214.05pt;margin-top:14.7pt;width:36pt;height:2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" o:allowincell="f">
                      <v:textbox inset="1.2mm,.8mm,1mm,2mm">
                        <w:txbxContent>
                          <w:p w14:paraId="2F0CC951" w14:textId="77777777" w:rsidR="00263FFB" w:rsidRPr="00F45561" w:rsidRDefault="00F45561" w:rsidP="00F45561">
                            <w:pPr>
                              <w:pStyle w:val="ECCTabletext"/>
                              <w:jc w:val="center"/>
                              <w:rPr>
                                <w:lang w:val="de-DE"/>
                              </w:rPr>
                            </w:pPr>
                            <w:r>
                              <w:rPr>
                                <w:lang w:val="de-DE"/>
                              </w:rPr>
                              <w:t>N</w:t>
                            </w:r>
                          </w:p>
                        </w:txbxContent>
                      </v:textbox>
                      <w10:anchorlock/>
                    </v:shape>
                  </w:pict>
                </mc:Fallback>
              </mc:AlternateContent>
            </w:r>
            <w:r w:rsidRPr="00F74E2F">
              <w:t>Group membership required to read? (Y/N)</w:t>
            </w:r>
          </w:p>
        </w:tc>
      </w:tr>
      <w:tr w:rsidR="00263FFB" w:rsidRPr="00F74E2F" w14:paraId="4EB50F1F" w14:textId="77777777" w:rsidTr="001B0583">
        <w:tblPrEx>
          <w:tblCellMar>
            <w:left w:w="108" w:type="dxa"/>
            <w:right w:w="108" w:type="dxa"/>
          </w:tblCellMar>
        </w:tblPrEx>
        <w:trPr>
          <w:cantSplit/>
          <w:trHeight w:hRule="exact" w:val="74"/>
        </w:trPr>
        <w:tc>
          <w:tcPr>
            <w:tcW w:w="9781" w:type="dxa"/>
            <w:gridSpan w:val="3"/>
            <w:tcBorders>
              <w:top w:val="nil"/>
              <w:left w:val="nil"/>
              <w:bottom w:val="nil"/>
              <w:right w:val="nil"/>
            </w:tcBorders>
            <w:vAlign w:val="center"/>
          </w:tcPr>
          <w:p w14:paraId="43F83AE2" w14:textId="77777777" w:rsidR="00263FFB" w:rsidRPr="00F74E2F" w:rsidRDefault="00263FFB" w:rsidP="00263FFB">
            <w:pPr>
              <w:rPr>
                <w:rStyle w:val="ECCParagraph"/>
              </w:rPr>
            </w:pPr>
          </w:p>
          <w:p w14:paraId="24F7BA5C" w14:textId="77777777" w:rsidR="00263FFB" w:rsidRPr="00F74E2F" w:rsidRDefault="00263FFB" w:rsidP="00263FFB"/>
        </w:tc>
      </w:tr>
      <w:tr w:rsidR="00263FFB" w:rsidRPr="00F74E2F" w14:paraId="346A4B22" w14:textId="77777777" w:rsidTr="00A751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6"/>
        </w:trPr>
        <w:tc>
          <w:tcPr>
            <w:tcW w:w="9781" w:type="dxa"/>
            <w:gridSpan w:val="3"/>
            <w:tcBorders>
              <w:top w:val="single" w:sz="6" w:space="0" w:color="C00000"/>
              <w:left w:val="single" w:sz="6" w:space="0" w:color="C00000"/>
              <w:bottom w:val="nil"/>
              <w:right w:val="single" w:sz="6" w:space="0" w:color="C00000"/>
            </w:tcBorders>
            <w:vAlign w:val="center"/>
          </w:tcPr>
          <w:p w14:paraId="1311FED7" w14:textId="77777777" w:rsidR="00263FFB" w:rsidRPr="00F74E2F" w:rsidRDefault="00263FFB" w:rsidP="00263FFB">
            <w:pPr>
              <w:pStyle w:val="ECCLetterHead"/>
            </w:pPr>
            <w:r w:rsidRPr="00F74E2F">
              <w:t xml:space="preserve">Summary: </w:t>
            </w:r>
          </w:p>
        </w:tc>
      </w:tr>
      <w:tr w:rsidR="00263FFB" w:rsidRPr="00F74E2F" w14:paraId="6E5E5CE9" w14:textId="77777777" w:rsidTr="00797D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112"/>
        </w:trPr>
        <w:tc>
          <w:tcPr>
            <w:tcW w:w="9781" w:type="dxa"/>
            <w:gridSpan w:val="3"/>
            <w:tcBorders>
              <w:top w:val="nil"/>
              <w:left w:val="single" w:sz="6" w:space="0" w:color="C00000"/>
              <w:bottom w:val="single" w:sz="6" w:space="0" w:color="C00000"/>
              <w:right w:val="single" w:sz="6" w:space="0" w:color="C00000"/>
            </w:tcBorders>
          </w:tcPr>
          <w:p w14:paraId="24490541" w14:textId="1285E85D" w:rsidR="00997179" w:rsidRPr="00F74E2F" w:rsidRDefault="005458F4" w:rsidP="00263FFB">
            <w:pPr>
              <w:pStyle w:val="ECCTabletext"/>
            </w:pPr>
            <w:bookmarkStart w:id="1" w:name="_Hlk207816536"/>
            <w:r w:rsidRPr="00F74E2F">
              <w:t xml:space="preserve">On June 18-19, 2025, the </w:t>
            </w:r>
            <w:r w:rsidR="00EE7DD7">
              <w:t>20</w:t>
            </w:r>
            <w:r w:rsidRPr="00F74E2F">
              <w:rPr>
                <w:vertAlign w:val="superscript"/>
              </w:rPr>
              <w:t>th</w:t>
            </w:r>
            <w:r w:rsidRPr="00F74E2F">
              <w:t xml:space="preserve"> European Spectrum Management Conference was held in Brussels, Belgium.</w:t>
            </w:r>
          </w:p>
          <w:p w14:paraId="27F177D8" w14:textId="73FB4EA0" w:rsidR="005458F4" w:rsidRPr="00F74E2F" w:rsidRDefault="005458F4" w:rsidP="00263FFB">
            <w:pPr>
              <w:pStyle w:val="ECCTabletext"/>
            </w:pPr>
            <w:r w:rsidRPr="00F74E2F">
              <w:t>This summary was prepared for SE45 on request of the SE45 Chairman.</w:t>
            </w:r>
          </w:p>
          <w:bookmarkEnd w:id="1"/>
          <w:p w14:paraId="5A6B216C" w14:textId="77777777" w:rsidR="002F70E6" w:rsidRDefault="002F70E6" w:rsidP="00F35BC4">
            <w:pPr>
              <w:pStyle w:val="ECCTabletext"/>
            </w:pPr>
          </w:p>
          <w:p w14:paraId="117270CF" w14:textId="5FF2BDED" w:rsidR="0031396F" w:rsidRPr="00F74E2F" w:rsidRDefault="0031396F" w:rsidP="00F35BC4">
            <w:pPr>
              <w:pStyle w:val="ECCTabletext"/>
            </w:pPr>
            <w:r>
              <w:t xml:space="preserve">Disclaimer: This summary was created to </w:t>
            </w:r>
            <w:r w:rsidR="00EE7DD7">
              <w:t>reflect the discussions held at the Conference</w:t>
            </w:r>
            <w:r>
              <w:t xml:space="preserve"> as neutral</w:t>
            </w:r>
            <w:r w:rsidR="00EE7DD7">
              <w:t>ly</w:t>
            </w:r>
            <w:r>
              <w:t xml:space="preserve"> as possible. </w:t>
            </w:r>
            <w:r w:rsidR="00EE7DD7">
              <w:t xml:space="preserve">As </w:t>
            </w:r>
            <w:r>
              <w:t xml:space="preserve">HPE </w:t>
            </w:r>
            <w:r w:rsidR="00EE7DD7">
              <w:t>takes</w:t>
            </w:r>
            <w:r>
              <w:t xml:space="preserve"> a specific position on some of the topics addressed by the Conference</w:t>
            </w:r>
            <w:r w:rsidR="00EE7DD7">
              <w:t xml:space="preserve">, this summary does </w:t>
            </w:r>
            <w:r w:rsidR="00EE7DD7" w:rsidRPr="00EE7DD7">
              <w:t>not necessarily represent the views</w:t>
            </w:r>
            <w:r w:rsidR="00EE7DD7">
              <w:t xml:space="preserve"> of HPE. </w:t>
            </w:r>
            <w:r>
              <w:t xml:space="preserve"> </w:t>
            </w:r>
          </w:p>
        </w:tc>
      </w:tr>
      <w:tr w:rsidR="00263FFB" w:rsidRPr="00F74E2F" w14:paraId="0A2084F3" w14:textId="77777777" w:rsidTr="00797D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3"/>
        </w:trPr>
        <w:tc>
          <w:tcPr>
            <w:tcW w:w="9781" w:type="dxa"/>
            <w:gridSpan w:val="3"/>
            <w:tcBorders>
              <w:top w:val="single" w:sz="6" w:space="0" w:color="C00000"/>
              <w:left w:val="single" w:sz="6" w:space="0" w:color="C00000"/>
              <w:bottom w:val="nil"/>
              <w:right w:val="single" w:sz="6" w:space="0" w:color="C00000"/>
            </w:tcBorders>
            <w:vAlign w:val="center"/>
          </w:tcPr>
          <w:p w14:paraId="351F3AD3" w14:textId="77777777" w:rsidR="00263FFB" w:rsidRPr="00F74E2F" w:rsidRDefault="00263FFB" w:rsidP="00263FFB">
            <w:pPr>
              <w:pStyle w:val="ECCLetterHead"/>
            </w:pPr>
            <w:r w:rsidRPr="00F74E2F">
              <w:t>Proposal:</w:t>
            </w:r>
          </w:p>
        </w:tc>
      </w:tr>
      <w:tr w:rsidR="00263FFB" w:rsidRPr="00F74E2F" w14:paraId="55455C93" w14:textId="77777777" w:rsidTr="003139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71"/>
        </w:trPr>
        <w:tc>
          <w:tcPr>
            <w:tcW w:w="9781" w:type="dxa"/>
            <w:gridSpan w:val="3"/>
            <w:tcBorders>
              <w:top w:val="nil"/>
              <w:left w:val="single" w:sz="6" w:space="0" w:color="C00000"/>
              <w:bottom w:val="single" w:sz="6" w:space="0" w:color="C00000"/>
              <w:right w:val="single" w:sz="6" w:space="0" w:color="C00000"/>
            </w:tcBorders>
          </w:tcPr>
          <w:p w14:paraId="70DFD042" w14:textId="6880F004" w:rsidR="00386EE6" w:rsidRPr="00F74E2F" w:rsidRDefault="00FA51A9" w:rsidP="00FA51A9">
            <w:pPr>
              <w:pStyle w:val="ECCBulletsLv2"/>
              <w:numPr>
                <w:ilvl w:val="0"/>
                <w:numId w:val="0"/>
              </w:numPr>
            </w:pPr>
            <w:r w:rsidRPr="00F74E2F">
              <w:t>-</w:t>
            </w:r>
          </w:p>
        </w:tc>
      </w:tr>
      <w:tr w:rsidR="00263FFB" w:rsidRPr="00F74E2F" w14:paraId="73D06F6E" w14:textId="77777777" w:rsidTr="00797D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3"/>
        </w:trPr>
        <w:tc>
          <w:tcPr>
            <w:tcW w:w="9781" w:type="dxa"/>
            <w:gridSpan w:val="3"/>
            <w:tcBorders>
              <w:top w:val="single" w:sz="6" w:space="0" w:color="C00000"/>
              <w:left w:val="single" w:sz="6" w:space="0" w:color="C00000"/>
              <w:bottom w:val="nil"/>
              <w:right w:val="single" w:sz="6" w:space="0" w:color="C00000"/>
            </w:tcBorders>
            <w:vAlign w:val="center"/>
          </w:tcPr>
          <w:p w14:paraId="60FD631E" w14:textId="77777777" w:rsidR="00263FFB" w:rsidRPr="00F74E2F" w:rsidRDefault="00263FFB" w:rsidP="00263FFB">
            <w:pPr>
              <w:pStyle w:val="ECCLetterHead"/>
            </w:pPr>
            <w:r w:rsidRPr="00F74E2F">
              <w:t>Background:</w:t>
            </w:r>
          </w:p>
        </w:tc>
      </w:tr>
      <w:tr w:rsidR="00265F50" w:rsidRPr="00F74E2F" w14:paraId="6DA4B9F9" w14:textId="77777777" w:rsidTr="00797D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098"/>
        </w:trPr>
        <w:tc>
          <w:tcPr>
            <w:tcW w:w="9781" w:type="dxa"/>
            <w:gridSpan w:val="3"/>
            <w:tcBorders>
              <w:top w:val="nil"/>
              <w:left w:val="single" w:sz="6" w:space="0" w:color="C00000"/>
              <w:bottom w:val="single" w:sz="6" w:space="0" w:color="C00000"/>
              <w:right w:val="single" w:sz="6" w:space="0" w:color="C00000"/>
            </w:tcBorders>
          </w:tcPr>
          <w:p w14:paraId="7A9B0D39" w14:textId="15642B00" w:rsidR="009A51D6" w:rsidRPr="00F74E2F" w:rsidRDefault="005458F4" w:rsidP="009A51D6">
            <w:pPr>
              <w:pStyle w:val="ECCTabletext"/>
            </w:pPr>
            <w:r w:rsidRPr="00F74E2F">
              <w:t xml:space="preserve">On June 18-19, 2025, the </w:t>
            </w:r>
            <w:r w:rsidR="00FA51A9" w:rsidRPr="00F74E2F">
              <w:t>20</w:t>
            </w:r>
            <w:r w:rsidRPr="00F74E2F">
              <w:rPr>
                <w:vertAlign w:val="superscript"/>
              </w:rPr>
              <w:t>th</w:t>
            </w:r>
            <w:r w:rsidRPr="00F74E2F">
              <w:t xml:space="preserve"> European Spectrum Management Conference was held in Brussels, Belgium.</w:t>
            </w:r>
          </w:p>
          <w:p w14:paraId="5F6CD7EE" w14:textId="5A446811" w:rsidR="005458F4" w:rsidRPr="00F74E2F" w:rsidRDefault="00B82E10" w:rsidP="00B82E10">
            <w:pPr>
              <w:pStyle w:val="ECCTabletext"/>
            </w:pPr>
            <w:r w:rsidRPr="00F74E2F">
              <w:t xml:space="preserve">It covered a couple of key themes including European </w:t>
            </w:r>
            <w:r w:rsidR="00FA51A9" w:rsidRPr="00F74E2F">
              <w:t>s</w:t>
            </w:r>
            <w:r w:rsidRPr="00F74E2F">
              <w:t xml:space="preserve">pectrum policy &amp; the Digital Networks Act, </w:t>
            </w:r>
            <w:r w:rsidR="00FA51A9" w:rsidRPr="00F74E2F">
              <w:t>s</w:t>
            </w:r>
            <w:r w:rsidRPr="00F74E2F">
              <w:t xml:space="preserve">pectrum sharing &amp; network efficiency, the future of the upper 6 GHz band, </w:t>
            </w:r>
            <w:r w:rsidR="00FA51A9" w:rsidRPr="00F74E2F">
              <w:t>WRC-27 and spectrum for the future 6G, and t</w:t>
            </w:r>
            <w:r w:rsidRPr="00F74E2F">
              <w:t xml:space="preserve">he future of the </w:t>
            </w:r>
            <w:r w:rsidR="00FA51A9" w:rsidRPr="00F74E2F">
              <w:t xml:space="preserve">spectrum below </w:t>
            </w:r>
            <w:r w:rsidRPr="00F74E2F">
              <w:t xml:space="preserve">700 </w:t>
            </w:r>
            <w:proofErr w:type="spellStart"/>
            <w:r w:rsidRPr="00F74E2F">
              <w:t>MHz</w:t>
            </w:r>
            <w:r w:rsidR="00FA51A9" w:rsidRPr="00F74E2F">
              <w:t>.</w:t>
            </w:r>
            <w:proofErr w:type="spellEnd"/>
          </w:p>
        </w:tc>
      </w:tr>
    </w:tbl>
    <w:p w14:paraId="332939F0" w14:textId="77777777" w:rsidR="0031396F" w:rsidRPr="00F74E2F" w:rsidRDefault="0031396F" w:rsidP="001B0583">
      <w:pPr>
        <w:pStyle w:val="ECCTablenote"/>
        <w:rPr>
          <w:rStyle w:val="ECCParagraph"/>
        </w:rPr>
      </w:pPr>
    </w:p>
    <w:p w14:paraId="5CE422EC" w14:textId="5AD7A3C0" w:rsidR="00680B8A" w:rsidRPr="00F74E2F" w:rsidRDefault="00680B8A" w:rsidP="00680B8A">
      <w:pPr>
        <w:pStyle w:val="Cmsor1"/>
        <w:rPr>
          <w:lang w:val="en-GB"/>
        </w:rPr>
      </w:pPr>
      <w:r w:rsidRPr="00F74E2F">
        <w:rPr>
          <w:lang w:val="en-GB"/>
        </w:rPr>
        <w:t>A Summary of the 20th EU Spectrum Management Conference</w:t>
      </w:r>
    </w:p>
    <w:p w14:paraId="371C988B" w14:textId="77777777" w:rsidR="00680B8A" w:rsidRPr="00F74E2F" w:rsidRDefault="00680B8A" w:rsidP="00680B8A">
      <w:pPr>
        <w:pStyle w:val="Cmsor2"/>
        <w:rPr>
          <w:lang w:val="en-GB"/>
        </w:rPr>
      </w:pPr>
      <w:r w:rsidRPr="00F74E2F">
        <w:rPr>
          <w:lang w:val="en-GB"/>
        </w:rPr>
        <w:t>Executive Summary</w:t>
      </w:r>
    </w:p>
    <w:p w14:paraId="5F14DA0C" w14:textId="0D592913" w:rsidR="00680B8A" w:rsidRPr="00680B8A" w:rsidRDefault="00680B8A" w:rsidP="00680B8A">
      <w:r w:rsidRPr="00680B8A">
        <w:t>The 20th European Spectrum Management Conference, held in Brussels on June 18-19, 2025, served as a pivotal forum for shaping the future of European telecommunications policy. The event, far from being a routine technical gathering, functioned as a high-level strategic platform where a diverse range of stakeholders addressed critical decisions with profound implications for Europe's digital sovereignty and global competitiveness. The conference agenda, which included a pre-meeting of the Radio Spectrum Policy Group (RSPG) on June 17, was guided by the impending Digital Networks Act (DNA) and the preparatory work for the World Radiocommunication Conference 2027 (WRC-27). The discussions revealed a landscape defined by significant strategic tensions, with the overarching theme being a concerted push to establish a unified and robust regulatory framework for Europe's digital future.</w:t>
      </w:r>
    </w:p>
    <w:p w14:paraId="3DFDD820" w14:textId="360CBFBE" w:rsidR="00680B8A" w:rsidRPr="00680B8A" w:rsidRDefault="00680B8A" w:rsidP="00680B8A">
      <w:r w:rsidRPr="00680B8A">
        <w:lastRenderedPageBreak/>
        <w:t xml:space="preserve">Key debates </w:t>
      </w:r>
      <w:r w:rsidR="00F74E2F" w:rsidRPr="00680B8A">
        <w:t>centred</w:t>
      </w:r>
      <w:r w:rsidRPr="00680B8A">
        <w:t xml:space="preserve"> on several contentious issues, including:</w:t>
      </w:r>
    </w:p>
    <w:p w14:paraId="4E590E54" w14:textId="57993DEF" w:rsidR="00680B8A" w:rsidRPr="00680B8A" w:rsidRDefault="00680B8A" w:rsidP="00680B8A">
      <w:pPr>
        <w:numPr>
          <w:ilvl w:val="0"/>
          <w:numId w:val="17"/>
        </w:numPr>
      </w:pPr>
      <w:r w:rsidRPr="00680B8A">
        <w:rPr>
          <w:b/>
          <w:bCs/>
        </w:rPr>
        <w:t>The Upper 6 GHz Band:</w:t>
      </w:r>
      <w:r w:rsidRPr="00680B8A">
        <w:t xml:space="preserve"> The conference's most defining conflict emerged between a coalition of mobile operators advocating for exclusive licensed use for 6G and the Wi-Fi community pushing for unlicensed access. This debate represents a foundational clash between centralized, managed network models and decentralized, open innovation ecosystems.</w:t>
      </w:r>
    </w:p>
    <w:p w14:paraId="49878A07" w14:textId="6E15DBAC" w:rsidR="00680B8A" w:rsidRPr="00680B8A" w:rsidRDefault="00680B8A" w:rsidP="00680B8A">
      <w:pPr>
        <w:numPr>
          <w:ilvl w:val="0"/>
          <w:numId w:val="17"/>
        </w:numPr>
      </w:pPr>
      <w:r w:rsidRPr="00680B8A">
        <w:rPr>
          <w:b/>
          <w:bCs/>
        </w:rPr>
        <w:t>The Sub-700 MHz Band:</w:t>
      </w:r>
      <w:r w:rsidRPr="00680B8A">
        <w:t xml:space="preserve"> The ongoing discussion over the 470-694 MHz band highlighted the enduring tension between legacy cultural and public service uses (terrestrial broadcasting, PMSE) and the long-term aspirations of mobile networks. The powerful message from the Wider Spectrum Group underscored the political and social dimensions of this technical issue, positioning spectrum as a cultural resource.</w:t>
      </w:r>
    </w:p>
    <w:p w14:paraId="6FC6FC64" w14:textId="2B36BDA3" w:rsidR="00680B8A" w:rsidRPr="00680B8A" w:rsidRDefault="00680B8A" w:rsidP="00680B8A">
      <w:pPr>
        <w:numPr>
          <w:ilvl w:val="0"/>
          <w:numId w:val="17"/>
        </w:numPr>
      </w:pPr>
      <w:r w:rsidRPr="00680B8A">
        <w:rPr>
          <w:b/>
          <w:bCs/>
        </w:rPr>
        <w:t>The Rise of New Paradigms:</w:t>
      </w:r>
      <w:r w:rsidRPr="00680B8A">
        <w:t xml:space="preserve"> The agenda extended beyond traditional terrestrial mobile broadband to include burgeoning fields such as Non-Terrestrial Networks (NTN) and the role of Artificial Intelligence (AI) in spectrum management. Discussions on Direct-to-Device (D2D) connectivity and innovative spectrum sharing frameworks revealed a growing recognition that future networks will be complex, converged, and multi-layered, demanding a new regulatory approach.</w:t>
      </w:r>
      <w:r w:rsidRPr="00680B8A">
        <w:rPr>
          <w:vertAlign w:val="superscript"/>
        </w:rPr>
        <w:t>8</w:t>
      </w:r>
    </w:p>
    <w:p w14:paraId="3FCD7DF7" w14:textId="77777777" w:rsidR="00680B8A" w:rsidRPr="00680B8A" w:rsidRDefault="00680B8A" w:rsidP="00680B8A">
      <w:r w:rsidRPr="00680B8A">
        <w:t>The primary conclusion from the conference is that European spectrum policy is undergoing a profound transformation. Policymakers are moving towards a more harmonized, EU-centric approach, guided by the forthcoming DNA. The central challenge now is to navigate competing interests and conflicting visions for how Europe's finite spectrum resources will be allocated to best serve its twin goals of economic growth and social cohesion.</w:t>
      </w:r>
    </w:p>
    <w:p w14:paraId="49664D76" w14:textId="12F7A3B2" w:rsidR="00680B8A" w:rsidRPr="00F74E2F" w:rsidRDefault="00680B8A" w:rsidP="00680B8A">
      <w:pPr>
        <w:pStyle w:val="ECCTableHeaderredfont"/>
        <w:jc w:val="center"/>
        <w:rPr>
          <w:b/>
          <w:bCs w:val="0"/>
        </w:rPr>
      </w:pPr>
      <w:r w:rsidRPr="00F74E2F">
        <w:rPr>
          <w:b/>
          <w:bCs w:val="0"/>
        </w:rPr>
        <w:t>Table 1: Overview of Key Debates</w:t>
      </w:r>
    </w:p>
    <w:tbl>
      <w:tblPr>
        <w:tblStyle w:val="ECCTable-redheader"/>
        <w:tblW w:w="0" w:type="auto"/>
        <w:tblInd w:w="0" w:type="dxa"/>
        <w:tblLook w:val="04A0" w:firstRow="1" w:lastRow="0" w:firstColumn="1" w:lastColumn="0" w:noHBand="0" w:noVBand="1"/>
      </w:tblPr>
      <w:tblGrid>
        <w:gridCol w:w="1452"/>
        <w:gridCol w:w="2550"/>
        <w:gridCol w:w="2200"/>
        <w:gridCol w:w="3427"/>
      </w:tblGrid>
      <w:tr w:rsidR="00680B8A" w:rsidRPr="00680B8A" w14:paraId="6920F773" w14:textId="77777777" w:rsidTr="00F74E2F">
        <w:trPr>
          <w:cnfStyle w:val="100000000000" w:firstRow="1" w:lastRow="0" w:firstColumn="0" w:lastColumn="0" w:oddVBand="0" w:evenVBand="0" w:oddHBand="0" w:evenHBand="0" w:firstRowFirstColumn="0" w:firstRowLastColumn="0" w:lastRowFirstColumn="0" w:lastRowLastColumn="0"/>
        </w:trPr>
        <w:tc>
          <w:tcPr>
            <w:tcW w:w="0" w:type="auto"/>
            <w:vAlign w:val="top"/>
            <w:hideMark/>
          </w:tcPr>
          <w:p w14:paraId="74B694CF" w14:textId="77777777" w:rsidR="00680B8A" w:rsidRPr="00680B8A" w:rsidRDefault="00680B8A" w:rsidP="00F74E2F">
            <w:pPr>
              <w:pStyle w:val="ECCTabletext"/>
              <w:jc w:val="left"/>
            </w:pPr>
            <w:r w:rsidRPr="00680B8A">
              <w:t>Topic Discussed</w:t>
            </w:r>
          </w:p>
        </w:tc>
        <w:tc>
          <w:tcPr>
            <w:tcW w:w="0" w:type="auto"/>
            <w:vAlign w:val="top"/>
            <w:hideMark/>
          </w:tcPr>
          <w:p w14:paraId="1B77CD73" w14:textId="77777777" w:rsidR="00680B8A" w:rsidRPr="00680B8A" w:rsidRDefault="00680B8A" w:rsidP="00F74E2F">
            <w:pPr>
              <w:pStyle w:val="ECCTabletext"/>
              <w:jc w:val="left"/>
            </w:pPr>
            <w:r w:rsidRPr="00680B8A">
              <w:t>Core Strategic Question</w:t>
            </w:r>
          </w:p>
        </w:tc>
        <w:tc>
          <w:tcPr>
            <w:tcW w:w="0" w:type="auto"/>
            <w:vAlign w:val="top"/>
            <w:hideMark/>
          </w:tcPr>
          <w:p w14:paraId="5E117F2E" w14:textId="77777777" w:rsidR="00680B8A" w:rsidRPr="00680B8A" w:rsidRDefault="00680B8A" w:rsidP="00F74E2F">
            <w:pPr>
              <w:pStyle w:val="ECCTabletext"/>
              <w:jc w:val="left"/>
            </w:pPr>
            <w:r w:rsidRPr="00680B8A">
              <w:t>Primary Stakeholders</w:t>
            </w:r>
          </w:p>
        </w:tc>
        <w:tc>
          <w:tcPr>
            <w:tcW w:w="0" w:type="auto"/>
            <w:vAlign w:val="top"/>
            <w:hideMark/>
          </w:tcPr>
          <w:p w14:paraId="6048EFB6" w14:textId="77777777" w:rsidR="00680B8A" w:rsidRPr="00680B8A" w:rsidRDefault="00680B8A" w:rsidP="00F74E2F">
            <w:pPr>
              <w:pStyle w:val="ECCTabletext"/>
              <w:jc w:val="left"/>
            </w:pPr>
            <w:r w:rsidRPr="00680B8A">
              <w:t>Strategic Context &amp; Outcome</w:t>
            </w:r>
          </w:p>
        </w:tc>
      </w:tr>
      <w:tr w:rsidR="00680B8A" w:rsidRPr="00680B8A" w14:paraId="32C67C35" w14:textId="77777777" w:rsidTr="00F74E2F">
        <w:tc>
          <w:tcPr>
            <w:tcW w:w="0" w:type="auto"/>
            <w:vAlign w:val="top"/>
            <w:hideMark/>
          </w:tcPr>
          <w:p w14:paraId="30C1EAEB" w14:textId="77777777" w:rsidR="00680B8A" w:rsidRPr="00680B8A" w:rsidRDefault="00680B8A" w:rsidP="00F74E2F">
            <w:pPr>
              <w:pStyle w:val="ECCTabletext"/>
              <w:jc w:val="left"/>
            </w:pPr>
            <w:r w:rsidRPr="00680B8A">
              <w:rPr>
                <w:bCs/>
              </w:rPr>
              <w:t>Digital Networks Act (DNA)</w:t>
            </w:r>
          </w:p>
        </w:tc>
        <w:tc>
          <w:tcPr>
            <w:tcW w:w="0" w:type="auto"/>
            <w:vAlign w:val="top"/>
            <w:hideMark/>
          </w:tcPr>
          <w:p w14:paraId="1A5E01AE" w14:textId="77777777" w:rsidR="00680B8A" w:rsidRPr="00680B8A" w:rsidRDefault="00680B8A" w:rsidP="00F74E2F">
            <w:pPr>
              <w:pStyle w:val="ECCTabletext"/>
              <w:jc w:val="left"/>
            </w:pPr>
            <w:r w:rsidRPr="00680B8A">
              <w:t>How to create a unified and future-proof regulatory framework for EU telecom infrastructure?</w:t>
            </w:r>
          </w:p>
        </w:tc>
        <w:tc>
          <w:tcPr>
            <w:tcW w:w="0" w:type="auto"/>
            <w:vAlign w:val="top"/>
            <w:hideMark/>
          </w:tcPr>
          <w:p w14:paraId="23732E8E" w14:textId="77777777" w:rsidR="00680B8A" w:rsidRPr="00680B8A" w:rsidRDefault="00680B8A" w:rsidP="00F74E2F">
            <w:pPr>
              <w:pStyle w:val="ECCTabletext"/>
              <w:jc w:val="left"/>
            </w:pPr>
            <w:r w:rsidRPr="00680B8A">
              <w:t>European Commission, Member States, Telecom Operators, Private Network Verticals</w:t>
            </w:r>
          </w:p>
        </w:tc>
        <w:tc>
          <w:tcPr>
            <w:tcW w:w="0" w:type="auto"/>
            <w:vAlign w:val="top"/>
            <w:hideMark/>
          </w:tcPr>
          <w:p w14:paraId="14CDB5DC" w14:textId="22249F50" w:rsidR="00680B8A" w:rsidRPr="00680B8A" w:rsidRDefault="00680B8A" w:rsidP="00F74E2F">
            <w:pPr>
              <w:pStyle w:val="ECCTabletext"/>
              <w:jc w:val="left"/>
            </w:pPr>
            <w:r w:rsidRPr="00680B8A">
              <w:t>The DNA, as a regulation, signals a shift towards EU-level policy control to address fragmentation and inconsistent spectrum management. This legislative vehicle underpins many technical debates.</w:t>
            </w:r>
          </w:p>
        </w:tc>
      </w:tr>
      <w:tr w:rsidR="00680B8A" w:rsidRPr="00680B8A" w14:paraId="56493C90" w14:textId="77777777" w:rsidTr="00F74E2F">
        <w:tc>
          <w:tcPr>
            <w:tcW w:w="0" w:type="auto"/>
            <w:vAlign w:val="top"/>
            <w:hideMark/>
          </w:tcPr>
          <w:p w14:paraId="0397DB71" w14:textId="77777777" w:rsidR="00680B8A" w:rsidRPr="00680B8A" w:rsidRDefault="00680B8A" w:rsidP="00F74E2F">
            <w:pPr>
              <w:pStyle w:val="ECCTabletext"/>
              <w:jc w:val="left"/>
            </w:pPr>
            <w:r w:rsidRPr="00680B8A">
              <w:rPr>
                <w:bCs/>
              </w:rPr>
              <w:t>Upper 6 GHz Band (6425–7125 MHz)</w:t>
            </w:r>
          </w:p>
        </w:tc>
        <w:tc>
          <w:tcPr>
            <w:tcW w:w="0" w:type="auto"/>
            <w:vAlign w:val="top"/>
            <w:hideMark/>
          </w:tcPr>
          <w:p w14:paraId="73CA3DE3" w14:textId="77777777" w:rsidR="00680B8A" w:rsidRPr="00680B8A" w:rsidRDefault="00680B8A" w:rsidP="00F74E2F">
            <w:pPr>
              <w:pStyle w:val="ECCTabletext"/>
              <w:jc w:val="left"/>
            </w:pPr>
            <w:r w:rsidRPr="00680B8A">
              <w:t>How to allocate Europe's last large contiguous mid-band spectrum block to best support next-gen connectivity?</w:t>
            </w:r>
          </w:p>
        </w:tc>
        <w:tc>
          <w:tcPr>
            <w:tcW w:w="0" w:type="auto"/>
            <w:vAlign w:val="top"/>
            <w:hideMark/>
          </w:tcPr>
          <w:p w14:paraId="30B52461" w14:textId="77777777" w:rsidR="00680B8A" w:rsidRPr="00680B8A" w:rsidRDefault="00680B8A" w:rsidP="00F74E2F">
            <w:pPr>
              <w:pStyle w:val="ECCTabletext"/>
              <w:jc w:val="left"/>
            </w:pPr>
            <w:r w:rsidRPr="00680B8A">
              <w:t>Mobile Operators (GSMA, Connect Europe), Wi-Fi Community (Wi-Fi Alliance, DSA), RSPG</w:t>
            </w:r>
          </w:p>
        </w:tc>
        <w:tc>
          <w:tcPr>
            <w:tcW w:w="0" w:type="auto"/>
            <w:vAlign w:val="top"/>
            <w:hideMark/>
          </w:tcPr>
          <w:p w14:paraId="30415AE8" w14:textId="752BC523" w:rsidR="00680B8A" w:rsidRPr="00680B8A" w:rsidRDefault="00680B8A" w:rsidP="00F74E2F">
            <w:pPr>
              <w:pStyle w:val="ECCTabletext"/>
              <w:jc w:val="left"/>
            </w:pPr>
            <w:r w:rsidRPr="00680B8A">
              <w:t>The defining debate of the conference, pitting a licensed-for-6G model against an unlicensed-for-Wi-Fi-7 model. A final RSPG recommendation is expected in late 2025.</w:t>
            </w:r>
          </w:p>
        </w:tc>
      </w:tr>
      <w:tr w:rsidR="00680B8A" w:rsidRPr="00680B8A" w14:paraId="19E1AF46" w14:textId="77777777" w:rsidTr="00F74E2F">
        <w:tc>
          <w:tcPr>
            <w:tcW w:w="0" w:type="auto"/>
            <w:vAlign w:val="top"/>
            <w:hideMark/>
          </w:tcPr>
          <w:p w14:paraId="52A548B0" w14:textId="77777777" w:rsidR="00680B8A" w:rsidRPr="00680B8A" w:rsidRDefault="00680B8A" w:rsidP="00F74E2F">
            <w:pPr>
              <w:pStyle w:val="ECCTabletext"/>
              <w:jc w:val="left"/>
            </w:pPr>
            <w:r w:rsidRPr="00680B8A">
              <w:rPr>
                <w:bCs/>
              </w:rPr>
              <w:t>Sub-700 MHz Band (470–694 MHz)</w:t>
            </w:r>
          </w:p>
        </w:tc>
        <w:tc>
          <w:tcPr>
            <w:tcW w:w="0" w:type="auto"/>
            <w:vAlign w:val="top"/>
            <w:hideMark/>
          </w:tcPr>
          <w:p w14:paraId="29E262C1" w14:textId="77777777" w:rsidR="00680B8A" w:rsidRPr="00680B8A" w:rsidRDefault="00680B8A" w:rsidP="00F74E2F">
            <w:pPr>
              <w:pStyle w:val="ECCTabletext"/>
              <w:jc w:val="left"/>
            </w:pPr>
            <w:r w:rsidRPr="00680B8A">
              <w:t>How to balance the needs of legacy broadcasting and cultural industries with the long-term needs of mobile broadband beyond 2030?</w:t>
            </w:r>
          </w:p>
        </w:tc>
        <w:tc>
          <w:tcPr>
            <w:tcW w:w="0" w:type="auto"/>
            <w:vAlign w:val="top"/>
            <w:hideMark/>
          </w:tcPr>
          <w:p w14:paraId="6CF33F48" w14:textId="77777777" w:rsidR="00680B8A" w:rsidRPr="00680B8A" w:rsidRDefault="00680B8A" w:rsidP="00F74E2F">
            <w:pPr>
              <w:pStyle w:val="ECCTabletext"/>
              <w:jc w:val="left"/>
            </w:pPr>
            <w:r w:rsidRPr="00680B8A">
              <w:t>Wider Spectrum Group (Broadcasters, PMSE), Mobile Operators, RSPG</w:t>
            </w:r>
          </w:p>
        </w:tc>
        <w:tc>
          <w:tcPr>
            <w:tcW w:w="0" w:type="auto"/>
            <w:vAlign w:val="top"/>
            <w:hideMark/>
          </w:tcPr>
          <w:p w14:paraId="4ACF9DB3" w14:textId="2B479BAB" w:rsidR="00680B8A" w:rsidRPr="00680B8A" w:rsidRDefault="00680B8A" w:rsidP="00F74E2F">
            <w:pPr>
              <w:pStyle w:val="ECCTabletext"/>
              <w:jc w:val="left"/>
            </w:pPr>
            <w:r w:rsidRPr="00680B8A">
              <w:t>An ongoing, politically charged debate. The conference highlighted the cultural importance of the band, a counterpoint to technical and economic arguments for re-farming.</w:t>
            </w:r>
          </w:p>
        </w:tc>
      </w:tr>
      <w:tr w:rsidR="00680B8A" w:rsidRPr="00680B8A" w14:paraId="300FD40F" w14:textId="77777777" w:rsidTr="00F74E2F">
        <w:tc>
          <w:tcPr>
            <w:tcW w:w="0" w:type="auto"/>
            <w:vAlign w:val="top"/>
            <w:hideMark/>
          </w:tcPr>
          <w:p w14:paraId="020DE2B4" w14:textId="77777777" w:rsidR="00680B8A" w:rsidRPr="00680B8A" w:rsidRDefault="00680B8A" w:rsidP="00F74E2F">
            <w:pPr>
              <w:pStyle w:val="ECCTabletext"/>
              <w:jc w:val="left"/>
            </w:pPr>
            <w:r w:rsidRPr="00680B8A">
              <w:rPr>
                <w:bCs/>
              </w:rPr>
              <w:t>Non-Terrestrial Networks (NTN)</w:t>
            </w:r>
          </w:p>
        </w:tc>
        <w:tc>
          <w:tcPr>
            <w:tcW w:w="0" w:type="auto"/>
            <w:vAlign w:val="top"/>
            <w:hideMark/>
          </w:tcPr>
          <w:p w14:paraId="69BED7CC" w14:textId="77777777" w:rsidR="00680B8A" w:rsidRPr="00680B8A" w:rsidRDefault="00680B8A" w:rsidP="00F74E2F">
            <w:pPr>
              <w:pStyle w:val="ECCTabletext"/>
              <w:jc w:val="left"/>
            </w:pPr>
            <w:r w:rsidRPr="00680B8A">
              <w:t>How to regulate a new generation of satellite connectivity (D2D) that converges with terrestrial networks?</w:t>
            </w:r>
          </w:p>
        </w:tc>
        <w:tc>
          <w:tcPr>
            <w:tcW w:w="0" w:type="auto"/>
            <w:vAlign w:val="top"/>
            <w:hideMark/>
          </w:tcPr>
          <w:p w14:paraId="5969A718" w14:textId="77777777" w:rsidR="00680B8A" w:rsidRPr="00680B8A" w:rsidRDefault="00680B8A" w:rsidP="00F74E2F">
            <w:pPr>
              <w:pStyle w:val="ECCTabletext"/>
              <w:jc w:val="left"/>
            </w:pPr>
            <w:r w:rsidRPr="00680B8A">
              <w:t>Satellite Operators, Mobile Operators, RSPG, CEPT</w:t>
            </w:r>
          </w:p>
        </w:tc>
        <w:tc>
          <w:tcPr>
            <w:tcW w:w="0" w:type="auto"/>
            <w:vAlign w:val="top"/>
            <w:hideMark/>
          </w:tcPr>
          <w:p w14:paraId="453C2979" w14:textId="50641A09" w:rsidR="00680B8A" w:rsidRPr="00680B8A" w:rsidRDefault="00680B8A" w:rsidP="00F74E2F">
            <w:pPr>
              <w:pStyle w:val="ECCTabletext"/>
              <w:jc w:val="left"/>
            </w:pPr>
            <w:r w:rsidRPr="00680B8A">
              <w:t>The EU is proactively addressing new D2D service models, including a key RSPG opinion that recommends a CEPT mandate for harmonized technical conditions, indicating a new regulatory paradigm is forming.</w:t>
            </w:r>
          </w:p>
        </w:tc>
      </w:tr>
    </w:tbl>
    <w:p w14:paraId="6A4719C4" w14:textId="77777777" w:rsidR="00680B8A" w:rsidRPr="00680B8A" w:rsidRDefault="006802B4" w:rsidP="00680B8A">
      <w:r>
        <w:pict w14:anchorId="26AD2EAB">
          <v:rect id="_x0000_i1026" style="width:0;height:1.5pt" o:hralign="center" o:hrstd="t" o:hr="t" fillcolor="#a0a0a0" stroked="f"/>
        </w:pict>
      </w:r>
    </w:p>
    <w:p w14:paraId="44B457A2" w14:textId="34BAF0AD" w:rsidR="00680B8A" w:rsidRPr="00F74E2F" w:rsidRDefault="00680B8A" w:rsidP="00216306">
      <w:pPr>
        <w:pStyle w:val="Cmsor1"/>
        <w:rPr>
          <w:lang w:val="en-GB"/>
        </w:rPr>
      </w:pPr>
      <w:r w:rsidRPr="00F74E2F">
        <w:rPr>
          <w:lang w:val="en-GB"/>
        </w:rPr>
        <w:lastRenderedPageBreak/>
        <w:t>At a Geopolitical Crossroads: The Digital Networks Act and Europe's Global Position</w:t>
      </w:r>
    </w:p>
    <w:p w14:paraId="5592BD1D" w14:textId="0DCC79E7" w:rsidR="00680B8A" w:rsidRPr="00F74E2F" w:rsidRDefault="00680B8A" w:rsidP="00216306">
      <w:pPr>
        <w:pStyle w:val="Cmsor2"/>
        <w:rPr>
          <w:lang w:val="en-GB"/>
        </w:rPr>
      </w:pPr>
      <w:r w:rsidRPr="00F74E2F">
        <w:rPr>
          <w:lang w:val="en-GB"/>
        </w:rPr>
        <w:t>The Conference as a Crucible for European Competitiveness</w:t>
      </w:r>
    </w:p>
    <w:p w14:paraId="796DE483" w14:textId="3C6C8AC6" w:rsidR="00680B8A" w:rsidRPr="00680B8A" w:rsidRDefault="00680B8A" w:rsidP="00680B8A">
      <w:r w:rsidRPr="00680B8A">
        <w:t>The 20th European Spectrum Management Conference was framed from the outset as a platform for shaping Europe's strategic direction. Speakers in the event's summary video praised the discussion for its ability to gather the viewpoints of diverse stakeholders, which they deemed "a very important geopolitical moment" for pushing European competitiveness. Unlike previous iterations of the conference that may have focused disproportionately on mobile broadband, this event was explicitly noted for its "holistic view," incorporating a wide range of stakeholders and use cases, including satellites, military, broadcasting, and scientific services. This shift in focus signals a strategic recognition among policymakers and industry leaders that spectrum is no longer a siloed technical resource but a foundational element of a converged digital future. Consequently, its management is directly tied to Europe’s position on the global stage, particularly in light of new legislative modifications.</w:t>
      </w:r>
    </w:p>
    <w:p w14:paraId="07E473C6" w14:textId="5DE910E2" w:rsidR="00680B8A" w:rsidRPr="00F74E2F" w:rsidRDefault="00680B8A" w:rsidP="00216306">
      <w:pPr>
        <w:pStyle w:val="Cmsor2"/>
        <w:rPr>
          <w:lang w:val="en-GB"/>
        </w:rPr>
      </w:pPr>
      <w:r w:rsidRPr="00F74E2F">
        <w:rPr>
          <w:lang w:val="en-GB"/>
        </w:rPr>
        <w:t>The Digital Networks Act: The New Regulatory Blueprint</w:t>
      </w:r>
    </w:p>
    <w:p w14:paraId="623A21E8" w14:textId="2306A624" w:rsidR="00680B8A" w:rsidRPr="00680B8A" w:rsidRDefault="00680B8A" w:rsidP="00680B8A">
      <w:r w:rsidRPr="00680B8A">
        <w:t>The most significant legislative context for the conference was the proposed Digital Networks Act (DNA). Key themes listed for the conference explicitly included "Spectrum policy &amp; the Digital Networks Act". The DNA is seen as the EU's most consequential telecoms reform in decades, designed to overhaul the existing European Electronic Communications Code (EECC) framework to create a more integrated and competitive single market.</w:t>
      </w:r>
      <w:r w:rsidRPr="00680B8A">
        <w:rPr>
          <w:vertAlign w:val="superscript"/>
        </w:rPr>
        <w:t>2</w:t>
      </w:r>
      <w:r w:rsidRPr="00680B8A">
        <w:t xml:space="preserve"> The legislative initiative is meant to address challenges within the current framework, such as the lack of a fully integrated market and the inconsistent management of radio spectrum licensing across member states.</w:t>
      </w:r>
      <w:r w:rsidRPr="00680B8A">
        <w:rPr>
          <w:vertAlign w:val="superscript"/>
        </w:rPr>
        <w:t>2</w:t>
      </w:r>
      <w:r w:rsidRPr="00680B8A">
        <w:t xml:space="preserve"> The conference provided a forum to discuss specific provisions of the DNA, which is a regulation rather than a directive, meaning it will be directly applicable in all EU member states, similar to the GDPR.</w:t>
      </w:r>
    </w:p>
    <w:p w14:paraId="6B33BD36" w14:textId="77777777" w:rsidR="00680B8A" w:rsidRPr="00680B8A" w:rsidRDefault="00680B8A" w:rsidP="00680B8A">
      <w:r w:rsidRPr="00680B8A">
        <w:t>Key mechanisms discussed for the proposed legislation include timed auctions, extended license periods, and a "use it or lose it" clause to reclaim idle frequencies.</w:t>
      </w:r>
      <w:r w:rsidRPr="00680B8A">
        <w:rPr>
          <w:vertAlign w:val="superscript"/>
        </w:rPr>
        <w:t>10</w:t>
      </w:r>
      <w:r w:rsidRPr="00680B8A">
        <w:t xml:space="preserve"> Additionally, the European Commission is examining a "country of origin" licensing principle for core network operators to enable cross-border economies of scale.</w:t>
      </w:r>
      <w:r w:rsidRPr="00680B8A">
        <w:rPr>
          <w:vertAlign w:val="superscript"/>
        </w:rPr>
        <w:t>10</w:t>
      </w:r>
      <w:r w:rsidRPr="00680B8A">
        <w:t xml:space="preserve"> This move towards harmonization is intended to create a more efficient system for allocating scarce frequency resources and promote the expansion of European networks from a single, coordinated source.</w:t>
      </w:r>
      <w:r w:rsidRPr="00680B8A">
        <w:rPr>
          <w:vertAlign w:val="superscript"/>
        </w:rPr>
        <w:t>10</w:t>
      </w:r>
      <w:r w:rsidRPr="00680B8A">
        <w:t xml:space="preserve"> This represents a significant shift in regulatory power. The DNA signals a decisive move by the European Commission away from national-level variability towards a more centralized, top-down control of critical digital policy. The conference's focus on the DNA's provisions shows that member states are now evaluating the extent of national sovereignty they are willing to cede to achieve the DNA's goal of a more robust and secure digital infrastructure.</w:t>
      </w:r>
      <w:r w:rsidRPr="00680B8A">
        <w:rPr>
          <w:vertAlign w:val="superscript"/>
        </w:rPr>
        <w:t>17</w:t>
      </w:r>
      <w:r w:rsidRPr="00680B8A">
        <w:t xml:space="preserve"> This is a core political dimension underpinning all the technical discussions.</w:t>
      </w:r>
    </w:p>
    <w:p w14:paraId="3AEEAB17" w14:textId="45A537B4" w:rsidR="00680B8A" w:rsidRPr="00F74E2F" w:rsidRDefault="00680B8A" w:rsidP="00216306">
      <w:pPr>
        <w:pStyle w:val="Cmsor1"/>
        <w:rPr>
          <w:lang w:val="en-GB"/>
        </w:rPr>
      </w:pPr>
      <w:r w:rsidRPr="00F74E2F">
        <w:rPr>
          <w:lang w:val="en-GB"/>
        </w:rPr>
        <w:t>The Battle for the Mid-Bands: Defining the Future of 5G and 6G</w:t>
      </w:r>
    </w:p>
    <w:p w14:paraId="71266F8A" w14:textId="1468A1E4" w:rsidR="00680B8A" w:rsidRPr="00F74E2F" w:rsidRDefault="00680B8A" w:rsidP="00216306">
      <w:pPr>
        <w:pStyle w:val="Cmsor2"/>
        <w:rPr>
          <w:lang w:val="en-GB"/>
        </w:rPr>
      </w:pPr>
      <w:r w:rsidRPr="00F74E2F">
        <w:rPr>
          <w:lang w:val="en-GB"/>
        </w:rPr>
        <w:t>The Upper 6 GHz Band: The Defining Conflict</w:t>
      </w:r>
    </w:p>
    <w:p w14:paraId="6A91E755" w14:textId="30C45E81" w:rsidR="00680B8A" w:rsidRPr="00680B8A" w:rsidRDefault="00680B8A" w:rsidP="00680B8A">
      <w:r w:rsidRPr="00680B8A">
        <w:t>The most prominent and contentious debate at the conference, as indicated by multiple sources, was the future allocation of the upper 6 GHz band (6425–7125 MHz).</w:t>
      </w:r>
      <w:r w:rsidR="00B82E10" w:rsidRPr="00F74E2F">
        <w:t xml:space="preserve"> </w:t>
      </w:r>
      <w:r w:rsidRPr="00680B8A">
        <w:t>This discussion is not merely about a single band but about two competing strategic visions for Europe's digital future, with the RSPG's upcoming recommendation in November 2025 serving as a pivotal moment.</w:t>
      </w:r>
    </w:p>
    <w:p w14:paraId="7A649EC9" w14:textId="3F5DD9B5" w:rsidR="00680B8A" w:rsidRPr="00680B8A" w:rsidRDefault="00680B8A" w:rsidP="00680B8A">
      <w:pPr>
        <w:numPr>
          <w:ilvl w:val="0"/>
          <w:numId w:val="18"/>
        </w:numPr>
      </w:pPr>
      <w:r w:rsidRPr="00680B8A">
        <w:rPr>
          <w:b/>
          <w:bCs/>
        </w:rPr>
        <w:t>The Case for Licensed Use (Mobile Operators):</w:t>
      </w:r>
      <w:r w:rsidRPr="00680B8A">
        <w:t xml:space="preserve"> A coalition of major European </w:t>
      </w:r>
      <w:proofErr w:type="spellStart"/>
      <w:r w:rsidRPr="00680B8A">
        <w:t>telcos</w:t>
      </w:r>
      <w:proofErr w:type="spellEnd"/>
      <w:r w:rsidRPr="00680B8A">
        <w:t xml:space="preserve">, including GSMA and Connect Europe, advocates for allocating the </w:t>
      </w:r>
      <w:r w:rsidRPr="00680B8A">
        <w:rPr>
          <w:i/>
          <w:iCs/>
        </w:rPr>
        <w:t>entire</w:t>
      </w:r>
      <w:r w:rsidRPr="00680B8A">
        <w:t xml:space="preserve"> upper 6 GHz band to licensed mobile services (IMT).</w:t>
      </w:r>
      <w:r w:rsidRPr="00680B8A">
        <w:rPr>
          <w:vertAlign w:val="superscript"/>
        </w:rPr>
        <w:t>3</w:t>
      </w:r>
      <w:r w:rsidRPr="00680B8A">
        <w:t xml:space="preserve"> Their argument is based on a forward-looking vision for 6G, which they state will require wider, contiguous channels of 200 MHz and later 400 MHz to deliver on the promises of ultra-low latency and high capacity.</w:t>
      </w:r>
      <w:r w:rsidRPr="00680B8A">
        <w:rPr>
          <w:vertAlign w:val="superscript"/>
        </w:rPr>
        <w:t>11</w:t>
      </w:r>
      <w:r w:rsidRPr="00680B8A">
        <w:t xml:space="preserve"> They view this band as the "last substantial contiguous block of mid-band spectrum" in Europe that can support high-power, wide-area services.</w:t>
      </w:r>
      <w:r w:rsidRPr="00680B8A">
        <w:rPr>
          <w:vertAlign w:val="superscript"/>
        </w:rPr>
        <w:t>11</w:t>
      </w:r>
      <w:r w:rsidRPr="00680B8A">
        <w:t xml:space="preserve"> They also assert that licensed IMT use would yield an economic return "seven times greater than from unlicensed alternatives" and is more environmentally efficient due to the reduced number of base stations required </w:t>
      </w:r>
      <w:r w:rsidRPr="00680B8A">
        <w:lastRenderedPageBreak/>
        <w:t xml:space="preserve">for </w:t>
      </w:r>
      <w:proofErr w:type="spellStart"/>
      <w:r w:rsidRPr="00680B8A">
        <w:t>macrocell</w:t>
      </w:r>
      <w:proofErr w:type="spellEnd"/>
      <w:r w:rsidRPr="00680B8A">
        <w:t xml:space="preserve"> deployments. They suggest a phased approach to manage coexistence with incumbent Fixed Service (FS) links.</w:t>
      </w:r>
    </w:p>
    <w:p w14:paraId="012C8F57" w14:textId="44B066E5" w:rsidR="00680B8A" w:rsidRPr="00680B8A" w:rsidRDefault="00680B8A" w:rsidP="00680B8A">
      <w:pPr>
        <w:numPr>
          <w:ilvl w:val="0"/>
          <w:numId w:val="18"/>
        </w:numPr>
      </w:pPr>
      <w:r w:rsidRPr="00680B8A">
        <w:rPr>
          <w:b/>
          <w:bCs/>
        </w:rPr>
        <w:t>The Case for Unlicensed Use (Wi-Fi Community):</w:t>
      </w:r>
      <w:r w:rsidRPr="00680B8A">
        <w:t xml:space="preserve"> On the other side, a broad coalition led by the Dynamic Spectrum Alliance (DSA) and the Wi-Fi Alliance argues for making the upper 6 GHz band available for unlicensed use. They contend that Wi-Fi is where the "vast majority of internet traffic" in Europe starts or ends, especially indoors. They argue that restricting access would hamper innovation, limit competition, and prevent Europe from catching up to other regions (e.g., the U.S., Canada, South Korea) that have already opened the entire band They also highlight that unlicensed access lowers barriers to entry for SMEs and supports the universal fixed gigabit network coverage required by the EU's Digital Decade Policy Programme.</w:t>
      </w:r>
    </w:p>
    <w:p w14:paraId="2583BC12" w14:textId="77777777" w:rsidR="00680B8A" w:rsidRPr="00F74E2F" w:rsidRDefault="00680B8A" w:rsidP="00680B8A">
      <w:r w:rsidRPr="00680B8A">
        <w:t>This debate represents a fundamental ideological and economic clash. Mobile operators propose a top-down, managed, and monetized model where spectrum is a scarce resource allocated via licenses to large incumbents. In contrast, the Wi-Fi community advocates for a bottom-up, open-access, and innovative ecosystem where spectrum is an abundant shared resource. The outcome of this debate will not only determine Europe's trajectory for 6G but will also serve as a precedent for how future spectrum will be managed, reflecting a choice between two distinct visions for the digital economy.</w:t>
      </w:r>
    </w:p>
    <w:p w14:paraId="67CBEB34" w14:textId="77777777" w:rsidR="00216306" w:rsidRPr="00680B8A" w:rsidRDefault="00216306" w:rsidP="00680B8A"/>
    <w:p w14:paraId="49D2D29C" w14:textId="77777777" w:rsidR="00680B8A" w:rsidRPr="00F74E2F" w:rsidRDefault="00680B8A" w:rsidP="00216306">
      <w:pPr>
        <w:pStyle w:val="ECCTableHeaderredfont"/>
        <w:jc w:val="center"/>
        <w:rPr>
          <w:b/>
          <w:bCs w:val="0"/>
        </w:rPr>
      </w:pPr>
      <w:r w:rsidRPr="00F74E2F">
        <w:rPr>
          <w:b/>
          <w:bCs w:val="0"/>
        </w:rPr>
        <w:t>Table 2: 6 GHz Stakeholder Positions</w:t>
      </w:r>
    </w:p>
    <w:tbl>
      <w:tblPr>
        <w:tblStyle w:val="ECCTable-redheader"/>
        <w:tblW w:w="0" w:type="auto"/>
        <w:tblInd w:w="0" w:type="dxa"/>
        <w:tblLook w:val="04A0" w:firstRow="1" w:lastRow="0" w:firstColumn="1" w:lastColumn="0" w:noHBand="0" w:noVBand="1"/>
      </w:tblPr>
      <w:tblGrid>
        <w:gridCol w:w="1447"/>
        <w:gridCol w:w="4118"/>
        <w:gridCol w:w="4064"/>
      </w:tblGrid>
      <w:tr w:rsidR="00680B8A" w:rsidRPr="00680B8A" w14:paraId="022A818D" w14:textId="77777777" w:rsidTr="00F74E2F">
        <w:trPr>
          <w:cnfStyle w:val="100000000000" w:firstRow="1" w:lastRow="0" w:firstColumn="0" w:lastColumn="0" w:oddVBand="0" w:evenVBand="0" w:oddHBand="0" w:evenHBand="0" w:firstRowFirstColumn="0" w:firstRowLastColumn="0" w:lastRowFirstColumn="0" w:lastRowLastColumn="0"/>
        </w:trPr>
        <w:tc>
          <w:tcPr>
            <w:tcW w:w="0" w:type="auto"/>
            <w:vAlign w:val="top"/>
            <w:hideMark/>
          </w:tcPr>
          <w:p w14:paraId="37E6885F" w14:textId="77777777" w:rsidR="00680B8A" w:rsidRPr="00680B8A" w:rsidRDefault="00680B8A" w:rsidP="00F74E2F">
            <w:pPr>
              <w:pStyle w:val="ECCTabletext"/>
              <w:jc w:val="left"/>
            </w:pPr>
            <w:r w:rsidRPr="00680B8A">
              <w:t>Aspect</w:t>
            </w:r>
          </w:p>
        </w:tc>
        <w:tc>
          <w:tcPr>
            <w:tcW w:w="0" w:type="auto"/>
            <w:vAlign w:val="top"/>
            <w:hideMark/>
          </w:tcPr>
          <w:p w14:paraId="220A70A4" w14:textId="77777777" w:rsidR="00680B8A" w:rsidRPr="00680B8A" w:rsidRDefault="00680B8A" w:rsidP="00F74E2F">
            <w:pPr>
              <w:pStyle w:val="ECCTabletext"/>
              <w:jc w:val="left"/>
            </w:pPr>
            <w:r w:rsidRPr="00680B8A">
              <w:t>Mobile Operator Position (GSMA, Connect Europe)</w:t>
            </w:r>
          </w:p>
        </w:tc>
        <w:tc>
          <w:tcPr>
            <w:tcW w:w="0" w:type="auto"/>
            <w:vAlign w:val="top"/>
            <w:hideMark/>
          </w:tcPr>
          <w:p w14:paraId="05900C0A" w14:textId="77777777" w:rsidR="00680B8A" w:rsidRPr="00680B8A" w:rsidRDefault="00680B8A" w:rsidP="00F74E2F">
            <w:pPr>
              <w:pStyle w:val="ECCTabletext"/>
              <w:jc w:val="left"/>
            </w:pPr>
            <w:r w:rsidRPr="00680B8A">
              <w:t>Wi-Fi Community Position (DSA, Wi-Fi Alliance)</w:t>
            </w:r>
          </w:p>
        </w:tc>
      </w:tr>
      <w:tr w:rsidR="00680B8A" w:rsidRPr="00680B8A" w14:paraId="69E19B10" w14:textId="77777777" w:rsidTr="00F74E2F">
        <w:tc>
          <w:tcPr>
            <w:tcW w:w="0" w:type="auto"/>
            <w:vAlign w:val="top"/>
            <w:hideMark/>
          </w:tcPr>
          <w:p w14:paraId="33B8AE41" w14:textId="77777777" w:rsidR="00680B8A" w:rsidRPr="00680B8A" w:rsidRDefault="00680B8A" w:rsidP="00F74E2F">
            <w:pPr>
              <w:pStyle w:val="ECCTabletext"/>
              <w:jc w:val="left"/>
            </w:pPr>
            <w:r w:rsidRPr="00680B8A">
              <w:rPr>
                <w:bCs/>
              </w:rPr>
              <w:t>Proposed Use</w:t>
            </w:r>
          </w:p>
        </w:tc>
        <w:tc>
          <w:tcPr>
            <w:tcW w:w="0" w:type="auto"/>
            <w:vAlign w:val="top"/>
            <w:hideMark/>
          </w:tcPr>
          <w:p w14:paraId="4F01B7A6" w14:textId="12ADBCDA" w:rsidR="00680B8A" w:rsidRPr="00680B8A" w:rsidRDefault="00680B8A" w:rsidP="00F74E2F">
            <w:pPr>
              <w:pStyle w:val="ECCTabletext"/>
              <w:jc w:val="left"/>
            </w:pPr>
            <w:r w:rsidRPr="00680B8A">
              <w:t xml:space="preserve">Allocate the </w:t>
            </w:r>
            <w:r w:rsidRPr="00680B8A">
              <w:rPr>
                <w:iCs/>
              </w:rPr>
              <w:t>entire</w:t>
            </w:r>
            <w:r w:rsidRPr="00680B8A">
              <w:t xml:space="preserve"> upper 6 GHz band (6425-7125 MHz) to licensed IMT.</w:t>
            </w:r>
          </w:p>
        </w:tc>
        <w:tc>
          <w:tcPr>
            <w:tcW w:w="0" w:type="auto"/>
            <w:vAlign w:val="top"/>
            <w:hideMark/>
          </w:tcPr>
          <w:p w14:paraId="0FEF4974" w14:textId="2E32A2E1" w:rsidR="00680B8A" w:rsidRPr="00680B8A" w:rsidRDefault="00680B8A" w:rsidP="00F74E2F">
            <w:pPr>
              <w:pStyle w:val="ECCTabletext"/>
              <w:jc w:val="left"/>
            </w:pPr>
            <w:r w:rsidRPr="00680B8A">
              <w:t>Unlock the upper 6 GHz band for unlicensed Wi-Fi use.</w:t>
            </w:r>
          </w:p>
        </w:tc>
      </w:tr>
      <w:tr w:rsidR="00680B8A" w:rsidRPr="00680B8A" w14:paraId="713E27E7" w14:textId="77777777" w:rsidTr="00F74E2F">
        <w:tc>
          <w:tcPr>
            <w:tcW w:w="0" w:type="auto"/>
            <w:vAlign w:val="top"/>
            <w:hideMark/>
          </w:tcPr>
          <w:p w14:paraId="0F06B04C" w14:textId="77777777" w:rsidR="00680B8A" w:rsidRPr="00680B8A" w:rsidRDefault="00680B8A" w:rsidP="00F74E2F">
            <w:pPr>
              <w:pStyle w:val="ECCTabletext"/>
              <w:jc w:val="left"/>
            </w:pPr>
            <w:r w:rsidRPr="00680B8A">
              <w:rPr>
                <w:bCs/>
              </w:rPr>
              <w:t>Primary Rationale</w:t>
            </w:r>
          </w:p>
        </w:tc>
        <w:tc>
          <w:tcPr>
            <w:tcW w:w="0" w:type="auto"/>
            <w:vAlign w:val="top"/>
            <w:hideMark/>
          </w:tcPr>
          <w:p w14:paraId="0EA61447" w14:textId="636D2E8D" w:rsidR="00680B8A" w:rsidRPr="00680B8A" w:rsidRDefault="00680B8A" w:rsidP="00F74E2F">
            <w:pPr>
              <w:pStyle w:val="ECCTabletext"/>
              <w:jc w:val="left"/>
            </w:pPr>
            <w:r w:rsidRPr="00680B8A">
              <w:t>Crucial for 6G, which requires wide, contiguous channels of 200-400 MHz for next-gen services.</w:t>
            </w:r>
          </w:p>
        </w:tc>
        <w:tc>
          <w:tcPr>
            <w:tcW w:w="0" w:type="auto"/>
            <w:vAlign w:val="top"/>
            <w:hideMark/>
          </w:tcPr>
          <w:p w14:paraId="146491E8" w14:textId="00B9C0A9" w:rsidR="00680B8A" w:rsidRPr="00680B8A" w:rsidRDefault="00680B8A" w:rsidP="00F74E2F">
            <w:pPr>
              <w:pStyle w:val="ECCTabletext"/>
              <w:jc w:val="left"/>
            </w:pPr>
            <w:r w:rsidRPr="00680B8A">
              <w:t>Wi-Fi offloads most internet traffic, especially indoors. Unlicensed access fosters innovation and competition.</w:t>
            </w:r>
          </w:p>
        </w:tc>
      </w:tr>
      <w:tr w:rsidR="00680B8A" w:rsidRPr="00680B8A" w14:paraId="54809486" w14:textId="77777777" w:rsidTr="00F74E2F">
        <w:tc>
          <w:tcPr>
            <w:tcW w:w="0" w:type="auto"/>
            <w:vAlign w:val="top"/>
            <w:hideMark/>
          </w:tcPr>
          <w:p w14:paraId="788DB2B7" w14:textId="77777777" w:rsidR="00680B8A" w:rsidRPr="00680B8A" w:rsidRDefault="00680B8A" w:rsidP="00F74E2F">
            <w:pPr>
              <w:pStyle w:val="ECCTabletext"/>
              <w:jc w:val="left"/>
            </w:pPr>
            <w:r w:rsidRPr="00680B8A">
              <w:rPr>
                <w:bCs/>
              </w:rPr>
              <w:t>Economic Impact</w:t>
            </w:r>
          </w:p>
        </w:tc>
        <w:tc>
          <w:tcPr>
            <w:tcW w:w="0" w:type="auto"/>
            <w:vAlign w:val="top"/>
            <w:hideMark/>
          </w:tcPr>
          <w:p w14:paraId="6F0E0299" w14:textId="1233E9D1" w:rsidR="00680B8A" w:rsidRPr="00680B8A" w:rsidRDefault="00680B8A" w:rsidP="00F74E2F">
            <w:pPr>
              <w:pStyle w:val="ECCTabletext"/>
              <w:jc w:val="left"/>
            </w:pPr>
            <w:r w:rsidRPr="00680B8A">
              <w:t>Estimated economic return seven times greater than unlicensed alternatives due to its use for managed mobile services.</w:t>
            </w:r>
          </w:p>
        </w:tc>
        <w:tc>
          <w:tcPr>
            <w:tcW w:w="0" w:type="auto"/>
            <w:vAlign w:val="top"/>
            <w:hideMark/>
          </w:tcPr>
          <w:p w14:paraId="0786ABFC" w14:textId="4F879DD8" w:rsidR="00680B8A" w:rsidRPr="00680B8A" w:rsidRDefault="00680B8A" w:rsidP="00F74E2F">
            <w:pPr>
              <w:pStyle w:val="ECCTabletext"/>
              <w:jc w:val="left"/>
            </w:pPr>
            <w:r w:rsidRPr="00680B8A">
              <w:t>Lowers barriers to entry for SMEs. Unlicensed use supports the full economic potential of fixed gigabit networks.</w:t>
            </w:r>
          </w:p>
        </w:tc>
      </w:tr>
      <w:tr w:rsidR="00680B8A" w:rsidRPr="00680B8A" w14:paraId="28DA6038" w14:textId="77777777" w:rsidTr="00F74E2F">
        <w:tc>
          <w:tcPr>
            <w:tcW w:w="0" w:type="auto"/>
            <w:vAlign w:val="top"/>
            <w:hideMark/>
          </w:tcPr>
          <w:p w14:paraId="63CEB870" w14:textId="77777777" w:rsidR="00680B8A" w:rsidRPr="00680B8A" w:rsidRDefault="00680B8A" w:rsidP="00F74E2F">
            <w:pPr>
              <w:pStyle w:val="ECCTabletext"/>
              <w:jc w:val="left"/>
            </w:pPr>
            <w:r w:rsidRPr="00680B8A">
              <w:rPr>
                <w:bCs/>
              </w:rPr>
              <w:t>Global Context</w:t>
            </w:r>
          </w:p>
        </w:tc>
        <w:tc>
          <w:tcPr>
            <w:tcW w:w="0" w:type="auto"/>
            <w:vAlign w:val="top"/>
            <w:hideMark/>
          </w:tcPr>
          <w:p w14:paraId="0C867FC6" w14:textId="0D26FAEC" w:rsidR="00680B8A" w:rsidRPr="00680B8A" w:rsidRDefault="00680B8A" w:rsidP="00F74E2F">
            <w:pPr>
              <w:pStyle w:val="ECCTabletext"/>
              <w:jc w:val="left"/>
            </w:pPr>
            <w:r w:rsidRPr="00680B8A">
              <w:t>Warn that splitting the band would fragment the global ecosystem and hinder Europe's ability to compete in the 6G race.</w:t>
            </w:r>
          </w:p>
        </w:tc>
        <w:tc>
          <w:tcPr>
            <w:tcW w:w="0" w:type="auto"/>
            <w:vAlign w:val="top"/>
            <w:hideMark/>
          </w:tcPr>
          <w:p w14:paraId="1EE095AA" w14:textId="2B74F558" w:rsidR="00680B8A" w:rsidRPr="00680B8A" w:rsidRDefault="00680B8A" w:rsidP="00F74E2F">
            <w:pPr>
              <w:pStyle w:val="ECCTabletext"/>
              <w:jc w:val="left"/>
            </w:pPr>
            <w:r w:rsidRPr="00680B8A">
              <w:t>Europe is already behind other regions like the U.S. and South Korea that have opened the full band for unlicensed use.</w:t>
            </w:r>
          </w:p>
        </w:tc>
      </w:tr>
      <w:tr w:rsidR="00680B8A" w:rsidRPr="00680B8A" w14:paraId="0C523A3F" w14:textId="77777777" w:rsidTr="00F74E2F">
        <w:tc>
          <w:tcPr>
            <w:tcW w:w="0" w:type="auto"/>
            <w:vAlign w:val="top"/>
            <w:hideMark/>
          </w:tcPr>
          <w:p w14:paraId="5CAA066E" w14:textId="77777777" w:rsidR="00680B8A" w:rsidRPr="00680B8A" w:rsidRDefault="00680B8A" w:rsidP="00F74E2F">
            <w:pPr>
              <w:pStyle w:val="ECCTabletext"/>
              <w:jc w:val="left"/>
            </w:pPr>
            <w:r w:rsidRPr="00680B8A">
              <w:rPr>
                <w:bCs/>
              </w:rPr>
              <w:t>Coexistence</w:t>
            </w:r>
          </w:p>
        </w:tc>
        <w:tc>
          <w:tcPr>
            <w:tcW w:w="0" w:type="auto"/>
            <w:vAlign w:val="top"/>
            <w:hideMark/>
          </w:tcPr>
          <w:p w14:paraId="01C58BBF" w14:textId="72047424" w:rsidR="00680B8A" w:rsidRPr="00680B8A" w:rsidRDefault="00680B8A" w:rsidP="00F74E2F">
            <w:pPr>
              <w:pStyle w:val="ECCTabletext"/>
              <w:jc w:val="left"/>
            </w:pPr>
            <w:r w:rsidRPr="00680B8A">
              <w:t>The mobile industry has experience managing coexistence with incumbent services (FS links, etc.) and suggests a phased approach.</w:t>
            </w:r>
          </w:p>
        </w:tc>
        <w:tc>
          <w:tcPr>
            <w:tcW w:w="0" w:type="auto"/>
            <w:vAlign w:val="top"/>
            <w:hideMark/>
          </w:tcPr>
          <w:p w14:paraId="128ED370" w14:textId="06A543CE" w:rsidR="00680B8A" w:rsidRPr="00680B8A" w:rsidRDefault="00680B8A" w:rsidP="00F74E2F">
            <w:pPr>
              <w:pStyle w:val="ECCTabletext"/>
              <w:jc w:val="left"/>
            </w:pPr>
            <w:r w:rsidRPr="00680B8A">
              <w:t>A shared access model is essential to serve real-world usage patterns, and coexistence can be managed with technical solutions.</w:t>
            </w:r>
          </w:p>
        </w:tc>
      </w:tr>
    </w:tbl>
    <w:p w14:paraId="4991431A" w14:textId="5CE4703F" w:rsidR="00680B8A" w:rsidRPr="00F74E2F" w:rsidRDefault="00680B8A" w:rsidP="00216306">
      <w:pPr>
        <w:pStyle w:val="Cmsor2"/>
        <w:rPr>
          <w:lang w:val="en-GB"/>
        </w:rPr>
      </w:pPr>
      <w:r w:rsidRPr="00F74E2F">
        <w:rPr>
          <w:lang w:val="en-GB"/>
        </w:rPr>
        <w:t>Charting the Course to WRC-27</w:t>
      </w:r>
    </w:p>
    <w:p w14:paraId="64C80978" w14:textId="77777777" w:rsidR="00680B8A" w:rsidRPr="00680B8A" w:rsidRDefault="00680B8A" w:rsidP="00680B8A">
      <w:r w:rsidRPr="00680B8A">
        <w:t>The 20th conference served as a key step in Europe's preparatory process for the World Radiocommunication Conference 2027 (WRC-27).</w:t>
      </w:r>
      <w:r w:rsidRPr="00680B8A">
        <w:rPr>
          <w:vertAlign w:val="superscript"/>
        </w:rPr>
        <w:t>1</w:t>
      </w:r>
      <w:r w:rsidRPr="00680B8A">
        <w:t xml:space="preserve"> The RSPG's Interim Opinion on WRC-27, issued in June 2025, provided a framework for Europe's emerging position.</w:t>
      </w:r>
      <w:r w:rsidRPr="00680B8A">
        <w:rPr>
          <w:vertAlign w:val="superscript"/>
        </w:rPr>
        <w:t>12</w:t>
      </w:r>
      <w:r w:rsidRPr="00680B8A">
        <w:t xml:space="preserve"> The 6 GHz debate, along with discussions on new bands in the 7.125–8.5 GHz range </w:t>
      </w:r>
      <w:r w:rsidRPr="00680B8A">
        <w:rPr>
          <w:vertAlign w:val="superscript"/>
        </w:rPr>
        <w:t>1</w:t>
      </w:r>
      <w:r w:rsidRPr="00680B8A">
        <w:t xml:space="preserve"> and the future of the 2 GHz Mobile Satellite Service (MSS) band </w:t>
      </w:r>
      <w:r w:rsidRPr="00680B8A">
        <w:rPr>
          <w:vertAlign w:val="superscript"/>
        </w:rPr>
        <w:t>1</w:t>
      </w:r>
      <w:r w:rsidRPr="00680B8A">
        <w:t>, are all shaping Europe's international strategy ahead of the conference.</w:t>
      </w:r>
    </w:p>
    <w:p w14:paraId="6920364E" w14:textId="65969BCD" w:rsidR="00680B8A" w:rsidRPr="00F74E2F" w:rsidRDefault="00680B8A" w:rsidP="00216306">
      <w:pPr>
        <w:pStyle w:val="Cmsor1"/>
        <w:rPr>
          <w:lang w:val="en-GB"/>
        </w:rPr>
      </w:pPr>
      <w:r w:rsidRPr="00F74E2F">
        <w:rPr>
          <w:lang w:val="en-GB"/>
        </w:rPr>
        <w:lastRenderedPageBreak/>
        <w:t>The Evolution of Spectrum: Sharing, Satellites, and AI</w:t>
      </w:r>
    </w:p>
    <w:p w14:paraId="13D035E4" w14:textId="6DDCBC44" w:rsidR="00680B8A" w:rsidRPr="00F74E2F" w:rsidRDefault="00680B8A" w:rsidP="00216306">
      <w:pPr>
        <w:pStyle w:val="Cmsor2"/>
        <w:rPr>
          <w:lang w:val="en-GB"/>
        </w:rPr>
      </w:pPr>
      <w:r w:rsidRPr="00F74E2F">
        <w:rPr>
          <w:lang w:val="en-GB"/>
        </w:rPr>
        <w:t>The New Era of Spectrum Sharing</w:t>
      </w:r>
    </w:p>
    <w:p w14:paraId="35B0205B" w14:textId="77777777" w:rsidR="00680B8A" w:rsidRPr="00680B8A" w:rsidRDefault="00680B8A" w:rsidP="00680B8A">
      <w:r w:rsidRPr="00680B8A">
        <w:t>A key session at the conference was "The Evolution of Spectrum Sharing – Is a New Era of Network Efficiency on the Horizon?".</w:t>
      </w:r>
      <w:r w:rsidRPr="00680B8A">
        <w:rPr>
          <w:vertAlign w:val="superscript"/>
        </w:rPr>
        <w:t>8</w:t>
      </w:r>
      <w:r w:rsidRPr="00680B8A">
        <w:t xml:space="preserve"> The Dynamic Spectrum Alliance's (DSA) participation highlighted the growing interest in innovative sharing frameworks.</w:t>
      </w:r>
      <w:r w:rsidRPr="00680B8A">
        <w:rPr>
          <w:vertAlign w:val="superscript"/>
        </w:rPr>
        <w:t>8</w:t>
      </w:r>
      <w:r w:rsidRPr="00680B8A">
        <w:t xml:space="preserve"> The DSA's core principle is to make spectrum "abundant" through dynamic access </w:t>
      </w:r>
      <w:r w:rsidRPr="00680B8A">
        <w:rPr>
          <w:vertAlign w:val="superscript"/>
        </w:rPr>
        <w:t>22</w:t>
      </w:r>
      <w:r w:rsidRPr="00680B8A">
        <w:t>, a philosophy that contrasts with the traditional exclusive licensing model. The conference discussions, as detailed in the session description, explored how new regulatory and technological solutions are shaping the sharing landscape.</w:t>
      </w:r>
      <w:r w:rsidRPr="00680B8A">
        <w:rPr>
          <w:vertAlign w:val="superscript"/>
        </w:rPr>
        <w:t>8</w:t>
      </w:r>
      <w:r w:rsidRPr="00680B8A">
        <w:t xml:space="preserve"> This discussion connects directly to the needs of 6G, with a report noting that 6G systems will "be shared between various services and users" to improve spectral efficiency.</w:t>
      </w:r>
      <w:r w:rsidRPr="00680B8A">
        <w:rPr>
          <w:vertAlign w:val="superscript"/>
        </w:rPr>
        <w:t>23</w:t>
      </w:r>
      <w:r w:rsidRPr="00680B8A">
        <w:t xml:space="preserve"> Spectrum sharing is no longer a peripheral topic but a foundational element of future network planning. This is not just a theoretical discussion; it's a practical necessity. As demand for new services (IoT, D2D) explodes and 6G requires ever-wider channels, the traditional model of exclusive, rigid allocation becomes unsustainable. The conference's focus on sharing shows that regulators and industry are moving towards a more fluid, technologically-enabled management model to maximize a finite resource.</w:t>
      </w:r>
      <w:r w:rsidRPr="00680B8A">
        <w:rPr>
          <w:vertAlign w:val="superscript"/>
        </w:rPr>
        <w:t>8</w:t>
      </w:r>
    </w:p>
    <w:p w14:paraId="40D60333" w14:textId="1A3ECE36" w:rsidR="00680B8A" w:rsidRPr="00F74E2F" w:rsidRDefault="00680B8A" w:rsidP="00216306">
      <w:pPr>
        <w:pStyle w:val="Cmsor2"/>
        <w:rPr>
          <w:lang w:val="en-GB"/>
        </w:rPr>
      </w:pPr>
      <w:r w:rsidRPr="00F74E2F">
        <w:rPr>
          <w:lang w:val="en-GB"/>
        </w:rPr>
        <w:t>Direct-to-Device (D2D) and the Rise of Non-Terrestrial Networks (NTN)</w:t>
      </w:r>
    </w:p>
    <w:p w14:paraId="6D458195" w14:textId="77777777" w:rsidR="00680B8A" w:rsidRPr="00680B8A" w:rsidRDefault="00680B8A" w:rsidP="00680B8A">
      <w:r w:rsidRPr="00680B8A">
        <w:t>The conference agenda included dedicated sessions on NTN licensing and coexistence between Geostationary (GSO) and Non-Geostationary (NGSO) orbits.</w:t>
      </w:r>
      <w:r w:rsidRPr="00680B8A">
        <w:rPr>
          <w:vertAlign w:val="superscript"/>
        </w:rPr>
        <w:t>1</w:t>
      </w:r>
      <w:r w:rsidRPr="00680B8A">
        <w:t xml:space="preserve"> This topic has gained significant traction with new services that allow satellites to communicate directly with unmodified mobile phones.</w:t>
      </w:r>
      <w:r w:rsidRPr="00680B8A">
        <w:rPr>
          <w:vertAlign w:val="superscript"/>
        </w:rPr>
        <w:t>9</w:t>
      </w:r>
      <w:r w:rsidRPr="00680B8A">
        <w:t xml:space="preserve"> The session on D2D connectivity addressed two emerging approaches: using spectrum already allocated for Mobile Satellite Services (MSS) or re-using terrestrial mobile spectrum bands.</w:t>
      </w:r>
      <w:r w:rsidRPr="00680B8A">
        <w:rPr>
          <w:vertAlign w:val="superscript"/>
        </w:rPr>
        <w:t>7</w:t>
      </w:r>
      <w:r w:rsidRPr="00680B8A">
        <w:t xml:space="preserve"> The RSPG's June 2025 opinion on D2D connectivity, which was a key input to the conference, highlighted the technical and regulatory challenges, including cross-border interference, roaming issues, and competition between terrestrial and satellite providers.</w:t>
      </w:r>
      <w:r w:rsidRPr="00680B8A">
        <w:rPr>
          <w:vertAlign w:val="superscript"/>
        </w:rPr>
        <w:t>13</w:t>
      </w:r>
      <w:r w:rsidRPr="00680B8A">
        <w:t xml:space="preserve"> The RSPG's recommendation for a CEPT mandate to develop harmonized conditions further underscores the complexity.</w:t>
      </w:r>
      <w:r w:rsidRPr="00680B8A">
        <w:rPr>
          <w:vertAlign w:val="superscript"/>
        </w:rPr>
        <w:t>13</w:t>
      </w:r>
      <w:r w:rsidRPr="00680B8A">
        <w:t xml:space="preserve"> This discussion demonstrates a profound shift. For decades, spectrum policy has been largely segmented by service (e.g., terrestrial mobile, satellite, broadcasting). The rise of D2D forces a convergence of these previously distinct domains. This convergence necessitates a completely new, integrated regulatory paradigm. The EU is now grappling with how to manage interference, competition, and licensing when a single device can seamlessly switch between a terrestrial base station and a satellite in the same frequency band. This marks the end of siloed spectrum management and the beginning of a truly "holistic" approach.</w:t>
      </w:r>
      <w:r w:rsidRPr="00680B8A">
        <w:rPr>
          <w:vertAlign w:val="superscript"/>
        </w:rPr>
        <w:t>14</w:t>
      </w:r>
    </w:p>
    <w:p w14:paraId="1E892AF7" w14:textId="64FB7C95" w:rsidR="00680B8A" w:rsidRPr="00F74E2F" w:rsidRDefault="00680B8A" w:rsidP="00216306">
      <w:pPr>
        <w:pStyle w:val="Cmsor2"/>
        <w:rPr>
          <w:lang w:val="en-GB"/>
        </w:rPr>
      </w:pPr>
      <w:r w:rsidRPr="00F74E2F">
        <w:rPr>
          <w:lang w:val="en-GB"/>
        </w:rPr>
        <w:t>Artificial Intelligence in Future Spectrum Management</w:t>
      </w:r>
    </w:p>
    <w:p w14:paraId="0F4206B2" w14:textId="77777777" w:rsidR="00680B8A" w:rsidRPr="00680B8A" w:rsidRDefault="00680B8A" w:rsidP="00680B8A">
      <w:r w:rsidRPr="00680B8A">
        <w:t>One of the forward-looking themes of the conference was the role of AI in "smarter spectrum" management.</w:t>
      </w:r>
      <w:r w:rsidRPr="00680B8A">
        <w:rPr>
          <w:vertAlign w:val="superscript"/>
        </w:rPr>
        <w:t>6</w:t>
      </w:r>
      <w:r w:rsidRPr="00680B8A">
        <w:t xml:space="preserve"> While details are limited, the discussions indicate that AI and machine learning are being considered to improve spectral efficiency in areas like real-time monitoring and interference mitigation.</w:t>
      </w:r>
      <w:r w:rsidRPr="00680B8A">
        <w:rPr>
          <w:vertAlign w:val="superscript"/>
        </w:rPr>
        <w:t>8</w:t>
      </w:r>
      <w:r w:rsidRPr="00680B8A">
        <w:t xml:space="preserve"> This topic points to a future where automation and data-driven decisions play a more prominent role in the management of radio resources.</w:t>
      </w:r>
    </w:p>
    <w:p w14:paraId="7307A0A5" w14:textId="18F40F02" w:rsidR="00680B8A" w:rsidRPr="00F74E2F" w:rsidRDefault="00680B8A" w:rsidP="00216306">
      <w:pPr>
        <w:pStyle w:val="Cmsor1"/>
        <w:rPr>
          <w:lang w:val="en-GB"/>
        </w:rPr>
      </w:pPr>
      <w:r w:rsidRPr="00F74E2F">
        <w:rPr>
          <w:lang w:val="en-GB"/>
        </w:rPr>
        <w:t>The Old Guard and the New Blueprint: Contested Bands and Strategic Shifts</w:t>
      </w:r>
    </w:p>
    <w:p w14:paraId="06AACCCF" w14:textId="668F5216" w:rsidR="00680B8A" w:rsidRPr="00F74E2F" w:rsidRDefault="00680B8A" w:rsidP="00216306">
      <w:pPr>
        <w:pStyle w:val="Cmsor2"/>
        <w:rPr>
          <w:lang w:val="en-GB"/>
        </w:rPr>
      </w:pPr>
      <w:r w:rsidRPr="00F74E2F">
        <w:rPr>
          <w:lang w:val="en-GB"/>
        </w:rPr>
        <w:t>The Future of the Sub-700 MHz Band</w:t>
      </w:r>
    </w:p>
    <w:p w14:paraId="617FE635" w14:textId="77777777" w:rsidR="00680B8A" w:rsidRPr="00680B8A" w:rsidRDefault="00680B8A" w:rsidP="00680B8A">
      <w:r w:rsidRPr="00680B8A">
        <w:t>The conference provided a stage for the ongoing debate over the 470–694 MHz band, a topic of contention between incumbent broadcasting and program-making (PMSE) users and the mobile industry.</w:t>
      </w:r>
      <w:r w:rsidRPr="00680B8A">
        <w:rPr>
          <w:vertAlign w:val="superscript"/>
        </w:rPr>
        <w:t>1</w:t>
      </w:r>
      <w:r w:rsidRPr="00680B8A">
        <w:t xml:space="preserve"> The Wider Spectrum Group's (WSG) participation in the first session of the conference was a key moment.</w:t>
      </w:r>
      <w:r w:rsidRPr="00680B8A">
        <w:rPr>
          <w:vertAlign w:val="superscript"/>
        </w:rPr>
        <w:t>4</w:t>
      </w:r>
      <w:r w:rsidRPr="00680B8A">
        <w:t xml:space="preserve"> The WSG, representing a "huge ecosystem" of 2.5 million employees, emphasized that spectrum policy in this band impacts the creative and content industries, from TV to live performances.</w:t>
      </w:r>
      <w:r w:rsidRPr="00680B8A">
        <w:rPr>
          <w:vertAlign w:val="superscript"/>
        </w:rPr>
        <w:t>5</w:t>
      </w:r>
      <w:r w:rsidRPr="00680B8A">
        <w:t xml:space="preserve"> They argue for preserving the current UHF allocation beyond 2030, celebrating the positive outcome of WRC-23 which maintained the primary broadcasting allocation.</w:t>
      </w:r>
      <w:r w:rsidRPr="00680B8A">
        <w:rPr>
          <w:vertAlign w:val="superscript"/>
        </w:rPr>
        <w:t>4</w:t>
      </w:r>
      <w:r w:rsidRPr="00680B8A">
        <w:t xml:space="preserve"> The group’s position is deeply rooted in public service, freedom of speech, and cultural value, not just technical efficiency.</w:t>
      </w:r>
      <w:r w:rsidRPr="00680B8A">
        <w:rPr>
          <w:vertAlign w:val="superscript"/>
        </w:rPr>
        <w:t>4</w:t>
      </w:r>
      <w:r w:rsidRPr="00680B8A">
        <w:t xml:space="preserve"> This debate highlights a crucial, non-technical dimension of </w:t>
      </w:r>
      <w:r w:rsidRPr="00680B8A">
        <w:lastRenderedPageBreak/>
        <w:t>spectrum policy. While mobile operators and the Wi-Fi community frame their arguments in terms of economic growth and technological innovation, the WSG's message is a political and cultural one. They argue that the band's value is not solely economic but also in its ability to support a democratic, resilient, and accessible public information infrastructure and cultural life.</w:t>
      </w:r>
      <w:r w:rsidRPr="00680B8A">
        <w:rPr>
          <w:vertAlign w:val="superscript"/>
        </w:rPr>
        <w:t>4</w:t>
      </w:r>
      <w:r w:rsidRPr="00680B8A">
        <w:t xml:space="preserve"> The EU is faced with a difficult balancing act: prioritizing the economic gains from re-farming the band for mobile versus safeguarding its foundational role in cultural and social cohesion.</w:t>
      </w:r>
    </w:p>
    <w:p w14:paraId="02AF6443" w14:textId="77777777" w:rsidR="00680B8A" w:rsidRPr="00F74E2F" w:rsidRDefault="00680B8A" w:rsidP="00216306">
      <w:pPr>
        <w:pStyle w:val="Cmsor1"/>
        <w:rPr>
          <w:lang w:val="en-GB"/>
        </w:rPr>
      </w:pPr>
      <w:r w:rsidRPr="00F74E2F">
        <w:rPr>
          <w:lang w:val="en-GB"/>
        </w:rPr>
        <w:t>Conclusion: Strategic Insights and the Path Forward</w:t>
      </w:r>
    </w:p>
    <w:p w14:paraId="1DA60C20" w14:textId="77777777" w:rsidR="00680B8A" w:rsidRPr="00680B8A" w:rsidRDefault="00680B8A" w:rsidP="00680B8A">
      <w:r w:rsidRPr="00680B8A">
        <w:t>The 20th European Spectrum Management Conference was a forward-looking event that revealed a European spectrum policy agenda in motion. The key points from the discussions are:</w:t>
      </w:r>
    </w:p>
    <w:p w14:paraId="062BDA6F" w14:textId="77777777" w:rsidR="00680B8A" w:rsidRPr="00680B8A" w:rsidRDefault="00680B8A" w:rsidP="00680B8A">
      <w:pPr>
        <w:numPr>
          <w:ilvl w:val="0"/>
          <w:numId w:val="19"/>
        </w:numPr>
      </w:pPr>
      <w:r w:rsidRPr="00680B8A">
        <w:rPr>
          <w:b/>
          <w:bCs/>
        </w:rPr>
        <w:t>A New Regulatory Philosophy:</w:t>
      </w:r>
      <w:r w:rsidRPr="00680B8A">
        <w:t xml:space="preserve"> The EU is shifting towards a more harmonized, EU-centric approach, leveraging the DNA to overcome the fragmentation of national policies. This will fundamentally reshape the market by creating a more predictable and unified landscape for investors and operators.</w:t>
      </w:r>
    </w:p>
    <w:p w14:paraId="5B677E48" w14:textId="77777777" w:rsidR="00680B8A" w:rsidRPr="00680B8A" w:rsidRDefault="00680B8A" w:rsidP="00680B8A">
      <w:pPr>
        <w:numPr>
          <w:ilvl w:val="0"/>
          <w:numId w:val="19"/>
        </w:numPr>
      </w:pPr>
      <w:r w:rsidRPr="00680B8A">
        <w:rPr>
          <w:b/>
          <w:bCs/>
        </w:rPr>
        <w:t>The Upper 6 GHz Band is a Proxy Battle:</w:t>
      </w:r>
      <w:r w:rsidRPr="00680B8A">
        <w:t xml:space="preserve"> The debate over this band is the single most important decision on Europe's immediate agenda. The choice between licensed and unlicensed use represents a foundational decision on the future market structure for digital connectivity, a clash of two competing visions for the digital economy.</w:t>
      </w:r>
    </w:p>
    <w:p w14:paraId="2C648592" w14:textId="77777777" w:rsidR="00680B8A" w:rsidRPr="00680B8A" w:rsidRDefault="00680B8A" w:rsidP="00680B8A">
      <w:pPr>
        <w:numPr>
          <w:ilvl w:val="0"/>
          <w:numId w:val="19"/>
        </w:numPr>
      </w:pPr>
      <w:r w:rsidRPr="00680B8A">
        <w:rPr>
          <w:b/>
          <w:bCs/>
        </w:rPr>
        <w:t>Convergence is the New Normal:</w:t>
      </w:r>
      <w:r w:rsidRPr="00680B8A">
        <w:t xml:space="preserve"> Discussions on NTN, D2D, and AI signify that spectrum management is no longer a siloed technical field. It is a multi-layered, inter-service challenge that requires a holistic regulatory approach that accounts for the convergence of terrestrial, space-based, and shared networks.</w:t>
      </w:r>
    </w:p>
    <w:p w14:paraId="2764FDB8" w14:textId="77777777" w:rsidR="00680B8A" w:rsidRPr="00680B8A" w:rsidRDefault="00680B8A" w:rsidP="00680B8A">
      <w:pPr>
        <w:numPr>
          <w:ilvl w:val="0"/>
          <w:numId w:val="19"/>
        </w:numPr>
      </w:pPr>
      <w:r w:rsidRPr="00680B8A">
        <w:rPr>
          <w:b/>
          <w:bCs/>
        </w:rPr>
        <w:t>Spectrum is a Societal Resource:</w:t>
      </w:r>
      <w:r w:rsidRPr="00680B8A">
        <w:t xml:space="preserve"> The persistent debate over the sub-700 MHz band demonstrates that spectrum policy is not just about technology or economics. It is a profoundly political and social issue, with decisions impacting a vast ecosystem of cultural and creative industries that are vital to Europe's identity.</w:t>
      </w:r>
    </w:p>
    <w:p w14:paraId="686640DA" w14:textId="77777777" w:rsidR="00680B8A" w:rsidRPr="00680B8A" w:rsidRDefault="00680B8A" w:rsidP="00680B8A">
      <w:r w:rsidRPr="00680B8A">
        <w:t>The coming months, culminating in the DNA's final proposal and the RSPG's 6 GHz recommendation, will be critical. The success of Europe's digital decade goals hinges on its ability to navigate these complex tensions, balancing technological ambition with economic realities and social values to forge a coherent and competitive path forward.</w:t>
      </w:r>
    </w:p>
    <w:p w14:paraId="35D2D033" w14:textId="77777777" w:rsidR="00680B8A" w:rsidRPr="00F74E2F" w:rsidRDefault="00680B8A" w:rsidP="00216306">
      <w:pPr>
        <w:pStyle w:val="ECCTableHeaderredfont"/>
        <w:jc w:val="center"/>
        <w:rPr>
          <w:b/>
          <w:bCs w:val="0"/>
        </w:rPr>
      </w:pPr>
      <w:r w:rsidRPr="00F74E2F">
        <w:rPr>
          <w:b/>
          <w:bCs w:val="0"/>
        </w:rPr>
        <w:t>Table 3: Key Takeaways &amp; Implications for Stakeholders</w:t>
      </w:r>
    </w:p>
    <w:tbl>
      <w:tblPr>
        <w:tblStyle w:val="ECCTable-redheader"/>
        <w:tblW w:w="0" w:type="auto"/>
        <w:tblInd w:w="0" w:type="dxa"/>
        <w:tblLook w:val="04A0" w:firstRow="1" w:lastRow="0" w:firstColumn="1" w:lastColumn="0" w:noHBand="0" w:noVBand="1"/>
      </w:tblPr>
      <w:tblGrid>
        <w:gridCol w:w="1790"/>
        <w:gridCol w:w="3909"/>
        <w:gridCol w:w="3930"/>
      </w:tblGrid>
      <w:tr w:rsidR="00680B8A" w:rsidRPr="00680B8A" w14:paraId="37F0E3C5" w14:textId="77777777" w:rsidTr="00F74E2F">
        <w:trPr>
          <w:cnfStyle w:val="100000000000" w:firstRow="1" w:lastRow="0" w:firstColumn="0" w:lastColumn="0" w:oddVBand="0" w:evenVBand="0" w:oddHBand="0" w:evenHBand="0" w:firstRowFirstColumn="0" w:firstRowLastColumn="0" w:lastRowFirstColumn="0" w:lastRowLastColumn="0"/>
        </w:trPr>
        <w:tc>
          <w:tcPr>
            <w:tcW w:w="0" w:type="auto"/>
            <w:vAlign w:val="top"/>
            <w:hideMark/>
          </w:tcPr>
          <w:p w14:paraId="738A08AB" w14:textId="77777777" w:rsidR="00680B8A" w:rsidRPr="00680B8A" w:rsidRDefault="00680B8A" w:rsidP="00F74E2F">
            <w:pPr>
              <w:pStyle w:val="ECCTabletext"/>
              <w:jc w:val="left"/>
            </w:pPr>
            <w:r w:rsidRPr="00680B8A">
              <w:t>Key Takeaway</w:t>
            </w:r>
          </w:p>
        </w:tc>
        <w:tc>
          <w:tcPr>
            <w:tcW w:w="0" w:type="auto"/>
            <w:vAlign w:val="top"/>
            <w:hideMark/>
          </w:tcPr>
          <w:p w14:paraId="117B87A7" w14:textId="77777777" w:rsidR="00680B8A" w:rsidRPr="00680B8A" w:rsidRDefault="00680B8A" w:rsidP="00F74E2F">
            <w:pPr>
              <w:pStyle w:val="ECCTabletext"/>
              <w:jc w:val="left"/>
            </w:pPr>
            <w:r w:rsidRPr="00680B8A">
              <w:t>Strategic Implication for Policymakers</w:t>
            </w:r>
          </w:p>
        </w:tc>
        <w:tc>
          <w:tcPr>
            <w:tcW w:w="0" w:type="auto"/>
            <w:vAlign w:val="top"/>
            <w:hideMark/>
          </w:tcPr>
          <w:p w14:paraId="4B0FCB23" w14:textId="77777777" w:rsidR="00680B8A" w:rsidRPr="00680B8A" w:rsidRDefault="00680B8A" w:rsidP="00F74E2F">
            <w:pPr>
              <w:pStyle w:val="ECCTabletext"/>
              <w:jc w:val="left"/>
            </w:pPr>
            <w:r w:rsidRPr="00680B8A">
              <w:t>Strategic Implication for Investors &amp; Industry</w:t>
            </w:r>
          </w:p>
        </w:tc>
      </w:tr>
      <w:tr w:rsidR="00680B8A" w:rsidRPr="00680B8A" w14:paraId="73D78CC5" w14:textId="77777777" w:rsidTr="00F74E2F">
        <w:tc>
          <w:tcPr>
            <w:tcW w:w="0" w:type="auto"/>
            <w:vAlign w:val="top"/>
            <w:hideMark/>
          </w:tcPr>
          <w:p w14:paraId="2F5EBF2E" w14:textId="77777777" w:rsidR="00680B8A" w:rsidRPr="00680B8A" w:rsidRDefault="00680B8A" w:rsidP="00F74E2F">
            <w:pPr>
              <w:pStyle w:val="ECCTabletext"/>
              <w:jc w:val="left"/>
            </w:pPr>
            <w:r w:rsidRPr="00680B8A">
              <w:rPr>
                <w:bCs/>
              </w:rPr>
              <w:t>DNA as a Centralizing Force</w:t>
            </w:r>
          </w:p>
        </w:tc>
        <w:tc>
          <w:tcPr>
            <w:tcW w:w="0" w:type="auto"/>
            <w:vAlign w:val="top"/>
            <w:hideMark/>
          </w:tcPr>
          <w:p w14:paraId="60D90D8B" w14:textId="2F2EDC94" w:rsidR="00680B8A" w:rsidRPr="00680B8A" w:rsidRDefault="00680B8A" w:rsidP="00F74E2F">
            <w:pPr>
              <w:pStyle w:val="ECCTabletext"/>
              <w:jc w:val="left"/>
            </w:pPr>
            <w:r w:rsidRPr="00680B8A">
              <w:t>Move beyond reactive policy to proactive, top-down harmonization. This requires careful management of Member State resistance.</w:t>
            </w:r>
          </w:p>
        </w:tc>
        <w:tc>
          <w:tcPr>
            <w:tcW w:w="0" w:type="auto"/>
            <w:vAlign w:val="top"/>
            <w:hideMark/>
          </w:tcPr>
          <w:p w14:paraId="01E9726E" w14:textId="77777777" w:rsidR="00680B8A" w:rsidRPr="00680B8A" w:rsidRDefault="00680B8A" w:rsidP="00F74E2F">
            <w:pPr>
              <w:pStyle w:val="ECCTabletext"/>
              <w:jc w:val="left"/>
            </w:pPr>
            <w:r w:rsidRPr="00680B8A">
              <w:t>Expect a more unified, but potentially more rigid, regulatory environment. Focus on pan-European strategies rather than fragmented national ones.</w:t>
            </w:r>
          </w:p>
        </w:tc>
      </w:tr>
      <w:tr w:rsidR="00680B8A" w:rsidRPr="00680B8A" w14:paraId="36577236" w14:textId="77777777" w:rsidTr="00F74E2F">
        <w:tc>
          <w:tcPr>
            <w:tcW w:w="0" w:type="auto"/>
            <w:vAlign w:val="top"/>
            <w:hideMark/>
          </w:tcPr>
          <w:p w14:paraId="2F406538" w14:textId="77777777" w:rsidR="00680B8A" w:rsidRPr="00680B8A" w:rsidRDefault="00680B8A" w:rsidP="00F74E2F">
            <w:pPr>
              <w:pStyle w:val="ECCTabletext"/>
              <w:jc w:val="left"/>
            </w:pPr>
            <w:r w:rsidRPr="00680B8A">
              <w:rPr>
                <w:bCs/>
              </w:rPr>
              <w:t>6 GHz Debate as an Ideological Battle</w:t>
            </w:r>
          </w:p>
        </w:tc>
        <w:tc>
          <w:tcPr>
            <w:tcW w:w="0" w:type="auto"/>
            <w:vAlign w:val="top"/>
            <w:hideMark/>
          </w:tcPr>
          <w:p w14:paraId="5477E54B" w14:textId="4A884E7F" w:rsidR="00680B8A" w:rsidRPr="00680B8A" w:rsidRDefault="00680B8A" w:rsidP="00F74E2F">
            <w:pPr>
              <w:pStyle w:val="ECCTabletext"/>
              <w:jc w:val="left"/>
            </w:pPr>
            <w:r w:rsidRPr="00680B8A">
              <w:t>A final decision must weigh short-term economic gains of licensing against the long-term innovation and open-access benefits of unlicensed use.</w:t>
            </w:r>
          </w:p>
        </w:tc>
        <w:tc>
          <w:tcPr>
            <w:tcW w:w="0" w:type="auto"/>
            <w:vAlign w:val="top"/>
            <w:hideMark/>
          </w:tcPr>
          <w:p w14:paraId="16A440D2" w14:textId="77777777" w:rsidR="00680B8A" w:rsidRPr="00680B8A" w:rsidRDefault="00680B8A" w:rsidP="00F74E2F">
            <w:pPr>
              <w:pStyle w:val="ECCTabletext"/>
              <w:jc w:val="left"/>
            </w:pPr>
            <w:r w:rsidRPr="00680B8A">
              <w:t>The outcome will define the investment landscape for both 6G and next-gen Wi-Fi. It will signal which model Europe intends to prioritize.</w:t>
            </w:r>
          </w:p>
        </w:tc>
      </w:tr>
      <w:tr w:rsidR="00680B8A" w:rsidRPr="00680B8A" w14:paraId="1E977F73" w14:textId="77777777" w:rsidTr="00F74E2F">
        <w:tc>
          <w:tcPr>
            <w:tcW w:w="0" w:type="auto"/>
            <w:vAlign w:val="top"/>
            <w:hideMark/>
          </w:tcPr>
          <w:p w14:paraId="53C544C1" w14:textId="77777777" w:rsidR="00680B8A" w:rsidRPr="00680B8A" w:rsidRDefault="00680B8A" w:rsidP="00F74E2F">
            <w:pPr>
              <w:pStyle w:val="ECCTabletext"/>
              <w:jc w:val="left"/>
            </w:pPr>
            <w:r w:rsidRPr="00680B8A">
              <w:rPr>
                <w:bCs/>
              </w:rPr>
              <w:t>Convergence of Terrestrial &amp; Space</w:t>
            </w:r>
          </w:p>
        </w:tc>
        <w:tc>
          <w:tcPr>
            <w:tcW w:w="0" w:type="auto"/>
            <w:vAlign w:val="top"/>
            <w:hideMark/>
          </w:tcPr>
          <w:p w14:paraId="51EB705C" w14:textId="0C68E53C" w:rsidR="00680B8A" w:rsidRPr="00680B8A" w:rsidRDefault="00680B8A" w:rsidP="00F74E2F">
            <w:pPr>
              <w:pStyle w:val="ECCTabletext"/>
              <w:jc w:val="left"/>
            </w:pPr>
            <w:r w:rsidRPr="00680B8A">
              <w:t>New regulatory frameworks are needed to manage the complex co-existence of D2D and traditional networks. Proactivity is key to attracting innovation.</w:t>
            </w:r>
          </w:p>
        </w:tc>
        <w:tc>
          <w:tcPr>
            <w:tcW w:w="0" w:type="auto"/>
            <w:vAlign w:val="top"/>
            <w:hideMark/>
          </w:tcPr>
          <w:p w14:paraId="504267DE" w14:textId="6A384982" w:rsidR="00680B8A" w:rsidRPr="00680B8A" w:rsidRDefault="00680B8A" w:rsidP="00F74E2F">
            <w:pPr>
              <w:pStyle w:val="ECCTabletext"/>
              <w:jc w:val="left"/>
            </w:pPr>
            <w:r w:rsidRPr="00680B8A">
              <w:t>D2D offers a new pathway for market entry and service provision, especially for underserved areas. Partnerships between mobile and satellite operators will be crucial.</w:t>
            </w:r>
          </w:p>
        </w:tc>
      </w:tr>
      <w:tr w:rsidR="00680B8A" w:rsidRPr="00680B8A" w14:paraId="404C1D4E" w14:textId="77777777" w:rsidTr="00F74E2F">
        <w:tc>
          <w:tcPr>
            <w:tcW w:w="0" w:type="auto"/>
            <w:vAlign w:val="top"/>
            <w:hideMark/>
          </w:tcPr>
          <w:p w14:paraId="3501236A" w14:textId="77777777" w:rsidR="00680B8A" w:rsidRPr="00680B8A" w:rsidRDefault="00680B8A" w:rsidP="00F74E2F">
            <w:pPr>
              <w:pStyle w:val="ECCTabletext"/>
              <w:jc w:val="left"/>
            </w:pPr>
            <w:r w:rsidRPr="00680B8A">
              <w:rPr>
                <w:bCs/>
              </w:rPr>
              <w:lastRenderedPageBreak/>
              <w:t>The Cultural Value of Spectrum</w:t>
            </w:r>
          </w:p>
        </w:tc>
        <w:tc>
          <w:tcPr>
            <w:tcW w:w="0" w:type="auto"/>
            <w:vAlign w:val="top"/>
            <w:hideMark/>
          </w:tcPr>
          <w:p w14:paraId="07B85BAC" w14:textId="7E8B8C0A" w:rsidR="00680B8A" w:rsidRPr="00680B8A" w:rsidRDefault="00680B8A" w:rsidP="00F74E2F">
            <w:pPr>
              <w:pStyle w:val="ECCTabletext"/>
              <w:jc w:val="left"/>
            </w:pPr>
            <w:r w:rsidRPr="00680B8A">
              <w:t>Re-farming decisions must be holistic, considering not just economic but also social and cultural impacts. Political pushback from established industries will be significant.</w:t>
            </w:r>
          </w:p>
        </w:tc>
        <w:tc>
          <w:tcPr>
            <w:tcW w:w="0" w:type="auto"/>
            <w:vAlign w:val="top"/>
            <w:hideMark/>
          </w:tcPr>
          <w:p w14:paraId="46A197DF" w14:textId="77777777" w:rsidR="00680B8A" w:rsidRPr="00680B8A" w:rsidRDefault="00680B8A" w:rsidP="00F74E2F">
            <w:pPr>
              <w:pStyle w:val="ECCTabletext"/>
              <w:jc w:val="left"/>
            </w:pPr>
            <w:r w:rsidRPr="00680B8A">
              <w:t>Industries dependent on bands like sub-700 MHz must continue to lobby and articulate their value proposition beyond technical arguments. The battle for this band is far from over.</w:t>
            </w:r>
          </w:p>
        </w:tc>
      </w:tr>
    </w:tbl>
    <w:p w14:paraId="430D0444" w14:textId="77777777" w:rsidR="00680B8A" w:rsidRPr="00680B8A" w:rsidRDefault="00680B8A" w:rsidP="00680B8A"/>
    <w:p w14:paraId="656970C1" w14:textId="77777777" w:rsidR="00680B8A" w:rsidRPr="00680B8A" w:rsidRDefault="00680B8A" w:rsidP="00680B8A"/>
    <w:p w14:paraId="13243136" w14:textId="77777777" w:rsidR="00C25760" w:rsidRPr="00F74E2F" w:rsidRDefault="00C25760" w:rsidP="00853B3C">
      <w:pPr>
        <w:rPr>
          <w:rStyle w:val="ECCParagraph"/>
        </w:rPr>
      </w:pPr>
    </w:p>
    <w:sectPr w:rsidR="00C25760" w:rsidRPr="00F74E2F" w:rsidSect="00797DEE">
      <w:headerReference w:type="even" r:id="rId9"/>
      <w:headerReference w:type="default" r:id="rId10"/>
      <w:pgSz w:w="11907" w:h="16840" w:code="9"/>
      <w:pgMar w:top="1440" w:right="1134" w:bottom="1440"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DA5F19" w14:textId="77777777" w:rsidR="00F57EEF" w:rsidRDefault="00F57EEF" w:rsidP="00DB17F9">
      <w:r>
        <w:separator/>
      </w:r>
    </w:p>
    <w:p w14:paraId="007F140F" w14:textId="77777777" w:rsidR="00F57EEF" w:rsidRDefault="00F57EEF"/>
  </w:endnote>
  <w:endnote w:type="continuationSeparator" w:id="0">
    <w:p w14:paraId="477146A7" w14:textId="77777777" w:rsidR="00F57EEF" w:rsidRDefault="00F57EEF" w:rsidP="00DB17F9">
      <w:r>
        <w:continuationSeparator/>
      </w:r>
    </w:p>
    <w:p w14:paraId="5FB04D6B" w14:textId="77777777" w:rsidR="00F57EEF" w:rsidRDefault="00F57EEF"/>
  </w:endnote>
  <w:endnote w:type="continuationNotice" w:id="1">
    <w:p w14:paraId="7F3A9B76" w14:textId="77777777" w:rsidR="00F57EEF" w:rsidRDefault="00F57EEF">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D482AB" w14:textId="77777777" w:rsidR="00F57EEF" w:rsidRPr="00F51BD6" w:rsidRDefault="00F57EEF" w:rsidP="00CD07E7">
      <w:pPr>
        <w:spacing w:before="120" w:after="0"/>
      </w:pPr>
      <w:r>
        <w:separator/>
      </w:r>
    </w:p>
  </w:footnote>
  <w:footnote w:type="continuationSeparator" w:id="0">
    <w:p w14:paraId="4033EE36" w14:textId="77777777" w:rsidR="00F57EEF" w:rsidRDefault="00F57EEF" w:rsidP="00CD07E7">
      <w:pPr>
        <w:spacing w:before="120" w:after="0"/>
      </w:pPr>
      <w:r>
        <w:continuationSeparator/>
      </w:r>
    </w:p>
  </w:footnote>
  <w:footnote w:type="continuationNotice" w:id="1">
    <w:p w14:paraId="5BC88A08" w14:textId="77777777" w:rsidR="00F57EEF" w:rsidRPr="00CD07E7" w:rsidRDefault="00F57EEF" w:rsidP="00CD07E7">
      <w:pPr>
        <w:spacing w:before="12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BA45BD" w14:textId="77777777" w:rsidR="00E36601" w:rsidRPr="00AD1BE1" w:rsidRDefault="00102172" w:rsidP="00AD1BE1">
    <w:pPr>
      <w:pStyle w:val="ECCpageHeader"/>
    </w:pPr>
    <w:r w:rsidRPr="00AD1BE1">
      <w:t xml:space="preserve">ECC REPORT </w:t>
    </w:r>
    <w:r w:rsidR="00AD1BE1" w:rsidRPr="00AD1BE1">
      <w:t>&lt;No&gt;</w:t>
    </w:r>
    <w:r w:rsidR="00F56F62" w:rsidRPr="00AD1BE1">
      <w:t xml:space="preserve"> - </w:t>
    </w:r>
    <w:r w:rsidRPr="00AD1BE1">
      <w:t xml:space="preserve">Page </w:t>
    </w:r>
    <w:r w:rsidRPr="00AD1BE1">
      <w:fldChar w:fldCharType="begin"/>
    </w:r>
    <w:r w:rsidRPr="00AD1BE1">
      <w:instrText xml:space="preserve"> PAGE  \* Arabic  \* MERGEFORMAT </w:instrText>
    </w:r>
    <w:r w:rsidRPr="00AD1BE1">
      <w:fldChar w:fldCharType="separate"/>
    </w:r>
    <w:r w:rsidR="004C1A87">
      <w:rPr>
        <w:noProof/>
      </w:rPr>
      <w:t>1</w:t>
    </w:r>
    <w:r w:rsidRPr="00AD1BE1">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EFF9A8" w14:textId="77777777" w:rsidR="00102172" w:rsidRPr="00714F0F" w:rsidRDefault="00102172" w:rsidP="00714F0F">
    <w:pPr>
      <w:pStyle w:val="ECCpageHeader"/>
    </w:pPr>
    <w:r w:rsidRPr="00714F0F">
      <w:tab/>
    </w:r>
    <w:r w:rsidRPr="00714F0F">
      <w:t xml:space="preserve">Page </w:t>
    </w:r>
    <w:r w:rsidRPr="00714F0F">
      <w:fldChar w:fldCharType="begin"/>
    </w:r>
    <w:r w:rsidRPr="00714F0F">
      <w:instrText xml:space="preserve"> PAGE  \* Arabic  \* MERGEFORMAT </w:instrText>
    </w:r>
    <w:r w:rsidRPr="00714F0F">
      <w:fldChar w:fldCharType="separate"/>
    </w:r>
    <w:r w:rsidR="00231A0F">
      <w:rPr>
        <w:noProof/>
      </w:rPr>
      <w:t>2</w:t>
    </w:r>
    <w:r w:rsidRPr="00714F0F">
      <w:fldChar w:fldCharType="end"/>
    </w:r>
  </w:p>
  <w:p w14:paraId="74496E01" w14:textId="77777777" w:rsidR="00E11D7E" w:rsidRDefault="00E11D7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22.6pt;height:57.6pt;visibility:visible;mso-wrap-style:square" o:bullet="t">
        <v:imagedata r:id="rId1" o:title=""/>
      </v:shape>
    </w:pict>
  </w:numPicBullet>
  <w:abstractNum w:abstractNumId="0" w15:restartNumberingAfterBreak="0">
    <w:nsid w:val="02D30ED2"/>
    <w:multiLevelType w:val="multilevel"/>
    <w:tmpl w:val="7CD80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EB4A7C"/>
    <w:multiLevelType w:val="hybridMultilevel"/>
    <w:tmpl w:val="B96CE56A"/>
    <w:lvl w:ilvl="0" w:tplc="91C4760E">
      <w:start w:val="1"/>
      <w:numFmt w:val="bullet"/>
      <w:pStyle w:val="ECCBulletsLv1"/>
      <w:lvlText w:val=""/>
      <w:lvlJc w:val="left"/>
      <w:pPr>
        <w:ind w:left="360" w:hanging="360"/>
      </w:pPr>
      <w:rPr>
        <w:rFonts w:ascii="Wingdings" w:hAnsi="Wingdings" w:hint="default"/>
        <w:color w:val="D2232A"/>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4B512F0"/>
    <w:multiLevelType w:val="hybridMultilevel"/>
    <w:tmpl w:val="E8883DEC"/>
    <w:lvl w:ilvl="0" w:tplc="040C0005">
      <w:start w:val="1"/>
      <w:numFmt w:val="bullet"/>
      <w:lvlText w:val=""/>
      <w:lvlJc w:val="left"/>
      <w:pPr>
        <w:ind w:left="480" w:hanging="360"/>
      </w:pPr>
      <w:rPr>
        <w:rFonts w:ascii="Wingdings" w:hAnsi="Wingdings"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3" w15:restartNumberingAfterBreak="0">
    <w:nsid w:val="1F5249E8"/>
    <w:multiLevelType w:val="multilevel"/>
    <w:tmpl w:val="18745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2F4188"/>
    <w:multiLevelType w:val="multilevel"/>
    <w:tmpl w:val="F1FACA8E"/>
    <w:lvl w:ilvl="0">
      <w:start w:val="1"/>
      <w:numFmt w:val="decimal"/>
      <w:pStyle w:val="ECCAnnexheading1"/>
      <w:suff w:val="space"/>
      <w:lvlText w:val="ANNEX %1:"/>
      <w:lvlJc w:val="left"/>
      <w:pPr>
        <w:ind w:left="0" w:firstLine="0"/>
      </w:pPr>
      <w:rPr>
        <w:rFonts w:ascii="Arial" w:hAnsi="Arial" w:hint="default"/>
        <w:b/>
        <w:bCs w:val="0"/>
        <w:i w:val="0"/>
        <w:iCs w:val="0"/>
        <w:smallCaps w:val="0"/>
        <w:strike w:val="0"/>
        <w:dstrike w:val="0"/>
        <w:vanish w:val="0"/>
        <w:color w:val="D2232A"/>
        <w:spacing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ECCAnnexheading2"/>
      <w:suff w:val="space"/>
      <w:lvlText w:val="A%1.%2"/>
      <w:lvlJc w:val="left"/>
      <w:pPr>
        <w:ind w:left="576" w:hanging="576"/>
      </w:pPr>
      <w:rPr>
        <w:rFonts w:hint="default"/>
      </w:rPr>
    </w:lvl>
    <w:lvl w:ilvl="2">
      <w:start w:val="1"/>
      <w:numFmt w:val="decimal"/>
      <w:pStyle w:val="ECCAnnexheading3"/>
      <w:lvlText w:val="A%1.%2.%3"/>
      <w:lvlJc w:val="left"/>
      <w:pPr>
        <w:tabs>
          <w:tab w:val="num" w:pos="720"/>
        </w:tabs>
        <w:ind w:left="720" w:hanging="720"/>
      </w:pPr>
      <w:rPr>
        <w:rFonts w:hint="default"/>
      </w:rPr>
    </w:lvl>
    <w:lvl w:ilvl="3">
      <w:start w:val="1"/>
      <w:numFmt w:val="decimal"/>
      <w:pStyle w:val="ECCAnnexheading4"/>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285757BC"/>
    <w:multiLevelType w:val="hybridMultilevel"/>
    <w:tmpl w:val="C42EB46C"/>
    <w:lvl w:ilvl="0" w:tplc="28E2D45E">
      <w:start w:val="12"/>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A0A7C33"/>
    <w:multiLevelType w:val="hybridMultilevel"/>
    <w:tmpl w:val="81E804EC"/>
    <w:lvl w:ilvl="0" w:tplc="F3F6E784">
      <w:start w:val="1"/>
      <w:numFmt w:val="decimal"/>
      <w:pStyle w:val="ECCEditorsNote"/>
      <w:lvlText w:val="Editor's Note %1:"/>
      <w:lvlJc w:val="left"/>
      <w:pPr>
        <w:tabs>
          <w:tab w:val="num" w:pos="1559"/>
        </w:tabs>
        <w:ind w:left="1559" w:hanging="1559"/>
      </w:pPr>
      <w:rPr>
        <w:rFonts w:hint="default"/>
        <w:caps w:val="0"/>
        <w:strike w:val="0"/>
        <w:dstrike w:val="0"/>
        <w:vanish w:val="0"/>
        <w:color w:val="auto"/>
        <w:u w:color="FFFF00"/>
        <w:vertAlign w:val="baseli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331D2CAF"/>
    <w:multiLevelType w:val="multilevel"/>
    <w:tmpl w:val="C960DCD2"/>
    <w:lvl w:ilvl="0">
      <w:start w:val="1"/>
      <w:numFmt w:val="decimal"/>
      <w:pStyle w:val="ECCNumberedList"/>
      <w:lvlText w:val="%1"/>
      <w:lvlJc w:val="left"/>
      <w:pPr>
        <w:ind w:left="360" w:hanging="360"/>
      </w:pPr>
      <w:rPr>
        <w:rFonts w:hint="default"/>
        <w:b w:val="0"/>
        <w:i w:val="0"/>
        <w:color w:val="D2232A"/>
        <w:sz w:val="20"/>
      </w:rPr>
    </w:lvl>
    <w:lvl w:ilvl="1">
      <w:start w:val="1"/>
      <w:numFmt w:val="bullet"/>
      <w:lvlText w:val=""/>
      <w:lvlJc w:val="left"/>
      <w:pPr>
        <w:tabs>
          <w:tab w:val="num" w:pos="680"/>
        </w:tabs>
        <w:ind w:left="680" w:hanging="340"/>
      </w:pPr>
      <w:rPr>
        <w:rFonts w:ascii="Wingdings" w:hAnsi="Wingdings" w:hint="default"/>
        <w:color w:val="D2232A"/>
      </w:rPr>
    </w:lvl>
    <w:lvl w:ilvl="2">
      <w:start w:val="1"/>
      <w:numFmt w:val="bullet"/>
      <w:lvlText w:val=""/>
      <w:lvlJc w:val="left"/>
      <w:pPr>
        <w:tabs>
          <w:tab w:val="num" w:pos="1021"/>
        </w:tabs>
        <w:ind w:left="1021" w:hanging="341"/>
      </w:pPr>
      <w:rPr>
        <w:rFonts w:ascii="Wingdings" w:hAnsi="Wingdings" w:hint="default"/>
        <w:color w:val="D2232A"/>
      </w:rPr>
    </w:lvl>
    <w:lvl w:ilvl="3">
      <w:start w:val="1"/>
      <w:numFmt w:val="decimal"/>
      <w:lvlText w:val="(%4)"/>
      <w:lvlJc w:val="left"/>
      <w:pPr>
        <w:ind w:left="1043" w:hanging="360"/>
      </w:pPr>
      <w:rPr>
        <w:rFonts w:hint="default"/>
      </w:rPr>
    </w:lvl>
    <w:lvl w:ilvl="4">
      <w:start w:val="1"/>
      <w:numFmt w:val="lowerLetter"/>
      <w:lvlText w:val="(%5)"/>
      <w:lvlJc w:val="left"/>
      <w:pPr>
        <w:ind w:left="1403" w:hanging="360"/>
      </w:pPr>
      <w:rPr>
        <w:rFonts w:hint="default"/>
      </w:rPr>
    </w:lvl>
    <w:lvl w:ilvl="5">
      <w:start w:val="1"/>
      <w:numFmt w:val="lowerRoman"/>
      <w:lvlText w:val="(%6)"/>
      <w:lvlJc w:val="left"/>
      <w:pPr>
        <w:ind w:left="1763" w:hanging="360"/>
      </w:pPr>
      <w:rPr>
        <w:rFonts w:hint="default"/>
      </w:rPr>
    </w:lvl>
    <w:lvl w:ilvl="6">
      <w:start w:val="1"/>
      <w:numFmt w:val="decimal"/>
      <w:lvlText w:val="%7."/>
      <w:lvlJc w:val="left"/>
      <w:pPr>
        <w:ind w:left="2123" w:hanging="360"/>
      </w:pPr>
      <w:rPr>
        <w:rFonts w:hint="default"/>
      </w:rPr>
    </w:lvl>
    <w:lvl w:ilvl="7">
      <w:start w:val="1"/>
      <w:numFmt w:val="lowerLetter"/>
      <w:lvlText w:val="%8."/>
      <w:lvlJc w:val="left"/>
      <w:pPr>
        <w:ind w:left="2483" w:hanging="360"/>
      </w:pPr>
      <w:rPr>
        <w:rFonts w:hint="default"/>
      </w:rPr>
    </w:lvl>
    <w:lvl w:ilvl="8">
      <w:start w:val="1"/>
      <w:numFmt w:val="lowerRoman"/>
      <w:lvlText w:val="%9."/>
      <w:lvlJc w:val="left"/>
      <w:pPr>
        <w:ind w:left="2843" w:hanging="360"/>
      </w:pPr>
      <w:rPr>
        <w:rFonts w:hint="default"/>
      </w:rPr>
    </w:lvl>
  </w:abstractNum>
  <w:abstractNum w:abstractNumId="8" w15:restartNumberingAfterBreak="0">
    <w:nsid w:val="35EA1A61"/>
    <w:multiLevelType w:val="hybridMultilevel"/>
    <w:tmpl w:val="F68E2CBC"/>
    <w:lvl w:ilvl="0" w:tplc="9C8C51A8">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C915615"/>
    <w:multiLevelType w:val="hybridMultilevel"/>
    <w:tmpl w:val="A5AC474C"/>
    <w:lvl w:ilvl="0" w:tplc="39C0D352">
      <w:numFmt w:val="bullet"/>
      <w:lvlText w:val="–"/>
      <w:lvlJc w:val="left"/>
      <w:pPr>
        <w:ind w:left="420" w:hanging="360"/>
      </w:pPr>
      <w:rPr>
        <w:rFonts w:ascii="Arial" w:eastAsia="Calibri" w:hAnsi="Arial" w:cs="Arial" w:hint="default"/>
      </w:rPr>
    </w:lvl>
    <w:lvl w:ilvl="1" w:tplc="040C0003" w:tentative="1">
      <w:start w:val="1"/>
      <w:numFmt w:val="bullet"/>
      <w:lvlText w:val="o"/>
      <w:lvlJc w:val="left"/>
      <w:pPr>
        <w:ind w:left="1140" w:hanging="360"/>
      </w:pPr>
      <w:rPr>
        <w:rFonts w:ascii="Courier New" w:hAnsi="Courier New" w:cs="Courier New" w:hint="default"/>
      </w:rPr>
    </w:lvl>
    <w:lvl w:ilvl="2" w:tplc="040C0005" w:tentative="1">
      <w:start w:val="1"/>
      <w:numFmt w:val="bullet"/>
      <w:lvlText w:val=""/>
      <w:lvlJc w:val="left"/>
      <w:pPr>
        <w:ind w:left="1860" w:hanging="360"/>
      </w:pPr>
      <w:rPr>
        <w:rFonts w:ascii="Wingdings" w:hAnsi="Wingdings" w:hint="default"/>
      </w:rPr>
    </w:lvl>
    <w:lvl w:ilvl="3" w:tplc="040C0001" w:tentative="1">
      <w:start w:val="1"/>
      <w:numFmt w:val="bullet"/>
      <w:lvlText w:val=""/>
      <w:lvlJc w:val="left"/>
      <w:pPr>
        <w:ind w:left="2580" w:hanging="360"/>
      </w:pPr>
      <w:rPr>
        <w:rFonts w:ascii="Symbol" w:hAnsi="Symbol" w:hint="default"/>
      </w:rPr>
    </w:lvl>
    <w:lvl w:ilvl="4" w:tplc="040C0003" w:tentative="1">
      <w:start w:val="1"/>
      <w:numFmt w:val="bullet"/>
      <w:lvlText w:val="o"/>
      <w:lvlJc w:val="left"/>
      <w:pPr>
        <w:ind w:left="3300" w:hanging="360"/>
      </w:pPr>
      <w:rPr>
        <w:rFonts w:ascii="Courier New" w:hAnsi="Courier New" w:cs="Courier New" w:hint="default"/>
      </w:rPr>
    </w:lvl>
    <w:lvl w:ilvl="5" w:tplc="040C0005" w:tentative="1">
      <w:start w:val="1"/>
      <w:numFmt w:val="bullet"/>
      <w:lvlText w:val=""/>
      <w:lvlJc w:val="left"/>
      <w:pPr>
        <w:ind w:left="4020" w:hanging="360"/>
      </w:pPr>
      <w:rPr>
        <w:rFonts w:ascii="Wingdings" w:hAnsi="Wingdings" w:hint="default"/>
      </w:rPr>
    </w:lvl>
    <w:lvl w:ilvl="6" w:tplc="040C0001" w:tentative="1">
      <w:start w:val="1"/>
      <w:numFmt w:val="bullet"/>
      <w:lvlText w:val=""/>
      <w:lvlJc w:val="left"/>
      <w:pPr>
        <w:ind w:left="4740" w:hanging="360"/>
      </w:pPr>
      <w:rPr>
        <w:rFonts w:ascii="Symbol" w:hAnsi="Symbol" w:hint="default"/>
      </w:rPr>
    </w:lvl>
    <w:lvl w:ilvl="7" w:tplc="040C0003" w:tentative="1">
      <w:start w:val="1"/>
      <w:numFmt w:val="bullet"/>
      <w:lvlText w:val="o"/>
      <w:lvlJc w:val="left"/>
      <w:pPr>
        <w:ind w:left="5460" w:hanging="360"/>
      </w:pPr>
      <w:rPr>
        <w:rFonts w:ascii="Courier New" w:hAnsi="Courier New" w:cs="Courier New" w:hint="default"/>
      </w:rPr>
    </w:lvl>
    <w:lvl w:ilvl="8" w:tplc="040C0005" w:tentative="1">
      <w:start w:val="1"/>
      <w:numFmt w:val="bullet"/>
      <w:lvlText w:val=""/>
      <w:lvlJc w:val="left"/>
      <w:pPr>
        <w:ind w:left="6180" w:hanging="360"/>
      </w:pPr>
      <w:rPr>
        <w:rFonts w:ascii="Wingdings" w:hAnsi="Wingdings" w:hint="default"/>
      </w:rPr>
    </w:lvl>
  </w:abstractNum>
  <w:abstractNum w:abstractNumId="10" w15:restartNumberingAfterBreak="0">
    <w:nsid w:val="3D163F7A"/>
    <w:multiLevelType w:val="multilevel"/>
    <w:tmpl w:val="F4F05A4A"/>
    <w:lvl w:ilvl="0">
      <w:start w:val="1"/>
      <w:numFmt w:val="decimal"/>
      <w:pStyle w:val="Cmsor1"/>
      <w:lvlText w:val="%1"/>
      <w:lvlJc w:val="left"/>
      <w:pPr>
        <w:tabs>
          <w:tab w:val="num" w:pos="432"/>
        </w:tabs>
        <w:ind w:left="432" w:hanging="432"/>
      </w:pPr>
      <w:rPr>
        <w:rFonts w:ascii="Arial" w:hAnsi="Arial" w:hint="default"/>
        <w:b/>
        <w:i w:val="0"/>
        <w:color w:val="D2232A"/>
        <w:sz w:val="20"/>
        <w:szCs w:val="20"/>
      </w:rPr>
    </w:lvl>
    <w:lvl w:ilvl="1">
      <w:start w:val="1"/>
      <w:numFmt w:val="decimal"/>
      <w:pStyle w:val="Cmsor2"/>
      <w:lvlText w:val="%1.%2"/>
      <w:lvlJc w:val="left"/>
      <w:pPr>
        <w:tabs>
          <w:tab w:val="num" w:pos="576"/>
        </w:tabs>
        <w:ind w:left="576" w:hanging="576"/>
      </w:pPr>
      <w:rPr>
        <w:rFonts w:ascii="Arial" w:hAnsi="Arial" w:hint="default"/>
        <w:b/>
        <w:i w:val="0"/>
        <w:sz w:val="20"/>
      </w:rPr>
    </w:lvl>
    <w:lvl w:ilvl="2">
      <w:start w:val="1"/>
      <w:numFmt w:val="decimal"/>
      <w:pStyle w:val="Cmsor3"/>
      <w:lvlText w:val="%1.%2.%3"/>
      <w:lvlJc w:val="left"/>
      <w:pPr>
        <w:tabs>
          <w:tab w:val="num" w:pos="720"/>
        </w:tabs>
        <w:ind w:left="720" w:hanging="720"/>
      </w:pPr>
      <w:rPr>
        <w:rFonts w:ascii="Arial" w:hAnsi="Arial" w:hint="default"/>
        <w:b/>
        <w:i w:val="0"/>
        <w:caps w:val="0"/>
        <w:sz w:val="20"/>
        <w:szCs w:val="20"/>
      </w:rPr>
    </w:lvl>
    <w:lvl w:ilvl="3">
      <w:start w:val="1"/>
      <w:numFmt w:val="decimal"/>
      <w:pStyle w:val="Cmsor4"/>
      <w:lvlText w:val="%1.%2.%3.%4"/>
      <w:lvlJc w:val="left"/>
      <w:pPr>
        <w:tabs>
          <w:tab w:val="num" w:pos="864"/>
        </w:tabs>
        <w:ind w:left="864" w:hanging="864"/>
      </w:pPr>
      <w:rPr>
        <w:rFonts w:ascii="Arial" w:hAnsi="Arial" w:hint="default"/>
        <w:b w:val="0"/>
        <w:i/>
        <w:sz w:val="20"/>
      </w:rPr>
    </w:lvl>
    <w:lvl w:ilvl="4">
      <w:start w:val="1"/>
      <w:numFmt w:val="decimal"/>
      <w:pStyle w:val="Cmsor5"/>
      <w:lvlText w:val="%1.%2.%3.%4.%5"/>
      <w:lvlJc w:val="left"/>
      <w:pPr>
        <w:tabs>
          <w:tab w:val="num" w:pos="1008"/>
        </w:tabs>
        <w:ind w:left="1008" w:hanging="1008"/>
      </w:pPr>
      <w:rPr>
        <w:rFonts w:hint="default"/>
        <w:sz w:val="24"/>
      </w:rPr>
    </w:lvl>
    <w:lvl w:ilvl="5">
      <w:start w:val="1"/>
      <w:numFmt w:val="decimal"/>
      <w:pStyle w:val="Cmsor6"/>
      <w:lvlText w:val="%1.%2.%3.%4.%5.%6"/>
      <w:lvlJc w:val="left"/>
      <w:pPr>
        <w:tabs>
          <w:tab w:val="num" w:pos="1152"/>
        </w:tabs>
        <w:ind w:left="1152" w:hanging="1152"/>
      </w:pPr>
      <w:rPr>
        <w:rFonts w:hint="default"/>
      </w:rPr>
    </w:lvl>
    <w:lvl w:ilvl="6">
      <w:start w:val="1"/>
      <w:numFmt w:val="decimal"/>
      <w:pStyle w:val="Cmsor7"/>
      <w:lvlText w:val="%1.%2.%3.%4.%5.%6.%7"/>
      <w:lvlJc w:val="left"/>
      <w:pPr>
        <w:tabs>
          <w:tab w:val="num" w:pos="1296"/>
        </w:tabs>
        <w:ind w:left="1296" w:hanging="1296"/>
      </w:pPr>
      <w:rPr>
        <w:rFonts w:hint="default"/>
      </w:rPr>
    </w:lvl>
    <w:lvl w:ilvl="7">
      <w:start w:val="1"/>
      <w:numFmt w:val="decimal"/>
      <w:pStyle w:val="Cmsor8"/>
      <w:lvlText w:val="%1.%2.%3.%4.%5.%6.%7.%8"/>
      <w:lvlJc w:val="left"/>
      <w:pPr>
        <w:tabs>
          <w:tab w:val="num" w:pos="1440"/>
        </w:tabs>
        <w:ind w:left="1440" w:hanging="1440"/>
      </w:pPr>
      <w:rPr>
        <w:rFonts w:hint="default"/>
      </w:rPr>
    </w:lvl>
    <w:lvl w:ilvl="8">
      <w:start w:val="1"/>
      <w:numFmt w:val="decimal"/>
      <w:pStyle w:val="Cmsor9"/>
      <w:lvlText w:val="%1.%2.%3.%4.%5.%6.%7.%8.%9"/>
      <w:lvlJc w:val="left"/>
      <w:pPr>
        <w:tabs>
          <w:tab w:val="num" w:pos="1584"/>
        </w:tabs>
        <w:ind w:left="1584" w:hanging="1584"/>
      </w:pPr>
      <w:rPr>
        <w:rFonts w:hint="default"/>
      </w:rPr>
    </w:lvl>
  </w:abstractNum>
  <w:abstractNum w:abstractNumId="11" w15:restartNumberingAfterBreak="0">
    <w:nsid w:val="46E6242A"/>
    <w:multiLevelType w:val="hybridMultilevel"/>
    <w:tmpl w:val="9146C086"/>
    <w:lvl w:ilvl="0" w:tplc="5D1C976A">
      <w:start w:val="1"/>
      <w:numFmt w:val="decimal"/>
      <w:pStyle w:val="ECCReference"/>
      <w:lvlText w:val="[%1]"/>
      <w:lvlJc w:val="left"/>
      <w:pPr>
        <w:tabs>
          <w:tab w:val="num" w:pos="397"/>
        </w:tabs>
        <w:ind w:left="397" w:hanging="397"/>
      </w:pPr>
      <w:rPr>
        <w:rFonts w:ascii="Arial" w:hAnsi="Arial" w:hint="default"/>
        <w:b w:val="0"/>
        <w:i w:val="0"/>
        <w:color w:val="D2232A"/>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8E532EA"/>
    <w:multiLevelType w:val="hybridMultilevel"/>
    <w:tmpl w:val="5810E2A4"/>
    <w:lvl w:ilvl="0" w:tplc="20B4FF9A">
      <w:start w:val="1"/>
      <w:numFmt w:val="bullet"/>
      <w:lvlText w:val=""/>
      <w:lvlPicBulletId w:val="0"/>
      <w:lvlJc w:val="left"/>
      <w:pPr>
        <w:tabs>
          <w:tab w:val="num" w:pos="1559"/>
        </w:tabs>
        <w:ind w:left="1559" w:hanging="1559"/>
      </w:pPr>
      <w:rPr>
        <w:rFonts w:ascii="Symbol" w:hAnsi="Symbol" w:hint="default"/>
        <w:b w:val="0"/>
        <w:bCs w:val="0"/>
        <w:i w:val="0"/>
        <w:iCs w:val="0"/>
        <w:caps w:val="0"/>
        <w:smallCaps w:val="0"/>
        <w:strike w:val="0"/>
        <w:dstrike w:val="0"/>
        <w:vanish w:val="0"/>
        <w:color w:val="auto"/>
        <w:spacing w:val="0"/>
        <w:kern w:val="0"/>
        <w:position w:val="0"/>
        <w:u w:val="none" w:color="FFFF00"/>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49BE4C9A"/>
    <w:multiLevelType w:val="multilevel"/>
    <w:tmpl w:val="8FA093E4"/>
    <w:lvl w:ilvl="0">
      <w:start w:val="1"/>
      <w:numFmt w:val="decimal"/>
      <w:lvlText w:val="%1."/>
      <w:lvlJc w:val="left"/>
      <w:pPr>
        <w:tabs>
          <w:tab w:val="num" w:pos="340"/>
        </w:tabs>
        <w:ind w:left="340" w:hanging="340"/>
      </w:pPr>
      <w:rPr>
        <w:rFonts w:ascii="Arial" w:hAnsi="Arial" w:hint="default"/>
        <w:b w:val="0"/>
        <w:i w:val="0"/>
        <w:color w:val="D2232A"/>
        <w:sz w:val="20"/>
      </w:rPr>
    </w:lvl>
    <w:lvl w:ilvl="1">
      <w:start w:val="1"/>
      <w:numFmt w:val="lowerLetter"/>
      <w:pStyle w:val="ECCLetteredList"/>
      <w:lvlText w:val="%2)"/>
      <w:lvlJc w:val="left"/>
      <w:pPr>
        <w:tabs>
          <w:tab w:val="num" w:pos="680"/>
        </w:tabs>
        <w:ind w:left="680" w:hanging="340"/>
      </w:pPr>
      <w:rPr>
        <w:rFonts w:ascii="Arial" w:hAnsi="Arial" w:hint="default"/>
        <w:b w:val="0"/>
        <w:i w:val="0"/>
        <w:color w:val="D2232A"/>
        <w:sz w:val="20"/>
      </w:rPr>
    </w:lvl>
    <w:lvl w:ilvl="2">
      <w:start w:val="1"/>
      <w:numFmt w:val="bullet"/>
      <w:lvlText w:val=""/>
      <w:lvlJc w:val="left"/>
      <w:pPr>
        <w:tabs>
          <w:tab w:val="num" w:pos="1021"/>
        </w:tabs>
        <w:ind w:left="1021" w:hanging="341"/>
      </w:pPr>
      <w:rPr>
        <w:rFonts w:ascii="Wingdings" w:hAnsi="Wingdings" w:hint="default"/>
        <w:color w:val="D2232A"/>
      </w:rPr>
    </w:lvl>
    <w:lvl w:ilvl="3">
      <w:start w:val="1"/>
      <w:numFmt w:val="none"/>
      <w:lvlText w:val=""/>
      <w:lvlJc w:val="left"/>
      <w:pPr>
        <w:tabs>
          <w:tab w:val="num" w:pos="1077"/>
        </w:tabs>
        <w:ind w:left="1728" w:hanging="648"/>
      </w:pPr>
      <w:rPr>
        <w:rFonts w:hint="default"/>
      </w:rPr>
    </w:lvl>
    <w:lvl w:ilvl="4">
      <w:start w:val="1"/>
      <w:numFmt w:val="none"/>
      <w:lvlText w:val=""/>
      <w:lvlJc w:val="left"/>
      <w:pPr>
        <w:ind w:left="2232" w:hanging="792"/>
      </w:pPr>
      <w:rPr>
        <w:rFonts w:hint="default"/>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14" w15:restartNumberingAfterBreak="0">
    <w:nsid w:val="5C062D2E"/>
    <w:multiLevelType w:val="hybridMultilevel"/>
    <w:tmpl w:val="92BCABA0"/>
    <w:lvl w:ilvl="0" w:tplc="2E164D7A">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FB43B3F"/>
    <w:multiLevelType w:val="multilevel"/>
    <w:tmpl w:val="2EE8F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2052146"/>
    <w:multiLevelType w:val="hybridMultilevel"/>
    <w:tmpl w:val="1862DA0A"/>
    <w:lvl w:ilvl="0" w:tplc="4F3070D4">
      <w:start w:val="150"/>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AE60EAA"/>
    <w:multiLevelType w:val="hybridMultilevel"/>
    <w:tmpl w:val="A3A4527C"/>
    <w:lvl w:ilvl="0" w:tplc="040C0001">
      <w:start w:val="1"/>
      <w:numFmt w:val="bullet"/>
      <w:lvlText w:val=""/>
      <w:lvlJc w:val="left"/>
      <w:pPr>
        <w:ind w:left="780" w:hanging="360"/>
      </w:pPr>
      <w:rPr>
        <w:rFonts w:ascii="Symbol" w:hAnsi="Symbol"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num w:numId="1">
    <w:abstractNumId w:val="4"/>
  </w:num>
  <w:num w:numId="2">
    <w:abstractNumId w:val="1"/>
  </w:num>
  <w:num w:numId="3">
    <w:abstractNumId w:val="13"/>
  </w:num>
  <w:num w:numId="4">
    <w:abstractNumId w:val="7"/>
  </w:num>
  <w:num w:numId="5">
    <w:abstractNumId w:val="11"/>
  </w:num>
  <w:num w:numId="6">
    <w:abstractNumId w:val="10"/>
  </w:num>
  <w:num w:numId="7">
    <w:abstractNumId w:val="12"/>
  </w:num>
  <w:num w:numId="8">
    <w:abstractNumId w:val="6"/>
  </w:num>
  <w:num w:numId="9">
    <w:abstractNumId w:val="6"/>
  </w:num>
  <w:num w:numId="10">
    <w:abstractNumId w:val="5"/>
  </w:num>
  <w:num w:numId="11">
    <w:abstractNumId w:val="8"/>
  </w:num>
  <w:num w:numId="12">
    <w:abstractNumId w:val="14"/>
  </w:num>
  <w:num w:numId="13">
    <w:abstractNumId w:val="17"/>
  </w:num>
  <w:num w:numId="14">
    <w:abstractNumId w:val="9"/>
  </w:num>
  <w:num w:numId="15">
    <w:abstractNumId w:val="2"/>
  </w:num>
  <w:num w:numId="16">
    <w:abstractNumId w:val="16"/>
  </w:num>
  <w:num w:numId="17">
    <w:abstractNumId w:val="3"/>
  </w:num>
  <w:num w:numId="18">
    <w:abstractNumId w:val="15"/>
  </w:num>
  <w:num w:numId="19">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D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1"/>
  <w:stylePaneSortMethod w:val="0000"/>
  <w:documentProtection w:formatting="1" w:enforcement="0"/>
  <w:autoFormatOverride/>
  <w:styleLockQFSet/>
  <w:defaultTabStop w:val="567"/>
  <w:hyphenationZone w:val="425"/>
  <w:characterSpacingControl w:val="doNotCompress"/>
  <w:hdrShapeDefaults>
    <o:shapedefaults v:ext="edit" spidmax="3073">
      <o:colormru v:ext="edit" colors="#7b6c58,#887e6e,#b0a696"/>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F50"/>
    <w:rsid w:val="00002508"/>
    <w:rsid w:val="0000440A"/>
    <w:rsid w:val="0001112E"/>
    <w:rsid w:val="0001213F"/>
    <w:rsid w:val="00012A37"/>
    <w:rsid w:val="00012E3B"/>
    <w:rsid w:val="0001325B"/>
    <w:rsid w:val="00013331"/>
    <w:rsid w:val="0001374B"/>
    <w:rsid w:val="000147B8"/>
    <w:rsid w:val="000150FB"/>
    <w:rsid w:val="0001598F"/>
    <w:rsid w:val="00020433"/>
    <w:rsid w:val="00021FB5"/>
    <w:rsid w:val="00024189"/>
    <w:rsid w:val="00027388"/>
    <w:rsid w:val="000312EB"/>
    <w:rsid w:val="00032032"/>
    <w:rsid w:val="000340E0"/>
    <w:rsid w:val="000341B2"/>
    <w:rsid w:val="00037AE2"/>
    <w:rsid w:val="00037F60"/>
    <w:rsid w:val="000405E8"/>
    <w:rsid w:val="0004082D"/>
    <w:rsid w:val="00041A18"/>
    <w:rsid w:val="0004225D"/>
    <w:rsid w:val="0004622B"/>
    <w:rsid w:val="0004730E"/>
    <w:rsid w:val="000515AE"/>
    <w:rsid w:val="00055321"/>
    <w:rsid w:val="00056134"/>
    <w:rsid w:val="00061DDD"/>
    <w:rsid w:val="000631EE"/>
    <w:rsid w:val="00063A81"/>
    <w:rsid w:val="00065E17"/>
    <w:rsid w:val="00067793"/>
    <w:rsid w:val="00073756"/>
    <w:rsid w:val="000741BC"/>
    <w:rsid w:val="000750A1"/>
    <w:rsid w:val="000751C9"/>
    <w:rsid w:val="000771B7"/>
    <w:rsid w:val="000803EE"/>
    <w:rsid w:val="00080AD2"/>
    <w:rsid w:val="00080D4D"/>
    <w:rsid w:val="00080F96"/>
    <w:rsid w:val="00081D1E"/>
    <w:rsid w:val="00082DD7"/>
    <w:rsid w:val="0008483A"/>
    <w:rsid w:val="00086B19"/>
    <w:rsid w:val="00090E89"/>
    <w:rsid w:val="00091370"/>
    <w:rsid w:val="00093DE8"/>
    <w:rsid w:val="00095620"/>
    <w:rsid w:val="000969FE"/>
    <w:rsid w:val="00097F71"/>
    <w:rsid w:val="000A0922"/>
    <w:rsid w:val="000A1CFB"/>
    <w:rsid w:val="000A24D1"/>
    <w:rsid w:val="000A3940"/>
    <w:rsid w:val="000A65F0"/>
    <w:rsid w:val="000B1B3B"/>
    <w:rsid w:val="000B203C"/>
    <w:rsid w:val="000B20B7"/>
    <w:rsid w:val="000B6D45"/>
    <w:rsid w:val="000C028F"/>
    <w:rsid w:val="000C0940"/>
    <w:rsid w:val="000D0D78"/>
    <w:rsid w:val="000D1710"/>
    <w:rsid w:val="000D4135"/>
    <w:rsid w:val="000D43BB"/>
    <w:rsid w:val="000E1DC3"/>
    <w:rsid w:val="000E2643"/>
    <w:rsid w:val="000E3E4D"/>
    <w:rsid w:val="000E42F5"/>
    <w:rsid w:val="000E46F6"/>
    <w:rsid w:val="000E593D"/>
    <w:rsid w:val="000E5AD7"/>
    <w:rsid w:val="000E62A1"/>
    <w:rsid w:val="000E69B8"/>
    <w:rsid w:val="000F0594"/>
    <w:rsid w:val="000F0CA8"/>
    <w:rsid w:val="000F133D"/>
    <w:rsid w:val="000F13C1"/>
    <w:rsid w:val="000F1994"/>
    <w:rsid w:val="000F24F5"/>
    <w:rsid w:val="000F2BFC"/>
    <w:rsid w:val="000F2ED9"/>
    <w:rsid w:val="000F41D2"/>
    <w:rsid w:val="000F469C"/>
    <w:rsid w:val="000F55F5"/>
    <w:rsid w:val="000F5A52"/>
    <w:rsid w:val="000F6EE5"/>
    <w:rsid w:val="001006CA"/>
    <w:rsid w:val="00100F8B"/>
    <w:rsid w:val="00102172"/>
    <w:rsid w:val="001034F6"/>
    <w:rsid w:val="00103AFA"/>
    <w:rsid w:val="00110652"/>
    <w:rsid w:val="00113F4A"/>
    <w:rsid w:val="00115316"/>
    <w:rsid w:val="0011656E"/>
    <w:rsid w:val="00120874"/>
    <w:rsid w:val="0012177D"/>
    <w:rsid w:val="00122B50"/>
    <w:rsid w:val="00122FD8"/>
    <w:rsid w:val="00123D68"/>
    <w:rsid w:val="0012431B"/>
    <w:rsid w:val="001404E7"/>
    <w:rsid w:val="0014261C"/>
    <w:rsid w:val="00142D83"/>
    <w:rsid w:val="00143AB8"/>
    <w:rsid w:val="00147755"/>
    <w:rsid w:val="00147E9F"/>
    <w:rsid w:val="00151D64"/>
    <w:rsid w:val="001526A2"/>
    <w:rsid w:val="00154F16"/>
    <w:rsid w:val="0015507D"/>
    <w:rsid w:val="00156314"/>
    <w:rsid w:val="0016094B"/>
    <w:rsid w:val="0016143A"/>
    <w:rsid w:val="0016196D"/>
    <w:rsid w:val="00165125"/>
    <w:rsid w:val="001653EC"/>
    <w:rsid w:val="001675DD"/>
    <w:rsid w:val="00172030"/>
    <w:rsid w:val="0017252D"/>
    <w:rsid w:val="00172B28"/>
    <w:rsid w:val="00172B45"/>
    <w:rsid w:val="00175B2F"/>
    <w:rsid w:val="001807E1"/>
    <w:rsid w:val="0018190F"/>
    <w:rsid w:val="00181D6A"/>
    <w:rsid w:val="00181EC2"/>
    <w:rsid w:val="00182786"/>
    <w:rsid w:val="00183FE0"/>
    <w:rsid w:val="0018553F"/>
    <w:rsid w:val="001857DF"/>
    <w:rsid w:val="00185C55"/>
    <w:rsid w:val="00186D76"/>
    <w:rsid w:val="0018726D"/>
    <w:rsid w:val="00187B7A"/>
    <w:rsid w:val="00191A3D"/>
    <w:rsid w:val="001964A7"/>
    <w:rsid w:val="00196918"/>
    <w:rsid w:val="00197124"/>
    <w:rsid w:val="001A01CA"/>
    <w:rsid w:val="001A09BB"/>
    <w:rsid w:val="001A5EE9"/>
    <w:rsid w:val="001A7D21"/>
    <w:rsid w:val="001B0583"/>
    <w:rsid w:val="001B0BDE"/>
    <w:rsid w:val="001B433C"/>
    <w:rsid w:val="001C30A8"/>
    <w:rsid w:val="001C36E0"/>
    <w:rsid w:val="001C50C0"/>
    <w:rsid w:val="001C7ADF"/>
    <w:rsid w:val="001D1FDC"/>
    <w:rsid w:val="001D4753"/>
    <w:rsid w:val="001D76A0"/>
    <w:rsid w:val="001E19F6"/>
    <w:rsid w:val="001E4C44"/>
    <w:rsid w:val="001E7A7B"/>
    <w:rsid w:val="001F0428"/>
    <w:rsid w:val="001F14A8"/>
    <w:rsid w:val="001F2DD1"/>
    <w:rsid w:val="001F4131"/>
    <w:rsid w:val="001F4192"/>
    <w:rsid w:val="001F52CE"/>
    <w:rsid w:val="001F573B"/>
    <w:rsid w:val="001F78C1"/>
    <w:rsid w:val="001F79B0"/>
    <w:rsid w:val="0020079A"/>
    <w:rsid w:val="00203B91"/>
    <w:rsid w:val="00203BF1"/>
    <w:rsid w:val="0020427D"/>
    <w:rsid w:val="00204A24"/>
    <w:rsid w:val="00206100"/>
    <w:rsid w:val="00207298"/>
    <w:rsid w:val="00212355"/>
    <w:rsid w:val="002129A8"/>
    <w:rsid w:val="00214162"/>
    <w:rsid w:val="002143E9"/>
    <w:rsid w:val="002148CD"/>
    <w:rsid w:val="00215C4E"/>
    <w:rsid w:val="00216306"/>
    <w:rsid w:val="0021770D"/>
    <w:rsid w:val="00222F9E"/>
    <w:rsid w:val="002302A9"/>
    <w:rsid w:val="0023118F"/>
    <w:rsid w:val="00231A0F"/>
    <w:rsid w:val="00234EC3"/>
    <w:rsid w:val="00235429"/>
    <w:rsid w:val="00237BC0"/>
    <w:rsid w:val="002416C7"/>
    <w:rsid w:val="00243F5A"/>
    <w:rsid w:val="002453AD"/>
    <w:rsid w:val="00245F5E"/>
    <w:rsid w:val="00246729"/>
    <w:rsid w:val="00246810"/>
    <w:rsid w:val="002468FA"/>
    <w:rsid w:val="00247B0B"/>
    <w:rsid w:val="00252F95"/>
    <w:rsid w:val="00254F78"/>
    <w:rsid w:val="00255D63"/>
    <w:rsid w:val="0026027C"/>
    <w:rsid w:val="00261896"/>
    <w:rsid w:val="00262543"/>
    <w:rsid w:val="00262FDD"/>
    <w:rsid w:val="00263E56"/>
    <w:rsid w:val="00263FFB"/>
    <w:rsid w:val="00264D39"/>
    <w:rsid w:val="002654BF"/>
    <w:rsid w:val="00265F50"/>
    <w:rsid w:val="00266731"/>
    <w:rsid w:val="00266923"/>
    <w:rsid w:val="00266944"/>
    <w:rsid w:val="00270C64"/>
    <w:rsid w:val="002715FA"/>
    <w:rsid w:val="00271A59"/>
    <w:rsid w:val="00274F84"/>
    <w:rsid w:val="00276541"/>
    <w:rsid w:val="002768BF"/>
    <w:rsid w:val="00276A3C"/>
    <w:rsid w:val="0027787F"/>
    <w:rsid w:val="0028060B"/>
    <w:rsid w:val="0028120C"/>
    <w:rsid w:val="00283417"/>
    <w:rsid w:val="00285D4D"/>
    <w:rsid w:val="00285F98"/>
    <w:rsid w:val="0029139C"/>
    <w:rsid w:val="00291C20"/>
    <w:rsid w:val="00291DB5"/>
    <w:rsid w:val="00291FA0"/>
    <w:rsid w:val="002944A5"/>
    <w:rsid w:val="00295588"/>
    <w:rsid w:val="00295827"/>
    <w:rsid w:val="00295CAA"/>
    <w:rsid w:val="00295F16"/>
    <w:rsid w:val="00296C44"/>
    <w:rsid w:val="00297658"/>
    <w:rsid w:val="002A033F"/>
    <w:rsid w:val="002A1412"/>
    <w:rsid w:val="002A38DD"/>
    <w:rsid w:val="002A4B86"/>
    <w:rsid w:val="002A58AC"/>
    <w:rsid w:val="002A7564"/>
    <w:rsid w:val="002A7986"/>
    <w:rsid w:val="002B0871"/>
    <w:rsid w:val="002B250E"/>
    <w:rsid w:val="002B2ADD"/>
    <w:rsid w:val="002B521A"/>
    <w:rsid w:val="002B59AF"/>
    <w:rsid w:val="002C03A3"/>
    <w:rsid w:val="002C2901"/>
    <w:rsid w:val="002C3327"/>
    <w:rsid w:val="002C6DC3"/>
    <w:rsid w:val="002C7B6D"/>
    <w:rsid w:val="002C7E26"/>
    <w:rsid w:val="002D0995"/>
    <w:rsid w:val="002D1FA9"/>
    <w:rsid w:val="002D2095"/>
    <w:rsid w:val="002D50A3"/>
    <w:rsid w:val="002D5686"/>
    <w:rsid w:val="002E015F"/>
    <w:rsid w:val="002E168D"/>
    <w:rsid w:val="002E373A"/>
    <w:rsid w:val="002F0AEC"/>
    <w:rsid w:val="002F1506"/>
    <w:rsid w:val="002F293A"/>
    <w:rsid w:val="002F65EC"/>
    <w:rsid w:val="002F6A6E"/>
    <w:rsid w:val="002F70E6"/>
    <w:rsid w:val="0030013E"/>
    <w:rsid w:val="003007C0"/>
    <w:rsid w:val="00300AB8"/>
    <w:rsid w:val="00301209"/>
    <w:rsid w:val="003034DF"/>
    <w:rsid w:val="00303B84"/>
    <w:rsid w:val="003061B9"/>
    <w:rsid w:val="00307A79"/>
    <w:rsid w:val="00311F67"/>
    <w:rsid w:val="00313733"/>
    <w:rsid w:val="0031396F"/>
    <w:rsid w:val="00313B52"/>
    <w:rsid w:val="00314857"/>
    <w:rsid w:val="00315A98"/>
    <w:rsid w:val="003204D5"/>
    <w:rsid w:val="003207FD"/>
    <w:rsid w:val="00320ED0"/>
    <w:rsid w:val="00322E6A"/>
    <w:rsid w:val="00322F4A"/>
    <w:rsid w:val="00323340"/>
    <w:rsid w:val="003313D3"/>
    <w:rsid w:val="003314A0"/>
    <w:rsid w:val="003314DB"/>
    <w:rsid w:val="00331659"/>
    <w:rsid w:val="00333AE6"/>
    <w:rsid w:val="0033601B"/>
    <w:rsid w:val="0033655D"/>
    <w:rsid w:val="00340AAE"/>
    <w:rsid w:val="00341FA2"/>
    <w:rsid w:val="00342C3A"/>
    <w:rsid w:val="00343291"/>
    <w:rsid w:val="00343EDB"/>
    <w:rsid w:val="00344C37"/>
    <w:rsid w:val="00346156"/>
    <w:rsid w:val="00351630"/>
    <w:rsid w:val="00353738"/>
    <w:rsid w:val="0035376D"/>
    <w:rsid w:val="00354797"/>
    <w:rsid w:val="00354EE6"/>
    <w:rsid w:val="00356F4C"/>
    <w:rsid w:val="00357948"/>
    <w:rsid w:val="00357CA5"/>
    <w:rsid w:val="0036273E"/>
    <w:rsid w:val="0036511C"/>
    <w:rsid w:val="0036533A"/>
    <w:rsid w:val="00365458"/>
    <w:rsid w:val="003678AC"/>
    <w:rsid w:val="00377CC5"/>
    <w:rsid w:val="00381169"/>
    <w:rsid w:val="0038287C"/>
    <w:rsid w:val="0038293F"/>
    <w:rsid w:val="00382E46"/>
    <w:rsid w:val="0038358E"/>
    <w:rsid w:val="003867F5"/>
    <w:rsid w:val="00386EE6"/>
    <w:rsid w:val="00387D23"/>
    <w:rsid w:val="00387DDE"/>
    <w:rsid w:val="00390131"/>
    <w:rsid w:val="003917E1"/>
    <w:rsid w:val="00391A01"/>
    <w:rsid w:val="00391E97"/>
    <w:rsid w:val="00392584"/>
    <w:rsid w:val="0039313F"/>
    <w:rsid w:val="00394DCF"/>
    <w:rsid w:val="0039641B"/>
    <w:rsid w:val="003974CB"/>
    <w:rsid w:val="003A0E23"/>
    <w:rsid w:val="003A0EB5"/>
    <w:rsid w:val="003A3FA8"/>
    <w:rsid w:val="003A42B4"/>
    <w:rsid w:val="003A5230"/>
    <w:rsid w:val="003A5711"/>
    <w:rsid w:val="003B017A"/>
    <w:rsid w:val="003B0327"/>
    <w:rsid w:val="003B05C4"/>
    <w:rsid w:val="003B3489"/>
    <w:rsid w:val="003B3CFE"/>
    <w:rsid w:val="003B505C"/>
    <w:rsid w:val="003B5BFD"/>
    <w:rsid w:val="003C2E81"/>
    <w:rsid w:val="003C4D72"/>
    <w:rsid w:val="003C55C2"/>
    <w:rsid w:val="003C5F34"/>
    <w:rsid w:val="003C64D9"/>
    <w:rsid w:val="003C7335"/>
    <w:rsid w:val="003C7889"/>
    <w:rsid w:val="003D00DC"/>
    <w:rsid w:val="003D013F"/>
    <w:rsid w:val="003D036C"/>
    <w:rsid w:val="003D13E2"/>
    <w:rsid w:val="003D3C99"/>
    <w:rsid w:val="003D49D4"/>
    <w:rsid w:val="003D7E92"/>
    <w:rsid w:val="003E0779"/>
    <w:rsid w:val="003E09C9"/>
    <w:rsid w:val="003E2E42"/>
    <w:rsid w:val="003E3416"/>
    <w:rsid w:val="003E3424"/>
    <w:rsid w:val="003E380B"/>
    <w:rsid w:val="003E70E0"/>
    <w:rsid w:val="003E7F74"/>
    <w:rsid w:val="003F1544"/>
    <w:rsid w:val="003F3211"/>
    <w:rsid w:val="003F4F0F"/>
    <w:rsid w:val="003F6793"/>
    <w:rsid w:val="004003C6"/>
    <w:rsid w:val="0040153A"/>
    <w:rsid w:val="00401DF4"/>
    <w:rsid w:val="00402A62"/>
    <w:rsid w:val="00403CE6"/>
    <w:rsid w:val="004041BD"/>
    <w:rsid w:val="00406FE5"/>
    <w:rsid w:val="00410B16"/>
    <w:rsid w:val="004110CA"/>
    <w:rsid w:val="0041114C"/>
    <w:rsid w:val="0041160E"/>
    <w:rsid w:val="0041279E"/>
    <w:rsid w:val="00413721"/>
    <w:rsid w:val="00413DD0"/>
    <w:rsid w:val="0041512E"/>
    <w:rsid w:val="00416286"/>
    <w:rsid w:val="004171B3"/>
    <w:rsid w:val="00421FD9"/>
    <w:rsid w:val="00423174"/>
    <w:rsid w:val="004264B7"/>
    <w:rsid w:val="0042761F"/>
    <w:rsid w:val="00430DC3"/>
    <w:rsid w:val="00431162"/>
    <w:rsid w:val="004342A7"/>
    <w:rsid w:val="00436C5E"/>
    <w:rsid w:val="00437A24"/>
    <w:rsid w:val="00441EE0"/>
    <w:rsid w:val="00443482"/>
    <w:rsid w:val="004437FD"/>
    <w:rsid w:val="0044787A"/>
    <w:rsid w:val="00447A2F"/>
    <w:rsid w:val="00447C1C"/>
    <w:rsid w:val="00450308"/>
    <w:rsid w:val="00453D56"/>
    <w:rsid w:val="00454921"/>
    <w:rsid w:val="00457AD1"/>
    <w:rsid w:val="00461BE8"/>
    <w:rsid w:val="00463EC4"/>
    <w:rsid w:val="0046427F"/>
    <w:rsid w:val="0046766C"/>
    <w:rsid w:val="00470A78"/>
    <w:rsid w:val="0047413B"/>
    <w:rsid w:val="00474A17"/>
    <w:rsid w:val="0047519C"/>
    <w:rsid w:val="00480605"/>
    <w:rsid w:val="0048067B"/>
    <w:rsid w:val="00482FCB"/>
    <w:rsid w:val="004835DC"/>
    <w:rsid w:val="00485665"/>
    <w:rsid w:val="00485FC9"/>
    <w:rsid w:val="004866EF"/>
    <w:rsid w:val="00490979"/>
    <w:rsid w:val="004912D3"/>
    <w:rsid w:val="00491977"/>
    <w:rsid w:val="00493E2B"/>
    <w:rsid w:val="004959FC"/>
    <w:rsid w:val="00496B92"/>
    <w:rsid w:val="004A1329"/>
    <w:rsid w:val="004A2726"/>
    <w:rsid w:val="004A28B0"/>
    <w:rsid w:val="004A4538"/>
    <w:rsid w:val="004B1A2F"/>
    <w:rsid w:val="004B1E25"/>
    <w:rsid w:val="004B3784"/>
    <w:rsid w:val="004B3F04"/>
    <w:rsid w:val="004B5DE7"/>
    <w:rsid w:val="004B6445"/>
    <w:rsid w:val="004B7204"/>
    <w:rsid w:val="004C0632"/>
    <w:rsid w:val="004C0B6D"/>
    <w:rsid w:val="004C167E"/>
    <w:rsid w:val="004C1A87"/>
    <w:rsid w:val="004C255A"/>
    <w:rsid w:val="004C4A2E"/>
    <w:rsid w:val="004C736F"/>
    <w:rsid w:val="004D041D"/>
    <w:rsid w:val="004D33E2"/>
    <w:rsid w:val="004D37A3"/>
    <w:rsid w:val="004D5119"/>
    <w:rsid w:val="004D60C3"/>
    <w:rsid w:val="004E057E"/>
    <w:rsid w:val="004E10EA"/>
    <w:rsid w:val="004E1A2B"/>
    <w:rsid w:val="004E1F18"/>
    <w:rsid w:val="004E44C8"/>
    <w:rsid w:val="004E4E88"/>
    <w:rsid w:val="004E53BE"/>
    <w:rsid w:val="004E7F82"/>
    <w:rsid w:val="004F0DA5"/>
    <w:rsid w:val="004F1663"/>
    <w:rsid w:val="004F1C1D"/>
    <w:rsid w:val="004F3EA9"/>
    <w:rsid w:val="004F5511"/>
    <w:rsid w:val="004F6FFE"/>
    <w:rsid w:val="00501992"/>
    <w:rsid w:val="00501DEC"/>
    <w:rsid w:val="005026AC"/>
    <w:rsid w:val="00503419"/>
    <w:rsid w:val="00503541"/>
    <w:rsid w:val="00510747"/>
    <w:rsid w:val="005107C6"/>
    <w:rsid w:val="00510AE7"/>
    <w:rsid w:val="00511913"/>
    <w:rsid w:val="005122A7"/>
    <w:rsid w:val="00514700"/>
    <w:rsid w:val="00516DE5"/>
    <w:rsid w:val="00517D85"/>
    <w:rsid w:val="00517EFD"/>
    <w:rsid w:val="00520EFD"/>
    <w:rsid w:val="00521E5B"/>
    <w:rsid w:val="00525D78"/>
    <w:rsid w:val="00526054"/>
    <w:rsid w:val="0052694A"/>
    <w:rsid w:val="0053062A"/>
    <w:rsid w:val="00533224"/>
    <w:rsid w:val="00535050"/>
    <w:rsid w:val="00536F3C"/>
    <w:rsid w:val="0053735D"/>
    <w:rsid w:val="005376B3"/>
    <w:rsid w:val="005419DF"/>
    <w:rsid w:val="0054260E"/>
    <w:rsid w:val="00544036"/>
    <w:rsid w:val="005458F4"/>
    <w:rsid w:val="00550A79"/>
    <w:rsid w:val="00550C11"/>
    <w:rsid w:val="00550D79"/>
    <w:rsid w:val="005519AB"/>
    <w:rsid w:val="0055275C"/>
    <w:rsid w:val="005527EB"/>
    <w:rsid w:val="00554C46"/>
    <w:rsid w:val="005559AC"/>
    <w:rsid w:val="00555FB3"/>
    <w:rsid w:val="0055783E"/>
    <w:rsid w:val="00557B5A"/>
    <w:rsid w:val="00557B9A"/>
    <w:rsid w:val="00560768"/>
    <w:rsid w:val="005611D0"/>
    <w:rsid w:val="00562EA7"/>
    <w:rsid w:val="00565159"/>
    <w:rsid w:val="00565723"/>
    <w:rsid w:val="005662F6"/>
    <w:rsid w:val="005663F4"/>
    <w:rsid w:val="00566BD4"/>
    <w:rsid w:val="00573F7E"/>
    <w:rsid w:val="00574097"/>
    <w:rsid w:val="00576411"/>
    <w:rsid w:val="00577725"/>
    <w:rsid w:val="00577CAF"/>
    <w:rsid w:val="00580223"/>
    <w:rsid w:val="00581A88"/>
    <w:rsid w:val="005842A3"/>
    <w:rsid w:val="00584D7F"/>
    <w:rsid w:val="005862E6"/>
    <w:rsid w:val="00592C9C"/>
    <w:rsid w:val="00594186"/>
    <w:rsid w:val="005945E0"/>
    <w:rsid w:val="00597103"/>
    <w:rsid w:val="00597C16"/>
    <w:rsid w:val="00597E33"/>
    <w:rsid w:val="005A05D1"/>
    <w:rsid w:val="005A2F7E"/>
    <w:rsid w:val="005A3D97"/>
    <w:rsid w:val="005A53B8"/>
    <w:rsid w:val="005A63A3"/>
    <w:rsid w:val="005B202B"/>
    <w:rsid w:val="005B624A"/>
    <w:rsid w:val="005B64EC"/>
    <w:rsid w:val="005B7998"/>
    <w:rsid w:val="005C10EB"/>
    <w:rsid w:val="005C2301"/>
    <w:rsid w:val="005C5A96"/>
    <w:rsid w:val="005C7D6D"/>
    <w:rsid w:val="005D0C55"/>
    <w:rsid w:val="005D1324"/>
    <w:rsid w:val="005D16DE"/>
    <w:rsid w:val="005D263B"/>
    <w:rsid w:val="005D371D"/>
    <w:rsid w:val="005D48A7"/>
    <w:rsid w:val="005D4D69"/>
    <w:rsid w:val="005D7F1B"/>
    <w:rsid w:val="005E4919"/>
    <w:rsid w:val="005E58EA"/>
    <w:rsid w:val="005E59D3"/>
    <w:rsid w:val="005E6778"/>
    <w:rsid w:val="005E7495"/>
    <w:rsid w:val="005F31AA"/>
    <w:rsid w:val="005F55D1"/>
    <w:rsid w:val="005F6868"/>
    <w:rsid w:val="005F68E2"/>
    <w:rsid w:val="005F7AC5"/>
    <w:rsid w:val="00600B39"/>
    <w:rsid w:val="00603E65"/>
    <w:rsid w:val="00604684"/>
    <w:rsid w:val="0061176A"/>
    <w:rsid w:val="00614974"/>
    <w:rsid w:val="006156B7"/>
    <w:rsid w:val="00615FC6"/>
    <w:rsid w:val="0061673F"/>
    <w:rsid w:val="00616D24"/>
    <w:rsid w:val="00616E05"/>
    <w:rsid w:val="00620E35"/>
    <w:rsid w:val="00621C02"/>
    <w:rsid w:val="00621C12"/>
    <w:rsid w:val="00622C61"/>
    <w:rsid w:val="00623D5B"/>
    <w:rsid w:val="00623E18"/>
    <w:rsid w:val="0062430E"/>
    <w:rsid w:val="00625C5D"/>
    <w:rsid w:val="00633387"/>
    <w:rsid w:val="00633ABC"/>
    <w:rsid w:val="00634615"/>
    <w:rsid w:val="00635A22"/>
    <w:rsid w:val="0063604D"/>
    <w:rsid w:val="00636414"/>
    <w:rsid w:val="00637763"/>
    <w:rsid w:val="006406E5"/>
    <w:rsid w:val="00642083"/>
    <w:rsid w:val="00644F07"/>
    <w:rsid w:val="0064722A"/>
    <w:rsid w:val="00650130"/>
    <w:rsid w:val="006502F3"/>
    <w:rsid w:val="00651D76"/>
    <w:rsid w:val="0065550D"/>
    <w:rsid w:val="00655EB9"/>
    <w:rsid w:val="00656C54"/>
    <w:rsid w:val="00657F89"/>
    <w:rsid w:val="006607DB"/>
    <w:rsid w:val="00664295"/>
    <w:rsid w:val="00665364"/>
    <w:rsid w:val="00665BE7"/>
    <w:rsid w:val="00667B35"/>
    <w:rsid w:val="006703EC"/>
    <w:rsid w:val="00670FE0"/>
    <w:rsid w:val="006713EB"/>
    <w:rsid w:val="0067206C"/>
    <w:rsid w:val="00672350"/>
    <w:rsid w:val="00673314"/>
    <w:rsid w:val="0067343C"/>
    <w:rsid w:val="00673594"/>
    <w:rsid w:val="00673A9B"/>
    <w:rsid w:val="006802B4"/>
    <w:rsid w:val="00680B8A"/>
    <w:rsid w:val="00685950"/>
    <w:rsid w:val="00686A47"/>
    <w:rsid w:val="006876A8"/>
    <w:rsid w:val="00691807"/>
    <w:rsid w:val="0069354B"/>
    <w:rsid w:val="00695157"/>
    <w:rsid w:val="00695C34"/>
    <w:rsid w:val="006975E5"/>
    <w:rsid w:val="006A0314"/>
    <w:rsid w:val="006A0696"/>
    <w:rsid w:val="006A14C3"/>
    <w:rsid w:val="006A1752"/>
    <w:rsid w:val="006A17AF"/>
    <w:rsid w:val="006A3B77"/>
    <w:rsid w:val="006A49E3"/>
    <w:rsid w:val="006A6B0D"/>
    <w:rsid w:val="006B1EFD"/>
    <w:rsid w:val="006B319E"/>
    <w:rsid w:val="006B4D74"/>
    <w:rsid w:val="006B55D1"/>
    <w:rsid w:val="006B5F20"/>
    <w:rsid w:val="006B6A4A"/>
    <w:rsid w:val="006C14E4"/>
    <w:rsid w:val="006C1699"/>
    <w:rsid w:val="006C2452"/>
    <w:rsid w:val="006C519F"/>
    <w:rsid w:val="006C56BE"/>
    <w:rsid w:val="006C5D29"/>
    <w:rsid w:val="006C6613"/>
    <w:rsid w:val="006C6DA8"/>
    <w:rsid w:val="006C7F61"/>
    <w:rsid w:val="006D1887"/>
    <w:rsid w:val="006D24B3"/>
    <w:rsid w:val="006D2BD2"/>
    <w:rsid w:val="006D407F"/>
    <w:rsid w:val="006D6B3C"/>
    <w:rsid w:val="006E0283"/>
    <w:rsid w:val="006E24EE"/>
    <w:rsid w:val="006E429B"/>
    <w:rsid w:val="006E56F2"/>
    <w:rsid w:val="006E5FC6"/>
    <w:rsid w:val="006E6B32"/>
    <w:rsid w:val="006E765E"/>
    <w:rsid w:val="006F0442"/>
    <w:rsid w:val="006F38C2"/>
    <w:rsid w:val="00700634"/>
    <w:rsid w:val="00700D39"/>
    <w:rsid w:val="00700F79"/>
    <w:rsid w:val="00701308"/>
    <w:rsid w:val="00701945"/>
    <w:rsid w:val="00703FB7"/>
    <w:rsid w:val="00706D3D"/>
    <w:rsid w:val="00706FB9"/>
    <w:rsid w:val="007079B8"/>
    <w:rsid w:val="00707BB4"/>
    <w:rsid w:val="00711F0C"/>
    <w:rsid w:val="00712204"/>
    <w:rsid w:val="00712B1E"/>
    <w:rsid w:val="00714B7D"/>
    <w:rsid w:val="00714F0F"/>
    <w:rsid w:val="00715F2D"/>
    <w:rsid w:val="007160BE"/>
    <w:rsid w:val="007177BB"/>
    <w:rsid w:val="00720104"/>
    <w:rsid w:val="00722E88"/>
    <w:rsid w:val="00722F65"/>
    <w:rsid w:val="007257CD"/>
    <w:rsid w:val="00726594"/>
    <w:rsid w:val="00727353"/>
    <w:rsid w:val="00731A6F"/>
    <w:rsid w:val="0073309F"/>
    <w:rsid w:val="00733867"/>
    <w:rsid w:val="007343FF"/>
    <w:rsid w:val="00734A4F"/>
    <w:rsid w:val="0073652D"/>
    <w:rsid w:val="00736916"/>
    <w:rsid w:val="007369E2"/>
    <w:rsid w:val="00736FDA"/>
    <w:rsid w:val="00737078"/>
    <w:rsid w:val="00740F92"/>
    <w:rsid w:val="007414C6"/>
    <w:rsid w:val="00741760"/>
    <w:rsid w:val="00743EA3"/>
    <w:rsid w:val="007444AD"/>
    <w:rsid w:val="00744568"/>
    <w:rsid w:val="0074466C"/>
    <w:rsid w:val="0074599B"/>
    <w:rsid w:val="007477B6"/>
    <w:rsid w:val="00747A46"/>
    <w:rsid w:val="00750FB8"/>
    <w:rsid w:val="00751008"/>
    <w:rsid w:val="0075414F"/>
    <w:rsid w:val="00754DA2"/>
    <w:rsid w:val="00757F2D"/>
    <w:rsid w:val="00760DA5"/>
    <w:rsid w:val="00762339"/>
    <w:rsid w:val="00762BCC"/>
    <w:rsid w:val="00763BA3"/>
    <w:rsid w:val="00765B66"/>
    <w:rsid w:val="00767BB2"/>
    <w:rsid w:val="007705DD"/>
    <w:rsid w:val="0077159C"/>
    <w:rsid w:val="00772D96"/>
    <w:rsid w:val="00776D23"/>
    <w:rsid w:val="00776F60"/>
    <w:rsid w:val="00780376"/>
    <w:rsid w:val="00780EE3"/>
    <w:rsid w:val="00780FFF"/>
    <w:rsid w:val="00783787"/>
    <w:rsid w:val="00783C55"/>
    <w:rsid w:val="00785252"/>
    <w:rsid w:val="00785958"/>
    <w:rsid w:val="00791AAC"/>
    <w:rsid w:val="00793734"/>
    <w:rsid w:val="007937EF"/>
    <w:rsid w:val="00797D4C"/>
    <w:rsid w:val="00797DEE"/>
    <w:rsid w:val="007A2EE4"/>
    <w:rsid w:val="007A3781"/>
    <w:rsid w:val="007A3C80"/>
    <w:rsid w:val="007A42F4"/>
    <w:rsid w:val="007A4F4C"/>
    <w:rsid w:val="007A6524"/>
    <w:rsid w:val="007A6644"/>
    <w:rsid w:val="007A784A"/>
    <w:rsid w:val="007A7BA4"/>
    <w:rsid w:val="007B0DD6"/>
    <w:rsid w:val="007B1B3B"/>
    <w:rsid w:val="007B2532"/>
    <w:rsid w:val="007B3291"/>
    <w:rsid w:val="007B5BA7"/>
    <w:rsid w:val="007C0E7E"/>
    <w:rsid w:val="007C1FE3"/>
    <w:rsid w:val="007C4098"/>
    <w:rsid w:val="007C5B32"/>
    <w:rsid w:val="007C5E6B"/>
    <w:rsid w:val="007C7C58"/>
    <w:rsid w:val="007D17C5"/>
    <w:rsid w:val="007D27BE"/>
    <w:rsid w:val="007D52EC"/>
    <w:rsid w:val="007E11BD"/>
    <w:rsid w:val="007E13B3"/>
    <w:rsid w:val="007E1A57"/>
    <w:rsid w:val="007E5150"/>
    <w:rsid w:val="007E7417"/>
    <w:rsid w:val="007F1CEE"/>
    <w:rsid w:val="007F6935"/>
    <w:rsid w:val="007F699C"/>
    <w:rsid w:val="007F798D"/>
    <w:rsid w:val="007F7C79"/>
    <w:rsid w:val="008013AB"/>
    <w:rsid w:val="00804553"/>
    <w:rsid w:val="008073AA"/>
    <w:rsid w:val="00807C77"/>
    <w:rsid w:val="008109D2"/>
    <w:rsid w:val="00812A30"/>
    <w:rsid w:val="008143E2"/>
    <w:rsid w:val="00814B9A"/>
    <w:rsid w:val="00815BEB"/>
    <w:rsid w:val="00825FBE"/>
    <w:rsid w:val="0083247F"/>
    <w:rsid w:val="00834F63"/>
    <w:rsid w:val="00836F48"/>
    <w:rsid w:val="00837537"/>
    <w:rsid w:val="00840CF3"/>
    <w:rsid w:val="008421B4"/>
    <w:rsid w:val="0084223B"/>
    <w:rsid w:val="00842766"/>
    <w:rsid w:val="00844446"/>
    <w:rsid w:val="0084743B"/>
    <w:rsid w:val="00850F2A"/>
    <w:rsid w:val="008533C8"/>
    <w:rsid w:val="00853473"/>
    <w:rsid w:val="00853B3C"/>
    <w:rsid w:val="008540A7"/>
    <w:rsid w:val="00854EBF"/>
    <w:rsid w:val="00855F77"/>
    <w:rsid w:val="008566CF"/>
    <w:rsid w:val="00857F73"/>
    <w:rsid w:val="0086094D"/>
    <w:rsid w:val="00860EEC"/>
    <w:rsid w:val="00861CAB"/>
    <w:rsid w:val="00861E51"/>
    <w:rsid w:val="008630ED"/>
    <w:rsid w:val="0086731C"/>
    <w:rsid w:val="00871C03"/>
    <w:rsid w:val="00872092"/>
    <w:rsid w:val="00872382"/>
    <w:rsid w:val="0087282D"/>
    <w:rsid w:val="008739C8"/>
    <w:rsid w:val="008761A0"/>
    <w:rsid w:val="00877359"/>
    <w:rsid w:val="00877A47"/>
    <w:rsid w:val="00881DBD"/>
    <w:rsid w:val="0088201D"/>
    <w:rsid w:val="00883AE9"/>
    <w:rsid w:val="00883D83"/>
    <w:rsid w:val="00883D9E"/>
    <w:rsid w:val="00886789"/>
    <w:rsid w:val="00886906"/>
    <w:rsid w:val="00887C47"/>
    <w:rsid w:val="00887D06"/>
    <w:rsid w:val="00890496"/>
    <w:rsid w:val="008912FE"/>
    <w:rsid w:val="008939F2"/>
    <w:rsid w:val="0089519F"/>
    <w:rsid w:val="00895953"/>
    <w:rsid w:val="008961F3"/>
    <w:rsid w:val="0089689E"/>
    <w:rsid w:val="00897132"/>
    <w:rsid w:val="008A245D"/>
    <w:rsid w:val="008A2AED"/>
    <w:rsid w:val="008A54FC"/>
    <w:rsid w:val="008B48ED"/>
    <w:rsid w:val="008B70CD"/>
    <w:rsid w:val="008C05CB"/>
    <w:rsid w:val="008C62A6"/>
    <w:rsid w:val="008D141C"/>
    <w:rsid w:val="008D17B2"/>
    <w:rsid w:val="008D2C13"/>
    <w:rsid w:val="008D2D7F"/>
    <w:rsid w:val="008D3B31"/>
    <w:rsid w:val="008D52B1"/>
    <w:rsid w:val="008D7438"/>
    <w:rsid w:val="008D7827"/>
    <w:rsid w:val="008E0A3D"/>
    <w:rsid w:val="008E18A8"/>
    <w:rsid w:val="008E18F8"/>
    <w:rsid w:val="008E235E"/>
    <w:rsid w:val="008E2FA6"/>
    <w:rsid w:val="008E5048"/>
    <w:rsid w:val="008E6109"/>
    <w:rsid w:val="008E6346"/>
    <w:rsid w:val="008E6E41"/>
    <w:rsid w:val="008F1994"/>
    <w:rsid w:val="008F47AB"/>
    <w:rsid w:val="008F544B"/>
    <w:rsid w:val="008F6E09"/>
    <w:rsid w:val="008F7478"/>
    <w:rsid w:val="008F74A0"/>
    <w:rsid w:val="00900A93"/>
    <w:rsid w:val="00900E4B"/>
    <w:rsid w:val="00903C70"/>
    <w:rsid w:val="009044E7"/>
    <w:rsid w:val="0090523B"/>
    <w:rsid w:val="00905568"/>
    <w:rsid w:val="009074D1"/>
    <w:rsid w:val="009076AA"/>
    <w:rsid w:val="0090799B"/>
    <w:rsid w:val="00907A34"/>
    <w:rsid w:val="009127CA"/>
    <w:rsid w:val="00913027"/>
    <w:rsid w:val="0091520A"/>
    <w:rsid w:val="009170EA"/>
    <w:rsid w:val="0092076F"/>
    <w:rsid w:val="0092106F"/>
    <w:rsid w:val="00921222"/>
    <w:rsid w:val="009217B7"/>
    <w:rsid w:val="009217FA"/>
    <w:rsid w:val="00922656"/>
    <w:rsid w:val="0092309E"/>
    <w:rsid w:val="00923EE8"/>
    <w:rsid w:val="00924568"/>
    <w:rsid w:val="00924776"/>
    <w:rsid w:val="00924995"/>
    <w:rsid w:val="00924DDE"/>
    <w:rsid w:val="00925109"/>
    <w:rsid w:val="00926935"/>
    <w:rsid w:val="00926AD6"/>
    <w:rsid w:val="00930439"/>
    <w:rsid w:val="0093304A"/>
    <w:rsid w:val="00934935"/>
    <w:rsid w:val="00935EE5"/>
    <w:rsid w:val="009368AC"/>
    <w:rsid w:val="009368E6"/>
    <w:rsid w:val="00937AEB"/>
    <w:rsid w:val="00941B07"/>
    <w:rsid w:val="009440C6"/>
    <w:rsid w:val="00945967"/>
    <w:rsid w:val="0094638F"/>
    <w:rsid w:val="00946433"/>
    <w:rsid w:val="00946983"/>
    <w:rsid w:val="00950485"/>
    <w:rsid w:val="009509D1"/>
    <w:rsid w:val="009532DD"/>
    <w:rsid w:val="0095433A"/>
    <w:rsid w:val="009553B4"/>
    <w:rsid w:val="0095591A"/>
    <w:rsid w:val="00955946"/>
    <w:rsid w:val="00955B0C"/>
    <w:rsid w:val="0095668B"/>
    <w:rsid w:val="00956A6A"/>
    <w:rsid w:val="00960E3C"/>
    <w:rsid w:val="00961F14"/>
    <w:rsid w:val="009641B5"/>
    <w:rsid w:val="00965502"/>
    <w:rsid w:val="009662E3"/>
    <w:rsid w:val="00966DD9"/>
    <w:rsid w:val="00971372"/>
    <w:rsid w:val="00975D85"/>
    <w:rsid w:val="0097677B"/>
    <w:rsid w:val="00980990"/>
    <w:rsid w:val="00980E0E"/>
    <w:rsid w:val="009857AF"/>
    <w:rsid w:val="00985836"/>
    <w:rsid w:val="00985940"/>
    <w:rsid w:val="00985D0E"/>
    <w:rsid w:val="009861E7"/>
    <w:rsid w:val="00986677"/>
    <w:rsid w:val="009906E0"/>
    <w:rsid w:val="00990DD0"/>
    <w:rsid w:val="0099122C"/>
    <w:rsid w:val="00993A51"/>
    <w:rsid w:val="0099421C"/>
    <w:rsid w:val="00994579"/>
    <w:rsid w:val="00994D6C"/>
    <w:rsid w:val="00997179"/>
    <w:rsid w:val="009A2713"/>
    <w:rsid w:val="009A2F3A"/>
    <w:rsid w:val="009A51D6"/>
    <w:rsid w:val="009A5FDF"/>
    <w:rsid w:val="009A6856"/>
    <w:rsid w:val="009A7A45"/>
    <w:rsid w:val="009A7F08"/>
    <w:rsid w:val="009B077A"/>
    <w:rsid w:val="009B0B11"/>
    <w:rsid w:val="009B14D5"/>
    <w:rsid w:val="009B1EF6"/>
    <w:rsid w:val="009B42BD"/>
    <w:rsid w:val="009B7306"/>
    <w:rsid w:val="009B7986"/>
    <w:rsid w:val="009B7C1A"/>
    <w:rsid w:val="009C1304"/>
    <w:rsid w:val="009C1B58"/>
    <w:rsid w:val="009C2BFE"/>
    <w:rsid w:val="009C3803"/>
    <w:rsid w:val="009C6D41"/>
    <w:rsid w:val="009D0959"/>
    <w:rsid w:val="009D295A"/>
    <w:rsid w:val="009D2C13"/>
    <w:rsid w:val="009D30C9"/>
    <w:rsid w:val="009D3894"/>
    <w:rsid w:val="009D3BA5"/>
    <w:rsid w:val="009D4BA1"/>
    <w:rsid w:val="009D669A"/>
    <w:rsid w:val="009D6B1C"/>
    <w:rsid w:val="009D7826"/>
    <w:rsid w:val="009D7D5A"/>
    <w:rsid w:val="009E10CF"/>
    <w:rsid w:val="009E15BD"/>
    <w:rsid w:val="009E367A"/>
    <w:rsid w:val="009E3D56"/>
    <w:rsid w:val="009E47EB"/>
    <w:rsid w:val="009F3A37"/>
    <w:rsid w:val="009F42E5"/>
    <w:rsid w:val="009F6EA2"/>
    <w:rsid w:val="009F7A3D"/>
    <w:rsid w:val="00A00390"/>
    <w:rsid w:val="00A0065A"/>
    <w:rsid w:val="00A02090"/>
    <w:rsid w:val="00A03731"/>
    <w:rsid w:val="00A05EEE"/>
    <w:rsid w:val="00A061CE"/>
    <w:rsid w:val="00A061E6"/>
    <w:rsid w:val="00A06460"/>
    <w:rsid w:val="00A06F94"/>
    <w:rsid w:val="00A071E0"/>
    <w:rsid w:val="00A076B5"/>
    <w:rsid w:val="00A1110B"/>
    <w:rsid w:val="00A1121E"/>
    <w:rsid w:val="00A129AE"/>
    <w:rsid w:val="00A12A74"/>
    <w:rsid w:val="00A15081"/>
    <w:rsid w:val="00A15A6C"/>
    <w:rsid w:val="00A17F69"/>
    <w:rsid w:val="00A20BF6"/>
    <w:rsid w:val="00A21C2A"/>
    <w:rsid w:val="00A2284F"/>
    <w:rsid w:val="00A22C31"/>
    <w:rsid w:val="00A23870"/>
    <w:rsid w:val="00A25642"/>
    <w:rsid w:val="00A2577A"/>
    <w:rsid w:val="00A274DB"/>
    <w:rsid w:val="00A27F1F"/>
    <w:rsid w:val="00A3101D"/>
    <w:rsid w:val="00A317FF"/>
    <w:rsid w:val="00A32BE8"/>
    <w:rsid w:val="00A338B4"/>
    <w:rsid w:val="00A34DF0"/>
    <w:rsid w:val="00A35A29"/>
    <w:rsid w:val="00A37CB9"/>
    <w:rsid w:val="00A407CB"/>
    <w:rsid w:val="00A407DF"/>
    <w:rsid w:val="00A41C06"/>
    <w:rsid w:val="00A41E1E"/>
    <w:rsid w:val="00A45082"/>
    <w:rsid w:val="00A456B3"/>
    <w:rsid w:val="00A460B1"/>
    <w:rsid w:val="00A50F57"/>
    <w:rsid w:val="00A51303"/>
    <w:rsid w:val="00A513E0"/>
    <w:rsid w:val="00A524DA"/>
    <w:rsid w:val="00A53485"/>
    <w:rsid w:val="00A60028"/>
    <w:rsid w:val="00A60219"/>
    <w:rsid w:val="00A60601"/>
    <w:rsid w:val="00A6122B"/>
    <w:rsid w:val="00A6411D"/>
    <w:rsid w:val="00A6594B"/>
    <w:rsid w:val="00A659EB"/>
    <w:rsid w:val="00A66FEF"/>
    <w:rsid w:val="00A673EB"/>
    <w:rsid w:val="00A70096"/>
    <w:rsid w:val="00A72E1E"/>
    <w:rsid w:val="00A73298"/>
    <w:rsid w:val="00A73A65"/>
    <w:rsid w:val="00A744D7"/>
    <w:rsid w:val="00A747CA"/>
    <w:rsid w:val="00A75067"/>
    <w:rsid w:val="00A751C0"/>
    <w:rsid w:val="00A7594A"/>
    <w:rsid w:val="00A75CFA"/>
    <w:rsid w:val="00A7745F"/>
    <w:rsid w:val="00A80E25"/>
    <w:rsid w:val="00A83D47"/>
    <w:rsid w:val="00A854B7"/>
    <w:rsid w:val="00A8652A"/>
    <w:rsid w:val="00A868AE"/>
    <w:rsid w:val="00A86B21"/>
    <w:rsid w:val="00A87D55"/>
    <w:rsid w:val="00A94668"/>
    <w:rsid w:val="00A95740"/>
    <w:rsid w:val="00A95ACB"/>
    <w:rsid w:val="00A95BD6"/>
    <w:rsid w:val="00A96EB3"/>
    <w:rsid w:val="00A97942"/>
    <w:rsid w:val="00AA079B"/>
    <w:rsid w:val="00AA086A"/>
    <w:rsid w:val="00AA0E5A"/>
    <w:rsid w:val="00AA1046"/>
    <w:rsid w:val="00AA5474"/>
    <w:rsid w:val="00AA5B81"/>
    <w:rsid w:val="00AA7233"/>
    <w:rsid w:val="00AB0FEA"/>
    <w:rsid w:val="00AB2396"/>
    <w:rsid w:val="00AB2BE0"/>
    <w:rsid w:val="00AB602B"/>
    <w:rsid w:val="00AC0277"/>
    <w:rsid w:val="00AC0EA5"/>
    <w:rsid w:val="00AC1974"/>
    <w:rsid w:val="00AC247B"/>
    <w:rsid w:val="00AC2686"/>
    <w:rsid w:val="00AC5A71"/>
    <w:rsid w:val="00AC72F0"/>
    <w:rsid w:val="00AD1BE1"/>
    <w:rsid w:val="00AD3C0A"/>
    <w:rsid w:val="00AD452D"/>
    <w:rsid w:val="00AD66FA"/>
    <w:rsid w:val="00AD7257"/>
    <w:rsid w:val="00AF0889"/>
    <w:rsid w:val="00AF0B9A"/>
    <w:rsid w:val="00AF1E2D"/>
    <w:rsid w:val="00AF2D0C"/>
    <w:rsid w:val="00AF4964"/>
    <w:rsid w:val="00AF4C0E"/>
    <w:rsid w:val="00AF6B4D"/>
    <w:rsid w:val="00B00929"/>
    <w:rsid w:val="00B02401"/>
    <w:rsid w:val="00B024BC"/>
    <w:rsid w:val="00B02688"/>
    <w:rsid w:val="00B054A0"/>
    <w:rsid w:val="00B070AF"/>
    <w:rsid w:val="00B07A55"/>
    <w:rsid w:val="00B07FC7"/>
    <w:rsid w:val="00B10B45"/>
    <w:rsid w:val="00B1144F"/>
    <w:rsid w:val="00B11AD5"/>
    <w:rsid w:val="00B1268A"/>
    <w:rsid w:val="00B12B33"/>
    <w:rsid w:val="00B1398E"/>
    <w:rsid w:val="00B14E5E"/>
    <w:rsid w:val="00B15120"/>
    <w:rsid w:val="00B15919"/>
    <w:rsid w:val="00B1699B"/>
    <w:rsid w:val="00B23902"/>
    <w:rsid w:val="00B239A3"/>
    <w:rsid w:val="00B23A30"/>
    <w:rsid w:val="00B23E5F"/>
    <w:rsid w:val="00B24588"/>
    <w:rsid w:val="00B25237"/>
    <w:rsid w:val="00B25910"/>
    <w:rsid w:val="00B25C9E"/>
    <w:rsid w:val="00B2637D"/>
    <w:rsid w:val="00B26973"/>
    <w:rsid w:val="00B26A09"/>
    <w:rsid w:val="00B300FD"/>
    <w:rsid w:val="00B30D3B"/>
    <w:rsid w:val="00B30D72"/>
    <w:rsid w:val="00B31DD2"/>
    <w:rsid w:val="00B34E85"/>
    <w:rsid w:val="00B35ECC"/>
    <w:rsid w:val="00B42120"/>
    <w:rsid w:val="00B432D4"/>
    <w:rsid w:val="00B4373E"/>
    <w:rsid w:val="00B43C19"/>
    <w:rsid w:val="00B4425F"/>
    <w:rsid w:val="00B475D1"/>
    <w:rsid w:val="00B5315C"/>
    <w:rsid w:val="00B5364F"/>
    <w:rsid w:val="00B53706"/>
    <w:rsid w:val="00B5385F"/>
    <w:rsid w:val="00B55B1C"/>
    <w:rsid w:val="00B572B7"/>
    <w:rsid w:val="00B576D7"/>
    <w:rsid w:val="00B649E8"/>
    <w:rsid w:val="00B65196"/>
    <w:rsid w:val="00B70C24"/>
    <w:rsid w:val="00B72632"/>
    <w:rsid w:val="00B73FE1"/>
    <w:rsid w:val="00B74347"/>
    <w:rsid w:val="00B75868"/>
    <w:rsid w:val="00B77137"/>
    <w:rsid w:val="00B80272"/>
    <w:rsid w:val="00B80892"/>
    <w:rsid w:val="00B82735"/>
    <w:rsid w:val="00B82CE7"/>
    <w:rsid w:val="00B82E10"/>
    <w:rsid w:val="00B85262"/>
    <w:rsid w:val="00B86694"/>
    <w:rsid w:val="00B90156"/>
    <w:rsid w:val="00B9037E"/>
    <w:rsid w:val="00B90F92"/>
    <w:rsid w:val="00B92306"/>
    <w:rsid w:val="00B9268D"/>
    <w:rsid w:val="00B92861"/>
    <w:rsid w:val="00B941B4"/>
    <w:rsid w:val="00B94ACB"/>
    <w:rsid w:val="00BA0C71"/>
    <w:rsid w:val="00BA1C2E"/>
    <w:rsid w:val="00BA6200"/>
    <w:rsid w:val="00BA67BB"/>
    <w:rsid w:val="00BA7A69"/>
    <w:rsid w:val="00BB0221"/>
    <w:rsid w:val="00BB15E2"/>
    <w:rsid w:val="00BB21DE"/>
    <w:rsid w:val="00BB2C5E"/>
    <w:rsid w:val="00BB3C86"/>
    <w:rsid w:val="00BB67F6"/>
    <w:rsid w:val="00BB7CFE"/>
    <w:rsid w:val="00BC101C"/>
    <w:rsid w:val="00BC3E00"/>
    <w:rsid w:val="00BC7681"/>
    <w:rsid w:val="00BD0381"/>
    <w:rsid w:val="00BD197E"/>
    <w:rsid w:val="00BD2745"/>
    <w:rsid w:val="00BD28DF"/>
    <w:rsid w:val="00BD35F8"/>
    <w:rsid w:val="00BD3E1A"/>
    <w:rsid w:val="00BD5000"/>
    <w:rsid w:val="00BD64A8"/>
    <w:rsid w:val="00BD6876"/>
    <w:rsid w:val="00BD7C77"/>
    <w:rsid w:val="00BE0B23"/>
    <w:rsid w:val="00BE2864"/>
    <w:rsid w:val="00BE3AD8"/>
    <w:rsid w:val="00BE45ED"/>
    <w:rsid w:val="00BE5A7C"/>
    <w:rsid w:val="00BF02C1"/>
    <w:rsid w:val="00BF03D5"/>
    <w:rsid w:val="00BF101D"/>
    <w:rsid w:val="00BF15F4"/>
    <w:rsid w:val="00BF33E3"/>
    <w:rsid w:val="00BF437E"/>
    <w:rsid w:val="00BF573A"/>
    <w:rsid w:val="00BF7D6F"/>
    <w:rsid w:val="00C00565"/>
    <w:rsid w:val="00C0063B"/>
    <w:rsid w:val="00C01468"/>
    <w:rsid w:val="00C01559"/>
    <w:rsid w:val="00C01708"/>
    <w:rsid w:val="00C02C6B"/>
    <w:rsid w:val="00C03C36"/>
    <w:rsid w:val="00C044E2"/>
    <w:rsid w:val="00C05B9D"/>
    <w:rsid w:val="00C0655A"/>
    <w:rsid w:val="00C06719"/>
    <w:rsid w:val="00C076BF"/>
    <w:rsid w:val="00C11DEB"/>
    <w:rsid w:val="00C126CA"/>
    <w:rsid w:val="00C12EC0"/>
    <w:rsid w:val="00C153DE"/>
    <w:rsid w:val="00C173A0"/>
    <w:rsid w:val="00C2111A"/>
    <w:rsid w:val="00C212B5"/>
    <w:rsid w:val="00C22282"/>
    <w:rsid w:val="00C22781"/>
    <w:rsid w:val="00C228A6"/>
    <w:rsid w:val="00C244D7"/>
    <w:rsid w:val="00C25760"/>
    <w:rsid w:val="00C25F81"/>
    <w:rsid w:val="00C2688D"/>
    <w:rsid w:val="00C27188"/>
    <w:rsid w:val="00C27F02"/>
    <w:rsid w:val="00C30010"/>
    <w:rsid w:val="00C31C70"/>
    <w:rsid w:val="00C32AEA"/>
    <w:rsid w:val="00C32C20"/>
    <w:rsid w:val="00C33593"/>
    <w:rsid w:val="00C338CA"/>
    <w:rsid w:val="00C341F9"/>
    <w:rsid w:val="00C34A00"/>
    <w:rsid w:val="00C35F52"/>
    <w:rsid w:val="00C36041"/>
    <w:rsid w:val="00C445F1"/>
    <w:rsid w:val="00C44908"/>
    <w:rsid w:val="00C46FAB"/>
    <w:rsid w:val="00C47CB7"/>
    <w:rsid w:val="00C504F4"/>
    <w:rsid w:val="00C512DE"/>
    <w:rsid w:val="00C53115"/>
    <w:rsid w:val="00C53287"/>
    <w:rsid w:val="00C556E2"/>
    <w:rsid w:val="00C55FE3"/>
    <w:rsid w:val="00C57101"/>
    <w:rsid w:val="00C57E85"/>
    <w:rsid w:val="00C6039A"/>
    <w:rsid w:val="00C609BC"/>
    <w:rsid w:val="00C6178C"/>
    <w:rsid w:val="00C62D96"/>
    <w:rsid w:val="00C62F29"/>
    <w:rsid w:val="00C658FE"/>
    <w:rsid w:val="00C65BB4"/>
    <w:rsid w:val="00C6719B"/>
    <w:rsid w:val="00C674F4"/>
    <w:rsid w:val="00C705B0"/>
    <w:rsid w:val="00C732AA"/>
    <w:rsid w:val="00C7504F"/>
    <w:rsid w:val="00C8071C"/>
    <w:rsid w:val="00C80C49"/>
    <w:rsid w:val="00C816CB"/>
    <w:rsid w:val="00C81F55"/>
    <w:rsid w:val="00C82461"/>
    <w:rsid w:val="00C855D8"/>
    <w:rsid w:val="00C873C5"/>
    <w:rsid w:val="00C87F05"/>
    <w:rsid w:val="00C903F0"/>
    <w:rsid w:val="00C90F71"/>
    <w:rsid w:val="00C91284"/>
    <w:rsid w:val="00C91E3B"/>
    <w:rsid w:val="00C94400"/>
    <w:rsid w:val="00C96AD6"/>
    <w:rsid w:val="00C9793A"/>
    <w:rsid w:val="00C97E2F"/>
    <w:rsid w:val="00CA0195"/>
    <w:rsid w:val="00CA07CC"/>
    <w:rsid w:val="00CA0F47"/>
    <w:rsid w:val="00CA102A"/>
    <w:rsid w:val="00CA149D"/>
    <w:rsid w:val="00CA222D"/>
    <w:rsid w:val="00CA25B5"/>
    <w:rsid w:val="00CA3A1A"/>
    <w:rsid w:val="00CA4FCE"/>
    <w:rsid w:val="00CA5CE6"/>
    <w:rsid w:val="00CA5F8F"/>
    <w:rsid w:val="00CA676D"/>
    <w:rsid w:val="00CA71D9"/>
    <w:rsid w:val="00CB2242"/>
    <w:rsid w:val="00CB28D5"/>
    <w:rsid w:val="00CB3732"/>
    <w:rsid w:val="00CB3BDF"/>
    <w:rsid w:val="00CB5022"/>
    <w:rsid w:val="00CB61E9"/>
    <w:rsid w:val="00CB7564"/>
    <w:rsid w:val="00CC10CC"/>
    <w:rsid w:val="00CC2D2F"/>
    <w:rsid w:val="00CC54FE"/>
    <w:rsid w:val="00CC5A6F"/>
    <w:rsid w:val="00CC6CD1"/>
    <w:rsid w:val="00CC7116"/>
    <w:rsid w:val="00CC7E40"/>
    <w:rsid w:val="00CD07E7"/>
    <w:rsid w:val="00CD0F52"/>
    <w:rsid w:val="00CD181C"/>
    <w:rsid w:val="00CD1ACF"/>
    <w:rsid w:val="00CD37D1"/>
    <w:rsid w:val="00CD3D2A"/>
    <w:rsid w:val="00CE115F"/>
    <w:rsid w:val="00CE21CB"/>
    <w:rsid w:val="00CE271A"/>
    <w:rsid w:val="00CE29AF"/>
    <w:rsid w:val="00CE3C43"/>
    <w:rsid w:val="00CE5925"/>
    <w:rsid w:val="00CE6FF5"/>
    <w:rsid w:val="00CF0BD3"/>
    <w:rsid w:val="00CF38EB"/>
    <w:rsid w:val="00CF40D5"/>
    <w:rsid w:val="00CF47B2"/>
    <w:rsid w:val="00CF5245"/>
    <w:rsid w:val="00CF638B"/>
    <w:rsid w:val="00D024B4"/>
    <w:rsid w:val="00D03CDE"/>
    <w:rsid w:val="00D03DF5"/>
    <w:rsid w:val="00D042A2"/>
    <w:rsid w:val="00D05251"/>
    <w:rsid w:val="00D06683"/>
    <w:rsid w:val="00D07B1A"/>
    <w:rsid w:val="00D07EFB"/>
    <w:rsid w:val="00D10ACA"/>
    <w:rsid w:val="00D1101B"/>
    <w:rsid w:val="00D1167E"/>
    <w:rsid w:val="00D11888"/>
    <w:rsid w:val="00D12205"/>
    <w:rsid w:val="00D14434"/>
    <w:rsid w:val="00D16389"/>
    <w:rsid w:val="00D16B0D"/>
    <w:rsid w:val="00D17305"/>
    <w:rsid w:val="00D17F55"/>
    <w:rsid w:val="00D21591"/>
    <w:rsid w:val="00D2163A"/>
    <w:rsid w:val="00D2276C"/>
    <w:rsid w:val="00D22CBD"/>
    <w:rsid w:val="00D22D5F"/>
    <w:rsid w:val="00D234E7"/>
    <w:rsid w:val="00D26780"/>
    <w:rsid w:val="00D26DA6"/>
    <w:rsid w:val="00D30E46"/>
    <w:rsid w:val="00D322D0"/>
    <w:rsid w:val="00D3361B"/>
    <w:rsid w:val="00D33726"/>
    <w:rsid w:val="00D3451D"/>
    <w:rsid w:val="00D35D05"/>
    <w:rsid w:val="00D35F09"/>
    <w:rsid w:val="00D3663D"/>
    <w:rsid w:val="00D404FA"/>
    <w:rsid w:val="00D40E6B"/>
    <w:rsid w:val="00D418B6"/>
    <w:rsid w:val="00D4349F"/>
    <w:rsid w:val="00D44807"/>
    <w:rsid w:val="00D47AD8"/>
    <w:rsid w:val="00D47EF6"/>
    <w:rsid w:val="00D50AC8"/>
    <w:rsid w:val="00D51DC6"/>
    <w:rsid w:val="00D5398E"/>
    <w:rsid w:val="00D55313"/>
    <w:rsid w:val="00D55531"/>
    <w:rsid w:val="00D55594"/>
    <w:rsid w:val="00D56780"/>
    <w:rsid w:val="00D56A61"/>
    <w:rsid w:val="00D608C3"/>
    <w:rsid w:val="00D60998"/>
    <w:rsid w:val="00D60A44"/>
    <w:rsid w:val="00D6130D"/>
    <w:rsid w:val="00D61911"/>
    <w:rsid w:val="00D63DDB"/>
    <w:rsid w:val="00D71E68"/>
    <w:rsid w:val="00D7356C"/>
    <w:rsid w:val="00D7390F"/>
    <w:rsid w:val="00D74F04"/>
    <w:rsid w:val="00D829A2"/>
    <w:rsid w:val="00D84CF7"/>
    <w:rsid w:val="00D85128"/>
    <w:rsid w:val="00D86392"/>
    <w:rsid w:val="00D86B6C"/>
    <w:rsid w:val="00D86D7F"/>
    <w:rsid w:val="00D90913"/>
    <w:rsid w:val="00D90B35"/>
    <w:rsid w:val="00D92BEC"/>
    <w:rsid w:val="00D9326C"/>
    <w:rsid w:val="00D94400"/>
    <w:rsid w:val="00D95AA5"/>
    <w:rsid w:val="00D97352"/>
    <w:rsid w:val="00D97444"/>
    <w:rsid w:val="00DA18F2"/>
    <w:rsid w:val="00DA281C"/>
    <w:rsid w:val="00DA2AD4"/>
    <w:rsid w:val="00DA321D"/>
    <w:rsid w:val="00DA73B3"/>
    <w:rsid w:val="00DA7D37"/>
    <w:rsid w:val="00DB0AEA"/>
    <w:rsid w:val="00DB17F9"/>
    <w:rsid w:val="00DB6DF3"/>
    <w:rsid w:val="00DB79B4"/>
    <w:rsid w:val="00DC55ED"/>
    <w:rsid w:val="00DC5CC7"/>
    <w:rsid w:val="00DC6E12"/>
    <w:rsid w:val="00DD0576"/>
    <w:rsid w:val="00DD32E2"/>
    <w:rsid w:val="00DD35C7"/>
    <w:rsid w:val="00DD3F33"/>
    <w:rsid w:val="00DD5136"/>
    <w:rsid w:val="00DD53B3"/>
    <w:rsid w:val="00DD6973"/>
    <w:rsid w:val="00DD7127"/>
    <w:rsid w:val="00DE202A"/>
    <w:rsid w:val="00DE253E"/>
    <w:rsid w:val="00DE2B66"/>
    <w:rsid w:val="00DE308C"/>
    <w:rsid w:val="00DE450E"/>
    <w:rsid w:val="00DE4DE2"/>
    <w:rsid w:val="00DE50AB"/>
    <w:rsid w:val="00DE58B9"/>
    <w:rsid w:val="00DE6549"/>
    <w:rsid w:val="00DF00F9"/>
    <w:rsid w:val="00DF0D0E"/>
    <w:rsid w:val="00DF1298"/>
    <w:rsid w:val="00DF2A6C"/>
    <w:rsid w:val="00DF2BB6"/>
    <w:rsid w:val="00DF2C67"/>
    <w:rsid w:val="00DF2FCF"/>
    <w:rsid w:val="00DF38FB"/>
    <w:rsid w:val="00DF3AE2"/>
    <w:rsid w:val="00DF5EB8"/>
    <w:rsid w:val="00DF631F"/>
    <w:rsid w:val="00DF6C67"/>
    <w:rsid w:val="00DF7D21"/>
    <w:rsid w:val="00E000C7"/>
    <w:rsid w:val="00E01746"/>
    <w:rsid w:val="00E03771"/>
    <w:rsid w:val="00E04179"/>
    <w:rsid w:val="00E059C5"/>
    <w:rsid w:val="00E07B23"/>
    <w:rsid w:val="00E11D7E"/>
    <w:rsid w:val="00E12113"/>
    <w:rsid w:val="00E14334"/>
    <w:rsid w:val="00E147FA"/>
    <w:rsid w:val="00E16398"/>
    <w:rsid w:val="00E168BB"/>
    <w:rsid w:val="00E16C22"/>
    <w:rsid w:val="00E174A8"/>
    <w:rsid w:val="00E20A06"/>
    <w:rsid w:val="00E20F66"/>
    <w:rsid w:val="00E21345"/>
    <w:rsid w:val="00E2163E"/>
    <w:rsid w:val="00E2303A"/>
    <w:rsid w:val="00E23ED8"/>
    <w:rsid w:val="00E24B45"/>
    <w:rsid w:val="00E24E81"/>
    <w:rsid w:val="00E250C1"/>
    <w:rsid w:val="00E3008A"/>
    <w:rsid w:val="00E3080A"/>
    <w:rsid w:val="00E30B55"/>
    <w:rsid w:val="00E31DE6"/>
    <w:rsid w:val="00E343BD"/>
    <w:rsid w:val="00E348D9"/>
    <w:rsid w:val="00E363E0"/>
    <w:rsid w:val="00E36601"/>
    <w:rsid w:val="00E37E61"/>
    <w:rsid w:val="00E4015A"/>
    <w:rsid w:val="00E40870"/>
    <w:rsid w:val="00E42150"/>
    <w:rsid w:val="00E426DA"/>
    <w:rsid w:val="00E446D0"/>
    <w:rsid w:val="00E44FE7"/>
    <w:rsid w:val="00E459EC"/>
    <w:rsid w:val="00E45CC4"/>
    <w:rsid w:val="00E46600"/>
    <w:rsid w:val="00E5048F"/>
    <w:rsid w:val="00E51846"/>
    <w:rsid w:val="00E57601"/>
    <w:rsid w:val="00E60351"/>
    <w:rsid w:val="00E6056D"/>
    <w:rsid w:val="00E606BE"/>
    <w:rsid w:val="00E6130A"/>
    <w:rsid w:val="00E61B3F"/>
    <w:rsid w:val="00E6212E"/>
    <w:rsid w:val="00E63724"/>
    <w:rsid w:val="00E668A2"/>
    <w:rsid w:val="00E668CE"/>
    <w:rsid w:val="00E671CB"/>
    <w:rsid w:val="00E7184B"/>
    <w:rsid w:val="00E71AE7"/>
    <w:rsid w:val="00E721E7"/>
    <w:rsid w:val="00E752E6"/>
    <w:rsid w:val="00E800FA"/>
    <w:rsid w:val="00E82E7D"/>
    <w:rsid w:val="00E83F9E"/>
    <w:rsid w:val="00E872AD"/>
    <w:rsid w:val="00E902F3"/>
    <w:rsid w:val="00E91699"/>
    <w:rsid w:val="00E96452"/>
    <w:rsid w:val="00EA0F51"/>
    <w:rsid w:val="00EA160D"/>
    <w:rsid w:val="00EA1E88"/>
    <w:rsid w:val="00EA2ED5"/>
    <w:rsid w:val="00EA6088"/>
    <w:rsid w:val="00EA7465"/>
    <w:rsid w:val="00EB022E"/>
    <w:rsid w:val="00EB2397"/>
    <w:rsid w:val="00EC1205"/>
    <w:rsid w:val="00EC1A2C"/>
    <w:rsid w:val="00EC5B0D"/>
    <w:rsid w:val="00EC6589"/>
    <w:rsid w:val="00EC680C"/>
    <w:rsid w:val="00EC6DC8"/>
    <w:rsid w:val="00ED077C"/>
    <w:rsid w:val="00ED1974"/>
    <w:rsid w:val="00ED2BFF"/>
    <w:rsid w:val="00ED2C10"/>
    <w:rsid w:val="00ED3029"/>
    <w:rsid w:val="00ED3DD1"/>
    <w:rsid w:val="00EE0238"/>
    <w:rsid w:val="00EE1118"/>
    <w:rsid w:val="00EE2A0F"/>
    <w:rsid w:val="00EE3C88"/>
    <w:rsid w:val="00EE4AC6"/>
    <w:rsid w:val="00EE58C2"/>
    <w:rsid w:val="00EE5956"/>
    <w:rsid w:val="00EE5FC8"/>
    <w:rsid w:val="00EE751D"/>
    <w:rsid w:val="00EE79D2"/>
    <w:rsid w:val="00EE7DD7"/>
    <w:rsid w:val="00EF1116"/>
    <w:rsid w:val="00EF2137"/>
    <w:rsid w:val="00EF2523"/>
    <w:rsid w:val="00EF51A8"/>
    <w:rsid w:val="00EF6FBC"/>
    <w:rsid w:val="00F059ED"/>
    <w:rsid w:val="00F06D6E"/>
    <w:rsid w:val="00F1133F"/>
    <w:rsid w:val="00F11542"/>
    <w:rsid w:val="00F12FB7"/>
    <w:rsid w:val="00F14324"/>
    <w:rsid w:val="00F14704"/>
    <w:rsid w:val="00F14AFE"/>
    <w:rsid w:val="00F2030F"/>
    <w:rsid w:val="00F212EB"/>
    <w:rsid w:val="00F21B91"/>
    <w:rsid w:val="00F23D13"/>
    <w:rsid w:val="00F25235"/>
    <w:rsid w:val="00F27A1C"/>
    <w:rsid w:val="00F32296"/>
    <w:rsid w:val="00F32DEC"/>
    <w:rsid w:val="00F35BC4"/>
    <w:rsid w:val="00F36F3F"/>
    <w:rsid w:val="00F37818"/>
    <w:rsid w:val="00F37981"/>
    <w:rsid w:val="00F41392"/>
    <w:rsid w:val="00F42988"/>
    <w:rsid w:val="00F43111"/>
    <w:rsid w:val="00F43E24"/>
    <w:rsid w:val="00F45561"/>
    <w:rsid w:val="00F46099"/>
    <w:rsid w:val="00F465D3"/>
    <w:rsid w:val="00F51377"/>
    <w:rsid w:val="00F51505"/>
    <w:rsid w:val="00F51BD6"/>
    <w:rsid w:val="00F52BEE"/>
    <w:rsid w:val="00F53AFC"/>
    <w:rsid w:val="00F542B1"/>
    <w:rsid w:val="00F54724"/>
    <w:rsid w:val="00F5604C"/>
    <w:rsid w:val="00F56F06"/>
    <w:rsid w:val="00F56F62"/>
    <w:rsid w:val="00F57EEF"/>
    <w:rsid w:val="00F603D0"/>
    <w:rsid w:val="00F60A97"/>
    <w:rsid w:val="00F61702"/>
    <w:rsid w:val="00F62D48"/>
    <w:rsid w:val="00F663C3"/>
    <w:rsid w:val="00F7103B"/>
    <w:rsid w:val="00F71F6C"/>
    <w:rsid w:val="00F720A0"/>
    <w:rsid w:val="00F7364A"/>
    <w:rsid w:val="00F73815"/>
    <w:rsid w:val="00F73990"/>
    <w:rsid w:val="00F7435E"/>
    <w:rsid w:val="00F74E2F"/>
    <w:rsid w:val="00F75A63"/>
    <w:rsid w:val="00F76063"/>
    <w:rsid w:val="00F7770D"/>
    <w:rsid w:val="00F80C2F"/>
    <w:rsid w:val="00F82861"/>
    <w:rsid w:val="00F83CD7"/>
    <w:rsid w:val="00F84FBB"/>
    <w:rsid w:val="00F85B27"/>
    <w:rsid w:val="00F85D9F"/>
    <w:rsid w:val="00F861A3"/>
    <w:rsid w:val="00F86B18"/>
    <w:rsid w:val="00F905E7"/>
    <w:rsid w:val="00F90BE4"/>
    <w:rsid w:val="00F91FA7"/>
    <w:rsid w:val="00F91FDD"/>
    <w:rsid w:val="00F927D9"/>
    <w:rsid w:val="00F9286B"/>
    <w:rsid w:val="00F93115"/>
    <w:rsid w:val="00FA1390"/>
    <w:rsid w:val="00FA19BF"/>
    <w:rsid w:val="00FA1F05"/>
    <w:rsid w:val="00FA2FC2"/>
    <w:rsid w:val="00FA3467"/>
    <w:rsid w:val="00FA418B"/>
    <w:rsid w:val="00FA4D1A"/>
    <w:rsid w:val="00FA4E32"/>
    <w:rsid w:val="00FA51A9"/>
    <w:rsid w:val="00FA5792"/>
    <w:rsid w:val="00FA69DF"/>
    <w:rsid w:val="00FA79C2"/>
    <w:rsid w:val="00FB04BE"/>
    <w:rsid w:val="00FB148F"/>
    <w:rsid w:val="00FB1B62"/>
    <w:rsid w:val="00FB200D"/>
    <w:rsid w:val="00FB3204"/>
    <w:rsid w:val="00FB3571"/>
    <w:rsid w:val="00FB4F1D"/>
    <w:rsid w:val="00FB7F23"/>
    <w:rsid w:val="00FC2B96"/>
    <w:rsid w:val="00FC6454"/>
    <w:rsid w:val="00FC748B"/>
    <w:rsid w:val="00FD0CE9"/>
    <w:rsid w:val="00FD4201"/>
    <w:rsid w:val="00FD5A1E"/>
    <w:rsid w:val="00FD630A"/>
    <w:rsid w:val="00FD7FCB"/>
    <w:rsid w:val="00FE0488"/>
    <w:rsid w:val="00FE08C6"/>
    <w:rsid w:val="00FE0FC3"/>
    <w:rsid w:val="00FE1745"/>
    <w:rsid w:val="00FE3A68"/>
    <w:rsid w:val="00FE4757"/>
    <w:rsid w:val="00FE638E"/>
    <w:rsid w:val="00FE7EEC"/>
    <w:rsid w:val="00FF0E5A"/>
    <w:rsid w:val="00FF4D52"/>
    <w:rsid w:val="00FF5A0E"/>
    <w:rsid w:val="00FF6D8B"/>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3">
      <o:colormru v:ext="edit" colors="#7b6c58,#887e6e,#b0a696"/>
    </o:shapedefaults>
    <o:shapelayout v:ext="edit">
      <o:idmap v:ext="edit" data="2"/>
    </o:shapelayout>
  </w:shapeDefaults>
  <w:decimalSymbol w:val=","/>
  <w:listSeparator w:val=";"/>
  <w14:docId w14:val="41C373E8"/>
  <w15:docId w15:val="{9D7B6B4A-B33B-448E-B501-9DF3F3D54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imes New Roman"/>
        <w:lang w:val="da-DK" w:eastAsia="en-US" w:bidi="ar-SA"/>
      </w:rPr>
    </w:rPrDefault>
    <w:pPrDefault>
      <w:pPr>
        <w:spacing w:before="240" w:after="60"/>
        <w:jc w:val="both"/>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uiPriority="0" w:qFormat="1"/>
    <w:lsdException w:name="heading 3" w:locked="0" w:uiPriority="0" w:qFormat="1"/>
    <w:lsdException w:name="heading 4" w:locked="0"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0"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0" w:qFormat="1"/>
    <w:lsdException w:name="Emphasis" w:locked="0" w:uiPriority="1"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uiPriority="21" w:qFormat="1"/>
    <w:lsdException w:name="Subtle Reference" w:semiHidden="1" w:uiPriority="31" w:qFormat="1"/>
    <w:lsdException w:name="Intense Reference" w:semiHidden="1" w:uiPriority="0"/>
    <w:lsdException w:name="Book Title" w:semiHidden="1"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l">
    <w:name w:val="Normal"/>
    <w:aliases w:val="ECC Base"/>
    <w:qFormat/>
    <w:rsid w:val="00EE4AC6"/>
    <w:rPr>
      <w:rFonts w:eastAsia="Calibri"/>
      <w:szCs w:val="22"/>
      <w:lang w:val="en-GB"/>
    </w:rPr>
  </w:style>
  <w:style w:type="paragraph" w:styleId="Cmsor1">
    <w:name w:val="heading 1"/>
    <w:aliases w:val="ECC Heading 1"/>
    <w:next w:val="Norml"/>
    <w:qFormat/>
    <w:rsid w:val="00A751C0"/>
    <w:pPr>
      <w:keepNext/>
      <w:numPr>
        <w:numId w:val="6"/>
      </w:numPr>
      <w:spacing w:before="600"/>
      <w:outlineLvl w:val="0"/>
    </w:pPr>
    <w:rPr>
      <w:rFonts w:cs="Arial"/>
      <w:b/>
      <w:bCs/>
      <w:caps/>
      <w:color w:val="D2232A"/>
      <w:kern w:val="32"/>
      <w:szCs w:val="32"/>
    </w:rPr>
  </w:style>
  <w:style w:type="paragraph" w:styleId="Cmsor2">
    <w:name w:val="heading 2"/>
    <w:aliases w:val="ECC Heading 2"/>
    <w:next w:val="Norml"/>
    <w:qFormat/>
    <w:rsid w:val="00F51BD6"/>
    <w:pPr>
      <w:keepNext/>
      <w:numPr>
        <w:ilvl w:val="1"/>
        <w:numId w:val="6"/>
      </w:numPr>
      <w:spacing w:before="480"/>
      <w:outlineLvl w:val="1"/>
    </w:pPr>
    <w:rPr>
      <w:rFonts w:cs="Arial"/>
      <w:b/>
      <w:bCs/>
      <w:iCs/>
      <w:caps/>
      <w:szCs w:val="28"/>
    </w:rPr>
  </w:style>
  <w:style w:type="paragraph" w:styleId="Cmsor3">
    <w:name w:val="heading 3"/>
    <w:aliases w:val="ECC Heading 3"/>
    <w:next w:val="Norml"/>
    <w:qFormat/>
    <w:rsid w:val="00E2303A"/>
    <w:pPr>
      <w:keepNext/>
      <w:numPr>
        <w:ilvl w:val="2"/>
        <w:numId w:val="6"/>
      </w:numPr>
      <w:spacing w:before="360"/>
      <w:outlineLvl w:val="2"/>
    </w:pPr>
    <w:rPr>
      <w:rFonts w:cs="Arial"/>
      <w:b/>
      <w:bCs/>
      <w:szCs w:val="26"/>
    </w:rPr>
  </w:style>
  <w:style w:type="paragraph" w:styleId="Cmsor4">
    <w:name w:val="heading 4"/>
    <w:aliases w:val="ECC Heading 4"/>
    <w:next w:val="Norml"/>
    <w:qFormat/>
    <w:rsid w:val="00F51BD6"/>
    <w:pPr>
      <w:numPr>
        <w:ilvl w:val="3"/>
        <w:numId w:val="6"/>
      </w:numPr>
      <w:spacing w:before="360"/>
      <w:outlineLvl w:val="3"/>
    </w:pPr>
    <w:rPr>
      <w:rFonts w:cs="Arial"/>
      <w:bCs/>
      <w:i/>
      <w:color w:val="D2232A"/>
      <w:szCs w:val="26"/>
    </w:rPr>
  </w:style>
  <w:style w:type="paragraph" w:styleId="Cmsor5">
    <w:name w:val="heading 5"/>
    <w:basedOn w:val="Norml"/>
    <w:next w:val="Norml"/>
    <w:semiHidden/>
    <w:qFormat/>
    <w:locked/>
    <w:rsid w:val="009E47EB"/>
    <w:pPr>
      <w:numPr>
        <w:ilvl w:val="4"/>
        <w:numId w:val="6"/>
      </w:numPr>
      <w:outlineLvl w:val="4"/>
    </w:pPr>
    <w:rPr>
      <w:b/>
      <w:bCs/>
      <w:i/>
      <w:iCs/>
      <w:sz w:val="26"/>
      <w:szCs w:val="26"/>
    </w:rPr>
  </w:style>
  <w:style w:type="paragraph" w:styleId="Cmsor6">
    <w:name w:val="heading 6"/>
    <w:basedOn w:val="Norml"/>
    <w:next w:val="Norml"/>
    <w:semiHidden/>
    <w:qFormat/>
    <w:locked/>
    <w:rsid w:val="009E47EB"/>
    <w:pPr>
      <w:numPr>
        <w:ilvl w:val="5"/>
        <w:numId w:val="6"/>
      </w:numPr>
      <w:outlineLvl w:val="5"/>
    </w:pPr>
    <w:rPr>
      <w:b/>
      <w:bCs/>
      <w:sz w:val="22"/>
    </w:rPr>
  </w:style>
  <w:style w:type="paragraph" w:styleId="Cmsor7">
    <w:name w:val="heading 7"/>
    <w:basedOn w:val="Norml"/>
    <w:next w:val="Norml"/>
    <w:semiHidden/>
    <w:qFormat/>
    <w:locked/>
    <w:rsid w:val="009E47EB"/>
    <w:pPr>
      <w:numPr>
        <w:ilvl w:val="6"/>
        <w:numId w:val="6"/>
      </w:numPr>
      <w:outlineLvl w:val="6"/>
    </w:pPr>
    <w:rPr>
      <w:sz w:val="24"/>
    </w:rPr>
  </w:style>
  <w:style w:type="paragraph" w:styleId="Cmsor8">
    <w:name w:val="heading 8"/>
    <w:basedOn w:val="Norml"/>
    <w:next w:val="Norml"/>
    <w:semiHidden/>
    <w:qFormat/>
    <w:locked/>
    <w:rsid w:val="009E47EB"/>
    <w:pPr>
      <w:numPr>
        <w:ilvl w:val="7"/>
        <w:numId w:val="6"/>
      </w:numPr>
      <w:outlineLvl w:val="7"/>
    </w:pPr>
    <w:rPr>
      <w:i/>
      <w:iCs/>
      <w:sz w:val="24"/>
    </w:rPr>
  </w:style>
  <w:style w:type="paragraph" w:styleId="Cmsor9">
    <w:name w:val="heading 9"/>
    <w:basedOn w:val="Norml"/>
    <w:next w:val="Norml"/>
    <w:semiHidden/>
    <w:qFormat/>
    <w:locked/>
    <w:rsid w:val="009E47EB"/>
    <w:pPr>
      <w:numPr>
        <w:ilvl w:val="8"/>
        <w:numId w:val="6"/>
      </w:numPr>
      <w:outlineLvl w:val="8"/>
    </w:pPr>
    <w:rPr>
      <w:rFonts w:cs="Arial"/>
      <w:sz w:val="2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ECCBulletsLv1">
    <w:name w:val="ECC Bullets Lv1"/>
    <w:basedOn w:val="Norml"/>
    <w:rsid w:val="00714F0F"/>
    <w:pPr>
      <w:numPr>
        <w:numId w:val="2"/>
      </w:numPr>
      <w:tabs>
        <w:tab w:val="left" w:pos="340"/>
      </w:tabs>
      <w:spacing w:before="60" w:after="0" w:line="288" w:lineRule="auto"/>
      <w:ind w:left="340" w:hanging="340"/>
      <w:contextualSpacing/>
    </w:pPr>
  </w:style>
  <w:style w:type="paragraph" w:styleId="lfej">
    <w:name w:val="header"/>
    <w:basedOn w:val="Norml"/>
    <w:semiHidden/>
    <w:locked/>
    <w:rsid w:val="00C95C7C"/>
    <w:pPr>
      <w:tabs>
        <w:tab w:val="center" w:pos="4320"/>
        <w:tab w:val="right" w:pos="8640"/>
      </w:tabs>
    </w:pPr>
    <w:rPr>
      <w:b/>
      <w:sz w:val="16"/>
    </w:rPr>
  </w:style>
  <w:style w:type="paragraph" w:customStyle="1" w:styleId="ECCBox">
    <w:name w:val="ECC Box"/>
    <w:link w:val="ECCBoxZchn"/>
    <w:uiPriority w:val="99"/>
    <w:rsid w:val="0042761F"/>
    <w:pPr>
      <w:keepLines/>
      <w:pBdr>
        <w:top w:val="single" w:sz="12" w:space="4" w:color="auto"/>
        <w:left w:val="single" w:sz="12" w:space="4" w:color="auto"/>
        <w:bottom w:val="single" w:sz="12" w:space="4" w:color="auto"/>
        <w:right w:val="single" w:sz="12" w:space="4" w:color="auto"/>
      </w:pBdr>
      <w:spacing w:before="60"/>
    </w:pPr>
    <w:rPr>
      <w:lang w:eastAsia="de-DE"/>
    </w:rPr>
  </w:style>
  <w:style w:type="paragraph" w:customStyle="1" w:styleId="ECCAnnexheading1">
    <w:name w:val="ECC Annex heading1"/>
    <w:next w:val="Norml"/>
    <w:rsid w:val="00E2303A"/>
    <w:pPr>
      <w:keepNext/>
      <w:pageBreakBefore/>
      <w:numPr>
        <w:numId w:val="1"/>
      </w:numPr>
    </w:pPr>
    <w:rPr>
      <w:b/>
      <w:caps/>
      <w:color w:val="D2232A"/>
    </w:rPr>
  </w:style>
  <w:style w:type="paragraph" w:styleId="TJ1">
    <w:name w:val="toc 1"/>
    <w:aliases w:val="ECC Index 1"/>
    <w:basedOn w:val="Norml"/>
    <w:link w:val="TJ1Char"/>
    <w:uiPriority w:val="39"/>
    <w:semiHidden/>
    <w:qFormat/>
    <w:rsid w:val="0038287C"/>
    <w:pPr>
      <w:tabs>
        <w:tab w:val="left" w:pos="425"/>
        <w:tab w:val="right" w:leader="dot" w:pos="9639"/>
      </w:tabs>
      <w:spacing w:after="0"/>
      <w:ind w:left="425" w:hanging="425"/>
    </w:pPr>
    <w:rPr>
      <w:b/>
      <w:noProof/>
      <w:szCs w:val="20"/>
      <w:lang w:val="da-DK"/>
    </w:rPr>
  </w:style>
  <w:style w:type="paragraph" w:styleId="Lbjegyzetszveg">
    <w:name w:val="footnote text"/>
    <w:aliases w:val="ECC Footnote"/>
    <w:basedOn w:val="Norml"/>
    <w:link w:val="LbjegyzetszvegChar"/>
    <w:rsid w:val="001526A2"/>
    <w:pPr>
      <w:widowControl w:val="0"/>
      <w:tabs>
        <w:tab w:val="left" w:pos="284"/>
      </w:tabs>
      <w:spacing w:after="0"/>
      <w:ind w:left="284" w:hanging="284"/>
    </w:pPr>
    <w:rPr>
      <w:sz w:val="16"/>
      <w:szCs w:val="16"/>
      <w:lang w:val="da-DK"/>
      <w14:cntxtAlts/>
    </w:rPr>
  </w:style>
  <w:style w:type="paragraph" w:styleId="TJ2">
    <w:name w:val="toc 2"/>
    <w:aliases w:val="ECC Index 2"/>
    <w:basedOn w:val="Norml"/>
    <w:uiPriority w:val="39"/>
    <w:semiHidden/>
    <w:qFormat/>
    <w:rsid w:val="0038287C"/>
    <w:pPr>
      <w:tabs>
        <w:tab w:val="left" w:pos="993"/>
        <w:tab w:val="right" w:leader="dot" w:pos="9639"/>
      </w:tabs>
      <w:spacing w:before="0" w:after="0"/>
      <w:ind w:left="992" w:hanging="567"/>
    </w:pPr>
    <w:rPr>
      <w:noProof/>
      <w:szCs w:val="20"/>
      <w:lang w:val="da-DK"/>
    </w:rPr>
  </w:style>
  <w:style w:type="paragraph" w:styleId="TJ3">
    <w:name w:val="toc 3"/>
    <w:aliases w:val="ECC Index 3"/>
    <w:basedOn w:val="Norml"/>
    <w:uiPriority w:val="39"/>
    <w:semiHidden/>
    <w:qFormat/>
    <w:rsid w:val="0038287C"/>
    <w:pPr>
      <w:tabs>
        <w:tab w:val="left" w:pos="1701"/>
        <w:tab w:val="right" w:leader="dot" w:pos="9639"/>
      </w:tabs>
      <w:spacing w:before="0" w:after="0"/>
      <w:ind w:left="1701" w:hanging="709"/>
    </w:pPr>
    <w:rPr>
      <w:noProof/>
      <w:szCs w:val="20"/>
      <w:lang w:val="da-DK"/>
    </w:rPr>
  </w:style>
  <w:style w:type="paragraph" w:styleId="TJ4">
    <w:name w:val="toc 4"/>
    <w:aliases w:val="ECC Index 4"/>
    <w:basedOn w:val="Norml"/>
    <w:uiPriority w:val="39"/>
    <w:semiHidden/>
    <w:rsid w:val="0038287C"/>
    <w:pPr>
      <w:tabs>
        <w:tab w:val="left" w:pos="2552"/>
        <w:tab w:val="right" w:leader="dot" w:pos="9639"/>
      </w:tabs>
      <w:spacing w:before="0" w:after="0"/>
      <w:ind w:left="2552" w:hanging="851"/>
    </w:pPr>
    <w:rPr>
      <w:noProof/>
      <w:szCs w:val="20"/>
      <w:lang w:val="da-DK"/>
    </w:rPr>
  </w:style>
  <w:style w:type="character" w:customStyle="1" w:styleId="ECCHLgreen">
    <w:name w:val="ECC HL green"/>
    <w:basedOn w:val="Bekezdsalapbettpusa"/>
    <w:uiPriority w:val="1"/>
    <w:qFormat/>
    <w:rsid w:val="0038287C"/>
    <w:rPr>
      <w:bdr w:val="none" w:sz="0" w:space="0" w:color="auto"/>
      <w:shd w:val="solid" w:color="92D050" w:fill="auto"/>
      <w:lang w:val="en-GB"/>
    </w:rPr>
  </w:style>
  <w:style w:type="character" w:customStyle="1" w:styleId="LbjegyzetszvegChar">
    <w:name w:val="Lábjegyzetszöveg Char"/>
    <w:aliases w:val="ECC Footnote Char"/>
    <w:basedOn w:val="Bekezdsalapbettpusa"/>
    <w:link w:val="Lbjegyzetszveg"/>
    <w:rsid w:val="001526A2"/>
    <w:rPr>
      <w:rFonts w:eastAsia="Calibri"/>
      <w:sz w:val="16"/>
      <w:szCs w:val="16"/>
      <w14:cntxtAlts/>
    </w:rPr>
  </w:style>
  <w:style w:type="character" w:styleId="Lbjegyzet-hivatkozs">
    <w:name w:val="footnote reference"/>
    <w:aliases w:val="ECC Footnote number"/>
    <w:basedOn w:val="Bekezdsalapbettpusa"/>
    <w:rsid w:val="00DB17F9"/>
    <w:rPr>
      <w:rFonts w:ascii="Arial" w:hAnsi="Arial"/>
      <w:sz w:val="20"/>
      <w:vertAlign w:val="superscript"/>
    </w:rPr>
  </w:style>
  <w:style w:type="paragraph" w:styleId="Kpalrs">
    <w:name w:val="caption"/>
    <w:aliases w:val="ECC Caption"/>
    <w:next w:val="Norml"/>
    <w:qFormat/>
    <w:rsid w:val="0038287C"/>
    <w:pPr>
      <w:keepLines/>
      <w:tabs>
        <w:tab w:val="left" w:pos="0"/>
        <w:tab w:val="center" w:pos="4820"/>
        <w:tab w:val="right" w:pos="9639"/>
      </w:tabs>
      <w:spacing w:after="240"/>
      <w:contextualSpacing/>
      <w:jc w:val="center"/>
    </w:pPr>
    <w:rPr>
      <w:b/>
      <w:bCs/>
      <w:color w:val="D2232A"/>
    </w:rPr>
  </w:style>
  <w:style w:type="paragraph" w:customStyle="1" w:styleId="ECCTablenote">
    <w:name w:val="ECC Table note"/>
    <w:qFormat/>
    <w:rsid w:val="00714F0F"/>
    <w:pPr>
      <w:spacing w:before="0"/>
      <w:ind w:left="284" w:hanging="284"/>
    </w:pPr>
    <w:rPr>
      <w:sz w:val="16"/>
      <w:szCs w:val="16"/>
      <w:lang w:val="en-GB"/>
    </w:rPr>
  </w:style>
  <w:style w:type="paragraph" w:customStyle="1" w:styleId="ECCBulletsLv2">
    <w:name w:val="ECC Bullets Lv2"/>
    <w:basedOn w:val="ECCBulletsLv1"/>
    <w:rsid w:val="00E36601"/>
    <w:pPr>
      <w:tabs>
        <w:tab w:val="clear" w:pos="340"/>
        <w:tab w:val="left" w:pos="680"/>
      </w:tabs>
      <w:ind w:left="680"/>
    </w:pPr>
  </w:style>
  <w:style w:type="paragraph" w:customStyle="1" w:styleId="ECCAnnexheading2">
    <w:name w:val="ECC Annex heading2"/>
    <w:next w:val="Norml"/>
    <w:rsid w:val="00E2303A"/>
    <w:pPr>
      <w:numPr>
        <w:ilvl w:val="1"/>
        <w:numId w:val="1"/>
      </w:numPr>
      <w:overflowPunct w:val="0"/>
      <w:autoSpaceDE w:val="0"/>
      <w:autoSpaceDN w:val="0"/>
      <w:adjustRightInd w:val="0"/>
      <w:spacing w:before="480" w:after="240"/>
      <w:textAlignment w:val="baseline"/>
    </w:pPr>
    <w:rPr>
      <w:b/>
      <w:caps/>
    </w:rPr>
  </w:style>
  <w:style w:type="paragraph" w:customStyle="1" w:styleId="ECCAnnexheading3">
    <w:name w:val="ECC Annex heading3"/>
    <w:next w:val="Norml"/>
    <w:rsid w:val="0001112E"/>
    <w:pPr>
      <w:numPr>
        <w:ilvl w:val="2"/>
        <w:numId w:val="1"/>
      </w:numPr>
      <w:overflowPunct w:val="0"/>
      <w:autoSpaceDE w:val="0"/>
      <w:autoSpaceDN w:val="0"/>
      <w:adjustRightInd w:val="0"/>
      <w:spacing w:before="360"/>
      <w:textAlignment w:val="baseline"/>
    </w:pPr>
    <w:rPr>
      <w:b/>
    </w:rPr>
  </w:style>
  <w:style w:type="paragraph" w:customStyle="1" w:styleId="ECCAnnexheading4">
    <w:name w:val="ECC Annex heading4"/>
    <w:next w:val="Norml"/>
    <w:rsid w:val="00E2303A"/>
    <w:pPr>
      <w:numPr>
        <w:ilvl w:val="3"/>
        <w:numId w:val="1"/>
      </w:numPr>
      <w:overflowPunct w:val="0"/>
      <w:autoSpaceDE w:val="0"/>
      <w:autoSpaceDN w:val="0"/>
      <w:adjustRightInd w:val="0"/>
      <w:spacing w:before="360"/>
      <w:textAlignment w:val="baseline"/>
    </w:pPr>
    <w:rPr>
      <w:i/>
      <w:color w:val="D2232A"/>
    </w:rPr>
  </w:style>
  <w:style w:type="paragraph" w:customStyle="1" w:styleId="ECCBulletsLv3">
    <w:name w:val="ECC Bullets Lv3"/>
    <w:basedOn w:val="ECCBulletsLv1"/>
    <w:rsid w:val="00E36601"/>
    <w:pPr>
      <w:tabs>
        <w:tab w:val="clear" w:pos="340"/>
        <w:tab w:val="left" w:pos="1021"/>
      </w:tabs>
      <w:ind w:left="1020"/>
    </w:pPr>
  </w:style>
  <w:style w:type="paragraph" w:customStyle="1" w:styleId="ECCStatement">
    <w:name w:val="ECC Statement"/>
    <w:basedOn w:val="Norml"/>
    <w:rsid w:val="0038287C"/>
    <w:rPr>
      <w:i/>
    </w:rPr>
  </w:style>
  <w:style w:type="paragraph" w:customStyle="1" w:styleId="ECCLetteredList">
    <w:name w:val="ECC Lettered List"/>
    <w:rsid w:val="00F51BD6"/>
    <w:pPr>
      <w:numPr>
        <w:ilvl w:val="1"/>
        <w:numId w:val="3"/>
      </w:numPr>
      <w:spacing w:after="0"/>
    </w:pPr>
  </w:style>
  <w:style w:type="paragraph" w:customStyle="1" w:styleId="ECCNumberedList">
    <w:name w:val="ECC Numbered List"/>
    <w:basedOn w:val="Norml"/>
    <w:rsid w:val="00714F0F"/>
    <w:pPr>
      <w:numPr>
        <w:numId w:val="4"/>
      </w:numPr>
      <w:spacing w:after="0"/>
    </w:pPr>
    <w:rPr>
      <w:szCs w:val="20"/>
    </w:rPr>
  </w:style>
  <w:style w:type="paragraph" w:customStyle="1" w:styleId="ECCReference">
    <w:name w:val="ECC Reference"/>
    <w:basedOn w:val="Norml"/>
    <w:rsid w:val="0038287C"/>
    <w:pPr>
      <w:numPr>
        <w:numId w:val="5"/>
      </w:numPr>
      <w:spacing w:before="0" w:after="0"/>
    </w:pPr>
    <w:rPr>
      <w:lang w:eastAsia="ja-JP"/>
    </w:rPr>
  </w:style>
  <w:style w:type="paragraph" w:styleId="Buborkszveg">
    <w:name w:val="Balloon Text"/>
    <w:basedOn w:val="Norml"/>
    <w:link w:val="BuborkszvegChar"/>
    <w:uiPriority w:val="99"/>
    <w:semiHidden/>
    <w:unhideWhenUsed/>
    <w:locked/>
    <w:rsid w:val="009E47EB"/>
    <w:rPr>
      <w:rFonts w:ascii="Lucida Grande" w:hAnsi="Lucida Grande" w:cs="Lucida Grande"/>
      <w:sz w:val="18"/>
      <w:szCs w:val="18"/>
    </w:rPr>
  </w:style>
  <w:style w:type="character" w:customStyle="1" w:styleId="BuborkszvegChar">
    <w:name w:val="Buborékszöveg Char"/>
    <w:basedOn w:val="Bekezdsalapbettpusa"/>
    <w:link w:val="Buborkszveg"/>
    <w:uiPriority w:val="99"/>
    <w:semiHidden/>
    <w:rsid w:val="009E47EB"/>
    <w:rPr>
      <w:rFonts w:ascii="Lucida Grande" w:hAnsi="Lucida Grande" w:cs="Lucida Grande"/>
      <w:sz w:val="18"/>
      <w:szCs w:val="18"/>
      <w:lang w:val="en-US"/>
    </w:rPr>
  </w:style>
  <w:style w:type="paragraph" w:customStyle="1" w:styleId="ECCEditorsNote">
    <w:name w:val="ECC Editor's Note"/>
    <w:next w:val="Norml"/>
    <w:rsid w:val="00C512DE"/>
    <w:pPr>
      <w:numPr>
        <w:numId w:val="9"/>
      </w:numPr>
      <w:shd w:val="solid" w:color="FFFF00" w:fill="auto"/>
      <w:spacing w:before="120"/>
    </w:pPr>
    <w:rPr>
      <w:rFonts w:eastAsia="Calibri"/>
      <w:szCs w:val="22"/>
      <w:lang w:eastAsia="de-DE"/>
    </w:rPr>
  </w:style>
  <w:style w:type="paragraph" w:customStyle="1" w:styleId="ECCpageHeader">
    <w:name w:val="ECC page Header"/>
    <w:rsid w:val="00E36601"/>
    <w:pPr>
      <w:tabs>
        <w:tab w:val="left" w:pos="0"/>
        <w:tab w:val="center" w:pos="4820"/>
        <w:tab w:val="right" w:pos="9639"/>
      </w:tabs>
      <w:spacing w:before="0" w:after="0"/>
    </w:pPr>
    <w:rPr>
      <w:b/>
      <w:sz w:val="16"/>
    </w:rPr>
  </w:style>
  <w:style w:type="paragraph" w:customStyle="1" w:styleId="ECCFiguregraphcentered">
    <w:name w:val="ECC Figure/graph centered"/>
    <w:next w:val="Norml"/>
    <w:rsid w:val="00283417"/>
    <w:pPr>
      <w:spacing w:after="240"/>
      <w:jc w:val="center"/>
    </w:pPr>
    <w:rPr>
      <w:noProof/>
      <w:lang w:val="de-DE" w:eastAsia="de-DE"/>
      <w14:cntxtAlts/>
    </w:rPr>
  </w:style>
  <w:style w:type="paragraph" w:customStyle="1" w:styleId="ECCLetterHead">
    <w:name w:val="ECC Letter Head"/>
    <w:basedOn w:val="Norml"/>
    <w:link w:val="ECCLetterHeadZchn"/>
    <w:qFormat/>
    <w:rsid w:val="0038287C"/>
    <w:pPr>
      <w:tabs>
        <w:tab w:val="right" w:pos="4750"/>
      </w:tabs>
      <w:spacing w:before="120"/>
    </w:pPr>
    <w:rPr>
      <w:b/>
      <w:sz w:val="22"/>
      <w:szCs w:val="20"/>
    </w:rPr>
  </w:style>
  <w:style w:type="character" w:customStyle="1" w:styleId="ECCHLyellow">
    <w:name w:val="ECC HL yellow"/>
    <w:basedOn w:val="Bekezdsalapbettpusa"/>
    <w:uiPriority w:val="1"/>
    <w:qFormat/>
    <w:rsid w:val="0038287C"/>
    <w:rPr>
      <w:rFonts w:eastAsia="Calibri"/>
      <w:i w:val="0"/>
      <w:szCs w:val="22"/>
      <w:bdr w:val="none" w:sz="0" w:space="0" w:color="auto"/>
      <w:shd w:val="solid" w:color="FFFF00" w:fill="auto"/>
      <w:lang w:val="en-GB"/>
    </w:rPr>
  </w:style>
  <w:style w:type="paragraph" w:customStyle="1" w:styleId="ECCTableHeaderwhitefont">
    <w:name w:val="ECC Table Header white font"/>
    <w:basedOn w:val="ECCTableHeaderredfont"/>
    <w:qFormat/>
    <w:rsid w:val="0038287C"/>
    <w:pPr>
      <w:spacing w:after="120"/>
      <w:jc w:val="center"/>
    </w:pPr>
    <w:rPr>
      <w:color w:val="FFFFFF" w:themeColor="background1"/>
    </w:rPr>
  </w:style>
  <w:style w:type="paragraph" w:customStyle="1" w:styleId="ECCTabletext">
    <w:name w:val="ECC Table text"/>
    <w:basedOn w:val="Norml"/>
    <w:qFormat/>
    <w:rsid w:val="00714F0F"/>
    <w:pPr>
      <w:spacing w:before="60"/>
    </w:pPr>
  </w:style>
  <w:style w:type="paragraph" w:styleId="Alrs">
    <w:name w:val="Signature"/>
    <w:basedOn w:val="Norml"/>
    <w:link w:val="AlrsChar"/>
    <w:uiPriority w:val="99"/>
    <w:semiHidden/>
    <w:unhideWhenUsed/>
    <w:locked/>
    <w:rsid w:val="007D52EC"/>
    <w:pPr>
      <w:spacing w:before="0" w:after="0"/>
      <w:ind w:left="4252"/>
    </w:pPr>
  </w:style>
  <w:style w:type="paragraph" w:customStyle="1" w:styleId="ECCTableHeaderredfont">
    <w:name w:val="ECC Table Header red font"/>
    <w:qFormat/>
    <w:rsid w:val="0038287C"/>
    <w:pPr>
      <w:spacing w:before="120"/>
    </w:pPr>
    <w:rPr>
      <w:bCs/>
      <w:color w:val="D2232A"/>
      <w:lang w:val="en-GB"/>
    </w:rPr>
  </w:style>
  <w:style w:type="character" w:customStyle="1" w:styleId="AlrsChar">
    <w:name w:val="Aláírás Char"/>
    <w:basedOn w:val="Bekezdsalapbettpusa"/>
    <w:link w:val="Alrs"/>
    <w:uiPriority w:val="99"/>
    <w:semiHidden/>
    <w:rsid w:val="007D52EC"/>
  </w:style>
  <w:style w:type="paragraph" w:customStyle="1" w:styleId="ECCpageFooter">
    <w:name w:val="ECC page Footer"/>
    <w:rsid w:val="00E36601"/>
    <w:pPr>
      <w:tabs>
        <w:tab w:val="left" w:pos="0"/>
        <w:tab w:val="center" w:pos="4820"/>
        <w:tab w:val="right" w:pos="9639"/>
      </w:tabs>
      <w:spacing w:before="0" w:after="0"/>
    </w:pPr>
    <w:rPr>
      <w:b/>
      <w:sz w:val="16"/>
      <w:szCs w:val="22"/>
      <w:lang w:val="de-DE" w:eastAsia="de-DE"/>
    </w:rPr>
  </w:style>
  <w:style w:type="character" w:customStyle="1" w:styleId="ECCBoxZchn">
    <w:name w:val="ECC Box Zchn"/>
    <w:link w:val="ECCBox"/>
    <w:uiPriority w:val="99"/>
    <w:rsid w:val="0042761F"/>
    <w:rPr>
      <w:szCs w:val="22"/>
      <w:lang w:val="en-GB" w:eastAsia="de-DE"/>
    </w:rPr>
  </w:style>
  <w:style w:type="character" w:customStyle="1" w:styleId="ECCHLbold">
    <w:name w:val="ECC HL bold"/>
    <w:basedOn w:val="Kiemels2"/>
    <w:uiPriority w:val="1"/>
    <w:qFormat/>
    <w:rsid w:val="0038287C"/>
    <w:rPr>
      <w:b/>
      <w:bCs/>
    </w:rPr>
  </w:style>
  <w:style w:type="character" w:styleId="Kiemels">
    <w:name w:val="Emphasis"/>
    <w:aliases w:val="ECC HL italics"/>
    <w:basedOn w:val="Bekezdsalapbettpusa"/>
    <w:uiPriority w:val="1"/>
    <w:qFormat/>
    <w:rsid w:val="00DB17F9"/>
    <w:rPr>
      <w:i/>
    </w:rPr>
  </w:style>
  <w:style w:type="character" w:customStyle="1" w:styleId="TJ1Char">
    <w:name w:val="TJ 1 Char"/>
    <w:aliases w:val="ECC Index 1 Char"/>
    <w:basedOn w:val="Bekezdsalapbettpusa"/>
    <w:link w:val="TJ1"/>
    <w:uiPriority w:val="39"/>
    <w:semiHidden/>
    <w:rsid w:val="00D3663D"/>
    <w:rPr>
      <w:rFonts w:eastAsia="Calibri"/>
      <w:b/>
      <w:noProof/>
    </w:rPr>
  </w:style>
  <w:style w:type="paragraph" w:styleId="Tartalomjegyzkcmsora">
    <w:name w:val="TOC Heading"/>
    <w:basedOn w:val="Cmsor1"/>
    <w:next w:val="Norml"/>
    <w:uiPriority w:val="39"/>
    <w:semiHidden/>
    <w:qFormat/>
    <w:locked/>
    <w:rsid w:val="003A5711"/>
    <w:pPr>
      <w:keepLines/>
      <w:numPr>
        <w:numId w:val="0"/>
      </w:numPr>
      <w:spacing w:before="480" w:after="0"/>
      <w:outlineLvl w:val="9"/>
    </w:pPr>
    <w:rPr>
      <w:rFonts w:asciiTheme="majorHAnsi" w:eastAsiaTheme="majorEastAsia" w:hAnsiTheme="majorHAnsi" w:cstheme="majorBidi"/>
      <w:caps w:val="0"/>
      <w:color w:val="365F91" w:themeColor="accent1" w:themeShade="BF"/>
      <w:kern w:val="0"/>
      <w:sz w:val="28"/>
      <w:szCs w:val="28"/>
      <w:lang w:val="en-GB"/>
    </w:rPr>
  </w:style>
  <w:style w:type="character" w:customStyle="1" w:styleId="ECCHLcyan">
    <w:name w:val="ECC HL cyan"/>
    <w:basedOn w:val="Bekezdsalapbettpusa"/>
    <w:uiPriority w:val="1"/>
    <w:qFormat/>
    <w:rsid w:val="0038287C"/>
    <w:rPr>
      <w:iCs w:val="0"/>
      <w:bdr w:val="none" w:sz="0" w:space="0" w:color="auto"/>
      <w:shd w:val="solid" w:color="00FFFF" w:fill="auto"/>
      <w:lang w:val="en-GB"/>
    </w:rPr>
  </w:style>
  <w:style w:type="character" w:customStyle="1" w:styleId="ECCHLorange">
    <w:name w:val="ECC HL orange"/>
    <w:basedOn w:val="Bekezdsalapbettpusa"/>
    <w:uiPriority w:val="1"/>
    <w:qFormat/>
    <w:rsid w:val="0038287C"/>
    <w:rPr>
      <w:bdr w:val="none" w:sz="0" w:space="0" w:color="auto"/>
      <w:shd w:val="solid" w:color="FFC000" w:fill="auto"/>
    </w:rPr>
  </w:style>
  <w:style w:type="character" w:customStyle="1" w:styleId="ECCHLblue">
    <w:name w:val="ECC HL blue"/>
    <w:basedOn w:val="Bekezdsalapbettpusa"/>
    <w:uiPriority w:val="1"/>
    <w:qFormat/>
    <w:rsid w:val="0038287C"/>
    <w:rPr>
      <w:rFonts w:eastAsia="Calibri"/>
      <w:color w:val="FFFF00"/>
      <w:szCs w:val="22"/>
      <w:bdr w:val="none" w:sz="0" w:space="0" w:color="auto"/>
      <w:shd w:val="solid" w:color="4F81BD" w:themeColor="accent1" w:fill="auto"/>
      <w:lang w:val="en-GB"/>
    </w:rPr>
  </w:style>
  <w:style w:type="character" w:customStyle="1" w:styleId="ECCHLpetrol">
    <w:name w:val="ECC HL petrol"/>
    <w:basedOn w:val="Bekezdsalapbettpusa"/>
    <w:uiPriority w:val="1"/>
    <w:qFormat/>
    <w:rsid w:val="0038287C"/>
    <w:rPr>
      <w:iCs w:val="0"/>
      <w:color w:val="FFFFFF" w:themeColor="background1"/>
      <w:bdr w:val="none" w:sz="0" w:space="0" w:color="auto"/>
      <w:shd w:val="solid" w:color="008080" w:fill="auto"/>
    </w:rPr>
  </w:style>
  <w:style w:type="paragraph" w:styleId="Listaszerbekezds">
    <w:name w:val="List Paragraph"/>
    <w:basedOn w:val="Norml"/>
    <w:uiPriority w:val="34"/>
    <w:semiHidden/>
    <w:qFormat/>
    <w:locked/>
    <w:rsid w:val="005C5A96"/>
    <w:pPr>
      <w:ind w:left="720"/>
      <w:contextualSpacing/>
    </w:pPr>
  </w:style>
  <w:style w:type="character" w:customStyle="1" w:styleId="ECCHLsubscript">
    <w:name w:val="ECC HL subscript"/>
    <w:uiPriority w:val="1"/>
    <w:qFormat/>
    <w:rsid w:val="0038287C"/>
    <w:rPr>
      <w:vertAlign w:val="subscript"/>
    </w:rPr>
  </w:style>
  <w:style w:type="character" w:customStyle="1" w:styleId="ECCHLsuperscript">
    <w:name w:val="ECC HL superscript"/>
    <w:uiPriority w:val="1"/>
    <w:qFormat/>
    <w:rsid w:val="0038287C"/>
    <w:rPr>
      <w:vertAlign w:val="superscript"/>
    </w:rPr>
  </w:style>
  <w:style w:type="character" w:customStyle="1" w:styleId="ECCLetterHeadZchn">
    <w:name w:val="ECC Letter Head Zchn"/>
    <w:basedOn w:val="Bekezdsalapbettpusa"/>
    <w:link w:val="ECCLetterHead"/>
    <w:rsid w:val="00263FFB"/>
    <w:rPr>
      <w:rFonts w:eastAsia="Calibri"/>
      <w:b/>
      <w:sz w:val="22"/>
      <w:lang w:val="en-GB"/>
    </w:rPr>
  </w:style>
  <w:style w:type="character" w:customStyle="1" w:styleId="ECCHLmagenta">
    <w:name w:val="ECC HL magenta"/>
    <w:basedOn w:val="Bekezdsalapbettpusa"/>
    <w:uiPriority w:val="1"/>
    <w:qFormat/>
    <w:rsid w:val="0038287C"/>
    <w:rPr>
      <w:color w:val="auto"/>
      <w:bdr w:val="none" w:sz="0" w:space="0" w:color="auto"/>
      <w:shd w:val="solid" w:color="FF3399" w:fill="auto"/>
      <w:lang w:val="en-GB"/>
    </w:rPr>
  </w:style>
  <w:style w:type="character" w:customStyle="1" w:styleId="ECCHLbrown">
    <w:name w:val="ECC HL brown"/>
    <w:basedOn w:val="Bekezdsalapbettpusa"/>
    <w:uiPriority w:val="1"/>
    <w:qFormat/>
    <w:rsid w:val="0038287C"/>
    <w:rPr>
      <w:color w:val="D9D9D9" w:themeColor="background1" w:themeShade="D9"/>
      <w:bdr w:val="none" w:sz="0" w:space="0" w:color="auto"/>
      <w:shd w:val="solid" w:color="B95807" w:fill="auto"/>
    </w:rPr>
  </w:style>
  <w:style w:type="character" w:styleId="Hiperhivatkozs">
    <w:name w:val="Hyperlink"/>
    <w:aliases w:val="ECC Hyperlink"/>
    <w:basedOn w:val="Bekezdsalapbettpusa"/>
    <w:uiPriority w:val="99"/>
    <w:rsid w:val="00DB17F9"/>
    <w:rPr>
      <w:color w:val="0000FF" w:themeColor="hyperlink"/>
      <w:u w:val="single"/>
    </w:rPr>
  </w:style>
  <w:style w:type="paragraph" w:customStyle="1" w:styleId="ECCHeadingnonumbering">
    <w:name w:val="ECC Heading no numbering"/>
    <w:basedOn w:val="Cmsor1"/>
    <w:rsid w:val="00DB17F9"/>
    <w:pPr>
      <w:numPr>
        <w:numId w:val="0"/>
      </w:numPr>
      <w:tabs>
        <w:tab w:val="left" w:pos="0"/>
        <w:tab w:val="center" w:pos="4820"/>
        <w:tab w:val="right" w:pos="9639"/>
      </w:tabs>
    </w:pPr>
  </w:style>
  <w:style w:type="character" w:customStyle="1" w:styleId="ECCParagraph">
    <w:name w:val="ECC Paragraph"/>
    <w:basedOn w:val="Bekezdsalapbettpusa"/>
    <w:uiPriority w:val="1"/>
    <w:qFormat/>
    <w:rsid w:val="0038287C"/>
    <w:rPr>
      <w:rFonts w:ascii="Arial" w:hAnsi="Arial"/>
      <w:noProof w:val="0"/>
      <w:sz w:val="20"/>
      <w:bdr w:val="none" w:sz="0" w:space="0" w:color="auto"/>
      <w:lang w:val="en-GB"/>
    </w:rPr>
  </w:style>
  <w:style w:type="character" w:customStyle="1" w:styleId="ECCHLunderlined">
    <w:name w:val="ECC HL underlined"/>
    <w:uiPriority w:val="1"/>
    <w:qFormat/>
    <w:rsid w:val="0038287C"/>
    <w:rPr>
      <w:u w:val="single"/>
    </w:rPr>
  </w:style>
  <w:style w:type="table" w:styleId="Sznesrcs">
    <w:name w:val="Colorful Grid"/>
    <w:basedOn w:val="Normltblzat"/>
    <w:uiPriority w:val="73"/>
    <w:locked/>
    <w:rsid w:val="00F23D13"/>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Egyszertblzat1">
    <w:name w:val="Table Simple 1"/>
    <w:basedOn w:val="Normltblzat"/>
    <w:uiPriority w:val="99"/>
    <w:semiHidden/>
    <w:unhideWhenUsed/>
    <w:locked/>
    <w:rsid w:val="00DB17F9"/>
    <w:pPr>
      <w:shd w:val="clear" w:color="FFFFFF" w:themeColor="background1" w:fill="auto"/>
      <w:spacing w:after="240"/>
      <w:textboxTightWrap w:val="lastLineOnly"/>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Sznesrcs6jellszn">
    <w:name w:val="Colorful Grid Accent 6"/>
    <w:basedOn w:val="Normltblzat"/>
    <w:uiPriority w:val="73"/>
    <w:locked/>
    <w:rsid w:val="00F23D13"/>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ECCTable-whiteheader">
    <w:name w:val="ECC Table - white header"/>
    <w:basedOn w:val="ECCTable-clean"/>
    <w:uiPriority w:val="99"/>
    <w:rsid w:val="0038287C"/>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120" w:beforeAutospacing="0" w:afterLines="0" w:after="120" w:afterAutospacing="0" w:line="240" w:lineRule="auto"/>
        <w:jc w:val="left"/>
      </w:pPr>
      <w:rPr>
        <w:rFonts w:ascii="Arial" w:hAnsi="Arial"/>
        <w:b/>
        <w:i/>
        <w:color w:val="D22A23"/>
        <w:sz w:val="20"/>
      </w:rPr>
      <w:tblPr/>
      <w:trPr>
        <w:tblHeader/>
      </w:trPr>
      <w:tcPr>
        <w:shd w:val="clear" w:color="auto" w:fill="FFFFFF" w:themeFill="background1"/>
      </w:tcPr>
    </w:tblStylePr>
    <w:tblStylePr w:type="lastRow">
      <w:rPr>
        <w:b w:val="0"/>
      </w:rPr>
    </w:tblStylePr>
  </w:style>
  <w:style w:type="table" w:customStyle="1" w:styleId="ECCTable-redheader">
    <w:name w:val="ECC Table - red header"/>
    <w:basedOn w:val="ECCTable-clean"/>
    <w:uiPriority w:val="99"/>
    <w:rsid w:val="0038287C"/>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120" w:beforeAutospacing="0" w:afterLines="0" w:after="120" w:afterAutospacing="0" w:line="240" w:lineRule="auto"/>
        <w:jc w:val="center"/>
      </w:pPr>
      <w:rPr>
        <w:b/>
        <w:i/>
        <w:color w:val="FFFFFF" w:themeColor="background1"/>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vAlign w:val="center"/>
      </w:tcPr>
    </w:tblStylePr>
  </w:style>
  <w:style w:type="table" w:customStyle="1" w:styleId="ECCTable-clean">
    <w:name w:val="ECC Table - clean"/>
    <w:uiPriority w:val="99"/>
    <w:rsid w:val="0038287C"/>
    <w:pPr>
      <w:spacing w:before="60"/>
    </w:pPr>
    <w:rPr>
      <w:rFonts w:eastAsia="Calibri"/>
      <w:lang w:val="de-DE" w:eastAsia="de-DE"/>
    </w:rPr>
    <w:tblPr>
      <w:tblStyleRowBandSize w:val="1"/>
      <w:jc w:val="center"/>
      <w:tblCellMar>
        <w:top w:w="57" w:type="dxa"/>
        <w:left w:w="108" w:type="dxa"/>
        <w:bottom w:w="0" w:type="dxa"/>
        <w:right w:w="108" w:type="dxa"/>
      </w:tblCellMar>
    </w:tblPr>
    <w:trPr>
      <w:jc w:val="center"/>
    </w:trPr>
    <w:tcPr>
      <w:vAlign w:val="center"/>
    </w:tcPr>
    <w:tblStylePr w:type="firstRow">
      <w:pPr>
        <w:wordWrap/>
        <w:spacing w:beforeLines="0" w:before="120" w:beforeAutospacing="0" w:afterLines="0" w:after="120" w:afterAutospacing="0" w:line="240" w:lineRule="auto"/>
        <w:jc w:val="left"/>
      </w:pPr>
      <w:rPr>
        <w:i/>
      </w:rPr>
      <w:tblPr/>
      <w:trPr>
        <w:tblHeader/>
      </w:trPr>
    </w:tblStylePr>
  </w:style>
  <w:style w:type="character" w:customStyle="1" w:styleId="ECCHLgrey">
    <w:name w:val="ECC HL grey"/>
    <w:uiPriority w:val="1"/>
    <w:qFormat/>
    <w:rsid w:val="0038287C"/>
    <w:rPr>
      <w:bdr w:val="none" w:sz="0" w:space="0" w:color="auto"/>
      <w:shd w:val="solid" w:color="BFBFBF" w:themeColor="background1" w:themeShade="BF" w:fill="auto"/>
    </w:rPr>
  </w:style>
  <w:style w:type="table" w:styleId="Rcsostblzat">
    <w:name w:val="Table Grid"/>
    <w:basedOn w:val="Normltblzat"/>
    <w:uiPriority w:val="39"/>
    <w:locked/>
    <w:rsid w:val="00D06683"/>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iemels2">
    <w:name w:val="Strong"/>
    <w:basedOn w:val="Bekezdsalapbettpusa"/>
    <w:semiHidden/>
    <w:qFormat/>
    <w:locked/>
    <w:rsid w:val="0038287C"/>
    <w:rPr>
      <w:b/>
      <w:bCs/>
    </w:rPr>
  </w:style>
  <w:style w:type="paragraph" w:customStyle="1" w:styleId="ECCBreak">
    <w:name w:val="ECC Break"/>
    <w:link w:val="ECCBreakZchn"/>
    <w:rsid w:val="0042761F"/>
    <w:pPr>
      <w:spacing w:before="360"/>
      <w:jc w:val="left"/>
    </w:pPr>
    <w:rPr>
      <w:b/>
      <w:bCs/>
      <w:iCs/>
      <w:caps/>
      <w:szCs w:val="28"/>
    </w:rPr>
  </w:style>
  <w:style w:type="character" w:customStyle="1" w:styleId="ECCBreakZchn">
    <w:name w:val="ECC Break Zchn"/>
    <w:basedOn w:val="Bekezdsalapbettpusa"/>
    <w:link w:val="ECCBreak"/>
    <w:rsid w:val="0042761F"/>
    <w:rPr>
      <w:b/>
      <w:bCs/>
      <w:iCs/>
      <w:caps/>
      <w:szCs w:val="28"/>
    </w:rPr>
  </w:style>
  <w:style w:type="paragraph" w:styleId="llb">
    <w:name w:val="footer"/>
    <w:basedOn w:val="Norml"/>
    <w:link w:val="llbChar"/>
    <w:uiPriority w:val="99"/>
    <w:semiHidden/>
    <w:unhideWhenUsed/>
    <w:locked/>
    <w:rsid w:val="000F6EE5"/>
    <w:pPr>
      <w:tabs>
        <w:tab w:val="center" w:pos="4536"/>
        <w:tab w:val="right" w:pos="9072"/>
      </w:tabs>
      <w:spacing w:before="0" w:after="0"/>
    </w:pPr>
  </w:style>
  <w:style w:type="character" w:customStyle="1" w:styleId="llbChar">
    <w:name w:val="Élőláb Char"/>
    <w:basedOn w:val="Bekezdsalapbettpusa"/>
    <w:link w:val="llb"/>
    <w:uiPriority w:val="99"/>
    <w:semiHidden/>
    <w:rsid w:val="000F6EE5"/>
    <w:rPr>
      <w:rFonts w:eastAsia="Calibri"/>
      <w:szCs w:val="22"/>
      <w:lang w:val="en-GB"/>
    </w:rPr>
  </w:style>
  <w:style w:type="character" w:styleId="Feloldatlanmegemlts">
    <w:name w:val="Unresolved Mention"/>
    <w:basedOn w:val="Bekezdsalapbettpusa"/>
    <w:uiPriority w:val="99"/>
    <w:semiHidden/>
    <w:unhideWhenUsed/>
    <w:rsid w:val="008421B4"/>
    <w:rPr>
      <w:color w:val="605E5C"/>
      <w:shd w:val="clear" w:color="auto" w:fill="E1DFDD"/>
    </w:rPr>
  </w:style>
  <w:style w:type="paragraph" w:styleId="Vltozat">
    <w:name w:val="Revision"/>
    <w:hidden/>
    <w:uiPriority w:val="99"/>
    <w:semiHidden/>
    <w:rsid w:val="00DB79B4"/>
    <w:pPr>
      <w:spacing w:before="0" w:after="0"/>
      <w:jc w:val="left"/>
    </w:pPr>
    <w:rPr>
      <w:rFonts w:eastAsia="Calibri"/>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6573989">
      <w:bodyDiv w:val="1"/>
      <w:marLeft w:val="0"/>
      <w:marRight w:val="0"/>
      <w:marTop w:val="0"/>
      <w:marBottom w:val="0"/>
      <w:divBdr>
        <w:top w:val="none" w:sz="0" w:space="0" w:color="auto"/>
        <w:left w:val="none" w:sz="0" w:space="0" w:color="auto"/>
        <w:bottom w:val="none" w:sz="0" w:space="0" w:color="auto"/>
        <w:right w:val="none" w:sz="0" w:space="0" w:color="auto"/>
      </w:divBdr>
    </w:div>
    <w:div w:id="1743217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ocuments\Vorlagen\CPG\CPG19\Template_generic%20contribution%20to%20CPG1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038A7C-5B76-4F77-A8FE-2979382FCF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Template_generic contribution to CPG19</Template>
  <TotalTime>115</TotalTime>
  <Pages>7</Pages>
  <Words>2704</Words>
  <Characters>18660</Characters>
  <Application>Microsoft Office Word</Application>
  <DocSecurity>0</DocSecurity>
  <Lines>155</Lines>
  <Paragraphs>42</Paragraphs>
  <ScaleCrop>false</ScaleCrop>
  <HeadingPairs>
    <vt:vector size="6" baseType="variant">
      <vt:variant>
        <vt:lpstr>Title</vt:lpstr>
      </vt:variant>
      <vt:variant>
        <vt:i4>1</vt:i4>
      </vt:variant>
      <vt:variant>
        <vt:lpstr>Titre</vt:lpstr>
      </vt:variant>
      <vt:variant>
        <vt:i4>1</vt:i4>
      </vt:variant>
      <vt:variant>
        <vt:lpstr>Titel</vt:lpstr>
      </vt:variant>
      <vt:variant>
        <vt:i4>1</vt:i4>
      </vt:variant>
    </vt:vector>
  </HeadingPairs>
  <TitlesOfParts>
    <vt:vector size="3" baseType="lpstr">
      <vt:lpstr>XXX(YY)XX - Source - Content</vt:lpstr>
      <vt:lpstr>XXX(YY)XX - Source - Content</vt:lpstr>
      <vt:lpstr>XXX(YY)XX - Source - Content</vt:lpstr>
    </vt:vector>
  </TitlesOfParts>
  <Manager>ECC</Manager>
  <Company>ECO</Company>
  <LinksUpToDate>false</LinksUpToDate>
  <CharactersWithSpaces>21322</CharactersWithSpaces>
  <SharedDoc>false</SharedDoc>
  <HLinks>
    <vt:vector size="12" baseType="variant">
      <vt:variant>
        <vt:i4>1703987</vt:i4>
      </vt:variant>
      <vt:variant>
        <vt:i4>-1</vt:i4>
      </vt:variant>
      <vt:variant>
        <vt:i4>2049</vt:i4>
      </vt:variant>
      <vt:variant>
        <vt:i4>1</vt:i4>
      </vt:variant>
      <vt:variant>
        <vt:lpwstr>cept logo</vt:lpwstr>
      </vt:variant>
      <vt:variant>
        <vt:lpwstr/>
      </vt:variant>
      <vt:variant>
        <vt:i4>3932173</vt:i4>
      </vt:variant>
      <vt:variant>
        <vt:i4>-1</vt:i4>
      </vt:variant>
      <vt:variant>
        <vt:i4>2050</vt:i4>
      </vt:variant>
      <vt:variant>
        <vt:i4>1</vt:i4>
      </vt:variant>
      <vt:variant>
        <vt:lpwstr>ecc_logo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XXX(YY)XX - Source - Content</dc:title>
  <dc:creator>ECC</dc:creator>
  <dc:description>This template is used as guidance to draft generic contributions to ECC groups</dc:description>
  <cp:lastModifiedBy>SE45Chair</cp:lastModifiedBy>
  <cp:revision>11</cp:revision>
  <cp:lastPrinted>2025-09-04T14:41:00Z</cp:lastPrinted>
  <dcterms:created xsi:type="dcterms:W3CDTF">2025-09-09T10:49:00Z</dcterms:created>
  <dcterms:modified xsi:type="dcterms:W3CDTF">2025-09-10T07:49:00Z</dcterms:modified>
  <cp:category>protected templates</cp:category>
  <cp:contentStatus>Template ECC</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50d26f-5c2c-4137-8396-1b24eb24286c_Enabled">
    <vt:lpwstr>true</vt:lpwstr>
  </property>
  <property fmtid="{D5CDD505-2E9C-101B-9397-08002B2CF9AE}" pid="3" name="MSIP_Label_5a50d26f-5c2c-4137-8396-1b24eb24286c_SetDate">
    <vt:lpwstr>2025-02-21T16:03:43Z</vt:lpwstr>
  </property>
  <property fmtid="{D5CDD505-2E9C-101B-9397-08002B2CF9AE}" pid="4" name="MSIP_Label_5a50d26f-5c2c-4137-8396-1b24eb24286c_Method">
    <vt:lpwstr>Privileged</vt:lpwstr>
  </property>
  <property fmtid="{D5CDD505-2E9C-101B-9397-08002B2CF9AE}" pid="5" name="MSIP_Label_5a50d26f-5c2c-4137-8396-1b24eb24286c_Name">
    <vt:lpwstr>5a50d26f-5c2c-4137-8396-1b24eb24286c</vt:lpwstr>
  </property>
  <property fmtid="{D5CDD505-2E9C-101B-9397-08002B2CF9AE}" pid="6" name="MSIP_Label_5a50d26f-5c2c-4137-8396-1b24eb24286c_SiteId">
    <vt:lpwstr>0af648de-310c-4068-8ae4-f9418bae24cc</vt:lpwstr>
  </property>
  <property fmtid="{D5CDD505-2E9C-101B-9397-08002B2CF9AE}" pid="7" name="MSIP_Label_5a50d26f-5c2c-4137-8396-1b24eb24286c_ActionId">
    <vt:lpwstr>65110113-dc84-4480-94cf-6898ea4b06d6</vt:lpwstr>
  </property>
  <property fmtid="{D5CDD505-2E9C-101B-9397-08002B2CF9AE}" pid="8" name="MSIP_Label_5a50d26f-5c2c-4137-8396-1b24eb24286c_ContentBits">
    <vt:lpwstr>0</vt:lpwstr>
  </property>
</Properties>
</file>