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98" w:type="dxa"/>
        <w:tblInd w:w="-72" w:type="dxa"/>
        <w:tblLayout w:type="fixed"/>
        <w:tblCellMar>
          <w:left w:w="70" w:type="dxa"/>
          <w:right w:w="70" w:type="dxa"/>
        </w:tblCellMar>
        <w:tblLook w:val="0000"/>
      </w:tblPr>
      <w:tblGrid>
        <w:gridCol w:w="1843"/>
        <w:gridCol w:w="2497"/>
        <w:gridCol w:w="1731"/>
        <w:gridCol w:w="3427"/>
      </w:tblGrid>
      <w:tr w:rsidR="00346C62" w:rsidRPr="00AD431E" w:rsidTr="00ED51E3">
        <w:trPr>
          <w:cantSplit/>
        </w:trPr>
        <w:tc>
          <w:tcPr>
            <w:tcW w:w="6071" w:type="dxa"/>
            <w:gridSpan w:val="3"/>
            <w:tcBorders>
              <w:top w:val="nil"/>
              <w:left w:val="nil"/>
              <w:bottom w:val="nil"/>
              <w:right w:val="nil"/>
            </w:tcBorders>
          </w:tcPr>
          <w:p w:rsidR="00346C62" w:rsidRPr="00AD431E" w:rsidRDefault="009B7573" w:rsidP="00215746">
            <w:pPr>
              <w:pStyle w:val="Header2"/>
              <w:rPr>
                <w:rFonts w:asciiTheme="minorHAnsi" w:hAnsiTheme="minorHAnsi"/>
                <w:sz w:val="24"/>
                <w:szCs w:val="24"/>
                <w:lang w:val="en-GB"/>
              </w:rPr>
            </w:pPr>
            <w:r w:rsidRPr="00AD431E">
              <w:rPr>
                <w:rFonts w:asciiTheme="minorHAnsi" w:hAnsiTheme="minorHAnsi"/>
                <w:noProof/>
                <w:sz w:val="24"/>
                <w:szCs w:val="24"/>
                <w:lang w:val="pt-PT" w:eastAsia="pt-PT"/>
              </w:rPr>
              <w:drawing>
                <wp:inline distT="0" distB="0" distL="0" distR="0">
                  <wp:extent cx="161925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19250" cy="828675"/>
                          </a:xfrm>
                          <a:prstGeom prst="rect">
                            <a:avLst/>
                          </a:prstGeom>
                          <a:noFill/>
                          <a:ln w="9525">
                            <a:noFill/>
                            <a:miter lim="800000"/>
                            <a:headEnd/>
                            <a:tailEnd/>
                          </a:ln>
                        </pic:spPr>
                      </pic:pic>
                    </a:graphicData>
                  </a:graphic>
                </wp:inline>
              </w:drawing>
            </w:r>
            <w:r w:rsidR="00340190" w:rsidRPr="00AD431E">
              <w:rPr>
                <w:rFonts w:asciiTheme="minorHAnsi" w:hAnsiTheme="minorHAnsi"/>
                <w:sz w:val="24"/>
                <w:szCs w:val="24"/>
                <w:lang w:val="en-GB"/>
              </w:rPr>
              <w:t>Task Group 6</w:t>
            </w:r>
          </w:p>
          <w:p w:rsidR="00346C62" w:rsidRPr="00AD431E" w:rsidRDefault="00346C62" w:rsidP="00215746">
            <w:pPr>
              <w:pStyle w:val="Header2"/>
              <w:rPr>
                <w:rFonts w:asciiTheme="minorHAnsi" w:hAnsiTheme="minorHAnsi" w:cs="Arial"/>
                <w:color w:val="000000"/>
                <w:sz w:val="24"/>
                <w:szCs w:val="24"/>
                <w:lang w:val="en-GB"/>
              </w:rPr>
            </w:pPr>
          </w:p>
        </w:tc>
        <w:tc>
          <w:tcPr>
            <w:tcW w:w="3427" w:type="dxa"/>
            <w:tcBorders>
              <w:top w:val="nil"/>
              <w:left w:val="nil"/>
              <w:bottom w:val="nil"/>
              <w:right w:val="nil"/>
            </w:tcBorders>
          </w:tcPr>
          <w:p w:rsidR="00346C62" w:rsidRPr="00AD431E" w:rsidRDefault="0098621D" w:rsidP="006C5A2A">
            <w:pPr>
              <w:pStyle w:val="Header2"/>
              <w:tabs>
                <w:tab w:val="clear" w:pos="4536"/>
                <w:tab w:val="right" w:pos="3357"/>
              </w:tabs>
              <w:rPr>
                <w:rFonts w:asciiTheme="minorHAnsi" w:hAnsiTheme="minorHAnsi"/>
                <w:sz w:val="24"/>
                <w:szCs w:val="24"/>
                <w:lang w:val="en-GB"/>
              </w:rPr>
            </w:pPr>
            <w:r w:rsidRPr="00AD431E">
              <w:rPr>
                <w:rFonts w:asciiTheme="minorHAnsi" w:hAnsiTheme="minorHAnsi"/>
                <w:sz w:val="24"/>
                <w:szCs w:val="24"/>
                <w:lang w:val="en-GB"/>
              </w:rPr>
              <w:tab/>
            </w:r>
            <w:r w:rsidR="00340190" w:rsidRPr="00AD431E">
              <w:rPr>
                <w:rFonts w:asciiTheme="minorHAnsi" w:hAnsiTheme="minorHAnsi"/>
                <w:sz w:val="24"/>
                <w:szCs w:val="24"/>
                <w:lang w:val="en-GB"/>
              </w:rPr>
              <w:t>TG6</w:t>
            </w:r>
            <w:r w:rsidR="00E9697A" w:rsidRPr="00AD431E">
              <w:rPr>
                <w:rFonts w:asciiTheme="minorHAnsi" w:hAnsiTheme="minorHAnsi"/>
                <w:sz w:val="24"/>
                <w:szCs w:val="24"/>
                <w:lang w:val="en-GB"/>
              </w:rPr>
              <w:t>(1</w:t>
            </w:r>
            <w:r w:rsidR="003B3358" w:rsidRPr="00AD431E">
              <w:rPr>
                <w:rFonts w:asciiTheme="minorHAnsi" w:hAnsiTheme="minorHAnsi"/>
                <w:sz w:val="24"/>
                <w:szCs w:val="24"/>
                <w:lang w:val="en-GB"/>
              </w:rPr>
              <w:t>3</w:t>
            </w:r>
            <w:r w:rsidR="00E9697A" w:rsidRPr="00AD431E">
              <w:rPr>
                <w:rFonts w:asciiTheme="minorHAnsi" w:hAnsiTheme="minorHAnsi"/>
                <w:sz w:val="24"/>
                <w:szCs w:val="24"/>
                <w:lang w:val="en-GB"/>
              </w:rPr>
              <w:t>)</w:t>
            </w:r>
            <w:r w:rsidR="006C5A2A">
              <w:rPr>
                <w:rFonts w:asciiTheme="minorHAnsi" w:hAnsiTheme="minorHAnsi"/>
                <w:sz w:val="24"/>
                <w:szCs w:val="24"/>
                <w:lang w:val="en-GB"/>
              </w:rPr>
              <w:t>023</w:t>
            </w:r>
          </w:p>
        </w:tc>
      </w:tr>
      <w:tr w:rsidR="00346C62" w:rsidRPr="00AD431E" w:rsidTr="00ED51E3">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AD431E" w:rsidRDefault="00F15DE7" w:rsidP="00A03EB7">
            <w:pPr>
              <w:pStyle w:val="Header2"/>
              <w:rPr>
                <w:rFonts w:asciiTheme="minorHAnsi" w:hAnsiTheme="minorHAnsi"/>
                <w:sz w:val="28"/>
                <w:szCs w:val="28"/>
                <w:lang w:val="en-GB"/>
              </w:rPr>
            </w:pPr>
            <w:r w:rsidRPr="00AD431E">
              <w:rPr>
                <w:rFonts w:asciiTheme="minorHAnsi" w:hAnsiTheme="minorHAnsi" w:cs="Arial"/>
                <w:sz w:val="28"/>
                <w:szCs w:val="28"/>
                <w:lang w:val="en-GB"/>
              </w:rPr>
              <w:t xml:space="preserve">ECC </w:t>
            </w:r>
            <w:r w:rsidR="00A47A97" w:rsidRPr="00AD431E">
              <w:rPr>
                <w:rFonts w:asciiTheme="minorHAnsi" w:hAnsiTheme="minorHAnsi" w:cs="Arial"/>
                <w:sz w:val="28"/>
                <w:szCs w:val="28"/>
                <w:lang w:val="en-GB"/>
              </w:rPr>
              <w:t>TG6</w:t>
            </w:r>
            <w:r w:rsidR="00945098" w:rsidRPr="00AD431E">
              <w:rPr>
                <w:rFonts w:asciiTheme="minorHAnsi" w:hAnsiTheme="minorHAnsi" w:cs="Arial"/>
                <w:sz w:val="28"/>
                <w:szCs w:val="28"/>
                <w:lang w:val="en-GB"/>
              </w:rPr>
              <w:t xml:space="preserve"> </w:t>
            </w:r>
            <w:r w:rsidR="00A03EB7" w:rsidRPr="00AD431E">
              <w:rPr>
                <w:rFonts w:asciiTheme="minorHAnsi" w:hAnsiTheme="minorHAnsi" w:cs="Arial"/>
                <w:sz w:val="28"/>
                <w:szCs w:val="28"/>
                <w:lang w:val="en-GB"/>
              </w:rPr>
              <w:t>–</w:t>
            </w:r>
            <w:r w:rsidR="00945098" w:rsidRPr="00AD431E">
              <w:rPr>
                <w:rFonts w:asciiTheme="minorHAnsi" w:hAnsiTheme="minorHAnsi" w:cs="Arial"/>
                <w:sz w:val="28"/>
                <w:szCs w:val="28"/>
                <w:lang w:val="en-GB"/>
              </w:rPr>
              <w:t xml:space="preserve"> </w:t>
            </w:r>
            <w:r w:rsidR="00A47A97" w:rsidRPr="00AD431E">
              <w:rPr>
                <w:rFonts w:asciiTheme="minorHAnsi" w:hAnsiTheme="minorHAnsi" w:cs="Arial"/>
                <w:sz w:val="28"/>
                <w:szCs w:val="28"/>
                <w:lang w:val="en-GB"/>
              </w:rPr>
              <w:t>M</w:t>
            </w:r>
            <w:r w:rsidR="00A03EB7" w:rsidRPr="00AD431E">
              <w:rPr>
                <w:rFonts w:asciiTheme="minorHAnsi" w:hAnsiTheme="minorHAnsi" w:cs="Arial"/>
                <w:sz w:val="28"/>
                <w:szCs w:val="28"/>
                <w:lang w:val="en-GB"/>
              </w:rPr>
              <w:t>2</w:t>
            </w:r>
          </w:p>
        </w:tc>
        <w:tc>
          <w:tcPr>
            <w:tcW w:w="5158" w:type="dxa"/>
            <w:gridSpan w:val="2"/>
            <w:tcBorders>
              <w:top w:val="nil"/>
              <w:left w:val="nil"/>
              <w:bottom w:val="nil"/>
              <w:right w:val="nil"/>
            </w:tcBorders>
            <w:vAlign w:val="center"/>
          </w:tcPr>
          <w:p w:rsidR="00346C62" w:rsidRPr="00AD431E" w:rsidRDefault="00346C62" w:rsidP="00215746">
            <w:pPr>
              <w:pStyle w:val="Header2"/>
              <w:rPr>
                <w:rFonts w:asciiTheme="minorHAnsi" w:hAnsiTheme="minorHAnsi"/>
                <w:sz w:val="28"/>
                <w:szCs w:val="28"/>
                <w:lang w:val="en-GB"/>
              </w:rPr>
            </w:pPr>
          </w:p>
        </w:tc>
      </w:tr>
      <w:tr w:rsidR="00346C62" w:rsidRPr="00AD431E" w:rsidTr="00ED51E3">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AD431E" w:rsidRDefault="00A03EB7" w:rsidP="00A03EB7">
            <w:pPr>
              <w:pStyle w:val="Header2"/>
              <w:rPr>
                <w:rFonts w:asciiTheme="minorHAnsi" w:hAnsiTheme="minorHAnsi"/>
                <w:sz w:val="28"/>
                <w:szCs w:val="28"/>
                <w:lang w:val="en-GB"/>
              </w:rPr>
            </w:pPr>
            <w:proofErr w:type="spellStart"/>
            <w:r w:rsidRPr="00AD431E">
              <w:rPr>
                <w:rFonts w:asciiTheme="minorHAnsi" w:hAnsiTheme="minorHAnsi"/>
                <w:sz w:val="28"/>
                <w:szCs w:val="28"/>
                <w:lang w:val="en-GB"/>
              </w:rPr>
              <w:t>Lisboa</w:t>
            </w:r>
            <w:proofErr w:type="spellEnd"/>
            <w:r w:rsidR="00E9697A" w:rsidRPr="00AD431E">
              <w:rPr>
                <w:rFonts w:asciiTheme="minorHAnsi" w:hAnsiTheme="minorHAnsi" w:cs="Arial"/>
                <w:sz w:val="28"/>
                <w:szCs w:val="28"/>
                <w:lang w:val="en-GB"/>
              </w:rPr>
              <w:t xml:space="preserve">, </w:t>
            </w:r>
            <w:r w:rsidR="00340190" w:rsidRPr="00AD431E">
              <w:rPr>
                <w:rFonts w:asciiTheme="minorHAnsi" w:hAnsiTheme="minorHAnsi" w:cs="Arial"/>
                <w:sz w:val="28"/>
                <w:szCs w:val="28"/>
                <w:lang w:val="en-GB"/>
              </w:rPr>
              <w:t>0</w:t>
            </w:r>
            <w:r w:rsidRPr="00AD431E">
              <w:rPr>
                <w:rFonts w:asciiTheme="minorHAnsi" w:hAnsiTheme="minorHAnsi" w:cs="Arial"/>
                <w:sz w:val="28"/>
                <w:szCs w:val="28"/>
                <w:lang w:val="en-GB"/>
              </w:rPr>
              <w:t>3</w:t>
            </w:r>
            <w:r w:rsidR="00DA2DC1" w:rsidRPr="00AD431E">
              <w:rPr>
                <w:rFonts w:asciiTheme="minorHAnsi" w:hAnsiTheme="minorHAnsi" w:cs="Arial"/>
                <w:sz w:val="28"/>
                <w:szCs w:val="28"/>
                <w:lang w:val="en-GB" w:eastAsia="ru-RU"/>
              </w:rPr>
              <w:t xml:space="preserve"> </w:t>
            </w:r>
            <w:r w:rsidR="003B3358" w:rsidRPr="00AD431E">
              <w:rPr>
                <w:rFonts w:asciiTheme="minorHAnsi" w:hAnsiTheme="minorHAnsi" w:cs="Arial"/>
                <w:sz w:val="28"/>
                <w:szCs w:val="28"/>
                <w:lang w:val="en-GB" w:eastAsia="ru-RU"/>
              </w:rPr>
              <w:t>-</w:t>
            </w:r>
            <w:r w:rsidR="00DA2DC1" w:rsidRPr="00AD431E">
              <w:rPr>
                <w:rFonts w:asciiTheme="minorHAnsi" w:hAnsiTheme="minorHAnsi" w:cs="Arial"/>
                <w:sz w:val="28"/>
                <w:szCs w:val="28"/>
                <w:lang w:val="en-GB" w:eastAsia="ru-RU"/>
              </w:rPr>
              <w:t xml:space="preserve"> </w:t>
            </w:r>
            <w:r w:rsidR="00340190" w:rsidRPr="00AD431E">
              <w:rPr>
                <w:rFonts w:asciiTheme="minorHAnsi" w:hAnsiTheme="minorHAnsi" w:cs="Arial"/>
                <w:sz w:val="28"/>
                <w:szCs w:val="28"/>
                <w:lang w:val="en-GB" w:eastAsia="ru-RU"/>
              </w:rPr>
              <w:t>0</w:t>
            </w:r>
            <w:r w:rsidRPr="00AD431E">
              <w:rPr>
                <w:rFonts w:asciiTheme="minorHAnsi" w:hAnsiTheme="minorHAnsi" w:cs="Arial"/>
                <w:sz w:val="28"/>
                <w:szCs w:val="28"/>
                <w:lang w:val="en-GB" w:eastAsia="ru-RU"/>
              </w:rPr>
              <w:t>5</w:t>
            </w:r>
            <w:r w:rsidR="003B3358" w:rsidRPr="00AD431E">
              <w:rPr>
                <w:rFonts w:asciiTheme="minorHAnsi" w:hAnsiTheme="minorHAnsi" w:cs="Arial"/>
                <w:sz w:val="28"/>
                <w:szCs w:val="28"/>
                <w:lang w:val="en-GB" w:eastAsia="ru-RU"/>
              </w:rPr>
              <w:t xml:space="preserve"> </w:t>
            </w:r>
            <w:r w:rsidRPr="00AD431E">
              <w:rPr>
                <w:rFonts w:asciiTheme="minorHAnsi" w:hAnsiTheme="minorHAnsi" w:cs="Arial"/>
                <w:sz w:val="28"/>
                <w:szCs w:val="28"/>
                <w:lang w:val="en-GB" w:eastAsia="ru-RU"/>
              </w:rPr>
              <w:t>December</w:t>
            </w:r>
            <w:r w:rsidR="003B3358" w:rsidRPr="00AD431E">
              <w:rPr>
                <w:rFonts w:asciiTheme="minorHAnsi" w:hAnsiTheme="minorHAnsi" w:cs="Arial"/>
                <w:sz w:val="28"/>
                <w:szCs w:val="28"/>
                <w:lang w:val="en-GB" w:eastAsia="ru-RU"/>
              </w:rPr>
              <w:t xml:space="preserve"> </w:t>
            </w:r>
            <w:r w:rsidR="00E9697A" w:rsidRPr="00AD431E">
              <w:rPr>
                <w:rFonts w:asciiTheme="minorHAnsi" w:hAnsiTheme="minorHAnsi" w:cs="Arial"/>
                <w:sz w:val="28"/>
                <w:szCs w:val="28"/>
                <w:lang w:val="en-GB"/>
              </w:rPr>
              <w:t>201</w:t>
            </w:r>
            <w:r w:rsidR="003B3358" w:rsidRPr="00AD431E">
              <w:rPr>
                <w:rFonts w:asciiTheme="minorHAnsi" w:hAnsiTheme="minorHAnsi" w:cs="Arial"/>
                <w:sz w:val="28"/>
                <w:szCs w:val="28"/>
                <w:lang w:val="en-GB"/>
              </w:rPr>
              <w:t>3</w:t>
            </w:r>
          </w:p>
        </w:tc>
        <w:tc>
          <w:tcPr>
            <w:tcW w:w="5158" w:type="dxa"/>
            <w:gridSpan w:val="2"/>
            <w:tcBorders>
              <w:top w:val="nil"/>
              <w:left w:val="nil"/>
              <w:bottom w:val="nil"/>
              <w:right w:val="nil"/>
            </w:tcBorders>
            <w:vAlign w:val="center"/>
          </w:tcPr>
          <w:p w:rsidR="00346C62" w:rsidRPr="00AD431E" w:rsidRDefault="00346C62" w:rsidP="00215746">
            <w:pPr>
              <w:pStyle w:val="Header2"/>
              <w:rPr>
                <w:rFonts w:asciiTheme="minorHAnsi" w:hAnsiTheme="minorHAnsi"/>
                <w:sz w:val="28"/>
                <w:szCs w:val="28"/>
                <w:lang w:val="en-GB"/>
              </w:rPr>
            </w:pPr>
          </w:p>
        </w:tc>
      </w:tr>
      <w:tr w:rsidR="00F05B26" w:rsidRPr="00AD431E" w:rsidTr="00ED51E3">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AD431E" w:rsidRDefault="00F05B26" w:rsidP="00215746">
            <w:pPr>
              <w:pStyle w:val="Header2"/>
              <w:rPr>
                <w:rFonts w:asciiTheme="minorHAnsi" w:hAnsiTheme="minorHAnsi"/>
                <w:sz w:val="28"/>
                <w:szCs w:val="28"/>
                <w:lang w:val="en-GB"/>
              </w:rPr>
            </w:pPr>
          </w:p>
        </w:tc>
        <w:tc>
          <w:tcPr>
            <w:tcW w:w="5158" w:type="dxa"/>
            <w:gridSpan w:val="2"/>
            <w:tcBorders>
              <w:top w:val="nil"/>
              <w:left w:val="nil"/>
              <w:bottom w:val="nil"/>
              <w:right w:val="nil"/>
            </w:tcBorders>
            <w:vAlign w:val="center"/>
          </w:tcPr>
          <w:p w:rsidR="00F05B26" w:rsidRPr="00AD431E" w:rsidRDefault="00F05B26" w:rsidP="00215746">
            <w:pPr>
              <w:pStyle w:val="Header2"/>
              <w:rPr>
                <w:rFonts w:asciiTheme="minorHAnsi" w:hAnsiTheme="minorHAnsi"/>
                <w:sz w:val="28"/>
                <w:szCs w:val="28"/>
                <w:lang w:val="en-GB"/>
              </w:rPr>
            </w:pPr>
          </w:p>
        </w:tc>
      </w:tr>
      <w:tr w:rsidR="00F05B26" w:rsidRPr="00AD431E" w:rsidTr="00ED51E3">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AD431E" w:rsidRDefault="00F05B26" w:rsidP="00215746">
            <w:pPr>
              <w:pStyle w:val="Header2"/>
              <w:rPr>
                <w:rFonts w:asciiTheme="minorHAnsi" w:hAnsiTheme="minorHAnsi"/>
                <w:b w:val="0"/>
                <w:sz w:val="24"/>
                <w:szCs w:val="24"/>
                <w:lang w:val="en-GB"/>
              </w:rPr>
            </w:pPr>
            <w:r w:rsidRPr="00AD431E">
              <w:rPr>
                <w:rFonts w:asciiTheme="minorHAnsi" w:hAnsiTheme="minorHAnsi"/>
                <w:b w:val="0"/>
                <w:sz w:val="24"/>
                <w:szCs w:val="24"/>
                <w:lang w:val="en-GB"/>
              </w:rPr>
              <w:t>Date issued:</w:t>
            </w:r>
            <w:r w:rsidR="005269EA" w:rsidRPr="00AD431E">
              <w:rPr>
                <w:rFonts w:asciiTheme="minorHAnsi" w:hAnsiTheme="minorHAnsi"/>
                <w:b w:val="0"/>
                <w:sz w:val="24"/>
                <w:szCs w:val="24"/>
                <w:lang w:val="en-GB"/>
              </w:rPr>
              <w:t xml:space="preserve"> </w:t>
            </w:r>
          </w:p>
        </w:tc>
        <w:tc>
          <w:tcPr>
            <w:tcW w:w="7655" w:type="dxa"/>
            <w:gridSpan w:val="3"/>
            <w:tcBorders>
              <w:top w:val="nil"/>
              <w:left w:val="nil"/>
              <w:bottom w:val="nil"/>
              <w:right w:val="nil"/>
            </w:tcBorders>
            <w:vAlign w:val="center"/>
          </w:tcPr>
          <w:p w:rsidR="00F05B26" w:rsidRPr="00AD431E" w:rsidRDefault="00CB77C1" w:rsidP="00215746">
            <w:pPr>
              <w:pStyle w:val="Header2"/>
              <w:rPr>
                <w:rFonts w:asciiTheme="minorHAnsi" w:hAnsiTheme="minorHAnsi"/>
                <w:sz w:val="24"/>
                <w:szCs w:val="24"/>
                <w:lang w:val="en-GB"/>
              </w:rPr>
            </w:pPr>
            <w:r>
              <w:rPr>
                <w:rFonts w:asciiTheme="minorHAnsi" w:hAnsiTheme="minorHAnsi"/>
                <w:sz w:val="24"/>
                <w:szCs w:val="24"/>
                <w:lang w:val="en-GB"/>
              </w:rPr>
              <w:t>26</w:t>
            </w:r>
            <w:r w:rsidR="001E7185" w:rsidRPr="00AD431E">
              <w:rPr>
                <w:rFonts w:asciiTheme="minorHAnsi" w:hAnsiTheme="minorHAnsi"/>
                <w:sz w:val="24"/>
                <w:szCs w:val="24"/>
                <w:lang w:val="en-GB"/>
              </w:rPr>
              <w:t xml:space="preserve"> November 2013</w:t>
            </w:r>
          </w:p>
        </w:tc>
      </w:tr>
      <w:tr w:rsidR="00F05B26" w:rsidRPr="00AD431E" w:rsidTr="00ED51E3">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AD431E" w:rsidRDefault="00F05B26" w:rsidP="00215746">
            <w:pPr>
              <w:pStyle w:val="Header2"/>
              <w:rPr>
                <w:rFonts w:asciiTheme="minorHAnsi" w:hAnsiTheme="minorHAnsi"/>
                <w:b w:val="0"/>
                <w:sz w:val="24"/>
                <w:szCs w:val="24"/>
                <w:lang w:val="en-GB"/>
              </w:rPr>
            </w:pPr>
            <w:r w:rsidRPr="00AD431E">
              <w:rPr>
                <w:rFonts w:asciiTheme="minorHAnsi" w:hAnsiTheme="minorHAnsi"/>
                <w:b w:val="0"/>
                <w:sz w:val="24"/>
                <w:szCs w:val="24"/>
                <w:lang w:val="en-GB"/>
              </w:rPr>
              <w:t>Source:</w:t>
            </w:r>
          </w:p>
        </w:tc>
        <w:tc>
          <w:tcPr>
            <w:tcW w:w="7655" w:type="dxa"/>
            <w:gridSpan w:val="3"/>
            <w:tcBorders>
              <w:top w:val="nil"/>
              <w:left w:val="nil"/>
              <w:bottom w:val="nil"/>
              <w:right w:val="nil"/>
            </w:tcBorders>
            <w:vAlign w:val="center"/>
          </w:tcPr>
          <w:p w:rsidR="00F05B26" w:rsidRPr="00AD431E" w:rsidRDefault="001E7185" w:rsidP="00215746">
            <w:pPr>
              <w:pStyle w:val="Header2"/>
              <w:rPr>
                <w:rFonts w:asciiTheme="minorHAnsi" w:hAnsiTheme="minorHAnsi"/>
                <w:sz w:val="24"/>
                <w:szCs w:val="24"/>
                <w:lang w:val="en-GB"/>
              </w:rPr>
            </w:pPr>
            <w:r w:rsidRPr="00AD431E">
              <w:rPr>
                <w:rFonts w:asciiTheme="minorHAnsi" w:hAnsiTheme="minorHAnsi"/>
                <w:sz w:val="24"/>
                <w:szCs w:val="24"/>
                <w:lang w:val="en-GB"/>
              </w:rPr>
              <w:t>European Broadcasting Union</w:t>
            </w:r>
          </w:p>
        </w:tc>
      </w:tr>
      <w:tr w:rsidR="00F05B26" w:rsidRPr="00AD431E" w:rsidTr="00ED51E3">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AD431E" w:rsidRDefault="00F05B26" w:rsidP="008D114E">
            <w:pPr>
              <w:pStyle w:val="Header2"/>
              <w:rPr>
                <w:rFonts w:asciiTheme="minorHAnsi" w:hAnsiTheme="minorHAnsi"/>
                <w:b w:val="0"/>
                <w:sz w:val="24"/>
                <w:szCs w:val="24"/>
                <w:lang w:val="en-GB"/>
              </w:rPr>
            </w:pPr>
            <w:r w:rsidRPr="00AD431E">
              <w:rPr>
                <w:rFonts w:asciiTheme="minorHAnsi" w:hAnsiTheme="minorHAnsi"/>
                <w:b w:val="0"/>
                <w:sz w:val="24"/>
                <w:szCs w:val="24"/>
                <w:lang w:val="en-GB"/>
              </w:rPr>
              <w:t>Subject:</w:t>
            </w:r>
          </w:p>
        </w:tc>
        <w:tc>
          <w:tcPr>
            <w:tcW w:w="7655" w:type="dxa"/>
            <w:gridSpan w:val="3"/>
            <w:tcBorders>
              <w:top w:val="nil"/>
              <w:left w:val="nil"/>
              <w:bottom w:val="nil"/>
              <w:right w:val="nil"/>
            </w:tcBorders>
            <w:vAlign w:val="center"/>
          </w:tcPr>
          <w:p w:rsidR="00F05B26" w:rsidRPr="00AD431E" w:rsidRDefault="005E42AC" w:rsidP="006B4BEB">
            <w:pPr>
              <w:pStyle w:val="Header2"/>
              <w:rPr>
                <w:rFonts w:asciiTheme="minorHAnsi" w:hAnsiTheme="minorHAnsi"/>
                <w:sz w:val="24"/>
                <w:szCs w:val="24"/>
                <w:lang w:val="en-GB"/>
              </w:rPr>
            </w:pPr>
            <w:r w:rsidRPr="00AD431E">
              <w:rPr>
                <w:rFonts w:asciiTheme="minorHAnsi" w:hAnsiTheme="minorHAnsi" w:cs="Arial"/>
                <w:sz w:val="24"/>
                <w:szCs w:val="24"/>
                <w:lang w:val="en-GB"/>
              </w:rPr>
              <w:t>The current role of the terrestrial broadcast platform and</w:t>
            </w:r>
            <w:r w:rsidR="006B4BEB">
              <w:rPr>
                <w:rFonts w:asciiTheme="minorHAnsi" w:hAnsiTheme="minorHAnsi" w:cs="Arial"/>
                <w:sz w:val="24"/>
                <w:szCs w:val="24"/>
                <w:lang w:val="en-GB"/>
              </w:rPr>
              <w:t xml:space="preserve"> the requirements of Public Ser</w:t>
            </w:r>
            <w:r w:rsidRPr="00AD431E">
              <w:rPr>
                <w:rFonts w:asciiTheme="minorHAnsi" w:hAnsiTheme="minorHAnsi" w:cs="Arial"/>
                <w:sz w:val="24"/>
                <w:szCs w:val="24"/>
                <w:lang w:val="en-GB"/>
              </w:rPr>
              <w:t>v</w:t>
            </w:r>
            <w:r w:rsidR="006B4BEB">
              <w:rPr>
                <w:rFonts w:asciiTheme="minorHAnsi" w:hAnsiTheme="minorHAnsi" w:cs="Arial"/>
                <w:sz w:val="24"/>
                <w:szCs w:val="24"/>
                <w:lang w:val="en-GB"/>
              </w:rPr>
              <w:t>i</w:t>
            </w:r>
            <w:r w:rsidRPr="00AD431E">
              <w:rPr>
                <w:rFonts w:asciiTheme="minorHAnsi" w:hAnsiTheme="minorHAnsi" w:cs="Arial"/>
                <w:sz w:val="24"/>
                <w:szCs w:val="24"/>
                <w:lang w:val="en-GB"/>
              </w:rPr>
              <w:t xml:space="preserve">ce </w:t>
            </w:r>
            <w:r w:rsidR="006B4BEB">
              <w:rPr>
                <w:rFonts w:asciiTheme="minorHAnsi" w:hAnsiTheme="minorHAnsi" w:cs="Arial"/>
                <w:sz w:val="24"/>
                <w:szCs w:val="24"/>
                <w:lang w:val="en-GB"/>
              </w:rPr>
              <w:t>B</w:t>
            </w:r>
            <w:r w:rsidRPr="00AD431E">
              <w:rPr>
                <w:rFonts w:asciiTheme="minorHAnsi" w:hAnsiTheme="minorHAnsi" w:cs="Arial"/>
                <w:sz w:val="24"/>
                <w:szCs w:val="24"/>
                <w:lang w:val="en-GB"/>
              </w:rPr>
              <w:t>roadcasters</w:t>
            </w:r>
          </w:p>
        </w:tc>
      </w:tr>
      <w:tr w:rsidR="00493F86" w:rsidRPr="00AD431E" w:rsidTr="00ED51E3">
        <w:tblPrEx>
          <w:tblCellMar>
            <w:left w:w="108" w:type="dxa"/>
            <w:right w:w="108" w:type="dxa"/>
          </w:tblCellMar>
        </w:tblPrEx>
        <w:trPr>
          <w:cantSplit/>
          <w:trHeight w:val="1040"/>
        </w:trPr>
        <w:tc>
          <w:tcPr>
            <w:tcW w:w="9498" w:type="dxa"/>
            <w:gridSpan w:val="4"/>
            <w:tcBorders>
              <w:top w:val="nil"/>
              <w:left w:val="nil"/>
              <w:bottom w:val="nil"/>
              <w:right w:val="nil"/>
            </w:tcBorders>
            <w:vAlign w:val="center"/>
          </w:tcPr>
          <w:p w:rsidR="00493F86" w:rsidRPr="00AD431E" w:rsidRDefault="003D122C" w:rsidP="00FF320E">
            <w:pPr>
              <w:rPr>
                <w:rFonts w:asciiTheme="minorHAnsi" w:hAnsiTheme="minorHAnsi" w:cs="Arial"/>
                <w:sz w:val="24"/>
                <w:szCs w:val="24"/>
                <w:lang w:val="en-GB"/>
              </w:rPr>
            </w:pPr>
            <w:r w:rsidRPr="003D122C">
              <w:rPr>
                <w:rFonts w:asciiTheme="minorHAnsi" w:hAnsiTheme="minorHAnsi"/>
                <w:noProof/>
                <w:sz w:val="24"/>
                <w:szCs w:val="24"/>
                <w:lang w:val="en-GB"/>
              </w:rPr>
              <w:pict>
                <v:shapetype id="_x0000_t202" coordsize="21600,21600" o:spt="202" path="m,l,21600r21600,l21600,xe">
                  <v:stroke joinstyle="miter"/>
                  <v:path gradientshapeok="t" o:connecttype="rect"/>
                </v:shapetype>
                <v:shape id="_x0000_s1026" type="#_x0000_t202" style="position:absolute;left:0;text-align:left;margin-left:233.85pt;margin-top:15.55pt;width:36pt;height:21.35pt;z-index:-251658752;mso-wrap-edited:f;mso-position-horizontal-relative:text;mso-position-vertical-relative:text" wrapcoords="-450 0 -450 21600 22050 21600 22050 0 -450 0">
                  <v:textbox style="mso-next-textbox:#_x0000_s1026">
                    <w:txbxContent>
                      <w:p w:rsidR="005269EA" w:rsidRPr="00F75787" w:rsidRDefault="00F75787" w:rsidP="005348B2">
                        <w:pPr>
                          <w:spacing w:after="0"/>
                          <w:jc w:val="center"/>
                          <w:rPr>
                            <w:rFonts w:cs="Arial"/>
                            <w:szCs w:val="24"/>
                            <w:lang w:val="pt-PT"/>
                          </w:rPr>
                        </w:pPr>
                        <w:r>
                          <w:rPr>
                            <w:rFonts w:cs="Arial"/>
                            <w:szCs w:val="24"/>
                            <w:lang w:val="pt-PT"/>
                          </w:rPr>
                          <w:t>N</w:t>
                        </w:r>
                      </w:p>
                    </w:txbxContent>
                  </v:textbox>
                  <w10:wrap type="tight"/>
                </v:shape>
              </w:pict>
            </w:r>
          </w:p>
          <w:p w:rsidR="00493F86" w:rsidRPr="00AD431E" w:rsidRDefault="00ED522B" w:rsidP="00FF320E">
            <w:pPr>
              <w:rPr>
                <w:rFonts w:asciiTheme="minorHAnsi" w:hAnsiTheme="minorHAnsi"/>
                <w:sz w:val="24"/>
                <w:szCs w:val="24"/>
                <w:lang w:val="en-GB"/>
              </w:rPr>
            </w:pPr>
            <w:r w:rsidRPr="00AD431E">
              <w:rPr>
                <w:rFonts w:asciiTheme="minorHAnsi" w:hAnsiTheme="minorHAnsi"/>
                <w:sz w:val="24"/>
                <w:szCs w:val="24"/>
                <w:lang w:val="en-GB"/>
              </w:rPr>
              <w:t xml:space="preserve">Group membership required </w:t>
            </w:r>
            <w:proofErr w:type="gramStart"/>
            <w:r w:rsidRPr="00AD431E">
              <w:rPr>
                <w:rFonts w:asciiTheme="minorHAnsi" w:hAnsiTheme="minorHAnsi"/>
                <w:sz w:val="24"/>
                <w:szCs w:val="24"/>
                <w:lang w:val="en-GB"/>
              </w:rPr>
              <w:t>to read</w:t>
            </w:r>
            <w:proofErr w:type="gramEnd"/>
            <w:r w:rsidRPr="00AD431E">
              <w:rPr>
                <w:rFonts w:asciiTheme="minorHAnsi" w:hAnsiTheme="minorHAnsi"/>
                <w:sz w:val="24"/>
                <w:szCs w:val="24"/>
                <w:lang w:val="en-GB"/>
              </w:rPr>
              <w:t xml:space="preserve">? </w:t>
            </w:r>
            <w:r w:rsidR="00493F86" w:rsidRPr="00AD431E">
              <w:rPr>
                <w:rFonts w:asciiTheme="minorHAnsi" w:hAnsiTheme="minorHAnsi"/>
                <w:sz w:val="24"/>
                <w:szCs w:val="24"/>
                <w:lang w:val="en-GB"/>
              </w:rPr>
              <w:t xml:space="preserve">(Y/N) </w:t>
            </w:r>
          </w:p>
          <w:p w:rsidR="00493F86" w:rsidRPr="00AD431E" w:rsidRDefault="00493F86" w:rsidP="00FF320E">
            <w:pPr>
              <w:pStyle w:val="Header1"/>
              <w:rPr>
                <w:rFonts w:asciiTheme="minorHAnsi" w:hAnsiTheme="minorHAnsi"/>
                <w:sz w:val="24"/>
                <w:szCs w:val="24"/>
                <w:lang w:val="en-GB"/>
              </w:rPr>
            </w:pPr>
          </w:p>
        </w:tc>
      </w:tr>
      <w:tr w:rsidR="00493F86" w:rsidRPr="00AD431E" w:rsidTr="00ED51E3">
        <w:tblPrEx>
          <w:tblCellMar>
            <w:left w:w="108" w:type="dxa"/>
            <w:right w:w="108" w:type="dxa"/>
          </w:tblCellMar>
        </w:tblPrEx>
        <w:trPr>
          <w:cantSplit/>
          <w:trHeight w:hRule="exact" w:val="74"/>
        </w:trPr>
        <w:tc>
          <w:tcPr>
            <w:tcW w:w="9498" w:type="dxa"/>
            <w:gridSpan w:val="4"/>
            <w:tcBorders>
              <w:top w:val="nil"/>
              <w:left w:val="nil"/>
              <w:bottom w:val="nil"/>
              <w:right w:val="nil"/>
            </w:tcBorders>
            <w:vAlign w:val="center"/>
          </w:tcPr>
          <w:p w:rsidR="00493F86" w:rsidRPr="00AD431E" w:rsidRDefault="00493F86" w:rsidP="00FF320E">
            <w:pPr>
              <w:pStyle w:val="Header1"/>
              <w:rPr>
                <w:rFonts w:asciiTheme="minorHAnsi" w:hAnsiTheme="minorHAnsi"/>
                <w:sz w:val="24"/>
                <w:szCs w:val="24"/>
                <w:lang w:val="en-GB"/>
              </w:rPr>
            </w:pPr>
          </w:p>
          <w:p w:rsidR="00493F86" w:rsidRPr="00AD431E" w:rsidRDefault="00493F86" w:rsidP="00FF320E">
            <w:pPr>
              <w:pStyle w:val="Header1"/>
              <w:rPr>
                <w:rFonts w:asciiTheme="minorHAnsi" w:hAnsiTheme="minorHAnsi"/>
                <w:sz w:val="24"/>
                <w:szCs w:val="24"/>
                <w:lang w:val="en-GB"/>
              </w:rPr>
            </w:pPr>
          </w:p>
        </w:tc>
      </w:tr>
      <w:tr w:rsidR="001E0E49" w:rsidRPr="00AD431E" w:rsidTr="00ED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498" w:type="dxa"/>
            <w:gridSpan w:val="4"/>
            <w:tcBorders>
              <w:bottom w:val="nil"/>
            </w:tcBorders>
          </w:tcPr>
          <w:p w:rsidR="001E0E49" w:rsidRPr="00AD431E" w:rsidRDefault="001569B9" w:rsidP="003B3358">
            <w:pPr>
              <w:pStyle w:val="Header2"/>
              <w:spacing w:before="120" w:after="120"/>
              <w:rPr>
                <w:rFonts w:asciiTheme="minorHAnsi" w:hAnsiTheme="minorHAnsi"/>
                <w:sz w:val="24"/>
                <w:szCs w:val="24"/>
                <w:lang w:val="en-GB"/>
              </w:rPr>
            </w:pPr>
            <w:r w:rsidRPr="00AD431E">
              <w:rPr>
                <w:rFonts w:asciiTheme="minorHAnsi" w:hAnsiTheme="minorHAnsi"/>
                <w:sz w:val="24"/>
                <w:szCs w:val="24"/>
                <w:lang w:val="en-GB"/>
              </w:rPr>
              <w:t>Summary:</w:t>
            </w:r>
          </w:p>
        </w:tc>
      </w:tr>
      <w:tr w:rsidR="001E0E49" w:rsidRPr="00AD431E" w:rsidTr="00ED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498" w:type="dxa"/>
            <w:gridSpan w:val="4"/>
            <w:tcBorders>
              <w:top w:val="nil"/>
              <w:bottom w:val="single" w:sz="4" w:space="0" w:color="auto"/>
            </w:tcBorders>
          </w:tcPr>
          <w:p w:rsidR="006C3B32" w:rsidRPr="00AD431E" w:rsidRDefault="001569B9" w:rsidP="00B37817">
            <w:pPr>
              <w:rPr>
                <w:rFonts w:cs="Arial"/>
                <w:sz w:val="20"/>
                <w:lang w:val="en-GB"/>
              </w:rPr>
            </w:pPr>
            <w:r w:rsidRPr="00AD431E">
              <w:rPr>
                <w:rFonts w:cs="Arial"/>
                <w:sz w:val="20"/>
                <w:lang w:val="en-GB"/>
              </w:rPr>
              <w:t>Terre</w:t>
            </w:r>
            <w:r w:rsidR="003D50F3" w:rsidRPr="00AD431E">
              <w:rPr>
                <w:rFonts w:cs="Arial"/>
                <w:sz w:val="20"/>
                <w:lang w:val="en-GB"/>
              </w:rPr>
              <w:t xml:space="preserve">strial broadcast platform </w:t>
            </w:r>
            <w:r w:rsidRPr="00AD431E">
              <w:rPr>
                <w:rFonts w:cs="Arial"/>
                <w:sz w:val="20"/>
                <w:lang w:val="en-GB"/>
              </w:rPr>
              <w:t xml:space="preserve">is the most widely used TV platform in Europe. In the EU alone </w:t>
            </w:r>
            <w:r w:rsidR="003D50F3" w:rsidRPr="00AD431E">
              <w:rPr>
                <w:rFonts w:cs="Arial"/>
                <w:sz w:val="20"/>
                <w:lang w:val="en-GB"/>
              </w:rPr>
              <w:t>more than</w:t>
            </w:r>
            <w:r w:rsidRPr="00AD431E">
              <w:rPr>
                <w:rFonts w:cs="Arial"/>
                <w:sz w:val="20"/>
                <w:lang w:val="en-GB"/>
              </w:rPr>
              <w:t xml:space="preserve"> 100 million household rely on the terrestrial distributio</w:t>
            </w:r>
            <w:r w:rsidR="006B4BEB">
              <w:rPr>
                <w:rFonts w:cs="Arial"/>
                <w:sz w:val="20"/>
                <w:lang w:val="en-GB"/>
              </w:rPr>
              <w:t>n as their primary means of rec</w:t>
            </w:r>
            <w:r w:rsidRPr="00AD431E">
              <w:rPr>
                <w:rFonts w:cs="Arial"/>
                <w:sz w:val="20"/>
                <w:lang w:val="en-GB"/>
              </w:rPr>
              <w:t>e</w:t>
            </w:r>
            <w:r w:rsidR="006B4BEB">
              <w:rPr>
                <w:rFonts w:cs="Arial"/>
                <w:sz w:val="20"/>
                <w:lang w:val="en-GB"/>
              </w:rPr>
              <w:t>i</w:t>
            </w:r>
            <w:r w:rsidRPr="00AD431E">
              <w:rPr>
                <w:rFonts w:cs="Arial"/>
                <w:sz w:val="20"/>
                <w:lang w:val="en-GB"/>
              </w:rPr>
              <w:t>ving TV</w:t>
            </w:r>
            <w:r w:rsidR="003D50F3" w:rsidRPr="00AD431E">
              <w:rPr>
                <w:rFonts w:cs="Arial"/>
                <w:sz w:val="20"/>
                <w:lang w:val="en-GB"/>
              </w:rPr>
              <w:t xml:space="preserve"> services</w:t>
            </w:r>
            <w:r w:rsidRPr="00AD431E">
              <w:rPr>
                <w:rFonts w:cs="Arial"/>
                <w:sz w:val="20"/>
                <w:lang w:val="en-GB"/>
              </w:rPr>
              <w:t xml:space="preserve">. The strengths of DTT stem from its near universal coverage, free-to-air access, the </w:t>
            </w:r>
            <w:r w:rsidR="00F34181" w:rsidRPr="00AD431E">
              <w:rPr>
                <w:rFonts w:cs="Arial"/>
                <w:sz w:val="20"/>
                <w:lang w:val="en-GB"/>
              </w:rPr>
              <w:t xml:space="preserve">technical and cost efficiency, </w:t>
            </w:r>
            <w:proofErr w:type="gramStart"/>
            <w:r w:rsidR="00F34181" w:rsidRPr="00AD431E">
              <w:rPr>
                <w:rFonts w:cs="Arial"/>
                <w:sz w:val="20"/>
                <w:lang w:val="en-GB"/>
              </w:rPr>
              <w:t>the</w:t>
            </w:r>
            <w:proofErr w:type="gramEnd"/>
            <w:r w:rsidR="00F34181" w:rsidRPr="00AD431E">
              <w:rPr>
                <w:rFonts w:cs="Arial"/>
                <w:sz w:val="20"/>
                <w:lang w:val="en-GB"/>
              </w:rPr>
              <w:t xml:space="preserve"> </w:t>
            </w:r>
            <w:r w:rsidRPr="00AD431E">
              <w:rPr>
                <w:rFonts w:cs="Arial"/>
                <w:sz w:val="20"/>
                <w:lang w:val="en-GB"/>
              </w:rPr>
              <w:t>flexibility to adapt to different service requirements and business models</w:t>
            </w:r>
            <w:r w:rsidR="00F34181" w:rsidRPr="00AD431E">
              <w:rPr>
                <w:rFonts w:cs="Arial"/>
                <w:sz w:val="20"/>
                <w:lang w:val="en-GB"/>
              </w:rPr>
              <w:t>,</w:t>
            </w:r>
            <w:r w:rsidRPr="00AD431E">
              <w:rPr>
                <w:rFonts w:cs="Arial"/>
                <w:sz w:val="20"/>
                <w:lang w:val="en-GB"/>
              </w:rPr>
              <w:t xml:space="preserve"> and the wide support from broadcasters, industry, policy makers and the public.</w:t>
            </w:r>
          </w:p>
          <w:p w:rsidR="00F34181" w:rsidRDefault="001569B9" w:rsidP="00B37817">
            <w:pPr>
              <w:rPr>
                <w:rFonts w:cs="Arial"/>
                <w:sz w:val="20"/>
                <w:lang w:val="en-GB"/>
              </w:rPr>
            </w:pPr>
            <w:r w:rsidRPr="00AD431E">
              <w:rPr>
                <w:rFonts w:cs="Arial"/>
                <w:sz w:val="20"/>
                <w:lang w:val="en-GB"/>
              </w:rPr>
              <w:t>For Public Service Media organizations the terrestrial broadcast platform is essential in fulfilling their legal obligation to make their content and services universally and freely available to the whole population</w:t>
            </w:r>
            <w:r w:rsidR="00AD431E">
              <w:rPr>
                <w:rFonts w:cs="Arial"/>
                <w:sz w:val="20"/>
                <w:lang w:val="en-GB"/>
              </w:rPr>
              <w:t xml:space="preserve">, free of </w:t>
            </w:r>
            <w:r w:rsidR="00F34181" w:rsidRPr="00AD431E">
              <w:rPr>
                <w:rFonts w:cs="Arial"/>
                <w:sz w:val="20"/>
                <w:lang w:val="en-GB"/>
              </w:rPr>
              <w:t>additional charges</w:t>
            </w:r>
            <w:r w:rsidRPr="00AD431E">
              <w:rPr>
                <w:rFonts w:cs="Arial"/>
                <w:sz w:val="20"/>
                <w:lang w:val="en-GB"/>
              </w:rPr>
              <w:t>.</w:t>
            </w:r>
          </w:p>
          <w:p w:rsidR="00615153" w:rsidRPr="00AD431E" w:rsidRDefault="00615153" w:rsidP="00B37817">
            <w:pPr>
              <w:rPr>
                <w:rFonts w:cs="Arial"/>
                <w:sz w:val="20"/>
                <w:lang w:val="en-GB"/>
              </w:rPr>
            </w:pPr>
            <w:r>
              <w:rPr>
                <w:rFonts w:cs="Arial"/>
                <w:sz w:val="20"/>
                <w:lang w:val="en-GB"/>
              </w:rPr>
              <w:t>T</w:t>
            </w:r>
            <w:r w:rsidRPr="00615153">
              <w:rPr>
                <w:rFonts w:cs="Arial"/>
                <w:sz w:val="20"/>
                <w:lang w:val="en-GB"/>
              </w:rPr>
              <w:t xml:space="preserve">he broader benefits of a </w:t>
            </w:r>
            <w:r>
              <w:rPr>
                <w:rFonts w:cs="Arial"/>
                <w:sz w:val="20"/>
                <w:lang w:val="en-GB"/>
              </w:rPr>
              <w:t>free-to-air</w:t>
            </w:r>
            <w:r w:rsidRPr="00615153">
              <w:rPr>
                <w:rFonts w:cs="Arial"/>
                <w:sz w:val="20"/>
                <w:lang w:val="en-GB"/>
              </w:rPr>
              <w:t xml:space="preserve"> platform such as DTT are that it can afford a range of other content, </w:t>
            </w:r>
            <w:r>
              <w:rPr>
                <w:rFonts w:cs="Arial"/>
                <w:sz w:val="20"/>
                <w:lang w:val="en-GB"/>
              </w:rPr>
              <w:t>(</w:t>
            </w:r>
            <w:r w:rsidRPr="00615153">
              <w:rPr>
                <w:rFonts w:cs="Arial"/>
                <w:sz w:val="20"/>
                <w:lang w:val="en-GB"/>
              </w:rPr>
              <w:t xml:space="preserve">i.e. </w:t>
            </w:r>
            <w:r>
              <w:rPr>
                <w:rFonts w:cs="Arial"/>
                <w:sz w:val="20"/>
                <w:lang w:val="en-GB"/>
              </w:rPr>
              <w:t>non</w:t>
            </w:r>
            <w:r w:rsidRPr="00615153">
              <w:rPr>
                <w:rFonts w:cs="Arial"/>
                <w:sz w:val="20"/>
                <w:lang w:val="en-GB"/>
              </w:rPr>
              <w:t xml:space="preserve"> PSB</w:t>
            </w:r>
            <w:r>
              <w:rPr>
                <w:rFonts w:cs="Arial"/>
                <w:sz w:val="20"/>
                <w:lang w:val="en-GB"/>
              </w:rPr>
              <w:t>)</w:t>
            </w:r>
            <w:r w:rsidRPr="00615153">
              <w:rPr>
                <w:rFonts w:cs="Arial"/>
                <w:sz w:val="20"/>
                <w:lang w:val="en-GB"/>
              </w:rPr>
              <w:t>, that offers enhanced diversity and choice and sustains platform innovation and ultimately competition</w:t>
            </w:r>
            <w:r>
              <w:rPr>
                <w:rFonts w:cs="Arial"/>
                <w:sz w:val="20"/>
                <w:lang w:val="en-GB"/>
              </w:rPr>
              <w:t>.</w:t>
            </w:r>
          </w:p>
          <w:p w:rsidR="00F34181" w:rsidRPr="00AD431E" w:rsidRDefault="00B37817" w:rsidP="00F34181">
            <w:pPr>
              <w:rPr>
                <w:rFonts w:cs="Arial"/>
                <w:sz w:val="20"/>
                <w:lang w:val="en-GB" w:eastAsia="en-GB"/>
              </w:rPr>
            </w:pPr>
            <w:r w:rsidRPr="00AD431E">
              <w:rPr>
                <w:rFonts w:cs="Arial"/>
                <w:sz w:val="20"/>
                <w:lang w:val="en-GB"/>
              </w:rPr>
              <w:t xml:space="preserve">The purpose of this contribution is to provide to the TG6 a general overview on the </w:t>
            </w:r>
            <w:r w:rsidR="00F34181" w:rsidRPr="00AD431E">
              <w:rPr>
                <w:rFonts w:cs="Arial"/>
                <w:sz w:val="20"/>
                <w:lang w:val="en-GB"/>
              </w:rPr>
              <w:t xml:space="preserve">current role of the terrestrial broadcast platform in generating </w:t>
            </w:r>
            <w:r w:rsidR="00F34181" w:rsidRPr="00AD431E">
              <w:rPr>
                <w:rFonts w:cs="Arial"/>
                <w:sz w:val="20"/>
                <w:lang w:val="en-GB" w:eastAsia="en-GB"/>
              </w:rPr>
              <w:t xml:space="preserve">social and economic benefits which cannot be easily replicated on other platform. These features of the terrestrial broadcast platform should serve as a benchmark for evaluating future scenarios for the UHF band. </w:t>
            </w:r>
          </w:p>
          <w:p w:rsidR="00B37817" w:rsidRPr="00AD431E" w:rsidRDefault="00F34181" w:rsidP="00F34181">
            <w:pPr>
              <w:rPr>
                <w:rFonts w:asciiTheme="minorHAnsi" w:hAnsiTheme="minorHAnsi"/>
                <w:sz w:val="24"/>
                <w:szCs w:val="24"/>
                <w:lang w:val="en-GB"/>
              </w:rPr>
            </w:pPr>
            <w:proofErr w:type="gramStart"/>
            <w:r w:rsidRPr="00AD431E">
              <w:rPr>
                <w:rFonts w:cs="Arial"/>
                <w:sz w:val="20"/>
                <w:lang w:val="en-GB" w:eastAsia="en-GB"/>
              </w:rPr>
              <w:t>in</w:t>
            </w:r>
            <w:proofErr w:type="gramEnd"/>
            <w:r w:rsidRPr="00AD431E">
              <w:rPr>
                <w:rFonts w:cs="Arial"/>
                <w:sz w:val="20"/>
                <w:lang w:val="en-GB" w:eastAsia="en-GB"/>
              </w:rPr>
              <w:t xml:space="preserve"> addition, it is important for any future scenario to take into account the specific requirements of public service media organisations.</w:t>
            </w:r>
          </w:p>
        </w:tc>
      </w:tr>
      <w:tr w:rsidR="001E0E49" w:rsidRPr="00AD431E" w:rsidTr="00ED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498" w:type="dxa"/>
            <w:gridSpan w:val="4"/>
            <w:tcBorders>
              <w:bottom w:val="nil"/>
            </w:tcBorders>
          </w:tcPr>
          <w:p w:rsidR="001E0E49" w:rsidRPr="00AD431E" w:rsidRDefault="001E0E49" w:rsidP="003B3358">
            <w:pPr>
              <w:pStyle w:val="Header2"/>
              <w:spacing w:before="120" w:after="120"/>
              <w:rPr>
                <w:rFonts w:asciiTheme="minorHAnsi" w:hAnsiTheme="minorHAnsi"/>
                <w:sz w:val="24"/>
                <w:szCs w:val="24"/>
                <w:lang w:val="en-GB"/>
              </w:rPr>
            </w:pPr>
            <w:r w:rsidRPr="00AD431E">
              <w:rPr>
                <w:rFonts w:asciiTheme="minorHAnsi" w:hAnsiTheme="minorHAnsi"/>
                <w:sz w:val="24"/>
                <w:szCs w:val="24"/>
                <w:lang w:val="en-GB"/>
              </w:rPr>
              <w:t xml:space="preserve">Proposal: </w:t>
            </w:r>
          </w:p>
        </w:tc>
      </w:tr>
      <w:tr w:rsidR="001E0E49" w:rsidRPr="00AD431E" w:rsidTr="00ED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498" w:type="dxa"/>
            <w:gridSpan w:val="4"/>
            <w:tcBorders>
              <w:top w:val="nil"/>
              <w:bottom w:val="single" w:sz="4" w:space="0" w:color="auto"/>
            </w:tcBorders>
          </w:tcPr>
          <w:p w:rsidR="001E0E49" w:rsidRPr="00AD431E" w:rsidRDefault="00B37817" w:rsidP="00ED51E3">
            <w:pPr>
              <w:rPr>
                <w:rFonts w:cs="Arial"/>
                <w:sz w:val="20"/>
                <w:lang w:val="en-GB"/>
              </w:rPr>
            </w:pPr>
            <w:r w:rsidRPr="00AD431E">
              <w:rPr>
                <w:rFonts w:cs="Arial"/>
                <w:sz w:val="20"/>
                <w:lang w:val="en-GB"/>
              </w:rPr>
              <w:t>It is proposed to include the information provided in this document in</w:t>
            </w:r>
            <w:r w:rsidR="00ED51E3" w:rsidRPr="00AD431E">
              <w:rPr>
                <w:rFonts w:cs="Arial"/>
                <w:sz w:val="20"/>
                <w:lang w:val="en-GB"/>
              </w:rPr>
              <w:t xml:space="preserve"> Chapter 4 of</w:t>
            </w:r>
            <w:r w:rsidRPr="00AD431E">
              <w:rPr>
                <w:rFonts w:cs="Arial"/>
                <w:sz w:val="20"/>
                <w:lang w:val="en-GB"/>
              </w:rPr>
              <w:t xml:space="preserve"> the </w:t>
            </w:r>
            <w:r w:rsidR="00A26C98" w:rsidRPr="00AD431E">
              <w:rPr>
                <w:rFonts w:cs="Arial"/>
                <w:sz w:val="20"/>
                <w:lang w:val="en-GB"/>
              </w:rPr>
              <w:t>draft ECC</w:t>
            </w:r>
            <w:r w:rsidRPr="00AD431E">
              <w:rPr>
                <w:rFonts w:cs="Arial"/>
                <w:sz w:val="20"/>
                <w:lang w:val="en-GB"/>
              </w:rPr>
              <w:t xml:space="preserve"> Report </w:t>
            </w:r>
            <w:r w:rsidR="00A26C98" w:rsidRPr="00AD431E">
              <w:rPr>
                <w:rFonts w:cs="Arial"/>
                <w:sz w:val="20"/>
                <w:lang w:val="en-GB"/>
              </w:rPr>
              <w:t>on a Long Term Vision for the UHF broadcasting band.</w:t>
            </w:r>
          </w:p>
        </w:tc>
      </w:tr>
      <w:tr w:rsidR="001E0E49" w:rsidRPr="00AD431E" w:rsidTr="00ED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498" w:type="dxa"/>
            <w:gridSpan w:val="4"/>
            <w:tcBorders>
              <w:bottom w:val="nil"/>
            </w:tcBorders>
          </w:tcPr>
          <w:p w:rsidR="001E0E49" w:rsidRPr="00AD431E" w:rsidRDefault="00F53959" w:rsidP="003B3358">
            <w:pPr>
              <w:pStyle w:val="Header2"/>
              <w:spacing w:before="120" w:after="120"/>
              <w:rPr>
                <w:rFonts w:asciiTheme="minorHAnsi" w:hAnsiTheme="minorHAnsi"/>
                <w:sz w:val="24"/>
                <w:szCs w:val="24"/>
                <w:lang w:val="en-GB"/>
              </w:rPr>
            </w:pPr>
            <w:r w:rsidRPr="00AD431E">
              <w:rPr>
                <w:rFonts w:asciiTheme="minorHAnsi" w:hAnsiTheme="minorHAnsi"/>
                <w:sz w:val="24"/>
                <w:szCs w:val="24"/>
                <w:lang w:val="en-GB"/>
              </w:rPr>
              <w:t>Background:</w:t>
            </w:r>
          </w:p>
        </w:tc>
      </w:tr>
      <w:tr w:rsidR="001E0E49" w:rsidRPr="00AD431E" w:rsidTr="00ED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498" w:type="dxa"/>
            <w:gridSpan w:val="4"/>
            <w:tcBorders>
              <w:top w:val="nil"/>
              <w:bottom w:val="single" w:sz="4" w:space="0" w:color="auto"/>
            </w:tcBorders>
          </w:tcPr>
          <w:p w:rsidR="001E0E49" w:rsidRPr="00AD431E" w:rsidRDefault="008F3C35" w:rsidP="00E129B2">
            <w:pPr>
              <w:rPr>
                <w:rFonts w:cs="Arial"/>
                <w:bCs/>
                <w:sz w:val="20"/>
                <w:lang w:val="en-GB"/>
              </w:rPr>
            </w:pPr>
            <w:r w:rsidRPr="00AD431E">
              <w:rPr>
                <w:rFonts w:cs="Arial"/>
                <w:bCs/>
                <w:sz w:val="20"/>
                <w:lang w:val="en-GB"/>
              </w:rPr>
              <w:t xml:space="preserve">In developing a long term vision for the UHF broadcasting band the ECC TG6 is required to </w:t>
            </w:r>
            <w:r w:rsidR="00E129B2" w:rsidRPr="00AD431E">
              <w:rPr>
                <w:rFonts w:cs="Arial"/>
                <w:bCs/>
                <w:sz w:val="20"/>
                <w:lang w:val="en-GB"/>
              </w:rPr>
              <w:t>take into account economic, social and cultural issues related to the future scenarios.</w:t>
            </w:r>
          </w:p>
        </w:tc>
      </w:tr>
    </w:tbl>
    <w:p w:rsidR="001E7185" w:rsidRDefault="001E7185" w:rsidP="00DE5E01">
      <w:pPr>
        <w:rPr>
          <w:rFonts w:asciiTheme="minorHAnsi" w:hAnsiTheme="minorHAnsi"/>
          <w:sz w:val="24"/>
          <w:szCs w:val="24"/>
          <w:lang w:val="en-GB"/>
        </w:rPr>
      </w:pPr>
    </w:p>
    <w:p w:rsidR="00615153" w:rsidRPr="00AD431E" w:rsidRDefault="00615153" w:rsidP="00DE5E01">
      <w:pPr>
        <w:rPr>
          <w:rFonts w:asciiTheme="minorHAnsi" w:hAnsiTheme="minorHAnsi"/>
          <w:sz w:val="24"/>
          <w:szCs w:val="24"/>
          <w:lang w:val="en-GB"/>
        </w:rPr>
      </w:pPr>
    </w:p>
    <w:p w:rsidR="001E7185" w:rsidRPr="00AD431E" w:rsidRDefault="001E7185" w:rsidP="001E7185">
      <w:pPr>
        <w:pageBreakBefore/>
        <w:spacing w:after="0"/>
        <w:rPr>
          <w:rFonts w:cs="Arial"/>
          <w:sz w:val="20"/>
          <w:lang w:val="en-GB"/>
        </w:rPr>
      </w:pPr>
      <w:r w:rsidRPr="00AD431E">
        <w:rPr>
          <w:rFonts w:cs="Arial"/>
          <w:noProof/>
          <w:sz w:val="20"/>
          <w:lang w:val="pt-PT" w:eastAsia="pt-PT"/>
        </w:rPr>
        <w:lastRenderedPageBreak/>
        <w:drawing>
          <wp:inline distT="0" distB="0" distL="0" distR="0">
            <wp:extent cx="3126105" cy="563245"/>
            <wp:effectExtent l="19050" t="0" r="0" b="0"/>
            <wp:docPr id="2" name="Picture 1" descr="EBU_vision&amp;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vision&amp;radio"/>
                    <pic:cNvPicPr>
                      <a:picLocks noChangeAspect="1" noChangeArrowheads="1"/>
                    </pic:cNvPicPr>
                  </pic:nvPicPr>
                  <pic:blipFill>
                    <a:blip r:embed="rId8" cstate="print"/>
                    <a:srcRect/>
                    <a:stretch>
                      <a:fillRect/>
                    </a:stretch>
                  </pic:blipFill>
                  <pic:spPr bwMode="auto">
                    <a:xfrm>
                      <a:off x="0" y="0"/>
                      <a:ext cx="3126105" cy="563245"/>
                    </a:xfrm>
                    <a:prstGeom prst="rect">
                      <a:avLst/>
                    </a:prstGeom>
                    <a:noFill/>
                  </pic:spPr>
                </pic:pic>
              </a:graphicData>
            </a:graphic>
          </wp:inline>
        </w:drawing>
      </w:r>
    </w:p>
    <w:p w:rsidR="001E7185" w:rsidRPr="00AD431E" w:rsidRDefault="001E7185" w:rsidP="001E7185">
      <w:pPr>
        <w:spacing w:after="0"/>
        <w:rPr>
          <w:rFonts w:cs="Arial"/>
          <w:sz w:val="20"/>
          <w:highlight w:val="yellow"/>
          <w:u w:val="single"/>
          <w:lang w:val="en-GB"/>
        </w:rPr>
      </w:pPr>
    </w:p>
    <w:p w:rsidR="005E42AC" w:rsidRPr="00AD431E" w:rsidRDefault="005E42AC" w:rsidP="001E7185">
      <w:pPr>
        <w:spacing w:after="0"/>
        <w:rPr>
          <w:rFonts w:cs="Arial"/>
          <w:sz w:val="20"/>
          <w:highlight w:val="yellow"/>
          <w:u w:val="single"/>
          <w:lang w:val="en-GB"/>
        </w:rPr>
      </w:pPr>
    </w:p>
    <w:p w:rsidR="005E42AC" w:rsidRPr="00AD431E" w:rsidRDefault="005E42AC" w:rsidP="005E42AC">
      <w:pPr>
        <w:pStyle w:val="Default"/>
        <w:ind w:left="284" w:hanging="284"/>
        <w:rPr>
          <w:rFonts w:ascii="Arial" w:hAnsi="Arial" w:cs="Arial"/>
          <w:color w:val="auto"/>
        </w:rPr>
      </w:pPr>
      <w:r w:rsidRPr="00AD431E">
        <w:rPr>
          <w:rFonts w:ascii="Arial" w:hAnsi="Arial" w:cs="Arial"/>
          <w:b/>
          <w:bCs/>
          <w:color w:val="auto"/>
        </w:rPr>
        <w:t>1</w:t>
      </w:r>
      <w:r w:rsidRPr="00AD431E">
        <w:rPr>
          <w:rFonts w:ascii="Arial" w:hAnsi="Arial" w:cs="Arial"/>
          <w:b/>
          <w:bCs/>
          <w:color w:val="auto"/>
        </w:rPr>
        <w:tab/>
        <w:t>The current role of the terrestrial broadcast platform</w:t>
      </w:r>
    </w:p>
    <w:p w:rsidR="005E42AC" w:rsidRPr="00AD431E" w:rsidRDefault="005E42AC" w:rsidP="00615153">
      <w:pPr>
        <w:autoSpaceDE w:val="0"/>
        <w:autoSpaceDN w:val="0"/>
        <w:adjustRightInd w:val="0"/>
        <w:spacing w:before="80" w:after="0"/>
        <w:rPr>
          <w:rFonts w:cs="Arial"/>
          <w:sz w:val="20"/>
          <w:lang w:val="en-GB" w:eastAsia="en-GB"/>
        </w:rPr>
      </w:pPr>
      <w:r w:rsidRPr="00AD431E">
        <w:rPr>
          <w:rFonts w:cs="Arial"/>
          <w:sz w:val="20"/>
          <w:lang w:val="en-GB"/>
        </w:rPr>
        <w:t xml:space="preserve">In many CEPT countries the terrestrial broadcast platform is the primary means of delivering broadcast services. </w:t>
      </w:r>
      <w:r w:rsidR="006B4BEB">
        <w:rPr>
          <w:rFonts w:cs="Arial"/>
          <w:sz w:val="20"/>
          <w:lang w:val="en-GB"/>
        </w:rPr>
        <w:t>T</w:t>
      </w:r>
      <w:r w:rsidRPr="00AD431E">
        <w:rPr>
          <w:rFonts w:cs="Arial"/>
          <w:sz w:val="20"/>
          <w:lang w:val="en-GB"/>
        </w:rPr>
        <w:t>he terrestrial broadcast coverage often exceeds 98% of the population and free-to-air access to Public Service Broadcasting is mandatory.</w:t>
      </w:r>
      <w:r w:rsidRPr="00AD431E">
        <w:rPr>
          <w:rFonts w:cs="Arial"/>
          <w:sz w:val="20"/>
          <w:lang w:val="en-GB" w:eastAsia="en-GB"/>
        </w:rPr>
        <w:t xml:space="preserve"> Indeed, in many countries there is a deep-rooted expectation by the members of the public that free-to-air broadcast services are universally available, i.e. via terrestrial networks.</w:t>
      </w:r>
    </w:p>
    <w:p w:rsidR="005E42AC" w:rsidRPr="00AD431E" w:rsidRDefault="005E42AC" w:rsidP="00615153">
      <w:pPr>
        <w:pStyle w:val="Default"/>
        <w:spacing w:before="60"/>
        <w:jc w:val="both"/>
        <w:rPr>
          <w:rFonts w:ascii="Arial" w:hAnsi="Arial" w:cs="Arial"/>
          <w:sz w:val="20"/>
          <w:szCs w:val="20"/>
        </w:rPr>
      </w:pPr>
      <w:r w:rsidRPr="00AD431E">
        <w:rPr>
          <w:rFonts w:ascii="Arial" w:hAnsi="Arial" w:cs="Arial"/>
          <w:color w:val="auto"/>
          <w:sz w:val="20"/>
          <w:szCs w:val="20"/>
        </w:rPr>
        <w:t>Even in countries where cable, satellite or broadband platforms hold a significant market share, terrestrial broadcasting is regarded, alongside these other platforms, as an essential, flexible, reliable and cost-effective way of delivering broadcast content to a mass audience. This is facilitated by the fact that most European households are suitably equipped to receive free-to-air radio and television services without any subscription.</w:t>
      </w:r>
      <w:r w:rsidR="006B4BEB">
        <w:rPr>
          <w:rFonts w:ascii="Arial" w:hAnsi="Arial" w:cs="Arial"/>
          <w:sz w:val="20"/>
          <w:szCs w:val="20"/>
        </w:rPr>
        <w:t xml:space="preserve"> T</w:t>
      </w:r>
      <w:r w:rsidRPr="00AD431E">
        <w:rPr>
          <w:rFonts w:ascii="Arial" w:hAnsi="Arial" w:cs="Arial"/>
          <w:sz w:val="20"/>
          <w:szCs w:val="20"/>
        </w:rPr>
        <w:t xml:space="preserve">he terrestrial platform has the largest base of installed receivers and is the principal broadcast platform for free-to-air services and with a potentially universal reach. According </w:t>
      </w:r>
      <w:r w:rsidR="006B4BEB">
        <w:rPr>
          <w:rFonts w:ascii="Arial" w:hAnsi="Arial" w:cs="Arial"/>
          <w:sz w:val="20"/>
          <w:szCs w:val="20"/>
        </w:rPr>
        <w:t xml:space="preserve">to </w:t>
      </w:r>
      <w:r w:rsidRPr="00AD431E">
        <w:rPr>
          <w:rFonts w:ascii="Arial" w:hAnsi="Arial" w:cs="Arial"/>
          <w:sz w:val="20"/>
          <w:szCs w:val="20"/>
        </w:rPr>
        <w:t xml:space="preserve">the </w:t>
      </w:r>
      <w:proofErr w:type="spellStart"/>
      <w:r w:rsidRPr="00AD431E">
        <w:rPr>
          <w:rFonts w:ascii="Arial" w:hAnsi="Arial" w:cs="Arial"/>
          <w:sz w:val="20"/>
          <w:szCs w:val="20"/>
        </w:rPr>
        <w:t>Eurobarometer</w:t>
      </w:r>
      <w:proofErr w:type="spellEnd"/>
      <w:r w:rsidRPr="00AD431E">
        <w:rPr>
          <w:rFonts w:ascii="Arial" w:hAnsi="Arial" w:cs="Arial"/>
          <w:sz w:val="20"/>
          <w:szCs w:val="20"/>
        </w:rPr>
        <w:t xml:space="preserve"> 396</w:t>
      </w:r>
      <w:r w:rsidRPr="00AD431E">
        <w:rPr>
          <w:rStyle w:val="FootnoteReference"/>
          <w:rFonts w:ascii="Arial" w:hAnsi="Arial" w:cs="Arial"/>
          <w:szCs w:val="16"/>
        </w:rPr>
        <w:footnoteReference w:id="1"/>
      </w:r>
      <w:r w:rsidRPr="00AD431E">
        <w:rPr>
          <w:rFonts w:ascii="Arial" w:hAnsi="Arial" w:cs="Arial"/>
          <w:sz w:val="16"/>
          <w:szCs w:val="16"/>
        </w:rPr>
        <w:t xml:space="preserve"> </w:t>
      </w:r>
      <w:r w:rsidRPr="00AD431E">
        <w:rPr>
          <w:rFonts w:ascii="Arial" w:hAnsi="Arial" w:cs="Arial"/>
          <w:sz w:val="20"/>
          <w:szCs w:val="20"/>
        </w:rPr>
        <w:t>around 46% of the EU households in 2013 rely on the terrestrial broadcast networks for receiving TV services. Any large-scale migration to another distribution platform would result in significant costs for the public and these cost implications must be addressed if such</w:t>
      </w:r>
      <w:r w:rsidR="00615153">
        <w:rPr>
          <w:rFonts w:ascii="Arial" w:hAnsi="Arial" w:cs="Arial"/>
          <w:sz w:val="20"/>
          <w:szCs w:val="20"/>
        </w:rPr>
        <w:t xml:space="preserve"> migration is to be considered.</w:t>
      </w:r>
    </w:p>
    <w:p w:rsidR="005E42AC" w:rsidRPr="00AD431E" w:rsidRDefault="005E42AC" w:rsidP="00615153">
      <w:pPr>
        <w:autoSpaceDE w:val="0"/>
        <w:autoSpaceDN w:val="0"/>
        <w:adjustRightInd w:val="0"/>
        <w:spacing w:before="60" w:after="0"/>
        <w:rPr>
          <w:rFonts w:cs="Arial"/>
          <w:sz w:val="20"/>
          <w:lang w:val="en-GB" w:eastAsia="en-GB"/>
        </w:rPr>
      </w:pPr>
      <w:r w:rsidRPr="00AD431E">
        <w:rPr>
          <w:rFonts w:cs="Arial"/>
          <w:sz w:val="20"/>
          <w:lang w:val="en-GB" w:eastAsia="en-GB"/>
        </w:rPr>
        <w:t>Terrestrial TV services in Europe are subject to audiovisual media regulation and normally require individual authorisation. This gives the national media authorities an important tool for the implementation of general interest, social and cultural policy objectives whereby providing an essential outlet for the European creative content. On other platforms the major content providers and market players often come from outside Europe.</w:t>
      </w:r>
    </w:p>
    <w:p w:rsidR="005E42AC" w:rsidRDefault="005E42AC" w:rsidP="00615153">
      <w:pPr>
        <w:autoSpaceDE w:val="0"/>
        <w:autoSpaceDN w:val="0"/>
        <w:adjustRightInd w:val="0"/>
        <w:spacing w:before="60" w:after="0"/>
        <w:rPr>
          <w:rFonts w:cs="Arial"/>
          <w:sz w:val="20"/>
          <w:lang w:val="en-GB" w:eastAsia="en-GB"/>
        </w:rPr>
      </w:pPr>
      <w:r w:rsidRPr="00AD431E">
        <w:rPr>
          <w:rFonts w:cs="Arial"/>
          <w:sz w:val="20"/>
          <w:lang w:val="en-GB" w:eastAsia="en-GB"/>
        </w:rPr>
        <w:t xml:space="preserve">Free-to-air access and near universal availability of DTT are also the key enablers of connected TV services to be provided to all European citizens without discrimination. This is essential to </w:t>
      </w:r>
      <w:proofErr w:type="gramStart"/>
      <w:r w:rsidRPr="00AD431E">
        <w:rPr>
          <w:rFonts w:cs="Arial"/>
          <w:sz w:val="20"/>
          <w:lang w:val="en-GB" w:eastAsia="en-GB"/>
        </w:rPr>
        <w:t>avoid  another</w:t>
      </w:r>
      <w:proofErr w:type="gramEnd"/>
      <w:r w:rsidRPr="00AD431E">
        <w:rPr>
          <w:rFonts w:cs="Arial"/>
          <w:sz w:val="20"/>
          <w:lang w:val="en-GB" w:eastAsia="en-GB"/>
        </w:rPr>
        <w:t xml:space="preserve"> digital divide - a digital TV divide.</w:t>
      </w:r>
    </w:p>
    <w:p w:rsidR="00615153" w:rsidRPr="00AD431E" w:rsidRDefault="00615153" w:rsidP="00615153">
      <w:pPr>
        <w:autoSpaceDE w:val="0"/>
        <w:autoSpaceDN w:val="0"/>
        <w:adjustRightInd w:val="0"/>
        <w:spacing w:before="80" w:after="0"/>
        <w:rPr>
          <w:rFonts w:cs="Arial"/>
          <w:sz w:val="20"/>
          <w:lang w:val="en-GB" w:eastAsia="en-GB"/>
        </w:rPr>
      </w:pPr>
      <w:r>
        <w:rPr>
          <w:rFonts w:cs="Arial"/>
          <w:sz w:val="20"/>
          <w:lang w:val="en-GB"/>
        </w:rPr>
        <w:t>T</w:t>
      </w:r>
      <w:r w:rsidRPr="00615153">
        <w:rPr>
          <w:rFonts w:cs="Arial"/>
          <w:sz w:val="20"/>
          <w:lang w:val="en-GB"/>
        </w:rPr>
        <w:t xml:space="preserve">he broader benefits of a </w:t>
      </w:r>
      <w:r>
        <w:rPr>
          <w:rFonts w:cs="Arial"/>
          <w:sz w:val="20"/>
          <w:lang w:val="en-GB"/>
        </w:rPr>
        <w:t>free-to-air</w:t>
      </w:r>
      <w:r w:rsidRPr="00615153">
        <w:rPr>
          <w:rFonts w:cs="Arial"/>
          <w:sz w:val="20"/>
          <w:lang w:val="en-GB"/>
        </w:rPr>
        <w:t xml:space="preserve"> platform such as DTT are that it can afford a range of other content, </w:t>
      </w:r>
      <w:r>
        <w:rPr>
          <w:rFonts w:cs="Arial"/>
          <w:sz w:val="20"/>
          <w:lang w:val="en-GB"/>
        </w:rPr>
        <w:t>(</w:t>
      </w:r>
      <w:r w:rsidRPr="00615153">
        <w:rPr>
          <w:rFonts w:cs="Arial"/>
          <w:sz w:val="20"/>
          <w:lang w:val="en-GB"/>
        </w:rPr>
        <w:t xml:space="preserve">i.e. </w:t>
      </w:r>
      <w:r>
        <w:rPr>
          <w:rFonts w:cs="Arial"/>
          <w:sz w:val="20"/>
          <w:lang w:val="en-GB"/>
        </w:rPr>
        <w:t>non</w:t>
      </w:r>
      <w:r w:rsidRPr="00615153">
        <w:rPr>
          <w:rFonts w:cs="Arial"/>
          <w:sz w:val="20"/>
          <w:lang w:val="en-GB"/>
        </w:rPr>
        <w:t xml:space="preserve"> PSB</w:t>
      </w:r>
      <w:r>
        <w:rPr>
          <w:rFonts w:cs="Arial"/>
          <w:sz w:val="20"/>
          <w:lang w:val="en-GB"/>
        </w:rPr>
        <w:t>)</w:t>
      </w:r>
      <w:r w:rsidRPr="00615153">
        <w:rPr>
          <w:rFonts w:cs="Arial"/>
          <w:sz w:val="20"/>
          <w:lang w:val="en-GB"/>
        </w:rPr>
        <w:t>, that offers enhanced diversity and choice and sustains platform innovation and ultimately competition</w:t>
      </w:r>
      <w:r>
        <w:rPr>
          <w:rFonts w:cs="Arial"/>
          <w:sz w:val="20"/>
          <w:lang w:val="en-GB"/>
        </w:rPr>
        <w:t>.</w:t>
      </w:r>
    </w:p>
    <w:p w:rsidR="005E42AC" w:rsidRPr="00AD431E" w:rsidRDefault="005E42AC" w:rsidP="00615153">
      <w:pPr>
        <w:autoSpaceDE w:val="0"/>
        <w:autoSpaceDN w:val="0"/>
        <w:adjustRightInd w:val="0"/>
        <w:spacing w:before="60" w:after="0"/>
        <w:rPr>
          <w:rFonts w:cs="Arial"/>
          <w:sz w:val="20"/>
          <w:lang w:val="en-GB" w:eastAsia="en-GB"/>
        </w:rPr>
      </w:pPr>
      <w:r w:rsidRPr="00AD431E">
        <w:rPr>
          <w:rFonts w:cs="Arial"/>
          <w:sz w:val="20"/>
          <w:lang w:val="en-GB" w:eastAsia="en-GB"/>
        </w:rPr>
        <w:t>As a result, the terrestrial broadcasting platform generates significant social and economic benefits</w:t>
      </w:r>
      <w:r w:rsidRPr="00AD431E">
        <w:rPr>
          <w:rStyle w:val="FootnoteReference"/>
          <w:rFonts w:cs="Arial"/>
          <w:szCs w:val="16"/>
          <w:lang w:val="en-GB" w:eastAsia="en-GB"/>
        </w:rPr>
        <w:footnoteReference w:id="2"/>
      </w:r>
      <w:r w:rsidRPr="00AD431E">
        <w:rPr>
          <w:rFonts w:cs="Arial"/>
          <w:sz w:val="16"/>
          <w:szCs w:val="16"/>
          <w:lang w:val="en-GB" w:eastAsia="en-GB"/>
        </w:rPr>
        <w:t xml:space="preserve"> </w:t>
      </w:r>
      <w:r w:rsidRPr="00AD431E">
        <w:rPr>
          <w:rFonts w:cs="Arial"/>
          <w:sz w:val="20"/>
          <w:lang w:val="en-GB" w:eastAsia="en-GB"/>
        </w:rPr>
        <w:t>which cannot be replicated on any other platform without very large investments and complex, expensive and disruptive migration of DTT households. It is therefore in the interest of both the broadcasting industry and society as a whole that the terrestrial broadcasting platform remains attractive for viewers and listeners and a viable alternative to other delivery platforms.</w:t>
      </w:r>
    </w:p>
    <w:p w:rsidR="005E42AC" w:rsidRPr="00AD431E" w:rsidRDefault="005E42AC" w:rsidP="00615153">
      <w:pPr>
        <w:autoSpaceDE w:val="0"/>
        <w:autoSpaceDN w:val="0"/>
        <w:adjustRightInd w:val="0"/>
        <w:spacing w:before="80" w:after="0"/>
        <w:rPr>
          <w:rFonts w:cs="Arial"/>
          <w:sz w:val="20"/>
          <w:lang w:val="en-GB" w:eastAsia="en-GB"/>
        </w:rPr>
      </w:pPr>
      <w:r w:rsidRPr="00AD431E">
        <w:rPr>
          <w:rFonts w:cs="Arial"/>
          <w:sz w:val="20"/>
          <w:lang w:val="en-GB" w:eastAsia="en-GB"/>
        </w:rPr>
        <w:t>Digital terrestrial TV (DTT) networks are optimised for the simultaneous delivery of audiovisual content and supplementary data services, to very large audiences. They are designed to achieve a specific coverage with pre-defined and sustained quality of service and a particular reception mode (e.g. roof-top fixed, mobile, portable indoor, handheld).</w:t>
      </w:r>
    </w:p>
    <w:p w:rsidR="005E42AC" w:rsidRPr="00AD431E" w:rsidRDefault="005E42AC" w:rsidP="00615153">
      <w:pPr>
        <w:autoSpaceDE w:val="0"/>
        <w:autoSpaceDN w:val="0"/>
        <w:adjustRightInd w:val="0"/>
        <w:spacing w:before="80" w:after="0"/>
        <w:rPr>
          <w:rFonts w:cs="Arial"/>
          <w:bCs/>
          <w:iCs/>
          <w:sz w:val="20"/>
          <w:lang w:val="en-GB" w:eastAsia="en-GB"/>
        </w:rPr>
      </w:pPr>
      <w:r w:rsidRPr="00AD431E">
        <w:rPr>
          <w:rFonts w:cs="Arial"/>
          <w:bCs/>
          <w:iCs/>
          <w:sz w:val="20"/>
          <w:lang w:val="en-GB" w:eastAsia="en-GB"/>
        </w:rPr>
        <w:t>DTT is a scalable and flexible delivery platform as it is capable of:</w:t>
      </w:r>
    </w:p>
    <w:p w:rsidR="005E42AC" w:rsidRPr="00AD431E" w:rsidRDefault="005E42AC" w:rsidP="005E42AC">
      <w:pPr>
        <w:numPr>
          <w:ilvl w:val="0"/>
          <w:numId w:val="18"/>
        </w:numPr>
        <w:autoSpaceDE w:val="0"/>
        <w:autoSpaceDN w:val="0"/>
        <w:adjustRightInd w:val="0"/>
        <w:spacing w:after="0"/>
        <w:jc w:val="left"/>
        <w:rPr>
          <w:rFonts w:cs="Arial"/>
          <w:sz w:val="20"/>
          <w:lang w:val="en-GB" w:eastAsia="en-GB"/>
        </w:rPr>
      </w:pPr>
      <w:r w:rsidRPr="00AD431E">
        <w:rPr>
          <w:rFonts w:eastAsia="SymbolMT" w:cs="Arial"/>
          <w:sz w:val="20"/>
          <w:lang w:val="en-GB" w:eastAsia="en-GB"/>
        </w:rPr>
        <w:t>adjusting the transmission parameter</w:t>
      </w:r>
      <w:r w:rsidR="006B4BEB">
        <w:rPr>
          <w:rFonts w:eastAsia="SymbolMT" w:cs="Arial"/>
          <w:sz w:val="20"/>
          <w:lang w:val="en-GB" w:eastAsia="en-GB"/>
        </w:rPr>
        <w:t>s</w:t>
      </w:r>
      <w:r w:rsidRPr="00AD431E">
        <w:rPr>
          <w:rFonts w:eastAsia="SymbolMT" w:cs="Arial"/>
          <w:sz w:val="20"/>
          <w:lang w:val="en-GB" w:eastAsia="en-GB"/>
        </w:rPr>
        <w:t xml:space="preserve"> according to a desired </w:t>
      </w:r>
      <w:r w:rsidRPr="00AD431E">
        <w:rPr>
          <w:rFonts w:cs="Arial"/>
          <w:sz w:val="20"/>
          <w:lang w:val="en-GB" w:eastAsia="en-GB"/>
        </w:rPr>
        <w:t>reception mode (i.e. roof-top fixed, mobile, portable indoor, or handheld);</w:t>
      </w:r>
    </w:p>
    <w:p w:rsidR="005E42AC" w:rsidRPr="00AD431E" w:rsidRDefault="005E42AC" w:rsidP="005E42AC">
      <w:pPr>
        <w:numPr>
          <w:ilvl w:val="0"/>
          <w:numId w:val="18"/>
        </w:numPr>
        <w:autoSpaceDE w:val="0"/>
        <w:autoSpaceDN w:val="0"/>
        <w:adjustRightInd w:val="0"/>
        <w:spacing w:after="0"/>
        <w:jc w:val="left"/>
        <w:rPr>
          <w:rFonts w:cs="Arial"/>
          <w:sz w:val="20"/>
          <w:lang w:val="en-GB" w:eastAsia="en-GB"/>
        </w:rPr>
      </w:pPr>
      <w:r w:rsidRPr="00AD431E">
        <w:rPr>
          <w:rFonts w:cs="Arial"/>
          <w:sz w:val="20"/>
          <w:lang w:val="en-GB" w:eastAsia="en-GB"/>
        </w:rPr>
        <w:t>adjusting coverage to the desired service area (nationwide but also regional or local coverage), based on the editorial, legal, political or commercial requirements</w:t>
      </w:r>
    </w:p>
    <w:p w:rsidR="005E42AC" w:rsidRPr="00AD431E" w:rsidRDefault="005E42AC" w:rsidP="005E42AC">
      <w:pPr>
        <w:numPr>
          <w:ilvl w:val="0"/>
          <w:numId w:val="18"/>
        </w:numPr>
        <w:autoSpaceDE w:val="0"/>
        <w:autoSpaceDN w:val="0"/>
        <w:adjustRightInd w:val="0"/>
        <w:spacing w:after="0"/>
        <w:jc w:val="left"/>
        <w:rPr>
          <w:rFonts w:cs="Arial"/>
          <w:sz w:val="20"/>
          <w:lang w:val="en-GB" w:eastAsia="en-GB"/>
        </w:rPr>
      </w:pPr>
      <w:r w:rsidRPr="00AD431E">
        <w:rPr>
          <w:rFonts w:cs="Arial"/>
          <w:sz w:val="20"/>
          <w:lang w:val="en-GB" w:eastAsia="en-GB"/>
        </w:rPr>
        <w:t>offering a range of services and quality levels (e.g. SDTV, HDTV, eventually also UHDTV)</w:t>
      </w:r>
    </w:p>
    <w:p w:rsidR="005E42AC" w:rsidRPr="00AD431E" w:rsidRDefault="005E42AC" w:rsidP="005E42AC">
      <w:pPr>
        <w:numPr>
          <w:ilvl w:val="0"/>
          <w:numId w:val="18"/>
        </w:numPr>
        <w:autoSpaceDE w:val="0"/>
        <w:autoSpaceDN w:val="0"/>
        <w:adjustRightInd w:val="0"/>
        <w:spacing w:after="0"/>
        <w:jc w:val="left"/>
        <w:rPr>
          <w:rFonts w:cs="Arial"/>
          <w:sz w:val="20"/>
          <w:lang w:val="en-GB" w:eastAsia="en-GB"/>
        </w:rPr>
      </w:pPr>
      <w:r w:rsidRPr="00AD431E">
        <w:rPr>
          <w:rFonts w:eastAsia="SymbolMT" w:cs="Arial"/>
          <w:sz w:val="20"/>
          <w:lang w:val="en-GB" w:eastAsia="en-GB"/>
        </w:rPr>
        <w:t xml:space="preserve">supporting a variety of business models, both </w:t>
      </w:r>
      <w:r w:rsidRPr="00AD431E">
        <w:rPr>
          <w:rFonts w:cs="Arial"/>
          <w:sz w:val="20"/>
          <w:lang w:val="en-GB" w:eastAsia="en-GB"/>
        </w:rPr>
        <w:t>free-to-air and based on conditional access</w:t>
      </w:r>
    </w:p>
    <w:p w:rsidR="005E42AC" w:rsidRPr="00AD431E" w:rsidRDefault="005E42AC" w:rsidP="00615153">
      <w:pPr>
        <w:autoSpaceDE w:val="0"/>
        <w:autoSpaceDN w:val="0"/>
        <w:adjustRightInd w:val="0"/>
        <w:spacing w:before="80" w:after="0"/>
        <w:rPr>
          <w:rFonts w:cs="Arial"/>
          <w:sz w:val="20"/>
          <w:lang w:val="en-GB"/>
        </w:rPr>
      </w:pPr>
      <w:r w:rsidRPr="00AD431E">
        <w:rPr>
          <w:rFonts w:cs="Arial"/>
          <w:sz w:val="20"/>
          <w:lang w:val="en-GB" w:eastAsia="en-GB"/>
        </w:rPr>
        <w:t>The DTT networks in Europe are based on the DVB family of standards</w:t>
      </w:r>
      <w:r w:rsidR="006B4BEB">
        <w:rPr>
          <w:rFonts w:cs="Arial"/>
          <w:sz w:val="20"/>
          <w:lang w:val="en-GB" w:eastAsia="en-GB"/>
        </w:rPr>
        <w:t>.</w:t>
      </w:r>
      <w:r w:rsidRPr="00AD431E">
        <w:rPr>
          <w:rFonts w:cs="Arial"/>
          <w:sz w:val="20"/>
          <w:lang w:val="en-GB" w:eastAsia="en-GB"/>
        </w:rPr>
        <w:t xml:space="preserve"> DVB-T2 is currently the </w:t>
      </w:r>
      <w:r w:rsidR="006B4BEB">
        <w:rPr>
          <w:rFonts w:cs="Arial"/>
          <w:sz w:val="20"/>
          <w:lang w:val="en-GB" w:eastAsia="en-GB"/>
        </w:rPr>
        <w:br/>
      </w:r>
      <w:r w:rsidRPr="00AD431E">
        <w:rPr>
          <w:rFonts w:cs="Arial"/>
          <w:sz w:val="20"/>
          <w:lang w:val="en-GB" w:eastAsia="en-GB"/>
        </w:rPr>
        <w:t>state-of-the-art broadcast technology. Frequency arrangements and cross-border coordination issues are specified in the GE-06 Agreement and the associated Plan. Transmission networks are implemented according to national specifications.</w:t>
      </w:r>
    </w:p>
    <w:p w:rsidR="005E42AC" w:rsidRPr="00AD431E" w:rsidRDefault="005E42AC" w:rsidP="00615153">
      <w:pPr>
        <w:autoSpaceDE w:val="0"/>
        <w:autoSpaceDN w:val="0"/>
        <w:adjustRightInd w:val="0"/>
        <w:spacing w:before="60" w:after="0"/>
        <w:rPr>
          <w:rFonts w:cs="Arial"/>
          <w:sz w:val="20"/>
          <w:lang w:val="en-GB" w:eastAsia="en-GB"/>
        </w:rPr>
      </w:pPr>
      <w:r w:rsidRPr="00AD431E">
        <w:rPr>
          <w:rFonts w:cs="Arial"/>
          <w:sz w:val="20"/>
          <w:lang w:val="en-GB" w:eastAsia="en-GB"/>
        </w:rPr>
        <w:t xml:space="preserve">Terrestrial reception is cost efficient also for the public, largely because many European households are equipped with suitable receiving antennas. </w:t>
      </w:r>
    </w:p>
    <w:p w:rsidR="005E42AC" w:rsidRPr="00AD431E" w:rsidRDefault="005E42AC" w:rsidP="005E42AC">
      <w:pPr>
        <w:pStyle w:val="Default"/>
        <w:jc w:val="both"/>
        <w:rPr>
          <w:rFonts w:ascii="Arial" w:hAnsi="Arial" w:cs="Arial"/>
          <w:color w:val="auto"/>
          <w:sz w:val="20"/>
          <w:szCs w:val="20"/>
        </w:rPr>
      </w:pPr>
    </w:p>
    <w:p w:rsidR="005E42AC" w:rsidRPr="00AD431E" w:rsidRDefault="005E42AC" w:rsidP="005E42AC">
      <w:pPr>
        <w:pStyle w:val="Default"/>
        <w:ind w:left="284" w:hanging="284"/>
        <w:rPr>
          <w:rFonts w:ascii="Arial" w:hAnsi="Arial" w:cs="Arial"/>
          <w:b/>
          <w:color w:val="auto"/>
        </w:rPr>
      </w:pPr>
      <w:r w:rsidRPr="00AD431E">
        <w:rPr>
          <w:rFonts w:ascii="Arial" w:hAnsi="Arial" w:cs="Arial"/>
          <w:b/>
          <w:color w:val="auto"/>
        </w:rPr>
        <w:t>2</w:t>
      </w:r>
      <w:r w:rsidRPr="00AD431E">
        <w:rPr>
          <w:rFonts w:ascii="Arial" w:hAnsi="Arial" w:cs="Arial"/>
          <w:b/>
          <w:color w:val="auto"/>
        </w:rPr>
        <w:tab/>
        <w:t>Importance of the terrestrial broadcast platform for Public Service Broadcasters</w:t>
      </w:r>
    </w:p>
    <w:p w:rsidR="005E42AC" w:rsidRPr="00AD431E" w:rsidRDefault="005E42AC" w:rsidP="005E42AC">
      <w:pPr>
        <w:pStyle w:val="Default"/>
        <w:jc w:val="both"/>
        <w:rPr>
          <w:rFonts w:ascii="Arial" w:hAnsi="Arial" w:cs="Arial"/>
          <w:color w:val="auto"/>
          <w:sz w:val="20"/>
          <w:szCs w:val="20"/>
        </w:rPr>
      </w:pPr>
    </w:p>
    <w:p w:rsidR="005E42AC" w:rsidRPr="00AD431E" w:rsidRDefault="005E42AC" w:rsidP="005E42AC">
      <w:pPr>
        <w:pStyle w:val="Default"/>
        <w:jc w:val="both"/>
        <w:rPr>
          <w:rFonts w:ascii="Arial" w:hAnsi="Arial" w:cs="Arial"/>
          <w:color w:val="auto"/>
          <w:sz w:val="20"/>
          <w:szCs w:val="20"/>
        </w:rPr>
      </w:pPr>
      <w:r w:rsidRPr="00AD431E">
        <w:rPr>
          <w:rFonts w:ascii="Arial" w:hAnsi="Arial" w:cs="Arial"/>
          <w:color w:val="auto"/>
          <w:sz w:val="20"/>
          <w:szCs w:val="20"/>
        </w:rPr>
        <w:t xml:space="preserve">In most European countries Public Service Broadcasters (PSB) have a legal obligation to make their content and services universally and freely available to the whole </w:t>
      </w:r>
      <w:proofErr w:type="gramStart"/>
      <w:r w:rsidRPr="00AD431E">
        <w:rPr>
          <w:rFonts w:ascii="Arial" w:hAnsi="Arial" w:cs="Arial"/>
          <w:color w:val="auto"/>
          <w:sz w:val="20"/>
          <w:szCs w:val="20"/>
        </w:rPr>
        <w:t>population.</w:t>
      </w:r>
      <w:proofErr w:type="gramEnd"/>
      <w:r w:rsidRPr="00AD431E">
        <w:rPr>
          <w:rFonts w:ascii="Arial" w:hAnsi="Arial" w:cs="Arial"/>
          <w:color w:val="auto"/>
          <w:sz w:val="20"/>
          <w:szCs w:val="20"/>
        </w:rPr>
        <w:t xml:space="preserve"> It is therefore essential for the PSB to have unrestricted access to all relevant distribution platforms. In turn, any viable distribution option must fulfil a set of general requirements, including:</w:t>
      </w:r>
    </w:p>
    <w:p w:rsidR="005E42AC" w:rsidRPr="00AD431E" w:rsidRDefault="005E42AC" w:rsidP="005E42AC">
      <w:pPr>
        <w:pStyle w:val="ListParagraph"/>
        <w:numPr>
          <w:ilvl w:val="0"/>
          <w:numId w:val="16"/>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Possibility for free-to-air with no additional costs for the viewers and listeners</w:t>
      </w:r>
    </w:p>
    <w:p w:rsidR="005E42AC" w:rsidRPr="00AD431E" w:rsidRDefault="005E42AC" w:rsidP="005E42AC">
      <w:pPr>
        <w:pStyle w:val="ListParagraph"/>
        <w:numPr>
          <w:ilvl w:val="0"/>
          <w:numId w:val="16"/>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Delivery of services to the public without blocking or filtering the service offer (no 'gate keeping')</w:t>
      </w:r>
    </w:p>
    <w:p w:rsidR="005E42AC" w:rsidRPr="00AD431E" w:rsidRDefault="005E42AC" w:rsidP="005E42AC">
      <w:pPr>
        <w:pStyle w:val="ListParagraph"/>
        <w:numPr>
          <w:ilvl w:val="0"/>
          <w:numId w:val="16"/>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Preserving content and service integrity - no modification of content or service by third parties, e.g. TV content must be displayed on screen unaltered and without unauthorised overlays.</w:t>
      </w:r>
    </w:p>
    <w:p w:rsidR="005E42AC" w:rsidRPr="00AD431E" w:rsidRDefault="005E42AC" w:rsidP="005E42AC">
      <w:pPr>
        <w:pStyle w:val="ListParagraph"/>
        <w:numPr>
          <w:ilvl w:val="0"/>
          <w:numId w:val="16"/>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Ensuring quality of service requirements to be defined by the broadcaster, such as</w:t>
      </w:r>
    </w:p>
    <w:p w:rsidR="005E42AC" w:rsidRPr="00AD431E" w:rsidRDefault="005E42AC" w:rsidP="005E42AC">
      <w:pPr>
        <w:spacing w:after="0"/>
        <w:ind w:left="851" w:hanging="289"/>
        <w:rPr>
          <w:rFonts w:cs="Arial"/>
          <w:sz w:val="20"/>
          <w:lang w:val="en-GB"/>
        </w:rPr>
      </w:pPr>
      <w:r w:rsidRPr="00AD431E">
        <w:rPr>
          <w:rFonts w:cs="Arial"/>
          <w:sz w:val="20"/>
          <w:lang w:val="en-GB"/>
        </w:rPr>
        <w:tab/>
        <w:t>- QoS when the network is up and running</w:t>
      </w:r>
    </w:p>
    <w:p w:rsidR="005E42AC" w:rsidRPr="00AD431E" w:rsidRDefault="005E42AC" w:rsidP="005E42AC">
      <w:pPr>
        <w:spacing w:after="0"/>
        <w:ind w:left="851" w:hanging="289"/>
        <w:rPr>
          <w:rFonts w:cs="Arial"/>
          <w:sz w:val="20"/>
          <w:lang w:val="en-GB"/>
        </w:rPr>
      </w:pPr>
      <w:r w:rsidRPr="00AD431E">
        <w:rPr>
          <w:rFonts w:cs="Arial"/>
          <w:sz w:val="20"/>
          <w:lang w:val="en-GB"/>
        </w:rPr>
        <w:tab/>
        <w:t xml:space="preserve">- </w:t>
      </w:r>
      <w:proofErr w:type="gramStart"/>
      <w:r w:rsidRPr="00AD431E">
        <w:rPr>
          <w:rFonts w:cs="Arial"/>
          <w:sz w:val="20"/>
          <w:lang w:val="en-GB"/>
        </w:rPr>
        <w:t>availability</w:t>
      </w:r>
      <w:proofErr w:type="gramEnd"/>
      <w:r w:rsidRPr="00AD431E">
        <w:rPr>
          <w:rFonts w:cs="Arial"/>
          <w:sz w:val="20"/>
          <w:lang w:val="en-GB"/>
        </w:rPr>
        <w:t xml:space="preserve"> of network: robustness, up-time, reliability</w:t>
      </w:r>
    </w:p>
    <w:p w:rsidR="005E42AC" w:rsidRPr="00AD431E" w:rsidRDefault="005E42AC" w:rsidP="005E42AC">
      <w:pPr>
        <w:pStyle w:val="ListParagraph"/>
        <w:numPr>
          <w:ilvl w:val="0"/>
          <w:numId w:val="17"/>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Ensuring predictable QoS for each user, which shall be independent of the size of the audience.</w:t>
      </w:r>
    </w:p>
    <w:p w:rsidR="005E42AC" w:rsidRPr="00AD431E" w:rsidRDefault="005E42AC" w:rsidP="005E42AC">
      <w:pPr>
        <w:pStyle w:val="ListParagraph"/>
        <w:numPr>
          <w:ilvl w:val="0"/>
          <w:numId w:val="17"/>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Geographical extent of the service area (e.g. national, regional, local) is to be defined by the broadcaster.</w:t>
      </w:r>
    </w:p>
    <w:p w:rsidR="005E42AC" w:rsidRPr="00AD431E" w:rsidRDefault="005E42AC" w:rsidP="005E42AC">
      <w:pPr>
        <w:pStyle w:val="ListParagraph"/>
        <w:numPr>
          <w:ilvl w:val="0"/>
          <w:numId w:val="17"/>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PSB services must be easy to find and access.</w:t>
      </w:r>
    </w:p>
    <w:p w:rsidR="005E42AC" w:rsidRPr="00AD431E" w:rsidRDefault="005E42AC" w:rsidP="005E42AC">
      <w:pPr>
        <w:pStyle w:val="ListParagraph"/>
        <w:numPr>
          <w:ilvl w:val="0"/>
          <w:numId w:val="17"/>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Low barrier for access to broadcasters' content and services for people with disabilities.</w:t>
      </w:r>
    </w:p>
    <w:p w:rsidR="005E42AC" w:rsidRPr="00AD431E" w:rsidRDefault="005E42AC" w:rsidP="005E42AC">
      <w:pPr>
        <w:pStyle w:val="ListParagraph"/>
        <w:numPr>
          <w:ilvl w:val="0"/>
          <w:numId w:val="17"/>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Ability to reach audience in emergency situations</w:t>
      </w:r>
    </w:p>
    <w:p w:rsidR="005E42AC" w:rsidRPr="00AD431E" w:rsidRDefault="005E42AC" w:rsidP="005E42AC">
      <w:pPr>
        <w:pStyle w:val="ListParagraph"/>
        <w:numPr>
          <w:ilvl w:val="0"/>
          <w:numId w:val="17"/>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Capability of supporting at least a minimum service offer (e.g. a minimum number of programmes) defined by the broadcaster.</w:t>
      </w:r>
    </w:p>
    <w:p w:rsidR="005E42AC" w:rsidRPr="00AD431E" w:rsidRDefault="005E42AC" w:rsidP="005E42AC">
      <w:pPr>
        <w:pStyle w:val="ListParagraph"/>
        <w:numPr>
          <w:ilvl w:val="0"/>
          <w:numId w:val="17"/>
        </w:numPr>
        <w:spacing w:before="120" w:after="0" w:line="240" w:lineRule="auto"/>
        <w:ind w:left="567" w:hanging="289"/>
        <w:contextualSpacing w:val="0"/>
        <w:rPr>
          <w:rFonts w:ascii="Arial" w:hAnsi="Arial" w:cs="Arial"/>
          <w:sz w:val="20"/>
          <w:szCs w:val="20"/>
          <w:lang w:val="en-GB"/>
        </w:rPr>
      </w:pPr>
      <w:r w:rsidRPr="00AD431E">
        <w:rPr>
          <w:rFonts w:ascii="Arial" w:hAnsi="Arial" w:cs="Arial"/>
          <w:sz w:val="20"/>
          <w:szCs w:val="20"/>
          <w:lang w:val="en-GB"/>
        </w:rPr>
        <w:t>Possibility to safeguard the investments made by the Public Service Broadcasters and the public.</w:t>
      </w:r>
    </w:p>
    <w:p w:rsidR="005E42AC" w:rsidRPr="00AD431E" w:rsidRDefault="005E42AC" w:rsidP="005E42AC">
      <w:pPr>
        <w:spacing w:after="0"/>
        <w:rPr>
          <w:rFonts w:cs="Arial"/>
          <w:sz w:val="20"/>
          <w:lang w:val="en-GB"/>
        </w:rPr>
      </w:pPr>
    </w:p>
    <w:p w:rsidR="005E42AC" w:rsidRPr="00AD431E" w:rsidRDefault="005E42AC" w:rsidP="005E42AC">
      <w:pPr>
        <w:pStyle w:val="Default"/>
        <w:jc w:val="both"/>
        <w:rPr>
          <w:rFonts w:ascii="Arial" w:hAnsi="Arial" w:cs="Arial"/>
          <w:color w:val="auto"/>
          <w:sz w:val="20"/>
          <w:szCs w:val="20"/>
        </w:rPr>
      </w:pPr>
      <w:r w:rsidRPr="00AD431E">
        <w:rPr>
          <w:rFonts w:ascii="Arial" w:hAnsi="Arial" w:cs="Arial"/>
          <w:color w:val="auto"/>
          <w:sz w:val="20"/>
          <w:szCs w:val="20"/>
        </w:rPr>
        <w:t xml:space="preserve">Terrestrial broadcast networks generally fulfil all of the above mentioned requirements. </w:t>
      </w:r>
    </w:p>
    <w:p w:rsidR="005E42AC" w:rsidRPr="00AD431E" w:rsidRDefault="005E42AC" w:rsidP="005E42AC">
      <w:pPr>
        <w:pStyle w:val="Default"/>
        <w:jc w:val="both"/>
        <w:rPr>
          <w:rFonts w:ascii="Arial" w:hAnsi="Arial" w:cs="Arial"/>
          <w:color w:val="auto"/>
          <w:sz w:val="20"/>
          <w:szCs w:val="20"/>
        </w:rPr>
      </w:pPr>
    </w:p>
    <w:p w:rsidR="005E42AC" w:rsidRPr="00AD431E" w:rsidRDefault="005E42AC" w:rsidP="005E42AC">
      <w:pPr>
        <w:autoSpaceDE w:val="0"/>
        <w:autoSpaceDN w:val="0"/>
        <w:adjustRightInd w:val="0"/>
        <w:spacing w:after="0"/>
        <w:rPr>
          <w:rFonts w:cs="Arial"/>
          <w:sz w:val="20"/>
          <w:lang w:val="en-GB" w:eastAsia="en-GB"/>
        </w:rPr>
      </w:pPr>
      <w:r w:rsidRPr="00AD431E">
        <w:rPr>
          <w:rFonts w:cs="Arial"/>
          <w:sz w:val="20"/>
          <w:lang w:val="en-GB" w:eastAsia="en-GB"/>
        </w:rPr>
        <w:t xml:space="preserve">In addition, the existing business models are optimised for low cost and high QoS which are essential for the delivery of PSB services. The costs of terrestrial delivery are low in comparison to other platforms and are independent of the number of simultaneous viewers or listeners. </w:t>
      </w:r>
    </w:p>
    <w:p w:rsidR="005E42AC" w:rsidRPr="00AD431E" w:rsidRDefault="005E42AC" w:rsidP="005E42AC">
      <w:pPr>
        <w:autoSpaceDE w:val="0"/>
        <w:autoSpaceDN w:val="0"/>
        <w:adjustRightInd w:val="0"/>
        <w:spacing w:after="0"/>
        <w:rPr>
          <w:rFonts w:cs="Arial"/>
          <w:sz w:val="20"/>
          <w:lang w:val="en-GB" w:eastAsia="en-GB"/>
        </w:rPr>
      </w:pPr>
    </w:p>
    <w:p w:rsidR="005E42AC" w:rsidRPr="00AD431E" w:rsidRDefault="005E42AC" w:rsidP="005E42AC">
      <w:pPr>
        <w:pStyle w:val="Default"/>
        <w:jc w:val="both"/>
        <w:rPr>
          <w:rFonts w:ascii="Arial" w:hAnsi="Arial" w:cs="Arial"/>
          <w:color w:val="auto"/>
          <w:sz w:val="20"/>
          <w:szCs w:val="20"/>
        </w:rPr>
      </w:pPr>
      <w:r w:rsidRPr="00AD431E">
        <w:rPr>
          <w:rFonts w:ascii="Arial" w:hAnsi="Arial" w:cs="Arial"/>
          <w:color w:val="auto"/>
          <w:sz w:val="20"/>
          <w:szCs w:val="20"/>
        </w:rPr>
        <w:t>This enables PSBs to optimise their financial resources in such a way that distribution costs remain predictable and comparatively low, while maintaining significant investments in the original content, including national, regional and local.</w:t>
      </w:r>
    </w:p>
    <w:p w:rsidR="00251BE7" w:rsidRPr="00AD431E" w:rsidRDefault="00251BE7" w:rsidP="001E7185">
      <w:pPr>
        <w:pStyle w:val="Default"/>
        <w:jc w:val="both"/>
        <w:rPr>
          <w:rFonts w:ascii="Arial" w:hAnsi="Arial" w:cs="Arial"/>
          <w:color w:val="auto"/>
          <w:sz w:val="20"/>
          <w:szCs w:val="20"/>
        </w:rPr>
      </w:pPr>
    </w:p>
    <w:sectPr w:rsidR="00251BE7" w:rsidRPr="00AD431E" w:rsidSect="00BA1721">
      <w:footerReference w:type="even" r:id="rId9"/>
      <w:footerReference w:type="default" r:id="rId10"/>
      <w:headerReference w:type="first" r:id="rId11"/>
      <w:pgSz w:w="11907" w:h="16840" w:code="9"/>
      <w:pgMar w:top="1134" w:right="1247" w:bottom="1134" w:left="1247"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271" w:rsidRDefault="00F16271">
      <w:r>
        <w:separator/>
      </w:r>
    </w:p>
  </w:endnote>
  <w:endnote w:type="continuationSeparator" w:id="0">
    <w:p w:rsidR="00F16271" w:rsidRDefault="00F16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EA" w:rsidRDefault="003D122C">
    <w:pPr>
      <w:framePr w:wrap="around" w:vAnchor="text" w:hAnchor="margin" w:xAlign="center" w:y="1"/>
      <w:rPr>
        <w:rStyle w:val="PageNumber"/>
      </w:rPr>
    </w:pPr>
    <w:r>
      <w:rPr>
        <w:rStyle w:val="PageNumber"/>
      </w:rPr>
      <w:fldChar w:fldCharType="begin"/>
    </w:r>
    <w:r w:rsidR="005269EA">
      <w:rPr>
        <w:rStyle w:val="PageNumber"/>
      </w:rPr>
      <w:instrText xml:space="preserve">PAGE  </w:instrText>
    </w:r>
    <w:r>
      <w:rPr>
        <w:rStyle w:val="PageNumber"/>
      </w:rPr>
      <w:fldChar w:fldCharType="end"/>
    </w:r>
  </w:p>
  <w:p w:rsidR="005269EA" w:rsidRDefault="005269E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EA" w:rsidRPr="005C42D1" w:rsidRDefault="003D122C">
    <w:pPr>
      <w:framePr w:wrap="around" w:vAnchor="text" w:hAnchor="margin" w:xAlign="center" w:y="1"/>
      <w:rPr>
        <w:rStyle w:val="PageNumber"/>
        <w:sz w:val="18"/>
        <w:szCs w:val="18"/>
      </w:rPr>
    </w:pPr>
    <w:r w:rsidRPr="005C42D1">
      <w:rPr>
        <w:rStyle w:val="PageNumber"/>
        <w:sz w:val="18"/>
        <w:szCs w:val="18"/>
      </w:rPr>
      <w:fldChar w:fldCharType="begin"/>
    </w:r>
    <w:r w:rsidR="005269EA" w:rsidRPr="005C42D1">
      <w:rPr>
        <w:rStyle w:val="PageNumber"/>
        <w:sz w:val="18"/>
        <w:szCs w:val="18"/>
      </w:rPr>
      <w:instrText xml:space="preserve">PAGE  </w:instrText>
    </w:r>
    <w:r w:rsidRPr="005C42D1">
      <w:rPr>
        <w:rStyle w:val="PageNumber"/>
        <w:sz w:val="18"/>
        <w:szCs w:val="18"/>
      </w:rPr>
      <w:fldChar w:fldCharType="separate"/>
    </w:r>
    <w:r w:rsidR="00F75787">
      <w:rPr>
        <w:rStyle w:val="PageNumber"/>
        <w:noProof/>
        <w:sz w:val="18"/>
        <w:szCs w:val="18"/>
      </w:rPr>
      <w:t>3</w:t>
    </w:r>
    <w:r w:rsidRPr="005C42D1">
      <w:rPr>
        <w:rStyle w:val="PageNumber"/>
        <w:sz w:val="18"/>
        <w:szCs w:val="18"/>
      </w:rPr>
      <w:fldChar w:fldCharType="end"/>
    </w:r>
  </w:p>
  <w:p w:rsidR="005269EA" w:rsidRDefault="005269E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271" w:rsidRDefault="00F16271">
      <w:r>
        <w:separator/>
      </w:r>
    </w:p>
  </w:footnote>
  <w:footnote w:type="continuationSeparator" w:id="0">
    <w:p w:rsidR="00F16271" w:rsidRDefault="00F16271">
      <w:r>
        <w:continuationSeparator/>
      </w:r>
    </w:p>
  </w:footnote>
  <w:footnote w:id="1">
    <w:p w:rsidR="005E42AC" w:rsidRPr="00C26964" w:rsidRDefault="005E42AC" w:rsidP="005E42AC">
      <w:pPr>
        <w:pStyle w:val="FootnoteText"/>
        <w:spacing w:before="60" w:after="0"/>
        <w:ind w:left="142" w:hanging="142"/>
        <w:jc w:val="left"/>
        <w:rPr>
          <w:rFonts w:cs="Arial"/>
          <w:sz w:val="16"/>
          <w:szCs w:val="16"/>
          <w:lang w:val="en-GB"/>
        </w:rPr>
      </w:pPr>
      <w:r w:rsidRPr="001C2AC0">
        <w:rPr>
          <w:rStyle w:val="FootnoteReference"/>
          <w:rFonts w:cs="Arial"/>
          <w:szCs w:val="16"/>
        </w:rPr>
        <w:footnoteRef/>
      </w:r>
      <w:r>
        <w:rPr>
          <w:rFonts w:cs="Arial"/>
          <w:sz w:val="16"/>
          <w:szCs w:val="16"/>
        </w:rPr>
        <w:tab/>
      </w:r>
      <w:r w:rsidRPr="001C2AC0">
        <w:rPr>
          <w:rFonts w:cs="Arial"/>
          <w:sz w:val="16"/>
          <w:szCs w:val="16"/>
        </w:rPr>
        <w:t xml:space="preserve">Special Eurobarometer 396 - e-Communications Household Survey, August 2013 </w:t>
      </w:r>
      <w:r>
        <w:rPr>
          <w:rFonts w:cs="Arial"/>
          <w:sz w:val="16"/>
          <w:szCs w:val="16"/>
        </w:rPr>
        <w:br/>
      </w:r>
      <w:r w:rsidRPr="001C2AC0">
        <w:rPr>
          <w:rFonts w:cs="Arial"/>
          <w:sz w:val="16"/>
          <w:szCs w:val="16"/>
        </w:rPr>
        <w:t>(</w:t>
      </w:r>
      <w:hyperlink r:id="rId1" w:history="1">
        <w:r w:rsidRPr="001C2AC0">
          <w:rPr>
            <w:rStyle w:val="Hyperlink"/>
            <w:rFonts w:cs="Arial"/>
            <w:sz w:val="16"/>
            <w:szCs w:val="16"/>
          </w:rPr>
          <w:t>http://ec.europa.eu/digital-agenda/en/news/special-eurobarometer-396-e-communications-household-survey</w:t>
        </w:r>
      </w:hyperlink>
      <w:r w:rsidRPr="001C2AC0">
        <w:rPr>
          <w:rFonts w:cs="Arial"/>
          <w:sz w:val="16"/>
          <w:szCs w:val="16"/>
        </w:rPr>
        <w:t>)</w:t>
      </w:r>
    </w:p>
  </w:footnote>
  <w:footnote w:id="2">
    <w:p w:rsidR="005E42AC" w:rsidRPr="0053174F" w:rsidRDefault="005E42AC" w:rsidP="005E42AC">
      <w:pPr>
        <w:pStyle w:val="FootnoteText"/>
        <w:spacing w:before="60" w:after="0"/>
        <w:ind w:left="142" w:hanging="142"/>
        <w:jc w:val="left"/>
        <w:rPr>
          <w:sz w:val="16"/>
          <w:szCs w:val="16"/>
          <w:lang w:val="en-GB"/>
        </w:rPr>
      </w:pPr>
      <w:r w:rsidRPr="0053174F">
        <w:rPr>
          <w:rStyle w:val="FootnoteReference"/>
          <w:szCs w:val="16"/>
          <w:lang w:val="en-GB"/>
        </w:rPr>
        <w:footnoteRef/>
      </w:r>
      <w:r>
        <w:rPr>
          <w:sz w:val="16"/>
          <w:szCs w:val="16"/>
          <w:lang w:val="en-GB"/>
        </w:rPr>
        <w:tab/>
      </w:r>
      <w:r w:rsidRPr="0053174F">
        <w:rPr>
          <w:sz w:val="16"/>
          <w:szCs w:val="16"/>
          <w:lang w:val="en-GB"/>
        </w:rPr>
        <w:t xml:space="preserve">See also </w:t>
      </w:r>
      <w:hyperlink r:id="rId2" w:history="1">
        <w:r w:rsidRPr="0053174F">
          <w:rPr>
            <w:rStyle w:val="Hyperlink"/>
            <w:sz w:val="16"/>
            <w:szCs w:val="16"/>
            <w:lang w:val="en-GB"/>
          </w:rPr>
          <w:t>http://tech.ebu.ch/docs/r/r131.pdf</w:t>
        </w:r>
      </w:hyperlink>
      <w:r w:rsidRPr="0053174F">
        <w:rPr>
          <w:sz w:val="16"/>
          <w:szCs w:val="16"/>
          <w:lang w:val="en-G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85" w:rsidRDefault="001E7185" w:rsidP="001E718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4CD67C5"/>
    <w:multiLevelType w:val="hybridMultilevel"/>
    <w:tmpl w:val="5A8C35D8"/>
    <w:lvl w:ilvl="0" w:tplc="AA7A784A">
      <w:start w:val="1"/>
      <w:numFmt w:val="bullet"/>
      <w:lvlText w:val="•"/>
      <w:lvlJc w:val="left"/>
      <w:pPr>
        <w:ind w:left="360" w:hanging="360"/>
      </w:pPr>
      <w:rPr>
        <w:rFonts w:ascii="Arial" w:hAnsi="Aria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398435FC"/>
    <w:multiLevelType w:val="hybridMultilevel"/>
    <w:tmpl w:val="754AFE74"/>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F155A3A"/>
    <w:multiLevelType w:val="hybridMultilevel"/>
    <w:tmpl w:val="7720AA08"/>
    <w:lvl w:ilvl="0" w:tplc="08090001">
      <w:start w:val="1"/>
      <w:numFmt w:val="bullet"/>
      <w:lvlText w:val=""/>
      <w:lvlJc w:val="left"/>
      <w:pPr>
        <w:ind w:left="720" w:hanging="360"/>
      </w:pPr>
      <w:rPr>
        <w:rFonts w:ascii="Symbol" w:hAnsi="Symbol" w:hint="default"/>
        <w:sz w:val="20"/>
      </w:rPr>
    </w:lvl>
    <w:lvl w:ilvl="1" w:tplc="AA7A784A">
      <w:start w:val="1"/>
      <w:numFmt w:val="bullet"/>
      <w:lvlText w:val="•"/>
      <w:lvlJc w:val="left"/>
      <w:pPr>
        <w:ind w:left="1440" w:hanging="360"/>
      </w:pPr>
      <w:rPr>
        <w:rFonts w:ascii="Arial" w:hAnsi="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F114DF"/>
    <w:multiLevelType w:val="hybridMultilevel"/>
    <w:tmpl w:val="BC3E4416"/>
    <w:lvl w:ilvl="0" w:tplc="08090001">
      <w:start w:val="1"/>
      <w:numFmt w:val="bullet"/>
      <w:lvlText w:val=""/>
      <w:lvlJc w:val="left"/>
      <w:pPr>
        <w:ind w:left="720" w:hanging="360"/>
      </w:pPr>
      <w:rPr>
        <w:rFonts w:ascii="Symbol" w:hAnsi="Symbol" w:hint="default"/>
        <w:sz w:val="20"/>
      </w:rPr>
    </w:lvl>
    <w:lvl w:ilvl="1" w:tplc="AA7A784A">
      <w:start w:val="1"/>
      <w:numFmt w:val="bullet"/>
      <w:lvlText w:val="•"/>
      <w:lvlJc w:val="left"/>
      <w:pPr>
        <w:ind w:left="1440" w:hanging="360"/>
      </w:pPr>
      <w:rPr>
        <w:rFonts w:ascii="Arial" w:hAnsi="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0">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07767BF"/>
    <w:multiLevelType w:val="multilevel"/>
    <w:tmpl w:val="7060B3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1"/>
  </w:num>
  <w:num w:numId="2">
    <w:abstractNumId w:val="0"/>
  </w:num>
  <w:num w:numId="3">
    <w:abstractNumId w:val="13"/>
  </w:num>
  <w:num w:numId="4">
    <w:abstractNumId w:val="13"/>
  </w:num>
  <w:num w:numId="5">
    <w:abstractNumId w:val="13"/>
  </w:num>
  <w:num w:numId="6">
    <w:abstractNumId w:val="12"/>
  </w:num>
  <w:num w:numId="7">
    <w:abstractNumId w:val="13"/>
  </w:num>
  <w:num w:numId="8">
    <w:abstractNumId w:val="13"/>
  </w:num>
  <w:num w:numId="9">
    <w:abstractNumId w:val="2"/>
  </w:num>
  <w:num w:numId="10">
    <w:abstractNumId w:val="9"/>
  </w:num>
  <w:num w:numId="11">
    <w:abstractNumId w:val="5"/>
  </w:num>
  <w:num w:numId="12">
    <w:abstractNumId w:val="10"/>
  </w:num>
  <w:num w:numId="13">
    <w:abstractNumId w:val="4"/>
  </w:num>
  <w:num w:numId="14">
    <w:abstractNumId w:val="1"/>
  </w:num>
  <w:num w:numId="15">
    <w:abstractNumId w:val="6"/>
  </w:num>
  <w:num w:numId="16">
    <w:abstractNumId w:val="8"/>
  </w:num>
  <w:num w:numId="17">
    <w:abstractNumId w:val="7"/>
  </w:num>
  <w:num w:numId="18">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proofState w:spelling="clean" w:grammar="clean"/>
  <w:attachedTemplate r:id="rId1"/>
  <w:stylePaneFormatFilter w:val="3F01"/>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8"/>
  </w:hdrShapeDefaults>
  <w:footnotePr>
    <w:footnote w:id="-1"/>
    <w:footnote w:id="0"/>
  </w:footnotePr>
  <w:endnotePr>
    <w:endnote w:id="-1"/>
    <w:endnote w:id="0"/>
  </w:endnotePr>
  <w:compat/>
  <w:rsids>
    <w:rsidRoot w:val="00530DAD"/>
    <w:rsid w:val="000158C4"/>
    <w:rsid w:val="000233C6"/>
    <w:rsid w:val="00033112"/>
    <w:rsid w:val="000364E2"/>
    <w:rsid w:val="00040876"/>
    <w:rsid w:val="00042E6D"/>
    <w:rsid w:val="000641A7"/>
    <w:rsid w:val="00074234"/>
    <w:rsid w:val="00086867"/>
    <w:rsid w:val="00095D52"/>
    <w:rsid w:val="00097E34"/>
    <w:rsid w:val="000B0905"/>
    <w:rsid w:val="000B3ADF"/>
    <w:rsid w:val="000D0F3C"/>
    <w:rsid w:val="000E346F"/>
    <w:rsid w:val="000F1373"/>
    <w:rsid w:val="00106047"/>
    <w:rsid w:val="00107EDD"/>
    <w:rsid w:val="00113B49"/>
    <w:rsid w:val="00135FE7"/>
    <w:rsid w:val="001432A8"/>
    <w:rsid w:val="001569B9"/>
    <w:rsid w:val="00161C60"/>
    <w:rsid w:val="00161D26"/>
    <w:rsid w:val="00162CBB"/>
    <w:rsid w:val="0016435A"/>
    <w:rsid w:val="001E0E49"/>
    <w:rsid w:val="001E7185"/>
    <w:rsid w:val="001F2614"/>
    <w:rsid w:val="00215746"/>
    <w:rsid w:val="00222F7B"/>
    <w:rsid w:val="0023072E"/>
    <w:rsid w:val="00251BE7"/>
    <w:rsid w:val="002542E2"/>
    <w:rsid w:val="00260D98"/>
    <w:rsid w:val="0026766F"/>
    <w:rsid w:val="00277BC1"/>
    <w:rsid w:val="0028051D"/>
    <w:rsid w:val="002842C1"/>
    <w:rsid w:val="00294331"/>
    <w:rsid w:val="00295A25"/>
    <w:rsid w:val="002A02A3"/>
    <w:rsid w:val="002B169D"/>
    <w:rsid w:val="002B47FC"/>
    <w:rsid w:val="002B683F"/>
    <w:rsid w:val="002C3874"/>
    <w:rsid w:val="002D25DD"/>
    <w:rsid w:val="002D5FBA"/>
    <w:rsid w:val="00314E5E"/>
    <w:rsid w:val="00315329"/>
    <w:rsid w:val="0031627F"/>
    <w:rsid w:val="00322E0D"/>
    <w:rsid w:val="00340190"/>
    <w:rsid w:val="00346C62"/>
    <w:rsid w:val="00356C52"/>
    <w:rsid w:val="00357A5F"/>
    <w:rsid w:val="0039030E"/>
    <w:rsid w:val="003A57CC"/>
    <w:rsid w:val="003B1654"/>
    <w:rsid w:val="003B3358"/>
    <w:rsid w:val="003C2268"/>
    <w:rsid w:val="003C4848"/>
    <w:rsid w:val="003C53D0"/>
    <w:rsid w:val="003D122C"/>
    <w:rsid w:val="003D50F3"/>
    <w:rsid w:val="003E0265"/>
    <w:rsid w:val="003E76E9"/>
    <w:rsid w:val="003F73E2"/>
    <w:rsid w:val="004002F7"/>
    <w:rsid w:val="00430369"/>
    <w:rsid w:val="00431D12"/>
    <w:rsid w:val="004369DC"/>
    <w:rsid w:val="00436EE5"/>
    <w:rsid w:val="00442F46"/>
    <w:rsid w:val="00443C40"/>
    <w:rsid w:val="004648A4"/>
    <w:rsid w:val="004662F9"/>
    <w:rsid w:val="00486369"/>
    <w:rsid w:val="00493F86"/>
    <w:rsid w:val="004A099D"/>
    <w:rsid w:val="004A47FF"/>
    <w:rsid w:val="004B23D3"/>
    <w:rsid w:val="004B288D"/>
    <w:rsid w:val="004C329E"/>
    <w:rsid w:val="004F061E"/>
    <w:rsid w:val="004F2824"/>
    <w:rsid w:val="004F2E89"/>
    <w:rsid w:val="005158F5"/>
    <w:rsid w:val="005269EA"/>
    <w:rsid w:val="0053015C"/>
    <w:rsid w:val="00530DAD"/>
    <w:rsid w:val="00533846"/>
    <w:rsid w:val="005348B2"/>
    <w:rsid w:val="005434C4"/>
    <w:rsid w:val="00554550"/>
    <w:rsid w:val="005549FF"/>
    <w:rsid w:val="00562E1E"/>
    <w:rsid w:val="005761BB"/>
    <w:rsid w:val="00592396"/>
    <w:rsid w:val="005A2211"/>
    <w:rsid w:val="005C42D1"/>
    <w:rsid w:val="005C5012"/>
    <w:rsid w:val="005E42AC"/>
    <w:rsid w:val="005F1C1F"/>
    <w:rsid w:val="00615153"/>
    <w:rsid w:val="00616265"/>
    <w:rsid w:val="0063524D"/>
    <w:rsid w:val="006537F8"/>
    <w:rsid w:val="006542C3"/>
    <w:rsid w:val="0065588F"/>
    <w:rsid w:val="00664805"/>
    <w:rsid w:val="00681F9B"/>
    <w:rsid w:val="00684589"/>
    <w:rsid w:val="006845C9"/>
    <w:rsid w:val="006902F9"/>
    <w:rsid w:val="00690B4B"/>
    <w:rsid w:val="0069180A"/>
    <w:rsid w:val="006B4BEB"/>
    <w:rsid w:val="006C1986"/>
    <w:rsid w:val="006C3B32"/>
    <w:rsid w:val="006C4BCC"/>
    <w:rsid w:val="006C5A2A"/>
    <w:rsid w:val="006D1EAC"/>
    <w:rsid w:val="006E1FA9"/>
    <w:rsid w:val="0070740D"/>
    <w:rsid w:val="007342BE"/>
    <w:rsid w:val="007538DB"/>
    <w:rsid w:val="0075560F"/>
    <w:rsid w:val="00782F34"/>
    <w:rsid w:val="00787429"/>
    <w:rsid w:val="007925CA"/>
    <w:rsid w:val="00793843"/>
    <w:rsid w:val="007A1831"/>
    <w:rsid w:val="007A49AD"/>
    <w:rsid w:val="007E75C0"/>
    <w:rsid w:val="00802521"/>
    <w:rsid w:val="00807AA2"/>
    <w:rsid w:val="00807F54"/>
    <w:rsid w:val="00820168"/>
    <w:rsid w:val="0087137A"/>
    <w:rsid w:val="00884205"/>
    <w:rsid w:val="00893C97"/>
    <w:rsid w:val="008A37BA"/>
    <w:rsid w:val="008C443F"/>
    <w:rsid w:val="008D114E"/>
    <w:rsid w:val="008D2718"/>
    <w:rsid w:val="008D763E"/>
    <w:rsid w:val="008F33D5"/>
    <w:rsid w:val="008F3C35"/>
    <w:rsid w:val="008F5596"/>
    <w:rsid w:val="008F5ECB"/>
    <w:rsid w:val="008F677F"/>
    <w:rsid w:val="00945098"/>
    <w:rsid w:val="0095049D"/>
    <w:rsid w:val="009852E6"/>
    <w:rsid w:val="0098621D"/>
    <w:rsid w:val="009869D9"/>
    <w:rsid w:val="00997A4D"/>
    <w:rsid w:val="009B3CB6"/>
    <w:rsid w:val="009B7573"/>
    <w:rsid w:val="009C2F3B"/>
    <w:rsid w:val="009D242F"/>
    <w:rsid w:val="00A024A8"/>
    <w:rsid w:val="00A03EB7"/>
    <w:rsid w:val="00A26C98"/>
    <w:rsid w:val="00A477F3"/>
    <w:rsid w:val="00A47A97"/>
    <w:rsid w:val="00A704B6"/>
    <w:rsid w:val="00A77E89"/>
    <w:rsid w:val="00A81538"/>
    <w:rsid w:val="00A8210B"/>
    <w:rsid w:val="00A87C8C"/>
    <w:rsid w:val="00A95309"/>
    <w:rsid w:val="00AA26E7"/>
    <w:rsid w:val="00AA3CFD"/>
    <w:rsid w:val="00AA59E8"/>
    <w:rsid w:val="00AB1889"/>
    <w:rsid w:val="00AC0304"/>
    <w:rsid w:val="00AC345D"/>
    <w:rsid w:val="00AC523A"/>
    <w:rsid w:val="00AD241F"/>
    <w:rsid w:val="00AD431E"/>
    <w:rsid w:val="00AD7355"/>
    <w:rsid w:val="00AE7906"/>
    <w:rsid w:val="00B0161E"/>
    <w:rsid w:val="00B01997"/>
    <w:rsid w:val="00B1073A"/>
    <w:rsid w:val="00B1660B"/>
    <w:rsid w:val="00B37817"/>
    <w:rsid w:val="00B6512A"/>
    <w:rsid w:val="00B70CD3"/>
    <w:rsid w:val="00B90507"/>
    <w:rsid w:val="00BA1721"/>
    <w:rsid w:val="00BC2918"/>
    <w:rsid w:val="00BD72F7"/>
    <w:rsid w:val="00BE4CC9"/>
    <w:rsid w:val="00BF2999"/>
    <w:rsid w:val="00BF4ECD"/>
    <w:rsid w:val="00C06004"/>
    <w:rsid w:val="00C154C2"/>
    <w:rsid w:val="00C309B1"/>
    <w:rsid w:val="00C43796"/>
    <w:rsid w:val="00C47BE9"/>
    <w:rsid w:val="00C5418E"/>
    <w:rsid w:val="00C60D46"/>
    <w:rsid w:val="00C62218"/>
    <w:rsid w:val="00C75E0E"/>
    <w:rsid w:val="00C82BC5"/>
    <w:rsid w:val="00C8494B"/>
    <w:rsid w:val="00CB0BBB"/>
    <w:rsid w:val="00CB77C1"/>
    <w:rsid w:val="00CD4FA2"/>
    <w:rsid w:val="00CD51FD"/>
    <w:rsid w:val="00CE40EE"/>
    <w:rsid w:val="00CE6591"/>
    <w:rsid w:val="00D004D0"/>
    <w:rsid w:val="00D00B4F"/>
    <w:rsid w:val="00D05F00"/>
    <w:rsid w:val="00D14191"/>
    <w:rsid w:val="00D14C74"/>
    <w:rsid w:val="00D1599E"/>
    <w:rsid w:val="00D303A9"/>
    <w:rsid w:val="00D34708"/>
    <w:rsid w:val="00D41227"/>
    <w:rsid w:val="00D53B5D"/>
    <w:rsid w:val="00D671A5"/>
    <w:rsid w:val="00DA2DC1"/>
    <w:rsid w:val="00DC2859"/>
    <w:rsid w:val="00DD08BA"/>
    <w:rsid w:val="00DD7EBC"/>
    <w:rsid w:val="00DE4390"/>
    <w:rsid w:val="00DE5E01"/>
    <w:rsid w:val="00DF2A80"/>
    <w:rsid w:val="00E013A9"/>
    <w:rsid w:val="00E129B2"/>
    <w:rsid w:val="00E232D3"/>
    <w:rsid w:val="00E2796D"/>
    <w:rsid w:val="00E27C6A"/>
    <w:rsid w:val="00E40873"/>
    <w:rsid w:val="00E561B8"/>
    <w:rsid w:val="00E577A4"/>
    <w:rsid w:val="00E765E4"/>
    <w:rsid w:val="00E879F4"/>
    <w:rsid w:val="00E87AEF"/>
    <w:rsid w:val="00E93323"/>
    <w:rsid w:val="00E95CFE"/>
    <w:rsid w:val="00E9697A"/>
    <w:rsid w:val="00EB4BBE"/>
    <w:rsid w:val="00EB4D6F"/>
    <w:rsid w:val="00ED51E3"/>
    <w:rsid w:val="00ED522B"/>
    <w:rsid w:val="00ED64D7"/>
    <w:rsid w:val="00EE07DC"/>
    <w:rsid w:val="00EE6D93"/>
    <w:rsid w:val="00EF1568"/>
    <w:rsid w:val="00F0387C"/>
    <w:rsid w:val="00F05B26"/>
    <w:rsid w:val="00F10523"/>
    <w:rsid w:val="00F15DE7"/>
    <w:rsid w:val="00F16271"/>
    <w:rsid w:val="00F17506"/>
    <w:rsid w:val="00F22950"/>
    <w:rsid w:val="00F311FB"/>
    <w:rsid w:val="00F34181"/>
    <w:rsid w:val="00F37A73"/>
    <w:rsid w:val="00F43BE8"/>
    <w:rsid w:val="00F47250"/>
    <w:rsid w:val="00F53012"/>
    <w:rsid w:val="00F53959"/>
    <w:rsid w:val="00F6386F"/>
    <w:rsid w:val="00F71580"/>
    <w:rsid w:val="00F72497"/>
    <w:rsid w:val="00F75787"/>
    <w:rsid w:val="00FA15BA"/>
    <w:rsid w:val="00FA6EBF"/>
    <w:rsid w:val="00FA7FC5"/>
    <w:rsid w:val="00FB1792"/>
    <w:rsid w:val="00FD0B6D"/>
    <w:rsid w:val="00FD7E46"/>
    <w:rsid w:val="00FE1DCB"/>
    <w:rsid w:val="00FE61C8"/>
    <w:rsid w:val="00FF1139"/>
    <w:rsid w:val="00FF320E"/>
    <w:rsid w:val="00FF377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Header2">
    <w:name w:val="Header2"/>
    <w:basedOn w:val="Header"/>
    <w:rsid w:val="00215746"/>
  </w:style>
  <w:style w:type="character" w:styleId="FootnoteReference">
    <w:name w:val="footnote reference"/>
    <w:aliases w:val="Appel note de bas de p"/>
    <w:uiPriority w:val="99"/>
    <w:rsid w:val="00F6386F"/>
    <w:rPr>
      <w:position w:val="6"/>
      <w:sz w:val="16"/>
    </w:rPr>
  </w:style>
  <w:style w:type="paragraph" w:styleId="FootnoteText">
    <w:name w:val="footnote text"/>
    <w:aliases w:val="ALTS FOOTNOTE"/>
    <w:basedOn w:val="Normal"/>
    <w:link w:val="FootnoteTextChar"/>
    <w:uiPriority w:val="99"/>
    <w:rsid w:val="00F6386F"/>
    <w:rPr>
      <w:sz w:val="20"/>
    </w:rPr>
  </w:style>
  <w:style w:type="character" w:styleId="PageNumber">
    <w:name w:val="page number"/>
    <w:basedOn w:val="DefaultParagraphFont"/>
    <w:rsid w:val="00F6386F"/>
  </w:style>
  <w:style w:type="paragraph" w:styleId="DocumentMap">
    <w:name w:val="Document Map"/>
    <w:basedOn w:val="Normal"/>
    <w:semiHidden/>
    <w:rsid w:val="00F6386F"/>
    <w:pPr>
      <w:shd w:val="clear" w:color="auto" w:fill="000080"/>
    </w:pPr>
    <w:rPr>
      <w:rFonts w:ascii="Tahoma" w:hAnsi="Tahoma"/>
    </w:rPr>
  </w:style>
  <w:style w:type="paragraph" w:styleId="TableofFigures">
    <w:name w:val="table of figures"/>
    <w:basedOn w:val="Normal"/>
    <w:next w:val="Normal"/>
    <w:semiHidden/>
    <w:rsid w:val="00F6386F"/>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BalloonText">
    <w:name w:val="Balloon Text"/>
    <w:basedOn w:val="Normal"/>
    <w:link w:val="BalloonTextChar"/>
    <w:rsid w:val="00340190"/>
    <w:pPr>
      <w:spacing w:after="0"/>
    </w:pPr>
    <w:rPr>
      <w:rFonts w:ascii="Tahoma" w:hAnsi="Tahoma" w:cs="Tahoma"/>
      <w:sz w:val="16"/>
      <w:szCs w:val="16"/>
    </w:rPr>
  </w:style>
  <w:style w:type="character" w:customStyle="1" w:styleId="BalloonTextChar">
    <w:name w:val="Balloon Text Char"/>
    <w:basedOn w:val="DefaultParagraphFont"/>
    <w:link w:val="BalloonText"/>
    <w:rsid w:val="00340190"/>
    <w:rPr>
      <w:rFonts w:ascii="Tahoma" w:hAnsi="Tahoma" w:cs="Tahoma"/>
      <w:sz w:val="16"/>
      <w:szCs w:val="16"/>
      <w:lang w:val="nb-NO" w:eastAsia="de-DE"/>
    </w:rPr>
  </w:style>
  <w:style w:type="paragraph" w:customStyle="1" w:styleId="Default">
    <w:name w:val="Default"/>
    <w:rsid w:val="001E7185"/>
    <w:pPr>
      <w:autoSpaceDE w:val="0"/>
      <w:autoSpaceDN w:val="0"/>
      <w:adjustRightInd w:val="0"/>
    </w:pPr>
    <w:rPr>
      <w:rFonts w:ascii="Trebuchet MS" w:eastAsia="Calibri" w:hAnsi="Trebuchet MS" w:cs="Trebuchet MS"/>
      <w:color w:val="000000"/>
      <w:sz w:val="24"/>
      <w:szCs w:val="24"/>
      <w:lang w:val="en-GB" w:eastAsia="en-GB"/>
    </w:rPr>
  </w:style>
  <w:style w:type="character" w:customStyle="1" w:styleId="FootnoteTextChar">
    <w:name w:val="Footnote Text Char"/>
    <w:aliases w:val="ALTS FOOTNOTE Char"/>
    <w:basedOn w:val="DefaultParagraphFont"/>
    <w:link w:val="FootnoteText"/>
    <w:uiPriority w:val="99"/>
    <w:rsid w:val="001E7185"/>
    <w:rPr>
      <w:rFonts w:ascii="Arial" w:hAnsi="Arial"/>
      <w:lang w:val="nb-NO" w:eastAsia="de-DE"/>
    </w:rPr>
  </w:style>
  <w:style w:type="paragraph" w:styleId="Footer">
    <w:name w:val="footer"/>
    <w:basedOn w:val="Normal"/>
    <w:link w:val="FooterChar"/>
    <w:rsid w:val="001E7185"/>
    <w:pPr>
      <w:tabs>
        <w:tab w:val="center" w:pos="4513"/>
        <w:tab w:val="right" w:pos="9026"/>
      </w:tabs>
      <w:spacing w:after="0"/>
    </w:pPr>
  </w:style>
  <w:style w:type="character" w:customStyle="1" w:styleId="FooterChar">
    <w:name w:val="Footer Char"/>
    <w:basedOn w:val="DefaultParagraphFont"/>
    <w:link w:val="Footer"/>
    <w:rsid w:val="001E7185"/>
    <w:rPr>
      <w:rFonts w:ascii="Arial" w:hAnsi="Arial"/>
      <w:sz w:val="22"/>
      <w:lang w:val="nb-NO" w:eastAsia="de-DE"/>
    </w:rPr>
  </w:style>
  <w:style w:type="character" w:customStyle="1" w:styleId="HeaderChar">
    <w:name w:val="Header Char"/>
    <w:basedOn w:val="DefaultParagraphFont"/>
    <w:link w:val="Header"/>
    <w:uiPriority w:val="99"/>
    <w:rsid w:val="001E7185"/>
    <w:rPr>
      <w:rFonts w:ascii="Arial" w:hAnsi="Arial"/>
      <w:b/>
      <w:sz w:val="22"/>
      <w:lang w:val="nb-NO" w:eastAsia="de-DE"/>
    </w:rPr>
  </w:style>
  <w:style w:type="paragraph" w:styleId="ListParagraph">
    <w:name w:val="List Paragraph"/>
    <w:basedOn w:val="Normal"/>
    <w:uiPriority w:val="34"/>
    <w:qFormat/>
    <w:rsid w:val="005E42AC"/>
    <w:pPr>
      <w:spacing w:after="200" w:line="276" w:lineRule="auto"/>
      <w:ind w:left="720"/>
      <w:contextualSpacing/>
      <w:jc w:val="left"/>
    </w:pPr>
    <w:rPr>
      <w:rFonts w:ascii="Calibri" w:eastAsia="Calibri" w:hAnsi="Calibri"/>
      <w:szCs w:val="22"/>
      <w:lang w:val="de-D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tech.ebu.ch/docs/r/r131.pdf" TargetMode="External"/><Relationship Id="rId1" Type="http://schemas.openxmlformats.org/officeDocument/2006/relationships/hyperlink" Target="http://ec.europa.eu/digital-agenda/en/news/special-eurobarometer-396-e-communications-household-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0;%20&#1076;&#1086;&#1082;&#1091;&#1084;&#1077;&#1085;&#1090;&#1099;\WG%20FM\WGFM73_Lille_France_October_2011\Input%20Documents\&#1058;&#1086;&#1083;&#1100;&#1082;&#1086;%20&#1095;&#1090;&#1086;%20&#1087;&#1086;&#1083;&#1091;&#1095;&#1077;&#1085;&#1085;&#1099;&#1077;\19%20&#1089;&#1077;&#1085;&#1090;&#1103;&#1073;&#1088;&#1103;\ECC%20Template%20for%20WGFM%20Contribu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 for WGFM Contributions.dot</Template>
  <TotalTime>12</TotalTime>
  <Pages>3</Pages>
  <Words>1349</Words>
  <Characters>7288</Characters>
  <Application>Microsoft Office Word</Application>
  <DocSecurity>0</DocSecurity>
  <Lines>60</Lines>
  <Paragraphs>17</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EBU input to ECC TG6 M2, 03-05 December 2013 </vt:lpstr>
      <vt:lpstr>Cover page</vt:lpstr>
      <vt:lpstr>Cover page</vt:lpstr>
    </vt:vector>
  </TitlesOfParts>
  <Company>EBU</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input to ECC TG6 M2, 03-05 December 2013 </dc:title>
  <dc:subject>The role of DTT and broadcasters' requirements</dc:subject>
  <dc:creator>D.Ratkaj</dc:creator>
  <cp:keywords>ECC, CEPT, EBU, DTT, requirements</cp:keywords>
  <dc:description/>
  <cp:lastModifiedBy>Miguel Capela</cp:lastModifiedBy>
  <cp:revision>11</cp:revision>
  <cp:lastPrinted>1999-09-27T14:20:00Z</cp:lastPrinted>
  <dcterms:created xsi:type="dcterms:W3CDTF">2013-11-19T15:27:00Z</dcterms:created>
  <dcterms:modified xsi:type="dcterms:W3CDTF">2013-11-26T16:16:00Z</dcterms:modified>
</cp:coreProperties>
</file>