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2" w:type="dxa"/>
        <w:tblLayout w:type="fixed"/>
        <w:tblCellMar>
          <w:left w:w="70" w:type="dxa"/>
          <w:right w:w="70" w:type="dxa"/>
        </w:tblCellMar>
        <w:tblLook w:val="0000" w:firstRow="0" w:lastRow="0" w:firstColumn="0" w:lastColumn="0" w:noHBand="0" w:noVBand="0"/>
      </w:tblPr>
      <w:tblGrid>
        <w:gridCol w:w="142"/>
        <w:gridCol w:w="1677"/>
        <w:gridCol w:w="3001"/>
        <w:gridCol w:w="4961"/>
      </w:tblGrid>
      <w:tr w:rsidR="00265F50" w:rsidRPr="001E7026" w14:paraId="2085C641" w14:textId="77777777" w:rsidTr="00891ABD">
        <w:trPr>
          <w:cantSplit/>
          <w:trHeight w:val="1560"/>
        </w:trPr>
        <w:tc>
          <w:tcPr>
            <w:tcW w:w="4820" w:type="dxa"/>
            <w:gridSpan w:val="3"/>
            <w:tcBorders>
              <w:top w:val="nil"/>
              <w:left w:val="nil"/>
              <w:bottom w:val="nil"/>
              <w:right w:val="nil"/>
            </w:tcBorders>
            <w:vAlign w:val="center"/>
          </w:tcPr>
          <w:p w14:paraId="12E7937E" w14:textId="2BE5DCD3" w:rsidR="00265F50" w:rsidRPr="001E7026" w:rsidRDefault="00265F50" w:rsidP="00DD5136">
            <w:pPr>
              <w:pStyle w:val="ECCLetterHead"/>
            </w:pPr>
            <w:bookmarkStart w:id="0" w:name="_GoBack"/>
            <w:bookmarkEnd w:id="0"/>
            <w:r w:rsidRPr="001E7026">
              <w:rPr>
                <w:noProof/>
                <w:lang w:eastAsia="da-DK"/>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2E3D41">
              <w:t>WG FM</w:t>
            </w:r>
          </w:p>
        </w:tc>
        <w:tc>
          <w:tcPr>
            <w:tcW w:w="4961" w:type="dxa"/>
            <w:tcBorders>
              <w:top w:val="nil"/>
              <w:left w:val="nil"/>
              <w:bottom w:val="nil"/>
              <w:right w:val="nil"/>
            </w:tcBorders>
            <w:shd w:val="clear" w:color="auto" w:fill="auto"/>
          </w:tcPr>
          <w:p w14:paraId="5911F235" w14:textId="4868B3E1" w:rsidR="00265F50" w:rsidRPr="001E7026" w:rsidRDefault="002E3D41" w:rsidP="0088694B">
            <w:pPr>
              <w:pStyle w:val="ECCLetterHead"/>
              <w:jc w:val="right"/>
            </w:pPr>
            <w:r>
              <w:t>FM(22)0</w:t>
            </w:r>
            <w:r w:rsidR="0088694B">
              <w:t>28</w:t>
            </w:r>
          </w:p>
        </w:tc>
      </w:tr>
      <w:tr w:rsidR="00F11542" w:rsidRPr="001E7026" w14:paraId="4F672DAE" w14:textId="77777777" w:rsidTr="00AD0D28">
        <w:tblPrEx>
          <w:tblCellMar>
            <w:left w:w="108" w:type="dxa"/>
            <w:right w:w="108" w:type="dxa"/>
          </w:tblCellMar>
        </w:tblPrEx>
        <w:trPr>
          <w:cantSplit/>
          <w:trHeight w:val="405"/>
        </w:trPr>
        <w:tc>
          <w:tcPr>
            <w:tcW w:w="9781" w:type="dxa"/>
            <w:gridSpan w:val="4"/>
            <w:tcBorders>
              <w:top w:val="nil"/>
              <w:left w:val="nil"/>
              <w:bottom w:val="nil"/>
              <w:right w:val="nil"/>
            </w:tcBorders>
            <w:vAlign w:val="center"/>
          </w:tcPr>
          <w:p w14:paraId="47136DC6" w14:textId="7AC67539" w:rsidR="00F11542" w:rsidRPr="001E7026" w:rsidRDefault="002E3D41" w:rsidP="00DD5136">
            <w:pPr>
              <w:pStyle w:val="ECCLetterHead"/>
            </w:pPr>
            <w:r>
              <w:t>101</w:t>
            </w:r>
            <w:r w:rsidRPr="002E3D41">
              <w:rPr>
                <w:vertAlign w:val="superscript"/>
              </w:rPr>
              <w:t>st</w:t>
            </w:r>
            <w:r>
              <w:t xml:space="preserve">  WG FM</w:t>
            </w:r>
            <w:r w:rsidR="00DA25EA" w:rsidRPr="001E7026">
              <w:t xml:space="preserve"> Meeting</w:t>
            </w:r>
          </w:p>
        </w:tc>
      </w:tr>
      <w:tr w:rsidR="00F11542" w:rsidRPr="001E7026" w14:paraId="563A76CA" w14:textId="77777777" w:rsidTr="00AD0D28">
        <w:tblPrEx>
          <w:tblCellMar>
            <w:left w:w="108" w:type="dxa"/>
            <w:right w:w="108" w:type="dxa"/>
          </w:tblCellMar>
        </w:tblPrEx>
        <w:trPr>
          <w:cantSplit/>
          <w:trHeight w:val="405"/>
        </w:trPr>
        <w:tc>
          <w:tcPr>
            <w:tcW w:w="9781" w:type="dxa"/>
            <w:gridSpan w:val="4"/>
            <w:tcBorders>
              <w:top w:val="nil"/>
              <w:left w:val="nil"/>
              <w:bottom w:val="nil"/>
              <w:right w:val="nil"/>
            </w:tcBorders>
            <w:vAlign w:val="center"/>
          </w:tcPr>
          <w:p w14:paraId="44504381" w14:textId="26303CF9" w:rsidR="00F11542" w:rsidRPr="001E7026" w:rsidRDefault="002E3D41" w:rsidP="00265F50">
            <w:pPr>
              <w:pStyle w:val="ECCLetterHead"/>
            </w:pPr>
            <w:r>
              <w:t xml:space="preserve">Web- Meeting, </w:t>
            </w:r>
            <w:r w:rsidR="00F11542" w:rsidRPr="001E7026">
              <w:t xml:space="preserve"> </w:t>
            </w:r>
            <w:r w:rsidR="00442407" w:rsidRPr="001E7026">
              <w:t>0</w:t>
            </w:r>
            <w:r>
              <w:t>7</w:t>
            </w:r>
            <w:r w:rsidR="00DA25EA" w:rsidRPr="001E7026">
              <w:t xml:space="preserve"> </w:t>
            </w:r>
            <w:r w:rsidR="00AC09AB" w:rsidRPr="001E7026">
              <w:t>–</w:t>
            </w:r>
            <w:r w:rsidR="00DA25EA" w:rsidRPr="001E7026">
              <w:t xml:space="preserve"> </w:t>
            </w:r>
            <w:r>
              <w:t>11 February</w:t>
            </w:r>
            <w:r w:rsidR="00442407" w:rsidRPr="001E7026">
              <w:t xml:space="preserve"> </w:t>
            </w:r>
            <w:r w:rsidR="00AC09AB" w:rsidRPr="001E7026">
              <w:t>202</w:t>
            </w:r>
            <w:r>
              <w:t>2</w:t>
            </w:r>
          </w:p>
        </w:tc>
      </w:tr>
      <w:tr w:rsidR="00F11542" w:rsidRPr="001E7026" w14:paraId="4B0D1AF6" w14:textId="77777777" w:rsidTr="00AD0D28">
        <w:tblPrEx>
          <w:tblCellMar>
            <w:left w:w="108" w:type="dxa"/>
            <w:right w:w="108" w:type="dxa"/>
          </w:tblCellMar>
        </w:tblPrEx>
        <w:trPr>
          <w:cantSplit/>
          <w:trHeight w:hRule="exact" w:val="79"/>
        </w:trPr>
        <w:tc>
          <w:tcPr>
            <w:tcW w:w="9781" w:type="dxa"/>
            <w:gridSpan w:val="4"/>
            <w:tcBorders>
              <w:top w:val="nil"/>
              <w:left w:val="nil"/>
              <w:bottom w:val="nil"/>
              <w:right w:val="nil"/>
            </w:tcBorders>
            <w:vAlign w:val="center"/>
          </w:tcPr>
          <w:p w14:paraId="1BEC15CD" w14:textId="77777777" w:rsidR="00F11542" w:rsidRPr="001E7026" w:rsidRDefault="00F11542" w:rsidP="00263FFB">
            <w:pPr>
              <w:pStyle w:val="ECCLetterHead"/>
            </w:pPr>
          </w:p>
        </w:tc>
      </w:tr>
      <w:tr w:rsidR="00263FFB" w:rsidRPr="001E7026" w14:paraId="7893EA43" w14:textId="77777777" w:rsidTr="001B0583">
        <w:tblPrEx>
          <w:tblCellMar>
            <w:left w:w="108" w:type="dxa"/>
            <w:right w:w="108" w:type="dxa"/>
          </w:tblCellMar>
        </w:tblPrEx>
        <w:trPr>
          <w:cantSplit/>
          <w:trHeight w:val="405"/>
        </w:trPr>
        <w:tc>
          <w:tcPr>
            <w:tcW w:w="1819" w:type="dxa"/>
            <w:gridSpan w:val="2"/>
            <w:tcBorders>
              <w:top w:val="nil"/>
              <w:left w:val="nil"/>
              <w:bottom w:val="nil"/>
              <w:right w:val="nil"/>
            </w:tcBorders>
            <w:vAlign w:val="center"/>
          </w:tcPr>
          <w:p w14:paraId="50D01FC4" w14:textId="77777777" w:rsidR="00263FFB" w:rsidRPr="001E7026" w:rsidRDefault="00263FFB" w:rsidP="00263FFB">
            <w:pPr>
              <w:pStyle w:val="ECCLetterHead"/>
            </w:pPr>
            <w:r w:rsidRPr="001E7026">
              <w:t xml:space="preserve">Date issued: </w:t>
            </w:r>
          </w:p>
        </w:tc>
        <w:tc>
          <w:tcPr>
            <w:tcW w:w="7962" w:type="dxa"/>
            <w:gridSpan w:val="2"/>
            <w:tcBorders>
              <w:top w:val="nil"/>
              <w:left w:val="nil"/>
              <w:bottom w:val="nil"/>
              <w:right w:val="nil"/>
            </w:tcBorders>
            <w:vAlign w:val="center"/>
          </w:tcPr>
          <w:p w14:paraId="5B5F7838" w14:textId="44ADFE32" w:rsidR="00263FFB" w:rsidRPr="001E7026" w:rsidRDefault="00DE5B05" w:rsidP="00263FFB">
            <w:pPr>
              <w:pStyle w:val="ECCLetterHead"/>
            </w:pPr>
            <w:r w:rsidRPr="001E7026">
              <w:t>2</w:t>
            </w:r>
            <w:r w:rsidR="00FA7B00">
              <w:t>1</w:t>
            </w:r>
            <w:r w:rsidR="002E3D41">
              <w:t xml:space="preserve"> January</w:t>
            </w:r>
            <w:r w:rsidRPr="001E7026">
              <w:t xml:space="preserve"> 2021</w:t>
            </w:r>
          </w:p>
        </w:tc>
      </w:tr>
      <w:tr w:rsidR="00DE5B05" w:rsidRPr="001E7026" w14:paraId="610BD899" w14:textId="77777777" w:rsidTr="001B0583">
        <w:tblPrEx>
          <w:tblCellMar>
            <w:left w:w="108" w:type="dxa"/>
            <w:right w:w="108" w:type="dxa"/>
          </w:tblCellMar>
        </w:tblPrEx>
        <w:trPr>
          <w:cantSplit/>
          <w:trHeight w:val="405"/>
        </w:trPr>
        <w:tc>
          <w:tcPr>
            <w:tcW w:w="1819" w:type="dxa"/>
            <w:gridSpan w:val="2"/>
            <w:tcBorders>
              <w:top w:val="nil"/>
              <w:left w:val="nil"/>
              <w:bottom w:val="nil"/>
              <w:right w:val="nil"/>
            </w:tcBorders>
            <w:vAlign w:val="center"/>
          </w:tcPr>
          <w:p w14:paraId="5D8EF816" w14:textId="77777777" w:rsidR="00DE5B05" w:rsidRPr="001E7026" w:rsidRDefault="00DE5B05" w:rsidP="00DE5B05">
            <w:pPr>
              <w:pStyle w:val="ECCLetterHead"/>
            </w:pPr>
            <w:r w:rsidRPr="001E7026">
              <w:t xml:space="preserve">Source: </w:t>
            </w:r>
          </w:p>
        </w:tc>
        <w:tc>
          <w:tcPr>
            <w:tcW w:w="7962" w:type="dxa"/>
            <w:gridSpan w:val="2"/>
            <w:tcBorders>
              <w:top w:val="nil"/>
              <w:left w:val="nil"/>
              <w:bottom w:val="nil"/>
              <w:right w:val="nil"/>
            </w:tcBorders>
            <w:vAlign w:val="center"/>
          </w:tcPr>
          <w:p w14:paraId="50D045A0" w14:textId="292690F5" w:rsidR="00DE5B05" w:rsidRPr="001E7026" w:rsidRDefault="00DE5B05" w:rsidP="00DE5B05">
            <w:pPr>
              <w:pStyle w:val="ECCLetterHead"/>
            </w:pPr>
            <w:r w:rsidRPr="001E7026">
              <w:rPr>
                <w:szCs w:val="22"/>
              </w:rPr>
              <w:t>ECO</w:t>
            </w:r>
          </w:p>
        </w:tc>
      </w:tr>
      <w:tr w:rsidR="00DE5B05" w:rsidRPr="001E7026" w14:paraId="31AEFAF8" w14:textId="77777777" w:rsidTr="001B0583">
        <w:tblPrEx>
          <w:tblCellMar>
            <w:left w:w="108" w:type="dxa"/>
            <w:right w:w="108" w:type="dxa"/>
          </w:tblCellMar>
        </w:tblPrEx>
        <w:trPr>
          <w:cantSplit/>
          <w:trHeight w:val="405"/>
        </w:trPr>
        <w:tc>
          <w:tcPr>
            <w:tcW w:w="1819" w:type="dxa"/>
            <w:gridSpan w:val="2"/>
            <w:tcBorders>
              <w:top w:val="nil"/>
              <w:left w:val="nil"/>
              <w:bottom w:val="nil"/>
              <w:right w:val="nil"/>
            </w:tcBorders>
            <w:vAlign w:val="center"/>
          </w:tcPr>
          <w:p w14:paraId="1E815EBE" w14:textId="77777777" w:rsidR="00DE5B05" w:rsidRPr="001E7026" w:rsidRDefault="00DE5B05" w:rsidP="00DE5B05">
            <w:pPr>
              <w:pStyle w:val="ECCLetterHead"/>
            </w:pPr>
            <w:r w:rsidRPr="001E7026">
              <w:t xml:space="preserve">Subject: </w:t>
            </w:r>
          </w:p>
        </w:tc>
        <w:tc>
          <w:tcPr>
            <w:tcW w:w="7962" w:type="dxa"/>
            <w:gridSpan w:val="2"/>
            <w:tcBorders>
              <w:top w:val="nil"/>
              <w:left w:val="nil"/>
              <w:bottom w:val="nil"/>
              <w:right w:val="nil"/>
            </w:tcBorders>
            <w:vAlign w:val="center"/>
          </w:tcPr>
          <w:p w14:paraId="641C6DD9" w14:textId="6A14007B" w:rsidR="00DE5B05" w:rsidRPr="001E7026" w:rsidRDefault="00DE5B05" w:rsidP="00DE5B05">
            <w:pPr>
              <w:pStyle w:val="ECCLetterHead"/>
            </w:pPr>
            <w:r w:rsidRPr="001E7026">
              <w:rPr>
                <w:szCs w:val="22"/>
              </w:rPr>
              <w:t>ECO Bulletin on on-going/new issues in other regions or organisations – November 2021 edition</w:t>
            </w:r>
          </w:p>
        </w:tc>
      </w:tr>
      <w:tr w:rsidR="00263FFB" w:rsidRPr="001E7026" w14:paraId="1E7D321D" w14:textId="77777777" w:rsidTr="001B0583">
        <w:tblPrEx>
          <w:tblCellMar>
            <w:left w:w="108" w:type="dxa"/>
            <w:right w:w="108" w:type="dxa"/>
          </w:tblCellMar>
        </w:tblPrEx>
        <w:trPr>
          <w:cantSplit/>
          <w:trHeight w:val="1040"/>
        </w:trPr>
        <w:tc>
          <w:tcPr>
            <w:tcW w:w="9781" w:type="dxa"/>
            <w:gridSpan w:val="4"/>
            <w:tcBorders>
              <w:top w:val="nil"/>
              <w:left w:val="nil"/>
              <w:bottom w:val="nil"/>
              <w:right w:val="nil"/>
            </w:tcBorders>
            <w:vAlign w:val="center"/>
          </w:tcPr>
          <w:p w14:paraId="20DECD78" w14:textId="77777777" w:rsidR="00263FFB" w:rsidRPr="001E7026" w:rsidRDefault="00263FFB" w:rsidP="00263FFB">
            <w:pPr>
              <w:pStyle w:val="ECCTabletext"/>
            </w:pPr>
            <w:r w:rsidRPr="001E7026">
              <w:rPr>
                <w:noProof/>
                <w:lang w:eastAsia="da-DK"/>
              </w:rPr>
              <mc:AlternateContent>
                <mc:Choice Requires="wps">
                  <w:drawing>
                    <wp:anchor distT="0" distB="0" distL="114300" distR="114300" simplePos="0" relativeHeight="251658240" behindDoc="0" locked="1" layoutInCell="0" allowOverlap="1" wp14:anchorId="7B9812FB" wp14:editId="141D2C2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F0CC951"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B9812F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2F0CC951"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1E7026">
              <w:t>Group membership required to read? (Y/N)</w:t>
            </w:r>
          </w:p>
        </w:tc>
      </w:tr>
      <w:tr w:rsidR="00263FFB" w:rsidRPr="001E7026" w14:paraId="4EB50F1F" w14:textId="77777777" w:rsidTr="001B0583">
        <w:tblPrEx>
          <w:tblCellMar>
            <w:left w:w="108" w:type="dxa"/>
            <w:right w:w="108" w:type="dxa"/>
          </w:tblCellMar>
        </w:tblPrEx>
        <w:trPr>
          <w:cantSplit/>
          <w:trHeight w:hRule="exact" w:val="74"/>
        </w:trPr>
        <w:tc>
          <w:tcPr>
            <w:tcW w:w="9781" w:type="dxa"/>
            <w:gridSpan w:val="4"/>
            <w:tcBorders>
              <w:top w:val="nil"/>
              <w:left w:val="nil"/>
              <w:bottom w:val="nil"/>
              <w:right w:val="nil"/>
            </w:tcBorders>
            <w:vAlign w:val="center"/>
          </w:tcPr>
          <w:p w14:paraId="43F83AE2" w14:textId="77777777" w:rsidR="00263FFB" w:rsidRPr="001E7026" w:rsidRDefault="00263FFB" w:rsidP="00263FFB">
            <w:pPr>
              <w:rPr>
                <w:rStyle w:val="ECCParagraph"/>
              </w:rPr>
            </w:pPr>
          </w:p>
          <w:p w14:paraId="24F7BA5C" w14:textId="77777777" w:rsidR="00263FFB" w:rsidRPr="001E7026" w:rsidRDefault="00263FFB" w:rsidP="00263FFB"/>
        </w:tc>
      </w:tr>
      <w:tr w:rsidR="00DE5B05" w:rsidRPr="001E7026" w14:paraId="4726E6C8" w14:textId="77777777" w:rsidTr="00AD0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446"/>
        </w:trPr>
        <w:tc>
          <w:tcPr>
            <w:tcW w:w="9639" w:type="dxa"/>
            <w:gridSpan w:val="3"/>
            <w:tcBorders>
              <w:top w:val="single" w:sz="6" w:space="0" w:color="C00000"/>
              <w:left w:val="single" w:sz="6" w:space="0" w:color="C00000"/>
              <w:bottom w:val="nil"/>
              <w:right w:val="single" w:sz="6" w:space="0" w:color="C00000"/>
            </w:tcBorders>
            <w:vAlign w:val="center"/>
          </w:tcPr>
          <w:p w14:paraId="068C15A4" w14:textId="77777777" w:rsidR="00DE5B05" w:rsidRPr="001E7026" w:rsidRDefault="00DE5B05" w:rsidP="00B65E6F">
            <w:pPr>
              <w:tabs>
                <w:tab w:val="right" w:pos="4750"/>
              </w:tabs>
              <w:spacing w:before="120"/>
              <w:rPr>
                <w:rFonts w:cs="Arial"/>
                <w:b/>
                <w:bCs/>
                <w:sz w:val="22"/>
              </w:rPr>
            </w:pPr>
            <w:r w:rsidRPr="001E7026">
              <w:rPr>
                <w:rFonts w:cs="Arial"/>
                <w:b/>
                <w:bCs/>
                <w:sz w:val="22"/>
              </w:rPr>
              <w:t xml:space="preserve">Summary: </w:t>
            </w:r>
          </w:p>
        </w:tc>
      </w:tr>
      <w:tr w:rsidR="00DE5B05" w:rsidRPr="001E7026" w14:paraId="2AE24C52" w14:textId="77777777" w:rsidTr="00AD0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3979"/>
        </w:trPr>
        <w:tc>
          <w:tcPr>
            <w:tcW w:w="9639" w:type="dxa"/>
            <w:gridSpan w:val="3"/>
            <w:tcBorders>
              <w:top w:val="nil"/>
              <w:left w:val="single" w:sz="6" w:space="0" w:color="C00000"/>
              <w:bottom w:val="single" w:sz="6" w:space="0" w:color="C00000"/>
              <w:right w:val="single" w:sz="6" w:space="0" w:color="C00000"/>
            </w:tcBorders>
          </w:tcPr>
          <w:p w14:paraId="3A7054F5" w14:textId="77777777" w:rsidR="00DE5B05" w:rsidRPr="001E7026" w:rsidRDefault="00DE5B05" w:rsidP="0088694B">
            <w:pPr>
              <w:spacing w:before="0"/>
              <w:rPr>
                <w:rFonts w:cs="Arial"/>
                <w:szCs w:val="20"/>
              </w:rPr>
            </w:pPr>
            <w:r w:rsidRPr="001E7026">
              <w:rPr>
                <w:rFonts w:cs="Arial"/>
                <w:szCs w:val="20"/>
              </w:rPr>
              <w:t>This ECO Bulletin provides a summary update on aspects of progress in spectrum management and numbering outside the CEPT. The items in this bulletin include:</w:t>
            </w:r>
          </w:p>
          <w:bookmarkStart w:id="1" w:name="_Hlk33193568" w:displacedByCustomXml="next"/>
          <w:sdt>
            <w:sdtPr>
              <w:rPr>
                <w:rFonts w:cs="Arial"/>
                <w:lang w:val="en-GB"/>
              </w:rPr>
              <w:id w:val="700049169"/>
              <w:docPartObj>
                <w:docPartGallery w:val="Table of Contents"/>
                <w:docPartUnique/>
              </w:docPartObj>
            </w:sdtPr>
            <w:sdtEndPr>
              <w:rPr>
                <w:b w:val="0"/>
                <w:bCs/>
              </w:rPr>
            </w:sdtEndPr>
            <w:sdtContent>
              <w:p w14:paraId="5489D214" w14:textId="52A69E7E" w:rsidR="0045262F" w:rsidRPr="001E7026" w:rsidRDefault="00DE5B05">
                <w:pPr>
                  <w:pStyle w:val="TM1"/>
                  <w:rPr>
                    <w:rFonts w:asciiTheme="minorHAnsi" w:eastAsiaTheme="minorEastAsia" w:hAnsiTheme="minorHAnsi" w:cstheme="minorBidi"/>
                    <w:b w:val="0"/>
                    <w:sz w:val="22"/>
                    <w:szCs w:val="22"/>
                  </w:rPr>
                </w:pPr>
                <w:r w:rsidRPr="001E7026">
                  <w:rPr>
                    <w:rFonts w:cs="Arial"/>
                    <w:lang w:val="en-GB"/>
                  </w:rPr>
                  <w:fldChar w:fldCharType="begin"/>
                </w:r>
                <w:r w:rsidRPr="001E7026">
                  <w:rPr>
                    <w:rFonts w:cs="Arial"/>
                    <w:lang w:val="en-GB"/>
                  </w:rPr>
                  <w:instrText xml:space="preserve"> TOC \o "1-3" \n \h \z \u </w:instrText>
                </w:r>
                <w:r w:rsidRPr="001E7026">
                  <w:rPr>
                    <w:rFonts w:cs="Arial"/>
                    <w:lang w:val="en-GB"/>
                  </w:rPr>
                  <w:fldChar w:fldCharType="separate"/>
                </w:r>
                <w:hyperlink w:anchor="_Toc86151678" w:history="1">
                  <w:r w:rsidR="00A63DB0" w:rsidRPr="001E7026">
                    <w:rPr>
                      <w:rStyle w:val="Lienhypertexte"/>
                      <w:lang w:val="en-GB"/>
                    </w:rPr>
                    <w:t>1</w:t>
                  </w:r>
                  <w:r w:rsidR="00A63DB0" w:rsidRPr="001E7026">
                    <w:rPr>
                      <w:rFonts w:asciiTheme="minorHAnsi" w:eastAsiaTheme="minorEastAsia" w:hAnsiTheme="minorHAnsi" w:cstheme="minorBidi"/>
                      <w:b w:val="0"/>
                      <w:sz w:val="22"/>
                      <w:szCs w:val="22"/>
                    </w:rPr>
                    <w:tab/>
                  </w:r>
                  <w:r w:rsidR="00A63DB0" w:rsidRPr="001E7026">
                    <w:rPr>
                      <w:rStyle w:val="Lienhypertexte"/>
                      <w:lang w:val="en-GB"/>
                    </w:rPr>
                    <w:t>Africa (ATU)</w:t>
                  </w:r>
                </w:hyperlink>
              </w:p>
              <w:p w14:paraId="1666B7E9" w14:textId="77BF74DB" w:rsidR="00A63DB0" w:rsidRPr="001E7026" w:rsidRDefault="00764271">
                <w:pPr>
                  <w:pStyle w:val="TM2"/>
                  <w:rPr>
                    <w:rFonts w:asciiTheme="minorHAnsi" w:eastAsiaTheme="minorEastAsia" w:hAnsiTheme="minorHAnsi" w:cstheme="minorBidi"/>
                    <w:sz w:val="22"/>
                    <w:szCs w:val="22"/>
                  </w:rPr>
                </w:pPr>
                <w:hyperlink w:anchor="_Toc86151679" w:history="1">
                  <w:r w:rsidR="00A63DB0" w:rsidRPr="001E7026">
                    <w:rPr>
                      <w:rStyle w:val="Lienhypertexte"/>
                      <w:lang w:val="en-GB"/>
                    </w:rPr>
                    <w:t>1.1</w:t>
                  </w:r>
                  <w:r w:rsidR="00A63DB0" w:rsidRPr="001E7026">
                    <w:rPr>
                      <w:rFonts w:asciiTheme="minorHAnsi" w:eastAsiaTheme="minorEastAsia" w:hAnsiTheme="minorHAnsi" w:cstheme="minorBidi"/>
                      <w:sz w:val="22"/>
                      <w:szCs w:val="22"/>
                    </w:rPr>
                    <w:tab/>
                  </w:r>
                  <w:r w:rsidR="00A63DB0" w:rsidRPr="001E7026">
                    <w:rPr>
                      <w:rStyle w:val="Lienhypertexte"/>
                      <w:lang w:val="en-GB"/>
                    </w:rPr>
                    <w:t>Rwanda LEO megaconstellation filing</w:t>
                  </w:r>
                </w:hyperlink>
              </w:p>
              <w:p w14:paraId="7DAA16CB" w14:textId="30161F3F" w:rsidR="00A63DB0" w:rsidRPr="001E7026" w:rsidRDefault="00764271">
                <w:pPr>
                  <w:pStyle w:val="TM2"/>
                  <w:rPr>
                    <w:rFonts w:asciiTheme="minorHAnsi" w:eastAsiaTheme="minorEastAsia" w:hAnsiTheme="minorHAnsi" w:cstheme="minorBidi"/>
                    <w:sz w:val="22"/>
                    <w:szCs w:val="22"/>
                  </w:rPr>
                </w:pPr>
                <w:hyperlink w:anchor="_Toc86151680" w:history="1">
                  <w:r w:rsidR="00A63DB0" w:rsidRPr="001E7026">
                    <w:rPr>
                      <w:rStyle w:val="Lienhypertexte"/>
                      <w:lang w:val="en-GB"/>
                    </w:rPr>
                    <w:t>1.2</w:t>
                  </w:r>
                  <w:r w:rsidR="00A63DB0" w:rsidRPr="001E7026">
                    <w:rPr>
                      <w:rFonts w:asciiTheme="minorHAnsi" w:eastAsiaTheme="minorEastAsia" w:hAnsiTheme="minorHAnsi" w:cstheme="minorBidi"/>
                      <w:sz w:val="22"/>
                      <w:szCs w:val="22"/>
                    </w:rPr>
                    <w:tab/>
                  </w:r>
                  <w:r w:rsidR="00A63DB0" w:rsidRPr="001E7026">
                    <w:rPr>
                      <w:rStyle w:val="Lienhypertexte"/>
                      <w:lang w:val="en-GB"/>
                    </w:rPr>
                    <w:t>South Africa mobile spectrum auction plans</w:t>
                  </w:r>
                </w:hyperlink>
              </w:p>
              <w:p w14:paraId="01396FF2" w14:textId="759C2B7A" w:rsidR="00A63DB0" w:rsidRPr="001E7026" w:rsidRDefault="00764271">
                <w:pPr>
                  <w:pStyle w:val="TM1"/>
                  <w:rPr>
                    <w:rFonts w:asciiTheme="minorHAnsi" w:eastAsiaTheme="minorEastAsia" w:hAnsiTheme="minorHAnsi" w:cstheme="minorBidi"/>
                    <w:b w:val="0"/>
                    <w:sz w:val="22"/>
                    <w:szCs w:val="22"/>
                  </w:rPr>
                </w:pPr>
                <w:hyperlink w:anchor="_Toc86151681" w:history="1">
                  <w:r w:rsidR="00A63DB0" w:rsidRPr="001E7026">
                    <w:rPr>
                      <w:rStyle w:val="Lienhypertexte"/>
                      <w:lang w:val="en-GB"/>
                    </w:rPr>
                    <w:t>2</w:t>
                  </w:r>
                  <w:r w:rsidR="00A63DB0" w:rsidRPr="001E7026">
                    <w:rPr>
                      <w:rFonts w:asciiTheme="minorHAnsi" w:eastAsiaTheme="minorEastAsia" w:hAnsiTheme="minorHAnsi" w:cstheme="minorBidi"/>
                      <w:b w:val="0"/>
                      <w:sz w:val="22"/>
                      <w:szCs w:val="22"/>
                    </w:rPr>
                    <w:tab/>
                  </w:r>
                  <w:r w:rsidR="00A63DB0" w:rsidRPr="001E7026">
                    <w:rPr>
                      <w:rStyle w:val="Lienhypertexte"/>
                      <w:lang w:val="en-GB"/>
                    </w:rPr>
                    <w:t>Asia Pacific Region (APT)</w:t>
                  </w:r>
                </w:hyperlink>
              </w:p>
              <w:p w14:paraId="138856AE" w14:textId="5037CC1F" w:rsidR="00A63DB0" w:rsidRPr="001E7026" w:rsidRDefault="00764271">
                <w:pPr>
                  <w:pStyle w:val="TM2"/>
                  <w:rPr>
                    <w:rFonts w:asciiTheme="minorHAnsi" w:eastAsiaTheme="minorEastAsia" w:hAnsiTheme="minorHAnsi" w:cstheme="minorBidi"/>
                    <w:sz w:val="22"/>
                    <w:szCs w:val="22"/>
                  </w:rPr>
                </w:pPr>
                <w:hyperlink w:anchor="_Toc86151682" w:history="1">
                  <w:r w:rsidR="00A63DB0" w:rsidRPr="001E7026">
                    <w:rPr>
                      <w:rStyle w:val="Lienhypertexte"/>
                      <w:lang w:val="en-GB"/>
                    </w:rPr>
                    <w:t>2.1</w:t>
                  </w:r>
                  <w:r w:rsidR="00A63DB0" w:rsidRPr="001E7026">
                    <w:rPr>
                      <w:rFonts w:asciiTheme="minorHAnsi" w:eastAsiaTheme="minorEastAsia" w:hAnsiTheme="minorHAnsi" w:cstheme="minorBidi"/>
                      <w:sz w:val="22"/>
                      <w:szCs w:val="22"/>
                    </w:rPr>
                    <w:tab/>
                  </w:r>
                  <w:r w:rsidR="00A63DB0" w:rsidRPr="001E7026">
                    <w:rPr>
                      <w:rStyle w:val="Lienhypertexte"/>
                      <w:lang w:val="en-GB"/>
                    </w:rPr>
                    <w:t>South Korea Local private 5G spectrum assignments</w:t>
                  </w:r>
                </w:hyperlink>
              </w:p>
              <w:p w14:paraId="70721ACA" w14:textId="6BFBAE3F" w:rsidR="00A63DB0" w:rsidRPr="001E7026" w:rsidRDefault="00764271">
                <w:pPr>
                  <w:pStyle w:val="TM2"/>
                  <w:rPr>
                    <w:rFonts w:asciiTheme="minorHAnsi" w:eastAsiaTheme="minorEastAsia" w:hAnsiTheme="minorHAnsi" w:cstheme="minorBidi"/>
                    <w:sz w:val="22"/>
                    <w:szCs w:val="22"/>
                  </w:rPr>
                </w:pPr>
                <w:hyperlink w:anchor="_Toc86151683" w:history="1">
                  <w:r w:rsidR="00A63DB0" w:rsidRPr="001E7026">
                    <w:rPr>
                      <w:rStyle w:val="Lienhypertexte"/>
                      <w:lang w:val="en-GB"/>
                    </w:rPr>
                    <w:t>2.2</w:t>
                  </w:r>
                  <w:r w:rsidR="00A63DB0" w:rsidRPr="001E7026">
                    <w:rPr>
                      <w:rFonts w:asciiTheme="minorHAnsi" w:eastAsiaTheme="minorEastAsia" w:hAnsiTheme="minorHAnsi" w:cstheme="minorBidi"/>
                      <w:sz w:val="22"/>
                      <w:szCs w:val="22"/>
                    </w:rPr>
                    <w:tab/>
                  </w:r>
                  <w:r w:rsidR="00A63DB0" w:rsidRPr="001E7026">
                    <w:rPr>
                      <w:rStyle w:val="Lienhypertexte"/>
                      <w:lang w:val="en-GB"/>
                    </w:rPr>
                    <w:t>Pakistan mobile spectrum auction results</w:t>
                  </w:r>
                </w:hyperlink>
              </w:p>
              <w:p w14:paraId="647AAAF5" w14:textId="2D9996F0" w:rsidR="00A63DB0" w:rsidRPr="001E7026" w:rsidRDefault="00764271">
                <w:pPr>
                  <w:pStyle w:val="TM1"/>
                  <w:rPr>
                    <w:rFonts w:asciiTheme="minorHAnsi" w:eastAsiaTheme="minorEastAsia" w:hAnsiTheme="minorHAnsi" w:cstheme="minorBidi"/>
                    <w:b w:val="0"/>
                    <w:sz w:val="22"/>
                    <w:szCs w:val="22"/>
                  </w:rPr>
                </w:pPr>
                <w:hyperlink w:anchor="_Toc86151684" w:history="1">
                  <w:r w:rsidR="00A63DB0" w:rsidRPr="001E7026">
                    <w:rPr>
                      <w:rStyle w:val="Lienhypertexte"/>
                      <w:lang w:val="en-GB"/>
                    </w:rPr>
                    <w:t>3</w:t>
                  </w:r>
                  <w:r w:rsidR="00A63DB0" w:rsidRPr="001E7026">
                    <w:rPr>
                      <w:rFonts w:asciiTheme="minorHAnsi" w:eastAsiaTheme="minorEastAsia" w:hAnsiTheme="minorHAnsi" w:cstheme="minorBidi"/>
                      <w:b w:val="0"/>
                      <w:sz w:val="22"/>
                      <w:szCs w:val="22"/>
                    </w:rPr>
                    <w:tab/>
                  </w:r>
                  <w:r w:rsidR="00A63DB0" w:rsidRPr="001E7026">
                    <w:rPr>
                      <w:rStyle w:val="Lienhypertexte"/>
                      <w:lang w:val="en-GB"/>
                    </w:rPr>
                    <w:t>Americas (CITEL)</w:t>
                  </w:r>
                </w:hyperlink>
              </w:p>
              <w:p w14:paraId="50FD6D11" w14:textId="51DD627D" w:rsidR="00A63DB0" w:rsidRPr="001E7026" w:rsidRDefault="00764271">
                <w:pPr>
                  <w:pStyle w:val="TM2"/>
                  <w:rPr>
                    <w:rFonts w:asciiTheme="minorHAnsi" w:eastAsiaTheme="minorEastAsia" w:hAnsiTheme="minorHAnsi" w:cstheme="minorBidi"/>
                    <w:sz w:val="22"/>
                    <w:szCs w:val="22"/>
                  </w:rPr>
                </w:pPr>
                <w:hyperlink w:anchor="_Toc86151685" w:history="1">
                  <w:r w:rsidR="00A63DB0" w:rsidRPr="001E7026">
                    <w:rPr>
                      <w:rStyle w:val="Lienhypertexte"/>
                      <w:lang w:val="en-GB"/>
                    </w:rPr>
                    <w:t>3.1</w:t>
                  </w:r>
                  <w:r w:rsidR="00A63DB0" w:rsidRPr="001E7026">
                    <w:rPr>
                      <w:rFonts w:asciiTheme="minorHAnsi" w:eastAsiaTheme="minorEastAsia" w:hAnsiTheme="minorHAnsi" w:cstheme="minorBidi"/>
                      <w:sz w:val="22"/>
                      <w:szCs w:val="22"/>
                    </w:rPr>
                    <w:tab/>
                  </w:r>
                  <w:r w:rsidR="00A63DB0" w:rsidRPr="001E7026">
                    <w:rPr>
                      <w:rStyle w:val="Lienhypertexte"/>
                      <w:lang w:val="en-GB"/>
                    </w:rPr>
                    <w:t>Brazil 5g auction</w:t>
                  </w:r>
                </w:hyperlink>
              </w:p>
              <w:p w14:paraId="254E0CE1" w14:textId="7B60C15A" w:rsidR="00A63DB0" w:rsidRPr="001E7026" w:rsidRDefault="00764271">
                <w:pPr>
                  <w:pStyle w:val="TM2"/>
                  <w:rPr>
                    <w:rFonts w:asciiTheme="minorHAnsi" w:eastAsiaTheme="minorEastAsia" w:hAnsiTheme="minorHAnsi" w:cstheme="minorBidi"/>
                    <w:sz w:val="22"/>
                    <w:szCs w:val="22"/>
                  </w:rPr>
                </w:pPr>
                <w:hyperlink w:anchor="_Toc86151686" w:history="1">
                  <w:r w:rsidR="00A63DB0" w:rsidRPr="001E7026">
                    <w:rPr>
                      <w:rStyle w:val="Lienhypertexte"/>
                      <w:lang w:val="en-GB"/>
                    </w:rPr>
                    <w:t>3.2</w:t>
                  </w:r>
                  <w:r w:rsidR="00A63DB0" w:rsidRPr="001E7026">
                    <w:rPr>
                      <w:rFonts w:asciiTheme="minorHAnsi" w:eastAsiaTheme="minorEastAsia" w:hAnsiTheme="minorHAnsi" w:cstheme="minorBidi"/>
                      <w:sz w:val="22"/>
                      <w:szCs w:val="22"/>
                    </w:rPr>
                    <w:tab/>
                  </w:r>
                  <w:r w:rsidR="00A63DB0" w:rsidRPr="001E7026">
                    <w:rPr>
                      <w:rStyle w:val="Lienhypertexte"/>
                      <w:lang w:val="en-GB"/>
                    </w:rPr>
                    <w:t>USA</w:t>
                  </w:r>
                </w:hyperlink>
              </w:p>
              <w:p w14:paraId="3E50D633" w14:textId="2BCAFF69" w:rsidR="00A63DB0" w:rsidRPr="001E7026" w:rsidRDefault="00764271">
                <w:pPr>
                  <w:pStyle w:val="TM3"/>
                  <w:rPr>
                    <w:rFonts w:asciiTheme="minorHAnsi" w:eastAsiaTheme="minorEastAsia" w:hAnsiTheme="minorHAnsi" w:cstheme="minorBidi"/>
                    <w:sz w:val="22"/>
                    <w:szCs w:val="22"/>
                  </w:rPr>
                </w:pPr>
                <w:hyperlink w:anchor="_Toc86151687" w:history="1">
                  <w:r w:rsidR="00A63DB0" w:rsidRPr="001E7026">
                    <w:rPr>
                      <w:rStyle w:val="Lienhypertexte"/>
                      <w:lang w:val="en-GB"/>
                    </w:rPr>
                    <w:t>3.2.1</w:t>
                  </w:r>
                  <w:r w:rsidR="00A63DB0" w:rsidRPr="001E7026">
                    <w:rPr>
                      <w:rFonts w:asciiTheme="minorHAnsi" w:eastAsiaTheme="minorEastAsia" w:hAnsiTheme="minorHAnsi" w:cstheme="minorBidi"/>
                      <w:sz w:val="22"/>
                      <w:szCs w:val="22"/>
                    </w:rPr>
                    <w:tab/>
                  </w:r>
                  <w:r w:rsidR="00A63DB0" w:rsidRPr="001E7026">
                    <w:rPr>
                      <w:rStyle w:val="Lienhypertexte"/>
                      <w:lang w:val="en-GB"/>
                    </w:rPr>
                    <w:t>USA C Band 3.45-3.55 GHz</w:t>
                  </w:r>
                </w:hyperlink>
              </w:p>
              <w:p w14:paraId="3E3640CA" w14:textId="32722313" w:rsidR="00A63DB0" w:rsidRPr="001E7026" w:rsidRDefault="00764271">
                <w:pPr>
                  <w:pStyle w:val="TM3"/>
                  <w:rPr>
                    <w:rFonts w:asciiTheme="minorHAnsi" w:eastAsiaTheme="minorEastAsia" w:hAnsiTheme="minorHAnsi" w:cstheme="minorBidi"/>
                    <w:sz w:val="22"/>
                    <w:szCs w:val="22"/>
                  </w:rPr>
                </w:pPr>
                <w:hyperlink w:anchor="_Toc86151688" w:history="1">
                  <w:r w:rsidR="00A63DB0" w:rsidRPr="001E7026">
                    <w:rPr>
                      <w:rStyle w:val="Lienhypertexte"/>
                      <w:lang w:val="en-GB"/>
                    </w:rPr>
                    <w:t>3.2.2</w:t>
                  </w:r>
                  <w:r w:rsidR="00A63DB0" w:rsidRPr="001E7026">
                    <w:rPr>
                      <w:rFonts w:asciiTheme="minorHAnsi" w:eastAsiaTheme="minorEastAsia" w:hAnsiTheme="minorHAnsi" w:cstheme="minorBidi"/>
                      <w:sz w:val="22"/>
                      <w:szCs w:val="22"/>
                    </w:rPr>
                    <w:tab/>
                  </w:r>
                  <w:r w:rsidR="00A63DB0" w:rsidRPr="001E7026">
                    <w:rPr>
                      <w:rStyle w:val="Lienhypertexte"/>
                      <w:lang w:val="en-GB"/>
                    </w:rPr>
                    <w:t>New framework for public safety operations in the 4.9 GHz band</w:t>
                  </w:r>
                </w:hyperlink>
              </w:p>
              <w:p w14:paraId="42604C31" w14:textId="418F4641" w:rsidR="00A63DB0" w:rsidRPr="001E7026" w:rsidRDefault="00764271">
                <w:pPr>
                  <w:pStyle w:val="TM3"/>
                  <w:rPr>
                    <w:rFonts w:asciiTheme="minorHAnsi" w:eastAsiaTheme="minorEastAsia" w:hAnsiTheme="minorHAnsi" w:cstheme="minorBidi"/>
                    <w:sz w:val="22"/>
                    <w:szCs w:val="22"/>
                  </w:rPr>
                </w:pPr>
                <w:hyperlink w:anchor="_Toc86151689" w:history="1">
                  <w:r w:rsidR="00A63DB0" w:rsidRPr="001E7026">
                    <w:rPr>
                      <w:rStyle w:val="Lienhypertexte"/>
                      <w:lang w:val="en-GB"/>
                    </w:rPr>
                    <w:t>3.2.3</w:t>
                  </w:r>
                  <w:r w:rsidR="00A63DB0" w:rsidRPr="001E7026">
                    <w:rPr>
                      <w:rFonts w:asciiTheme="minorHAnsi" w:eastAsiaTheme="minorEastAsia" w:hAnsiTheme="minorHAnsi" w:cstheme="minorBidi"/>
                      <w:sz w:val="22"/>
                      <w:szCs w:val="22"/>
                    </w:rPr>
                    <w:tab/>
                  </w:r>
                  <w:r w:rsidR="00A63DB0" w:rsidRPr="001E7026">
                    <w:rPr>
                      <w:rStyle w:val="Lienhypertexte"/>
                      <w:lang w:val="en-GB"/>
                    </w:rPr>
                    <w:t>Launch of SpectrumX Innovation Centre</w:t>
                  </w:r>
                </w:hyperlink>
              </w:p>
              <w:p w14:paraId="0357C03B" w14:textId="47C09B1D" w:rsidR="00A63DB0" w:rsidRPr="001E7026" w:rsidRDefault="00764271">
                <w:pPr>
                  <w:pStyle w:val="TM3"/>
                  <w:rPr>
                    <w:rFonts w:asciiTheme="minorHAnsi" w:eastAsiaTheme="minorEastAsia" w:hAnsiTheme="minorHAnsi" w:cstheme="minorBidi"/>
                    <w:sz w:val="22"/>
                    <w:szCs w:val="22"/>
                  </w:rPr>
                </w:pPr>
                <w:hyperlink w:anchor="_Toc86151690" w:history="1">
                  <w:r w:rsidR="00A63DB0" w:rsidRPr="001E7026">
                    <w:rPr>
                      <w:rStyle w:val="Lienhypertexte"/>
                      <w:lang w:val="en-GB"/>
                    </w:rPr>
                    <w:t>3.2.4</w:t>
                  </w:r>
                  <w:r w:rsidR="00A63DB0" w:rsidRPr="001E7026">
                    <w:rPr>
                      <w:rFonts w:asciiTheme="minorHAnsi" w:eastAsiaTheme="minorEastAsia" w:hAnsiTheme="minorHAnsi" w:cstheme="minorBidi"/>
                      <w:sz w:val="22"/>
                      <w:szCs w:val="22"/>
                    </w:rPr>
                    <w:tab/>
                  </w:r>
                  <w:r w:rsidR="00A63DB0" w:rsidRPr="001E7026">
                    <w:rPr>
                      <w:rStyle w:val="Lienhypertexte"/>
                      <w:lang w:val="en-GB"/>
                    </w:rPr>
                    <w:t>Hiber to stop development of its satellite IoT constellation</w:t>
                  </w:r>
                </w:hyperlink>
              </w:p>
              <w:p w14:paraId="58765566" w14:textId="2B0A7613" w:rsidR="00A63DB0" w:rsidRPr="001E7026" w:rsidRDefault="00764271">
                <w:pPr>
                  <w:pStyle w:val="TM3"/>
                  <w:rPr>
                    <w:rFonts w:asciiTheme="minorHAnsi" w:eastAsiaTheme="minorEastAsia" w:hAnsiTheme="minorHAnsi" w:cstheme="minorBidi"/>
                    <w:sz w:val="22"/>
                    <w:szCs w:val="22"/>
                  </w:rPr>
                </w:pPr>
                <w:hyperlink w:anchor="_Toc86151691" w:history="1">
                  <w:r w:rsidR="00A63DB0" w:rsidRPr="001E7026">
                    <w:rPr>
                      <w:rStyle w:val="Lienhypertexte"/>
                      <w:lang w:val="en-GB"/>
                    </w:rPr>
                    <w:t>3.2.5</w:t>
                  </w:r>
                  <w:r w:rsidR="00A63DB0" w:rsidRPr="001E7026">
                    <w:rPr>
                      <w:rFonts w:asciiTheme="minorHAnsi" w:eastAsiaTheme="minorEastAsia" w:hAnsiTheme="minorHAnsi" w:cstheme="minorBidi"/>
                      <w:sz w:val="22"/>
                      <w:szCs w:val="22"/>
                    </w:rPr>
                    <w:tab/>
                  </w:r>
                  <w:r w:rsidR="00A63DB0" w:rsidRPr="001E7026">
                    <w:rPr>
                      <w:rStyle w:val="Lienhypertexte"/>
                      <w:lang w:val="en-GB"/>
                    </w:rPr>
                    <w:t>SpaceX acquisition of Swarm</w:t>
                  </w:r>
                </w:hyperlink>
              </w:p>
              <w:p w14:paraId="4EB70C36" w14:textId="512ACB61" w:rsidR="00A63DB0" w:rsidRPr="001E7026" w:rsidRDefault="00764271">
                <w:pPr>
                  <w:pStyle w:val="TM3"/>
                  <w:rPr>
                    <w:rFonts w:asciiTheme="minorHAnsi" w:eastAsiaTheme="minorEastAsia" w:hAnsiTheme="minorHAnsi" w:cstheme="minorBidi"/>
                    <w:sz w:val="22"/>
                    <w:szCs w:val="22"/>
                  </w:rPr>
                </w:pPr>
                <w:hyperlink w:anchor="_Toc86151692" w:history="1">
                  <w:r w:rsidR="00A63DB0" w:rsidRPr="001E7026">
                    <w:rPr>
                      <w:rStyle w:val="Lienhypertexte"/>
                      <w:lang w:val="en-GB"/>
                    </w:rPr>
                    <w:t>3.2.6</w:t>
                  </w:r>
                  <w:r w:rsidR="00A63DB0" w:rsidRPr="001E7026">
                    <w:rPr>
                      <w:rFonts w:asciiTheme="minorHAnsi" w:eastAsiaTheme="minorEastAsia" w:hAnsiTheme="minorHAnsi" w:cstheme="minorBidi"/>
                      <w:sz w:val="22"/>
                      <w:szCs w:val="22"/>
                    </w:rPr>
                    <w:tab/>
                  </w:r>
                  <w:r w:rsidR="00A63DB0" w:rsidRPr="001E7026">
                    <w:rPr>
                      <w:rStyle w:val="Lienhypertexte"/>
                      <w:lang w:val="en-GB"/>
                    </w:rPr>
                    <w:t>5.9 GHz ITS</w:t>
                  </w:r>
                </w:hyperlink>
              </w:p>
              <w:p w14:paraId="5F5C4B82" w14:textId="4B4A1527" w:rsidR="00A63DB0" w:rsidRPr="001E7026" w:rsidRDefault="00764271">
                <w:pPr>
                  <w:pStyle w:val="TM1"/>
                  <w:rPr>
                    <w:rFonts w:asciiTheme="minorHAnsi" w:eastAsiaTheme="minorEastAsia" w:hAnsiTheme="minorHAnsi" w:cstheme="minorBidi"/>
                    <w:b w:val="0"/>
                    <w:sz w:val="22"/>
                    <w:szCs w:val="22"/>
                  </w:rPr>
                </w:pPr>
                <w:hyperlink w:anchor="_Toc86151693" w:history="1">
                  <w:r w:rsidR="00A63DB0" w:rsidRPr="001E7026">
                    <w:rPr>
                      <w:rStyle w:val="Lienhypertexte"/>
                      <w:lang w:val="en-GB"/>
                    </w:rPr>
                    <w:t>4</w:t>
                  </w:r>
                  <w:r w:rsidR="00A63DB0" w:rsidRPr="001E7026">
                    <w:rPr>
                      <w:rFonts w:asciiTheme="minorHAnsi" w:eastAsiaTheme="minorEastAsia" w:hAnsiTheme="minorHAnsi" w:cstheme="minorBidi"/>
                      <w:b w:val="0"/>
                      <w:sz w:val="22"/>
                      <w:szCs w:val="22"/>
                    </w:rPr>
                    <w:tab/>
                  </w:r>
                  <w:r w:rsidR="00A63DB0" w:rsidRPr="001E7026">
                    <w:rPr>
                      <w:rStyle w:val="Lienhypertexte"/>
                      <w:lang w:val="en-GB"/>
                    </w:rPr>
                    <w:t>Global developments</w:t>
                  </w:r>
                </w:hyperlink>
              </w:p>
              <w:p w14:paraId="72C99689" w14:textId="33ACA5D8" w:rsidR="00A63DB0" w:rsidRPr="001E7026" w:rsidRDefault="00764271">
                <w:pPr>
                  <w:pStyle w:val="TM2"/>
                  <w:rPr>
                    <w:rFonts w:asciiTheme="minorHAnsi" w:eastAsiaTheme="minorEastAsia" w:hAnsiTheme="minorHAnsi" w:cstheme="minorBidi"/>
                    <w:sz w:val="22"/>
                    <w:szCs w:val="22"/>
                  </w:rPr>
                </w:pPr>
                <w:hyperlink w:anchor="_Toc86151694" w:history="1">
                  <w:r w:rsidR="00A63DB0" w:rsidRPr="001E7026">
                    <w:rPr>
                      <w:rStyle w:val="Lienhypertexte"/>
                      <w:lang w:val="en-GB"/>
                    </w:rPr>
                    <w:t>4.1</w:t>
                  </w:r>
                  <w:r w:rsidR="00A63DB0" w:rsidRPr="001E7026">
                    <w:rPr>
                      <w:rFonts w:asciiTheme="minorHAnsi" w:eastAsiaTheme="minorEastAsia" w:hAnsiTheme="minorHAnsi" w:cstheme="minorBidi"/>
                      <w:sz w:val="22"/>
                      <w:szCs w:val="22"/>
                    </w:rPr>
                    <w:tab/>
                  </w:r>
                  <w:r w:rsidR="00A63DB0" w:rsidRPr="001E7026">
                    <w:rPr>
                      <w:rStyle w:val="Lienhypertexte"/>
                      <w:lang w:val="en-GB"/>
                    </w:rPr>
                    <w:t>Inmarsat ORCHESTRA hybrid GEO/LEO/5G network</w:t>
                  </w:r>
                </w:hyperlink>
              </w:p>
              <w:p w14:paraId="3EBB1A07" w14:textId="46B24081" w:rsidR="00DE5B05" w:rsidRPr="001E7026" w:rsidRDefault="00DE5B05" w:rsidP="00B65E6F">
                <w:pPr>
                  <w:pStyle w:val="TM1"/>
                  <w:tabs>
                    <w:tab w:val="clear" w:pos="425"/>
                    <w:tab w:val="clear" w:pos="9639"/>
                    <w:tab w:val="left" w:pos="442"/>
                    <w:tab w:val="right" w:leader="dot" w:pos="9628"/>
                  </w:tabs>
                  <w:ind w:left="0" w:firstLine="0"/>
                  <w:rPr>
                    <w:rFonts w:cs="Arial"/>
                    <w:lang w:val="en-GB"/>
                  </w:rPr>
                </w:pPr>
                <w:r w:rsidRPr="001E7026">
                  <w:rPr>
                    <w:rFonts w:cs="Arial"/>
                    <w:lang w:val="en-GB"/>
                  </w:rPr>
                  <w:fldChar w:fldCharType="end"/>
                </w:r>
              </w:p>
            </w:sdtContent>
          </w:sdt>
          <w:bookmarkEnd w:id="1" w:displacedByCustomXml="prev"/>
        </w:tc>
      </w:tr>
    </w:tbl>
    <w:p w14:paraId="4696AE18" w14:textId="77777777" w:rsidR="00DE5B05" w:rsidRPr="001E7026" w:rsidRDefault="00DE5B05" w:rsidP="00DE5B05">
      <w:pPr>
        <w:rPr>
          <w:rFonts w:cs="Arial"/>
          <w:szCs w:val="20"/>
        </w:rPr>
      </w:pPr>
      <w:r w:rsidRPr="001E7026">
        <w:rPr>
          <w:szCs w:val="20"/>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DE5B05" w:rsidRPr="001E7026" w14:paraId="5F6D14DE" w14:textId="77777777" w:rsidTr="00B65E6F">
        <w:trPr>
          <w:cantSplit/>
          <w:trHeight w:val="443"/>
        </w:trPr>
        <w:tc>
          <w:tcPr>
            <w:tcW w:w="9639" w:type="dxa"/>
            <w:tcBorders>
              <w:top w:val="single" w:sz="6" w:space="0" w:color="C00000"/>
              <w:left w:val="single" w:sz="6" w:space="0" w:color="C00000"/>
              <w:bottom w:val="nil"/>
              <w:right w:val="single" w:sz="6" w:space="0" w:color="C00000"/>
            </w:tcBorders>
            <w:vAlign w:val="center"/>
          </w:tcPr>
          <w:p w14:paraId="1DA1B36D" w14:textId="77777777" w:rsidR="00DE5B05" w:rsidRPr="001E7026" w:rsidRDefault="00DE5B05" w:rsidP="00B65E6F">
            <w:pPr>
              <w:tabs>
                <w:tab w:val="right" w:pos="4750"/>
              </w:tabs>
              <w:spacing w:before="120"/>
              <w:rPr>
                <w:rFonts w:cs="Arial"/>
                <w:b/>
                <w:bCs/>
                <w:sz w:val="22"/>
              </w:rPr>
            </w:pPr>
            <w:r w:rsidRPr="001E7026">
              <w:rPr>
                <w:rFonts w:cs="Arial"/>
                <w:b/>
                <w:bCs/>
                <w:sz w:val="22"/>
              </w:rPr>
              <w:lastRenderedPageBreak/>
              <w:t>Proposal:</w:t>
            </w:r>
          </w:p>
        </w:tc>
      </w:tr>
      <w:tr w:rsidR="00DE5B05" w:rsidRPr="001E7026" w14:paraId="65EECAB2" w14:textId="77777777" w:rsidTr="0088694B">
        <w:tc>
          <w:tcPr>
            <w:tcW w:w="9639" w:type="dxa"/>
            <w:tcBorders>
              <w:top w:val="nil"/>
              <w:left w:val="single" w:sz="6" w:space="0" w:color="C00000"/>
              <w:bottom w:val="single" w:sz="6" w:space="0" w:color="C00000"/>
              <w:right w:val="single" w:sz="6" w:space="0" w:color="C00000"/>
            </w:tcBorders>
          </w:tcPr>
          <w:p w14:paraId="76C6724B" w14:textId="4D9AB4BC" w:rsidR="00DE5B05" w:rsidRPr="001E7026" w:rsidRDefault="002E3D41" w:rsidP="0088694B">
            <w:pPr>
              <w:spacing w:before="0"/>
              <w:rPr>
                <w:rFonts w:cs="Arial"/>
                <w:szCs w:val="20"/>
              </w:rPr>
            </w:pPr>
            <w:r>
              <w:rPr>
                <w:rFonts w:cs="Arial"/>
                <w:szCs w:val="20"/>
              </w:rPr>
              <w:t>WGFM</w:t>
            </w:r>
            <w:r w:rsidR="00DE5B05" w:rsidRPr="001E7026">
              <w:rPr>
                <w:rFonts w:cs="Arial"/>
                <w:szCs w:val="20"/>
              </w:rPr>
              <w:t xml:space="preserve"> is invited to note this Bulletin.</w:t>
            </w:r>
          </w:p>
          <w:p w14:paraId="5E9A7106" w14:textId="77777777" w:rsidR="00DE5B05" w:rsidRPr="001E7026" w:rsidRDefault="00DE5B05" w:rsidP="0088694B">
            <w:pPr>
              <w:spacing w:before="0"/>
              <w:rPr>
                <w:rFonts w:cs="Arial"/>
                <w:szCs w:val="20"/>
              </w:rPr>
            </w:pPr>
          </w:p>
        </w:tc>
      </w:tr>
      <w:tr w:rsidR="00DE5B05" w:rsidRPr="001E7026" w14:paraId="60E46430" w14:textId="77777777" w:rsidTr="00B65E6F">
        <w:trPr>
          <w:cantSplit/>
          <w:trHeight w:val="443"/>
        </w:trPr>
        <w:tc>
          <w:tcPr>
            <w:tcW w:w="9639" w:type="dxa"/>
            <w:tcBorders>
              <w:top w:val="single" w:sz="6" w:space="0" w:color="C00000"/>
              <w:left w:val="single" w:sz="6" w:space="0" w:color="C00000"/>
              <w:bottom w:val="nil"/>
              <w:right w:val="single" w:sz="6" w:space="0" w:color="C00000"/>
            </w:tcBorders>
            <w:vAlign w:val="center"/>
          </w:tcPr>
          <w:p w14:paraId="14E2EE80" w14:textId="77777777" w:rsidR="00DE5B05" w:rsidRPr="001E7026" w:rsidRDefault="00DE5B05" w:rsidP="00B65E6F">
            <w:pPr>
              <w:tabs>
                <w:tab w:val="right" w:pos="4750"/>
              </w:tabs>
              <w:spacing w:before="120"/>
              <w:rPr>
                <w:rFonts w:cs="Arial"/>
                <w:b/>
                <w:bCs/>
                <w:sz w:val="22"/>
              </w:rPr>
            </w:pPr>
            <w:r w:rsidRPr="001E7026">
              <w:rPr>
                <w:rFonts w:cs="Arial"/>
                <w:b/>
                <w:bCs/>
                <w:sz w:val="22"/>
              </w:rPr>
              <w:t>Background:</w:t>
            </w:r>
          </w:p>
        </w:tc>
      </w:tr>
      <w:tr w:rsidR="00DE5B05" w:rsidRPr="001E7026" w14:paraId="74035488" w14:textId="77777777" w:rsidTr="0088694B">
        <w:tc>
          <w:tcPr>
            <w:tcW w:w="9639" w:type="dxa"/>
            <w:tcBorders>
              <w:top w:val="nil"/>
              <w:left w:val="single" w:sz="6" w:space="0" w:color="C00000"/>
              <w:bottom w:val="single" w:sz="6" w:space="0" w:color="C00000"/>
              <w:right w:val="single" w:sz="6" w:space="0" w:color="C00000"/>
            </w:tcBorders>
          </w:tcPr>
          <w:p w14:paraId="34E46E6A" w14:textId="77777777" w:rsidR="00DE5B05" w:rsidRPr="001E7026" w:rsidRDefault="00DE5B05" w:rsidP="0088694B">
            <w:pPr>
              <w:spacing w:before="0"/>
              <w:rPr>
                <w:rFonts w:cs="Arial"/>
                <w:szCs w:val="20"/>
              </w:rPr>
            </w:pPr>
            <w:r w:rsidRPr="001E7026">
              <w:rPr>
                <w:rFonts w:cs="Arial"/>
                <w:szCs w:val="20"/>
              </w:rPr>
              <w:t xml:space="preserve">The ECO brings to each ECC meeting a bulletin on activities in radio communications and numbering in other regions outside CEPT, where a regulatory dimension is raised (e.g. by innovative services or technology). </w:t>
            </w:r>
          </w:p>
          <w:p w14:paraId="6E272806" w14:textId="77777777" w:rsidR="00DE5B05" w:rsidRDefault="00DE5B05" w:rsidP="0088694B">
            <w:pPr>
              <w:spacing w:before="0"/>
              <w:rPr>
                <w:rFonts w:cs="Arial"/>
                <w:szCs w:val="20"/>
              </w:rPr>
            </w:pPr>
            <w:r w:rsidRPr="001E7026">
              <w:rPr>
                <w:rFonts w:cs="Arial"/>
                <w:szCs w:val="20"/>
              </w:rPr>
              <w:t>The primary objective is to identify whether the ECC needs to investigate further or consider possible new actions. A secondary but more frequently addressed objective is to enable comparison to be made with the regulatory approach in other regions for subjects already treated by the ECC (including, where relevant, to the work of the CPG).</w:t>
            </w:r>
          </w:p>
          <w:p w14:paraId="3A6C9E57" w14:textId="18076129" w:rsidR="0088694B" w:rsidRPr="001E7026" w:rsidRDefault="0088694B" w:rsidP="0088694B">
            <w:pPr>
              <w:spacing w:before="0"/>
              <w:rPr>
                <w:rFonts w:cs="Arial"/>
                <w:szCs w:val="20"/>
              </w:rPr>
            </w:pPr>
          </w:p>
        </w:tc>
      </w:tr>
    </w:tbl>
    <w:p w14:paraId="3ECED8F2" w14:textId="77777777" w:rsidR="00DE5B05" w:rsidRPr="001E7026" w:rsidRDefault="00DE5B05" w:rsidP="00DE5B05">
      <w:pPr>
        <w:pStyle w:val="Titre1"/>
        <w:ind w:left="432" w:hanging="432"/>
        <w:rPr>
          <w:rStyle w:val="ECCParagraph"/>
          <w:szCs w:val="20"/>
        </w:rPr>
      </w:pPr>
      <w:bookmarkStart w:id="2" w:name="_Toc86151678"/>
      <w:r w:rsidRPr="001E7026">
        <w:rPr>
          <w:rStyle w:val="ECCParagraph"/>
          <w:szCs w:val="20"/>
        </w:rPr>
        <w:t>Africa (ATU)</w:t>
      </w:r>
      <w:bookmarkEnd w:id="2"/>
    </w:p>
    <w:p w14:paraId="4CD6C604" w14:textId="2C62EF04" w:rsidR="00F9539A" w:rsidRPr="001E7026" w:rsidRDefault="00F9539A" w:rsidP="00DE5B05">
      <w:pPr>
        <w:pStyle w:val="Titre2"/>
        <w:rPr>
          <w:szCs w:val="20"/>
          <w:lang w:val="en-GB"/>
        </w:rPr>
      </w:pPr>
      <w:bookmarkStart w:id="3" w:name="_Toc86151679"/>
      <w:r w:rsidRPr="001E7026">
        <w:rPr>
          <w:szCs w:val="20"/>
          <w:lang w:val="en-GB"/>
        </w:rPr>
        <w:t>Rwanda LEO megaconstellation filing</w:t>
      </w:r>
      <w:bookmarkEnd w:id="3"/>
    </w:p>
    <w:p w14:paraId="56BAE9CA" w14:textId="2FB781B6" w:rsidR="00F75313" w:rsidRPr="001E7026" w:rsidRDefault="002649BD" w:rsidP="00891ABD">
      <w:r w:rsidRPr="001E7026">
        <w:t>In September t</w:t>
      </w:r>
      <w:r w:rsidR="006E656B" w:rsidRPr="001E7026">
        <w:t xml:space="preserve">he Rwanda Space Agency submitted ITU </w:t>
      </w:r>
      <w:r w:rsidR="000145A3" w:rsidRPr="001E7026">
        <w:t xml:space="preserve">API </w:t>
      </w:r>
      <w:r w:rsidR="006E656B" w:rsidRPr="001E7026">
        <w:t xml:space="preserve">filings for 2 </w:t>
      </w:r>
      <w:r w:rsidR="00CD17F6" w:rsidRPr="001E7026">
        <w:t xml:space="preserve">LEO </w:t>
      </w:r>
      <w:r w:rsidR="006E656B" w:rsidRPr="001E7026">
        <w:t xml:space="preserve">constellations </w:t>
      </w:r>
      <w:r w:rsidR="00CD17F6" w:rsidRPr="001E7026">
        <w:t>of a total of 3</w:t>
      </w:r>
      <w:r w:rsidR="0090559C" w:rsidRPr="001E7026">
        <w:t>3</w:t>
      </w:r>
      <w:r w:rsidR="00571E47" w:rsidRPr="001E7026">
        <w:t>7,320 satellite</w:t>
      </w:r>
      <w:r w:rsidR="00AB0C19" w:rsidRPr="001E7026">
        <w:t>s</w:t>
      </w:r>
      <w:r w:rsidR="00FE7CE5" w:rsidRPr="001E7026">
        <w:t xml:space="preserve"> - </w:t>
      </w:r>
      <w:r w:rsidR="00B921E0" w:rsidRPr="001E7026">
        <w:t>named</w:t>
      </w:r>
      <w:r w:rsidR="003C3FB5" w:rsidRPr="001E7026">
        <w:t xml:space="preserve"> </w:t>
      </w:r>
      <w:hyperlink r:id="rId9" w:history="1">
        <w:r w:rsidR="003C3FB5" w:rsidRPr="001E7026">
          <w:rPr>
            <w:rStyle w:val="Lienhypertexte"/>
          </w:rPr>
          <w:t>CINNAMON-937</w:t>
        </w:r>
      </w:hyperlink>
      <w:r w:rsidR="003C3FB5" w:rsidRPr="001E7026">
        <w:t xml:space="preserve"> and </w:t>
      </w:r>
      <w:hyperlink r:id="rId10" w:history="1">
        <w:r w:rsidR="00A61B61" w:rsidRPr="001E7026">
          <w:rPr>
            <w:rStyle w:val="Lienhypertexte"/>
          </w:rPr>
          <w:t>CINNAMON-217</w:t>
        </w:r>
      </w:hyperlink>
      <w:r w:rsidR="00FE7CE5" w:rsidRPr="001E7026">
        <w:t xml:space="preserve">. According to the associated </w:t>
      </w:r>
      <w:hyperlink r:id="rId11" w:history="1">
        <w:r w:rsidR="00095665" w:rsidRPr="001E7026">
          <w:rPr>
            <w:rStyle w:val="Lienhypertexte"/>
          </w:rPr>
          <w:t>note to the ITU BR</w:t>
        </w:r>
      </w:hyperlink>
      <w:r w:rsidR="00095665" w:rsidRPr="001E7026">
        <w:t xml:space="preserve">, </w:t>
      </w:r>
      <w:r w:rsidR="00F85296" w:rsidRPr="001E7026">
        <w:t xml:space="preserve">CINNAMON-937 will consist of </w:t>
      </w:r>
      <w:r w:rsidR="00B04700" w:rsidRPr="001E7026">
        <w:t xml:space="preserve">937 planes of </w:t>
      </w:r>
      <w:r w:rsidR="00AC1441" w:rsidRPr="001E7026">
        <w:t xml:space="preserve">360 </w:t>
      </w:r>
      <w:r w:rsidR="00464607" w:rsidRPr="001E7026">
        <w:t>satellites each</w:t>
      </w:r>
      <w:r w:rsidR="00D45DB9" w:rsidRPr="001E7026">
        <w:t>, while CINNAMON-217 comprises a subset of the larger constellation consisting of 217 planes</w:t>
      </w:r>
      <w:r w:rsidR="00762A9E" w:rsidRPr="001E7026">
        <w:t xml:space="preserve"> of 240 satellites each. </w:t>
      </w:r>
      <w:r w:rsidR="00093E3D" w:rsidRPr="001E7026">
        <w:t>The orbit</w:t>
      </w:r>
      <w:r w:rsidR="00904E2E" w:rsidRPr="001E7026">
        <w:t xml:space="preserve"> heights range from </w:t>
      </w:r>
      <w:r w:rsidR="002A2C90" w:rsidRPr="001E7026">
        <w:t xml:space="preserve">550 km to </w:t>
      </w:r>
      <w:r w:rsidR="00335B28" w:rsidRPr="001E7026">
        <w:t>643.6 km, for inclinations from 0 to 98 degrees.</w:t>
      </w:r>
      <w:r w:rsidR="00167D1C" w:rsidRPr="001E7026">
        <w:t xml:space="preserve"> The requested frequencies </w:t>
      </w:r>
      <w:r w:rsidR="005D5684" w:rsidRPr="001E7026">
        <w:t xml:space="preserve">are </w:t>
      </w:r>
      <w:r w:rsidR="0026031B" w:rsidRPr="001E7026">
        <w:t>detailed below:</w:t>
      </w:r>
    </w:p>
    <w:p w14:paraId="0B726A77" w14:textId="05D200B3" w:rsidR="00F75313" w:rsidRPr="001E7026" w:rsidRDefault="00F75313" w:rsidP="009953E8">
      <w:pPr>
        <w:pStyle w:val="Lgende"/>
        <w:keepNext/>
        <w:rPr>
          <w:lang w:val="en-IE"/>
        </w:rPr>
      </w:pPr>
      <w:r w:rsidRPr="001E7026">
        <w:rPr>
          <w:lang w:val="en-IE"/>
        </w:rPr>
        <w:t xml:space="preserve">Table </w:t>
      </w:r>
      <w:r w:rsidRPr="001E7026">
        <w:fldChar w:fldCharType="begin"/>
      </w:r>
      <w:r w:rsidRPr="001E7026">
        <w:rPr>
          <w:lang w:val="en-IE"/>
        </w:rPr>
        <w:instrText xml:space="preserve"> SEQ Table \* ARABIC </w:instrText>
      </w:r>
      <w:r w:rsidRPr="001E7026">
        <w:fldChar w:fldCharType="separate"/>
      </w:r>
      <w:r w:rsidRPr="001E7026">
        <w:rPr>
          <w:lang w:val="en-IE"/>
        </w:rPr>
        <w:t>1</w:t>
      </w:r>
      <w:r w:rsidRPr="001E7026">
        <w:fldChar w:fldCharType="end"/>
      </w:r>
      <w:r w:rsidRPr="001E7026">
        <w:rPr>
          <w:lang w:val="en-IE"/>
        </w:rPr>
        <w:t>:</w:t>
      </w:r>
      <w:r w:rsidR="008464F3" w:rsidRPr="001E7026">
        <w:rPr>
          <w:lang w:val="en-IE"/>
        </w:rPr>
        <w:t xml:space="preserve">Frequencies listed in </w:t>
      </w:r>
      <w:hyperlink r:id="rId12" w:history="1">
        <w:r w:rsidR="00405486" w:rsidRPr="001E7026">
          <w:rPr>
            <w:rStyle w:val="Lienhypertexte"/>
            <w:lang w:val="en-IE"/>
          </w:rPr>
          <w:t>CINNAMON-937</w:t>
        </w:r>
      </w:hyperlink>
      <w:r w:rsidR="00405486" w:rsidRPr="001E7026">
        <w:rPr>
          <w:lang w:val="en-IE"/>
        </w:rPr>
        <w:t xml:space="preserve"> and </w:t>
      </w:r>
      <w:hyperlink r:id="rId13" w:history="1">
        <w:r w:rsidR="00405486" w:rsidRPr="001E7026">
          <w:rPr>
            <w:rStyle w:val="Lienhypertexte"/>
            <w:lang w:val="en-IE"/>
          </w:rPr>
          <w:t>CINNAMON-217</w:t>
        </w:r>
      </w:hyperlink>
      <w:r w:rsidR="00405486" w:rsidRPr="001E7026">
        <w:rPr>
          <w:lang w:val="en-IE"/>
        </w:rPr>
        <w:t xml:space="preserve"> filing</w:t>
      </w:r>
    </w:p>
    <w:tbl>
      <w:tblPr>
        <w:tblStyle w:val="ECCTable-redheader"/>
        <w:tblW w:w="7464" w:type="dxa"/>
        <w:tblInd w:w="0" w:type="dxa"/>
        <w:tblLook w:val="04A0" w:firstRow="1" w:lastRow="0" w:firstColumn="1" w:lastColumn="0" w:noHBand="0" w:noVBand="1"/>
      </w:tblPr>
      <w:tblGrid>
        <w:gridCol w:w="773"/>
        <w:gridCol w:w="795"/>
        <w:gridCol w:w="2963"/>
        <w:gridCol w:w="2933"/>
      </w:tblGrid>
      <w:tr w:rsidR="00004154" w:rsidRPr="001E7026" w14:paraId="330DDBB8" w14:textId="77777777" w:rsidTr="002814CC">
        <w:trPr>
          <w:cnfStyle w:val="100000000000" w:firstRow="1" w:lastRow="0" w:firstColumn="0" w:lastColumn="0" w:oddVBand="0" w:evenVBand="0" w:oddHBand="0" w:evenHBand="0" w:firstRowFirstColumn="0" w:firstRowLastColumn="0" w:lastRowFirstColumn="0" w:lastRowLastColumn="0"/>
          <w:trHeight w:val="616"/>
        </w:trPr>
        <w:tc>
          <w:tcPr>
            <w:tcW w:w="773" w:type="dxa"/>
            <w:noWrap/>
            <w:hideMark/>
          </w:tcPr>
          <w:p w14:paraId="784C8396" w14:textId="77777777" w:rsidR="00004154" w:rsidRPr="001E7026" w:rsidRDefault="00004154" w:rsidP="00004154">
            <w:pPr>
              <w:spacing w:before="0" w:after="0"/>
              <w:jc w:val="left"/>
              <w:rPr>
                <w:rFonts w:eastAsia="Times New Roman" w:cs="Arial"/>
                <w:i w:val="0"/>
                <w:szCs w:val="20"/>
              </w:rPr>
            </w:pPr>
            <w:proofErr w:type="spellStart"/>
            <w:r w:rsidRPr="001E7026">
              <w:rPr>
                <w:rFonts w:eastAsia="Times New Roman" w:cs="Arial"/>
                <w:i w:val="0"/>
                <w:szCs w:val="20"/>
                <w:lang w:eastAsia="en-US"/>
              </w:rPr>
              <w:t>f_min</w:t>
            </w:r>
            <w:proofErr w:type="spellEnd"/>
            <w:r w:rsidRPr="001E7026">
              <w:rPr>
                <w:rFonts w:eastAsia="Times New Roman" w:cs="Arial"/>
                <w:i w:val="0"/>
                <w:szCs w:val="20"/>
                <w:lang w:eastAsia="en-US"/>
              </w:rPr>
              <w:t xml:space="preserve"> (MHz)</w:t>
            </w:r>
          </w:p>
        </w:tc>
        <w:tc>
          <w:tcPr>
            <w:tcW w:w="795" w:type="dxa"/>
            <w:noWrap/>
            <w:hideMark/>
          </w:tcPr>
          <w:p w14:paraId="2A610AF4" w14:textId="77777777" w:rsidR="00004154" w:rsidRPr="001E7026" w:rsidRDefault="00004154" w:rsidP="00004154">
            <w:pPr>
              <w:spacing w:before="0" w:after="0"/>
              <w:jc w:val="left"/>
              <w:rPr>
                <w:rFonts w:eastAsia="Times New Roman" w:cs="Arial"/>
                <w:i w:val="0"/>
                <w:szCs w:val="20"/>
              </w:rPr>
            </w:pPr>
            <w:proofErr w:type="spellStart"/>
            <w:r w:rsidRPr="001E7026">
              <w:rPr>
                <w:rFonts w:eastAsia="Times New Roman" w:cs="Arial"/>
                <w:i w:val="0"/>
                <w:szCs w:val="20"/>
                <w:lang w:eastAsia="en-US"/>
              </w:rPr>
              <w:t>f_max</w:t>
            </w:r>
            <w:proofErr w:type="spellEnd"/>
            <w:r w:rsidRPr="001E7026">
              <w:rPr>
                <w:rFonts w:eastAsia="Times New Roman" w:cs="Arial"/>
                <w:i w:val="0"/>
                <w:szCs w:val="20"/>
                <w:lang w:eastAsia="en-US"/>
              </w:rPr>
              <w:t xml:space="preserve"> (MHz)</w:t>
            </w:r>
          </w:p>
        </w:tc>
        <w:tc>
          <w:tcPr>
            <w:tcW w:w="2963" w:type="dxa"/>
            <w:noWrap/>
            <w:hideMark/>
          </w:tcPr>
          <w:p w14:paraId="67EDF70C" w14:textId="77777777" w:rsidR="00004154" w:rsidRPr="001E7026" w:rsidRDefault="00004154" w:rsidP="00004154">
            <w:pPr>
              <w:spacing w:before="0" w:after="0"/>
              <w:jc w:val="left"/>
              <w:rPr>
                <w:rFonts w:eastAsia="Times New Roman" w:cs="Arial"/>
                <w:i w:val="0"/>
                <w:szCs w:val="20"/>
              </w:rPr>
            </w:pPr>
            <w:r w:rsidRPr="001E7026">
              <w:rPr>
                <w:rFonts w:eastAsia="Times New Roman" w:cs="Arial"/>
                <w:i w:val="0"/>
                <w:szCs w:val="20"/>
                <w:lang w:eastAsia="en-US"/>
              </w:rPr>
              <w:t>Service</w:t>
            </w:r>
          </w:p>
        </w:tc>
        <w:tc>
          <w:tcPr>
            <w:tcW w:w="2933" w:type="dxa"/>
            <w:noWrap/>
            <w:hideMark/>
          </w:tcPr>
          <w:p w14:paraId="2F2B8158" w14:textId="77777777" w:rsidR="00004154" w:rsidRPr="001E7026" w:rsidRDefault="00004154" w:rsidP="00004154">
            <w:pPr>
              <w:spacing w:before="0" w:after="0"/>
              <w:jc w:val="left"/>
              <w:rPr>
                <w:rFonts w:eastAsia="Times New Roman" w:cs="Arial"/>
                <w:i w:val="0"/>
                <w:szCs w:val="20"/>
              </w:rPr>
            </w:pPr>
            <w:r w:rsidRPr="001E7026">
              <w:rPr>
                <w:rFonts w:eastAsia="Times New Roman" w:cs="Arial"/>
                <w:i w:val="0"/>
                <w:szCs w:val="20"/>
                <w:lang w:eastAsia="en-US"/>
              </w:rPr>
              <w:t>Direction</w:t>
            </w:r>
          </w:p>
        </w:tc>
      </w:tr>
      <w:tr w:rsidR="00004154" w:rsidRPr="001E7026" w14:paraId="6B4DF87C" w14:textId="77777777" w:rsidTr="005E5C5B">
        <w:trPr>
          <w:trHeight w:val="300"/>
        </w:trPr>
        <w:tc>
          <w:tcPr>
            <w:tcW w:w="773" w:type="dxa"/>
            <w:noWrap/>
            <w:hideMark/>
          </w:tcPr>
          <w:p w14:paraId="35B2F803"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7900</w:t>
            </w:r>
          </w:p>
        </w:tc>
        <w:tc>
          <w:tcPr>
            <w:tcW w:w="795" w:type="dxa"/>
            <w:noWrap/>
            <w:hideMark/>
          </w:tcPr>
          <w:p w14:paraId="2DE16096"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8400</w:t>
            </w:r>
          </w:p>
        </w:tc>
        <w:tc>
          <w:tcPr>
            <w:tcW w:w="2963" w:type="dxa"/>
            <w:noWrap/>
            <w:hideMark/>
          </w:tcPr>
          <w:p w14:paraId="3A4317A2"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Fixed Satellite</w:t>
            </w:r>
          </w:p>
        </w:tc>
        <w:tc>
          <w:tcPr>
            <w:tcW w:w="2933" w:type="dxa"/>
            <w:noWrap/>
            <w:hideMark/>
          </w:tcPr>
          <w:p w14:paraId="3AEE8415"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Earth-to-space</w:t>
            </w:r>
          </w:p>
        </w:tc>
      </w:tr>
      <w:tr w:rsidR="00004154" w:rsidRPr="001E7026" w14:paraId="5CF24E1B" w14:textId="77777777" w:rsidTr="005E5C5B">
        <w:trPr>
          <w:trHeight w:val="300"/>
        </w:trPr>
        <w:tc>
          <w:tcPr>
            <w:tcW w:w="773" w:type="dxa"/>
            <w:noWrap/>
            <w:hideMark/>
          </w:tcPr>
          <w:p w14:paraId="2942AB9A"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7250</w:t>
            </w:r>
          </w:p>
        </w:tc>
        <w:tc>
          <w:tcPr>
            <w:tcW w:w="795" w:type="dxa"/>
            <w:noWrap/>
            <w:hideMark/>
          </w:tcPr>
          <w:p w14:paraId="7DBE04D7"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7750</w:t>
            </w:r>
          </w:p>
        </w:tc>
        <w:tc>
          <w:tcPr>
            <w:tcW w:w="2963" w:type="dxa"/>
            <w:noWrap/>
            <w:hideMark/>
          </w:tcPr>
          <w:p w14:paraId="7DCC9A65"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Fixed Satellite</w:t>
            </w:r>
          </w:p>
        </w:tc>
        <w:tc>
          <w:tcPr>
            <w:tcW w:w="2933" w:type="dxa"/>
            <w:noWrap/>
            <w:hideMark/>
          </w:tcPr>
          <w:p w14:paraId="2D4C2348"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space-to-Earth</w:t>
            </w:r>
          </w:p>
        </w:tc>
      </w:tr>
      <w:tr w:rsidR="00004154" w:rsidRPr="001E7026" w14:paraId="582A832B" w14:textId="77777777" w:rsidTr="005E5C5B">
        <w:trPr>
          <w:trHeight w:val="300"/>
        </w:trPr>
        <w:tc>
          <w:tcPr>
            <w:tcW w:w="773" w:type="dxa"/>
            <w:noWrap/>
            <w:hideMark/>
          </w:tcPr>
          <w:p w14:paraId="56AB508D"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1427</w:t>
            </w:r>
          </w:p>
        </w:tc>
        <w:tc>
          <w:tcPr>
            <w:tcW w:w="795" w:type="dxa"/>
            <w:noWrap/>
            <w:hideMark/>
          </w:tcPr>
          <w:p w14:paraId="053E1CE6"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1429</w:t>
            </w:r>
          </w:p>
        </w:tc>
        <w:tc>
          <w:tcPr>
            <w:tcW w:w="2963" w:type="dxa"/>
            <w:noWrap/>
            <w:hideMark/>
          </w:tcPr>
          <w:p w14:paraId="3AE757B5"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Space Operations</w:t>
            </w:r>
          </w:p>
        </w:tc>
        <w:tc>
          <w:tcPr>
            <w:tcW w:w="2933" w:type="dxa"/>
            <w:noWrap/>
            <w:hideMark/>
          </w:tcPr>
          <w:p w14:paraId="581C7E6A"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space-to-Earth</w:t>
            </w:r>
          </w:p>
        </w:tc>
      </w:tr>
      <w:tr w:rsidR="00004154" w:rsidRPr="001E7026" w14:paraId="0252DD60" w14:textId="77777777" w:rsidTr="005E5C5B">
        <w:trPr>
          <w:trHeight w:val="300"/>
        </w:trPr>
        <w:tc>
          <w:tcPr>
            <w:tcW w:w="773" w:type="dxa"/>
            <w:noWrap/>
            <w:hideMark/>
          </w:tcPr>
          <w:p w14:paraId="71F70094"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2025</w:t>
            </w:r>
          </w:p>
        </w:tc>
        <w:tc>
          <w:tcPr>
            <w:tcW w:w="795" w:type="dxa"/>
            <w:noWrap/>
            <w:hideMark/>
          </w:tcPr>
          <w:p w14:paraId="2BDE268D"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2110</w:t>
            </w:r>
          </w:p>
        </w:tc>
        <w:tc>
          <w:tcPr>
            <w:tcW w:w="2963" w:type="dxa"/>
            <w:noWrap/>
            <w:hideMark/>
          </w:tcPr>
          <w:p w14:paraId="0479C193"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Space Operations</w:t>
            </w:r>
          </w:p>
        </w:tc>
        <w:tc>
          <w:tcPr>
            <w:tcW w:w="2933" w:type="dxa"/>
            <w:noWrap/>
            <w:hideMark/>
          </w:tcPr>
          <w:p w14:paraId="4E03C96B"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space-to-Earth</w:t>
            </w:r>
          </w:p>
        </w:tc>
      </w:tr>
      <w:tr w:rsidR="00004154" w:rsidRPr="001E7026" w14:paraId="514B0BD7" w14:textId="77777777" w:rsidTr="005E5C5B">
        <w:trPr>
          <w:trHeight w:val="300"/>
        </w:trPr>
        <w:tc>
          <w:tcPr>
            <w:tcW w:w="773" w:type="dxa"/>
            <w:noWrap/>
            <w:hideMark/>
          </w:tcPr>
          <w:p w14:paraId="400354A3"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2200</w:t>
            </w:r>
          </w:p>
        </w:tc>
        <w:tc>
          <w:tcPr>
            <w:tcW w:w="795" w:type="dxa"/>
            <w:noWrap/>
            <w:hideMark/>
          </w:tcPr>
          <w:p w14:paraId="5AD2C3DD"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2290</w:t>
            </w:r>
          </w:p>
        </w:tc>
        <w:tc>
          <w:tcPr>
            <w:tcW w:w="2963" w:type="dxa"/>
            <w:noWrap/>
            <w:hideMark/>
          </w:tcPr>
          <w:p w14:paraId="62B0CD2D"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Space Operations</w:t>
            </w:r>
          </w:p>
        </w:tc>
        <w:tc>
          <w:tcPr>
            <w:tcW w:w="2933" w:type="dxa"/>
            <w:noWrap/>
            <w:hideMark/>
          </w:tcPr>
          <w:p w14:paraId="33BC13A9"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Earth-to-space</w:t>
            </w:r>
          </w:p>
        </w:tc>
      </w:tr>
      <w:tr w:rsidR="00004154" w:rsidRPr="001E7026" w14:paraId="12C47B09" w14:textId="77777777" w:rsidTr="005E5C5B">
        <w:trPr>
          <w:trHeight w:val="315"/>
        </w:trPr>
        <w:tc>
          <w:tcPr>
            <w:tcW w:w="773" w:type="dxa"/>
            <w:noWrap/>
            <w:hideMark/>
          </w:tcPr>
          <w:p w14:paraId="471221F4"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267</w:t>
            </w:r>
          </w:p>
        </w:tc>
        <w:tc>
          <w:tcPr>
            <w:tcW w:w="795" w:type="dxa"/>
            <w:noWrap/>
            <w:hideMark/>
          </w:tcPr>
          <w:p w14:paraId="1DAD683B"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272</w:t>
            </w:r>
          </w:p>
        </w:tc>
        <w:tc>
          <w:tcPr>
            <w:tcW w:w="2963" w:type="dxa"/>
            <w:noWrap/>
            <w:hideMark/>
          </w:tcPr>
          <w:p w14:paraId="20846A10"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Space Operations (secondary)</w:t>
            </w:r>
          </w:p>
        </w:tc>
        <w:tc>
          <w:tcPr>
            <w:tcW w:w="2933" w:type="dxa"/>
            <w:noWrap/>
            <w:hideMark/>
          </w:tcPr>
          <w:p w14:paraId="12E5BE5C"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space-to-Earth</w:t>
            </w:r>
          </w:p>
        </w:tc>
      </w:tr>
      <w:tr w:rsidR="00004154" w:rsidRPr="001E7026" w14:paraId="39CC9AC2" w14:textId="77777777" w:rsidTr="005E5C5B">
        <w:trPr>
          <w:trHeight w:val="300"/>
        </w:trPr>
        <w:tc>
          <w:tcPr>
            <w:tcW w:w="773" w:type="dxa"/>
            <w:noWrap/>
            <w:hideMark/>
          </w:tcPr>
          <w:p w14:paraId="16B0B0CF"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272</w:t>
            </w:r>
          </w:p>
        </w:tc>
        <w:tc>
          <w:tcPr>
            <w:tcW w:w="795" w:type="dxa"/>
            <w:noWrap/>
            <w:hideMark/>
          </w:tcPr>
          <w:p w14:paraId="137BB2F1"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273</w:t>
            </w:r>
          </w:p>
        </w:tc>
        <w:tc>
          <w:tcPr>
            <w:tcW w:w="2963" w:type="dxa"/>
            <w:noWrap/>
            <w:hideMark/>
          </w:tcPr>
          <w:p w14:paraId="0B8C94CE"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Space Operations</w:t>
            </w:r>
          </w:p>
        </w:tc>
        <w:tc>
          <w:tcPr>
            <w:tcW w:w="2933" w:type="dxa"/>
            <w:noWrap/>
            <w:hideMark/>
          </w:tcPr>
          <w:p w14:paraId="2B3560BA"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space-to-Earth</w:t>
            </w:r>
          </w:p>
        </w:tc>
      </w:tr>
      <w:tr w:rsidR="00004154" w:rsidRPr="001E7026" w14:paraId="1444356C" w14:textId="77777777" w:rsidTr="005E5C5B">
        <w:trPr>
          <w:trHeight w:val="300"/>
        </w:trPr>
        <w:tc>
          <w:tcPr>
            <w:tcW w:w="773" w:type="dxa"/>
            <w:noWrap/>
            <w:hideMark/>
          </w:tcPr>
          <w:p w14:paraId="7959E07C"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272</w:t>
            </w:r>
          </w:p>
        </w:tc>
        <w:tc>
          <w:tcPr>
            <w:tcW w:w="795" w:type="dxa"/>
            <w:noWrap/>
            <w:hideMark/>
          </w:tcPr>
          <w:p w14:paraId="0805F75A"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273</w:t>
            </w:r>
          </w:p>
        </w:tc>
        <w:tc>
          <w:tcPr>
            <w:tcW w:w="2963" w:type="dxa"/>
            <w:noWrap/>
            <w:hideMark/>
          </w:tcPr>
          <w:p w14:paraId="67EEE660"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Space Operations</w:t>
            </w:r>
          </w:p>
        </w:tc>
        <w:tc>
          <w:tcPr>
            <w:tcW w:w="2933" w:type="dxa"/>
            <w:noWrap/>
            <w:hideMark/>
          </w:tcPr>
          <w:p w14:paraId="5308D0EF"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Earth-to-space No. 8.4/No. 4.4</w:t>
            </w:r>
          </w:p>
        </w:tc>
      </w:tr>
      <w:tr w:rsidR="00004154" w:rsidRPr="001E7026" w14:paraId="7930D102" w14:textId="77777777" w:rsidTr="005E5C5B">
        <w:trPr>
          <w:trHeight w:val="300"/>
        </w:trPr>
        <w:tc>
          <w:tcPr>
            <w:tcW w:w="773" w:type="dxa"/>
            <w:noWrap/>
            <w:hideMark/>
          </w:tcPr>
          <w:p w14:paraId="17C2267C"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267</w:t>
            </w:r>
          </w:p>
        </w:tc>
        <w:tc>
          <w:tcPr>
            <w:tcW w:w="795" w:type="dxa"/>
            <w:noWrap/>
            <w:hideMark/>
          </w:tcPr>
          <w:p w14:paraId="0E4B2A02"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272</w:t>
            </w:r>
          </w:p>
        </w:tc>
        <w:tc>
          <w:tcPr>
            <w:tcW w:w="2963" w:type="dxa"/>
            <w:noWrap/>
            <w:hideMark/>
          </w:tcPr>
          <w:p w14:paraId="749742B9"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Space Operations</w:t>
            </w:r>
          </w:p>
        </w:tc>
        <w:tc>
          <w:tcPr>
            <w:tcW w:w="2933" w:type="dxa"/>
            <w:noWrap/>
            <w:hideMark/>
          </w:tcPr>
          <w:p w14:paraId="69E7B5A8"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Earth-to-space No. 8.4/No. 4.4</w:t>
            </w:r>
          </w:p>
        </w:tc>
      </w:tr>
      <w:tr w:rsidR="00004154" w:rsidRPr="001E7026" w14:paraId="5B9AA50A" w14:textId="77777777" w:rsidTr="005E5C5B">
        <w:trPr>
          <w:trHeight w:val="315"/>
        </w:trPr>
        <w:tc>
          <w:tcPr>
            <w:tcW w:w="773" w:type="dxa"/>
            <w:noWrap/>
            <w:hideMark/>
          </w:tcPr>
          <w:p w14:paraId="60CF37E7"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71000</w:t>
            </w:r>
          </w:p>
        </w:tc>
        <w:tc>
          <w:tcPr>
            <w:tcW w:w="795" w:type="dxa"/>
            <w:noWrap/>
            <w:hideMark/>
          </w:tcPr>
          <w:p w14:paraId="08A094A1"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76000</w:t>
            </w:r>
          </w:p>
        </w:tc>
        <w:tc>
          <w:tcPr>
            <w:tcW w:w="2963" w:type="dxa"/>
            <w:noWrap/>
            <w:hideMark/>
          </w:tcPr>
          <w:p w14:paraId="137293B2"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Fixed Satellite</w:t>
            </w:r>
          </w:p>
        </w:tc>
        <w:tc>
          <w:tcPr>
            <w:tcW w:w="2933" w:type="dxa"/>
            <w:noWrap/>
            <w:hideMark/>
          </w:tcPr>
          <w:p w14:paraId="2D98D7C6"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space-to-Earth</w:t>
            </w:r>
          </w:p>
        </w:tc>
      </w:tr>
      <w:tr w:rsidR="00004154" w:rsidRPr="001E7026" w14:paraId="233E5D0E" w14:textId="77777777" w:rsidTr="005E5C5B">
        <w:trPr>
          <w:trHeight w:val="300"/>
        </w:trPr>
        <w:tc>
          <w:tcPr>
            <w:tcW w:w="773" w:type="dxa"/>
            <w:noWrap/>
            <w:hideMark/>
          </w:tcPr>
          <w:p w14:paraId="56BA4FDE"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81000</w:t>
            </w:r>
          </w:p>
        </w:tc>
        <w:tc>
          <w:tcPr>
            <w:tcW w:w="795" w:type="dxa"/>
            <w:noWrap/>
            <w:hideMark/>
          </w:tcPr>
          <w:p w14:paraId="4496CC51"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86000</w:t>
            </w:r>
          </w:p>
        </w:tc>
        <w:tc>
          <w:tcPr>
            <w:tcW w:w="2963" w:type="dxa"/>
            <w:noWrap/>
            <w:hideMark/>
          </w:tcPr>
          <w:p w14:paraId="68292301"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Fixed Satellite</w:t>
            </w:r>
          </w:p>
        </w:tc>
        <w:tc>
          <w:tcPr>
            <w:tcW w:w="2933" w:type="dxa"/>
            <w:noWrap/>
            <w:hideMark/>
          </w:tcPr>
          <w:p w14:paraId="0D30C691"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Earth-to-space</w:t>
            </w:r>
          </w:p>
        </w:tc>
      </w:tr>
      <w:tr w:rsidR="00004154" w:rsidRPr="001E7026" w14:paraId="38110BFD" w14:textId="77777777" w:rsidTr="005E5C5B">
        <w:trPr>
          <w:trHeight w:val="315"/>
        </w:trPr>
        <w:tc>
          <w:tcPr>
            <w:tcW w:w="773" w:type="dxa"/>
            <w:noWrap/>
            <w:hideMark/>
          </w:tcPr>
          <w:p w14:paraId="2A84944A"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59300</w:t>
            </w:r>
          </w:p>
        </w:tc>
        <w:tc>
          <w:tcPr>
            <w:tcW w:w="795" w:type="dxa"/>
            <w:noWrap/>
            <w:hideMark/>
          </w:tcPr>
          <w:p w14:paraId="3B39A92F" w14:textId="77777777" w:rsidR="00004154" w:rsidRPr="001E7026" w:rsidRDefault="00004154" w:rsidP="00004154">
            <w:pPr>
              <w:spacing w:before="0" w:after="0"/>
              <w:jc w:val="right"/>
              <w:rPr>
                <w:rFonts w:eastAsia="Times New Roman" w:cs="Arial"/>
                <w:color w:val="000000"/>
                <w:szCs w:val="20"/>
              </w:rPr>
            </w:pPr>
            <w:r w:rsidRPr="001E7026">
              <w:rPr>
                <w:rFonts w:eastAsia="Times New Roman" w:cs="Arial"/>
                <w:color w:val="000000"/>
                <w:szCs w:val="20"/>
                <w:lang w:eastAsia="en-US"/>
              </w:rPr>
              <w:t>71000</w:t>
            </w:r>
          </w:p>
        </w:tc>
        <w:tc>
          <w:tcPr>
            <w:tcW w:w="2963" w:type="dxa"/>
            <w:noWrap/>
            <w:hideMark/>
          </w:tcPr>
          <w:p w14:paraId="2E1C42CC"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Inter-Satellite</w:t>
            </w:r>
          </w:p>
        </w:tc>
        <w:tc>
          <w:tcPr>
            <w:tcW w:w="2933" w:type="dxa"/>
            <w:noWrap/>
            <w:hideMark/>
          </w:tcPr>
          <w:p w14:paraId="0D3B53F8" w14:textId="77777777" w:rsidR="00004154" w:rsidRPr="001E7026" w:rsidRDefault="00004154" w:rsidP="00004154">
            <w:pPr>
              <w:spacing w:before="0" w:after="0"/>
              <w:jc w:val="left"/>
              <w:rPr>
                <w:rFonts w:eastAsia="Times New Roman" w:cs="Arial"/>
                <w:color w:val="000000"/>
                <w:szCs w:val="20"/>
              </w:rPr>
            </w:pPr>
            <w:r w:rsidRPr="001E7026">
              <w:rPr>
                <w:rFonts w:eastAsia="Times New Roman" w:cs="Arial"/>
                <w:color w:val="000000"/>
                <w:szCs w:val="20"/>
                <w:lang w:eastAsia="en-US"/>
              </w:rPr>
              <w:t>-</w:t>
            </w:r>
          </w:p>
        </w:tc>
      </w:tr>
    </w:tbl>
    <w:p w14:paraId="595B0DEF" w14:textId="601385EF" w:rsidR="00550411" w:rsidRPr="001E7026" w:rsidRDefault="00550411" w:rsidP="00891ABD">
      <w:r w:rsidRPr="001E7026">
        <w:t xml:space="preserve">The total size of the constellation is unclear as according to the filing information 337,320 satellites are requested, whereas the </w:t>
      </w:r>
      <w:r w:rsidR="007C1A56" w:rsidRPr="001E7026">
        <w:t>supported information and press info indicates 327,320 satelli</w:t>
      </w:r>
      <w:r w:rsidR="00F3111D" w:rsidRPr="001E7026">
        <w:t>t</w:t>
      </w:r>
      <w:r w:rsidR="007C1A56" w:rsidRPr="001E7026">
        <w:t>es (10,000 less</w:t>
      </w:r>
      <w:r w:rsidR="000C70B0" w:rsidRPr="001E7026">
        <w:t xml:space="preserve"> than the filing</w:t>
      </w:r>
      <w:r w:rsidR="007C1A56" w:rsidRPr="001E7026">
        <w:t>).</w:t>
      </w:r>
    </w:p>
    <w:p w14:paraId="1C242417" w14:textId="1526FA35" w:rsidR="00F02570" w:rsidRPr="001E7026" w:rsidRDefault="00F02570" w:rsidP="00891ABD">
      <w:r w:rsidRPr="001E7026">
        <w:t xml:space="preserve">The filings follow an earlier unsuccessful filing </w:t>
      </w:r>
      <w:r w:rsidR="00CF767E" w:rsidRPr="001E7026">
        <w:t xml:space="preserve">in August 2021 </w:t>
      </w:r>
      <w:r w:rsidRPr="001E7026">
        <w:t xml:space="preserve">for </w:t>
      </w:r>
      <w:r w:rsidR="00F0719B" w:rsidRPr="001E7026">
        <w:t xml:space="preserve">a constellation of 181 planes named </w:t>
      </w:r>
      <w:hyperlink r:id="rId14" w:history="1">
        <w:r w:rsidR="00F0719B" w:rsidRPr="001E7026">
          <w:rPr>
            <w:rStyle w:val="Lienhypertexte"/>
          </w:rPr>
          <w:t>ANTON-</w:t>
        </w:r>
        <w:r w:rsidR="00D44825" w:rsidRPr="001E7026">
          <w:rPr>
            <w:rStyle w:val="Lienhypertexte"/>
          </w:rPr>
          <w:t>1N0</w:t>
        </w:r>
      </w:hyperlink>
      <w:r w:rsidR="00D44825" w:rsidRPr="001E7026">
        <w:t xml:space="preserve">, under the </w:t>
      </w:r>
      <w:r w:rsidR="00CF767E" w:rsidRPr="001E7026">
        <w:t>operating agency “Marvel Space Communications Co.”.</w:t>
      </w:r>
    </w:p>
    <w:p w14:paraId="7D413544" w14:textId="4AD45A27" w:rsidR="007C1A56" w:rsidRPr="001E7026" w:rsidRDefault="006225AA" w:rsidP="00742DEB">
      <w:r w:rsidRPr="001E7026">
        <w:lastRenderedPageBreak/>
        <w:t xml:space="preserve">It is not </w:t>
      </w:r>
      <w:r w:rsidR="002E4787" w:rsidRPr="001E7026">
        <w:t>announced yet</w:t>
      </w:r>
      <w:r w:rsidRPr="001E7026">
        <w:t xml:space="preserve"> if </w:t>
      </w:r>
      <w:r w:rsidR="00263A97" w:rsidRPr="001E7026">
        <w:t>a commercial provider</w:t>
      </w:r>
      <w:r w:rsidRPr="001E7026">
        <w:t xml:space="preserve"> is </w:t>
      </w:r>
      <w:r w:rsidR="00263A97" w:rsidRPr="001E7026">
        <w:t>behind</w:t>
      </w:r>
      <w:r w:rsidRPr="001E7026">
        <w:t xml:space="preserve"> this project</w:t>
      </w:r>
      <w:r w:rsidR="008C43B4" w:rsidRPr="001E7026">
        <w:t xml:space="preserve">, however it is noted that the Rwandan government has previously invested in </w:t>
      </w:r>
      <w:proofErr w:type="spellStart"/>
      <w:r w:rsidR="008C43B4" w:rsidRPr="001E7026">
        <w:t>OneWeb</w:t>
      </w:r>
      <w:proofErr w:type="spellEnd"/>
      <w:r w:rsidR="006B4546" w:rsidRPr="001E7026">
        <w:t xml:space="preserve">, and there has been speculation that </w:t>
      </w:r>
      <w:proofErr w:type="spellStart"/>
      <w:r w:rsidR="006B4546" w:rsidRPr="001E7026">
        <w:t>OneWeb</w:t>
      </w:r>
      <w:proofErr w:type="spellEnd"/>
      <w:r w:rsidR="006B4546" w:rsidRPr="001E7026">
        <w:t xml:space="preserve"> founder Greg Wyler may be </w:t>
      </w:r>
      <w:r w:rsidR="009953E8" w:rsidRPr="001E7026">
        <w:t>involved</w:t>
      </w:r>
      <w:r w:rsidR="008C43B4" w:rsidRPr="001E7026">
        <w:t>.</w:t>
      </w:r>
      <w:r w:rsidRPr="001E7026">
        <w:t xml:space="preserve"> </w:t>
      </w:r>
      <w:r w:rsidR="0048372E" w:rsidRPr="001E7026">
        <w:t xml:space="preserve">To date Rwanda </w:t>
      </w:r>
      <w:r w:rsidR="009B7F43" w:rsidRPr="001E7026">
        <w:t xml:space="preserve">has only launched 1 </w:t>
      </w:r>
      <w:r w:rsidR="00F251A4" w:rsidRPr="001E7026">
        <w:t xml:space="preserve">small </w:t>
      </w:r>
      <w:r w:rsidR="009B7F43" w:rsidRPr="001E7026">
        <w:t xml:space="preserve">satellite </w:t>
      </w:r>
      <w:r w:rsidR="000F6C2B" w:rsidRPr="001E7026">
        <w:t>–</w:t>
      </w:r>
      <w:r w:rsidR="009B7F43" w:rsidRPr="001E7026">
        <w:t xml:space="preserve"> Rwa</w:t>
      </w:r>
      <w:r w:rsidR="000F6C2B" w:rsidRPr="001E7026">
        <w:t>Sat-1</w:t>
      </w:r>
      <w:r w:rsidR="00F251A4" w:rsidRPr="001E7026">
        <w:t>, and the national space agency was only established in March this year.</w:t>
      </w:r>
    </w:p>
    <w:p w14:paraId="3759D668" w14:textId="1A98FB9B" w:rsidR="00F251A4" w:rsidRPr="001E7026" w:rsidRDefault="00F251A4" w:rsidP="009953E8">
      <w:pPr>
        <w:rPr>
          <w:rFonts w:cs="Arial"/>
          <w:b/>
          <w:szCs w:val="20"/>
        </w:rPr>
      </w:pPr>
      <w:r w:rsidRPr="001E7026">
        <w:rPr>
          <w:rFonts w:cs="Arial"/>
          <w:b/>
          <w:bCs/>
          <w:szCs w:val="20"/>
        </w:rPr>
        <w:t>(For information in WGFM, WGSE, FM44, SE40)</w:t>
      </w:r>
    </w:p>
    <w:p w14:paraId="04A3E3BC" w14:textId="77777777" w:rsidR="004328D1" w:rsidRPr="001E7026" w:rsidRDefault="004328D1" w:rsidP="009953E8">
      <w:pPr>
        <w:rPr>
          <w:szCs w:val="20"/>
        </w:rPr>
      </w:pPr>
    </w:p>
    <w:p w14:paraId="614F79EB" w14:textId="77777777" w:rsidR="00DE5B05" w:rsidRPr="001E7026" w:rsidRDefault="00DE5B05" w:rsidP="00DE5B05">
      <w:pPr>
        <w:pStyle w:val="Titre2"/>
        <w:rPr>
          <w:szCs w:val="20"/>
          <w:lang w:val="en-GB"/>
        </w:rPr>
      </w:pPr>
      <w:bookmarkStart w:id="4" w:name="_Toc86151680"/>
      <w:r w:rsidRPr="001E7026">
        <w:rPr>
          <w:szCs w:val="20"/>
          <w:lang w:val="en-GB"/>
        </w:rPr>
        <w:t>South Africa mobile spectrum auction plans</w:t>
      </w:r>
      <w:bookmarkEnd w:id="4"/>
    </w:p>
    <w:p w14:paraId="6E611660" w14:textId="77777777" w:rsidR="002925C3" w:rsidRPr="001E7026" w:rsidRDefault="00AF032D" w:rsidP="00DE5B05">
      <w:r w:rsidRPr="001E7026">
        <w:t xml:space="preserve">On 1 October the Independent Communications Authority of South Africa (ICASA) published an </w:t>
      </w:r>
      <w:hyperlink r:id="rId15" w:history="1">
        <w:r w:rsidRPr="001E7026">
          <w:rPr>
            <w:rStyle w:val="Lienhypertexte"/>
          </w:rPr>
          <w:t>update</w:t>
        </w:r>
      </w:hyperlink>
      <w:r w:rsidRPr="001E7026">
        <w:t xml:space="preserve"> on the roadmap and timetable for release of “high demand” IMT spectrum</w:t>
      </w:r>
      <w:r w:rsidR="002925C3" w:rsidRPr="001E7026">
        <w:t xml:space="preserve"> in 700 MHz, 800 MHz, 2.6 GHz and 3.5 GHz,</w:t>
      </w:r>
      <w:r w:rsidRPr="001E7026">
        <w:t xml:space="preserve"> </w:t>
      </w:r>
      <w:r w:rsidR="002925C3" w:rsidRPr="001E7026">
        <w:t>as well as</w:t>
      </w:r>
      <w:r w:rsidRPr="001E7026">
        <w:t xml:space="preserve"> </w:t>
      </w:r>
      <w:r w:rsidR="002925C3" w:rsidRPr="001E7026">
        <w:t>licensing</w:t>
      </w:r>
      <w:r w:rsidRPr="001E7026">
        <w:t xml:space="preserve"> of the Wireless Open Access Network (“WOAN”).</w:t>
      </w:r>
    </w:p>
    <w:p w14:paraId="590D9150" w14:textId="4E5F23FA" w:rsidR="00AF032D" w:rsidRPr="001E7026" w:rsidRDefault="002925C3" w:rsidP="00DE5B05">
      <w:r w:rsidRPr="001E7026">
        <w:t>80 MHz of the total spectrum will be set aside for the WOAN</w:t>
      </w:r>
      <w:r w:rsidR="006749AF" w:rsidRPr="001E7026">
        <w:t>.</w:t>
      </w:r>
    </w:p>
    <w:p w14:paraId="5AC9D028" w14:textId="23CF0A95" w:rsidR="00AF032D" w:rsidRPr="001E7026" w:rsidRDefault="00AF032D" w:rsidP="00DE5B05">
      <w:r w:rsidRPr="001E7026">
        <w:t>The auction is planned to commence in March 2022</w:t>
      </w:r>
      <w:r w:rsidR="006749AF" w:rsidRPr="001E7026">
        <w:t>.</w:t>
      </w:r>
    </w:p>
    <w:p w14:paraId="7E2A1978" w14:textId="617155FB" w:rsidR="00DE5B05" w:rsidRPr="001E7026" w:rsidRDefault="00DE5B05" w:rsidP="00DE5B05">
      <w:pPr>
        <w:rPr>
          <w:rFonts w:cs="Arial"/>
          <w:b/>
          <w:szCs w:val="20"/>
        </w:rPr>
      </w:pPr>
      <w:r w:rsidRPr="001E7026">
        <w:rPr>
          <w:rFonts w:cs="Arial"/>
          <w:b/>
          <w:bCs/>
          <w:szCs w:val="20"/>
        </w:rPr>
        <w:t>(For information in PT1)</w:t>
      </w:r>
    </w:p>
    <w:p w14:paraId="0BA3AD1F" w14:textId="77777777" w:rsidR="004328D1" w:rsidRPr="001E7026" w:rsidRDefault="004328D1" w:rsidP="00DE5B05">
      <w:pPr>
        <w:rPr>
          <w:rStyle w:val="ECCParagraph"/>
          <w:rFonts w:cs="Arial"/>
          <w:b/>
          <w:bCs/>
          <w:szCs w:val="20"/>
        </w:rPr>
      </w:pPr>
    </w:p>
    <w:p w14:paraId="2B2A1273" w14:textId="77777777" w:rsidR="00DE5B05" w:rsidRPr="001E7026" w:rsidRDefault="00DE5B05" w:rsidP="00DE5B05">
      <w:pPr>
        <w:pStyle w:val="Titre1"/>
        <w:ind w:left="432" w:hanging="432"/>
        <w:rPr>
          <w:rStyle w:val="ECCParagraph"/>
          <w:szCs w:val="20"/>
        </w:rPr>
      </w:pPr>
      <w:bookmarkStart w:id="5" w:name="_Toc86151681"/>
      <w:r w:rsidRPr="001E7026">
        <w:rPr>
          <w:rStyle w:val="ECCParagraph"/>
          <w:szCs w:val="20"/>
        </w:rPr>
        <w:t>Asia Pacific Region (APT)</w:t>
      </w:r>
      <w:bookmarkEnd w:id="5"/>
    </w:p>
    <w:p w14:paraId="081292A8" w14:textId="1B3A772A" w:rsidR="00DE5B05" w:rsidRPr="001E7026" w:rsidRDefault="006C710B" w:rsidP="00DE5B05">
      <w:pPr>
        <w:pStyle w:val="Titre2"/>
        <w:rPr>
          <w:lang w:val="en-GB"/>
        </w:rPr>
      </w:pPr>
      <w:bookmarkStart w:id="6" w:name="_Toc86151682"/>
      <w:r w:rsidRPr="001E7026">
        <w:rPr>
          <w:lang w:val="en-GB"/>
        </w:rPr>
        <w:t xml:space="preserve">South </w:t>
      </w:r>
      <w:r w:rsidR="00A6112C" w:rsidRPr="001E7026">
        <w:rPr>
          <w:lang w:val="en-GB"/>
        </w:rPr>
        <w:t>K</w:t>
      </w:r>
      <w:r w:rsidRPr="001E7026">
        <w:rPr>
          <w:lang w:val="en-GB"/>
        </w:rPr>
        <w:t xml:space="preserve">orea Local </w:t>
      </w:r>
      <w:r w:rsidR="004A0AAD" w:rsidRPr="001E7026">
        <w:rPr>
          <w:lang w:val="en-GB"/>
        </w:rPr>
        <w:t xml:space="preserve">private </w:t>
      </w:r>
      <w:r w:rsidRPr="001E7026">
        <w:rPr>
          <w:lang w:val="en-GB"/>
        </w:rPr>
        <w:t>5G spectrum assignments</w:t>
      </w:r>
      <w:bookmarkEnd w:id="6"/>
    </w:p>
    <w:p w14:paraId="49609A34" w14:textId="30A5A901" w:rsidR="006837FB" w:rsidRPr="001E7026" w:rsidRDefault="006837FB" w:rsidP="00DE5B05">
      <w:r w:rsidRPr="001E7026">
        <w:rPr>
          <w:rFonts w:cs="Arial"/>
          <w:szCs w:val="20"/>
        </w:rPr>
        <w:t>The South Korean M</w:t>
      </w:r>
      <w:r w:rsidRPr="001E7026">
        <w:t xml:space="preserve">inistry of Science and ICT (MSIT) </w:t>
      </w:r>
      <w:r w:rsidR="004A0AAD" w:rsidRPr="001E7026">
        <w:t xml:space="preserve">announced in late June plans to release  spectrum </w:t>
      </w:r>
      <w:r w:rsidR="008B22D6" w:rsidRPr="001E7026">
        <w:t>in the</w:t>
      </w:r>
      <w:r w:rsidR="004A0AAD" w:rsidRPr="001E7026">
        <w:t xml:space="preserve"> 4.72-4.82 GHz and 28.9-29.5 GHz </w:t>
      </w:r>
      <w:r w:rsidR="008B22D6" w:rsidRPr="001E7026">
        <w:t xml:space="preserve">frequency bands </w:t>
      </w:r>
      <w:r w:rsidR="004A0AAD" w:rsidRPr="001E7026">
        <w:t>for local private 5G networks.</w:t>
      </w:r>
    </w:p>
    <w:p w14:paraId="0F758BEC" w14:textId="6B818037" w:rsidR="004A0AAD" w:rsidRPr="001E7026" w:rsidRDefault="004A0AAD" w:rsidP="00DE5B05">
      <w:r w:rsidRPr="001E7026">
        <w:t>The frequencies will be released through an administrative process with fees based on the total bandwidth, usage area and duration. The frequencies are expected to be released by the end of this year.</w:t>
      </w:r>
    </w:p>
    <w:p w14:paraId="6220A215" w14:textId="22BCB5A6" w:rsidR="00F01571" w:rsidRPr="001E7026" w:rsidRDefault="00F01571" w:rsidP="00DE5B05">
      <w:pPr>
        <w:rPr>
          <w:rFonts w:cs="Arial"/>
          <w:szCs w:val="20"/>
        </w:rPr>
      </w:pPr>
      <w:r w:rsidRPr="001E7026">
        <w:t xml:space="preserve">The MSIT press release (in Korean) is available </w:t>
      </w:r>
      <w:hyperlink r:id="rId16" w:history="1">
        <w:r w:rsidRPr="001E7026">
          <w:rPr>
            <w:rStyle w:val="Lienhypertexte"/>
          </w:rPr>
          <w:t>here</w:t>
        </w:r>
      </w:hyperlink>
      <w:r w:rsidRPr="001E7026">
        <w:t>.</w:t>
      </w:r>
    </w:p>
    <w:p w14:paraId="1397F6D9" w14:textId="267F7678" w:rsidR="00DE5B05" w:rsidRPr="001E7026" w:rsidRDefault="00DE5B05" w:rsidP="00DE5B05">
      <w:pPr>
        <w:rPr>
          <w:rFonts w:cs="Arial"/>
          <w:b/>
          <w:bCs/>
          <w:szCs w:val="20"/>
        </w:rPr>
      </w:pPr>
      <w:r w:rsidRPr="001E7026">
        <w:rPr>
          <w:rFonts w:cs="Arial"/>
          <w:b/>
          <w:bCs/>
          <w:szCs w:val="20"/>
        </w:rPr>
        <w:t xml:space="preserve">(For information in </w:t>
      </w:r>
      <w:r w:rsidR="004A0AAD" w:rsidRPr="001E7026">
        <w:rPr>
          <w:rFonts w:cs="Arial"/>
          <w:b/>
          <w:bCs/>
          <w:szCs w:val="20"/>
        </w:rPr>
        <w:t>WGFM and PT1)</w:t>
      </w:r>
    </w:p>
    <w:p w14:paraId="1082B42E" w14:textId="77777777" w:rsidR="004328D1" w:rsidRPr="001E7026" w:rsidRDefault="004328D1" w:rsidP="00DE5B05">
      <w:pPr>
        <w:rPr>
          <w:rFonts w:cs="Arial"/>
          <w:b/>
          <w:bCs/>
          <w:szCs w:val="20"/>
        </w:rPr>
      </w:pPr>
    </w:p>
    <w:p w14:paraId="216E2DC4" w14:textId="7816CEE3" w:rsidR="00486703" w:rsidRPr="001E7026" w:rsidRDefault="00486703" w:rsidP="00486703">
      <w:pPr>
        <w:pStyle w:val="Titre2"/>
        <w:rPr>
          <w:lang w:val="en-GB"/>
        </w:rPr>
      </w:pPr>
      <w:bookmarkStart w:id="7" w:name="_Toc86151683"/>
      <w:r w:rsidRPr="001E7026">
        <w:rPr>
          <w:lang w:val="en-GB"/>
        </w:rPr>
        <w:t>Pakistan mobile spectrum auction results</w:t>
      </w:r>
      <w:bookmarkEnd w:id="7"/>
    </w:p>
    <w:p w14:paraId="43CE721D" w14:textId="06272499" w:rsidR="00486703" w:rsidRPr="001E7026" w:rsidRDefault="00486703" w:rsidP="00486703">
      <w:pPr>
        <w:rPr>
          <w:rFonts w:cs="Arial"/>
          <w:szCs w:val="20"/>
        </w:rPr>
      </w:pPr>
      <w:r w:rsidRPr="001E7026">
        <w:rPr>
          <w:rFonts w:cs="Arial"/>
          <w:szCs w:val="20"/>
        </w:rPr>
        <w:t>The Pakistani auction of spectrum in the 1800 MHz and 2.1 GHz bands has concluded with only a single bidder (Ufone) awarded 2x9 MHz in the 1800 MHz band. No frequencies were sold in the 2.1 GHz band.</w:t>
      </w:r>
    </w:p>
    <w:p w14:paraId="2926FA69" w14:textId="1E0BBFEC" w:rsidR="00486703" w:rsidRPr="001E7026" w:rsidRDefault="00486703" w:rsidP="00486703">
      <w:pPr>
        <w:rPr>
          <w:rFonts w:cs="Arial"/>
          <w:b/>
          <w:bCs/>
          <w:szCs w:val="20"/>
        </w:rPr>
      </w:pPr>
      <w:r w:rsidRPr="001E7026">
        <w:rPr>
          <w:rFonts w:cs="Arial"/>
          <w:b/>
          <w:bCs/>
          <w:szCs w:val="20"/>
        </w:rPr>
        <w:t>(For information in PT1)</w:t>
      </w:r>
    </w:p>
    <w:p w14:paraId="47E5969B" w14:textId="77777777" w:rsidR="00DE5B05" w:rsidRPr="001E7026" w:rsidRDefault="00DE5B05" w:rsidP="00DE5B05">
      <w:pPr>
        <w:pStyle w:val="Titre1"/>
        <w:ind w:left="432" w:hanging="432"/>
        <w:rPr>
          <w:rStyle w:val="ECCParagraph"/>
          <w:szCs w:val="20"/>
        </w:rPr>
      </w:pPr>
      <w:bookmarkStart w:id="8" w:name="_Toc86151684"/>
      <w:r w:rsidRPr="001E7026">
        <w:rPr>
          <w:rStyle w:val="ECCParagraph"/>
          <w:szCs w:val="20"/>
        </w:rPr>
        <w:lastRenderedPageBreak/>
        <w:t>Americas (CITEL)</w:t>
      </w:r>
      <w:bookmarkEnd w:id="8"/>
    </w:p>
    <w:p w14:paraId="086EF7C9" w14:textId="11EF91D9" w:rsidR="002925C3" w:rsidRPr="001E7026" w:rsidRDefault="002925C3" w:rsidP="002925C3">
      <w:pPr>
        <w:pStyle w:val="Titre2"/>
        <w:rPr>
          <w:lang w:val="en-GB"/>
        </w:rPr>
      </w:pPr>
      <w:bookmarkStart w:id="9" w:name="_Toc86151685"/>
      <w:r w:rsidRPr="001E7026">
        <w:rPr>
          <w:lang w:val="en-GB"/>
        </w:rPr>
        <w:t>Brazil</w:t>
      </w:r>
      <w:r w:rsidR="006749AF" w:rsidRPr="001E7026">
        <w:rPr>
          <w:lang w:val="en-GB"/>
        </w:rPr>
        <w:t xml:space="preserve"> 5g auction</w:t>
      </w:r>
      <w:bookmarkEnd w:id="9"/>
    </w:p>
    <w:p w14:paraId="3EB82374" w14:textId="6B3D7B22" w:rsidR="002925C3" w:rsidRPr="001E7026" w:rsidRDefault="002925C3" w:rsidP="002925C3">
      <w:pPr>
        <w:rPr>
          <w:rFonts w:eastAsiaTheme="minorHAnsi"/>
        </w:rPr>
      </w:pPr>
      <w:proofErr w:type="spellStart"/>
      <w:r w:rsidRPr="001E7026">
        <w:t>Anatel</w:t>
      </w:r>
      <w:proofErr w:type="spellEnd"/>
      <w:r w:rsidRPr="001E7026">
        <w:t xml:space="preserve"> </w:t>
      </w:r>
      <w:r w:rsidR="006749AF" w:rsidRPr="001E7026">
        <w:t xml:space="preserve">has </w:t>
      </w:r>
      <w:r w:rsidRPr="001E7026">
        <w:t xml:space="preserve">approved </w:t>
      </w:r>
      <w:r w:rsidR="006749AF" w:rsidRPr="001E7026">
        <w:t>a</w:t>
      </w:r>
      <w:r w:rsidRPr="001E7026">
        <w:t xml:space="preserve"> notice of </w:t>
      </w:r>
      <w:r w:rsidR="006749AF" w:rsidRPr="001E7026">
        <w:t xml:space="preserve">an </w:t>
      </w:r>
      <w:r w:rsidRPr="001E7026">
        <w:t>auction</w:t>
      </w:r>
      <w:r w:rsidR="006749AF" w:rsidRPr="001E7026">
        <w:t xml:space="preserve"> of 5G spectrum in the 700 MHz, 2.3 GHz, 3.5 GHz and 26 GHz bands</w:t>
      </w:r>
      <w:r w:rsidRPr="001E7026">
        <w:t xml:space="preserve">. This </w:t>
      </w:r>
      <w:r w:rsidR="006749AF" w:rsidRPr="001E7026">
        <w:t xml:space="preserve">is </w:t>
      </w:r>
      <w:r w:rsidRPr="001E7026">
        <w:t>the largest spectrum offer</w:t>
      </w:r>
      <w:r w:rsidR="006749AF" w:rsidRPr="001E7026">
        <w:t>ing</w:t>
      </w:r>
      <w:r w:rsidRPr="001E7026">
        <w:t xml:space="preserve"> in </w:t>
      </w:r>
      <w:proofErr w:type="spellStart"/>
      <w:r w:rsidRPr="001E7026">
        <w:t>Anatel's</w:t>
      </w:r>
      <w:proofErr w:type="spellEnd"/>
      <w:r w:rsidRPr="001E7026">
        <w:t xml:space="preserve"> history. The auction begins on October 27 with price proposals on November 4.</w:t>
      </w:r>
    </w:p>
    <w:p w14:paraId="3934E438" w14:textId="5B37280C" w:rsidR="002925C3" w:rsidRPr="001E7026" w:rsidRDefault="002925C3" w:rsidP="002925C3">
      <w:r w:rsidRPr="001E7026">
        <w:t xml:space="preserve">The auction establishes national and regional investment coverage and backhaul commitments that oblige the </w:t>
      </w:r>
      <w:r w:rsidR="006749AF" w:rsidRPr="001E7026">
        <w:t xml:space="preserve">winning </w:t>
      </w:r>
      <w:r w:rsidRPr="001E7026">
        <w:t>companies to serve areas that are poorly or not served, such as towns and roads, with 4G technology or higher. For municipalities with more than 30 thousand inhabitants, service commitments are already planned with 5G technology. In capitals and the Federal District, 5G should start being offered by the auction winners before July 31 2022.</w:t>
      </w:r>
    </w:p>
    <w:p w14:paraId="20A3C2BF" w14:textId="07DD18ED" w:rsidR="002925C3" w:rsidRPr="001E7026" w:rsidRDefault="002925C3" w:rsidP="002925C3">
      <w:r w:rsidRPr="001E7026">
        <w:t xml:space="preserve">Further details can be found </w:t>
      </w:r>
      <w:hyperlink r:id="rId17" w:history="1">
        <w:r w:rsidRPr="001E7026">
          <w:rPr>
            <w:rStyle w:val="Lienhypertexte"/>
          </w:rPr>
          <w:t>here</w:t>
        </w:r>
      </w:hyperlink>
      <w:r w:rsidRPr="001E7026">
        <w:t xml:space="preserve"> </w:t>
      </w:r>
      <w:r w:rsidR="006749AF" w:rsidRPr="001E7026">
        <w:t>(in Portuguese).</w:t>
      </w:r>
    </w:p>
    <w:p w14:paraId="4811E229" w14:textId="422FB259" w:rsidR="0045262F" w:rsidRDefault="0045262F" w:rsidP="002925C3">
      <w:pPr>
        <w:rPr>
          <w:rFonts w:cs="Arial"/>
          <w:b/>
          <w:bCs/>
          <w:szCs w:val="20"/>
        </w:rPr>
      </w:pPr>
      <w:r w:rsidRPr="001E7026">
        <w:rPr>
          <w:rFonts w:cs="Arial"/>
          <w:b/>
          <w:bCs/>
          <w:szCs w:val="20"/>
        </w:rPr>
        <w:t>(For information in PT1)</w:t>
      </w:r>
    </w:p>
    <w:p w14:paraId="3AD9E004" w14:textId="77777777" w:rsidR="00DD22EE" w:rsidRPr="001E7026" w:rsidRDefault="00DD22EE" w:rsidP="002925C3">
      <w:pPr>
        <w:rPr>
          <w:rFonts w:cs="Arial"/>
          <w:b/>
          <w:bCs/>
          <w:szCs w:val="20"/>
        </w:rPr>
      </w:pPr>
    </w:p>
    <w:p w14:paraId="4DCFA5DA" w14:textId="2E7CCCFB" w:rsidR="00DE5B05" w:rsidRPr="001E7026" w:rsidRDefault="00DE5B05" w:rsidP="00DE5B05">
      <w:pPr>
        <w:pStyle w:val="Titre2"/>
        <w:rPr>
          <w:lang w:val="en-GB"/>
        </w:rPr>
      </w:pPr>
      <w:bookmarkStart w:id="10" w:name="_Toc86151686"/>
      <w:r w:rsidRPr="001E7026">
        <w:rPr>
          <w:lang w:val="en-GB"/>
        </w:rPr>
        <w:t>USA</w:t>
      </w:r>
      <w:bookmarkEnd w:id="10"/>
    </w:p>
    <w:p w14:paraId="321A8B77" w14:textId="47082CE9" w:rsidR="00DE5B05" w:rsidRPr="001E7026" w:rsidRDefault="00DE5B05" w:rsidP="00DE5B05">
      <w:pPr>
        <w:pStyle w:val="Titre3"/>
        <w:rPr>
          <w:lang w:val="en-GB"/>
        </w:rPr>
      </w:pPr>
      <w:bookmarkStart w:id="11" w:name="_Toc86151687"/>
      <w:r w:rsidRPr="001E7026">
        <w:rPr>
          <w:lang w:val="en-GB"/>
        </w:rPr>
        <w:t>USA C Band 3.</w:t>
      </w:r>
      <w:r w:rsidR="00486703" w:rsidRPr="001E7026">
        <w:rPr>
          <w:lang w:val="en-GB"/>
        </w:rPr>
        <w:t>45</w:t>
      </w:r>
      <w:r w:rsidRPr="001E7026">
        <w:rPr>
          <w:lang w:val="en-GB"/>
        </w:rPr>
        <w:t>-3.</w:t>
      </w:r>
      <w:r w:rsidR="00486703" w:rsidRPr="001E7026">
        <w:rPr>
          <w:lang w:val="en-GB"/>
        </w:rPr>
        <w:t>55</w:t>
      </w:r>
      <w:r w:rsidRPr="001E7026">
        <w:rPr>
          <w:lang w:val="en-GB"/>
        </w:rPr>
        <w:t xml:space="preserve"> GHz</w:t>
      </w:r>
      <w:bookmarkEnd w:id="11"/>
    </w:p>
    <w:p w14:paraId="59BC9506" w14:textId="502FE525" w:rsidR="00486703" w:rsidRPr="001E7026" w:rsidRDefault="00486703" w:rsidP="00DE5B05">
      <w:r w:rsidRPr="001E7026">
        <w:t xml:space="preserve">The FCC has commenced its </w:t>
      </w:r>
      <w:hyperlink r:id="rId18" w:history="1">
        <w:r w:rsidRPr="001E7026">
          <w:rPr>
            <w:rStyle w:val="Lienhypertexte"/>
          </w:rPr>
          <w:t>auction</w:t>
        </w:r>
      </w:hyperlink>
      <w:r w:rsidRPr="001E7026">
        <w:t xml:space="preserve"> of spectrum in the 3.45-3.55 GHz</w:t>
      </w:r>
      <w:r w:rsidR="00F01571" w:rsidRPr="001E7026">
        <w:t xml:space="preserve"> on 5 October</w:t>
      </w:r>
      <w:r w:rsidRPr="001E7026">
        <w:t xml:space="preserve">. Bidding reached the reserve price of US $14.77 billion on </w:t>
      </w:r>
      <w:r w:rsidR="00F01571" w:rsidRPr="001E7026">
        <w:t xml:space="preserve">20 </w:t>
      </w:r>
      <w:r w:rsidRPr="001E7026">
        <w:t xml:space="preserve">October following </w:t>
      </w:r>
      <w:r w:rsidR="00F01571" w:rsidRPr="001E7026">
        <w:t xml:space="preserve">some </w:t>
      </w:r>
      <w:r w:rsidRPr="001E7026">
        <w:t>speculation that this target price might not be reached.</w:t>
      </w:r>
    </w:p>
    <w:p w14:paraId="32BCE694" w14:textId="0C07206A" w:rsidR="00DE5B05" w:rsidRPr="001E7026" w:rsidRDefault="00DE5B05" w:rsidP="00DE5B05">
      <w:pPr>
        <w:rPr>
          <w:rFonts w:cs="Arial"/>
          <w:b/>
          <w:bCs/>
          <w:szCs w:val="20"/>
        </w:rPr>
      </w:pPr>
      <w:r w:rsidRPr="001E7026">
        <w:rPr>
          <w:rFonts w:cs="Arial"/>
          <w:b/>
          <w:bCs/>
          <w:szCs w:val="20"/>
        </w:rPr>
        <w:t>(For information in PT1)</w:t>
      </w:r>
    </w:p>
    <w:p w14:paraId="23663E8B" w14:textId="77777777" w:rsidR="004328D1" w:rsidRPr="001E7026" w:rsidRDefault="004328D1" w:rsidP="00DE5B05">
      <w:pPr>
        <w:rPr>
          <w:rFonts w:cs="Arial"/>
          <w:b/>
          <w:bCs/>
          <w:szCs w:val="20"/>
        </w:rPr>
      </w:pPr>
    </w:p>
    <w:p w14:paraId="7677C8C5" w14:textId="4EE89D21" w:rsidR="006749AF" w:rsidRPr="001E7026" w:rsidRDefault="006749AF" w:rsidP="006749AF">
      <w:pPr>
        <w:pStyle w:val="Titre3"/>
        <w:rPr>
          <w:lang w:val="en-GB"/>
        </w:rPr>
      </w:pPr>
      <w:bookmarkStart w:id="12" w:name="_Toc86151688"/>
      <w:r w:rsidRPr="001E7026">
        <w:rPr>
          <w:lang w:val="en-GB"/>
        </w:rPr>
        <w:t>New framework for public safety operations in the 4.9 GHz band</w:t>
      </w:r>
      <w:bookmarkEnd w:id="12"/>
    </w:p>
    <w:p w14:paraId="064B03C9" w14:textId="2472C645" w:rsidR="006749AF" w:rsidRPr="001E7026" w:rsidRDefault="006749AF" w:rsidP="006749AF">
      <w:pPr>
        <w:rPr>
          <w:rFonts w:eastAsiaTheme="minorHAnsi"/>
        </w:rPr>
      </w:pPr>
      <w:r w:rsidRPr="001E7026">
        <w:t xml:space="preserve">The Federal Communications Commission has taken </w:t>
      </w:r>
      <w:hyperlink r:id="rId19" w:history="1">
        <w:r w:rsidRPr="001E7026">
          <w:rPr>
            <w:rStyle w:val="Lienhypertexte"/>
          </w:rPr>
          <w:t>action</w:t>
        </w:r>
      </w:hyperlink>
      <w:r w:rsidRPr="001E7026">
        <w:t xml:space="preserve"> to protect public safety operations in the 4.9 GHz spectrum band and to move towards establishment of a nationwide, coordinated framework that would emphasise public safety needs while increasing overall use of the band and putting public safety on a path to 5G. </w:t>
      </w:r>
    </w:p>
    <w:p w14:paraId="60EB7A23" w14:textId="739A7EDD" w:rsidR="006749AF" w:rsidRPr="001E7026" w:rsidRDefault="006749AF" w:rsidP="006749AF">
      <w:r w:rsidRPr="001E7026">
        <w:t>The FCC seeks to establish a nationwide framework for the band that will spur technical innovation, lower equipment costs, and promote interoperable communications.  It explores options to ensure public safety use of the band, including protecting public safety users from harmful interference, collecting more granular licensing data, and adopting technical standards to promote interoperability.  Furthermore, it also seeks comment on ways to encourage use of new technologies, including 5G, and dynamic spectrum access systems to facilitate coexistence between public safety and non-public safety uses of the band.</w:t>
      </w:r>
    </w:p>
    <w:p w14:paraId="44ED3822" w14:textId="391CE9D1" w:rsidR="006749AF" w:rsidRPr="001E7026" w:rsidRDefault="006749AF" w:rsidP="006749AF">
      <w:pPr>
        <w:rPr>
          <w:rFonts w:cs="Arial"/>
          <w:b/>
          <w:bCs/>
          <w:szCs w:val="20"/>
        </w:rPr>
      </w:pPr>
      <w:r w:rsidRPr="001E7026">
        <w:rPr>
          <w:rFonts w:cs="Arial"/>
          <w:b/>
          <w:bCs/>
          <w:szCs w:val="20"/>
        </w:rPr>
        <w:t xml:space="preserve">(For information in WGFM and </w:t>
      </w:r>
      <w:r w:rsidRPr="008C238C">
        <w:rPr>
          <w:rFonts w:cs="Arial"/>
          <w:b/>
          <w:bCs/>
          <w:szCs w:val="20"/>
        </w:rPr>
        <w:t>CPG PTC</w:t>
      </w:r>
      <w:r w:rsidRPr="001E7026">
        <w:rPr>
          <w:rFonts w:cs="Arial"/>
          <w:b/>
          <w:bCs/>
          <w:szCs w:val="20"/>
        </w:rPr>
        <w:t>)</w:t>
      </w:r>
    </w:p>
    <w:p w14:paraId="7F07F6E6" w14:textId="77777777" w:rsidR="004328D1" w:rsidRPr="001E7026" w:rsidRDefault="004328D1" w:rsidP="006749AF">
      <w:pPr>
        <w:rPr>
          <w:rFonts w:cs="Arial"/>
          <w:b/>
          <w:bCs/>
          <w:szCs w:val="20"/>
        </w:rPr>
      </w:pPr>
    </w:p>
    <w:p w14:paraId="02EE59CA" w14:textId="589ED95F" w:rsidR="006C710B" w:rsidRPr="001E7026" w:rsidRDefault="006C710B" w:rsidP="006C710B">
      <w:pPr>
        <w:pStyle w:val="Titre3"/>
        <w:rPr>
          <w:lang w:val="en-GB"/>
        </w:rPr>
      </w:pPr>
      <w:bookmarkStart w:id="13" w:name="_Toc86151689"/>
      <w:r w:rsidRPr="001E7026">
        <w:rPr>
          <w:lang w:val="en-GB"/>
        </w:rPr>
        <w:t xml:space="preserve">Launch of </w:t>
      </w:r>
      <w:proofErr w:type="spellStart"/>
      <w:r w:rsidRPr="001E7026">
        <w:rPr>
          <w:lang w:val="en-GB"/>
        </w:rPr>
        <w:t>SpectrumX</w:t>
      </w:r>
      <w:proofErr w:type="spellEnd"/>
      <w:r w:rsidRPr="001E7026">
        <w:rPr>
          <w:lang w:val="en-GB"/>
        </w:rPr>
        <w:t xml:space="preserve"> Innovation Centre</w:t>
      </w:r>
      <w:bookmarkEnd w:id="13"/>
    </w:p>
    <w:p w14:paraId="5551F37E" w14:textId="48612C63" w:rsidR="006C710B" w:rsidRPr="001E7026" w:rsidRDefault="006C710B" w:rsidP="006C710B">
      <w:pPr>
        <w:rPr>
          <w:rFonts w:eastAsiaTheme="minorHAnsi"/>
        </w:rPr>
      </w:pPr>
      <w:r w:rsidRPr="001E7026">
        <w:t>Over the past year the US National Science Foundation (NSF) ran a competition under the name of the Spectrum Innovation Initiative (SII), whose purpose was to provide a substantial award to fund the nation's first spectrum-focused research centre. Among the goals of the centre is "connecting spectrum researchers with the nationwide challenges and growing the spectrum workforce in support of industries of the future."</w:t>
      </w:r>
    </w:p>
    <w:p w14:paraId="0873322B" w14:textId="1E9226AC" w:rsidR="006749AF" w:rsidRPr="001E7026" w:rsidRDefault="006C710B" w:rsidP="00DE5B05">
      <w:r w:rsidRPr="001E7026">
        <w:lastRenderedPageBreak/>
        <w:t xml:space="preserve">On September 14th, NSF announced "a $25 million investment over five years to launch </w:t>
      </w:r>
      <w:proofErr w:type="spellStart"/>
      <w:r w:rsidRPr="001E7026">
        <w:t>SpectrumX</w:t>
      </w:r>
      <w:proofErr w:type="spellEnd"/>
      <w:r w:rsidRPr="001E7026">
        <w:t xml:space="preserve"> (</w:t>
      </w:r>
      <w:hyperlink r:id="rId20" w:history="1">
        <w:r w:rsidRPr="001E7026">
          <w:rPr>
            <w:rStyle w:val="Lienhypertexte"/>
          </w:rPr>
          <w:t>https://www.spectrumx.org/</w:t>
        </w:r>
      </w:hyperlink>
      <w:r w:rsidRPr="001E7026">
        <w:t xml:space="preserve">), an NSF Spectrum Innovation </w:t>
      </w:r>
      <w:proofErr w:type="spellStart"/>
      <w:r w:rsidRPr="001E7026">
        <w:t>Center</w:t>
      </w:r>
      <w:proofErr w:type="spellEnd"/>
      <w:r w:rsidRPr="001E7026">
        <w:t xml:space="preserve"> that will address the growing demand for usage of the radio spectrum. This represents the first federal investment in a national centre focused on the transformation of wireless spectrum management. </w:t>
      </w:r>
      <w:proofErr w:type="spellStart"/>
      <w:r w:rsidRPr="001E7026">
        <w:t>SpectrumX</w:t>
      </w:r>
      <w:proofErr w:type="spellEnd"/>
      <w:r w:rsidRPr="001E7026">
        <w:t xml:space="preserve"> is a coalition of 29 institutions led by the University of Notre Dame."</w:t>
      </w:r>
    </w:p>
    <w:p w14:paraId="67E267F4" w14:textId="2349FAB3" w:rsidR="006C710B" w:rsidRPr="001E7026" w:rsidRDefault="006C710B" w:rsidP="00DE5B05">
      <w:pPr>
        <w:rPr>
          <w:rFonts w:cs="Arial"/>
          <w:b/>
          <w:bCs/>
          <w:szCs w:val="20"/>
        </w:rPr>
      </w:pPr>
      <w:r w:rsidRPr="001E7026">
        <w:rPr>
          <w:rFonts w:cs="Arial"/>
          <w:b/>
          <w:bCs/>
          <w:szCs w:val="20"/>
        </w:rPr>
        <w:t xml:space="preserve">(For information in </w:t>
      </w:r>
      <w:r w:rsidRPr="008C238C">
        <w:rPr>
          <w:rFonts w:cs="Arial"/>
          <w:b/>
          <w:bCs/>
          <w:szCs w:val="20"/>
        </w:rPr>
        <w:t>WGSE and PT1</w:t>
      </w:r>
      <w:r w:rsidRPr="001E7026">
        <w:rPr>
          <w:rFonts w:cs="Arial"/>
          <w:b/>
          <w:bCs/>
          <w:szCs w:val="20"/>
        </w:rPr>
        <w:t>)</w:t>
      </w:r>
    </w:p>
    <w:p w14:paraId="13E08930" w14:textId="77777777" w:rsidR="004328D1" w:rsidRPr="001E7026" w:rsidRDefault="004328D1" w:rsidP="00DE5B05">
      <w:pPr>
        <w:rPr>
          <w:rFonts w:cs="Arial"/>
          <w:b/>
          <w:bCs/>
          <w:szCs w:val="20"/>
        </w:rPr>
      </w:pPr>
    </w:p>
    <w:p w14:paraId="0128E3F7" w14:textId="7745010A" w:rsidR="00AB1029" w:rsidRPr="001E7026" w:rsidRDefault="007B4549" w:rsidP="00AB1029">
      <w:pPr>
        <w:pStyle w:val="Titre3"/>
        <w:rPr>
          <w:lang w:val="en-GB"/>
        </w:rPr>
      </w:pPr>
      <w:bookmarkStart w:id="14" w:name="_Ref86057228"/>
      <w:bookmarkStart w:id="15" w:name="_Toc86151690"/>
      <w:proofErr w:type="spellStart"/>
      <w:r w:rsidRPr="001E7026">
        <w:rPr>
          <w:lang w:val="en-GB"/>
        </w:rPr>
        <w:t>Hiber</w:t>
      </w:r>
      <w:proofErr w:type="spellEnd"/>
      <w:r w:rsidRPr="001E7026">
        <w:rPr>
          <w:lang w:val="en-GB"/>
        </w:rPr>
        <w:t xml:space="preserve"> to stop development of its satellite IoT constellation</w:t>
      </w:r>
      <w:bookmarkEnd w:id="14"/>
      <w:bookmarkEnd w:id="15"/>
      <w:r w:rsidRPr="001E7026">
        <w:rPr>
          <w:lang w:val="en-GB"/>
        </w:rPr>
        <w:t xml:space="preserve"> </w:t>
      </w:r>
    </w:p>
    <w:p w14:paraId="68237307" w14:textId="682B0C28" w:rsidR="00AB1029" w:rsidRPr="001E7026" w:rsidRDefault="003532EA" w:rsidP="00DE5B05">
      <w:pPr>
        <w:rPr>
          <w:rFonts w:cs="Arial"/>
          <w:szCs w:val="20"/>
        </w:rPr>
      </w:pPr>
      <w:r w:rsidRPr="001E7026">
        <w:rPr>
          <w:rFonts w:cs="Arial"/>
          <w:szCs w:val="20"/>
        </w:rPr>
        <w:t xml:space="preserve">Dutch </w:t>
      </w:r>
      <w:r w:rsidR="00A66E5A" w:rsidRPr="001E7026">
        <w:rPr>
          <w:rFonts w:cs="Arial"/>
          <w:szCs w:val="20"/>
        </w:rPr>
        <w:t xml:space="preserve">Satellite IoT </w:t>
      </w:r>
      <w:r w:rsidRPr="001E7026">
        <w:rPr>
          <w:rFonts w:cs="Arial"/>
          <w:szCs w:val="20"/>
        </w:rPr>
        <w:t xml:space="preserve">operator </w:t>
      </w:r>
      <w:proofErr w:type="spellStart"/>
      <w:r w:rsidRPr="001E7026">
        <w:rPr>
          <w:rFonts w:cs="Arial"/>
          <w:szCs w:val="20"/>
        </w:rPr>
        <w:t>Hiber</w:t>
      </w:r>
      <w:proofErr w:type="spellEnd"/>
      <w:r w:rsidRPr="001E7026">
        <w:rPr>
          <w:rFonts w:cs="Arial"/>
          <w:szCs w:val="20"/>
        </w:rPr>
        <w:t xml:space="preserve"> has </w:t>
      </w:r>
      <w:hyperlink r:id="rId21" w:history="1">
        <w:r w:rsidRPr="001E7026">
          <w:rPr>
            <w:rStyle w:val="Lienhypertexte"/>
            <w:rFonts w:cs="Arial"/>
            <w:szCs w:val="20"/>
          </w:rPr>
          <w:t>informed the FCC</w:t>
        </w:r>
      </w:hyperlink>
      <w:r w:rsidRPr="001E7026">
        <w:rPr>
          <w:rFonts w:cs="Arial"/>
          <w:szCs w:val="20"/>
        </w:rPr>
        <w:t xml:space="preserve"> </w:t>
      </w:r>
      <w:r w:rsidR="00E771B6" w:rsidRPr="001E7026">
        <w:rPr>
          <w:rFonts w:cs="Arial"/>
          <w:szCs w:val="20"/>
        </w:rPr>
        <w:t>that it is surrendering its market access authorisation and associated earth station licence</w:t>
      </w:r>
      <w:r w:rsidR="00563EC2" w:rsidRPr="001E7026">
        <w:rPr>
          <w:rFonts w:cs="Arial"/>
          <w:szCs w:val="20"/>
        </w:rPr>
        <w:t xml:space="preserve"> as it no longer intends to provide satellite service, due to failure of </w:t>
      </w:r>
      <w:r w:rsidR="005F1D78" w:rsidRPr="001E7026">
        <w:rPr>
          <w:rFonts w:cs="Arial"/>
          <w:szCs w:val="20"/>
        </w:rPr>
        <w:t xml:space="preserve">2 of the 4 launched satellites and technical issues with the remaining 2. The operator also cited the challenges of </w:t>
      </w:r>
      <w:r w:rsidR="002D6F2C" w:rsidRPr="001E7026">
        <w:rPr>
          <w:rFonts w:cs="Arial"/>
          <w:szCs w:val="20"/>
        </w:rPr>
        <w:t>raising investment due to the COVID-19 travel restrictions</w:t>
      </w:r>
      <w:r w:rsidR="006C3A71" w:rsidRPr="001E7026">
        <w:rPr>
          <w:rFonts w:cs="Arial"/>
          <w:szCs w:val="20"/>
        </w:rPr>
        <w:t xml:space="preserve"> meaning it has been unable to support construction of the remaining satellites in the constellation.</w:t>
      </w:r>
    </w:p>
    <w:p w14:paraId="567E52CA" w14:textId="327D70AA" w:rsidR="006C3A71" w:rsidRPr="001E7026" w:rsidRDefault="006C3A71" w:rsidP="00DE5B05">
      <w:pPr>
        <w:rPr>
          <w:rFonts w:cs="Arial"/>
          <w:szCs w:val="20"/>
        </w:rPr>
      </w:pPr>
      <w:r w:rsidRPr="001E7026">
        <w:rPr>
          <w:rFonts w:cs="Arial"/>
          <w:szCs w:val="20"/>
        </w:rPr>
        <w:t xml:space="preserve">The letter also informs that </w:t>
      </w:r>
      <w:proofErr w:type="spellStart"/>
      <w:r w:rsidRPr="001E7026">
        <w:rPr>
          <w:rFonts w:cs="Arial"/>
          <w:szCs w:val="20"/>
        </w:rPr>
        <w:t>Hiber</w:t>
      </w:r>
      <w:proofErr w:type="spellEnd"/>
      <w:r w:rsidRPr="001E7026">
        <w:rPr>
          <w:rFonts w:cs="Arial"/>
          <w:szCs w:val="20"/>
        </w:rPr>
        <w:t xml:space="preserve"> is in the process of </w:t>
      </w:r>
      <w:r w:rsidR="00DE054C" w:rsidRPr="001E7026">
        <w:rPr>
          <w:rFonts w:cs="Arial"/>
          <w:szCs w:val="20"/>
        </w:rPr>
        <w:t>surrounding it</w:t>
      </w:r>
      <w:r w:rsidR="006C34C3" w:rsidRPr="001E7026">
        <w:rPr>
          <w:rFonts w:cs="Arial"/>
          <w:szCs w:val="20"/>
        </w:rPr>
        <w:t xml:space="preserve">s space system licence to the Dutch administration. </w:t>
      </w:r>
    </w:p>
    <w:p w14:paraId="1158071F" w14:textId="09AD98B9" w:rsidR="006C34C3" w:rsidRPr="001E7026" w:rsidRDefault="006C34C3" w:rsidP="00DE5B05">
      <w:pPr>
        <w:rPr>
          <w:rFonts w:cs="Arial"/>
          <w:szCs w:val="20"/>
        </w:rPr>
      </w:pPr>
      <w:r w:rsidRPr="001E7026">
        <w:rPr>
          <w:rFonts w:cs="Arial"/>
          <w:szCs w:val="20"/>
        </w:rPr>
        <w:t xml:space="preserve">This development is </w:t>
      </w:r>
      <w:r w:rsidR="00FE2155" w:rsidRPr="001E7026">
        <w:rPr>
          <w:rFonts w:cs="Arial"/>
          <w:szCs w:val="20"/>
        </w:rPr>
        <w:t>notable</w:t>
      </w:r>
      <w:r w:rsidR="003C4E56" w:rsidRPr="001E7026">
        <w:rPr>
          <w:rFonts w:cs="Arial"/>
          <w:szCs w:val="20"/>
        </w:rPr>
        <w:t xml:space="preserve"> for the ECC as </w:t>
      </w:r>
      <w:proofErr w:type="spellStart"/>
      <w:r w:rsidR="003C4E56" w:rsidRPr="001E7026">
        <w:rPr>
          <w:rFonts w:cs="Arial"/>
          <w:szCs w:val="20"/>
        </w:rPr>
        <w:t>Hiber</w:t>
      </w:r>
      <w:proofErr w:type="spellEnd"/>
      <w:r w:rsidR="003C4E56" w:rsidRPr="001E7026">
        <w:rPr>
          <w:rFonts w:cs="Arial"/>
          <w:szCs w:val="20"/>
        </w:rPr>
        <w:t xml:space="preserve"> is one of the existing operators</w:t>
      </w:r>
      <w:r w:rsidR="00003FD1" w:rsidRPr="001E7026">
        <w:rPr>
          <w:rFonts w:cs="Arial"/>
          <w:szCs w:val="20"/>
        </w:rPr>
        <w:t xml:space="preserve"> included under the framework of ERC Decision (99)06 for S-PCS in bands below 1 GHz</w:t>
      </w:r>
      <w:r w:rsidR="00254A0E" w:rsidRPr="001E7026">
        <w:rPr>
          <w:rFonts w:cs="Arial"/>
          <w:szCs w:val="20"/>
        </w:rPr>
        <w:t xml:space="preserve"> (see also </w:t>
      </w:r>
      <w:r w:rsidR="00254A0E" w:rsidRPr="008C238C">
        <w:rPr>
          <w:rFonts w:cs="Arial"/>
          <w:szCs w:val="20"/>
        </w:rPr>
        <w:fldChar w:fldCharType="begin"/>
      </w:r>
      <w:r w:rsidR="00254A0E" w:rsidRPr="001E7026">
        <w:rPr>
          <w:rFonts w:cs="Arial"/>
          <w:szCs w:val="20"/>
        </w:rPr>
        <w:instrText xml:space="preserve"> REF _Ref86057201 \r \h </w:instrText>
      </w:r>
      <w:r w:rsidR="001E7026">
        <w:rPr>
          <w:rFonts w:cs="Arial"/>
          <w:szCs w:val="20"/>
        </w:rPr>
        <w:instrText xml:space="preserve"> \* MERGEFORMAT </w:instrText>
      </w:r>
      <w:r w:rsidR="00254A0E" w:rsidRPr="008C238C">
        <w:rPr>
          <w:rFonts w:cs="Arial"/>
          <w:szCs w:val="20"/>
        </w:rPr>
      </w:r>
      <w:r w:rsidR="00254A0E" w:rsidRPr="008C238C">
        <w:rPr>
          <w:rFonts w:cs="Arial"/>
          <w:szCs w:val="20"/>
        </w:rPr>
        <w:fldChar w:fldCharType="separate"/>
      </w:r>
      <w:r w:rsidR="00254A0E" w:rsidRPr="001E7026">
        <w:rPr>
          <w:rFonts w:cs="Arial"/>
          <w:szCs w:val="20"/>
        </w:rPr>
        <w:t>3.2.5</w:t>
      </w:r>
      <w:r w:rsidR="00254A0E" w:rsidRPr="008C238C">
        <w:rPr>
          <w:rFonts w:cs="Arial"/>
          <w:szCs w:val="20"/>
        </w:rPr>
        <w:fldChar w:fldCharType="end"/>
      </w:r>
      <w:r w:rsidR="00254A0E" w:rsidRPr="001E7026">
        <w:rPr>
          <w:rFonts w:cs="Arial"/>
          <w:szCs w:val="20"/>
        </w:rPr>
        <w:t xml:space="preserve"> below)</w:t>
      </w:r>
      <w:r w:rsidR="00003FD1" w:rsidRPr="001E7026">
        <w:rPr>
          <w:rFonts w:cs="Arial"/>
          <w:szCs w:val="20"/>
        </w:rPr>
        <w:t>.</w:t>
      </w:r>
    </w:p>
    <w:p w14:paraId="164CAD0A" w14:textId="5640F07B" w:rsidR="00402B6A" w:rsidRPr="001E7026" w:rsidRDefault="00721261" w:rsidP="00DE5B05">
      <w:pPr>
        <w:rPr>
          <w:rFonts w:cs="Arial"/>
          <w:szCs w:val="20"/>
        </w:rPr>
      </w:pPr>
      <w:proofErr w:type="spellStart"/>
      <w:r w:rsidRPr="001E7026">
        <w:rPr>
          <w:rFonts w:cs="Arial"/>
          <w:szCs w:val="20"/>
        </w:rPr>
        <w:t>Hiber</w:t>
      </w:r>
      <w:proofErr w:type="spellEnd"/>
      <w:r w:rsidRPr="001E7026">
        <w:rPr>
          <w:rFonts w:cs="Arial"/>
          <w:szCs w:val="20"/>
        </w:rPr>
        <w:t xml:space="preserve"> now plans to provide service through partnerships with </w:t>
      </w:r>
      <w:r w:rsidR="00B850EA" w:rsidRPr="001E7026">
        <w:rPr>
          <w:rFonts w:cs="Arial"/>
          <w:szCs w:val="20"/>
        </w:rPr>
        <w:t>third-party</w:t>
      </w:r>
      <w:r w:rsidRPr="001E7026">
        <w:rPr>
          <w:rFonts w:cs="Arial"/>
          <w:szCs w:val="20"/>
        </w:rPr>
        <w:t xml:space="preserve"> </w:t>
      </w:r>
      <w:r w:rsidR="0065158F" w:rsidRPr="001E7026">
        <w:rPr>
          <w:rFonts w:cs="Arial"/>
          <w:szCs w:val="20"/>
        </w:rPr>
        <w:t>operators</w:t>
      </w:r>
      <w:r w:rsidR="006E70EF" w:rsidRPr="001E7026">
        <w:rPr>
          <w:rFonts w:cs="Arial"/>
          <w:szCs w:val="20"/>
        </w:rPr>
        <w:t xml:space="preserve">. On October 12 </w:t>
      </w:r>
      <w:proofErr w:type="spellStart"/>
      <w:r w:rsidR="006E70EF" w:rsidRPr="001E7026">
        <w:rPr>
          <w:rFonts w:cs="Arial"/>
          <w:szCs w:val="20"/>
        </w:rPr>
        <w:t>Hiber</w:t>
      </w:r>
      <w:proofErr w:type="spellEnd"/>
      <w:r w:rsidR="006E70EF" w:rsidRPr="001E7026">
        <w:rPr>
          <w:rFonts w:cs="Arial"/>
          <w:szCs w:val="20"/>
        </w:rPr>
        <w:t xml:space="preserve"> and Inmarsat </w:t>
      </w:r>
      <w:hyperlink r:id="rId22" w:history="1">
        <w:r w:rsidR="006E70EF" w:rsidRPr="001E7026">
          <w:rPr>
            <w:rStyle w:val="Lienhypertexte"/>
            <w:rFonts w:cs="Arial"/>
            <w:szCs w:val="20"/>
          </w:rPr>
          <w:t>announced</w:t>
        </w:r>
      </w:hyperlink>
      <w:r w:rsidR="006E70EF" w:rsidRPr="001E7026">
        <w:rPr>
          <w:rFonts w:cs="Arial"/>
          <w:szCs w:val="20"/>
        </w:rPr>
        <w:t xml:space="preserve"> </w:t>
      </w:r>
      <w:r w:rsidR="00E21C18" w:rsidRPr="001E7026">
        <w:rPr>
          <w:rFonts w:cs="Arial"/>
          <w:szCs w:val="20"/>
        </w:rPr>
        <w:t>a partnership</w:t>
      </w:r>
      <w:r w:rsidR="006E70EF" w:rsidRPr="001E7026">
        <w:rPr>
          <w:rFonts w:cs="Arial"/>
          <w:szCs w:val="20"/>
        </w:rPr>
        <w:t xml:space="preserve"> where</w:t>
      </w:r>
      <w:r w:rsidR="00494904" w:rsidRPr="001E7026">
        <w:rPr>
          <w:rFonts w:cs="Arial"/>
          <w:szCs w:val="20"/>
        </w:rPr>
        <w:t>by</w:t>
      </w:r>
      <w:r w:rsidR="006E70EF" w:rsidRPr="001E7026">
        <w:rPr>
          <w:rFonts w:cs="Arial"/>
          <w:szCs w:val="20"/>
        </w:rPr>
        <w:t xml:space="preserve"> </w:t>
      </w:r>
      <w:proofErr w:type="spellStart"/>
      <w:r w:rsidR="006141F2" w:rsidRPr="001E7026">
        <w:rPr>
          <w:rFonts w:cs="Arial"/>
          <w:szCs w:val="20"/>
        </w:rPr>
        <w:t>Hiber</w:t>
      </w:r>
      <w:proofErr w:type="spellEnd"/>
      <w:r w:rsidR="006141F2" w:rsidRPr="001E7026">
        <w:rPr>
          <w:rFonts w:cs="Arial"/>
          <w:szCs w:val="20"/>
        </w:rPr>
        <w:t xml:space="preserve"> will </w:t>
      </w:r>
      <w:r w:rsidR="00D73766" w:rsidRPr="001E7026">
        <w:rPr>
          <w:rFonts w:cs="Arial"/>
          <w:szCs w:val="20"/>
        </w:rPr>
        <w:t xml:space="preserve">operate on Inmarsat’s new ELERA </w:t>
      </w:r>
      <w:r w:rsidR="00494904" w:rsidRPr="001E7026">
        <w:rPr>
          <w:rFonts w:cs="Arial"/>
          <w:szCs w:val="20"/>
        </w:rPr>
        <w:t>L</w:t>
      </w:r>
      <w:r w:rsidR="00D73766" w:rsidRPr="001E7026">
        <w:rPr>
          <w:rFonts w:cs="Arial"/>
          <w:szCs w:val="20"/>
        </w:rPr>
        <w:t xml:space="preserve">-Band IoT network (see </w:t>
      </w:r>
      <w:r w:rsidR="00395D73" w:rsidRPr="001E7026">
        <w:rPr>
          <w:rFonts w:cs="Arial"/>
          <w:szCs w:val="20"/>
        </w:rPr>
        <w:fldChar w:fldCharType="begin"/>
      </w:r>
      <w:r w:rsidR="00395D73" w:rsidRPr="001E7026">
        <w:rPr>
          <w:rFonts w:cs="Arial"/>
          <w:szCs w:val="20"/>
        </w:rPr>
        <w:instrText xml:space="preserve"> REF _Ref85808463 \r \h </w:instrText>
      </w:r>
      <w:r w:rsidR="00395D73" w:rsidRPr="001E7026">
        <w:rPr>
          <w:rFonts w:cs="Arial"/>
          <w:szCs w:val="20"/>
        </w:rPr>
      </w:r>
      <w:r w:rsidR="00395D73" w:rsidRPr="001E7026">
        <w:rPr>
          <w:rFonts w:cs="Arial"/>
          <w:szCs w:val="20"/>
        </w:rPr>
        <w:fldChar w:fldCharType="separate"/>
      </w:r>
      <w:r w:rsidR="00395D73" w:rsidRPr="001E7026">
        <w:rPr>
          <w:rFonts w:cs="Arial"/>
          <w:szCs w:val="20"/>
        </w:rPr>
        <w:t>4.1</w:t>
      </w:r>
      <w:r w:rsidR="00395D73" w:rsidRPr="001E7026">
        <w:rPr>
          <w:rFonts w:cs="Arial"/>
          <w:szCs w:val="20"/>
        </w:rPr>
        <w:fldChar w:fldCharType="end"/>
      </w:r>
      <w:r w:rsidR="00395D73" w:rsidRPr="001E7026">
        <w:rPr>
          <w:rFonts w:cs="Arial"/>
          <w:szCs w:val="20"/>
        </w:rPr>
        <w:t xml:space="preserve"> below)</w:t>
      </w:r>
    </w:p>
    <w:p w14:paraId="1AD2267E" w14:textId="7DE4493D" w:rsidR="0096679D" w:rsidRPr="001E7026" w:rsidRDefault="00402B6A" w:rsidP="00DE5B05">
      <w:pPr>
        <w:rPr>
          <w:rFonts w:cs="Arial"/>
          <w:b/>
          <w:bCs/>
          <w:szCs w:val="20"/>
        </w:rPr>
      </w:pPr>
      <w:r w:rsidRPr="001E7026">
        <w:rPr>
          <w:rFonts w:cs="Arial"/>
          <w:b/>
          <w:bCs/>
          <w:szCs w:val="20"/>
        </w:rPr>
        <w:t xml:space="preserve">(For information in </w:t>
      </w:r>
      <w:r w:rsidR="00A6112C" w:rsidRPr="001E7026">
        <w:rPr>
          <w:rFonts w:cs="Arial"/>
          <w:b/>
          <w:bCs/>
          <w:szCs w:val="20"/>
        </w:rPr>
        <w:t>WGFM</w:t>
      </w:r>
      <w:r w:rsidR="000024F5" w:rsidRPr="001E7026">
        <w:rPr>
          <w:rFonts w:cs="Arial"/>
          <w:b/>
          <w:bCs/>
          <w:szCs w:val="20"/>
        </w:rPr>
        <w:t>,</w:t>
      </w:r>
      <w:r w:rsidR="00E85ABB">
        <w:rPr>
          <w:rFonts w:cs="Arial"/>
          <w:b/>
          <w:bCs/>
          <w:szCs w:val="20"/>
        </w:rPr>
        <w:t xml:space="preserve"> </w:t>
      </w:r>
      <w:r w:rsidR="0096679D" w:rsidRPr="001E7026">
        <w:rPr>
          <w:rFonts w:cs="Arial"/>
          <w:b/>
          <w:bCs/>
          <w:szCs w:val="20"/>
        </w:rPr>
        <w:t xml:space="preserve">FM44 </w:t>
      </w:r>
      <w:r w:rsidR="00A6112C" w:rsidRPr="001E7026" w:rsidDel="000024F5">
        <w:rPr>
          <w:rFonts w:cs="Arial"/>
          <w:b/>
          <w:bCs/>
          <w:szCs w:val="20"/>
        </w:rPr>
        <w:t>and</w:t>
      </w:r>
      <w:r w:rsidR="00A6112C" w:rsidRPr="001E7026">
        <w:rPr>
          <w:rFonts w:cs="Arial"/>
          <w:b/>
          <w:bCs/>
          <w:szCs w:val="20"/>
        </w:rPr>
        <w:t xml:space="preserve"> </w:t>
      </w:r>
      <w:r w:rsidR="0096679D" w:rsidRPr="001E7026">
        <w:rPr>
          <w:rFonts w:cs="Arial"/>
          <w:b/>
          <w:bCs/>
          <w:szCs w:val="20"/>
        </w:rPr>
        <w:t>SE40)</w:t>
      </w:r>
    </w:p>
    <w:p w14:paraId="493985C3" w14:textId="77777777" w:rsidR="004328D1" w:rsidRPr="001E7026" w:rsidRDefault="004328D1" w:rsidP="00DE5B05">
      <w:pPr>
        <w:rPr>
          <w:rFonts w:cs="Arial"/>
          <w:b/>
          <w:bCs/>
          <w:szCs w:val="20"/>
        </w:rPr>
      </w:pPr>
    </w:p>
    <w:p w14:paraId="35968EEA" w14:textId="7E4FA601" w:rsidR="006534FE" w:rsidRPr="001E7026" w:rsidRDefault="006534FE" w:rsidP="006534FE">
      <w:pPr>
        <w:pStyle w:val="Titre3"/>
        <w:rPr>
          <w:lang w:val="en-GB"/>
        </w:rPr>
      </w:pPr>
      <w:bookmarkStart w:id="16" w:name="_Ref86057201"/>
      <w:bookmarkStart w:id="17" w:name="_Toc86151691"/>
      <w:r w:rsidRPr="001E7026">
        <w:rPr>
          <w:lang w:val="en-GB"/>
        </w:rPr>
        <w:t>SpaceX acquisition of Swarm</w:t>
      </w:r>
      <w:bookmarkEnd w:id="16"/>
      <w:bookmarkEnd w:id="17"/>
    </w:p>
    <w:p w14:paraId="64A0D6A1" w14:textId="07C33E2A" w:rsidR="006534FE" w:rsidRPr="001E7026" w:rsidRDefault="006534FE" w:rsidP="006534FE">
      <w:pPr>
        <w:rPr>
          <w:rFonts w:cs="Arial"/>
          <w:szCs w:val="20"/>
        </w:rPr>
      </w:pPr>
      <w:r w:rsidRPr="001E7026">
        <w:rPr>
          <w:rFonts w:cs="Arial"/>
          <w:szCs w:val="20"/>
        </w:rPr>
        <w:t xml:space="preserve">Satellite IoT operator Swarm </w:t>
      </w:r>
      <w:r w:rsidR="00F70728" w:rsidRPr="001E7026">
        <w:rPr>
          <w:rFonts w:cs="Arial"/>
          <w:szCs w:val="20"/>
        </w:rPr>
        <w:t xml:space="preserve">was acquired by SpaceX in July. Swarm have </w:t>
      </w:r>
      <w:hyperlink r:id="rId23" w:history="1">
        <w:r w:rsidR="00F70728" w:rsidRPr="001E7026">
          <w:rPr>
            <w:rStyle w:val="Lienhypertexte"/>
            <w:rFonts w:cs="Arial"/>
            <w:szCs w:val="20"/>
          </w:rPr>
          <w:t>requested</w:t>
        </w:r>
      </w:hyperlink>
      <w:r w:rsidR="00F70728" w:rsidRPr="001E7026">
        <w:rPr>
          <w:rFonts w:cs="Arial"/>
          <w:szCs w:val="20"/>
        </w:rPr>
        <w:t xml:space="preserve"> the FCC to </w:t>
      </w:r>
      <w:r w:rsidR="00EE7DA1" w:rsidRPr="001E7026">
        <w:rPr>
          <w:rFonts w:cs="Arial"/>
          <w:szCs w:val="20"/>
        </w:rPr>
        <w:t xml:space="preserve">transfer ownership of its licences </w:t>
      </w:r>
      <w:r w:rsidR="001358C1" w:rsidRPr="001E7026">
        <w:rPr>
          <w:rFonts w:cs="Arial"/>
          <w:szCs w:val="20"/>
        </w:rPr>
        <w:t>to SpaceX</w:t>
      </w:r>
      <w:r w:rsidR="005B7862" w:rsidRPr="001E7026">
        <w:rPr>
          <w:rFonts w:cs="Arial"/>
          <w:szCs w:val="20"/>
        </w:rPr>
        <w:t xml:space="preserve"> accordingly</w:t>
      </w:r>
      <w:r w:rsidR="00EE7DA1" w:rsidRPr="001E7026">
        <w:rPr>
          <w:rFonts w:cs="Arial"/>
          <w:szCs w:val="20"/>
        </w:rPr>
        <w:t>.</w:t>
      </w:r>
    </w:p>
    <w:p w14:paraId="3A528A38" w14:textId="77777777" w:rsidR="004328D1" w:rsidRPr="001E7026" w:rsidRDefault="006534FE" w:rsidP="00737CB1">
      <w:pPr>
        <w:rPr>
          <w:rFonts w:cs="Arial"/>
          <w:szCs w:val="20"/>
        </w:rPr>
      </w:pPr>
      <w:r w:rsidRPr="001E7026">
        <w:rPr>
          <w:rFonts w:cs="Arial"/>
          <w:szCs w:val="20"/>
        </w:rPr>
        <w:t xml:space="preserve">Swarm are included </w:t>
      </w:r>
      <w:r w:rsidR="00254A0E" w:rsidRPr="001E7026">
        <w:rPr>
          <w:rFonts w:cs="Arial"/>
          <w:szCs w:val="20"/>
        </w:rPr>
        <w:t xml:space="preserve">under the framework of ERC Decision (99)06 for S-PCS in bands below 1 GHz (see also </w:t>
      </w:r>
      <w:r w:rsidR="00254A0E" w:rsidRPr="001E7026">
        <w:rPr>
          <w:rFonts w:cs="Arial"/>
          <w:szCs w:val="20"/>
        </w:rPr>
        <w:fldChar w:fldCharType="begin"/>
      </w:r>
      <w:r w:rsidR="00254A0E" w:rsidRPr="001E7026">
        <w:rPr>
          <w:rFonts w:cs="Arial"/>
          <w:szCs w:val="20"/>
        </w:rPr>
        <w:instrText xml:space="preserve"> REF _Ref86057228 \r \h </w:instrText>
      </w:r>
      <w:r w:rsidR="00254A0E" w:rsidRPr="001E7026">
        <w:rPr>
          <w:rFonts w:cs="Arial"/>
          <w:szCs w:val="20"/>
        </w:rPr>
      </w:r>
      <w:r w:rsidR="00254A0E" w:rsidRPr="001E7026">
        <w:rPr>
          <w:rFonts w:cs="Arial"/>
          <w:szCs w:val="20"/>
        </w:rPr>
        <w:fldChar w:fldCharType="separate"/>
      </w:r>
      <w:r w:rsidR="00254A0E" w:rsidRPr="001E7026">
        <w:rPr>
          <w:rFonts w:cs="Arial"/>
          <w:szCs w:val="20"/>
        </w:rPr>
        <w:t>3.2.4</w:t>
      </w:r>
      <w:r w:rsidR="00254A0E" w:rsidRPr="001E7026">
        <w:rPr>
          <w:rFonts w:cs="Arial"/>
          <w:szCs w:val="20"/>
        </w:rPr>
        <w:fldChar w:fldCharType="end"/>
      </w:r>
      <w:r w:rsidR="00254A0E" w:rsidRPr="001E7026">
        <w:rPr>
          <w:rFonts w:cs="Arial"/>
          <w:szCs w:val="20"/>
        </w:rPr>
        <w:t>) above.</w:t>
      </w:r>
    </w:p>
    <w:p w14:paraId="5221D0CD" w14:textId="02A62127" w:rsidR="006C710B" w:rsidRPr="001E7026" w:rsidRDefault="00402B6A" w:rsidP="00DE5B05">
      <w:pPr>
        <w:rPr>
          <w:rFonts w:cs="Arial"/>
          <w:b/>
          <w:bCs/>
          <w:szCs w:val="20"/>
        </w:rPr>
      </w:pPr>
      <w:r w:rsidRPr="001E7026">
        <w:rPr>
          <w:rFonts w:cs="Arial"/>
          <w:b/>
          <w:bCs/>
          <w:szCs w:val="20"/>
        </w:rPr>
        <w:t xml:space="preserve">(For information in </w:t>
      </w:r>
      <w:r w:rsidR="00A6112C" w:rsidRPr="001E7026">
        <w:rPr>
          <w:rFonts w:cs="Arial"/>
          <w:b/>
          <w:bCs/>
          <w:szCs w:val="20"/>
        </w:rPr>
        <w:t>WGFM</w:t>
      </w:r>
      <w:r w:rsidR="000024F5" w:rsidRPr="001E7026">
        <w:rPr>
          <w:rFonts w:cs="Arial"/>
          <w:b/>
          <w:bCs/>
          <w:szCs w:val="20"/>
        </w:rPr>
        <w:t>,</w:t>
      </w:r>
      <w:r w:rsidR="00A6112C" w:rsidRPr="001E7026">
        <w:rPr>
          <w:rFonts w:cs="Arial"/>
          <w:b/>
          <w:bCs/>
          <w:szCs w:val="20"/>
        </w:rPr>
        <w:t xml:space="preserve"> </w:t>
      </w:r>
      <w:r w:rsidRPr="001E7026">
        <w:rPr>
          <w:rFonts w:cs="Arial"/>
          <w:b/>
          <w:bCs/>
          <w:szCs w:val="20"/>
        </w:rPr>
        <w:t>FM44</w:t>
      </w:r>
      <w:r w:rsidR="000024F5" w:rsidRPr="001E7026">
        <w:rPr>
          <w:rFonts w:cs="Arial"/>
          <w:b/>
          <w:bCs/>
          <w:szCs w:val="20"/>
        </w:rPr>
        <w:t xml:space="preserve"> and SE40</w:t>
      </w:r>
      <w:r w:rsidRPr="001E7026">
        <w:rPr>
          <w:rFonts w:cs="Arial"/>
          <w:b/>
          <w:bCs/>
          <w:szCs w:val="20"/>
        </w:rPr>
        <w:t>)</w:t>
      </w:r>
    </w:p>
    <w:p w14:paraId="1483D9F2" w14:textId="77777777" w:rsidR="004328D1" w:rsidRPr="001E7026" w:rsidRDefault="004328D1" w:rsidP="00737CB1">
      <w:pPr>
        <w:rPr>
          <w:rFonts w:cs="Arial"/>
          <w:b/>
          <w:bCs/>
          <w:szCs w:val="20"/>
        </w:rPr>
      </w:pPr>
    </w:p>
    <w:p w14:paraId="0387DAA8" w14:textId="77777777" w:rsidR="0096679D" w:rsidRPr="001E7026" w:rsidRDefault="0096679D" w:rsidP="0096679D">
      <w:pPr>
        <w:pStyle w:val="Titre3"/>
        <w:rPr>
          <w:lang w:val="en-GB"/>
        </w:rPr>
      </w:pPr>
      <w:bookmarkStart w:id="18" w:name="_Toc86151692"/>
      <w:r w:rsidRPr="001E7026">
        <w:rPr>
          <w:lang w:val="en-GB"/>
        </w:rPr>
        <w:t>5.9 GHz ITS</w:t>
      </w:r>
      <w:bookmarkEnd w:id="18"/>
    </w:p>
    <w:p w14:paraId="0DDC1668" w14:textId="16514011" w:rsidR="0096679D" w:rsidRPr="001E7026" w:rsidRDefault="0096679D" w:rsidP="00737CB1">
      <w:r w:rsidRPr="001E7026">
        <w:t xml:space="preserve">The FCC recently </w:t>
      </w:r>
      <w:hyperlink r:id="rId24" w:history="1">
        <w:r w:rsidR="00BF59BB" w:rsidRPr="001E7026">
          <w:rPr>
            <w:rStyle w:val="Lienhypertexte"/>
            <w:rFonts w:cs="Arial"/>
            <w:szCs w:val="20"/>
          </w:rPr>
          <w:t>adopted</w:t>
        </w:r>
      </w:hyperlink>
      <w:r w:rsidR="00BF59BB" w:rsidRPr="001E7026">
        <w:t xml:space="preserve"> revised</w:t>
      </w:r>
      <w:r w:rsidRPr="001E7026">
        <w:t xml:space="preserve"> rules for 5.9 GHz ITS.</w:t>
      </w:r>
    </w:p>
    <w:p w14:paraId="196CF43A" w14:textId="77777777" w:rsidR="0098407B" w:rsidRPr="001E7026" w:rsidRDefault="0096679D" w:rsidP="00737CB1">
      <w:r w:rsidRPr="001E7026">
        <w:t>The rule sets the frequency band 5850-5895 MHz “for the expansion of unlicensed mid-band spectrum operations, while continuing to dedicate 30 megahertz of spectrum [5895-5925 MHz] for vital intelligent transportation system (ITS) operations”.</w:t>
      </w:r>
    </w:p>
    <w:p w14:paraId="43855C54" w14:textId="47E10536" w:rsidR="0098407B" w:rsidRPr="001E7026" w:rsidRDefault="0098407B" w:rsidP="00737CB1">
      <w:r w:rsidRPr="001E7026">
        <w:t>Further details are available</w:t>
      </w:r>
      <w:r w:rsidR="007B5C13" w:rsidRPr="001E7026">
        <w:t xml:space="preserve"> in an </w:t>
      </w:r>
      <w:hyperlink r:id="rId25" w:history="1">
        <w:r w:rsidR="00DD49BE">
          <w:rPr>
            <w:rStyle w:val="Lienhypertexte"/>
          </w:rPr>
          <w:t>info document</w:t>
        </w:r>
      </w:hyperlink>
      <w:r w:rsidR="007B5C13" w:rsidRPr="001E7026">
        <w:t xml:space="preserve"> submitted to WGFM#100.</w:t>
      </w:r>
    </w:p>
    <w:p w14:paraId="5AE9CA18" w14:textId="56C98B26" w:rsidR="00737CB1" w:rsidRPr="001E7026" w:rsidRDefault="0096679D" w:rsidP="00DE5B05">
      <w:pPr>
        <w:rPr>
          <w:rFonts w:cs="Arial"/>
          <w:b/>
          <w:bCs/>
          <w:szCs w:val="20"/>
        </w:rPr>
      </w:pPr>
      <w:r w:rsidRPr="001E7026">
        <w:rPr>
          <w:rFonts w:cs="Arial"/>
          <w:b/>
          <w:bCs/>
          <w:szCs w:val="20"/>
        </w:rPr>
        <w:t>(For information in WGFM)</w:t>
      </w:r>
    </w:p>
    <w:p w14:paraId="15DD742F" w14:textId="4189BC65" w:rsidR="00DE5B05" w:rsidRPr="001E7026" w:rsidRDefault="00DE5B05" w:rsidP="00DE5B05">
      <w:pPr>
        <w:pStyle w:val="Titre1"/>
        <w:rPr>
          <w:szCs w:val="20"/>
          <w:lang w:val="en-GB"/>
        </w:rPr>
      </w:pPr>
      <w:bookmarkStart w:id="19" w:name="_Toc86151693"/>
      <w:r w:rsidRPr="001E7026">
        <w:rPr>
          <w:szCs w:val="20"/>
          <w:lang w:val="en-GB"/>
        </w:rPr>
        <w:lastRenderedPageBreak/>
        <w:t>Global developments</w:t>
      </w:r>
      <w:bookmarkEnd w:id="19"/>
    </w:p>
    <w:p w14:paraId="09C7E776" w14:textId="138552E4" w:rsidR="00200A8C" w:rsidRPr="001E7026" w:rsidRDefault="00395D73" w:rsidP="00200A8C">
      <w:pPr>
        <w:pStyle w:val="Titre2"/>
        <w:rPr>
          <w:szCs w:val="20"/>
          <w:lang w:val="en-GB"/>
        </w:rPr>
      </w:pPr>
      <w:bookmarkStart w:id="20" w:name="_Ref85808463"/>
      <w:bookmarkStart w:id="21" w:name="_Toc86151694"/>
      <w:r w:rsidRPr="001E7026">
        <w:rPr>
          <w:szCs w:val="20"/>
          <w:lang w:val="en-GB"/>
        </w:rPr>
        <w:t>Inmarsat</w:t>
      </w:r>
      <w:r w:rsidR="00200A8C" w:rsidRPr="001E7026">
        <w:rPr>
          <w:szCs w:val="20"/>
          <w:lang w:val="en-GB"/>
        </w:rPr>
        <w:t xml:space="preserve"> </w:t>
      </w:r>
      <w:r w:rsidRPr="001E7026">
        <w:rPr>
          <w:szCs w:val="20"/>
          <w:lang w:val="en-GB"/>
        </w:rPr>
        <w:t>ORCHESTRA</w:t>
      </w:r>
      <w:r w:rsidR="00200A8C" w:rsidRPr="001E7026">
        <w:rPr>
          <w:szCs w:val="20"/>
          <w:lang w:val="en-GB"/>
        </w:rPr>
        <w:t xml:space="preserve"> </w:t>
      </w:r>
      <w:r w:rsidRPr="001E7026">
        <w:rPr>
          <w:szCs w:val="20"/>
          <w:lang w:val="en-GB"/>
        </w:rPr>
        <w:t>hybrid</w:t>
      </w:r>
      <w:r w:rsidR="002C3387" w:rsidRPr="001E7026">
        <w:rPr>
          <w:szCs w:val="20"/>
          <w:lang w:val="en-GB"/>
        </w:rPr>
        <w:t xml:space="preserve"> GEO/LEO/5G </w:t>
      </w:r>
      <w:bookmarkEnd w:id="20"/>
      <w:r w:rsidRPr="001E7026">
        <w:rPr>
          <w:szCs w:val="20"/>
          <w:lang w:val="en-GB"/>
        </w:rPr>
        <w:t>network</w:t>
      </w:r>
      <w:bookmarkEnd w:id="21"/>
    </w:p>
    <w:p w14:paraId="5C0D423C" w14:textId="4C79C4CC" w:rsidR="00C876AB" w:rsidRPr="001E7026" w:rsidRDefault="00200A8C" w:rsidP="00C876AB">
      <w:r w:rsidRPr="001E7026">
        <w:t xml:space="preserve">In late July Inmarsat </w:t>
      </w:r>
      <w:hyperlink r:id="rId26" w:history="1">
        <w:r w:rsidRPr="001E7026">
          <w:rPr>
            <w:rStyle w:val="Lienhypertexte"/>
          </w:rPr>
          <w:t>announced</w:t>
        </w:r>
      </w:hyperlink>
      <w:r w:rsidRPr="001E7026">
        <w:t xml:space="preserve"> plans for a new </w:t>
      </w:r>
      <w:r w:rsidR="00A2037A" w:rsidRPr="001E7026">
        <w:t>hyb</w:t>
      </w:r>
      <w:r w:rsidR="00B524E1" w:rsidRPr="001E7026">
        <w:t>r</w:t>
      </w:r>
      <w:r w:rsidR="00A2037A" w:rsidRPr="001E7026">
        <w:t>id</w:t>
      </w:r>
      <w:r w:rsidR="00526F8D" w:rsidRPr="001E7026">
        <w:t xml:space="preserve"> </w:t>
      </w:r>
      <w:r w:rsidR="00B524E1" w:rsidRPr="001E7026">
        <w:t xml:space="preserve">GEO, LEO and 5G terrestrial system named </w:t>
      </w:r>
      <w:r w:rsidR="00526F8D" w:rsidRPr="001E7026">
        <w:t>ORCHESTRA</w:t>
      </w:r>
      <w:r w:rsidR="00B524E1" w:rsidRPr="001E7026">
        <w:t xml:space="preserve">. </w:t>
      </w:r>
      <w:r w:rsidR="00346068" w:rsidRPr="001E7026">
        <w:t>The network</w:t>
      </w:r>
      <w:r w:rsidR="00526F8D" w:rsidRPr="001E7026">
        <w:t xml:space="preserve"> will consist of </w:t>
      </w:r>
      <w:r w:rsidR="00860C36" w:rsidRPr="001E7026">
        <w:t>150-175</w:t>
      </w:r>
      <w:r w:rsidR="00526F8D" w:rsidRPr="001E7026">
        <w:t xml:space="preserve"> LEO satellites </w:t>
      </w:r>
      <w:r w:rsidR="00D222D6" w:rsidRPr="001E7026">
        <w:t>to complement the operator</w:t>
      </w:r>
      <w:r w:rsidR="00473FEA" w:rsidRPr="001E7026">
        <w:t>’</w:t>
      </w:r>
      <w:r w:rsidR="00D222D6" w:rsidRPr="001E7026">
        <w:t xml:space="preserve">s existing </w:t>
      </w:r>
      <w:r w:rsidR="00473FEA" w:rsidRPr="001E7026">
        <w:t>L-Band and Ka-Band GEO constellations</w:t>
      </w:r>
      <w:r w:rsidR="00346068" w:rsidRPr="001E7026">
        <w:t xml:space="preserve">, and </w:t>
      </w:r>
      <w:r w:rsidR="00473FEA" w:rsidRPr="001E7026">
        <w:t>a terrestrial 5G layer to provide</w:t>
      </w:r>
      <w:r w:rsidR="00860C36" w:rsidRPr="001E7026">
        <w:t xml:space="preserve"> additional capacity </w:t>
      </w:r>
      <w:r w:rsidR="00C9499F" w:rsidRPr="001E7026">
        <w:t>at airports and seaports</w:t>
      </w:r>
      <w:r w:rsidR="00446CBF" w:rsidRPr="001E7026">
        <w:t>,</w:t>
      </w:r>
      <w:r w:rsidR="005F4D21" w:rsidRPr="001E7026">
        <w:t xml:space="preserve"> using ‘dynamic mesh’ technology</w:t>
      </w:r>
      <w:r w:rsidR="00446CBF" w:rsidRPr="001E7026">
        <w:t xml:space="preserve"> to allow customer terminals </w:t>
      </w:r>
      <w:r w:rsidR="00702B3A" w:rsidRPr="001E7026">
        <w:t xml:space="preserve">close to a 5G base station </w:t>
      </w:r>
      <w:r w:rsidR="00446CBF" w:rsidRPr="001E7026">
        <w:t>to re-direct traffic from other terminals.</w:t>
      </w:r>
    </w:p>
    <w:p w14:paraId="767F9E4C" w14:textId="31CA61F5" w:rsidR="002C3387" w:rsidRPr="001E7026" w:rsidRDefault="006752F6" w:rsidP="00C876AB">
      <w:r w:rsidRPr="001E7026">
        <w:t>Details on</w:t>
      </w:r>
      <w:r w:rsidR="002C3387" w:rsidRPr="001E7026">
        <w:t xml:space="preserve"> the</w:t>
      </w:r>
      <w:r w:rsidR="00E102E3" w:rsidRPr="001E7026">
        <w:t xml:space="preserve"> </w:t>
      </w:r>
      <w:r w:rsidRPr="001E7026">
        <w:t xml:space="preserve">frequency band for the </w:t>
      </w:r>
      <w:r w:rsidR="002C3387" w:rsidRPr="001E7026">
        <w:t xml:space="preserve">terrestrial </w:t>
      </w:r>
      <w:r w:rsidR="008F7983" w:rsidRPr="001E7026">
        <w:t>component have not been announced however i</w:t>
      </w:r>
      <w:r w:rsidR="002C3387" w:rsidRPr="001E7026">
        <w:t xml:space="preserve">t is </w:t>
      </w:r>
      <w:r w:rsidR="00AD21A9" w:rsidRPr="001E7026">
        <w:t>worth noting that</w:t>
      </w:r>
      <w:r w:rsidR="00DA7794" w:rsidRPr="001E7026">
        <w:t xml:space="preserve"> Inmarsat’s existing L-Band spectrum </w:t>
      </w:r>
      <w:r w:rsidR="00DB4726" w:rsidRPr="001E7026">
        <w:t>includes the same range as</w:t>
      </w:r>
      <w:r w:rsidR="00AD21A9" w:rsidRPr="001E7026">
        <w:t xml:space="preserve"> </w:t>
      </w:r>
      <w:r w:rsidR="002C3387" w:rsidRPr="001E7026">
        <w:t xml:space="preserve">3GPP band n24 </w:t>
      </w:r>
      <w:r w:rsidR="00A20270" w:rsidRPr="001E7026">
        <w:t>(downlin</w:t>
      </w:r>
      <w:r w:rsidR="0043250E" w:rsidRPr="001E7026">
        <w:t>k 1525-1599, up</w:t>
      </w:r>
      <w:r w:rsidR="000124E8" w:rsidRPr="001E7026">
        <w:t>link 1626.5-1660.5 MHz)</w:t>
      </w:r>
      <w:r w:rsidR="00067E52" w:rsidRPr="001E7026">
        <w:t xml:space="preserve">. This band was recently </w:t>
      </w:r>
      <w:r w:rsidR="00A923CA" w:rsidRPr="001E7026">
        <w:t xml:space="preserve">standardised by 3GPP </w:t>
      </w:r>
      <w:r w:rsidR="00EF5128" w:rsidRPr="001E7026">
        <w:t xml:space="preserve">following a </w:t>
      </w:r>
      <w:r w:rsidR="00F745C5" w:rsidRPr="001E7026">
        <w:t>work item initiated</w:t>
      </w:r>
      <w:r w:rsidR="00EF5128" w:rsidRPr="001E7026">
        <w:t xml:space="preserve"> by</w:t>
      </w:r>
      <w:r w:rsidR="00B86342" w:rsidRPr="001E7026">
        <w:t xml:space="preserve"> </w:t>
      </w:r>
      <w:proofErr w:type="spellStart"/>
      <w:r w:rsidR="00B86342" w:rsidRPr="001E7026">
        <w:t>Ligado</w:t>
      </w:r>
      <w:proofErr w:type="spellEnd"/>
      <w:r w:rsidR="00EF5128" w:rsidRPr="001E7026">
        <w:t xml:space="preserve"> </w:t>
      </w:r>
      <w:r w:rsidR="00B86342" w:rsidRPr="001E7026">
        <w:t xml:space="preserve">who also </w:t>
      </w:r>
      <w:hyperlink r:id="rId27" w:history="1">
        <w:r w:rsidR="00B86342" w:rsidRPr="001E7026">
          <w:rPr>
            <w:rStyle w:val="Lienhypertexte"/>
          </w:rPr>
          <w:t>plan</w:t>
        </w:r>
      </w:hyperlink>
      <w:r w:rsidR="00B86342" w:rsidRPr="001E7026">
        <w:t xml:space="preserve"> to operate a terrestrial 5G network in the US using their existing spectrum licences in this range.</w:t>
      </w:r>
    </w:p>
    <w:p w14:paraId="38ECAFDB" w14:textId="0CF346CB" w:rsidR="00CE7B26" w:rsidRPr="001E7026" w:rsidRDefault="00CE7B26" w:rsidP="00C876AB">
      <w:r w:rsidRPr="001E7026">
        <w:t xml:space="preserve">The LEO satellites are planned to provide additional capacity over busy flight corridors as well as offering </w:t>
      </w:r>
      <w:r w:rsidR="00A2037A" w:rsidRPr="001E7026">
        <w:t>low latency connections for other aero and maritime applications.</w:t>
      </w:r>
    </w:p>
    <w:p w14:paraId="189A2334" w14:textId="7522DC63" w:rsidR="00271F57" w:rsidRPr="001E7026" w:rsidRDefault="00271F57" w:rsidP="00C876AB">
      <w:r w:rsidRPr="001E7026">
        <w:t xml:space="preserve">The terrestrial component is planned to be rolled out </w:t>
      </w:r>
      <w:r w:rsidR="00DE68D8" w:rsidRPr="001E7026">
        <w:t xml:space="preserve">first </w:t>
      </w:r>
      <w:r w:rsidR="005309B9" w:rsidRPr="001E7026">
        <w:t xml:space="preserve">from late 2022, </w:t>
      </w:r>
      <w:r w:rsidR="00DE68D8" w:rsidRPr="001E7026">
        <w:t>followed by</w:t>
      </w:r>
      <w:r w:rsidR="005309B9" w:rsidRPr="001E7026">
        <w:t xml:space="preserve"> deployment of</w:t>
      </w:r>
      <w:r w:rsidR="00DE68D8" w:rsidRPr="001E7026">
        <w:t xml:space="preserve"> the LEO constellation.</w:t>
      </w:r>
    </w:p>
    <w:p w14:paraId="556DAE9C" w14:textId="108542C3" w:rsidR="004C35C6" w:rsidRPr="001E7026" w:rsidRDefault="0002774C" w:rsidP="00C876AB">
      <w:r w:rsidRPr="001E7026">
        <w:t xml:space="preserve">In August </w:t>
      </w:r>
      <w:r w:rsidR="00CC7EB1" w:rsidRPr="001E7026">
        <w:t xml:space="preserve">Inmarsat also </w:t>
      </w:r>
      <w:hyperlink r:id="rId28" w:history="1">
        <w:r w:rsidR="00CC7EB1" w:rsidRPr="001E7026">
          <w:rPr>
            <w:rStyle w:val="Lienhypertexte"/>
          </w:rPr>
          <w:t>announced</w:t>
        </w:r>
      </w:hyperlink>
      <w:r w:rsidR="00CC7EB1" w:rsidRPr="001E7026">
        <w:t xml:space="preserve"> plans to upgrade its </w:t>
      </w:r>
      <w:r w:rsidR="00AA583B" w:rsidRPr="001E7026">
        <w:t xml:space="preserve">existing </w:t>
      </w:r>
      <w:r w:rsidR="00CC7EB1" w:rsidRPr="001E7026">
        <w:t xml:space="preserve">L-Band network </w:t>
      </w:r>
      <w:r w:rsidR="00F90BBE" w:rsidRPr="001E7026">
        <w:t xml:space="preserve">to </w:t>
      </w:r>
      <w:r w:rsidR="00AA583B" w:rsidRPr="001E7026">
        <w:t>facilitate IoT connectivity.</w:t>
      </w:r>
      <w:r w:rsidR="009A569D" w:rsidRPr="001E7026">
        <w:t xml:space="preserve"> The new narrowband network named ELERA will form </w:t>
      </w:r>
      <w:r w:rsidR="00FC6590" w:rsidRPr="001E7026">
        <w:t>part</w:t>
      </w:r>
      <w:r w:rsidR="009A569D" w:rsidRPr="001E7026">
        <w:t xml:space="preserve"> of the </w:t>
      </w:r>
      <w:r w:rsidR="00FC6590" w:rsidRPr="001E7026">
        <w:t xml:space="preserve">overall </w:t>
      </w:r>
      <w:r w:rsidR="009A569D" w:rsidRPr="001E7026">
        <w:t xml:space="preserve">ORCHESTRA </w:t>
      </w:r>
      <w:r w:rsidR="00FC6590" w:rsidRPr="001E7026">
        <w:t xml:space="preserve">system. </w:t>
      </w:r>
    </w:p>
    <w:p w14:paraId="4710A7B0" w14:textId="76913B02" w:rsidR="005309B9" w:rsidRPr="006C710B" w:rsidRDefault="005309B9" w:rsidP="005309B9">
      <w:pPr>
        <w:keepNext/>
        <w:rPr>
          <w:szCs w:val="20"/>
        </w:rPr>
      </w:pPr>
      <w:r w:rsidRPr="001E7026">
        <w:rPr>
          <w:rFonts w:cs="Arial"/>
          <w:b/>
          <w:bCs/>
          <w:szCs w:val="20"/>
        </w:rPr>
        <w:t>(For information in WGFM, FM44, PT1)</w:t>
      </w:r>
    </w:p>
    <w:sectPr w:rsidR="005309B9" w:rsidRPr="006C710B" w:rsidSect="00797DEE">
      <w:headerReference w:type="even" r:id="rId29"/>
      <w:headerReference w:type="default" r:id="rId3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C3A23" w14:textId="77777777" w:rsidR="00764271" w:rsidRDefault="00764271" w:rsidP="00DB17F9">
      <w:r>
        <w:separator/>
      </w:r>
    </w:p>
    <w:p w14:paraId="671F4DC5" w14:textId="77777777" w:rsidR="00764271" w:rsidRDefault="00764271"/>
  </w:endnote>
  <w:endnote w:type="continuationSeparator" w:id="0">
    <w:p w14:paraId="4AF034FA" w14:textId="77777777" w:rsidR="00764271" w:rsidRDefault="00764271" w:rsidP="00DB17F9">
      <w:r>
        <w:continuationSeparator/>
      </w:r>
    </w:p>
    <w:p w14:paraId="7C2D3FAC" w14:textId="77777777" w:rsidR="00764271" w:rsidRDefault="00764271"/>
  </w:endnote>
  <w:endnote w:type="continuationNotice" w:id="1">
    <w:p w14:paraId="1EB97892" w14:textId="77777777" w:rsidR="00764271" w:rsidRDefault="0076427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D6B9E" w14:textId="77777777" w:rsidR="00764271" w:rsidRPr="00F51BD6" w:rsidRDefault="00764271" w:rsidP="00CD07E7">
      <w:pPr>
        <w:spacing w:before="120" w:after="0"/>
      </w:pPr>
      <w:r>
        <w:separator/>
      </w:r>
    </w:p>
  </w:footnote>
  <w:footnote w:type="continuationSeparator" w:id="0">
    <w:p w14:paraId="45CE3ECE" w14:textId="77777777" w:rsidR="00764271" w:rsidRDefault="00764271" w:rsidP="00CD07E7">
      <w:pPr>
        <w:spacing w:before="120" w:after="0"/>
      </w:pPr>
      <w:r>
        <w:continuationSeparator/>
      </w:r>
    </w:p>
  </w:footnote>
  <w:footnote w:type="continuationNotice" w:id="1">
    <w:p w14:paraId="4BE50654" w14:textId="77777777" w:rsidR="00764271" w:rsidRPr="00CD07E7" w:rsidRDefault="00764271"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45BD"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FF9A8" w14:textId="77777777" w:rsidR="00102172" w:rsidRPr="00714F0F" w:rsidRDefault="00102172" w:rsidP="00714F0F">
    <w:pPr>
      <w:pStyle w:val="ECCpageHeader"/>
    </w:pPr>
    <w:r w:rsidRPr="00714F0F">
      <w:tab/>
    </w:r>
    <w:r w:rsidRPr="00714F0F">
      <w:t xml:space="preserve">Page </w:t>
    </w:r>
    <w:r w:rsidRPr="00714F0F">
      <w:fldChar w:fldCharType="begin"/>
    </w:r>
    <w:r w:rsidRPr="00714F0F">
      <w:instrText xml:space="preserve"> PAGE  \* Arabic  \* MERGEFORMAT </w:instrText>
    </w:r>
    <w:r w:rsidRPr="00714F0F">
      <w:fldChar w:fldCharType="separate"/>
    </w:r>
    <w:r w:rsidR="00231A0F">
      <w:rPr>
        <w:noProof/>
      </w:rPr>
      <w:t>2</w:t>
    </w:r>
    <w:r w:rsidRPr="00714F0F">
      <w:fldChar w:fldCharType="end"/>
    </w:r>
  </w:p>
  <w:p w14:paraId="74496E01" w14:textId="77777777"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25.5pt;height:59.1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15:restartNumberingAfterBreak="0">
    <w:nsid w:val="3D163F7A"/>
    <w:multiLevelType w:val="multilevel"/>
    <w:tmpl w:val="C51432D8"/>
    <w:lvl w:ilvl="0">
      <w:start w:val="1"/>
      <w:numFmt w:val="decimal"/>
      <w:pStyle w:val="Titre1"/>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5" w15:restartNumberingAfterBreak="0">
    <w:nsid w:val="43A83D68"/>
    <w:multiLevelType w:val="hybridMultilevel"/>
    <w:tmpl w:val="E6DC20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E532EA"/>
    <w:multiLevelType w:val="hybridMultilevel"/>
    <w:tmpl w:val="5810E2A4"/>
    <w:lvl w:ilvl="0" w:tplc="20B4FF9A">
      <w:start w:val="1"/>
      <w:numFmt w:val="bullet"/>
      <w:lvlText w:val=""/>
      <w:lvlJc w:val="left"/>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
  </w:num>
  <w:num w:numId="2">
    <w:abstractNumId w:val="0"/>
  </w:num>
  <w:num w:numId="3">
    <w:abstractNumId w:val="8"/>
  </w:num>
  <w:num w:numId="4">
    <w:abstractNumId w:val="3"/>
  </w:num>
  <w:num w:numId="5">
    <w:abstractNumId w:val="6"/>
  </w:num>
  <w:num w:numId="6">
    <w:abstractNumId w:val="4"/>
  </w:num>
  <w:num w:numId="7">
    <w:abstractNumId w:val="7"/>
  </w:num>
  <w:num w:numId="8">
    <w:abstractNumId w:val="2"/>
  </w:num>
  <w:num w:numId="9">
    <w:abstractNumId w:val="2"/>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024F5"/>
    <w:rsid w:val="00003FD1"/>
    <w:rsid w:val="00004154"/>
    <w:rsid w:val="0001112E"/>
    <w:rsid w:val="000124E8"/>
    <w:rsid w:val="00012E3B"/>
    <w:rsid w:val="000145A3"/>
    <w:rsid w:val="00016315"/>
    <w:rsid w:val="0002774C"/>
    <w:rsid w:val="00041A18"/>
    <w:rsid w:val="0004622B"/>
    <w:rsid w:val="00046BE2"/>
    <w:rsid w:val="00052A7D"/>
    <w:rsid w:val="00066CB3"/>
    <w:rsid w:val="00067793"/>
    <w:rsid w:val="00067E52"/>
    <w:rsid w:val="00080D4D"/>
    <w:rsid w:val="00082DD7"/>
    <w:rsid w:val="00090BE1"/>
    <w:rsid w:val="00093E3D"/>
    <w:rsid w:val="00094E23"/>
    <w:rsid w:val="00095620"/>
    <w:rsid w:val="00095665"/>
    <w:rsid w:val="000A3940"/>
    <w:rsid w:val="000A3B26"/>
    <w:rsid w:val="000B2BD3"/>
    <w:rsid w:val="000B6D45"/>
    <w:rsid w:val="000C028F"/>
    <w:rsid w:val="000C70B0"/>
    <w:rsid w:val="000D1710"/>
    <w:rsid w:val="000D43BB"/>
    <w:rsid w:val="000E3E4D"/>
    <w:rsid w:val="000E42F5"/>
    <w:rsid w:val="000F0594"/>
    <w:rsid w:val="000F0CA8"/>
    <w:rsid w:val="000F24F5"/>
    <w:rsid w:val="000F2ED9"/>
    <w:rsid w:val="000F6C2B"/>
    <w:rsid w:val="001006CA"/>
    <w:rsid w:val="00100F8B"/>
    <w:rsid w:val="00102172"/>
    <w:rsid w:val="001055CC"/>
    <w:rsid w:val="00110652"/>
    <w:rsid w:val="00110BC4"/>
    <w:rsid w:val="001137B2"/>
    <w:rsid w:val="001358C1"/>
    <w:rsid w:val="001447F2"/>
    <w:rsid w:val="00145A27"/>
    <w:rsid w:val="001526A2"/>
    <w:rsid w:val="00154F16"/>
    <w:rsid w:val="00156314"/>
    <w:rsid w:val="00167D1C"/>
    <w:rsid w:val="00172B28"/>
    <w:rsid w:val="00183FE0"/>
    <w:rsid w:val="0018553F"/>
    <w:rsid w:val="001A01CA"/>
    <w:rsid w:val="001B037E"/>
    <w:rsid w:val="001B0583"/>
    <w:rsid w:val="001C30A8"/>
    <w:rsid w:val="001E7026"/>
    <w:rsid w:val="001F0BFF"/>
    <w:rsid w:val="0020079A"/>
    <w:rsid w:val="00200A8C"/>
    <w:rsid w:val="00222F9E"/>
    <w:rsid w:val="00227378"/>
    <w:rsid w:val="002302A9"/>
    <w:rsid w:val="00231A0F"/>
    <w:rsid w:val="0023699A"/>
    <w:rsid w:val="00243368"/>
    <w:rsid w:val="0024793C"/>
    <w:rsid w:val="00247B0B"/>
    <w:rsid w:val="00254A0E"/>
    <w:rsid w:val="0026031B"/>
    <w:rsid w:val="00263A97"/>
    <w:rsid w:val="00263FFB"/>
    <w:rsid w:val="002649BD"/>
    <w:rsid w:val="00265F50"/>
    <w:rsid w:val="00271F57"/>
    <w:rsid w:val="00274F84"/>
    <w:rsid w:val="0027787F"/>
    <w:rsid w:val="0028060B"/>
    <w:rsid w:val="0028120C"/>
    <w:rsid w:val="002814CC"/>
    <w:rsid w:val="00283417"/>
    <w:rsid w:val="00286287"/>
    <w:rsid w:val="002925C3"/>
    <w:rsid w:val="00295827"/>
    <w:rsid w:val="00295F16"/>
    <w:rsid w:val="00296C44"/>
    <w:rsid w:val="002A033F"/>
    <w:rsid w:val="002A2C90"/>
    <w:rsid w:val="002A79A5"/>
    <w:rsid w:val="002C3387"/>
    <w:rsid w:val="002C4CD2"/>
    <w:rsid w:val="002C6DC3"/>
    <w:rsid w:val="002D1FA9"/>
    <w:rsid w:val="002D50A3"/>
    <w:rsid w:val="002D6F2C"/>
    <w:rsid w:val="002E3D41"/>
    <w:rsid w:val="002E4787"/>
    <w:rsid w:val="002F70E6"/>
    <w:rsid w:val="003007C0"/>
    <w:rsid w:val="00302076"/>
    <w:rsid w:val="00307A79"/>
    <w:rsid w:val="00315326"/>
    <w:rsid w:val="003204D5"/>
    <w:rsid w:val="00320ED0"/>
    <w:rsid w:val="00322E6A"/>
    <w:rsid w:val="003314A0"/>
    <w:rsid w:val="00335B28"/>
    <w:rsid w:val="003442BA"/>
    <w:rsid w:val="00346068"/>
    <w:rsid w:val="00351B72"/>
    <w:rsid w:val="003532EA"/>
    <w:rsid w:val="00376A56"/>
    <w:rsid w:val="00381169"/>
    <w:rsid w:val="0038287C"/>
    <w:rsid w:val="0038358E"/>
    <w:rsid w:val="00387DDE"/>
    <w:rsid w:val="00390FE3"/>
    <w:rsid w:val="00391A01"/>
    <w:rsid w:val="00394C73"/>
    <w:rsid w:val="00395D73"/>
    <w:rsid w:val="003A0EB5"/>
    <w:rsid w:val="003A4A60"/>
    <w:rsid w:val="003A5711"/>
    <w:rsid w:val="003A6304"/>
    <w:rsid w:val="003A6A9C"/>
    <w:rsid w:val="003B48BA"/>
    <w:rsid w:val="003C17FB"/>
    <w:rsid w:val="003C3FB5"/>
    <w:rsid w:val="003C4E56"/>
    <w:rsid w:val="003C64D9"/>
    <w:rsid w:val="003E2E42"/>
    <w:rsid w:val="003E70E0"/>
    <w:rsid w:val="00402B6A"/>
    <w:rsid w:val="00403CE6"/>
    <w:rsid w:val="00405486"/>
    <w:rsid w:val="004110CA"/>
    <w:rsid w:val="0041160E"/>
    <w:rsid w:val="0041535F"/>
    <w:rsid w:val="0041692D"/>
    <w:rsid w:val="00426A3F"/>
    <w:rsid w:val="0042761F"/>
    <w:rsid w:val="00431162"/>
    <w:rsid w:val="0043250E"/>
    <w:rsid w:val="004328D1"/>
    <w:rsid w:val="00441EE0"/>
    <w:rsid w:val="00442407"/>
    <w:rsid w:val="00443482"/>
    <w:rsid w:val="00446CBF"/>
    <w:rsid w:val="00450308"/>
    <w:rsid w:val="0045262F"/>
    <w:rsid w:val="00457AD1"/>
    <w:rsid w:val="0046427F"/>
    <w:rsid w:val="00464607"/>
    <w:rsid w:val="00473FEA"/>
    <w:rsid w:val="0048281F"/>
    <w:rsid w:val="0048372E"/>
    <w:rsid w:val="00485665"/>
    <w:rsid w:val="00486703"/>
    <w:rsid w:val="00491977"/>
    <w:rsid w:val="00494904"/>
    <w:rsid w:val="004A0AAD"/>
    <w:rsid w:val="004A1329"/>
    <w:rsid w:val="004C1A87"/>
    <w:rsid w:val="004C35C6"/>
    <w:rsid w:val="004C4A2E"/>
    <w:rsid w:val="004E057E"/>
    <w:rsid w:val="004E44C8"/>
    <w:rsid w:val="004E53BE"/>
    <w:rsid w:val="004E7F82"/>
    <w:rsid w:val="004F3EA9"/>
    <w:rsid w:val="004F4CB1"/>
    <w:rsid w:val="00500ED4"/>
    <w:rsid w:val="00501992"/>
    <w:rsid w:val="005026AC"/>
    <w:rsid w:val="005075BE"/>
    <w:rsid w:val="00510AE7"/>
    <w:rsid w:val="00513B6A"/>
    <w:rsid w:val="00520EFD"/>
    <w:rsid w:val="0052693D"/>
    <w:rsid w:val="00526F8D"/>
    <w:rsid w:val="0053062A"/>
    <w:rsid w:val="005309B9"/>
    <w:rsid w:val="00535050"/>
    <w:rsid w:val="00536F3C"/>
    <w:rsid w:val="00541663"/>
    <w:rsid w:val="0054260E"/>
    <w:rsid w:val="00550411"/>
    <w:rsid w:val="00550D79"/>
    <w:rsid w:val="005559AC"/>
    <w:rsid w:val="00555ADF"/>
    <w:rsid w:val="00555FB3"/>
    <w:rsid w:val="00557B5A"/>
    <w:rsid w:val="005611D0"/>
    <w:rsid w:val="00563EC2"/>
    <w:rsid w:val="00566BD4"/>
    <w:rsid w:val="00571E47"/>
    <w:rsid w:val="00576411"/>
    <w:rsid w:val="00577CAF"/>
    <w:rsid w:val="00580223"/>
    <w:rsid w:val="00594186"/>
    <w:rsid w:val="005A05D1"/>
    <w:rsid w:val="005A53B8"/>
    <w:rsid w:val="005B202B"/>
    <w:rsid w:val="005B4EB9"/>
    <w:rsid w:val="005B7862"/>
    <w:rsid w:val="005C10EB"/>
    <w:rsid w:val="005C2301"/>
    <w:rsid w:val="005C5A96"/>
    <w:rsid w:val="005D113F"/>
    <w:rsid w:val="005D371D"/>
    <w:rsid w:val="005D5684"/>
    <w:rsid w:val="005E16CB"/>
    <w:rsid w:val="005E1F69"/>
    <w:rsid w:val="005E5C5B"/>
    <w:rsid w:val="005E6E2D"/>
    <w:rsid w:val="005E7495"/>
    <w:rsid w:val="005F1D78"/>
    <w:rsid w:val="005F4D21"/>
    <w:rsid w:val="00601391"/>
    <w:rsid w:val="00611A71"/>
    <w:rsid w:val="006141F2"/>
    <w:rsid w:val="00621C12"/>
    <w:rsid w:val="006225AA"/>
    <w:rsid w:val="00623E18"/>
    <w:rsid w:val="00625C5D"/>
    <w:rsid w:val="00633D22"/>
    <w:rsid w:val="00635A22"/>
    <w:rsid w:val="00642083"/>
    <w:rsid w:val="006506EA"/>
    <w:rsid w:val="0065158F"/>
    <w:rsid w:val="006534FE"/>
    <w:rsid w:val="0065550D"/>
    <w:rsid w:val="00664295"/>
    <w:rsid w:val="00665364"/>
    <w:rsid w:val="00667B35"/>
    <w:rsid w:val="006713EB"/>
    <w:rsid w:val="006720E6"/>
    <w:rsid w:val="00672FAF"/>
    <w:rsid w:val="00673A9B"/>
    <w:rsid w:val="006749AF"/>
    <w:rsid w:val="006752F6"/>
    <w:rsid w:val="006835FA"/>
    <w:rsid w:val="006837FB"/>
    <w:rsid w:val="006876A8"/>
    <w:rsid w:val="00695743"/>
    <w:rsid w:val="00697381"/>
    <w:rsid w:val="006A3B77"/>
    <w:rsid w:val="006A49E3"/>
    <w:rsid w:val="006B1EFD"/>
    <w:rsid w:val="006B4546"/>
    <w:rsid w:val="006B6337"/>
    <w:rsid w:val="006B725C"/>
    <w:rsid w:val="006C14E4"/>
    <w:rsid w:val="006C34C3"/>
    <w:rsid w:val="006C3A71"/>
    <w:rsid w:val="006C6DA8"/>
    <w:rsid w:val="006C710B"/>
    <w:rsid w:val="006C7F61"/>
    <w:rsid w:val="006D407F"/>
    <w:rsid w:val="006E656B"/>
    <w:rsid w:val="006E70EF"/>
    <w:rsid w:val="006F0442"/>
    <w:rsid w:val="006F11EB"/>
    <w:rsid w:val="00702B3A"/>
    <w:rsid w:val="00714AEB"/>
    <w:rsid w:val="00714F0F"/>
    <w:rsid w:val="0071518E"/>
    <w:rsid w:val="007160BE"/>
    <w:rsid w:val="00721261"/>
    <w:rsid w:val="00722F65"/>
    <w:rsid w:val="007257CD"/>
    <w:rsid w:val="00734A4F"/>
    <w:rsid w:val="00737CB1"/>
    <w:rsid w:val="007414C6"/>
    <w:rsid w:val="00742DEB"/>
    <w:rsid w:val="00744E6B"/>
    <w:rsid w:val="00755582"/>
    <w:rsid w:val="007613AC"/>
    <w:rsid w:val="00762A9E"/>
    <w:rsid w:val="00762BCC"/>
    <w:rsid w:val="00763BA3"/>
    <w:rsid w:val="00763D66"/>
    <w:rsid w:val="00764271"/>
    <w:rsid w:val="00765B66"/>
    <w:rsid w:val="00767BB2"/>
    <w:rsid w:val="0077159C"/>
    <w:rsid w:val="007749F1"/>
    <w:rsid w:val="00776D23"/>
    <w:rsid w:val="00776EDB"/>
    <w:rsid w:val="00780376"/>
    <w:rsid w:val="00780EE3"/>
    <w:rsid w:val="00791AAC"/>
    <w:rsid w:val="00794B5E"/>
    <w:rsid w:val="00797D4C"/>
    <w:rsid w:val="00797DEE"/>
    <w:rsid w:val="007A7041"/>
    <w:rsid w:val="007B1D0A"/>
    <w:rsid w:val="007B4549"/>
    <w:rsid w:val="007B5C13"/>
    <w:rsid w:val="007C0E7E"/>
    <w:rsid w:val="007C1A56"/>
    <w:rsid w:val="007C4098"/>
    <w:rsid w:val="007D17C5"/>
    <w:rsid w:val="007D380E"/>
    <w:rsid w:val="007D4D03"/>
    <w:rsid w:val="007D52EC"/>
    <w:rsid w:val="007E1A57"/>
    <w:rsid w:val="007F1CEE"/>
    <w:rsid w:val="00807C77"/>
    <w:rsid w:val="008236F9"/>
    <w:rsid w:val="00836C19"/>
    <w:rsid w:val="00837537"/>
    <w:rsid w:val="00842415"/>
    <w:rsid w:val="00842766"/>
    <w:rsid w:val="008464F3"/>
    <w:rsid w:val="008519E0"/>
    <w:rsid w:val="00854EBF"/>
    <w:rsid w:val="0086094D"/>
    <w:rsid w:val="00860C36"/>
    <w:rsid w:val="0086731C"/>
    <w:rsid w:val="00872382"/>
    <w:rsid w:val="00880263"/>
    <w:rsid w:val="008821A6"/>
    <w:rsid w:val="00886906"/>
    <w:rsid w:val="0088694B"/>
    <w:rsid w:val="008912FE"/>
    <w:rsid w:val="00891ABD"/>
    <w:rsid w:val="008A245D"/>
    <w:rsid w:val="008A54FC"/>
    <w:rsid w:val="008B22D6"/>
    <w:rsid w:val="008B3681"/>
    <w:rsid w:val="008B70CD"/>
    <w:rsid w:val="008C238C"/>
    <w:rsid w:val="008C43B4"/>
    <w:rsid w:val="008D141C"/>
    <w:rsid w:val="008D2C13"/>
    <w:rsid w:val="008E6109"/>
    <w:rsid w:val="008F47AB"/>
    <w:rsid w:val="008F6705"/>
    <w:rsid w:val="008F7983"/>
    <w:rsid w:val="00904E2E"/>
    <w:rsid w:val="0090559C"/>
    <w:rsid w:val="00907A34"/>
    <w:rsid w:val="00907DB4"/>
    <w:rsid w:val="009170EA"/>
    <w:rsid w:val="0092076F"/>
    <w:rsid w:val="00921F24"/>
    <w:rsid w:val="00930439"/>
    <w:rsid w:val="00937AEB"/>
    <w:rsid w:val="00944E2D"/>
    <w:rsid w:val="0096278E"/>
    <w:rsid w:val="009662E3"/>
    <w:rsid w:val="0096679D"/>
    <w:rsid w:val="00966DD9"/>
    <w:rsid w:val="0098407B"/>
    <w:rsid w:val="00984E3A"/>
    <w:rsid w:val="00986677"/>
    <w:rsid w:val="0099421C"/>
    <w:rsid w:val="009948F8"/>
    <w:rsid w:val="009953E8"/>
    <w:rsid w:val="009A20BF"/>
    <w:rsid w:val="009A2F3A"/>
    <w:rsid w:val="009A569D"/>
    <w:rsid w:val="009A5950"/>
    <w:rsid w:val="009A7A45"/>
    <w:rsid w:val="009A7D61"/>
    <w:rsid w:val="009B7F43"/>
    <w:rsid w:val="009C3803"/>
    <w:rsid w:val="009D1507"/>
    <w:rsid w:val="009D2C13"/>
    <w:rsid w:val="009D3BA5"/>
    <w:rsid w:val="009D4AFF"/>
    <w:rsid w:val="009D4BA1"/>
    <w:rsid w:val="009D7D5A"/>
    <w:rsid w:val="009E1B18"/>
    <w:rsid w:val="009E47EB"/>
    <w:rsid w:val="009F3A37"/>
    <w:rsid w:val="009F6EA2"/>
    <w:rsid w:val="00A02090"/>
    <w:rsid w:val="00A03731"/>
    <w:rsid w:val="00A061CE"/>
    <w:rsid w:val="00A076B5"/>
    <w:rsid w:val="00A103FE"/>
    <w:rsid w:val="00A1330D"/>
    <w:rsid w:val="00A17F69"/>
    <w:rsid w:val="00A20270"/>
    <w:rsid w:val="00A2037A"/>
    <w:rsid w:val="00A22EC9"/>
    <w:rsid w:val="00A23870"/>
    <w:rsid w:val="00A274DB"/>
    <w:rsid w:val="00A34B68"/>
    <w:rsid w:val="00A36F6F"/>
    <w:rsid w:val="00A41E1E"/>
    <w:rsid w:val="00A540E6"/>
    <w:rsid w:val="00A6112C"/>
    <w:rsid w:val="00A61B61"/>
    <w:rsid w:val="00A63DB0"/>
    <w:rsid w:val="00A6411D"/>
    <w:rsid w:val="00A6518C"/>
    <w:rsid w:val="00A66E5A"/>
    <w:rsid w:val="00A673EB"/>
    <w:rsid w:val="00A73298"/>
    <w:rsid w:val="00A751C0"/>
    <w:rsid w:val="00A90015"/>
    <w:rsid w:val="00A91601"/>
    <w:rsid w:val="00A923CA"/>
    <w:rsid w:val="00A93A57"/>
    <w:rsid w:val="00A94932"/>
    <w:rsid w:val="00A95ACB"/>
    <w:rsid w:val="00A97942"/>
    <w:rsid w:val="00AA079B"/>
    <w:rsid w:val="00AA086A"/>
    <w:rsid w:val="00AA4A4A"/>
    <w:rsid w:val="00AA583B"/>
    <w:rsid w:val="00AB0C19"/>
    <w:rsid w:val="00AB1029"/>
    <w:rsid w:val="00AC01FE"/>
    <w:rsid w:val="00AC09AB"/>
    <w:rsid w:val="00AC0EA5"/>
    <w:rsid w:val="00AC1441"/>
    <w:rsid w:val="00AC2686"/>
    <w:rsid w:val="00AD0D28"/>
    <w:rsid w:val="00AD1BE1"/>
    <w:rsid w:val="00AD21A9"/>
    <w:rsid w:val="00AD7257"/>
    <w:rsid w:val="00AF032D"/>
    <w:rsid w:val="00AF0889"/>
    <w:rsid w:val="00AF2D0C"/>
    <w:rsid w:val="00AF4C0E"/>
    <w:rsid w:val="00B04700"/>
    <w:rsid w:val="00B14E5E"/>
    <w:rsid w:val="00B25910"/>
    <w:rsid w:val="00B25E3C"/>
    <w:rsid w:val="00B26973"/>
    <w:rsid w:val="00B30D3B"/>
    <w:rsid w:val="00B432D4"/>
    <w:rsid w:val="00B524E1"/>
    <w:rsid w:val="00B52545"/>
    <w:rsid w:val="00B5315C"/>
    <w:rsid w:val="00B534F6"/>
    <w:rsid w:val="00B576D7"/>
    <w:rsid w:val="00B65E6F"/>
    <w:rsid w:val="00B80892"/>
    <w:rsid w:val="00B82735"/>
    <w:rsid w:val="00B850EA"/>
    <w:rsid w:val="00B86342"/>
    <w:rsid w:val="00B8795B"/>
    <w:rsid w:val="00B921E0"/>
    <w:rsid w:val="00B92306"/>
    <w:rsid w:val="00B92861"/>
    <w:rsid w:val="00BA3D26"/>
    <w:rsid w:val="00BA6E58"/>
    <w:rsid w:val="00BA7A69"/>
    <w:rsid w:val="00BB15E2"/>
    <w:rsid w:val="00BC3F27"/>
    <w:rsid w:val="00BD28DF"/>
    <w:rsid w:val="00BD6876"/>
    <w:rsid w:val="00BE0B23"/>
    <w:rsid w:val="00BE2864"/>
    <w:rsid w:val="00BF59BB"/>
    <w:rsid w:val="00C00565"/>
    <w:rsid w:val="00C076BF"/>
    <w:rsid w:val="00C153A4"/>
    <w:rsid w:val="00C212B5"/>
    <w:rsid w:val="00C25F81"/>
    <w:rsid w:val="00C27F02"/>
    <w:rsid w:val="00C32C20"/>
    <w:rsid w:val="00C351C7"/>
    <w:rsid w:val="00C414E2"/>
    <w:rsid w:val="00C44908"/>
    <w:rsid w:val="00C504F4"/>
    <w:rsid w:val="00C512DE"/>
    <w:rsid w:val="00C57E85"/>
    <w:rsid w:val="00C65BB4"/>
    <w:rsid w:val="00C8071C"/>
    <w:rsid w:val="00C80957"/>
    <w:rsid w:val="00C816CB"/>
    <w:rsid w:val="00C82461"/>
    <w:rsid w:val="00C876AB"/>
    <w:rsid w:val="00C91E3B"/>
    <w:rsid w:val="00C9499F"/>
    <w:rsid w:val="00CA07CC"/>
    <w:rsid w:val="00CA25B5"/>
    <w:rsid w:val="00CA4FCE"/>
    <w:rsid w:val="00CA5F8F"/>
    <w:rsid w:val="00CC5A6F"/>
    <w:rsid w:val="00CC7EB1"/>
    <w:rsid w:val="00CD07E7"/>
    <w:rsid w:val="00CD17F6"/>
    <w:rsid w:val="00CE271A"/>
    <w:rsid w:val="00CE6FF5"/>
    <w:rsid w:val="00CE7B26"/>
    <w:rsid w:val="00CF5245"/>
    <w:rsid w:val="00CF767E"/>
    <w:rsid w:val="00D01AE4"/>
    <w:rsid w:val="00D05C23"/>
    <w:rsid w:val="00D06683"/>
    <w:rsid w:val="00D07B1A"/>
    <w:rsid w:val="00D106CC"/>
    <w:rsid w:val="00D1101B"/>
    <w:rsid w:val="00D1167E"/>
    <w:rsid w:val="00D13502"/>
    <w:rsid w:val="00D222D6"/>
    <w:rsid w:val="00D234E7"/>
    <w:rsid w:val="00D30E46"/>
    <w:rsid w:val="00D3663D"/>
    <w:rsid w:val="00D42BC0"/>
    <w:rsid w:val="00D43023"/>
    <w:rsid w:val="00D4349F"/>
    <w:rsid w:val="00D44825"/>
    <w:rsid w:val="00D45DB9"/>
    <w:rsid w:val="00D47EF6"/>
    <w:rsid w:val="00D50AC8"/>
    <w:rsid w:val="00D55AAF"/>
    <w:rsid w:val="00D60A44"/>
    <w:rsid w:val="00D67C04"/>
    <w:rsid w:val="00D73766"/>
    <w:rsid w:val="00D7390F"/>
    <w:rsid w:val="00D74F04"/>
    <w:rsid w:val="00D90913"/>
    <w:rsid w:val="00D92BEC"/>
    <w:rsid w:val="00D9797A"/>
    <w:rsid w:val="00DA18F2"/>
    <w:rsid w:val="00DA25EA"/>
    <w:rsid w:val="00DA7794"/>
    <w:rsid w:val="00DB17F9"/>
    <w:rsid w:val="00DB4726"/>
    <w:rsid w:val="00DD22EE"/>
    <w:rsid w:val="00DD49BE"/>
    <w:rsid w:val="00DD5136"/>
    <w:rsid w:val="00DD6973"/>
    <w:rsid w:val="00DE054C"/>
    <w:rsid w:val="00DE48D1"/>
    <w:rsid w:val="00DE5B05"/>
    <w:rsid w:val="00DE68D8"/>
    <w:rsid w:val="00DF2C67"/>
    <w:rsid w:val="00DF3AE2"/>
    <w:rsid w:val="00DF7D21"/>
    <w:rsid w:val="00E03771"/>
    <w:rsid w:val="00E059C5"/>
    <w:rsid w:val="00E06009"/>
    <w:rsid w:val="00E0768A"/>
    <w:rsid w:val="00E102E3"/>
    <w:rsid w:val="00E11D7E"/>
    <w:rsid w:val="00E14334"/>
    <w:rsid w:val="00E20658"/>
    <w:rsid w:val="00E21BF0"/>
    <w:rsid w:val="00E21C18"/>
    <w:rsid w:val="00E2303A"/>
    <w:rsid w:val="00E343BD"/>
    <w:rsid w:val="00E348D9"/>
    <w:rsid w:val="00E36601"/>
    <w:rsid w:val="00E44387"/>
    <w:rsid w:val="00E46600"/>
    <w:rsid w:val="00E60351"/>
    <w:rsid w:val="00E668CE"/>
    <w:rsid w:val="00E71AE7"/>
    <w:rsid w:val="00E752E6"/>
    <w:rsid w:val="00E771B6"/>
    <w:rsid w:val="00E82117"/>
    <w:rsid w:val="00E85ABB"/>
    <w:rsid w:val="00E91DDB"/>
    <w:rsid w:val="00EA2ED5"/>
    <w:rsid w:val="00EA6088"/>
    <w:rsid w:val="00EC1A2C"/>
    <w:rsid w:val="00ED2C10"/>
    <w:rsid w:val="00EE7DA1"/>
    <w:rsid w:val="00EF5128"/>
    <w:rsid w:val="00F01571"/>
    <w:rsid w:val="00F02570"/>
    <w:rsid w:val="00F05838"/>
    <w:rsid w:val="00F0719B"/>
    <w:rsid w:val="00F11542"/>
    <w:rsid w:val="00F20329"/>
    <w:rsid w:val="00F212EB"/>
    <w:rsid w:val="00F23D13"/>
    <w:rsid w:val="00F251A4"/>
    <w:rsid w:val="00F3111D"/>
    <w:rsid w:val="00F32DEC"/>
    <w:rsid w:val="00F43E24"/>
    <w:rsid w:val="00F45561"/>
    <w:rsid w:val="00F465D3"/>
    <w:rsid w:val="00F475C8"/>
    <w:rsid w:val="00F5066B"/>
    <w:rsid w:val="00F51BD6"/>
    <w:rsid w:val="00F53F8E"/>
    <w:rsid w:val="00F56F06"/>
    <w:rsid w:val="00F56F62"/>
    <w:rsid w:val="00F60854"/>
    <w:rsid w:val="00F62D48"/>
    <w:rsid w:val="00F63474"/>
    <w:rsid w:val="00F70728"/>
    <w:rsid w:val="00F73815"/>
    <w:rsid w:val="00F745C5"/>
    <w:rsid w:val="00F75313"/>
    <w:rsid w:val="00F7770D"/>
    <w:rsid w:val="00F82BF8"/>
    <w:rsid w:val="00F85296"/>
    <w:rsid w:val="00F905E7"/>
    <w:rsid w:val="00F90BBE"/>
    <w:rsid w:val="00F91FDD"/>
    <w:rsid w:val="00F93115"/>
    <w:rsid w:val="00F9539A"/>
    <w:rsid w:val="00F96FB1"/>
    <w:rsid w:val="00FA4E32"/>
    <w:rsid w:val="00FA5792"/>
    <w:rsid w:val="00FA7B00"/>
    <w:rsid w:val="00FB04BE"/>
    <w:rsid w:val="00FB200D"/>
    <w:rsid w:val="00FB3571"/>
    <w:rsid w:val="00FB4F1D"/>
    <w:rsid w:val="00FC3FEE"/>
    <w:rsid w:val="00FC6590"/>
    <w:rsid w:val="00FE2155"/>
    <w:rsid w:val="00FE7CE5"/>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41C373E8"/>
  <w15:docId w15:val="{B6455E83-6DA2-49D9-857B-78E712BD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Titre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Titre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Titre3">
    <w:name w:val="heading 3"/>
    <w:aliases w:val="ECC Heading 3"/>
    <w:next w:val="Normal"/>
    <w:qFormat/>
    <w:rsid w:val="00E2303A"/>
    <w:pPr>
      <w:keepNext/>
      <w:numPr>
        <w:ilvl w:val="2"/>
        <w:numId w:val="6"/>
      </w:numPr>
      <w:spacing w:before="360"/>
      <w:outlineLvl w:val="2"/>
    </w:pPr>
    <w:rPr>
      <w:rFonts w:cs="Arial"/>
      <w:b/>
      <w:bCs/>
      <w:szCs w:val="26"/>
    </w:rPr>
  </w:style>
  <w:style w:type="paragraph" w:styleId="Titre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Titre5">
    <w:name w:val="heading 5"/>
    <w:basedOn w:val="Normal"/>
    <w:next w:val="Normal"/>
    <w:semiHidden/>
    <w:qFormat/>
    <w:locked/>
    <w:rsid w:val="009E47EB"/>
    <w:pPr>
      <w:numPr>
        <w:ilvl w:val="4"/>
        <w:numId w:val="6"/>
      </w:numPr>
      <w:outlineLvl w:val="4"/>
    </w:pPr>
    <w:rPr>
      <w:b/>
      <w:bCs/>
      <w:i/>
      <w:iCs/>
      <w:sz w:val="26"/>
      <w:szCs w:val="26"/>
    </w:rPr>
  </w:style>
  <w:style w:type="paragraph" w:styleId="Titre6">
    <w:name w:val="heading 6"/>
    <w:basedOn w:val="Normal"/>
    <w:next w:val="Normal"/>
    <w:semiHidden/>
    <w:qFormat/>
    <w:locked/>
    <w:rsid w:val="009E47EB"/>
    <w:pPr>
      <w:numPr>
        <w:ilvl w:val="5"/>
        <w:numId w:val="6"/>
      </w:numPr>
      <w:outlineLvl w:val="5"/>
    </w:pPr>
    <w:rPr>
      <w:b/>
      <w:bCs/>
      <w:sz w:val="22"/>
    </w:rPr>
  </w:style>
  <w:style w:type="paragraph" w:styleId="Titre7">
    <w:name w:val="heading 7"/>
    <w:basedOn w:val="Normal"/>
    <w:next w:val="Normal"/>
    <w:semiHidden/>
    <w:qFormat/>
    <w:locked/>
    <w:rsid w:val="009E47EB"/>
    <w:pPr>
      <w:numPr>
        <w:ilvl w:val="6"/>
        <w:numId w:val="6"/>
      </w:numPr>
      <w:outlineLvl w:val="6"/>
    </w:pPr>
    <w:rPr>
      <w:sz w:val="24"/>
    </w:rPr>
  </w:style>
  <w:style w:type="paragraph" w:styleId="Titre8">
    <w:name w:val="heading 8"/>
    <w:basedOn w:val="Normal"/>
    <w:next w:val="Normal"/>
    <w:semiHidden/>
    <w:qFormat/>
    <w:locked/>
    <w:rsid w:val="009E47EB"/>
    <w:pPr>
      <w:numPr>
        <w:ilvl w:val="7"/>
        <w:numId w:val="6"/>
      </w:numPr>
      <w:outlineLvl w:val="7"/>
    </w:pPr>
    <w:rPr>
      <w:i/>
      <w:iCs/>
      <w:sz w:val="24"/>
    </w:rPr>
  </w:style>
  <w:style w:type="paragraph" w:styleId="Titre9">
    <w:name w:val="heading 9"/>
    <w:basedOn w:val="Normal"/>
    <w:next w:val="Normal"/>
    <w:semiHidden/>
    <w:qFormat/>
    <w:locked/>
    <w:rsid w:val="009E47EB"/>
    <w:pPr>
      <w:numPr>
        <w:ilvl w:val="8"/>
        <w:numId w:val="6"/>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En-tte">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M1">
    <w:name w:val="toc 1"/>
    <w:aliases w:val="ECC Index 1"/>
    <w:basedOn w:val="Normal"/>
    <w:link w:val="TM1Car"/>
    <w:uiPriority w:val="39"/>
    <w:qFormat/>
    <w:rsid w:val="0038287C"/>
    <w:pPr>
      <w:tabs>
        <w:tab w:val="left" w:pos="425"/>
        <w:tab w:val="right" w:leader="dot" w:pos="9639"/>
      </w:tabs>
      <w:spacing w:after="0"/>
      <w:ind w:left="425" w:hanging="425"/>
    </w:pPr>
    <w:rPr>
      <w:b/>
      <w:noProof/>
      <w:szCs w:val="20"/>
      <w:lang w:val="da-DK"/>
    </w:rPr>
  </w:style>
  <w:style w:type="paragraph" w:styleId="Notedebasdepage">
    <w:name w:val="footnote text"/>
    <w:aliases w:val="ECC Footnote"/>
    <w:basedOn w:val="Normal"/>
    <w:link w:val="NotedebasdepageCar"/>
    <w:rsid w:val="001526A2"/>
    <w:pPr>
      <w:widowControl w:val="0"/>
      <w:tabs>
        <w:tab w:val="left" w:pos="284"/>
      </w:tabs>
      <w:spacing w:after="0"/>
      <w:ind w:left="284" w:hanging="284"/>
    </w:pPr>
    <w:rPr>
      <w:sz w:val="16"/>
      <w:szCs w:val="16"/>
      <w:lang w:val="da-DK"/>
      <w14:cntxtAlts/>
    </w:rPr>
  </w:style>
  <w:style w:type="paragraph" w:styleId="TM2">
    <w:name w:val="toc 2"/>
    <w:aliases w:val="ECC Index 2"/>
    <w:basedOn w:val="Normal"/>
    <w:uiPriority w:val="39"/>
    <w:qFormat/>
    <w:rsid w:val="0038287C"/>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qFormat/>
    <w:rsid w:val="0038287C"/>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38287C"/>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1526A2"/>
    <w:rPr>
      <w:rFonts w:eastAsia="Calibri"/>
      <w:sz w:val="16"/>
      <w:szCs w:val="16"/>
      <w14:cntxtAlts/>
    </w:rPr>
  </w:style>
  <w:style w:type="character" w:styleId="Appelnotedebasdep">
    <w:name w:val="footnote reference"/>
    <w:aliases w:val="ECC Footnote number"/>
    <w:basedOn w:val="Policepardfaut"/>
    <w:rsid w:val="00DB17F9"/>
    <w:rPr>
      <w:rFonts w:ascii="Arial" w:hAnsi="Arial"/>
      <w:sz w:val="20"/>
      <w:vertAlign w:val="superscript"/>
    </w:rPr>
  </w:style>
  <w:style w:type="paragraph" w:styleId="Lgende">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Textedebulles">
    <w:name w:val="Balloon Text"/>
    <w:basedOn w:val="Normal"/>
    <w:link w:val="TextedebullesCar"/>
    <w:uiPriority w:val="99"/>
    <w:semiHidden/>
    <w:unhideWhenUsed/>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Policepardfau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ar">
    <w:name w:val="Signature Car"/>
    <w:basedOn w:val="Policepardfau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lev"/>
    <w:uiPriority w:val="1"/>
    <w:qFormat/>
    <w:rsid w:val="0038287C"/>
    <w:rPr>
      <w:b/>
      <w:bCs/>
    </w:rPr>
  </w:style>
  <w:style w:type="character" w:styleId="Accentuation">
    <w:name w:val="Emphasis"/>
    <w:aliases w:val="ECC HL italics"/>
    <w:basedOn w:val="Policepardfaut"/>
    <w:uiPriority w:val="1"/>
    <w:qFormat/>
    <w:rsid w:val="00DB17F9"/>
    <w:rPr>
      <w:i/>
    </w:rPr>
  </w:style>
  <w:style w:type="character" w:customStyle="1" w:styleId="TM1Car">
    <w:name w:val="TM 1 Car"/>
    <w:aliases w:val="ECC Index 1 Car"/>
    <w:basedOn w:val="Policepardfaut"/>
    <w:link w:val="TM1"/>
    <w:uiPriority w:val="39"/>
    <w:semiHidden/>
    <w:rsid w:val="00D3663D"/>
    <w:rPr>
      <w:rFonts w:eastAsia="Calibri"/>
      <w:b/>
      <w:noProof/>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Policepardfaut"/>
    <w:uiPriority w:val="1"/>
    <w:qFormat/>
    <w:rsid w:val="0038287C"/>
    <w:rPr>
      <w:iCs w:val="0"/>
      <w:bdr w:val="none" w:sz="0" w:space="0" w:color="auto"/>
      <w:shd w:val="solid" w:color="00FFFF" w:fill="auto"/>
      <w:lang w:val="en-GB"/>
    </w:rPr>
  </w:style>
  <w:style w:type="character" w:customStyle="1" w:styleId="ECCHLorange">
    <w:name w:val="ECC HL orange"/>
    <w:basedOn w:val="Policepardfaut"/>
    <w:uiPriority w:val="1"/>
    <w:qFormat/>
    <w:rsid w:val="0038287C"/>
    <w:rPr>
      <w:bdr w:val="none" w:sz="0" w:space="0" w:color="auto"/>
      <w:shd w:val="solid" w:color="FFC000" w:fill="auto"/>
    </w:rPr>
  </w:style>
  <w:style w:type="character" w:customStyle="1" w:styleId="ECCHLblue">
    <w:name w:val="ECC HL blue"/>
    <w:basedOn w:val="Policepardfau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38287C"/>
    <w:rPr>
      <w:iCs w:val="0"/>
      <w:color w:val="FFFFFF" w:themeColor="background1"/>
      <w:bdr w:val="none" w:sz="0" w:space="0" w:color="auto"/>
      <w:shd w:val="solid" w:color="008080" w:fill="auto"/>
    </w:rPr>
  </w:style>
  <w:style w:type="paragraph" w:styleId="Paragraphedeliste">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Policepardfaut"/>
    <w:link w:val="ECCLetterHead"/>
    <w:rsid w:val="00263FFB"/>
    <w:rPr>
      <w:rFonts w:eastAsia="Calibri"/>
      <w:b/>
      <w:sz w:val="22"/>
      <w:lang w:val="en-GB"/>
    </w:rPr>
  </w:style>
  <w:style w:type="character" w:customStyle="1" w:styleId="ECCHLmagenta">
    <w:name w:val="ECC HL magenta"/>
    <w:basedOn w:val="Policepardfaut"/>
    <w:uiPriority w:val="1"/>
    <w:qFormat/>
    <w:rsid w:val="0038287C"/>
    <w:rPr>
      <w:color w:val="auto"/>
      <w:bdr w:val="none" w:sz="0" w:space="0" w:color="auto"/>
      <w:shd w:val="solid" w:color="FF3399" w:fill="auto"/>
      <w:lang w:val="en-GB"/>
    </w:rPr>
  </w:style>
  <w:style w:type="character" w:customStyle="1" w:styleId="ECCHLbrown">
    <w:name w:val="ECC HL brown"/>
    <w:basedOn w:val="Policepardfaut"/>
    <w:uiPriority w:val="1"/>
    <w:qFormat/>
    <w:rsid w:val="0038287C"/>
    <w:rPr>
      <w:color w:val="D9D9D9" w:themeColor="background1" w:themeShade="D9"/>
      <w:bdr w:val="none" w:sz="0" w:space="0" w:color="auto"/>
      <w:shd w:val="solid" w:color="B95807" w:fill="auto"/>
    </w:rPr>
  </w:style>
  <w:style w:type="character" w:styleId="Lienhypertexte">
    <w:name w:val="Hyperlink"/>
    <w:aliases w:val="ECC Hyperlink"/>
    <w:basedOn w:val="Policepardfaut"/>
    <w:uiPriority w:val="99"/>
    <w:rsid w:val="00DB17F9"/>
    <w:rPr>
      <w:color w:val="0000FF" w:themeColor="hyperlink"/>
      <w:u w:val="single"/>
    </w:rPr>
  </w:style>
  <w:style w:type="paragraph" w:customStyle="1" w:styleId="ECCHeadingnonumbering">
    <w:name w:val="ECC Heading no numbering"/>
    <w:basedOn w:val="Titre1"/>
    <w:rsid w:val="00DB17F9"/>
    <w:pPr>
      <w:numPr>
        <w:numId w:val="0"/>
      </w:numPr>
      <w:tabs>
        <w:tab w:val="left" w:pos="0"/>
        <w:tab w:val="center" w:pos="4820"/>
        <w:tab w:val="right" w:pos="9639"/>
      </w:tabs>
    </w:pPr>
  </w:style>
  <w:style w:type="character" w:customStyle="1" w:styleId="ECCParagraph">
    <w:name w:val="ECC Paragraph"/>
    <w:basedOn w:val="Policepardfau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Grillecouleur">
    <w:name w:val="Colorful Grid"/>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Grilledutableau">
    <w:name w:val="Table Grid"/>
    <w:basedOn w:val="Tableau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Policepardfaut"/>
    <w:link w:val="ECCBreak"/>
    <w:rsid w:val="0042761F"/>
    <w:rPr>
      <w:b/>
      <w:bCs/>
      <w:iCs/>
      <w:caps/>
      <w:szCs w:val="28"/>
    </w:rPr>
  </w:style>
  <w:style w:type="character" w:customStyle="1" w:styleId="s1">
    <w:name w:val="s1"/>
    <w:basedOn w:val="Policepardfaut"/>
    <w:rsid w:val="00DE5B05"/>
  </w:style>
  <w:style w:type="character" w:styleId="Mentionnonrsolue">
    <w:name w:val="Unresolved Mention"/>
    <w:basedOn w:val="Policepardfaut"/>
    <w:uiPriority w:val="99"/>
    <w:semiHidden/>
    <w:unhideWhenUsed/>
    <w:rsid w:val="00AF032D"/>
    <w:rPr>
      <w:color w:val="605E5C"/>
      <w:shd w:val="clear" w:color="auto" w:fill="E1DFDD"/>
    </w:rPr>
  </w:style>
  <w:style w:type="character" w:styleId="Lienhypertextesuivivisit">
    <w:name w:val="FollowedHyperlink"/>
    <w:basedOn w:val="Policepardfaut"/>
    <w:uiPriority w:val="99"/>
    <w:semiHidden/>
    <w:unhideWhenUsed/>
    <w:locked/>
    <w:rsid w:val="002925C3"/>
    <w:rPr>
      <w:color w:val="800080" w:themeColor="followedHyperlink"/>
      <w:u w:val="single"/>
    </w:rPr>
  </w:style>
  <w:style w:type="character" w:styleId="Marquedecommentaire">
    <w:name w:val="annotation reference"/>
    <w:basedOn w:val="Policepardfaut"/>
    <w:uiPriority w:val="99"/>
    <w:semiHidden/>
    <w:unhideWhenUsed/>
    <w:locked/>
    <w:rsid w:val="006C710B"/>
    <w:rPr>
      <w:sz w:val="16"/>
      <w:szCs w:val="16"/>
    </w:rPr>
  </w:style>
  <w:style w:type="paragraph" w:styleId="Commentaire">
    <w:name w:val="annotation text"/>
    <w:basedOn w:val="Normal"/>
    <w:link w:val="CommentaireCar"/>
    <w:uiPriority w:val="99"/>
    <w:unhideWhenUsed/>
    <w:locked/>
    <w:rsid w:val="006C710B"/>
    <w:rPr>
      <w:szCs w:val="20"/>
    </w:rPr>
  </w:style>
  <w:style w:type="character" w:customStyle="1" w:styleId="CommentaireCar">
    <w:name w:val="Commentaire Car"/>
    <w:basedOn w:val="Policepardfaut"/>
    <w:link w:val="Commentaire"/>
    <w:uiPriority w:val="99"/>
    <w:rsid w:val="006C710B"/>
    <w:rPr>
      <w:rFonts w:eastAsia="Calibri"/>
      <w:lang w:val="en-GB"/>
    </w:rPr>
  </w:style>
  <w:style w:type="paragraph" w:styleId="Objetducommentaire">
    <w:name w:val="annotation subject"/>
    <w:basedOn w:val="Commentaire"/>
    <w:next w:val="Commentaire"/>
    <w:link w:val="ObjetducommentaireCar"/>
    <w:uiPriority w:val="99"/>
    <w:semiHidden/>
    <w:unhideWhenUsed/>
    <w:locked/>
    <w:rsid w:val="006C710B"/>
    <w:rPr>
      <w:b/>
      <w:bCs/>
    </w:rPr>
  </w:style>
  <w:style w:type="character" w:customStyle="1" w:styleId="ObjetducommentaireCar">
    <w:name w:val="Objet du commentaire Car"/>
    <w:basedOn w:val="CommentaireCar"/>
    <w:link w:val="Objetducommentaire"/>
    <w:uiPriority w:val="99"/>
    <w:semiHidden/>
    <w:rsid w:val="006C710B"/>
    <w:rPr>
      <w:rFonts w:eastAsia="Calibri"/>
      <w:b/>
      <w:bCs/>
      <w:lang w:val="en-GB"/>
    </w:rPr>
  </w:style>
  <w:style w:type="paragraph" w:styleId="Pieddepage">
    <w:name w:val="footer"/>
    <w:basedOn w:val="Normal"/>
    <w:link w:val="PieddepageCar"/>
    <w:uiPriority w:val="99"/>
    <w:semiHidden/>
    <w:unhideWhenUsed/>
    <w:locked/>
    <w:rsid w:val="003B48BA"/>
    <w:pPr>
      <w:tabs>
        <w:tab w:val="center" w:pos="4513"/>
        <w:tab w:val="right" w:pos="9026"/>
      </w:tabs>
      <w:spacing w:before="0" w:after="0"/>
    </w:pPr>
  </w:style>
  <w:style w:type="character" w:customStyle="1" w:styleId="PieddepageCar">
    <w:name w:val="Pied de page Car"/>
    <w:basedOn w:val="Policepardfaut"/>
    <w:link w:val="Pieddepage"/>
    <w:uiPriority w:val="99"/>
    <w:semiHidden/>
    <w:rsid w:val="003B48BA"/>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67888">
      <w:bodyDiv w:val="1"/>
      <w:marLeft w:val="0"/>
      <w:marRight w:val="0"/>
      <w:marTop w:val="0"/>
      <w:marBottom w:val="0"/>
      <w:divBdr>
        <w:top w:val="none" w:sz="0" w:space="0" w:color="auto"/>
        <w:left w:val="none" w:sz="0" w:space="0" w:color="auto"/>
        <w:bottom w:val="none" w:sz="0" w:space="0" w:color="auto"/>
        <w:right w:val="none" w:sz="0" w:space="0" w:color="auto"/>
      </w:divBdr>
    </w:div>
    <w:div w:id="441002290">
      <w:bodyDiv w:val="1"/>
      <w:marLeft w:val="0"/>
      <w:marRight w:val="0"/>
      <w:marTop w:val="0"/>
      <w:marBottom w:val="0"/>
      <w:divBdr>
        <w:top w:val="none" w:sz="0" w:space="0" w:color="auto"/>
        <w:left w:val="none" w:sz="0" w:space="0" w:color="auto"/>
        <w:bottom w:val="none" w:sz="0" w:space="0" w:color="auto"/>
        <w:right w:val="none" w:sz="0" w:space="0" w:color="auto"/>
      </w:divBdr>
    </w:div>
    <w:div w:id="1505824940">
      <w:bodyDiv w:val="1"/>
      <w:marLeft w:val="0"/>
      <w:marRight w:val="0"/>
      <w:marTop w:val="0"/>
      <w:marBottom w:val="0"/>
      <w:divBdr>
        <w:top w:val="none" w:sz="0" w:space="0" w:color="auto"/>
        <w:left w:val="none" w:sz="0" w:space="0" w:color="auto"/>
        <w:bottom w:val="none" w:sz="0" w:space="0" w:color="auto"/>
        <w:right w:val="none" w:sz="0" w:space="0" w:color="auto"/>
      </w:divBdr>
    </w:div>
    <w:div w:id="15962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itu.int/ITU-R/space/asreceived/Publication/DisplayPublication/32323" TargetMode="External"/><Relationship Id="rId18" Type="http://schemas.openxmlformats.org/officeDocument/2006/relationships/hyperlink" Target="https://www.fcc.gov/auction/110" TargetMode="External"/><Relationship Id="rId26" Type="http://schemas.openxmlformats.org/officeDocument/2006/relationships/hyperlink" Target="https://www.inmarsat.com/en/news/latest-news/corporate/2021/inmarsat-announces-orchestra.html" TargetMode="External"/><Relationship Id="rId3" Type="http://schemas.openxmlformats.org/officeDocument/2006/relationships/styles" Target="styles.xml"/><Relationship Id="rId21" Type="http://schemas.openxmlformats.org/officeDocument/2006/relationships/hyperlink" Target="https://fcc.report/IBFS/SAT-PDR-20180910-00069/13330395" TargetMode="External"/><Relationship Id="rId7" Type="http://schemas.openxmlformats.org/officeDocument/2006/relationships/endnotes" Target="endnotes.xml"/><Relationship Id="rId12" Type="http://schemas.openxmlformats.org/officeDocument/2006/relationships/hyperlink" Target="https://www.itu.int/ITU-R/space/asreceived/Publication/DisplayPublication/32322" TargetMode="External"/><Relationship Id="rId17" Type="http://schemas.openxmlformats.org/officeDocument/2006/relationships/hyperlink" Target="https://www.gov.br/anatel/pt-br/assuntos/noticias/anatel-aprova-o-edital-do-leilao-do-5g" TargetMode="External"/><Relationship Id="rId25" Type="http://schemas.openxmlformats.org/officeDocument/2006/relationships/hyperlink" Target="https://www.cept.org/Documents/wg-fm/66650/info23_its-at-59-ghz-regulatory-change-in-the-usa" TargetMode="External"/><Relationship Id="rId2" Type="http://schemas.openxmlformats.org/officeDocument/2006/relationships/numbering" Target="numbering.xml"/><Relationship Id="rId16" Type="http://schemas.openxmlformats.org/officeDocument/2006/relationships/hyperlink" Target="https://www.msit.go.kr/bbs/view.do?sCode=user&amp;mId=113&amp;mPid=112&amp;pageIndex=2&amp;bbsSeqNo=94&amp;nttSeqNo=3180422&amp;searchOpt=ALL&amp;searchTxt=" TargetMode="External"/><Relationship Id="rId20" Type="http://schemas.openxmlformats.org/officeDocument/2006/relationships/hyperlink" Target="https://www.spectrumx.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space/asreceived/Publication/Get?token=r4yDeADrgi923%252fWQQ18e4A7S%252fy3LCU4UoSuG%252bvIxY79KivrrcMrAP83ScWefBG5Wod%252b%252bMxVFIS%252fIfMAp%252b9Tjz9GZ3JaI2aw2ABRYVBlm8XE%253d78" TargetMode="External"/><Relationship Id="rId24" Type="http://schemas.openxmlformats.org/officeDocument/2006/relationships/hyperlink" Target="https://www.federalregister.gov/documents/2021/05/03/2021-08802/use-of-the-5850-5925-ghz-ban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asa.org.za/news/2021/icasa-outlines-plans-for-the-expedited-licensing-of-high-demand-spectrum-and-the-wireless-open-access-network" TargetMode="External"/><Relationship Id="rId23" Type="http://schemas.openxmlformats.org/officeDocument/2006/relationships/hyperlink" Target="http://licensing.fcc.gov/cgi-bin/ws.exe/prod/ib/forms/reports/swr031b.hts?q_set=V_SITE_ANTENNA_FREQ.file_numberC/File+Number/%3D/SATT/C2021080600096&amp;prepare=&amp;column=V_SITE_ANTENNA_FREQ.file_numberC/File+Number" TargetMode="External"/><Relationship Id="rId28" Type="http://schemas.openxmlformats.org/officeDocument/2006/relationships/hyperlink" Target="https://www.inmarsat.com/en/news/latest-news/corporate/2021/inmarsat-elera-leap-forward-network-iot-safety-mission-critical-comms.html" TargetMode="External"/><Relationship Id="rId10" Type="http://schemas.openxmlformats.org/officeDocument/2006/relationships/hyperlink" Target="https://www.itu.int/ITU-R/space/asreceived/Publication/DisplayPublication/32323" TargetMode="External"/><Relationship Id="rId19" Type="http://schemas.openxmlformats.org/officeDocument/2006/relationships/hyperlink" Target="https://www.fcc.gov/document/fcc-seeks-comment-promoting-public-safety-use-49-ghz-ban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ITU-R/space/asreceived/Publication/DisplayPublication/32322" TargetMode="External"/><Relationship Id="rId14" Type="http://schemas.openxmlformats.org/officeDocument/2006/relationships/hyperlink" Target="https://www.itu.int/ITU-R/space/asreceived/Publication/DisplayPublication/31947" TargetMode="External"/><Relationship Id="rId22" Type="http://schemas.openxmlformats.org/officeDocument/2006/relationships/hyperlink" Target="https://www.inmarsat.com/en/news/latest-news/enterprise/2021/hiber-and-inmarsat-announce-strategic-relationship.html" TargetMode="External"/><Relationship Id="rId27" Type="http://schemas.openxmlformats.org/officeDocument/2006/relationships/hyperlink" Target="https://ligado.com/press/3gpp-approves-band-specifications-ligados-l-band-spectrum-5g-deployment/" TargetMode="External"/><Relationship Id="rId30"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FAB61-D12B-482B-84ED-5EE69479A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4</TotalTime>
  <Pages>6</Pages>
  <Words>2226</Words>
  <Characters>12245</Characters>
  <Application>Microsoft Office Word</Application>
  <DocSecurity>0</DocSecurity>
  <Lines>102</Lines>
  <Paragraphs>28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14443</CharactersWithSpaces>
  <SharedDoc>false</SharedDoc>
  <HLinks>
    <vt:vector size="222" baseType="variant">
      <vt:variant>
        <vt:i4>6881403</vt:i4>
      </vt:variant>
      <vt:variant>
        <vt:i4>123</vt:i4>
      </vt:variant>
      <vt:variant>
        <vt:i4>0</vt:i4>
      </vt:variant>
      <vt:variant>
        <vt:i4>5</vt:i4>
      </vt:variant>
      <vt:variant>
        <vt:lpwstr>https://www.inmarsat.com/en/news/latest-news/corporate/2021/inmarsat-elera-leap-forward-network-iot-safety-mission-critical-comms.html</vt:lpwstr>
      </vt:variant>
      <vt:variant>
        <vt:lpwstr/>
      </vt:variant>
      <vt:variant>
        <vt:i4>786513</vt:i4>
      </vt:variant>
      <vt:variant>
        <vt:i4>120</vt:i4>
      </vt:variant>
      <vt:variant>
        <vt:i4>0</vt:i4>
      </vt:variant>
      <vt:variant>
        <vt:i4>5</vt:i4>
      </vt:variant>
      <vt:variant>
        <vt:lpwstr>https://ligado.com/press/3gpp-approves-band-specifications-ligados-l-band-spectrum-5g-deployment/</vt:lpwstr>
      </vt:variant>
      <vt:variant>
        <vt:lpwstr/>
      </vt:variant>
      <vt:variant>
        <vt:i4>786508</vt:i4>
      </vt:variant>
      <vt:variant>
        <vt:i4>117</vt:i4>
      </vt:variant>
      <vt:variant>
        <vt:i4>0</vt:i4>
      </vt:variant>
      <vt:variant>
        <vt:i4>5</vt:i4>
      </vt:variant>
      <vt:variant>
        <vt:lpwstr>https://www.inmarsat.com/en/news/latest-news/corporate/2021/inmarsat-announces-orchestra.html</vt:lpwstr>
      </vt:variant>
      <vt:variant>
        <vt:lpwstr/>
      </vt:variant>
      <vt:variant>
        <vt:i4>7798789</vt:i4>
      </vt:variant>
      <vt:variant>
        <vt:i4>114</vt:i4>
      </vt:variant>
      <vt:variant>
        <vt:i4>0</vt:i4>
      </vt:variant>
      <vt:variant>
        <vt:i4>5</vt:i4>
      </vt:variant>
      <vt:variant>
        <vt:lpwstr>https://www.cept.org/Documents/wg-fm/66650/info23_its-at-59-ghz-regulatory-change-in-the-usa</vt:lpwstr>
      </vt:variant>
      <vt:variant>
        <vt:lpwstr/>
      </vt:variant>
      <vt:variant>
        <vt:i4>6160415</vt:i4>
      </vt:variant>
      <vt:variant>
        <vt:i4>111</vt:i4>
      </vt:variant>
      <vt:variant>
        <vt:i4>0</vt:i4>
      </vt:variant>
      <vt:variant>
        <vt:i4>5</vt:i4>
      </vt:variant>
      <vt:variant>
        <vt:lpwstr>https://www.federalregister.gov/documents/2021/05/03/2021-08802/use-of-the-5850-5925-ghz-band</vt:lpwstr>
      </vt:variant>
      <vt:variant>
        <vt:lpwstr/>
      </vt:variant>
      <vt:variant>
        <vt:i4>3604481</vt:i4>
      </vt:variant>
      <vt:variant>
        <vt:i4>105</vt:i4>
      </vt:variant>
      <vt:variant>
        <vt:i4>0</vt:i4>
      </vt:variant>
      <vt:variant>
        <vt:i4>5</vt:i4>
      </vt:variant>
      <vt:variant>
        <vt:lpwstr>http://licensing.fcc.gov/cgi-bin/ws.exe/prod/ib/forms/reports/swr031b.hts?q_set=V_SITE_ANTENNA_FREQ.file_numberC/File+Number/%3D/SATT/C2021080600096&amp;prepare=&amp;column=V_SITE_ANTENNA_FREQ.file_numberC/File+Number</vt:lpwstr>
      </vt:variant>
      <vt:variant>
        <vt:lpwstr/>
      </vt:variant>
      <vt:variant>
        <vt:i4>1769483</vt:i4>
      </vt:variant>
      <vt:variant>
        <vt:i4>99</vt:i4>
      </vt:variant>
      <vt:variant>
        <vt:i4>0</vt:i4>
      </vt:variant>
      <vt:variant>
        <vt:i4>5</vt:i4>
      </vt:variant>
      <vt:variant>
        <vt:lpwstr>https://www.inmarsat.com/en/news/latest-news/enterprise/2021/hiber-and-inmarsat-announce-strategic-relationship.html</vt:lpwstr>
      </vt:variant>
      <vt:variant>
        <vt:lpwstr/>
      </vt:variant>
      <vt:variant>
        <vt:i4>3407931</vt:i4>
      </vt:variant>
      <vt:variant>
        <vt:i4>93</vt:i4>
      </vt:variant>
      <vt:variant>
        <vt:i4>0</vt:i4>
      </vt:variant>
      <vt:variant>
        <vt:i4>5</vt:i4>
      </vt:variant>
      <vt:variant>
        <vt:lpwstr>https://fcc.report/IBFS/SAT-PDR-20180910-00069/13330395</vt:lpwstr>
      </vt:variant>
      <vt:variant>
        <vt:lpwstr/>
      </vt:variant>
      <vt:variant>
        <vt:i4>3604519</vt:i4>
      </vt:variant>
      <vt:variant>
        <vt:i4>90</vt:i4>
      </vt:variant>
      <vt:variant>
        <vt:i4>0</vt:i4>
      </vt:variant>
      <vt:variant>
        <vt:i4>5</vt:i4>
      </vt:variant>
      <vt:variant>
        <vt:lpwstr>https://www.spectrumx.org/</vt:lpwstr>
      </vt:variant>
      <vt:variant>
        <vt:lpwstr/>
      </vt:variant>
      <vt:variant>
        <vt:i4>2949179</vt:i4>
      </vt:variant>
      <vt:variant>
        <vt:i4>87</vt:i4>
      </vt:variant>
      <vt:variant>
        <vt:i4>0</vt:i4>
      </vt:variant>
      <vt:variant>
        <vt:i4>5</vt:i4>
      </vt:variant>
      <vt:variant>
        <vt:lpwstr>https://www.fcc.gov/document/fcc-seeks-comment-promoting-public-safety-use-49-ghz-band</vt:lpwstr>
      </vt:variant>
      <vt:variant>
        <vt:lpwstr/>
      </vt:variant>
      <vt:variant>
        <vt:i4>3473504</vt:i4>
      </vt:variant>
      <vt:variant>
        <vt:i4>84</vt:i4>
      </vt:variant>
      <vt:variant>
        <vt:i4>0</vt:i4>
      </vt:variant>
      <vt:variant>
        <vt:i4>5</vt:i4>
      </vt:variant>
      <vt:variant>
        <vt:lpwstr>https://www.fcc.gov/auction/110</vt:lpwstr>
      </vt:variant>
      <vt:variant>
        <vt:lpwstr/>
      </vt:variant>
      <vt:variant>
        <vt:i4>5242880</vt:i4>
      </vt:variant>
      <vt:variant>
        <vt:i4>81</vt:i4>
      </vt:variant>
      <vt:variant>
        <vt:i4>0</vt:i4>
      </vt:variant>
      <vt:variant>
        <vt:i4>5</vt:i4>
      </vt:variant>
      <vt:variant>
        <vt:lpwstr>https://www.gov.br/anatel/pt-br/assuntos/noticias/anatel-aprova-o-edital-do-leilao-do-5g</vt:lpwstr>
      </vt:variant>
      <vt:variant>
        <vt:lpwstr/>
      </vt:variant>
      <vt:variant>
        <vt:i4>1310801</vt:i4>
      </vt:variant>
      <vt:variant>
        <vt:i4>78</vt:i4>
      </vt:variant>
      <vt:variant>
        <vt:i4>0</vt:i4>
      </vt:variant>
      <vt:variant>
        <vt:i4>5</vt:i4>
      </vt:variant>
      <vt:variant>
        <vt:lpwstr>https://www.msit.go.kr/bbs/view.do?sCode=user&amp;mId=113&amp;mPid=112&amp;pageIndex=2&amp;bbsSeqNo=94&amp;nttSeqNo=3180422&amp;searchOpt=ALL&amp;searchTxt=</vt:lpwstr>
      </vt:variant>
      <vt:variant>
        <vt:lpwstr/>
      </vt:variant>
      <vt:variant>
        <vt:i4>4784153</vt:i4>
      </vt:variant>
      <vt:variant>
        <vt:i4>75</vt:i4>
      </vt:variant>
      <vt:variant>
        <vt:i4>0</vt:i4>
      </vt:variant>
      <vt:variant>
        <vt:i4>5</vt:i4>
      </vt:variant>
      <vt:variant>
        <vt:lpwstr>https://www.icasa.org.za/news/2021/icasa-outlines-plans-for-the-expedited-licensing-of-high-demand-spectrum-and-the-wireless-open-access-network</vt:lpwstr>
      </vt:variant>
      <vt:variant>
        <vt:lpwstr/>
      </vt:variant>
      <vt:variant>
        <vt:i4>2883626</vt:i4>
      </vt:variant>
      <vt:variant>
        <vt:i4>72</vt:i4>
      </vt:variant>
      <vt:variant>
        <vt:i4>0</vt:i4>
      </vt:variant>
      <vt:variant>
        <vt:i4>5</vt:i4>
      </vt:variant>
      <vt:variant>
        <vt:lpwstr>https://www.itu.int/ITU-R/space/asreceived/Publication/DisplayPublication/31947</vt:lpwstr>
      </vt:variant>
      <vt:variant>
        <vt:lpwstr/>
      </vt:variant>
      <vt:variant>
        <vt:i4>2687008</vt:i4>
      </vt:variant>
      <vt:variant>
        <vt:i4>69</vt:i4>
      </vt:variant>
      <vt:variant>
        <vt:i4>0</vt:i4>
      </vt:variant>
      <vt:variant>
        <vt:i4>5</vt:i4>
      </vt:variant>
      <vt:variant>
        <vt:lpwstr>https://www.itu.int/ITU-R/space/asreceived/Publication/DisplayPublication/32323</vt:lpwstr>
      </vt:variant>
      <vt:variant>
        <vt:lpwstr/>
      </vt:variant>
      <vt:variant>
        <vt:i4>2687008</vt:i4>
      </vt:variant>
      <vt:variant>
        <vt:i4>66</vt:i4>
      </vt:variant>
      <vt:variant>
        <vt:i4>0</vt:i4>
      </vt:variant>
      <vt:variant>
        <vt:i4>5</vt:i4>
      </vt:variant>
      <vt:variant>
        <vt:lpwstr>https://www.itu.int/ITU-R/space/asreceived/Publication/DisplayPublication/32322</vt:lpwstr>
      </vt:variant>
      <vt:variant>
        <vt:lpwstr/>
      </vt:variant>
      <vt:variant>
        <vt:i4>6684727</vt:i4>
      </vt:variant>
      <vt:variant>
        <vt:i4>60</vt:i4>
      </vt:variant>
      <vt:variant>
        <vt:i4>0</vt:i4>
      </vt:variant>
      <vt:variant>
        <vt:i4>5</vt:i4>
      </vt:variant>
      <vt:variant>
        <vt:lpwstr>https://www.itu.int/ITU-R/space/asreceived/Publication/Get?token=r4yDeADrgi923%252fWQQ18e4A7S%252fy3LCU4UoSuG%252bvIxY79KivrrcMrAP83ScWefBG5Wod%252b%252bMxVFIS%252fIfMAp%252b9Tjz9GZ3JaI2aw2ABRYVBlm8XE%253d78</vt:lpwstr>
      </vt:variant>
      <vt:variant>
        <vt:lpwstr/>
      </vt:variant>
      <vt:variant>
        <vt:i4>2687008</vt:i4>
      </vt:variant>
      <vt:variant>
        <vt:i4>57</vt:i4>
      </vt:variant>
      <vt:variant>
        <vt:i4>0</vt:i4>
      </vt:variant>
      <vt:variant>
        <vt:i4>5</vt:i4>
      </vt:variant>
      <vt:variant>
        <vt:lpwstr>https://www.itu.int/ITU-R/space/asreceived/Publication/DisplayPublication/32323</vt:lpwstr>
      </vt:variant>
      <vt:variant>
        <vt:lpwstr/>
      </vt:variant>
      <vt:variant>
        <vt:i4>2687008</vt:i4>
      </vt:variant>
      <vt:variant>
        <vt:i4>54</vt:i4>
      </vt:variant>
      <vt:variant>
        <vt:i4>0</vt:i4>
      </vt:variant>
      <vt:variant>
        <vt:i4>5</vt:i4>
      </vt:variant>
      <vt:variant>
        <vt:lpwstr>https://www.itu.int/ITU-R/space/asreceived/Publication/DisplayPublication/32322</vt:lpwstr>
      </vt:variant>
      <vt:variant>
        <vt:lpwstr/>
      </vt:variant>
      <vt:variant>
        <vt:i4>1441841</vt:i4>
      </vt:variant>
      <vt:variant>
        <vt:i4>50</vt:i4>
      </vt:variant>
      <vt:variant>
        <vt:i4>0</vt:i4>
      </vt:variant>
      <vt:variant>
        <vt:i4>5</vt:i4>
      </vt:variant>
      <vt:variant>
        <vt:lpwstr/>
      </vt:variant>
      <vt:variant>
        <vt:lpwstr>_Toc86151694</vt:lpwstr>
      </vt:variant>
      <vt:variant>
        <vt:i4>1114161</vt:i4>
      </vt:variant>
      <vt:variant>
        <vt:i4>47</vt:i4>
      </vt:variant>
      <vt:variant>
        <vt:i4>0</vt:i4>
      </vt:variant>
      <vt:variant>
        <vt:i4>5</vt:i4>
      </vt:variant>
      <vt:variant>
        <vt:lpwstr/>
      </vt:variant>
      <vt:variant>
        <vt:lpwstr>_Toc86151693</vt:lpwstr>
      </vt:variant>
      <vt:variant>
        <vt:i4>1048625</vt:i4>
      </vt:variant>
      <vt:variant>
        <vt:i4>44</vt:i4>
      </vt:variant>
      <vt:variant>
        <vt:i4>0</vt:i4>
      </vt:variant>
      <vt:variant>
        <vt:i4>5</vt:i4>
      </vt:variant>
      <vt:variant>
        <vt:lpwstr/>
      </vt:variant>
      <vt:variant>
        <vt:lpwstr>_Toc86151692</vt:lpwstr>
      </vt:variant>
      <vt:variant>
        <vt:i4>1245233</vt:i4>
      </vt:variant>
      <vt:variant>
        <vt:i4>41</vt:i4>
      </vt:variant>
      <vt:variant>
        <vt:i4>0</vt:i4>
      </vt:variant>
      <vt:variant>
        <vt:i4>5</vt:i4>
      </vt:variant>
      <vt:variant>
        <vt:lpwstr/>
      </vt:variant>
      <vt:variant>
        <vt:lpwstr>_Toc86151691</vt:lpwstr>
      </vt:variant>
      <vt:variant>
        <vt:i4>1179697</vt:i4>
      </vt:variant>
      <vt:variant>
        <vt:i4>38</vt:i4>
      </vt:variant>
      <vt:variant>
        <vt:i4>0</vt:i4>
      </vt:variant>
      <vt:variant>
        <vt:i4>5</vt:i4>
      </vt:variant>
      <vt:variant>
        <vt:lpwstr/>
      </vt:variant>
      <vt:variant>
        <vt:lpwstr>_Toc86151690</vt:lpwstr>
      </vt:variant>
      <vt:variant>
        <vt:i4>1769520</vt:i4>
      </vt:variant>
      <vt:variant>
        <vt:i4>35</vt:i4>
      </vt:variant>
      <vt:variant>
        <vt:i4>0</vt:i4>
      </vt:variant>
      <vt:variant>
        <vt:i4>5</vt:i4>
      </vt:variant>
      <vt:variant>
        <vt:lpwstr/>
      </vt:variant>
      <vt:variant>
        <vt:lpwstr>_Toc86151689</vt:lpwstr>
      </vt:variant>
      <vt:variant>
        <vt:i4>1703984</vt:i4>
      </vt:variant>
      <vt:variant>
        <vt:i4>32</vt:i4>
      </vt:variant>
      <vt:variant>
        <vt:i4>0</vt:i4>
      </vt:variant>
      <vt:variant>
        <vt:i4>5</vt:i4>
      </vt:variant>
      <vt:variant>
        <vt:lpwstr/>
      </vt:variant>
      <vt:variant>
        <vt:lpwstr>_Toc86151688</vt:lpwstr>
      </vt:variant>
      <vt:variant>
        <vt:i4>1376304</vt:i4>
      </vt:variant>
      <vt:variant>
        <vt:i4>29</vt:i4>
      </vt:variant>
      <vt:variant>
        <vt:i4>0</vt:i4>
      </vt:variant>
      <vt:variant>
        <vt:i4>5</vt:i4>
      </vt:variant>
      <vt:variant>
        <vt:lpwstr/>
      </vt:variant>
      <vt:variant>
        <vt:lpwstr>_Toc86151687</vt:lpwstr>
      </vt:variant>
      <vt:variant>
        <vt:i4>1310768</vt:i4>
      </vt:variant>
      <vt:variant>
        <vt:i4>26</vt:i4>
      </vt:variant>
      <vt:variant>
        <vt:i4>0</vt:i4>
      </vt:variant>
      <vt:variant>
        <vt:i4>5</vt:i4>
      </vt:variant>
      <vt:variant>
        <vt:lpwstr/>
      </vt:variant>
      <vt:variant>
        <vt:lpwstr>_Toc86151686</vt:lpwstr>
      </vt:variant>
      <vt:variant>
        <vt:i4>1507376</vt:i4>
      </vt:variant>
      <vt:variant>
        <vt:i4>23</vt:i4>
      </vt:variant>
      <vt:variant>
        <vt:i4>0</vt:i4>
      </vt:variant>
      <vt:variant>
        <vt:i4>5</vt:i4>
      </vt:variant>
      <vt:variant>
        <vt:lpwstr/>
      </vt:variant>
      <vt:variant>
        <vt:lpwstr>_Toc86151685</vt:lpwstr>
      </vt:variant>
      <vt:variant>
        <vt:i4>1441840</vt:i4>
      </vt:variant>
      <vt:variant>
        <vt:i4>20</vt:i4>
      </vt:variant>
      <vt:variant>
        <vt:i4>0</vt:i4>
      </vt:variant>
      <vt:variant>
        <vt:i4>5</vt:i4>
      </vt:variant>
      <vt:variant>
        <vt:lpwstr/>
      </vt:variant>
      <vt:variant>
        <vt:lpwstr>_Toc86151684</vt:lpwstr>
      </vt:variant>
      <vt:variant>
        <vt:i4>1114160</vt:i4>
      </vt:variant>
      <vt:variant>
        <vt:i4>17</vt:i4>
      </vt:variant>
      <vt:variant>
        <vt:i4>0</vt:i4>
      </vt:variant>
      <vt:variant>
        <vt:i4>5</vt:i4>
      </vt:variant>
      <vt:variant>
        <vt:lpwstr/>
      </vt:variant>
      <vt:variant>
        <vt:lpwstr>_Toc86151683</vt:lpwstr>
      </vt:variant>
      <vt:variant>
        <vt:i4>1048624</vt:i4>
      </vt:variant>
      <vt:variant>
        <vt:i4>14</vt:i4>
      </vt:variant>
      <vt:variant>
        <vt:i4>0</vt:i4>
      </vt:variant>
      <vt:variant>
        <vt:i4>5</vt:i4>
      </vt:variant>
      <vt:variant>
        <vt:lpwstr/>
      </vt:variant>
      <vt:variant>
        <vt:lpwstr>_Toc86151682</vt:lpwstr>
      </vt:variant>
      <vt:variant>
        <vt:i4>1245232</vt:i4>
      </vt:variant>
      <vt:variant>
        <vt:i4>11</vt:i4>
      </vt:variant>
      <vt:variant>
        <vt:i4>0</vt:i4>
      </vt:variant>
      <vt:variant>
        <vt:i4>5</vt:i4>
      </vt:variant>
      <vt:variant>
        <vt:lpwstr/>
      </vt:variant>
      <vt:variant>
        <vt:lpwstr>_Toc86151681</vt:lpwstr>
      </vt:variant>
      <vt:variant>
        <vt:i4>1179696</vt:i4>
      </vt:variant>
      <vt:variant>
        <vt:i4>8</vt:i4>
      </vt:variant>
      <vt:variant>
        <vt:i4>0</vt:i4>
      </vt:variant>
      <vt:variant>
        <vt:i4>5</vt:i4>
      </vt:variant>
      <vt:variant>
        <vt:lpwstr/>
      </vt:variant>
      <vt:variant>
        <vt:lpwstr>_Toc86151680</vt:lpwstr>
      </vt:variant>
      <vt:variant>
        <vt:i4>1769535</vt:i4>
      </vt:variant>
      <vt:variant>
        <vt:i4>5</vt:i4>
      </vt:variant>
      <vt:variant>
        <vt:i4>0</vt:i4>
      </vt:variant>
      <vt:variant>
        <vt:i4>5</vt:i4>
      </vt:variant>
      <vt:variant>
        <vt:lpwstr/>
      </vt:variant>
      <vt:variant>
        <vt:lpwstr>_Toc86151679</vt:lpwstr>
      </vt:variant>
      <vt:variant>
        <vt:i4>1703999</vt:i4>
      </vt:variant>
      <vt:variant>
        <vt:i4>2</vt:i4>
      </vt:variant>
      <vt:variant>
        <vt:i4>0</vt:i4>
      </vt:variant>
      <vt:variant>
        <vt:i4>5</vt:i4>
      </vt:variant>
      <vt:variant>
        <vt:lpwstr/>
      </vt:variant>
      <vt:variant>
        <vt:lpwstr>_Toc86151678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subject/>
  <dc:creator>ECC</dc:creator>
  <cp:keywords/>
  <dc:description>This template is used as guidance to draft generic contributions to ECC groups</dc:description>
  <cp:lastModifiedBy>France</cp:lastModifiedBy>
  <cp:revision>4</cp:revision>
  <cp:lastPrinted>2016-10-04T08:55:00Z</cp:lastPrinted>
  <dcterms:created xsi:type="dcterms:W3CDTF">2022-01-20T12:34:00Z</dcterms:created>
  <dcterms:modified xsi:type="dcterms:W3CDTF">2022-01-25T15:43:00Z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Keith.Pollitt@ofcom.org.uk</vt:lpwstr>
  </property>
  <property fmtid="{D5CDD505-2E9C-101B-9397-08002B2CF9AE}" pid="5" name="MSIP_Label_5a50d26f-5c2c-4137-8396-1b24eb24286c_SetDate">
    <vt:lpwstr>2020-12-07T16:01:30.5095255Z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ActionId">
    <vt:lpwstr>ba353066-8a90-4f8a-aff7-5575c6ebf24f</vt:lpwstr>
  </property>
  <property fmtid="{D5CDD505-2E9C-101B-9397-08002B2CF9AE}" pid="9" name="MSIP_Label_5a50d26f-5c2c-4137-8396-1b24eb24286c_Extended_MSFT_Method">
    <vt:lpwstr>Manual</vt:lpwstr>
  </property>
  <property fmtid="{D5CDD505-2E9C-101B-9397-08002B2CF9AE}" pid="10" name="Sensitivity">
    <vt:lpwstr>Protected</vt:lpwstr>
  </property>
</Properties>
</file>