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9" w:type="dxa"/>
        <w:tblInd w:w="-72" w:type="dxa"/>
        <w:tblLayout w:type="fixed"/>
        <w:tblCellMar>
          <w:left w:w="70" w:type="dxa"/>
          <w:right w:w="70" w:type="dxa"/>
        </w:tblCellMar>
        <w:tblLook w:val="0000" w:firstRow="0" w:lastRow="0" w:firstColumn="0" w:lastColumn="0" w:noHBand="0" w:noVBand="0"/>
      </w:tblPr>
      <w:tblGrid>
        <w:gridCol w:w="72"/>
        <w:gridCol w:w="1747"/>
        <w:gridCol w:w="3001"/>
        <w:gridCol w:w="4961"/>
        <w:gridCol w:w="8"/>
      </w:tblGrid>
      <w:tr w:rsidR="00265F50" w:rsidRPr="00880CC6" w14:paraId="2085C641" w14:textId="77777777" w:rsidTr="00B85DF5">
        <w:trPr>
          <w:gridAfter w:val="1"/>
          <w:wAfter w:w="8" w:type="dxa"/>
          <w:cantSplit/>
          <w:trHeight w:val="1560"/>
        </w:trPr>
        <w:tc>
          <w:tcPr>
            <w:tcW w:w="4820" w:type="dxa"/>
            <w:gridSpan w:val="3"/>
            <w:tcBorders>
              <w:top w:val="nil"/>
              <w:left w:val="nil"/>
              <w:bottom w:val="nil"/>
              <w:right w:val="nil"/>
            </w:tcBorders>
            <w:vAlign w:val="center"/>
          </w:tcPr>
          <w:p w14:paraId="12E7937E" w14:textId="5BB36804" w:rsidR="00265F50" w:rsidRPr="00880CC6" w:rsidRDefault="00265F50" w:rsidP="00DD5136">
            <w:pPr>
              <w:pStyle w:val="ECCLetterHead"/>
            </w:pPr>
            <w:r w:rsidRPr="00880CC6">
              <w:rPr>
                <w:noProof/>
                <w:lang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shd w:val="clear" w:color="auto" w:fill="auto"/>
          </w:tcPr>
          <w:p w14:paraId="4E88AA0A" w14:textId="78B80609" w:rsidR="00EB7ACC" w:rsidRDefault="00265F50" w:rsidP="00DD5136">
            <w:pPr>
              <w:pStyle w:val="ECCLetterHead"/>
            </w:pPr>
            <w:r w:rsidRPr="00880CC6">
              <w:tab/>
              <w:t xml:space="preserve">Doc. </w:t>
            </w:r>
            <w:proofErr w:type="gramStart"/>
            <w:r w:rsidR="00EF6337">
              <w:t>SE</w:t>
            </w:r>
            <w:r w:rsidR="00EB7ACC" w:rsidRPr="00091FBB">
              <w:t>(</w:t>
            </w:r>
            <w:proofErr w:type="gramEnd"/>
            <w:r w:rsidR="00EB7ACC" w:rsidRPr="00091FBB">
              <w:t>23)</w:t>
            </w:r>
            <w:r w:rsidR="00EF6337">
              <w:t>I</w:t>
            </w:r>
            <w:r w:rsidR="008A6BF8">
              <w:t>NFO002</w:t>
            </w:r>
          </w:p>
          <w:p w14:paraId="5911F235" w14:textId="48CF29F0" w:rsidR="00265F50" w:rsidRPr="00880CC6" w:rsidRDefault="00DA25EA" w:rsidP="00EB7ACC">
            <w:pPr>
              <w:pStyle w:val="ECCLetterHead"/>
              <w:jc w:val="right"/>
            </w:pPr>
            <w:proofErr w:type="gramStart"/>
            <w:r w:rsidRPr="00880CC6">
              <w:t>ECC</w:t>
            </w:r>
            <w:r w:rsidR="00F11542" w:rsidRPr="00880CC6">
              <w:t>(</w:t>
            </w:r>
            <w:proofErr w:type="gramEnd"/>
            <w:r w:rsidR="00BE0B23" w:rsidRPr="00880CC6">
              <w:t>2</w:t>
            </w:r>
            <w:r w:rsidR="0083300B">
              <w:t>3</w:t>
            </w:r>
            <w:r w:rsidR="00265F50" w:rsidRPr="00880CC6">
              <w:t>)</w:t>
            </w:r>
            <w:r w:rsidR="00833B85">
              <w:t>005</w:t>
            </w:r>
          </w:p>
        </w:tc>
      </w:tr>
      <w:tr w:rsidR="00985189" w:rsidRPr="00880CC6" w14:paraId="4F672DAE" w14:textId="77777777" w:rsidTr="00B85DF5">
        <w:tblPrEx>
          <w:tblCellMar>
            <w:left w:w="108" w:type="dxa"/>
            <w:right w:w="108" w:type="dxa"/>
          </w:tblCellMar>
        </w:tblPrEx>
        <w:trPr>
          <w:gridAfter w:val="1"/>
          <w:wAfter w:w="8" w:type="dxa"/>
          <w:cantSplit/>
          <w:trHeight w:val="405"/>
        </w:trPr>
        <w:tc>
          <w:tcPr>
            <w:tcW w:w="9781" w:type="dxa"/>
            <w:gridSpan w:val="4"/>
            <w:tcBorders>
              <w:top w:val="nil"/>
              <w:left w:val="nil"/>
              <w:bottom w:val="nil"/>
              <w:right w:val="nil"/>
            </w:tcBorders>
            <w:vAlign w:val="center"/>
          </w:tcPr>
          <w:p w14:paraId="47136DC6" w14:textId="6C68E852" w:rsidR="00985189" w:rsidRPr="00880CC6" w:rsidRDefault="00985189" w:rsidP="00985189">
            <w:pPr>
              <w:pStyle w:val="ECCLetterHead"/>
            </w:pPr>
            <w:r>
              <w:t>94</w:t>
            </w:r>
            <w:r w:rsidRPr="003D1660">
              <w:rPr>
                <w:vertAlign w:val="superscript"/>
              </w:rPr>
              <w:t>th</w:t>
            </w:r>
            <w:r>
              <w:t xml:space="preserve"> </w:t>
            </w:r>
            <w:r w:rsidRPr="00776702">
              <w:t>WG SE meeting</w:t>
            </w:r>
          </w:p>
        </w:tc>
      </w:tr>
      <w:tr w:rsidR="00985189" w:rsidRPr="00880CC6" w14:paraId="563A76CA" w14:textId="77777777" w:rsidTr="00B85DF5">
        <w:tblPrEx>
          <w:tblCellMar>
            <w:left w:w="108" w:type="dxa"/>
            <w:right w:w="108" w:type="dxa"/>
          </w:tblCellMar>
        </w:tblPrEx>
        <w:trPr>
          <w:gridAfter w:val="1"/>
          <w:wAfter w:w="8" w:type="dxa"/>
          <w:cantSplit/>
          <w:trHeight w:val="405"/>
        </w:trPr>
        <w:tc>
          <w:tcPr>
            <w:tcW w:w="9781" w:type="dxa"/>
            <w:gridSpan w:val="4"/>
            <w:tcBorders>
              <w:top w:val="nil"/>
              <w:left w:val="nil"/>
              <w:bottom w:val="nil"/>
              <w:right w:val="nil"/>
            </w:tcBorders>
            <w:vAlign w:val="center"/>
          </w:tcPr>
          <w:p w14:paraId="44504381" w14:textId="59218598" w:rsidR="00985189" w:rsidRPr="00880CC6" w:rsidRDefault="00985189" w:rsidP="00985189">
            <w:pPr>
              <w:pStyle w:val="ECCLetterHead"/>
            </w:pPr>
            <w:r>
              <w:t>Basel</w:t>
            </w:r>
            <w:r w:rsidRPr="00266B0B">
              <w:t xml:space="preserve">, </w:t>
            </w:r>
            <w:r>
              <w:t>Switzerland</w:t>
            </w:r>
            <w:r w:rsidRPr="00266B0B">
              <w:t xml:space="preserve"> (Hybrid meeting), </w:t>
            </w:r>
            <w:r>
              <w:t>5</w:t>
            </w:r>
            <w:r w:rsidRPr="00266B0B">
              <w:t xml:space="preserve"> – </w:t>
            </w:r>
            <w:r>
              <w:t>9 June</w:t>
            </w:r>
            <w:r w:rsidRPr="00266B0B">
              <w:t xml:space="preserve"> 2023</w:t>
            </w:r>
          </w:p>
        </w:tc>
      </w:tr>
      <w:tr w:rsidR="00F11542" w:rsidRPr="00880CC6" w14:paraId="4B0D1AF6" w14:textId="77777777" w:rsidTr="00B85DF5">
        <w:tblPrEx>
          <w:tblCellMar>
            <w:left w:w="108" w:type="dxa"/>
            <w:right w:w="108" w:type="dxa"/>
          </w:tblCellMar>
        </w:tblPrEx>
        <w:trPr>
          <w:gridAfter w:val="1"/>
          <w:wAfter w:w="8" w:type="dxa"/>
          <w:cantSplit/>
          <w:trHeight w:hRule="exact" w:val="79"/>
        </w:trPr>
        <w:tc>
          <w:tcPr>
            <w:tcW w:w="9781" w:type="dxa"/>
            <w:gridSpan w:val="4"/>
            <w:tcBorders>
              <w:top w:val="nil"/>
              <w:left w:val="nil"/>
              <w:bottom w:val="nil"/>
              <w:right w:val="nil"/>
            </w:tcBorders>
            <w:vAlign w:val="center"/>
          </w:tcPr>
          <w:p w14:paraId="1BEC15CD" w14:textId="77777777" w:rsidR="00F11542" w:rsidRPr="00880CC6" w:rsidRDefault="00F11542" w:rsidP="00263FFB">
            <w:pPr>
              <w:pStyle w:val="ECCLetterHead"/>
            </w:pPr>
          </w:p>
        </w:tc>
      </w:tr>
      <w:tr w:rsidR="00827138" w:rsidRPr="00880CC6" w14:paraId="7893EA43" w14:textId="77777777" w:rsidTr="00B85DF5">
        <w:tblPrEx>
          <w:tblCellMar>
            <w:left w:w="108" w:type="dxa"/>
            <w:right w:w="108" w:type="dxa"/>
          </w:tblCellMar>
        </w:tblPrEx>
        <w:trPr>
          <w:gridAfter w:val="1"/>
          <w:wAfter w:w="8" w:type="dxa"/>
          <w:cantSplit/>
          <w:trHeight w:val="405"/>
        </w:trPr>
        <w:tc>
          <w:tcPr>
            <w:tcW w:w="1819" w:type="dxa"/>
            <w:gridSpan w:val="2"/>
            <w:tcBorders>
              <w:top w:val="nil"/>
              <w:left w:val="nil"/>
              <w:bottom w:val="nil"/>
              <w:right w:val="nil"/>
            </w:tcBorders>
            <w:vAlign w:val="center"/>
          </w:tcPr>
          <w:p w14:paraId="50D01FC4" w14:textId="7CAA2BC5" w:rsidR="00827138" w:rsidRPr="00880CC6" w:rsidRDefault="00827138" w:rsidP="00827138">
            <w:pPr>
              <w:pStyle w:val="ECCLetterHead"/>
            </w:pPr>
            <w:r w:rsidRPr="00617E57">
              <w:t xml:space="preserve">Date issued: </w:t>
            </w:r>
          </w:p>
        </w:tc>
        <w:tc>
          <w:tcPr>
            <w:tcW w:w="7962" w:type="dxa"/>
            <w:gridSpan w:val="2"/>
            <w:tcBorders>
              <w:top w:val="nil"/>
              <w:left w:val="nil"/>
              <w:bottom w:val="nil"/>
              <w:right w:val="nil"/>
            </w:tcBorders>
            <w:vAlign w:val="center"/>
          </w:tcPr>
          <w:p w14:paraId="5B5F7838" w14:textId="3115794A" w:rsidR="00827138" w:rsidRPr="00B23C6C" w:rsidRDefault="00C054AF" w:rsidP="00827138">
            <w:pPr>
              <w:pStyle w:val="ECCLetterHead"/>
            </w:pPr>
            <w:r>
              <w:t>1</w:t>
            </w:r>
            <w:r w:rsidR="00985189">
              <w:t>1</w:t>
            </w:r>
            <w:r>
              <w:t xml:space="preserve"> </w:t>
            </w:r>
            <w:r w:rsidR="00985189">
              <w:t>May</w:t>
            </w:r>
            <w:r>
              <w:t xml:space="preserve"> </w:t>
            </w:r>
            <w:r w:rsidR="00827138" w:rsidRPr="00B23C6C">
              <w:t>2023</w:t>
            </w:r>
          </w:p>
        </w:tc>
      </w:tr>
      <w:tr w:rsidR="00827138" w:rsidRPr="00880CC6" w14:paraId="610BD899" w14:textId="77777777" w:rsidTr="00B85DF5">
        <w:tblPrEx>
          <w:tblCellMar>
            <w:left w:w="108" w:type="dxa"/>
            <w:right w:w="108" w:type="dxa"/>
          </w:tblCellMar>
        </w:tblPrEx>
        <w:trPr>
          <w:gridAfter w:val="1"/>
          <w:wAfter w:w="8" w:type="dxa"/>
          <w:cantSplit/>
          <w:trHeight w:val="405"/>
        </w:trPr>
        <w:tc>
          <w:tcPr>
            <w:tcW w:w="1819" w:type="dxa"/>
            <w:gridSpan w:val="2"/>
            <w:tcBorders>
              <w:top w:val="nil"/>
              <w:left w:val="nil"/>
              <w:bottom w:val="nil"/>
              <w:right w:val="nil"/>
            </w:tcBorders>
            <w:vAlign w:val="center"/>
          </w:tcPr>
          <w:p w14:paraId="5D8EF816" w14:textId="1604EAC5" w:rsidR="00827138" w:rsidRPr="00880CC6" w:rsidRDefault="00827138" w:rsidP="00827138">
            <w:pPr>
              <w:pStyle w:val="ECCLetterHead"/>
            </w:pPr>
            <w:r w:rsidRPr="00617E57">
              <w:t xml:space="preserve">Source: </w:t>
            </w:r>
          </w:p>
        </w:tc>
        <w:tc>
          <w:tcPr>
            <w:tcW w:w="7962" w:type="dxa"/>
            <w:gridSpan w:val="2"/>
            <w:tcBorders>
              <w:top w:val="nil"/>
              <w:left w:val="nil"/>
              <w:bottom w:val="nil"/>
              <w:right w:val="nil"/>
            </w:tcBorders>
            <w:vAlign w:val="center"/>
          </w:tcPr>
          <w:p w14:paraId="50D045A0" w14:textId="3DFD4C3B" w:rsidR="00827138" w:rsidRPr="00880CC6" w:rsidRDefault="00827138" w:rsidP="00827138">
            <w:pPr>
              <w:pStyle w:val="ECCLetterHead"/>
            </w:pPr>
            <w:r w:rsidRPr="00880CC6">
              <w:rPr>
                <w:szCs w:val="22"/>
              </w:rPr>
              <w:t>ECO</w:t>
            </w:r>
          </w:p>
        </w:tc>
      </w:tr>
      <w:tr w:rsidR="00827138" w:rsidRPr="00880CC6" w14:paraId="31AEFAF8" w14:textId="77777777" w:rsidTr="00B85DF5">
        <w:tblPrEx>
          <w:tblCellMar>
            <w:left w:w="108" w:type="dxa"/>
            <w:right w:w="108" w:type="dxa"/>
          </w:tblCellMar>
        </w:tblPrEx>
        <w:trPr>
          <w:gridAfter w:val="1"/>
          <w:wAfter w:w="8" w:type="dxa"/>
          <w:cantSplit/>
          <w:trHeight w:val="405"/>
        </w:trPr>
        <w:tc>
          <w:tcPr>
            <w:tcW w:w="1819" w:type="dxa"/>
            <w:gridSpan w:val="2"/>
            <w:tcBorders>
              <w:top w:val="nil"/>
              <w:left w:val="nil"/>
              <w:bottom w:val="nil"/>
              <w:right w:val="nil"/>
            </w:tcBorders>
            <w:vAlign w:val="center"/>
          </w:tcPr>
          <w:p w14:paraId="1E815EBE" w14:textId="08F9821A" w:rsidR="00827138" w:rsidRPr="00880CC6" w:rsidRDefault="00827138" w:rsidP="00827138">
            <w:pPr>
              <w:pStyle w:val="ECCLetterHead"/>
            </w:pPr>
            <w:r w:rsidRPr="00617E57">
              <w:t xml:space="preserve">Subject: </w:t>
            </w:r>
          </w:p>
        </w:tc>
        <w:tc>
          <w:tcPr>
            <w:tcW w:w="7962" w:type="dxa"/>
            <w:gridSpan w:val="2"/>
            <w:tcBorders>
              <w:top w:val="nil"/>
              <w:left w:val="nil"/>
              <w:bottom w:val="nil"/>
              <w:right w:val="nil"/>
            </w:tcBorders>
            <w:vAlign w:val="center"/>
          </w:tcPr>
          <w:p w14:paraId="641C6DD9" w14:textId="233E7537" w:rsidR="00827138" w:rsidRPr="00880CC6" w:rsidRDefault="00827138" w:rsidP="00827138">
            <w:pPr>
              <w:pStyle w:val="ECCLetterHead"/>
            </w:pPr>
            <w:r w:rsidRPr="00880CC6">
              <w:rPr>
                <w:szCs w:val="22"/>
              </w:rPr>
              <w:t xml:space="preserve">ECO Bulletin on on-going/new issues in other regions or organisations – </w:t>
            </w:r>
            <w:r>
              <w:rPr>
                <w:szCs w:val="22"/>
              </w:rPr>
              <w:t>March 2023</w:t>
            </w:r>
            <w:r w:rsidRPr="00880CC6">
              <w:rPr>
                <w:szCs w:val="22"/>
              </w:rPr>
              <w:t xml:space="preserve"> edition</w:t>
            </w:r>
          </w:p>
        </w:tc>
      </w:tr>
      <w:tr w:rsidR="00263FFB" w:rsidRPr="00880CC6" w14:paraId="1E7D321D" w14:textId="77777777" w:rsidTr="00B85DF5">
        <w:tblPrEx>
          <w:tblCellMar>
            <w:left w:w="108" w:type="dxa"/>
            <w:right w:w="108" w:type="dxa"/>
          </w:tblCellMar>
        </w:tblPrEx>
        <w:trPr>
          <w:gridAfter w:val="1"/>
          <w:wAfter w:w="8" w:type="dxa"/>
          <w:cantSplit/>
          <w:trHeight w:val="1040"/>
        </w:trPr>
        <w:tc>
          <w:tcPr>
            <w:tcW w:w="9781" w:type="dxa"/>
            <w:gridSpan w:val="4"/>
            <w:tcBorders>
              <w:top w:val="nil"/>
              <w:left w:val="nil"/>
              <w:bottom w:val="nil"/>
              <w:right w:val="nil"/>
            </w:tcBorders>
            <w:vAlign w:val="center"/>
          </w:tcPr>
          <w:p w14:paraId="20DECD78" w14:textId="77777777" w:rsidR="00263FFB" w:rsidRPr="00880CC6" w:rsidRDefault="00263FFB" w:rsidP="00263FFB">
            <w:pPr>
              <w:pStyle w:val="ECCTabletext"/>
            </w:pPr>
            <w:r w:rsidRPr="00880CC6">
              <w:rPr>
                <w:noProof/>
                <w:lang w:eastAsia="da-DK"/>
              </w:rPr>
              <mc:AlternateContent>
                <mc:Choice Requires="wps">
                  <w:drawing>
                    <wp:anchor distT="0" distB="0" distL="114300" distR="114300" simplePos="0" relativeHeight="251658240"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880CC6">
              <w:t xml:space="preserve">Group membership required to </w:t>
            </w:r>
            <w:proofErr w:type="gramStart"/>
            <w:r w:rsidRPr="00880CC6">
              <w:t>read?</w:t>
            </w:r>
            <w:proofErr w:type="gramEnd"/>
            <w:r w:rsidRPr="00880CC6">
              <w:t xml:space="preserve"> (Y/N)</w:t>
            </w:r>
          </w:p>
        </w:tc>
      </w:tr>
      <w:tr w:rsidR="00263FFB" w:rsidRPr="00880CC6" w14:paraId="4EB50F1F" w14:textId="77777777" w:rsidTr="00B85DF5">
        <w:tblPrEx>
          <w:tblCellMar>
            <w:left w:w="108" w:type="dxa"/>
            <w:right w:w="108" w:type="dxa"/>
          </w:tblCellMar>
        </w:tblPrEx>
        <w:trPr>
          <w:gridAfter w:val="1"/>
          <w:wAfter w:w="8" w:type="dxa"/>
          <w:cantSplit/>
          <w:trHeight w:hRule="exact" w:val="74"/>
        </w:trPr>
        <w:tc>
          <w:tcPr>
            <w:tcW w:w="9781" w:type="dxa"/>
            <w:gridSpan w:val="4"/>
            <w:tcBorders>
              <w:top w:val="nil"/>
              <w:left w:val="nil"/>
              <w:bottom w:val="nil"/>
              <w:right w:val="nil"/>
            </w:tcBorders>
            <w:vAlign w:val="center"/>
          </w:tcPr>
          <w:p w14:paraId="43F83AE2" w14:textId="77777777" w:rsidR="00263FFB" w:rsidRPr="00880CC6" w:rsidRDefault="00263FFB" w:rsidP="00263FFB">
            <w:pPr>
              <w:rPr>
                <w:rStyle w:val="ECCParagraph"/>
              </w:rPr>
            </w:pPr>
          </w:p>
          <w:p w14:paraId="24F7BA5C" w14:textId="77777777" w:rsidR="00263FFB" w:rsidRPr="00880CC6" w:rsidRDefault="00263FFB" w:rsidP="00263FFB"/>
        </w:tc>
      </w:tr>
      <w:tr w:rsidR="00513B6A" w:rsidRPr="00880CC6" w14:paraId="4726E6C8" w14:textId="77777777" w:rsidTr="00E04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2" w:type="dxa"/>
          <w:wAfter w:w="8" w:type="dxa"/>
          <w:cantSplit/>
          <w:trHeight w:val="446"/>
        </w:trPr>
        <w:tc>
          <w:tcPr>
            <w:tcW w:w="9709" w:type="dxa"/>
            <w:gridSpan w:val="3"/>
            <w:tcBorders>
              <w:top w:val="single" w:sz="6" w:space="0" w:color="C00000"/>
              <w:left w:val="single" w:sz="6" w:space="0" w:color="C00000"/>
              <w:bottom w:val="nil"/>
              <w:right w:val="single" w:sz="6" w:space="0" w:color="C00000"/>
            </w:tcBorders>
            <w:vAlign w:val="center"/>
          </w:tcPr>
          <w:p w14:paraId="068C15A4" w14:textId="77777777" w:rsidR="00DE5B05" w:rsidRPr="00880CC6" w:rsidRDefault="00DE5B05" w:rsidP="001D2AAB">
            <w:pPr>
              <w:tabs>
                <w:tab w:val="right" w:pos="4750"/>
              </w:tabs>
              <w:spacing w:before="120"/>
              <w:rPr>
                <w:rFonts w:cs="Arial"/>
                <w:b/>
                <w:bCs/>
                <w:sz w:val="22"/>
              </w:rPr>
            </w:pPr>
            <w:r w:rsidRPr="00880CC6">
              <w:rPr>
                <w:rFonts w:cs="Arial"/>
                <w:b/>
                <w:bCs/>
                <w:sz w:val="22"/>
              </w:rPr>
              <w:t xml:space="preserve">Summary: </w:t>
            </w:r>
          </w:p>
        </w:tc>
      </w:tr>
      <w:tr w:rsidR="00DE5B05" w:rsidRPr="00880CC6" w14:paraId="2AE24C52" w14:textId="77777777" w:rsidTr="00E04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2" w:type="dxa"/>
          <w:wAfter w:w="8" w:type="dxa"/>
          <w:cantSplit/>
          <w:trHeight w:val="3979"/>
        </w:trPr>
        <w:tc>
          <w:tcPr>
            <w:tcW w:w="9709" w:type="dxa"/>
            <w:gridSpan w:val="3"/>
            <w:tcBorders>
              <w:top w:val="nil"/>
              <w:left w:val="single" w:sz="6" w:space="0" w:color="C00000"/>
              <w:bottom w:val="single" w:sz="6" w:space="0" w:color="C00000"/>
              <w:right w:val="single" w:sz="6" w:space="0" w:color="C00000"/>
            </w:tcBorders>
          </w:tcPr>
          <w:p w14:paraId="3A7054F5" w14:textId="77777777" w:rsidR="00DE5B05" w:rsidRPr="00880CC6" w:rsidRDefault="00DE5B05" w:rsidP="001D2AAB">
            <w:pPr>
              <w:rPr>
                <w:rFonts w:cs="Arial"/>
                <w:szCs w:val="20"/>
              </w:rPr>
            </w:pPr>
            <w:r w:rsidRPr="00880CC6">
              <w:rPr>
                <w:rFonts w:cs="Arial"/>
                <w:szCs w:val="20"/>
              </w:rPr>
              <w:t>This ECO Bulletin provides a summary update on aspects of progress in spectrum management and numbering outside the CEPT. The items in this bulletin include:</w:t>
            </w:r>
          </w:p>
          <w:bookmarkStart w:id="0" w:name="_Hlk33193568" w:displacedByCustomXml="next"/>
          <w:sdt>
            <w:sdtPr>
              <w:rPr>
                <w:rFonts w:cs="Arial"/>
                <w:b w:val="0"/>
                <w:lang w:val="en-GB"/>
              </w:rPr>
              <w:id w:val="700049169"/>
              <w:docPartObj>
                <w:docPartGallery w:val="Table of Contents"/>
                <w:docPartUnique/>
              </w:docPartObj>
            </w:sdtPr>
            <w:sdtEndPr>
              <w:rPr>
                <w:bCs/>
              </w:rPr>
            </w:sdtEndPr>
            <w:sdtContent>
              <w:p w14:paraId="4CEE6EBB" w14:textId="643329BF" w:rsidR="0008641E" w:rsidRPr="00985189" w:rsidRDefault="00DE5B05">
                <w:pPr>
                  <w:pStyle w:val="TOC1"/>
                  <w:rPr>
                    <w:rFonts w:asciiTheme="minorHAnsi" w:eastAsiaTheme="minorEastAsia" w:hAnsiTheme="minorHAnsi" w:cstheme="minorBidi"/>
                    <w:b w:val="0"/>
                    <w:sz w:val="22"/>
                    <w:szCs w:val="22"/>
                    <w:lang w:val="en-DK" w:eastAsia="en-DK"/>
                  </w:rPr>
                </w:pPr>
                <w:r w:rsidRPr="00880CC6">
                  <w:rPr>
                    <w:rFonts w:cs="Arial"/>
                    <w:lang w:val="en-GB"/>
                  </w:rPr>
                  <w:fldChar w:fldCharType="begin"/>
                </w:r>
                <w:r w:rsidRPr="00880CC6">
                  <w:rPr>
                    <w:rFonts w:cs="Arial"/>
                    <w:lang w:val="en-GB"/>
                  </w:rPr>
                  <w:instrText xml:space="preserve"> TOC \o "1-3" \n \h \z \u </w:instrText>
                </w:r>
                <w:r w:rsidRPr="00880CC6">
                  <w:rPr>
                    <w:rFonts w:cs="Arial"/>
                    <w:lang w:val="en-GB"/>
                  </w:rPr>
                  <w:fldChar w:fldCharType="separate"/>
                </w:r>
                <w:hyperlink w:anchor="_Toc132730318" w:history="1">
                  <w:r w:rsidR="0008641E" w:rsidRPr="00985189">
                    <w:rPr>
                      <w:rStyle w:val="Hyperlink"/>
                      <w:lang w:val="en-GB"/>
                    </w:rPr>
                    <w:t>1</w:t>
                  </w:r>
                  <w:r w:rsidR="0008641E" w:rsidRPr="00985189">
                    <w:rPr>
                      <w:rFonts w:asciiTheme="minorHAnsi" w:eastAsiaTheme="minorEastAsia" w:hAnsiTheme="minorHAnsi" w:cstheme="minorBidi"/>
                      <w:b w:val="0"/>
                      <w:sz w:val="22"/>
                      <w:szCs w:val="22"/>
                      <w:lang w:val="en-DK" w:eastAsia="en-DK"/>
                    </w:rPr>
                    <w:tab/>
                  </w:r>
                  <w:r w:rsidR="0008641E" w:rsidRPr="00985189">
                    <w:rPr>
                      <w:rStyle w:val="Hyperlink"/>
                      <w:lang w:val="en-GB"/>
                    </w:rPr>
                    <w:t>Asia Pacific Region (APT)</w:t>
                  </w:r>
                </w:hyperlink>
              </w:p>
              <w:p w14:paraId="721ADBB0" w14:textId="2ED68BD5" w:rsidR="0008641E" w:rsidRPr="00985189" w:rsidRDefault="00756F07">
                <w:pPr>
                  <w:pStyle w:val="TOC2"/>
                  <w:rPr>
                    <w:rFonts w:asciiTheme="minorHAnsi" w:eastAsiaTheme="minorEastAsia" w:hAnsiTheme="minorHAnsi" w:cstheme="minorBidi"/>
                    <w:sz w:val="22"/>
                    <w:szCs w:val="22"/>
                    <w:lang w:val="en-DK" w:eastAsia="en-DK"/>
                  </w:rPr>
                </w:pPr>
                <w:hyperlink w:anchor="_Toc132730319" w:history="1">
                  <w:r w:rsidR="0008641E" w:rsidRPr="00985189">
                    <w:rPr>
                      <w:rStyle w:val="Hyperlink"/>
                      <w:lang w:val="en-GB"/>
                    </w:rPr>
                    <w:t>1.1</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China private 5G in 6 GHz and 26 GHz bands</w:t>
                  </w:r>
                </w:hyperlink>
              </w:p>
              <w:p w14:paraId="0B6AF463" w14:textId="7C2AF23C" w:rsidR="0008641E" w:rsidRPr="00985189" w:rsidRDefault="00756F07">
                <w:pPr>
                  <w:pStyle w:val="TOC2"/>
                  <w:rPr>
                    <w:rFonts w:asciiTheme="minorHAnsi" w:eastAsiaTheme="minorEastAsia" w:hAnsiTheme="minorHAnsi" w:cstheme="minorBidi"/>
                    <w:sz w:val="22"/>
                    <w:szCs w:val="22"/>
                    <w:lang w:val="en-DK" w:eastAsia="en-DK"/>
                  </w:rPr>
                </w:pPr>
                <w:hyperlink w:anchor="_Toc132730320" w:history="1">
                  <w:r w:rsidR="0008641E" w:rsidRPr="00985189">
                    <w:rPr>
                      <w:rStyle w:val="Hyperlink"/>
                      <w:lang w:val="en-GB"/>
                    </w:rPr>
                    <w:t>1.2</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Indonesia spectrum auction</w:t>
                  </w:r>
                </w:hyperlink>
              </w:p>
              <w:p w14:paraId="212E40C6" w14:textId="72AAC194" w:rsidR="0008641E" w:rsidRPr="00985189" w:rsidRDefault="00756F07">
                <w:pPr>
                  <w:pStyle w:val="TOC2"/>
                  <w:rPr>
                    <w:rFonts w:asciiTheme="minorHAnsi" w:eastAsiaTheme="minorEastAsia" w:hAnsiTheme="minorHAnsi" w:cstheme="minorBidi"/>
                    <w:sz w:val="22"/>
                    <w:szCs w:val="22"/>
                    <w:lang w:val="en-DK" w:eastAsia="en-DK"/>
                  </w:rPr>
                </w:pPr>
                <w:hyperlink w:anchor="_Toc132730321" w:history="1">
                  <w:r w:rsidR="0008641E" w:rsidRPr="00985189">
                    <w:rPr>
                      <w:rStyle w:val="Hyperlink"/>
                      <w:lang w:val="en-GB"/>
                    </w:rPr>
                    <w:t>1.3</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South Korea 28 GHz licence withdrawal</w:t>
                  </w:r>
                </w:hyperlink>
              </w:p>
              <w:p w14:paraId="0677B85C" w14:textId="42EEAF30" w:rsidR="0008641E" w:rsidRPr="00985189" w:rsidRDefault="00756F07">
                <w:pPr>
                  <w:pStyle w:val="TOC2"/>
                  <w:rPr>
                    <w:rFonts w:asciiTheme="minorHAnsi" w:eastAsiaTheme="minorEastAsia" w:hAnsiTheme="minorHAnsi" w:cstheme="minorBidi"/>
                    <w:sz w:val="22"/>
                    <w:szCs w:val="22"/>
                    <w:lang w:val="en-DK" w:eastAsia="en-DK"/>
                  </w:rPr>
                </w:pPr>
                <w:hyperlink w:anchor="_Toc132730322" w:history="1">
                  <w:r w:rsidR="0008641E" w:rsidRPr="00985189">
                    <w:rPr>
                      <w:rStyle w:val="Hyperlink"/>
                      <w:lang w:val="en-GB"/>
                    </w:rPr>
                    <w:t>1.4</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Saudi Arabia NTN auction</w:t>
                  </w:r>
                </w:hyperlink>
              </w:p>
              <w:p w14:paraId="39E85F63" w14:textId="4236E8F9" w:rsidR="0008641E" w:rsidRPr="00985189" w:rsidRDefault="00756F07">
                <w:pPr>
                  <w:pStyle w:val="TOC1"/>
                  <w:rPr>
                    <w:rFonts w:asciiTheme="minorHAnsi" w:eastAsiaTheme="minorEastAsia" w:hAnsiTheme="minorHAnsi" w:cstheme="minorBidi"/>
                    <w:b w:val="0"/>
                    <w:sz w:val="22"/>
                    <w:szCs w:val="22"/>
                    <w:lang w:val="en-DK" w:eastAsia="en-DK"/>
                  </w:rPr>
                </w:pPr>
                <w:hyperlink w:anchor="_Toc132730323" w:history="1">
                  <w:r w:rsidR="0008641E" w:rsidRPr="00985189">
                    <w:rPr>
                      <w:rStyle w:val="Hyperlink"/>
                      <w:lang w:val="en-GB"/>
                    </w:rPr>
                    <w:t>2</w:t>
                  </w:r>
                  <w:r w:rsidR="0008641E" w:rsidRPr="00985189">
                    <w:rPr>
                      <w:rFonts w:asciiTheme="minorHAnsi" w:eastAsiaTheme="minorEastAsia" w:hAnsiTheme="minorHAnsi" w:cstheme="minorBidi"/>
                      <w:b w:val="0"/>
                      <w:sz w:val="22"/>
                      <w:szCs w:val="22"/>
                      <w:lang w:val="en-DK" w:eastAsia="en-DK"/>
                    </w:rPr>
                    <w:tab/>
                  </w:r>
                  <w:r w:rsidR="0008641E" w:rsidRPr="00985189">
                    <w:rPr>
                      <w:rStyle w:val="Hyperlink"/>
                      <w:lang w:val="en-GB"/>
                    </w:rPr>
                    <w:t>Americas (CITEL)</w:t>
                  </w:r>
                </w:hyperlink>
              </w:p>
              <w:p w14:paraId="22A03B1F" w14:textId="0ACC97FC" w:rsidR="0008641E" w:rsidRPr="00985189" w:rsidRDefault="00756F07">
                <w:pPr>
                  <w:pStyle w:val="TOC2"/>
                  <w:rPr>
                    <w:rFonts w:asciiTheme="minorHAnsi" w:eastAsiaTheme="minorEastAsia" w:hAnsiTheme="minorHAnsi" w:cstheme="minorBidi"/>
                    <w:sz w:val="22"/>
                    <w:szCs w:val="22"/>
                    <w:lang w:val="en-DK" w:eastAsia="en-DK"/>
                  </w:rPr>
                </w:pPr>
                <w:hyperlink w:anchor="_Toc132730324" w:history="1">
                  <w:r w:rsidR="0008641E" w:rsidRPr="00985189">
                    <w:rPr>
                      <w:rStyle w:val="Hyperlink"/>
                      <w:lang w:val="en-GB"/>
                    </w:rPr>
                    <w:t>2.1</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USA</w:t>
                  </w:r>
                </w:hyperlink>
              </w:p>
              <w:p w14:paraId="7808EC26" w14:textId="2C13005C" w:rsidR="0008641E" w:rsidRPr="00985189" w:rsidRDefault="00756F07">
                <w:pPr>
                  <w:pStyle w:val="TOC3"/>
                  <w:rPr>
                    <w:rFonts w:asciiTheme="minorHAnsi" w:eastAsiaTheme="minorEastAsia" w:hAnsiTheme="minorHAnsi" w:cstheme="minorBidi"/>
                    <w:sz w:val="22"/>
                    <w:szCs w:val="22"/>
                    <w:lang w:val="en-DK" w:eastAsia="en-DK"/>
                  </w:rPr>
                </w:pPr>
                <w:hyperlink w:anchor="_Toc132730325" w:history="1">
                  <w:r w:rsidR="0008641E" w:rsidRPr="00985189">
                    <w:rPr>
                      <w:rStyle w:val="Hyperlink"/>
                    </w:rPr>
                    <w:t>2.1.1</w:t>
                  </w:r>
                  <w:r w:rsidR="0008641E" w:rsidRPr="00985189">
                    <w:rPr>
                      <w:rFonts w:asciiTheme="minorHAnsi" w:eastAsiaTheme="minorEastAsia" w:hAnsiTheme="minorHAnsi" w:cstheme="minorBidi"/>
                      <w:sz w:val="22"/>
                      <w:szCs w:val="22"/>
                      <w:lang w:val="en-DK" w:eastAsia="en-DK"/>
                    </w:rPr>
                    <w:tab/>
                  </w:r>
                  <w:r w:rsidR="0008641E" w:rsidRPr="00985189">
                    <w:rPr>
                      <w:rStyle w:val="Hyperlink"/>
                    </w:rPr>
                    <w:t>Radio altimeters 4.2-4.4 GHz</w:t>
                  </w:r>
                </w:hyperlink>
              </w:p>
              <w:p w14:paraId="0958707C" w14:textId="0515AA3D" w:rsidR="0008641E" w:rsidRPr="00985189" w:rsidRDefault="00756F07">
                <w:pPr>
                  <w:pStyle w:val="TOC3"/>
                  <w:rPr>
                    <w:rFonts w:asciiTheme="minorHAnsi" w:eastAsiaTheme="minorEastAsia" w:hAnsiTheme="minorHAnsi" w:cstheme="minorBidi"/>
                    <w:sz w:val="22"/>
                    <w:szCs w:val="22"/>
                    <w:lang w:val="en-DK" w:eastAsia="en-DK"/>
                  </w:rPr>
                </w:pPr>
                <w:hyperlink w:anchor="_Toc132730326" w:history="1">
                  <w:r w:rsidR="0008641E" w:rsidRPr="00985189">
                    <w:rPr>
                      <w:rStyle w:val="Hyperlink"/>
                      <w:lang w:val="en-GB"/>
                    </w:rPr>
                    <w:t>2.1.2</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SpaceX Starlink second generation constellation FCC filings</w:t>
                  </w:r>
                </w:hyperlink>
              </w:p>
              <w:p w14:paraId="20DFF022" w14:textId="01B3DD34" w:rsidR="0008641E" w:rsidRPr="00985189" w:rsidRDefault="00756F07">
                <w:pPr>
                  <w:pStyle w:val="TOC2"/>
                  <w:rPr>
                    <w:rFonts w:asciiTheme="minorHAnsi" w:eastAsiaTheme="minorEastAsia" w:hAnsiTheme="minorHAnsi" w:cstheme="minorBidi"/>
                    <w:sz w:val="22"/>
                    <w:szCs w:val="22"/>
                    <w:lang w:val="en-DK" w:eastAsia="en-DK"/>
                  </w:rPr>
                </w:pPr>
                <w:hyperlink w:anchor="_Toc132730327" w:history="1">
                  <w:r w:rsidR="0008641E" w:rsidRPr="00985189">
                    <w:rPr>
                      <w:rStyle w:val="Hyperlink"/>
                      <w:lang w:val="en-GB"/>
                    </w:rPr>
                    <w:t>2.2</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Brazil authorisations for SpaceX constellations</w:t>
                  </w:r>
                </w:hyperlink>
              </w:p>
              <w:p w14:paraId="4A0C0CD6" w14:textId="7E0A052F" w:rsidR="0008641E" w:rsidRPr="00985189" w:rsidRDefault="00756F07">
                <w:pPr>
                  <w:pStyle w:val="TOC1"/>
                  <w:rPr>
                    <w:rFonts w:asciiTheme="minorHAnsi" w:eastAsiaTheme="minorEastAsia" w:hAnsiTheme="minorHAnsi" w:cstheme="minorBidi"/>
                    <w:b w:val="0"/>
                    <w:sz w:val="22"/>
                    <w:szCs w:val="22"/>
                    <w:lang w:val="en-DK" w:eastAsia="en-DK"/>
                  </w:rPr>
                </w:pPr>
                <w:hyperlink w:anchor="_Toc132730328" w:history="1">
                  <w:r w:rsidR="0008641E" w:rsidRPr="00985189">
                    <w:rPr>
                      <w:rStyle w:val="Hyperlink"/>
                      <w:lang w:val="en-GB"/>
                    </w:rPr>
                    <w:t>3</w:t>
                  </w:r>
                  <w:r w:rsidR="0008641E" w:rsidRPr="00985189">
                    <w:rPr>
                      <w:rFonts w:asciiTheme="minorHAnsi" w:eastAsiaTheme="minorEastAsia" w:hAnsiTheme="minorHAnsi" w:cstheme="minorBidi"/>
                      <w:b w:val="0"/>
                      <w:sz w:val="22"/>
                      <w:szCs w:val="22"/>
                      <w:lang w:val="en-DK" w:eastAsia="en-DK"/>
                    </w:rPr>
                    <w:tab/>
                  </w:r>
                  <w:r w:rsidR="0008641E" w:rsidRPr="00985189">
                    <w:rPr>
                      <w:rStyle w:val="Hyperlink"/>
                      <w:lang w:val="en-GB"/>
                    </w:rPr>
                    <w:t>Global developments</w:t>
                  </w:r>
                </w:hyperlink>
              </w:p>
              <w:p w14:paraId="4B554855" w14:textId="00AA6BE4" w:rsidR="0008641E" w:rsidRDefault="00756F07">
                <w:pPr>
                  <w:pStyle w:val="TOC2"/>
                  <w:rPr>
                    <w:rFonts w:asciiTheme="minorHAnsi" w:eastAsiaTheme="minorEastAsia" w:hAnsiTheme="minorHAnsi" w:cstheme="minorBidi"/>
                    <w:sz w:val="22"/>
                    <w:szCs w:val="22"/>
                    <w:lang w:val="en-DK" w:eastAsia="en-DK"/>
                  </w:rPr>
                </w:pPr>
                <w:hyperlink w:anchor="_Toc132730329" w:history="1">
                  <w:r w:rsidR="0008641E" w:rsidRPr="00985189">
                    <w:rPr>
                      <w:rStyle w:val="Hyperlink"/>
                      <w:lang w:val="en-GB"/>
                    </w:rPr>
                    <w:t>3.1</w:t>
                  </w:r>
                  <w:r w:rsidR="0008641E" w:rsidRPr="00985189">
                    <w:rPr>
                      <w:rFonts w:asciiTheme="minorHAnsi" w:eastAsiaTheme="minorEastAsia" w:hAnsiTheme="minorHAnsi" w:cstheme="minorBidi"/>
                      <w:sz w:val="22"/>
                      <w:szCs w:val="22"/>
                      <w:lang w:val="en-DK" w:eastAsia="en-DK"/>
                    </w:rPr>
                    <w:tab/>
                  </w:r>
                  <w:r w:rsidR="0008641E" w:rsidRPr="00985189">
                    <w:rPr>
                      <w:rStyle w:val="Hyperlink"/>
                      <w:lang w:val="en-GB"/>
                    </w:rPr>
                    <w:t>Direct satellite to cellular connectivity developments</w:t>
                  </w:r>
                </w:hyperlink>
              </w:p>
              <w:p w14:paraId="50D21650" w14:textId="21C4AF82" w:rsidR="00107768" w:rsidRDefault="00DE5B05" w:rsidP="00B85DF5">
                <w:pPr>
                  <w:pStyle w:val="TOC2"/>
                  <w:rPr>
                    <w:rFonts w:cs="Arial"/>
                    <w:lang w:val="en-GB"/>
                  </w:rPr>
                </w:pPr>
                <w:r w:rsidRPr="00880CC6">
                  <w:rPr>
                    <w:rFonts w:cs="Arial"/>
                    <w:lang w:val="en-GB"/>
                  </w:rPr>
                  <w:fldChar w:fldCharType="end"/>
                </w:r>
              </w:p>
              <w:p w14:paraId="1CFC4A27" w14:textId="77777777" w:rsidR="00107768" w:rsidRDefault="00107768" w:rsidP="00B85DF5">
                <w:pPr>
                  <w:pStyle w:val="TOC2"/>
                  <w:rPr>
                    <w:rFonts w:cs="Arial"/>
                    <w:lang w:val="en-GB"/>
                  </w:rPr>
                </w:pPr>
              </w:p>
              <w:p w14:paraId="3EBB1A07" w14:textId="4D555EEA" w:rsidR="00DE5B05" w:rsidRPr="00C054AF" w:rsidRDefault="00107768" w:rsidP="00107768">
                <w:pPr>
                  <w:pStyle w:val="TOC2"/>
                  <w:ind w:left="0" w:firstLine="0"/>
                  <w:rPr>
                    <w:rFonts w:asciiTheme="minorHAnsi" w:eastAsiaTheme="minorEastAsia" w:hAnsiTheme="minorHAnsi" w:cstheme="minorBidi"/>
                    <w:sz w:val="22"/>
                    <w:szCs w:val="22"/>
                    <w:lang w:val="en-US"/>
                  </w:rPr>
                </w:pPr>
                <w:r w:rsidRPr="006D790A">
                  <w:rPr>
                    <w:rFonts w:cs="Arial"/>
                    <w:i/>
                    <w:iCs/>
                    <w:lang w:val="en-GB"/>
                  </w:rPr>
                  <w:t>It should be noted that the information is up-to-date at the time of writing</w:t>
                </w:r>
                <w:r w:rsidR="00EB7ACC">
                  <w:rPr>
                    <w:rFonts w:cs="Arial"/>
                    <w:i/>
                    <w:iCs/>
                    <w:lang w:val="en-GB"/>
                  </w:rPr>
                  <w:t xml:space="preserve"> (</w:t>
                </w:r>
                <w:r w:rsidR="003C706B">
                  <w:rPr>
                    <w:rFonts w:cs="Arial"/>
                    <w:i/>
                    <w:iCs/>
                    <w:lang w:val="en-GB"/>
                  </w:rPr>
                  <w:t xml:space="preserve">1 </w:t>
                </w:r>
                <w:r w:rsidR="00EB7ACC">
                  <w:rPr>
                    <w:rFonts w:cs="Arial"/>
                    <w:i/>
                    <w:iCs/>
                    <w:lang w:val="en-GB"/>
                  </w:rPr>
                  <w:t>March</w:t>
                </w:r>
                <w:r w:rsidR="003C706B">
                  <w:rPr>
                    <w:rFonts w:cs="Arial"/>
                    <w:i/>
                    <w:iCs/>
                    <w:lang w:val="en-GB"/>
                  </w:rPr>
                  <w:t xml:space="preserve"> 2023)</w:t>
                </w:r>
                <w:r w:rsidR="006D790A" w:rsidRPr="006D790A">
                  <w:rPr>
                    <w:rFonts w:cs="Arial"/>
                    <w:i/>
                    <w:iCs/>
                    <w:lang w:val="en-GB"/>
                  </w:rPr>
                  <w:t xml:space="preserve"> based on available sources, and further developments may have occurred in the meantime.</w:t>
                </w:r>
              </w:p>
            </w:sdtContent>
          </w:sdt>
          <w:bookmarkEnd w:id="0" w:displacedByCustomXml="prev"/>
        </w:tc>
      </w:tr>
      <w:tr w:rsidR="00B85DF5" w:rsidRPr="00880CC6" w14:paraId="288F7815" w14:textId="77777777" w:rsidTr="00E04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cantSplit/>
          <w:trHeight w:val="443"/>
        </w:trPr>
        <w:tc>
          <w:tcPr>
            <w:tcW w:w="9717" w:type="dxa"/>
            <w:gridSpan w:val="4"/>
            <w:tcBorders>
              <w:top w:val="single" w:sz="6" w:space="0" w:color="C00000"/>
              <w:left w:val="single" w:sz="6" w:space="0" w:color="C00000"/>
              <w:bottom w:val="nil"/>
              <w:right w:val="single" w:sz="6" w:space="0" w:color="C00000"/>
            </w:tcBorders>
            <w:vAlign w:val="center"/>
          </w:tcPr>
          <w:p w14:paraId="552932D2" w14:textId="77777777" w:rsidR="00B85DF5" w:rsidRPr="00880CC6" w:rsidRDefault="00B85DF5">
            <w:pPr>
              <w:tabs>
                <w:tab w:val="right" w:pos="4750"/>
              </w:tabs>
              <w:spacing w:before="120"/>
              <w:rPr>
                <w:rFonts w:cs="Arial"/>
                <w:b/>
                <w:bCs/>
                <w:sz w:val="22"/>
              </w:rPr>
            </w:pPr>
            <w:r w:rsidRPr="00880CC6">
              <w:rPr>
                <w:rFonts w:cs="Arial"/>
                <w:b/>
                <w:bCs/>
                <w:sz w:val="22"/>
              </w:rPr>
              <w:t>Proposal:</w:t>
            </w:r>
          </w:p>
        </w:tc>
      </w:tr>
      <w:tr w:rsidR="00EB7ACC" w:rsidRPr="00756F07" w14:paraId="3F1C7EB7" w14:textId="77777777" w:rsidTr="00E04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cantSplit/>
          <w:trHeight w:val="840"/>
        </w:trPr>
        <w:tc>
          <w:tcPr>
            <w:tcW w:w="9717" w:type="dxa"/>
            <w:gridSpan w:val="4"/>
            <w:tcBorders>
              <w:top w:val="nil"/>
              <w:left w:val="single" w:sz="6" w:space="0" w:color="C00000"/>
              <w:bottom w:val="single" w:sz="6" w:space="0" w:color="C00000"/>
              <w:right w:val="single" w:sz="6" w:space="0" w:color="C00000"/>
            </w:tcBorders>
          </w:tcPr>
          <w:p w14:paraId="0CAFAF39" w14:textId="11CF5CDA" w:rsidR="00EB7ACC" w:rsidRPr="00756F07" w:rsidRDefault="00194022" w:rsidP="00EB7ACC">
            <w:pPr>
              <w:spacing w:before="60"/>
              <w:rPr>
                <w:rFonts w:cs="Arial"/>
                <w:szCs w:val="20"/>
              </w:rPr>
            </w:pPr>
            <w:r w:rsidRPr="00756F07">
              <w:rPr>
                <w:rFonts w:cs="Arial"/>
                <w:szCs w:val="20"/>
              </w:rPr>
              <w:t>WGSE</w:t>
            </w:r>
            <w:r w:rsidR="00EB7ACC" w:rsidRPr="00756F07">
              <w:rPr>
                <w:rFonts w:cs="Arial"/>
                <w:szCs w:val="20"/>
              </w:rPr>
              <w:t xml:space="preserve"> is invited to note this Bulletin which was submitted to ECC#61 as </w:t>
            </w:r>
            <w:proofErr w:type="gramStart"/>
            <w:r w:rsidR="00EB7ACC" w:rsidRPr="00756F07">
              <w:t>ECC(</w:t>
            </w:r>
            <w:proofErr w:type="gramEnd"/>
            <w:r w:rsidR="00EB7ACC" w:rsidRPr="00756F07">
              <w:t>2</w:t>
            </w:r>
            <w:r w:rsidR="004C1F27" w:rsidRPr="00756F07">
              <w:t>3</w:t>
            </w:r>
            <w:r w:rsidR="00EB7ACC" w:rsidRPr="00756F07">
              <w:t>)</w:t>
            </w:r>
            <w:r w:rsidR="004C1F27" w:rsidRPr="00756F07">
              <w:t>005</w:t>
            </w:r>
            <w:r w:rsidR="00EB7ACC" w:rsidRPr="00756F07">
              <w:rPr>
                <w:rFonts w:cs="Arial"/>
                <w:szCs w:val="20"/>
              </w:rPr>
              <w:t>.</w:t>
            </w:r>
          </w:p>
          <w:p w14:paraId="4AE1D5C1" w14:textId="77777777" w:rsidR="00EB7ACC" w:rsidRPr="00756F07" w:rsidRDefault="00EB7ACC" w:rsidP="00EB7ACC">
            <w:pPr>
              <w:spacing w:before="60"/>
              <w:rPr>
                <w:rFonts w:cs="Arial"/>
                <w:szCs w:val="20"/>
              </w:rPr>
            </w:pPr>
          </w:p>
          <w:p w14:paraId="630E854B" w14:textId="30EB0B7C" w:rsidR="00EB7ACC" w:rsidRPr="00756F07" w:rsidRDefault="002C4C89" w:rsidP="00EB7ACC">
            <w:pPr>
              <w:spacing w:before="60"/>
              <w:rPr>
                <w:rFonts w:cs="Arial"/>
                <w:szCs w:val="20"/>
              </w:rPr>
            </w:pPr>
            <w:r w:rsidRPr="00756F07">
              <w:rPr>
                <w:rFonts w:cs="Arial"/>
                <w:szCs w:val="20"/>
              </w:rPr>
              <w:t>Most</w:t>
            </w:r>
            <w:r w:rsidR="00EB7ACC" w:rsidRPr="00756F07">
              <w:rPr>
                <w:rFonts w:cs="Arial"/>
                <w:szCs w:val="20"/>
              </w:rPr>
              <w:t xml:space="preserve"> of the articles in this edition are noted for particular attention of </w:t>
            </w:r>
            <w:r w:rsidR="00194022" w:rsidRPr="00756F07">
              <w:rPr>
                <w:rFonts w:cs="Arial"/>
                <w:szCs w:val="20"/>
              </w:rPr>
              <w:t>WGSE</w:t>
            </w:r>
            <w:r w:rsidR="00EB7ACC" w:rsidRPr="00756F07">
              <w:rPr>
                <w:rFonts w:cs="Arial"/>
                <w:szCs w:val="20"/>
              </w:rPr>
              <w:t>, as highlighted below.</w:t>
            </w:r>
          </w:p>
        </w:tc>
      </w:tr>
      <w:tr w:rsidR="00EB7ACC" w:rsidRPr="00756F07" w14:paraId="09756F22" w14:textId="77777777" w:rsidTr="00E04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cantSplit/>
          <w:trHeight w:val="443"/>
        </w:trPr>
        <w:tc>
          <w:tcPr>
            <w:tcW w:w="9717" w:type="dxa"/>
            <w:gridSpan w:val="4"/>
            <w:tcBorders>
              <w:top w:val="single" w:sz="6" w:space="0" w:color="C00000"/>
              <w:left w:val="single" w:sz="6" w:space="0" w:color="C00000"/>
              <w:bottom w:val="nil"/>
              <w:right w:val="single" w:sz="6" w:space="0" w:color="C00000"/>
            </w:tcBorders>
            <w:vAlign w:val="center"/>
          </w:tcPr>
          <w:p w14:paraId="4335FE9C" w14:textId="77777777" w:rsidR="00EB7ACC" w:rsidRPr="00756F07" w:rsidRDefault="00EB7ACC" w:rsidP="00EB7ACC">
            <w:pPr>
              <w:tabs>
                <w:tab w:val="right" w:pos="4750"/>
              </w:tabs>
              <w:spacing w:before="120"/>
              <w:rPr>
                <w:rFonts w:cs="Arial"/>
                <w:b/>
                <w:bCs/>
                <w:sz w:val="22"/>
              </w:rPr>
            </w:pPr>
            <w:r w:rsidRPr="00756F07">
              <w:rPr>
                <w:rFonts w:cs="Arial"/>
                <w:b/>
                <w:bCs/>
                <w:sz w:val="22"/>
              </w:rPr>
              <w:t>Background:</w:t>
            </w:r>
          </w:p>
        </w:tc>
      </w:tr>
      <w:tr w:rsidR="00EB7ACC" w:rsidRPr="00756F07" w14:paraId="64AF6731" w14:textId="77777777" w:rsidTr="00E04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cantSplit/>
          <w:trHeight w:val="1098"/>
        </w:trPr>
        <w:tc>
          <w:tcPr>
            <w:tcW w:w="9717" w:type="dxa"/>
            <w:gridSpan w:val="4"/>
            <w:tcBorders>
              <w:top w:val="nil"/>
              <w:left w:val="single" w:sz="6" w:space="0" w:color="C00000"/>
              <w:bottom w:val="single" w:sz="6" w:space="0" w:color="C00000"/>
              <w:right w:val="single" w:sz="6" w:space="0" w:color="C00000"/>
            </w:tcBorders>
          </w:tcPr>
          <w:p w14:paraId="79351143" w14:textId="77777777" w:rsidR="00EB7ACC" w:rsidRPr="00756F07" w:rsidRDefault="00EB7ACC" w:rsidP="00EB7ACC">
            <w:pPr>
              <w:spacing w:before="60"/>
              <w:rPr>
                <w:rFonts w:cs="Arial"/>
                <w:szCs w:val="20"/>
              </w:rPr>
            </w:pPr>
            <w:r w:rsidRPr="00756F07">
              <w:rPr>
                <w:rFonts w:cs="Arial"/>
                <w:szCs w:val="20"/>
              </w:rPr>
              <w:t>The ECO brings to each ECC meeting a bulletin on activities in radio communications and numbering in other regions outside CEPT, where a regulatory dimension is raised (</w:t>
            </w:r>
            <w:proofErr w:type="gramStart"/>
            <w:r w:rsidRPr="00756F07">
              <w:rPr>
                <w:rFonts w:cs="Arial"/>
                <w:szCs w:val="20"/>
              </w:rPr>
              <w:t>e.g.</w:t>
            </w:r>
            <w:proofErr w:type="gramEnd"/>
            <w:r w:rsidRPr="00756F07">
              <w:rPr>
                <w:rFonts w:cs="Arial"/>
                <w:szCs w:val="20"/>
              </w:rPr>
              <w:t xml:space="preserve"> by innovative services or technology). </w:t>
            </w:r>
          </w:p>
          <w:p w14:paraId="03E43419" w14:textId="77777777" w:rsidR="00EB7ACC" w:rsidRPr="00756F07" w:rsidRDefault="00EB7ACC" w:rsidP="00EB7ACC">
            <w:pPr>
              <w:spacing w:before="60"/>
              <w:rPr>
                <w:rFonts w:cs="Arial"/>
                <w:szCs w:val="20"/>
              </w:rPr>
            </w:pPr>
            <w:r w:rsidRPr="00756F07">
              <w:rPr>
                <w:rFonts w:cs="Arial"/>
                <w:szCs w:val="20"/>
              </w:rPr>
              <w:t>The primary objective is to identify whether the ECC needs to investigate further or consider possible new actions. A secondary but more frequently addressed objective is to enable comparison to be made with the regulatory approach in other regions for subjects already treated by the ECC (including, where relevant, to the work of the CPG).</w:t>
            </w:r>
          </w:p>
        </w:tc>
      </w:tr>
    </w:tbl>
    <w:p w14:paraId="1082B42E" w14:textId="42C5F6FB" w:rsidR="004328D1" w:rsidRPr="00756F07" w:rsidRDefault="00DE5B05" w:rsidP="00DE5B05">
      <w:pPr>
        <w:pStyle w:val="Heading1"/>
        <w:ind w:left="432" w:hanging="432"/>
        <w:rPr>
          <w:rStyle w:val="ECCParagraph"/>
          <w:szCs w:val="20"/>
        </w:rPr>
      </w:pPr>
      <w:bookmarkStart w:id="1" w:name="_Toc132730318"/>
      <w:r w:rsidRPr="00756F07">
        <w:rPr>
          <w:rStyle w:val="ECCParagraph"/>
          <w:szCs w:val="20"/>
        </w:rPr>
        <w:lastRenderedPageBreak/>
        <w:t>Asia Pacific Region (APT)</w:t>
      </w:r>
      <w:bookmarkEnd w:id="1"/>
    </w:p>
    <w:p w14:paraId="09BBA7BE" w14:textId="314248DB" w:rsidR="00B3519B" w:rsidRPr="00756F07" w:rsidRDefault="00B3519B" w:rsidP="004B2C0D">
      <w:pPr>
        <w:pStyle w:val="Heading2"/>
        <w:rPr>
          <w:lang w:val="en-GB"/>
        </w:rPr>
      </w:pPr>
      <w:bookmarkStart w:id="2" w:name="_Toc132730319"/>
      <w:r w:rsidRPr="00756F07">
        <w:rPr>
          <w:lang w:val="en-GB"/>
        </w:rPr>
        <w:t>China private 5G in 6 G</w:t>
      </w:r>
      <w:r w:rsidR="0008641E" w:rsidRPr="00756F07">
        <w:rPr>
          <w:lang w:val="en-GB"/>
        </w:rPr>
        <w:t>H</w:t>
      </w:r>
      <w:r w:rsidRPr="00756F07">
        <w:rPr>
          <w:lang w:val="en-GB"/>
        </w:rPr>
        <w:t>z and 26 G</w:t>
      </w:r>
      <w:r w:rsidR="0008641E" w:rsidRPr="00756F07">
        <w:rPr>
          <w:lang w:val="en-GB"/>
        </w:rPr>
        <w:t>H</w:t>
      </w:r>
      <w:r w:rsidRPr="00756F07">
        <w:rPr>
          <w:lang w:val="en-GB"/>
        </w:rPr>
        <w:t>z bands</w:t>
      </w:r>
      <w:bookmarkEnd w:id="2"/>
    </w:p>
    <w:p w14:paraId="59EF5F32" w14:textId="647D0A5A" w:rsidR="00032EAA" w:rsidRPr="00756F07" w:rsidRDefault="00AA0051" w:rsidP="00032EAA">
      <w:r w:rsidRPr="00756F07">
        <w:t>In late November t</w:t>
      </w:r>
      <w:r w:rsidR="00032EAA" w:rsidRPr="00756F07">
        <w:t xml:space="preserve">he Chinese Ministry of Industry and Information Technology (MIIT) </w:t>
      </w:r>
      <w:r w:rsidR="00A836E8" w:rsidRPr="00756F07">
        <w:t>designated</w:t>
      </w:r>
      <w:r w:rsidR="00032EAA" w:rsidRPr="00756F07">
        <w:t xml:space="preserve"> spectrum in the 6</w:t>
      </w:r>
      <w:r w:rsidR="00C5269F" w:rsidRPr="00756F07">
        <w:t xml:space="preserve"> </w:t>
      </w:r>
      <w:r w:rsidR="00032EAA" w:rsidRPr="00756F07">
        <w:t xml:space="preserve">GHz and 26 GHz bands </w:t>
      </w:r>
      <w:r w:rsidR="00C5269F" w:rsidRPr="00756F07">
        <w:t xml:space="preserve">for </w:t>
      </w:r>
      <w:r w:rsidR="00724DAC" w:rsidRPr="00756F07">
        <w:t xml:space="preserve">use by </w:t>
      </w:r>
      <w:r w:rsidR="00C5269F" w:rsidRPr="00756F07">
        <w:t xml:space="preserve">private </w:t>
      </w:r>
      <w:r w:rsidR="006E698D" w:rsidRPr="00756F07">
        <w:t xml:space="preserve">5G </w:t>
      </w:r>
      <w:r w:rsidR="00C5269F" w:rsidRPr="00756F07">
        <w:t>networks.</w:t>
      </w:r>
    </w:p>
    <w:p w14:paraId="74F2C42F" w14:textId="040CD581" w:rsidR="00C5269F" w:rsidRPr="00756F07" w:rsidRDefault="00C5269F" w:rsidP="00032EAA">
      <w:r w:rsidRPr="00756F07">
        <w:t xml:space="preserve">This </w:t>
      </w:r>
      <w:r w:rsidR="00A836E8" w:rsidRPr="00756F07">
        <w:t xml:space="preserve">covers </w:t>
      </w:r>
      <w:r w:rsidR="00D660DD" w:rsidRPr="00756F07">
        <w:t xml:space="preserve">200 MHz from </w:t>
      </w:r>
      <w:r w:rsidR="00724DAC" w:rsidRPr="00756F07">
        <w:t xml:space="preserve">5925—6125 MHz and </w:t>
      </w:r>
      <w:r w:rsidR="00D660DD" w:rsidRPr="00756F07">
        <w:t xml:space="preserve">400 MHz from </w:t>
      </w:r>
      <w:r w:rsidR="00724DAC" w:rsidRPr="00756F07">
        <w:t>24.75-25.15 GHz</w:t>
      </w:r>
      <w:r w:rsidR="00D660DD" w:rsidRPr="00756F07">
        <w:t>.</w:t>
      </w:r>
    </w:p>
    <w:p w14:paraId="7B6777F2" w14:textId="698C2943" w:rsidR="00D46F23" w:rsidRPr="00756F07" w:rsidRDefault="00D46F23" w:rsidP="00032EAA">
      <w:r w:rsidRPr="00756F07">
        <w:t xml:space="preserve">The first licence has been </w:t>
      </w:r>
      <w:r w:rsidR="00081F43" w:rsidRPr="00756F07">
        <w:t>awarded to the passenger aircraft manufacturer Commercial Aircraft Corp of China (COMAC).</w:t>
      </w:r>
    </w:p>
    <w:p w14:paraId="3593D987" w14:textId="0D4E08E2" w:rsidR="00D46F23" w:rsidRPr="00756F07" w:rsidRDefault="00180C38" w:rsidP="00032EAA">
      <w:pPr>
        <w:rPr>
          <w:rFonts w:cs="Arial"/>
          <w:b/>
          <w:bCs/>
          <w:szCs w:val="20"/>
        </w:rPr>
      </w:pPr>
      <w:r w:rsidRPr="00756F07">
        <w:rPr>
          <w:rFonts w:cs="Arial"/>
          <w:b/>
          <w:bCs/>
          <w:szCs w:val="20"/>
        </w:rPr>
        <w:t>(For information in PT1, SE45)</w:t>
      </w:r>
    </w:p>
    <w:p w14:paraId="3CDD4F7D" w14:textId="680B0495" w:rsidR="004B2C0D" w:rsidRPr="00756F07" w:rsidRDefault="004B2C0D" w:rsidP="004B2C0D">
      <w:pPr>
        <w:pStyle w:val="Heading2"/>
        <w:rPr>
          <w:lang w:val="en-GB"/>
        </w:rPr>
      </w:pPr>
      <w:bookmarkStart w:id="3" w:name="_Toc132730320"/>
      <w:r w:rsidRPr="00756F07">
        <w:rPr>
          <w:lang w:val="en-GB"/>
        </w:rPr>
        <w:t>Indonesia spectrum auction</w:t>
      </w:r>
      <w:bookmarkEnd w:id="3"/>
    </w:p>
    <w:p w14:paraId="3F065C5A" w14:textId="3736B1F5" w:rsidR="005D6832" w:rsidRPr="00756F07" w:rsidRDefault="007B69FC" w:rsidP="004B2C0D">
      <w:r w:rsidRPr="00756F07">
        <w:t>The Indone</w:t>
      </w:r>
      <w:r w:rsidR="004B2745" w:rsidRPr="00756F07">
        <w:t xml:space="preserve">sian </w:t>
      </w:r>
      <w:r w:rsidR="00E401D7" w:rsidRPr="00756F07">
        <w:t xml:space="preserve">Ministry of Communication and Informatics </w:t>
      </w:r>
      <w:r w:rsidR="00446F8C" w:rsidRPr="00756F07">
        <w:t xml:space="preserve">is reportedly </w:t>
      </w:r>
      <w:r w:rsidR="00063A47" w:rsidRPr="00756F07">
        <w:t>pla</w:t>
      </w:r>
      <w:r w:rsidR="00446F8C" w:rsidRPr="00756F07">
        <w:t>nning</w:t>
      </w:r>
      <w:r w:rsidR="00063A47" w:rsidRPr="00756F07">
        <w:t xml:space="preserve"> to </w:t>
      </w:r>
      <w:r w:rsidR="00E401D7" w:rsidRPr="00756F07">
        <w:t xml:space="preserve">auction spectrum in the </w:t>
      </w:r>
      <w:r w:rsidR="00716F89" w:rsidRPr="00756F07">
        <w:t xml:space="preserve">700 MHz, 3.5 </w:t>
      </w:r>
      <w:proofErr w:type="gramStart"/>
      <w:r w:rsidR="00716F89" w:rsidRPr="00756F07">
        <w:t>GHz</w:t>
      </w:r>
      <w:proofErr w:type="gramEnd"/>
      <w:r w:rsidR="00716F89" w:rsidRPr="00756F07">
        <w:t xml:space="preserve"> and 26 GHz bands</w:t>
      </w:r>
      <w:r w:rsidR="00063A47" w:rsidRPr="00756F07">
        <w:t xml:space="preserve"> during Q1 2023.</w:t>
      </w:r>
      <w:r w:rsidR="00DC1C2D" w:rsidRPr="00756F07">
        <w:t xml:space="preserve"> T</w:t>
      </w:r>
      <w:r w:rsidR="00E81808" w:rsidRPr="00756F07">
        <w:t xml:space="preserve">his would include 2x45 MHz </w:t>
      </w:r>
      <w:r w:rsidR="00C15B97" w:rsidRPr="00756F07">
        <w:t>at</w:t>
      </w:r>
      <w:r w:rsidR="00E81808" w:rsidRPr="00756F07">
        <w:t xml:space="preserve"> 700 MHz</w:t>
      </w:r>
      <w:r w:rsidR="003052F3" w:rsidRPr="00756F07">
        <w:t xml:space="preserve">, </w:t>
      </w:r>
      <w:r w:rsidR="00C15B97" w:rsidRPr="00756F07">
        <w:t>200 MHz at 3.5 GHz and 2.7 GHz at 26 GHz</w:t>
      </w:r>
      <w:r w:rsidR="003052F3" w:rsidRPr="00756F07">
        <w:t>.</w:t>
      </w:r>
      <w:r w:rsidR="00030A74" w:rsidRPr="00756F07">
        <w:t xml:space="preserve"> The licences would be technology neutral, so that 4G or 5G</w:t>
      </w:r>
      <w:r w:rsidR="00532814" w:rsidRPr="00756F07">
        <w:t xml:space="preserve"> could be used</w:t>
      </w:r>
      <w:r w:rsidR="00285391" w:rsidRPr="00756F07">
        <w:t xml:space="preserve"> (particularly relevant at 700 MHz).</w:t>
      </w:r>
    </w:p>
    <w:p w14:paraId="21B0EF52" w14:textId="4F7E6C65" w:rsidR="005D6832" w:rsidRPr="00756F07" w:rsidRDefault="00690885" w:rsidP="004B2C0D">
      <w:r w:rsidRPr="00756F07">
        <w:t>The 700 MHz band has become available following the recent completion of analogue switch-off i</w:t>
      </w:r>
      <w:r w:rsidR="00E41276" w:rsidRPr="00756F07">
        <w:t>n most parts of the country.</w:t>
      </w:r>
    </w:p>
    <w:p w14:paraId="5919E1C8" w14:textId="0BE18801" w:rsidR="00791F36" w:rsidRPr="00756F07" w:rsidRDefault="0048238A" w:rsidP="004B2C0D">
      <w:r w:rsidRPr="00756F07">
        <w:t xml:space="preserve">The Ministry also </w:t>
      </w:r>
      <w:r w:rsidR="00EC568A" w:rsidRPr="00756F07">
        <w:t xml:space="preserve">recently </w:t>
      </w:r>
      <w:hyperlink r:id="rId9" w:history="1">
        <w:r w:rsidR="00EC568A" w:rsidRPr="00756F07">
          <w:rPr>
            <w:rStyle w:val="Hyperlink"/>
          </w:rPr>
          <w:t>completed</w:t>
        </w:r>
      </w:hyperlink>
      <w:r w:rsidR="00EC568A" w:rsidRPr="00756F07">
        <w:t xml:space="preserve"> refarming of existing licences in the 2.1 GHz band to provide </w:t>
      </w:r>
      <w:r w:rsidR="001975FC" w:rsidRPr="00756F07">
        <w:t>contiguous</w:t>
      </w:r>
      <w:r w:rsidR="00EC568A" w:rsidRPr="00756F07">
        <w:t xml:space="preserve"> assignments between the 3 operators.</w:t>
      </w:r>
    </w:p>
    <w:p w14:paraId="43C950AA" w14:textId="605B6726" w:rsidR="004B2C0D" w:rsidRPr="00756F07" w:rsidRDefault="004B2C0D" w:rsidP="004B2C0D">
      <w:pPr>
        <w:rPr>
          <w:rFonts w:cs="Arial"/>
          <w:b/>
          <w:bCs/>
          <w:szCs w:val="20"/>
        </w:rPr>
      </w:pPr>
      <w:r w:rsidRPr="00756F07">
        <w:rPr>
          <w:rFonts w:cs="Arial"/>
          <w:b/>
          <w:bCs/>
          <w:szCs w:val="20"/>
        </w:rPr>
        <w:t xml:space="preserve">(For information in </w:t>
      </w:r>
      <w:r w:rsidR="00BC2A6F" w:rsidRPr="00756F07">
        <w:rPr>
          <w:rFonts w:cs="Arial"/>
          <w:b/>
          <w:bCs/>
          <w:szCs w:val="20"/>
        </w:rPr>
        <w:t xml:space="preserve">SE, </w:t>
      </w:r>
      <w:r w:rsidR="00B14515" w:rsidRPr="00756F07">
        <w:rPr>
          <w:rFonts w:cs="Arial"/>
          <w:b/>
          <w:bCs/>
          <w:szCs w:val="20"/>
        </w:rPr>
        <w:t>PT1)</w:t>
      </w:r>
    </w:p>
    <w:p w14:paraId="5D10CA7C" w14:textId="6431DBEF" w:rsidR="004B2C0D" w:rsidRPr="00756F07" w:rsidRDefault="004B2C0D" w:rsidP="007E6618">
      <w:pPr>
        <w:rPr>
          <w:rFonts w:cs="Arial"/>
          <w:b/>
          <w:bCs/>
          <w:szCs w:val="20"/>
        </w:rPr>
      </w:pPr>
    </w:p>
    <w:p w14:paraId="27F4D92F" w14:textId="68F9765C" w:rsidR="00BA10B0" w:rsidRPr="00756F07" w:rsidRDefault="00BA10B0" w:rsidP="00BA10B0">
      <w:pPr>
        <w:pStyle w:val="Heading2"/>
        <w:rPr>
          <w:lang w:val="en-GB"/>
        </w:rPr>
      </w:pPr>
      <w:bookmarkStart w:id="4" w:name="_Toc132730321"/>
      <w:r w:rsidRPr="00756F07">
        <w:rPr>
          <w:lang w:val="en-GB"/>
        </w:rPr>
        <w:t xml:space="preserve">South </w:t>
      </w:r>
      <w:r w:rsidR="003338ED" w:rsidRPr="00756F07">
        <w:rPr>
          <w:lang w:val="en-GB"/>
        </w:rPr>
        <w:t>K</w:t>
      </w:r>
      <w:r w:rsidRPr="00756F07">
        <w:rPr>
          <w:lang w:val="en-GB"/>
        </w:rPr>
        <w:t>orea 28 GHz</w:t>
      </w:r>
      <w:r w:rsidR="00135924" w:rsidRPr="00756F07">
        <w:rPr>
          <w:lang w:val="en-GB"/>
        </w:rPr>
        <w:t xml:space="preserve"> </w:t>
      </w:r>
      <w:r w:rsidR="003338ED" w:rsidRPr="00756F07">
        <w:rPr>
          <w:lang w:val="en-GB"/>
        </w:rPr>
        <w:t>l</w:t>
      </w:r>
      <w:r w:rsidR="00135924" w:rsidRPr="00756F07">
        <w:rPr>
          <w:lang w:val="en-GB"/>
        </w:rPr>
        <w:t>icence withdrawal</w:t>
      </w:r>
      <w:bookmarkEnd w:id="4"/>
    </w:p>
    <w:p w14:paraId="70F07125" w14:textId="0940F5E4" w:rsidR="00662D19" w:rsidRPr="00756F07" w:rsidRDefault="00DB2D5F" w:rsidP="00135924">
      <w:r w:rsidRPr="00756F07">
        <w:t xml:space="preserve">In </w:t>
      </w:r>
      <w:r w:rsidR="00925788" w:rsidRPr="00756F07">
        <w:t xml:space="preserve">late </w:t>
      </w:r>
      <w:r w:rsidRPr="00756F07">
        <w:t>December t</w:t>
      </w:r>
      <w:r w:rsidR="00AE62E8" w:rsidRPr="00756F07">
        <w:t xml:space="preserve">he South Korean Ministry of Science and ICT </w:t>
      </w:r>
      <w:hyperlink r:id="rId10" w:history="1">
        <w:r w:rsidR="00AE62E8" w:rsidRPr="00756F07">
          <w:rPr>
            <w:rStyle w:val="Hyperlink"/>
          </w:rPr>
          <w:t>cancelled</w:t>
        </w:r>
      </w:hyperlink>
      <w:r w:rsidR="00AE62E8" w:rsidRPr="00756F07">
        <w:t xml:space="preserve"> the licences of 2 operators </w:t>
      </w:r>
      <w:r w:rsidR="00F40783" w:rsidRPr="00756F07">
        <w:t xml:space="preserve">in the 28 GHz band </w:t>
      </w:r>
      <w:r w:rsidRPr="00756F07">
        <w:t>–</w:t>
      </w:r>
      <w:r w:rsidR="001E307E" w:rsidRPr="00756F07">
        <w:t xml:space="preserve"> KT and Uplus </w:t>
      </w:r>
      <w:r w:rsidRPr="00756F07">
        <w:t>–</w:t>
      </w:r>
      <w:r w:rsidR="001E307E" w:rsidRPr="00756F07">
        <w:t xml:space="preserve"> </w:t>
      </w:r>
      <w:r w:rsidR="00F40783" w:rsidRPr="00756F07">
        <w:t>due to their failure to meet rollout obligations.</w:t>
      </w:r>
      <w:r w:rsidR="001E307E" w:rsidRPr="00756F07">
        <w:t xml:space="preserve"> </w:t>
      </w:r>
      <w:r w:rsidR="00662D19" w:rsidRPr="00756F07">
        <w:t>The operators have reportedly only built 10% of the required number of base stations, and mobile devices supporting the band are not available in the South Korean market.</w:t>
      </w:r>
    </w:p>
    <w:p w14:paraId="10B57391" w14:textId="3C039824" w:rsidR="000A7DE7" w:rsidRPr="00756F07" w:rsidRDefault="001E307E" w:rsidP="00135924">
      <w:r w:rsidRPr="00756F07">
        <w:t xml:space="preserve">An exception was granted to allow </w:t>
      </w:r>
      <w:r w:rsidR="00D21C82" w:rsidRPr="00756F07">
        <w:t>the operators</w:t>
      </w:r>
      <w:r w:rsidRPr="00756F07">
        <w:t xml:space="preserve"> to continue to use the band to provide backhaul </w:t>
      </w:r>
      <w:r w:rsidR="00D21C82" w:rsidRPr="00756F07">
        <w:t xml:space="preserve">to a Wi-Fi service </w:t>
      </w:r>
      <w:r w:rsidR="00322AA2" w:rsidRPr="00756F07">
        <w:t xml:space="preserve">on the </w:t>
      </w:r>
      <w:r w:rsidR="00D21C82" w:rsidRPr="00756F07">
        <w:t xml:space="preserve">Seoul </w:t>
      </w:r>
      <w:r w:rsidR="00322AA2" w:rsidRPr="00756F07">
        <w:t>underground rail network</w:t>
      </w:r>
      <w:r w:rsidR="00D21C82" w:rsidRPr="00756F07">
        <w:t>.</w:t>
      </w:r>
      <w:r w:rsidR="0028144F" w:rsidRPr="00756F07">
        <w:t xml:space="preserve"> </w:t>
      </w:r>
    </w:p>
    <w:p w14:paraId="10671246" w14:textId="0C70FF8A" w:rsidR="00135924" w:rsidRPr="00756F07" w:rsidRDefault="00C61D59" w:rsidP="00135924">
      <w:r w:rsidRPr="00756F07">
        <w:t>A third operator</w:t>
      </w:r>
      <w:r w:rsidR="00D21C82" w:rsidRPr="00756F07">
        <w:t xml:space="preserve">, </w:t>
      </w:r>
      <w:r w:rsidR="00A703EB" w:rsidRPr="00756F07">
        <w:t>SK Telecom,</w:t>
      </w:r>
      <w:r w:rsidRPr="00756F07">
        <w:t xml:space="preserve"> had</w:t>
      </w:r>
      <w:r w:rsidR="000A7DE7" w:rsidRPr="00756F07">
        <w:t xml:space="preserve"> its licence duration shortened by 6 months, and it will lose its licence </w:t>
      </w:r>
      <w:r w:rsidR="00A703EB" w:rsidRPr="00756F07">
        <w:t>altogether</w:t>
      </w:r>
      <w:r w:rsidR="000A7DE7" w:rsidRPr="00756F07">
        <w:t xml:space="preserve"> if it doesn’t meet </w:t>
      </w:r>
      <w:r w:rsidR="00A703EB" w:rsidRPr="00756F07">
        <w:t>the rollout condition of 15,000 base stations by the end of May.</w:t>
      </w:r>
    </w:p>
    <w:p w14:paraId="6608073B" w14:textId="1866528F" w:rsidR="00B2186C" w:rsidRPr="00756F07" w:rsidRDefault="00B2186C" w:rsidP="00135924">
      <w:r w:rsidRPr="00756F07">
        <w:t>All 3 operators met the rollout conditions for the 3.5 GHz band (part of the same original award).</w:t>
      </w:r>
    </w:p>
    <w:p w14:paraId="67CF4221" w14:textId="32746E72" w:rsidR="00BA10B0" w:rsidRPr="00756F07" w:rsidRDefault="00BA10B0" w:rsidP="007E6618">
      <w:pPr>
        <w:rPr>
          <w:rFonts w:cs="Arial"/>
          <w:b/>
          <w:bCs/>
          <w:szCs w:val="20"/>
        </w:rPr>
      </w:pPr>
      <w:r w:rsidRPr="00756F07">
        <w:rPr>
          <w:rFonts w:cs="Arial"/>
          <w:b/>
          <w:bCs/>
          <w:szCs w:val="20"/>
        </w:rPr>
        <w:t xml:space="preserve">(For information in </w:t>
      </w:r>
      <w:r w:rsidR="00BC2A6F" w:rsidRPr="00756F07">
        <w:rPr>
          <w:rFonts w:cs="Arial"/>
          <w:b/>
          <w:bCs/>
          <w:szCs w:val="20"/>
        </w:rPr>
        <w:t xml:space="preserve">SE, </w:t>
      </w:r>
      <w:r w:rsidR="00FF28BB" w:rsidRPr="00756F07">
        <w:rPr>
          <w:rFonts w:cs="Arial"/>
          <w:b/>
          <w:bCs/>
          <w:szCs w:val="20"/>
        </w:rPr>
        <w:t>PT1)</w:t>
      </w:r>
    </w:p>
    <w:p w14:paraId="4D2D26EA" w14:textId="77777777" w:rsidR="004B2C0D" w:rsidRPr="00756F07" w:rsidRDefault="004B2C0D" w:rsidP="007E6618">
      <w:pPr>
        <w:rPr>
          <w:rFonts w:cs="Arial"/>
          <w:b/>
          <w:bCs/>
          <w:szCs w:val="20"/>
        </w:rPr>
      </w:pPr>
    </w:p>
    <w:p w14:paraId="7704A874" w14:textId="302CFFAB" w:rsidR="00661406" w:rsidRPr="00756F07" w:rsidRDefault="00D2455A" w:rsidP="00661406">
      <w:pPr>
        <w:pStyle w:val="Heading2"/>
        <w:rPr>
          <w:lang w:val="en-GB"/>
        </w:rPr>
      </w:pPr>
      <w:bookmarkStart w:id="5" w:name="_Toc132730322"/>
      <w:r w:rsidRPr="00756F07">
        <w:rPr>
          <w:lang w:val="en-GB"/>
        </w:rPr>
        <w:t xml:space="preserve">Saudi Arabia </w:t>
      </w:r>
      <w:r w:rsidR="00D23571" w:rsidRPr="00756F07">
        <w:rPr>
          <w:lang w:val="en-GB"/>
        </w:rPr>
        <w:t xml:space="preserve">NTN </w:t>
      </w:r>
      <w:r w:rsidRPr="00756F07">
        <w:rPr>
          <w:lang w:val="en-GB"/>
        </w:rPr>
        <w:t>auction</w:t>
      </w:r>
      <w:bookmarkEnd w:id="5"/>
    </w:p>
    <w:p w14:paraId="7564EF3B" w14:textId="2B166E76" w:rsidR="0080248A" w:rsidRPr="00756F07" w:rsidRDefault="0080248A" w:rsidP="00661406">
      <w:r w:rsidRPr="00756F07">
        <w:t xml:space="preserve">The Saudi Arabian auction of spectrum for NTN (non-terrestrial networks) in 1980-2010 MHz (downlink) and 2170-2200 MHz (uplink) </w:t>
      </w:r>
      <w:hyperlink r:id="rId11" w:history="1">
        <w:r w:rsidRPr="00756F07">
          <w:rPr>
            <w:rStyle w:val="Hyperlink"/>
          </w:rPr>
          <w:t>concluded</w:t>
        </w:r>
      </w:hyperlink>
      <w:r w:rsidRPr="00756F07">
        <w:t xml:space="preserve"> </w:t>
      </w:r>
      <w:r w:rsidR="00325558" w:rsidRPr="00756F07">
        <w:t xml:space="preserve">in early December 2023 with </w:t>
      </w:r>
      <w:r w:rsidR="00191987" w:rsidRPr="00756F07">
        <w:t xml:space="preserve">the main operator </w:t>
      </w:r>
      <w:r w:rsidR="00325558" w:rsidRPr="00756F07">
        <w:t>Saudi Telecommunication Company</w:t>
      </w:r>
      <w:r w:rsidR="00191987" w:rsidRPr="00756F07">
        <w:t xml:space="preserve"> </w:t>
      </w:r>
      <w:r w:rsidR="00BD156B" w:rsidRPr="00756F07">
        <w:t xml:space="preserve">(STC) </w:t>
      </w:r>
      <w:r w:rsidR="00191987" w:rsidRPr="00756F07">
        <w:t>winning both licences.</w:t>
      </w:r>
    </w:p>
    <w:p w14:paraId="2FF0D09C" w14:textId="354F7216" w:rsidR="005162B9" w:rsidRPr="00756F07" w:rsidRDefault="005162B9" w:rsidP="00661406">
      <w:r w:rsidRPr="00756F07">
        <w:lastRenderedPageBreak/>
        <w:t xml:space="preserve">STC is now required to </w:t>
      </w:r>
      <w:r w:rsidR="00C86B04" w:rsidRPr="00756F07">
        <w:t xml:space="preserve">provide nationwide </w:t>
      </w:r>
      <w:r w:rsidR="00BD7FD9" w:rsidRPr="00756F07">
        <w:t>mobile satellite services</w:t>
      </w:r>
      <w:r w:rsidR="004971C4" w:rsidRPr="00756F07">
        <w:t xml:space="preserve"> as well as to build an air-to-ground network</w:t>
      </w:r>
      <w:r w:rsidR="00BD7FD9" w:rsidRPr="00756F07">
        <w:t xml:space="preserve"> covering the main national air routes.</w:t>
      </w:r>
    </w:p>
    <w:p w14:paraId="4FE09D70" w14:textId="1992D956" w:rsidR="00661406" w:rsidRPr="00756F07" w:rsidRDefault="00661406" w:rsidP="00486703">
      <w:pPr>
        <w:rPr>
          <w:rFonts w:cs="Arial"/>
          <w:b/>
          <w:bCs/>
          <w:szCs w:val="20"/>
        </w:rPr>
      </w:pPr>
      <w:r w:rsidRPr="00756F07">
        <w:rPr>
          <w:rFonts w:cs="Arial"/>
          <w:b/>
          <w:bCs/>
          <w:szCs w:val="20"/>
        </w:rPr>
        <w:t>(For information in PT1</w:t>
      </w:r>
      <w:r w:rsidR="00FD5554" w:rsidRPr="00756F07">
        <w:rPr>
          <w:rFonts w:cs="Arial"/>
          <w:b/>
          <w:bCs/>
          <w:szCs w:val="20"/>
        </w:rPr>
        <w:t>, FM44</w:t>
      </w:r>
      <w:r w:rsidR="00756F07" w:rsidRPr="00756F07">
        <w:rPr>
          <w:rFonts w:cs="Arial"/>
          <w:b/>
          <w:bCs/>
          <w:szCs w:val="20"/>
        </w:rPr>
        <w:t>, SE40</w:t>
      </w:r>
      <w:r w:rsidRPr="00756F07">
        <w:rPr>
          <w:rFonts w:cs="Arial"/>
          <w:b/>
          <w:bCs/>
          <w:szCs w:val="20"/>
        </w:rPr>
        <w:t>)</w:t>
      </w:r>
    </w:p>
    <w:p w14:paraId="3ECE188A" w14:textId="398AF1F5" w:rsidR="004328D1" w:rsidRPr="00756F07" w:rsidRDefault="00DE5B05" w:rsidP="002925C3">
      <w:pPr>
        <w:pStyle w:val="Heading1"/>
        <w:ind w:left="432" w:hanging="432"/>
        <w:rPr>
          <w:rStyle w:val="ECCParagraph"/>
          <w:szCs w:val="20"/>
        </w:rPr>
      </w:pPr>
      <w:bookmarkStart w:id="6" w:name="_Toc132730323"/>
      <w:r w:rsidRPr="00756F07">
        <w:rPr>
          <w:rStyle w:val="ECCParagraph"/>
          <w:szCs w:val="20"/>
        </w:rPr>
        <w:t>Americas (CITEL)</w:t>
      </w:r>
      <w:bookmarkEnd w:id="6"/>
    </w:p>
    <w:p w14:paraId="4DCFA5DA" w14:textId="315669DB" w:rsidR="00DE5B05" w:rsidRPr="00756F07" w:rsidRDefault="00DE5B05" w:rsidP="00DE5B05">
      <w:pPr>
        <w:pStyle w:val="Heading2"/>
        <w:rPr>
          <w:lang w:val="en-GB"/>
        </w:rPr>
      </w:pPr>
      <w:bookmarkStart w:id="7" w:name="_Toc132730324"/>
      <w:r w:rsidRPr="00756F07">
        <w:rPr>
          <w:lang w:val="en-GB"/>
        </w:rPr>
        <w:t>USA</w:t>
      </w:r>
      <w:bookmarkEnd w:id="7"/>
    </w:p>
    <w:p w14:paraId="62CC1567" w14:textId="62244CE2" w:rsidR="00BA0243" w:rsidRPr="00756F07" w:rsidRDefault="006829B9" w:rsidP="006829B9">
      <w:pPr>
        <w:pStyle w:val="Heading3"/>
      </w:pPr>
      <w:bookmarkStart w:id="8" w:name="_Toc132730325"/>
      <w:r w:rsidRPr="00756F07">
        <w:t>R</w:t>
      </w:r>
      <w:r w:rsidR="00BA0243" w:rsidRPr="00756F07">
        <w:t>adio altimeters</w:t>
      </w:r>
      <w:r w:rsidR="00E00929" w:rsidRPr="00756F07">
        <w:t xml:space="preserve"> 4.2-4.4 GHz</w:t>
      </w:r>
      <w:bookmarkEnd w:id="8"/>
    </w:p>
    <w:p w14:paraId="5C7B4C97" w14:textId="44286716" w:rsidR="00815D3D" w:rsidRPr="00756F07" w:rsidRDefault="00CF7E4B" w:rsidP="00BA0243">
      <w:pPr>
        <w:rPr>
          <w:rFonts w:cs="Arial"/>
          <w:szCs w:val="20"/>
        </w:rPr>
      </w:pPr>
      <w:r w:rsidRPr="00756F07">
        <w:rPr>
          <w:rFonts w:cs="Arial"/>
          <w:szCs w:val="20"/>
        </w:rPr>
        <w:t xml:space="preserve">In January the FAA issued a new </w:t>
      </w:r>
      <w:hyperlink r:id="rId12" w:history="1">
        <w:r w:rsidRPr="00756F07">
          <w:rPr>
            <w:rStyle w:val="Hyperlink"/>
            <w:rFonts w:cs="Arial"/>
            <w:szCs w:val="20"/>
          </w:rPr>
          <w:t>Notice of Proposed Rulemaking</w:t>
        </w:r>
      </w:hyperlink>
      <w:r w:rsidRPr="00756F07">
        <w:rPr>
          <w:rFonts w:cs="Arial"/>
          <w:szCs w:val="20"/>
        </w:rPr>
        <w:t xml:space="preserve"> </w:t>
      </w:r>
      <w:r w:rsidR="00D45124" w:rsidRPr="00756F07">
        <w:rPr>
          <w:rFonts w:cs="Arial"/>
          <w:szCs w:val="20"/>
        </w:rPr>
        <w:t xml:space="preserve">setting out new </w:t>
      </w:r>
      <w:r w:rsidR="0027648B" w:rsidRPr="00756F07">
        <w:rPr>
          <w:rFonts w:cs="Arial"/>
          <w:szCs w:val="20"/>
        </w:rPr>
        <w:t>minimum performance standar</w:t>
      </w:r>
      <w:r w:rsidR="0026408B" w:rsidRPr="00756F07">
        <w:rPr>
          <w:rFonts w:cs="Arial"/>
          <w:szCs w:val="20"/>
        </w:rPr>
        <w:t>d</w:t>
      </w:r>
      <w:r w:rsidR="0027648B" w:rsidRPr="00756F07">
        <w:rPr>
          <w:rFonts w:cs="Arial"/>
          <w:szCs w:val="20"/>
        </w:rPr>
        <w:t>s</w:t>
      </w:r>
      <w:r w:rsidR="00D45124" w:rsidRPr="00756F07">
        <w:rPr>
          <w:rFonts w:cs="Arial"/>
          <w:szCs w:val="20"/>
        </w:rPr>
        <w:t xml:space="preserve"> for radio altimeters </w:t>
      </w:r>
      <w:r w:rsidR="00D42B2C" w:rsidRPr="00756F07">
        <w:rPr>
          <w:rFonts w:cs="Arial"/>
          <w:szCs w:val="20"/>
        </w:rPr>
        <w:t xml:space="preserve">which would be effective from 1 February 2024. The proposed </w:t>
      </w:r>
      <w:r w:rsidR="001217D2" w:rsidRPr="00756F07">
        <w:rPr>
          <w:rFonts w:cs="Arial"/>
          <w:szCs w:val="20"/>
        </w:rPr>
        <w:t>requirements</w:t>
      </w:r>
      <w:r w:rsidR="00D42B2C" w:rsidRPr="00756F07">
        <w:rPr>
          <w:rFonts w:cs="Arial"/>
          <w:szCs w:val="20"/>
        </w:rPr>
        <w:t xml:space="preserve"> are specified as</w:t>
      </w:r>
      <w:r w:rsidR="004669C1" w:rsidRPr="00756F07">
        <w:rPr>
          <w:rFonts w:cs="Arial"/>
          <w:szCs w:val="20"/>
        </w:rPr>
        <w:t xml:space="preserve"> tolerance to </w:t>
      </w:r>
      <w:r w:rsidR="001975FC" w:rsidRPr="00756F07">
        <w:rPr>
          <w:rFonts w:cs="Arial"/>
          <w:szCs w:val="20"/>
        </w:rPr>
        <w:t>interference</w:t>
      </w:r>
      <w:r w:rsidR="00D42B2C" w:rsidRPr="00756F07">
        <w:rPr>
          <w:rFonts w:cs="Arial"/>
          <w:szCs w:val="20"/>
        </w:rPr>
        <w:t xml:space="preserve"> </w:t>
      </w:r>
      <w:r w:rsidR="009239A1" w:rsidRPr="00756F07">
        <w:rPr>
          <w:rFonts w:cs="Arial"/>
          <w:szCs w:val="20"/>
        </w:rPr>
        <w:t xml:space="preserve">EIRP PSD </w:t>
      </w:r>
      <w:r w:rsidR="001217D2" w:rsidRPr="00756F07">
        <w:rPr>
          <w:rFonts w:cs="Arial"/>
          <w:szCs w:val="20"/>
        </w:rPr>
        <w:t>levels</w:t>
      </w:r>
      <w:r w:rsidR="009239A1" w:rsidRPr="00756F07">
        <w:rPr>
          <w:rFonts w:cs="Arial"/>
          <w:szCs w:val="20"/>
        </w:rPr>
        <w:t xml:space="preserve"> as a function of the aircraft’s height</w:t>
      </w:r>
      <w:r w:rsidR="00AC4FC7" w:rsidRPr="00756F07">
        <w:rPr>
          <w:rFonts w:cs="Arial"/>
          <w:szCs w:val="20"/>
        </w:rPr>
        <w:t xml:space="preserve"> (see below)</w:t>
      </w:r>
      <w:r w:rsidR="00F915F0" w:rsidRPr="00756F07">
        <w:rPr>
          <w:rFonts w:cs="Arial"/>
          <w:szCs w:val="20"/>
        </w:rPr>
        <w:t xml:space="preserve">, as well as an aggregate </w:t>
      </w:r>
      <w:r w:rsidR="00CF7752" w:rsidRPr="00756F07">
        <w:rPr>
          <w:rFonts w:cs="Arial"/>
          <w:szCs w:val="20"/>
        </w:rPr>
        <w:t xml:space="preserve">conducted base station </w:t>
      </w:r>
      <w:r w:rsidR="00F915F0" w:rsidRPr="00756F07">
        <w:rPr>
          <w:rFonts w:cs="Arial"/>
          <w:szCs w:val="20"/>
        </w:rPr>
        <w:t xml:space="preserve">spurious emission level of </w:t>
      </w:r>
      <w:r w:rsidR="00CF7752" w:rsidRPr="00756F07">
        <w:rPr>
          <w:rFonts w:cs="Arial"/>
          <w:szCs w:val="20"/>
        </w:rPr>
        <w:t>-48 MHz/MHz within the 4.2-4.4 GHz band</w:t>
      </w:r>
      <w:r w:rsidR="009239A1" w:rsidRPr="00756F07">
        <w:rPr>
          <w:rFonts w:cs="Arial"/>
          <w:szCs w:val="20"/>
        </w:rPr>
        <w:t xml:space="preserve">. </w:t>
      </w:r>
      <w:r w:rsidR="00623E9E" w:rsidRPr="00756F07">
        <w:rPr>
          <w:rFonts w:cs="Arial"/>
          <w:szCs w:val="20"/>
        </w:rPr>
        <w:t xml:space="preserve">Aircraft operators with the </w:t>
      </w:r>
      <w:r w:rsidR="0027648B" w:rsidRPr="00756F07">
        <w:rPr>
          <w:rFonts w:cs="Arial"/>
          <w:szCs w:val="20"/>
        </w:rPr>
        <w:t xml:space="preserve">most susceptible altimeters would need to either add filters or retrofit the equipment </w:t>
      </w:r>
      <w:proofErr w:type="gramStart"/>
      <w:r w:rsidR="0027648B" w:rsidRPr="00756F07">
        <w:rPr>
          <w:rFonts w:cs="Arial"/>
          <w:szCs w:val="20"/>
        </w:rPr>
        <w:t>in order to</w:t>
      </w:r>
      <w:proofErr w:type="gramEnd"/>
      <w:r w:rsidR="0027648B" w:rsidRPr="00756F07">
        <w:rPr>
          <w:rFonts w:cs="Arial"/>
          <w:szCs w:val="20"/>
        </w:rPr>
        <w:t xml:space="preserve"> meet these new requirements.</w:t>
      </w:r>
    </w:p>
    <w:p w14:paraId="524687D8" w14:textId="74EE1E61" w:rsidR="00DF44A3" w:rsidRPr="00756F07" w:rsidRDefault="00AC4FC7" w:rsidP="0026408B">
      <w:pPr>
        <w:jc w:val="center"/>
        <w:rPr>
          <w:rFonts w:cs="Arial"/>
          <w:szCs w:val="20"/>
        </w:rPr>
      </w:pPr>
      <w:r w:rsidRPr="00756F07">
        <w:rPr>
          <w:noProof/>
        </w:rPr>
        <w:drawing>
          <wp:inline distT="0" distB="0" distL="0" distR="0" wp14:anchorId="11D4C81A" wp14:editId="4315A3A9">
            <wp:extent cx="5198102" cy="3810000"/>
            <wp:effectExtent l="0" t="0" r="3175"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84" cy="3811893"/>
                    </a:xfrm>
                    <a:prstGeom prst="rect">
                      <a:avLst/>
                    </a:prstGeom>
                    <a:noFill/>
                    <a:ln>
                      <a:noFill/>
                    </a:ln>
                  </pic:spPr>
                </pic:pic>
              </a:graphicData>
            </a:graphic>
          </wp:inline>
        </w:drawing>
      </w:r>
    </w:p>
    <w:p w14:paraId="04999D14" w14:textId="34A8B7CB" w:rsidR="00232DF7" w:rsidRPr="00756F07" w:rsidRDefault="00232DF7" w:rsidP="00BA0243">
      <w:pPr>
        <w:rPr>
          <w:rFonts w:cs="Arial"/>
          <w:szCs w:val="20"/>
        </w:rPr>
      </w:pPr>
      <w:r w:rsidRPr="00756F07">
        <w:rPr>
          <w:rFonts w:cs="Arial"/>
          <w:szCs w:val="20"/>
        </w:rPr>
        <w:t>Comments were invited on the proposed rules until 10 February.</w:t>
      </w:r>
    </w:p>
    <w:p w14:paraId="0648345E" w14:textId="2162AFE1" w:rsidR="0027648B" w:rsidRPr="00756F07" w:rsidRDefault="00232DF7" w:rsidP="00BA0243">
      <w:pPr>
        <w:rPr>
          <w:rFonts w:cs="Arial"/>
          <w:szCs w:val="20"/>
        </w:rPr>
      </w:pPr>
      <w:r w:rsidRPr="00756F07">
        <w:rPr>
          <w:rFonts w:cs="Arial"/>
          <w:szCs w:val="20"/>
        </w:rPr>
        <w:t xml:space="preserve">The new limits would supersede the </w:t>
      </w:r>
      <w:r w:rsidR="00D13542" w:rsidRPr="00756F07">
        <w:rPr>
          <w:rFonts w:cs="Arial"/>
          <w:szCs w:val="20"/>
        </w:rPr>
        <w:t>existing restrictions requiring limitations on 5G deployments around airports</w:t>
      </w:r>
      <w:r w:rsidR="001755E0" w:rsidRPr="00756F07">
        <w:rPr>
          <w:rFonts w:cs="Arial"/>
          <w:szCs w:val="20"/>
        </w:rPr>
        <w:t>, as reported in previous Bulletins.</w:t>
      </w:r>
    </w:p>
    <w:p w14:paraId="10B9EE99" w14:textId="30E1D82B" w:rsidR="00BA0243" w:rsidRDefault="00BA0243" w:rsidP="00BA0243">
      <w:pPr>
        <w:rPr>
          <w:rFonts w:cs="Arial"/>
          <w:b/>
          <w:bCs/>
          <w:szCs w:val="20"/>
        </w:rPr>
      </w:pPr>
      <w:r w:rsidRPr="00756F07">
        <w:rPr>
          <w:rFonts w:cs="Arial"/>
          <w:b/>
          <w:bCs/>
          <w:szCs w:val="20"/>
        </w:rPr>
        <w:t>(For information in PT1)</w:t>
      </w:r>
    </w:p>
    <w:p w14:paraId="6F1CE576" w14:textId="77777777" w:rsidR="00756F07" w:rsidRPr="00756F07" w:rsidRDefault="00756F07" w:rsidP="00BA0243">
      <w:pPr>
        <w:rPr>
          <w:rFonts w:cs="Arial"/>
          <w:b/>
          <w:bCs/>
          <w:szCs w:val="20"/>
        </w:rPr>
      </w:pPr>
    </w:p>
    <w:p w14:paraId="4794FD54" w14:textId="2CCA2DFF" w:rsidR="00672A5C" w:rsidRPr="00756F07" w:rsidRDefault="00672A5C" w:rsidP="00672A5C">
      <w:pPr>
        <w:pStyle w:val="Heading3"/>
        <w:rPr>
          <w:lang w:val="en-GB"/>
        </w:rPr>
      </w:pPr>
      <w:bookmarkStart w:id="9" w:name="_Toc132730326"/>
      <w:r w:rsidRPr="00756F07">
        <w:rPr>
          <w:lang w:val="en-GB"/>
        </w:rPr>
        <w:t xml:space="preserve">SpaceX </w:t>
      </w:r>
      <w:proofErr w:type="spellStart"/>
      <w:r w:rsidR="00A211C1" w:rsidRPr="00756F07">
        <w:rPr>
          <w:lang w:val="en-GB"/>
        </w:rPr>
        <w:t>Starlink</w:t>
      </w:r>
      <w:proofErr w:type="spellEnd"/>
      <w:r w:rsidR="00A211C1" w:rsidRPr="00756F07">
        <w:rPr>
          <w:lang w:val="en-GB"/>
        </w:rPr>
        <w:t xml:space="preserve"> </w:t>
      </w:r>
      <w:r w:rsidR="00D43474" w:rsidRPr="00756F07">
        <w:rPr>
          <w:lang w:val="en-GB"/>
        </w:rPr>
        <w:t>second generation constellation FCC filings</w:t>
      </w:r>
      <w:bookmarkEnd w:id="9"/>
    </w:p>
    <w:p w14:paraId="720B0598" w14:textId="71E3BAF0" w:rsidR="00D43474" w:rsidRPr="00756F07" w:rsidRDefault="00D43474" w:rsidP="00BA0243">
      <w:pPr>
        <w:rPr>
          <w:rFonts w:cs="Arial"/>
          <w:szCs w:val="20"/>
        </w:rPr>
      </w:pPr>
      <w:r w:rsidRPr="00756F07">
        <w:rPr>
          <w:rFonts w:cs="Arial"/>
          <w:szCs w:val="20"/>
        </w:rPr>
        <w:t xml:space="preserve">In December 2022 the FCC </w:t>
      </w:r>
      <w:hyperlink r:id="rId14" w:history="1">
        <w:r w:rsidRPr="00756F07">
          <w:rPr>
            <w:rStyle w:val="Hyperlink"/>
            <w:rFonts w:cs="Arial"/>
            <w:szCs w:val="20"/>
          </w:rPr>
          <w:t>approved</w:t>
        </w:r>
      </w:hyperlink>
      <w:r w:rsidRPr="00756F07">
        <w:rPr>
          <w:rFonts w:cs="Arial"/>
          <w:szCs w:val="20"/>
        </w:rPr>
        <w:t xml:space="preserve"> part of SpaceX’s </w:t>
      </w:r>
      <w:r w:rsidR="007F61F1" w:rsidRPr="00756F07">
        <w:rPr>
          <w:rFonts w:cs="Arial"/>
          <w:szCs w:val="20"/>
        </w:rPr>
        <w:t xml:space="preserve">application for approval of its second generation of the </w:t>
      </w:r>
      <w:proofErr w:type="spellStart"/>
      <w:r w:rsidR="007F61F1" w:rsidRPr="00756F07">
        <w:rPr>
          <w:rFonts w:cs="Arial"/>
          <w:szCs w:val="20"/>
        </w:rPr>
        <w:t>Starlink</w:t>
      </w:r>
      <w:proofErr w:type="spellEnd"/>
      <w:r w:rsidR="007F61F1" w:rsidRPr="00756F07">
        <w:rPr>
          <w:rFonts w:cs="Arial"/>
          <w:szCs w:val="20"/>
        </w:rPr>
        <w:t xml:space="preserve"> constellation</w:t>
      </w:r>
      <w:r w:rsidR="00FF1413" w:rsidRPr="00756F07">
        <w:rPr>
          <w:rFonts w:cs="Arial"/>
          <w:szCs w:val="20"/>
        </w:rPr>
        <w:t xml:space="preserve"> “Gen2”</w:t>
      </w:r>
      <w:r w:rsidR="007F61F1" w:rsidRPr="00756F07">
        <w:rPr>
          <w:rFonts w:cs="Arial"/>
          <w:szCs w:val="20"/>
        </w:rPr>
        <w:t xml:space="preserve">. The partial approval allows the operator to deploy </w:t>
      </w:r>
      <w:r w:rsidR="00AD2994" w:rsidRPr="00756F07">
        <w:rPr>
          <w:rFonts w:cs="Arial"/>
          <w:szCs w:val="20"/>
        </w:rPr>
        <w:t xml:space="preserve">a new constellation of </w:t>
      </w:r>
      <w:r w:rsidR="007F61F1" w:rsidRPr="00756F07">
        <w:rPr>
          <w:rFonts w:cs="Arial"/>
          <w:szCs w:val="20"/>
        </w:rPr>
        <w:t xml:space="preserve">up to </w:t>
      </w:r>
      <w:r w:rsidR="007F61F1" w:rsidRPr="00756F07">
        <w:rPr>
          <w:rFonts w:cs="Arial"/>
          <w:szCs w:val="20"/>
        </w:rPr>
        <w:lastRenderedPageBreak/>
        <w:t>7500 satellites</w:t>
      </w:r>
      <w:r w:rsidR="00FF1413" w:rsidRPr="00756F07">
        <w:rPr>
          <w:rFonts w:cs="Arial"/>
          <w:szCs w:val="20"/>
        </w:rPr>
        <w:t>, whereas SpaceX had requested 29988 satellites.</w:t>
      </w:r>
      <w:r w:rsidR="00DC1252" w:rsidRPr="00756F07">
        <w:rPr>
          <w:rFonts w:cs="Arial"/>
          <w:szCs w:val="20"/>
        </w:rPr>
        <w:t xml:space="preserve"> The approval covers frequencies </w:t>
      </w:r>
      <w:r w:rsidR="00267B23" w:rsidRPr="00756F07">
        <w:rPr>
          <w:rFonts w:cs="Arial"/>
          <w:szCs w:val="20"/>
        </w:rPr>
        <w:t xml:space="preserve">for user links in the </w:t>
      </w:r>
      <w:r w:rsidR="00DC1252" w:rsidRPr="00756F07">
        <w:rPr>
          <w:rFonts w:cs="Arial"/>
          <w:szCs w:val="20"/>
        </w:rPr>
        <w:t>Ku</w:t>
      </w:r>
      <w:r w:rsidR="00267B23" w:rsidRPr="00756F07">
        <w:rPr>
          <w:rFonts w:cs="Arial"/>
          <w:szCs w:val="20"/>
        </w:rPr>
        <w:t xml:space="preserve"> Band</w:t>
      </w:r>
      <w:r w:rsidR="00DC1252" w:rsidRPr="00756F07">
        <w:rPr>
          <w:rFonts w:cs="Arial"/>
          <w:szCs w:val="20"/>
        </w:rPr>
        <w:t xml:space="preserve"> </w:t>
      </w:r>
      <w:r w:rsidR="00C316FD" w:rsidRPr="00756F07">
        <w:rPr>
          <w:rFonts w:cs="Arial"/>
          <w:szCs w:val="20"/>
        </w:rPr>
        <w:t>(</w:t>
      </w:r>
      <w:r w:rsidR="00C316FD" w:rsidRPr="00756F07">
        <w:rPr>
          <w:rFonts w:cs="Arial"/>
        </w:rPr>
        <w:t>10.7-12.75 GHz s</w:t>
      </w:r>
      <w:r w:rsidR="00150705" w:rsidRPr="00756F07">
        <w:rPr>
          <w:rFonts w:cs="Arial"/>
        </w:rPr>
        <w:t>pace</w:t>
      </w:r>
      <w:r w:rsidR="00C316FD" w:rsidRPr="00756F07">
        <w:rPr>
          <w:rFonts w:cs="Arial"/>
        </w:rPr>
        <w:t>-E</w:t>
      </w:r>
      <w:r w:rsidR="00150705" w:rsidRPr="00756F07">
        <w:rPr>
          <w:rFonts w:cs="Arial"/>
        </w:rPr>
        <w:t>arth, 12.75-13.25 GHz and</w:t>
      </w:r>
      <w:r w:rsidR="00693F4A" w:rsidRPr="00756F07">
        <w:rPr>
          <w:rFonts w:cs="Arial"/>
        </w:rPr>
        <w:t xml:space="preserve"> </w:t>
      </w:r>
      <w:r w:rsidR="00150705" w:rsidRPr="00756F07">
        <w:rPr>
          <w:rFonts w:cs="Arial"/>
        </w:rPr>
        <w:t>14.0-14.5 GHz Earth-space</w:t>
      </w:r>
      <w:r w:rsidR="00C316FD" w:rsidRPr="00756F07">
        <w:rPr>
          <w:rFonts w:cs="Arial"/>
          <w:szCs w:val="20"/>
        </w:rPr>
        <w:t>)</w:t>
      </w:r>
      <w:r w:rsidR="00150705" w:rsidRPr="00756F07">
        <w:rPr>
          <w:rFonts w:cs="Arial"/>
          <w:szCs w:val="20"/>
        </w:rPr>
        <w:t xml:space="preserve"> </w:t>
      </w:r>
      <w:r w:rsidR="00DC1252" w:rsidRPr="00756F07">
        <w:rPr>
          <w:rFonts w:cs="Arial"/>
          <w:szCs w:val="20"/>
        </w:rPr>
        <w:t xml:space="preserve">and </w:t>
      </w:r>
      <w:r w:rsidR="00693F4A" w:rsidRPr="00756F07">
        <w:rPr>
          <w:rFonts w:cs="Arial"/>
          <w:szCs w:val="20"/>
        </w:rPr>
        <w:t xml:space="preserve">both user and gateway links in </w:t>
      </w:r>
      <w:r w:rsidR="00DC1252" w:rsidRPr="00756F07">
        <w:rPr>
          <w:rFonts w:cs="Arial"/>
          <w:szCs w:val="20"/>
        </w:rPr>
        <w:t xml:space="preserve">Ka </w:t>
      </w:r>
      <w:r w:rsidR="00693F4A" w:rsidRPr="00756F07">
        <w:rPr>
          <w:rFonts w:cs="Arial"/>
          <w:szCs w:val="20"/>
        </w:rPr>
        <w:t xml:space="preserve">Band </w:t>
      </w:r>
      <w:r w:rsidR="0096564E" w:rsidRPr="00756F07">
        <w:rPr>
          <w:rFonts w:cs="Arial"/>
          <w:szCs w:val="20"/>
        </w:rPr>
        <w:t>(</w:t>
      </w:r>
      <w:r w:rsidR="0096564E" w:rsidRPr="00756F07">
        <w:rPr>
          <w:rFonts w:cs="Arial"/>
        </w:rPr>
        <w:t>18.8-19.3 GHz and 19.7-20.2 GHz space-Earth</w:t>
      </w:r>
      <w:r w:rsidR="00E102AB" w:rsidRPr="00756F07">
        <w:rPr>
          <w:rFonts w:cs="Arial"/>
        </w:rPr>
        <w:t>, 7.5-29.1</w:t>
      </w:r>
      <w:r w:rsidR="00E102AB" w:rsidRPr="00756F07">
        <w:t xml:space="preserve"> </w:t>
      </w:r>
      <w:r w:rsidR="00E102AB" w:rsidRPr="00756F07">
        <w:rPr>
          <w:rFonts w:cs="Arial"/>
        </w:rPr>
        <w:t>GHz and 29.5-30.0 GHz Earth-space)</w:t>
      </w:r>
      <w:r w:rsidR="00DC1252" w:rsidRPr="00756F07">
        <w:rPr>
          <w:rFonts w:cs="Arial"/>
          <w:szCs w:val="20"/>
        </w:rPr>
        <w:t>, at</w:t>
      </w:r>
      <w:r w:rsidR="00B51514" w:rsidRPr="00756F07">
        <w:rPr>
          <w:rFonts w:cs="Arial"/>
          <w:szCs w:val="20"/>
        </w:rPr>
        <w:t xml:space="preserve"> </w:t>
      </w:r>
      <w:r w:rsidR="006B1F9C" w:rsidRPr="00756F07">
        <w:rPr>
          <w:rFonts w:cs="Arial"/>
          <w:szCs w:val="20"/>
        </w:rPr>
        <w:t>altitudes</w:t>
      </w:r>
      <w:r w:rsidR="00B51514" w:rsidRPr="00756F07">
        <w:rPr>
          <w:rFonts w:cs="Arial"/>
          <w:szCs w:val="20"/>
        </w:rPr>
        <w:t xml:space="preserve"> of </w:t>
      </w:r>
      <w:r w:rsidR="006B1F9C" w:rsidRPr="00756F07">
        <w:rPr>
          <w:rFonts w:cs="Arial"/>
          <w:szCs w:val="20"/>
        </w:rPr>
        <w:t>525, 530 and 535 km and orbit inclinations of 53, 43 and 33 degrees respectively.</w:t>
      </w:r>
      <w:r w:rsidR="00392006" w:rsidRPr="00756F07">
        <w:rPr>
          <w:rFonts w:cs="Arial"/>
          <w:szCs w:val="20"/>
        </w:rPr>
        <w:t xml:space="preserve"> Several conditions are attached to this approval,</w:t>
      </w:r>
      <w:r w:rsidR="004A4FB9" w:rsidRPr="00756F07">
        <w:rPr>
          <w:rFonts w:cs="Arial"/>
          <w:szCs w:val="20"/>
        </w:rPr>
        <w:t xml:space="preserve"> </w:t>
      </w:r>
      <w:proofErr w:type="gramStart"/>
      <w:r w:rsidR="004A4FB9" w:rsidRPr="00756F07">
        <w:rPr>
          <w:rFonts w:cs="Arial"/>
          <w:szCs w:val="20"/>
        </w:rPr>
        <w:t>in particular related</w:t>
      </w:r>
      <w:proofErr w:type="gramEnd"/>
      <w:r w:rsidR="004A4FB9" w:rsidRPr="00756F07">
        <w:rPr>
          <w:rFonts w:cs="Arial"/>
          <w:szCs w:val="20"/>
        </w:rPr>
        <w:t xml:space="preserve"> to EPFD limit compliance and orbital debris mitigation.</w:t>
      </w:r>
    </w:p>
    <w:p w14:paraId="187BDA2C" w14:textId="71B4C85D" w:rsidR="00436B00" w:rsidRPr="00756F07" w:rsidRDefault="00436B00" w:rsidP="00BA0243">
      <w:pPr>
        <w:rPr>
          <w:rFonts w:cs="Arial"/>
          <w:szCs w:val="20"/>
        </w:rPr>
      </w:pPr>
      <w:r w:rsidRPr="00756F07">
        <w:rPr>
          <w:rFonts w:cs="Arial"/>
          <w:szCs w:val="20"/>
        </w:rPr>
        <w:t xml:space="preserve">It is noted that SpaceX had previously received </w:t>
      </w:r>
      <w:hyperlink r:id="rId15" w:history="1">
        <w:r w:rsidR="004B4490" w:rsidRPr="00756F07">
          <w:rPr>
            <w:rStyle w:val="Hyperlink"/>
            <w:rFonts w:cs="Arial"/>
            <w:szCs w:val="20"/>
          </w:rPr>
          <w:t>authorisation</w:t>
        </w:r>
        <w:r w:rsidR="00904BBD" w:rsidRPr="00756F07">
          <w:rPr>
            <w:rStyle w:val="Hyperlink"/>
            <w:rFonts w:cs="Arial"/>
            <w:szCs w:val="20"/>
          </w:rPr>
          <w:t xml:space="preserve"> in 2018</w:t>
        </w:r>
      </w:hyperlink>
      <w:r w:rsidR="004B4490" w:rsidRPr="00756F07">
        <w:rPr>
          <w:rFonts w:cs="Arial"/>
          <w:szCs w:val="20"/>
        </w:rPr>
        <w:t xml:space="preserve"> for 7518 </w:t>
      </w:r>
      <w:r w:rsidR="00B07A45" w:rsidRPr="00756F07">
        <w:rPr>
          <w:rFonts w:cs="Arial"/>
          <w:szCs w:val="20"/>
        </w:rPr>
        <w:t xml:space="preserve">separate </w:t>
      </w:r>
      <w:r w:rsidR="004B4490" w:rsidRPr="00756F07">
        <w:rPr>
          <w:rFonts w:cs="Arial"/>
          <w:szCs w:val="20"/>
        </w:rPr>
        <w:t xml:space="preserve">satellites </w:t>
      </w:r>
      <w:r w:rsidR="00550DFA" w:rsidRPr="00756F07">
        <w:rPr>
          <w:rFonts w:cs="Arial"/>
          <w:szCs w:val="20"/>
        </w:rPr>
        <w:t>to operate in the V-Band</w:t>
      </w:r>
      <w:r w:rsidR="00A92013" w:rsidRPr="00756F07">
        <w:rPr>
          <w:rFonts w:cs="Arial"/>
          <w:szCs w:val="20"/>
        </w:rPr>
        <w:t xml:space="preserve"> (37.5-</w:t>
      </w:r>
      <w:r w:rsidR="00002B01" w:rsidRPr="00756F07">
        <w:rPr>
          <w:rFonts w:cs="Arial"/>
          <w:szCs w:val="20"/>
        </w:rPr>
        <w:t>52.4 GHz)</w:t>
      </w:r>
      <w:r w:rsidR="00550DFA" w:rsidRPr="00756F07">
        <w:rPr>
          <w:rFonts w:cs="Arial"/>
          <w:szCs w:val="20"/>
        </w:rPr>
        <w:t xml:space="preserve">. </w:t>
      </w:r>
      <w:proofErr w:type="gramStart"/>
      <w:r w:rsidR="00550DFA" w:rsidRPr="00756F07">
        <w:rPr>
          <w:rFonts w:cs="Arial"/>
          <w:szCs w:val="20"/>
        </w:rPr>
        <w:t>However</w:t>
      </w:r>
      <w:proofErr w:type="gramEnd"/>
      <w:r w:rsidR="00550DFA" w:rsidRPr="00756F07">
        <w:rPr>
          <w:rFonts w:cs="Arial"/>
          <w:szCs w:val="20"/>
        </w:rPr>
        <w:t xml:space="preserve"> SpaceX</w:t>
      </w:r>
      <w:r w:rsidR="00791B07" w:rsidRPr="00756F07">
        <w:rPr>
          <w:rFonts w:cs="Arial"/>
          <w:szCs w:val="20"/>
        </w:rPr>
        <w:t xml:space="preserve"> now intends to incorporate the</w:t>
      </w:r>
      <w:r w:rsidR="00B07A45" w:rsidRPr="00756F07">
        <w:rPr>
          <w:rFonts w:cs="Arial"/>
          <w:szCs w:val="20"/>
        </w:rPr>
        <w:t xml:space="preserve">se </w:t>
      </w:r>
      <w:r w:rsidR="00F17F40" w:rsidRPr="00756F07">
        <w:rPr>
          <w:rFonts w:cs="Arial"/>
          <w:szCs w:val="20"/>
        </w:rPr>
        <w:t>V-Band operations into the Gen2 constellation, and therefore the total number of aut</w:t>
      </w:r>
      <w:r w:rsidR="002C2832" w:rsidRPr="00756F07">
        <w:rPr>
          <w:rFonts w:cs="Arial"/>
          <w:szCs w:val="20"/>
        </w:rPr>
        <w:t xml:space="preserve">horised satellites will not increase. </w:t>
      </w:r>
    </w:p>
    <w:p w14:paraId="7EA9B826" w14:textId="293896FF" w:rsidR="00392006" w:rsidRPr="00756F07" w:rsidRDefault="00A24FF1" w:rsidP="00BA0243">
      <w:pPr>
        <w:rPr>
          <w:rFonts w:cs="Arial"/>
          <w:szCs w:val="20"/>
        </w:rPr>
      </w:pPr>
      <w:r w:rsidRPr="00756F07">
        <w:rPr>
          <w:rFonts w:cs="Arial"/>
          <w:szCs w:val="20"/>
        </w:rPr>
        <w:t xml:space="preserve">The FCC </w:t>
      </w:r>
      <w:r w:rsidR="008060A8" w:rsidRPr="00756F07">
        <w:rPr>
          <w:rFonts w:cs="Arial"/>
          <w:szCs w:val="20"/>
        </w:rPr>
        <w:t>deferred consideration of</w:t>
      </w:r>
      <w:r w:rsidRPr="00756F07">
        <w:rPr>
          <w:rFonts w:cs="Arial"/>
          <w:szCs w:val="20"/>
        </w:rPr>
        <w:t xml:space="preserve"> SpaceX’s request for </w:t>
      </w:r>
      <w:r w:rsidR="00F92D8A" w:rsidRPr="00756F07">
        <w:rPr>
          <w:rFonts w:cs="Arial"/>
          <w:szCs w:val="20"/>
        </w:rPr>
        <w:t>access to E-Band frequencies</w:t>
      </w:r>
      <w:r w:rsidR="008060A8" w:rsidRPr="00756F07">
        <w:rPr>
          <w:rFonts w:cs="Arial"/>
          <w:szCs w:val="20"/>
        </w:rPr>
        <w:t xml:space="preserve"> </w:t>
      </w:r>
      <w:r w:rsidR="008B59B2" w:rsidRPr="00756F07">
        <w:rPr>
          <w:rFonts w:cs="Arial"/>
          <w:szCs w:val="20"/>
        </w:rPr>
        <w:t>(71-76 GHz</w:t>
      </w:r>
      <w:r w:rsidR="00B00E48" w:rsidRPr="00756F07">
        <w:rPr>
          <w:rFonts w:cs="Arial"/>
          <w:szCs w:val="20"/>
        </w:rPr>
        <w:t xml:space="preserve"> </w:t>
      </w:r>
      <w:r w:rsidR="00B00E48" w:rsidRPr="00756F07">
        <w:rPr>
          <w:rFonts w:cs="Arial"/>
        </w:rPr>
        <w:t>space-Earth</w:t>
      </w:r>
      <w:r w:rsidR="008B59B2" w:rsidRPr="00756F07">
        <w:rPr>
          <w:rFonts w:cs="Arial"/>
          <w:szCs w:val="20"/>
        </w:rPr>
        <w:t xml:space="preserve"> and 81-86 GHz</w:t>
      </w:r>
      <w:r w:rsidR="00B00E48" w:rsidRPr="00756F07">
        <w:rPr>
          <w:rFonts w:cs="Arial"/>
          <w:szCs w:val="20"/>
        </w:rPr>
        <w:t xml:space="preserve"> </w:t>
      </w:r>
      <w:r w:rsidR="00B00E48" w:rsidRPr="00756F07">
        <w:rPr>
          <w:rFonts w:cs="Arial"/>
        </w:rPr>
        <w:t>Earth-space</w:t>
      </w:r>
      <w:r w:rsidR="008B59B2" w:rsidRPr="00756F07">
        <w:rPr>
          <w:rFonts w:cs="Arial"/>
          <w:szCs w:val="20"/>
        </w:rPr>
        <w:t xml:space="preserve">) </w:t>
      </w:r>
      <w:r w:rsidR="00000869" w:rsidRPr="00756F07">
        <w:rPr>
          <w:rFonts w:cs="Arial"/>
          <w:szCs w:val="20"/>
        </w:rPr>
        <w:t xml:space="preserve">for backhaul links </w:t>
      </w:r>
      <w:r w:rsidR="008060A8" w:rsidRPr="00756F07">
        <w:rPr>
          <w:rFonts w:cs="Arial"/>
          <w:szCs w:val="20"/>
        </w:rPr>
        <w:t>and the use of tracking beacons</w:t>
      </w:r>
      <w:r w:rsidR="001800C8" w:rsidRPr="00756F07">
        <w:rPr>
          <w:rFonts w:cs="Arial"/>
          <w:szCs w:val="20"/>
        </w:rPr>
        <w:t xml:space="preserve"> in </w:t>
      </w:r>
      <w:r w:rsidR="00831674" w:rsidRPr="00756F07">
        <w:rPr>
          <w:rFonts w:cs="Arial"/>
          <w:szCs w:val="20"/>
        </w:rPr>
        <w:t xml:space="preserve">the VHF range at </w:t>
      </w:r>
      <w:r w:rsidR="001800C8" w:rsidRPr="00756F07">
        <w:rPr>
          <w:rFonts w:cs="Arial"/>
          <w:szCs w:val="20"/>
        </w:rPr>
        <w:t>137-138 MHz (</w:t>
      </w:r>
      <w:r w:rsidR="00B00E48" w:rsidRPr="00756F07">
        <w:rPr>
          <w:rFonts w:cs="Arial"/>
          <w:szCs w:val="20"/>
        </w:rPr>
        <w:t xml:space="preserve">Earth-to-space) </w:t>
      </w:r>
      <w:r w:rsidR="001800C8" w:rsidRPr="00756F07">
        <w:rPr>
          <w:rFonts w:cs="Arial"/>
          <w:szCs w:val="20"/>
        </w:rPr>
        <w:t>and 148-150-05 MHz</w:t>
      </w:r>
      <w:r w:rsidR="00B00E48" w:rsidRPr="00756F07">
        <w:rPr>
          <w:rFonts w:cs="Arial"/>
          <w:szCs w:val="20"/>
        </w:rPr>
        <w:t xml:space="preserve"> (</w:t>
      </w:r>
      <w:r w:rsidR="00B00E48" w:rsidRPr="00756F07">
        <w:rPr>
          <w:rFonts w:cs="Arial"/>
        </w:rPr>
        <w:t>space-Earth</w:t>
      </w:r>
      <w:r w:rsidR="00B00E48" w:rsidRPr="00756F07">
        <w:rPr>
          <w:rFonts w:cs="Arial"/>
          <w:szCs w:val="20"/>
        </w:rPr>
        <w:t>)</w:t>
      </w:r>
      <w:r w:rsidR="00F92D8A" w:rsidRPr="00756F07">
        <w:rPr>
          <w:rFonts w:cs="Arial"/>
          <w:szCs w:val="20"/>
        </w:rPr>
        <w:t>.</w:t>
      </w:r>
    </w:p>
    <w:p w14:paraId="632EB692" w14:textId="6B04D49C" w:rsidR="00672A5C" w:rsidRPr="00756F07" w:rsidRDefault="00246E15" w:rsidP="00BA0243">
      <w:pPr>
        <w:rPr>
          <w:rFonts w:cs="Arial"/>
          <w:szCs w:val="20"/>
        </w:rPr>
      </w:pPr>
      <w:r w:rsidRPr="00756F07">
        <w:rPr>
          <w:rFonts w:cs="Arial"/>
          <w:szCs w:val="20"/>
        </w:rPr>
        <w:t xml:space="preserve">SpaceX has </w:t>
      </w:r>
      <w:r w:rsidR="005E25E8" w:rsidRPr="00756F07">
        <w:rPr>
          <w:rFonts w:cs="Arial"/>
          <w:szCs w:val="20"/>
        </w:rPr>
        <w:t xml:space="preserve">since </w:t>
      </w:r>
      <w:r w:rsidR="007B644E" w:rsidRPr="00756F07">
        <w:rPr>
          <w:rFonts w:cs="Arial"/>
          <w:szCs w:val="20"/>
        </w:rPr>
        <w:t>requested and received</w:t>
      </w:r>
      <w:r w:rsidR="005E25E8" w:rsidRPr="00756F07">
        <w:rPr>
          <w:rFonts w:cs="Arial"/>
          <w:szCs w:val="20"/>
        </w:rPr>
        <w:t xml:space="preserve"> </w:t>
      </w:r>
      <w:r w:rsidR="002E5760" w:rsidRPr="00756F07">
        <w:rPr>
          <w:rFonts w:cs="Arial"/>
          <w:szCs w:val="20"/>
        </w:rPr>
        <w:t>special</w:t>
      </w:r>
      <w:r w:rsidR="005E25E8" w:rsidRPr="00756F07">
        <w:rPr>
          <w:rFonts w:cs="Arial"/>
          <w:szCs w:val="20"/>
        </w:rPr>
        <w:t xml:space="preserve"> temporary </w:t>
      </w:r>
      <w:r w:rsidR="00831674" w:rsidRPr="00756F07">
        <w:rPr>
          <w:rFonts w:cs="Arial"/>
          <w:szCs w:val="20"/>
        </w:rPr>
        <w:t xml:space="preserve">authority for these </w:t>
      </w:r>
      <w:hyperlink r:id="rId16" w:history="1">
        <w:r w:rsidR="00831674" w:rsidRPr="00756F07">
          <w:rPr>
            <w:rStyle w:val="Hyperlink"/>
            <w:rFonts w:cs="Arial"/>
            <w:szCs w:val="20"/>
          </w:rPr>
          <w:t>VHF</w:t>
        </w:r>
      </w:hyperlink>
      <w:r w:rsidR="00831674" w:rsidRPr="00756F07">
        <w:rPr>
          <w:rFonts w:cs="Arial"/>
          <w:szCs w:val="20"/>
        </w:rPr>
        <w:t xml:space="preserve"> and </w:t>
      </w:r>
      <w:hyperlink r:id="rId17" w:history="1">
        <w:r w:rsidR="00831674" w:rsidRPr="00756F07">
          <w:rPr>
            <w:rStyle w:val="Hyperlink"/>
            <w:rFonts w:cs="Arial"/>
            <w:szCs w:val="20"/>
          </w:rPr>
          <w:t>E-Band</w:t>
        </w:r>
      </w:hyperlink>
      <w:r w:rsidR="00831674" w:rsidRPr="00756F07">
        <w:rPr>
          <w:rFonts w:cs="Arial"/>
          <w:szCs w:val="20"/>
        </w:rPr>
        <w:t xml:space="preserve"> operations</w:t>
      </w:r>
      <w:r w:rsidR="002042C2" w:rsidRPr="00756F07">
        <w:rPr>
          <w:rFonts w:cs="Arial"/>
          <w:szCs w:val="20"/>
        </w:rPr>
        <w:t xml:space="preserve"> </w:t>
      </w:r>
      <w:r w:rsidR="00355369" w:rsidRPr="00756F07">
        <w:rPr>
          <w:rFonts w:cs="Arial"/>
          <w:szCs w:val="20"/>
        </w:rPr>
        <w:t xml:space="preserve">to allow </w:t>
      </w:r>
      <w:r w:rsidR="00FC1795" w:rsidRPr="00756F07">
        <w:rPr>
          <w:rFonts w:cs="Arial"/>
          <w:szCs w:val="20"/>
        </w:rPr>
        <w:t xml:space="preserve">early </w:t>
      </w:r>
      <w:r w:rsidR="00355369" w:rsidRPr="00756F07">
        <w:rPr>
          <w:rFonts w:cs="Arial"/>
          <w:szCs w:val="20"/>
        </w:rPr>
        <w:t>launches</w:t>
      </w:r>
      <w:r w:rsidR="00553A84" w:rsidRPr="00756F07">
        <w:rPr>
          <w:rFonts w:cs="Arial"/>
          <w:szCs w:val="20"/>
        </w:rPr>
        <w:t xml:space="preserve"> of satellites with these capabilities</w:t>
      </w:r>
      <w:r w:rsidR="00355369" w:rsidRPr="00756F07">
        <w:rPr>
          <w:rFonts w:cs="Arial"/>
          <w:szCs w:val="20"/>
        </w:rPr>
        <w:t xml:space="preserve"> </w:t>
      </w:r>
      <w:r w:rsidR="002042C2" w:rsidRPr="00756F07">
        <w:rPr>
          <w:rFonts w:cs="Arial"/>
          <w:szCs w:val="20"/>
        </w:rPr>
        <w:t>while the full application is still being considered.</w:t>
      </w:r>
      <w:r w:rsidR="00F43B83" w:rsidRPr="00756F07">
        <w:rPr>
          <w:rFonts w:cs="Arial"/>
          <w:szCs w:val="20"/>
        </w:rPr>
        <w:t xml:space="preserve"> The VHF operations are permitted for a period of 30 days </w:t>
      </w:r>
      <w:r w:rsidR="000300F0" w:rsidRPr="00756F07">
        <w:rPr>
          <w:rFonts w:cs="Arial"/>
          <w:szCs w:val="20"/>
        </w:rPr>
        <w:t xml:space="preserve">with 15 </w:t>
      </w:r>
      <w:proofErr w:type="gramStart"/>
      <w:r w:rsidR="000300F0" w:rsidRPr="00756F07">
        <w:rPr>
          <w:rFonts w:cs="Arial"/>
          <w:szCs w:val="20"/>
        </w:rPr>
        <w:t>satellites, and</w:t>
      </w:r>
      <w:proofErr w:type="gramEnd"/>
      <w:r w:rsidR="000300F0" w:rsidRPr="00756F07">
        <w:rPr>
          <w:rFonts w:cs="Arial"/>
          <w:szCs w:val="20"/>
        </w:rPr>
        <w:t xml:space="preserve"> are planned for use in the orbit raising and early operation phase</w:t>
      </w:r>
      <w:r w:rsidR="00142E36" w:rsidRPr="00756F07">
        <w:rPr>
          <w:rFonts w:cs="Arial"/>
          <w:szCs w:val="20"/>
        </w:rPr>
        <w:t xml:space="preserve">. The E Band </w:t>
      </w:r>
      <w:r w:rsidR="00FC1795" w:rsidRPr="00756F07">
        <w:rPr>
          <w:rFonts w:cs="Arial"/>
          <w:szCs w:val="20"/>
        </w:rPr>
        <w:t>operations are permitted for 60 days</w:t>
      </w:r>
      <w:r w:rsidR="00A573F0" w:rsidRPr="00756F07">
        <w:rPr>
          <w:rFonts w:cs="Arial"/>
          <w:szCs w:val="20"/>
        </w:rPr>
        <w:t xml:space="preserve"> for the full approved constellation.</w:t>
      </w:r>
    </w:p>
    <w:p w14:paraId="4C1DE628" w14:textId="541022FD" w:rsidR="00610D8F" w:rsidRPr="00756F07" w:rsidRDefault="00553A84" w:rsidP="00BA0243">
      <w:pPr>
        <w:rPr>
          <w:rFonts w:cs="Arial"/>
          <w:szCs w:val="20"/>
        </w:rPr>
      </w:pPr>
      <w:r w:rsidRPr="00756F07">
        <w:rPr>
          <w:rFonts w:cs="Arial"/>
          <w:szCs w:val="20"/>
        </w:rPr>
        <w:t xml:space="preserve">Launches of </w:t>
      </w:r>
      <w:r w:rsidR="000A52E1" w:rsidRPr="00756F07">
        <w:rPr>
          <w:rFonts w:cs="Arial"/>
          <w:szCs w:val="20"/>
        </w:rPr>
        <w:t>the first Gen2 satellites commenced in December</w:t>
      </w:r>
      <w:r w:rsidR="001D462F" w:rsidRPr="00756F07">
        <w:rPr>
          <w:rFonts w:cs="Arial"/>
          <w:szCs w:val="20"/>
        </w:rPr>
        <w:t xml:space="preserve"> using the existing v1.5 </w:t>
      </w:r>
      <w:r w:rsidR="003D6042" w:rsidRPr="00756F07">
        <w:rPr>
          <w:rFonts w:cs="Arial"/>
          <w:szCs w:val="20"/>
        </w:rPr>
        <w:t>hardware</w:t>
      </w:r>
      <w:r w:rsidR="001D462F" w:rsidRPr="00756F07">
        <w:rPr>
          <w:rFonts w:cs="Arial"/>
          <w:szCs w:val="20"/>
        </w:rPr>
        <w:t xml:space="preserve">, while the first launch of </w:t>
      </w:r>
      <w:r w:rsidR="00842B12" w:rsidRPr="00756F07">
        <w:rPr>
          <w:rFonts w:cs="Arial"/>
          <w:szCs w:val="20"/>
        </w:rPr>
        <w:t>21</w:t>
      </w:r>
      <w:r w:rsidR="001D462F" w:rsidRPr="00756F07">
        <w:rPr>
          <w:rFonts w:cs="Arial"/>
          <w:szCs w:val="20"/>
        </w:rPr>
        <w:t xml:space="preserve"> upgraded </w:t>
      </w:r>
      <w:r w:rsidR="00BD6113" w:rsidRPr="00756F07">
        <w:rPr>
          <w:rFonts w:cs="Arial"/>
          <w:szCs w:val="20"/>
        </w:rPr>
        <w:t>“v2</w:t>
      </w:r>
      <w:r w:rsidR="002C061F" w:rsidRPr="00756F07">
        <w:rPr>
          <w:rFonts w:cs="Arial"/>
          <w:szCs w:val="20"/>
        </w:rPr>
        <w:t>.0</w:t>
      </w:r>
      <w:r w:rsidR="00BD6113" w:rsidRPr="00756F07">
        <w:rPr>
          <w:rFonts w:cs="Arial"/>
          <w:szCs w:val="20"/>
        </w:rPr>
        <w:t xml:space="preserve"> Mini”</w:t>
      </w:r>
      <w:r w:rsidR="00B23C6C" w:rsidRPr="00756F07">
        <w:rPr>
          <w:rFonts w:cs="Arial"/>
          <w:szCs w:val="20"/>
        </w:rPr>
        <w:t xml:space="preserve"> satellites </w:t>
      </w:r>
      <w:r w:rsidR="003D6042" w:rsidRPr="00756F07">
        <w:rPr>
          <w:rFonts w:cs="Arial"/>
          <w:szCs w:val="20"/>
        </w:rPr>
        <w:t xml:space="preserve">including the VHF and E-Band capability </w:t>
      </w:r>
      <w:r w:rsidR="00B23C6C" w:rsidRPr="00756F07">
        <w:rPr>
          <w:rFonts w:cs="Arial"/>
          <w:szCs w:val="20"/>
        </w:rPr>
        <w:t>took place on 27 February.</w:t>
      </w:r>
    </w:p>
    <w:p w14:paraId="5F52A306" w14:textId="09F3FAD7" w:rsidR="003338ED" w:rsidRPr="00756F07" w:rsidRDefault="003338ED" w:rsidP="003338ED">
      <w:pPr>
        <w:rPr>
          <w:rFonts w:cs="Arial"/>
          <w:b/>
          <w:bCs/>
          <w:szCs w:val="20"/>
        </w:rPr>
      </w:pPr>
      <w:r w:rsidRPr="00756F07">
        <w:rPr>
          <w:rFonts w:cs="Arial"/>
          <w:b/>
          <w:bCs/>
          <w:szCs w:val="20"/>
        </w:rPr>
        <w:t>(For information in FM44, SE40, CPG PTB)</w:t>
      </w:r>
    </w:p>
    <w:p w14:paraId="3B648436" w14:textId="702E7BC5" w:rsidR="001755E0" w:rsidRPr="00756F07" w:rsidRDefault="001755E0" w:rsidP="001755E0">
      <w:pPr>
        <w:pStyle w:val="Heading2"/>
        <w:rPr>
          <w:lang w:val="en-GB"/>
        </w:rPr>
      </w:pPr>
      <w:bookmarkStart w:id="10" w:name="_Toc132730327"/>
      <w:r w:rsidRPr="00756F07">
        <w:rPr>
          <w:lang w:val="en-GB"/>
        </w:rPr>
        <w:t>Braz</w:t>
      </w:r>
      <w:r w:rsidR="00EC3B88" w:rsidRPr="00756F07">
        <w:rPr>
          <w:lang w:val="en-GB"/>
        </w:rPr>
        <w:t xml:space="preserve">il </w:t>
      </w:r>
      <w:r w:rsidR="004F043C" w:rsidRPr="00756F07">
        <w:rPr>
          <w:lang w:val="en-GB"/>
        </w:rPr>
        <w:t>authorisations for SpaceX constellations</w:t>
      </w:r>
      <w:bookmarkEnd w:id="10"/>
    </w:p>
    <w:p w14:paraId="4DDE6916" w14:textId="2A16E166" w:rsidR="001755E0" w:rsidRPr="00756F07" w:rsidRDefault="004F043C" w:rsidP="001755E0">
      <w:pPr>
        <w:rPr>
          <w:rFonts w:eastAsiaTheme="minorHAnsi"/>
        </w:rPr>
      </w:pPr>
      <w:r w:rsidRPr="00756F07">
        <w:t xml:space="preserve">In February </w:t>
      </w:r>
      <w:r w:rsidR="001755E0" w:rsidRPr="00756F07">
        <w:t>the National Telecommunications Agency (</w:t>
      </w:r>
      <w:proofErr w:type="spellStart"/>
      <w:r w:rsidR="001755E0" w:rsidRPr="00756F07">
        <w:t>Anatel</w:t>
      </w:r>
      <w:proofErr w:type="spellEnd"/>
      <w:r w:rsidR="001755E0" w:rsidRPr="00756F07">
        <w:t>) grant</w:t>
      </w:r>
      <w:r w:rsidRPr="00756F07">
        <w:t>ed</w:t>
      </w:r>
      <w:r w:rsidR="003D4E17" w:rsidRPr="00756F07">
        <w:t xml:space="preserve"> satellite usage</w:t>
      </w:r>
      <w:r w:rsidR="001755E0" w:rsidRPr="00756F07">
        <w:t xml:space="preserve"> rights to SpaceX </w:t>
      </w:r>
      <w:r w:rsidR="003D4E17" w:rsidRPr="00756F07">
        <w:t xml:space="preserve">for both the </w:t>
      </w:r>
      <w:proofErr w:type="spellStart"/>
      <w:r w:rsidR="003D4E17" w:rsidRPr="00756F07">
        <w:t>Starlink</w:t>
      </w:r>
      <w:proofErr w:type="spellEnd"/>
      <w:r w:rsidR="003D4E17" w:rsidRPr="00756F07">
        <w:t xml:space="preserve"> </w:t>
      </w:r>
      <w:r w:rsidR="00BD7CD9" w:rsidRPr="00756F07">
        <w:t>and</w:t>
      </w:r>
      <w:r w:rsidR="001755E0" w:rsidRPr="00756F07">
        <w:t xml:space="preserve"> Swarm</w:t>
      </w:r>
      <w:r w:rsidR="00BD7CD9" w:rsidRPr="00756F07">
        <w:t xml:space="preserve"> </w:t>
      </w:r>
      <w:r w:rsidR="00485893" w:rsidRPr="00756F07">
        <w:t>constellations</w:t>
      </w:r>
      <w:r w:rsidR="00BD7CD9" w:rsidRPr="00756F07">
        <w:t>.</w:t>
      </w:r>
    </w:p>
    <w:p w14:paraId="68725C4A" w14:textId="4E5E243B" w:rsidR="001755E0" w:rsidRPr="00756F07" w:rsidRDefault="00470DEC" w:rsidP="001755E0">
      <w:proofErr w:type="spellStart"/>
      <w:r w:rsidRPr="00756F07">
        <w:t>Starlink</w:t>
      </w:r>
      <w:proofErr w:type="spellEnd"/>
      <w:r w:rsidRPr="00756F07">
        <w:t xml:space="preserve"> </w:t>
      </w:r>
      <w:r w:rsidR="00182DA6" w:rsidRPr="00756F07">
        <w:t>is</w:t>
      </w:r>
      <w:r w:rsidRPr="00756F07">
        <w:t xml:space="preserve"> granted rights to provide </w:t>
      </w:r>
      <w:r w:rsidR="004E6A4E" w:rsidRPr="00756F07">
        <w:t>services</w:t>
      </w:r>
      <w:r w:rsidR="0050732B" w:rsidRPr="00756F07">
        <w:t xml:space="preserve"> from its 4408 </w:t>
      </w:r>
      <w:r w:rsidR="00C25A3D" w:rsidRPr="00756F07">
        <w:t xml:space="preserve">first generation </w:t>
      </w:r>
      <w:r w:rsidR="005121D3" w:rsidRPr="00756F07">
        <w:t xml:space="preserve">satellite </w:t>
      </w:r>
      <w:r w:rsidR="0050732B" w:rsidRPr="00756F07">
        <w:t>NGSO constellation</w:t>
      </w:r>
      <w:r w:rsidR="004E6A4E" w:rsidRPr="00756F07">
        <w:t xml:space="preserve"> </w:t>
      </w:r>
      <w:r w:rsidR="00182DA6" w:rsidRPr="00756F07">
        <w:t xml:space="preserve">to provide broadband internet access </w:t>
      </w:r>
      <w:r w:rsidR="004E6A4E" w:rsidRPr="00756F07">
        <w:t>in Brazil</w:t>
      </w:r>
      <w:r w:rsidR="001755E0" w:rsidRPr="00756F07">
        <w:t xml:space="preserve"> until March 28, 2027, without right to protection and without causing harmful interference </w:t>
      </w:r>
      <w:r w:rsidR="00DF33BB" w:rsidRPr="00756F07">
        <w:t>to</w:t>
      </w:r>
      <w:r w:rsidR="001755E0" w:rsidRPr="00756F07">
        <w:t xml:space="preserve"> </w:t>
      </w:r>
      <w:r w:rsidR="00B23C6C" w:rsidRPr="00756F07">
        <w:t xml:space="preserve">the </w:t>
      </w:r>
      <w:r w:rsidR="001755E0" w:rsidRPr="00756F07">
        <w:t>Kepler</w:t>
      </w:r>
      <w:r w:rsidR="00B23C6C" w:rsidRPr="00756F07">
        <w:t xml:space="preserve"> NGSO system</w:t>
      </w:r>
      <w:r w:rsidR="001755E0" w:rsidRPr="00756F07">
        <w:t xml:space="preserve"> in Ku band </w:t>
      </w:r>
      <w:r w:rsidR="00B23C6C" w:rsidRPr="00756F07">
        <w:t>or</w:t>
      </w:r>
      <w:r w:rsidR="001755E0" w:rsidRPr="00756F07">
        <w:t xml:space="preserve"> </w:t>
      </w:r>
      <w:r w:rsidR="00B23C6C" w:rsidRPr="00756F07">
        <w:t xml:space="preserve">the </w:t>
      </w:r>
      <w:r w:rsidR="001755E0" w:rsidRPr="00756F07">
        <w:t xml:space="preserve">O3b </w:t>
      </w:r>
      <w:r w:rsidR="00B23C6C" w:rsidRPr="00756F07">
        <w:t xml:space="preserve">NGSO system </w:t>
      </w:r>
      <w:r w:rsidR="001755E0" w:rsidRPr="00756F07">
        <w:t>in Ka band.</w:t>
      </w:r>
    </w:p>
    <w:p w14:paraId="064B60EC" w14:textId="5E7D20A1" w:rsidR="001755E0" w:rsidRPr="00756F07" w:rsidRDefault="001755E0" w:rsidP="001755E0">
      <w:r w:rsidRPr="00756F07">
        <w:t xml:space="preserve">Swarm </w:t>
      </w:r>
      <w:r w:rsidR="00182DA6" w:rsidRPr="00756F07">
        <w:t>is</w:t>
      </w:r>
      <w:r w:rsidR="004E6A4E" w:rsidRPr="00756F07">
        <w:t xml:space="preserve"> gran</w:t>
      </w:r>
      <w:r w:rsidR="0050732B" w:rsidRPr="00756F07">
        <w:t xml:space="preserve">ted </w:t>
      </w:r>
      <w:r w:rsidRPr="00756F07">
        <w:t>right</w:t>
      </w:r>
      <w:r w:rsidR="007A2002" w:rsidRPr="00756F07">
        <w:t>s</w:t>
      </w:r>
      <w:r w:rsidRPr="00756F07">
        <w:t xml:space="preserve"> to explore and use radio frequencies for </w:t>
      </w:r>
      <w:r w:rsidR="007A2002" w:rsidRPr="00756F07">
        <w:t xml:space="preserve">its 150 satellite </w:t>
      </w:r>
      <w:r w:rsidR="005121D3" w:rsidRPr="00756F07">
        <w:t xml:space="preserve">IoT </w:t>
      </w:r>
      <w:r w:rsidR="007A2002" w:rsidRPr="00756F07">
        <w:t xml:space="preserve">NGSO constellation </w:t>
      </w:r>
      <w:r w:rsidRPr="00756F07">
        <w:t>until September 7, 2035</w:t>
      </w:r>
      <w:r w:rsidR="00835239" w:rsidRPr="00756F07">
        <w:t>.</w:t>
      </w:r>
    </w:p>
    <w:p w14:paraId="3C1E5319" w14:textId="60E79F94" w:rsidR="00F455C0" w:rsidRPr="00756F07" w:rsidRDefault="001755E0" w:rsidP="001755E0">
      <w:r w:rsidRPr="00756F07">
        <w:t xml:space="preserve">According to </w:t>
      </w:r>
      <w:proofErr w:type="spellStart"/>
      <w:r w:rsidRPr="00756F07">
        <w:t>Anatel's</w:t>
      </w:r>
      <w:proofErr w:type="spellEnd"/>
      <w:r w:rsidRPr="00756F07">
        <w:t xml:space="preserve"> determination, any change in the number of satellites of non-geostationary systems will require a new authori</w:t>
      </w:r>
      <w:r w:rsidR="00864EDE" w:rsidRPr="00756F07">
        <w:t>s</w:t>
      </w:r>
      <w:r w:rsidRPr="00756F07">
        <w:t xml:space="preserve">ation by the Agency. </w:t>
      </w:r>
    </w:p>
    <w:p w14:paraId="049BB1F6" w14:textId="7F0AA3DF" w:rsidR="001755E0" w:rsidRPr="00756F07" w:rsidRDefault="00864EDE" w:rsidP="00BA0243">
      <w:pPr>
        <w:rPr>
          <w:rFonts w:cs="Arial"/>
          <w:b/>
          <w:bCs/>
          <w:szCs w:val="20"/>
        </w:rPr>
      </w:pPr>
      <w:r w:rsidRPr="00756F07">
        <w:rPr>
          <w:rFonts w:cs="Arial"/>
          <w:b/>
          <w:bCs/>
          <w:szCs w:val="20"/>
        </w:rPr>
        <w:t>(For information in FM44, SE40, PTB)</w:t>
      </w:r>
    </w:p>
    <w:p w14:paraId="37D2F809" w14:textId="6B79300D" w:rsidR="007138DB" w:rsidRPr="00756F07" w:rsidRDefault="00DE5B05" w:rsidP="007138DB">
      <w:pPr>
        <w:pStyle w:val="Heading1"/>
        <w:rPr>
          <w:szCs w:val="20"/>
          <w:lang w:val="en-GB"/>
        </w:rPr>
      </w:pPr>
      <w:bookmarkStart w:id="11" w:name="_Toc132730328"/>
      <w:r w:rsidRPr="00756F07">
        <w:rPr>
          <w:szCs w:val="20"/>
          <w:lang w:val="en-GB"/>
        </w:rPr>
        <w:t>Global developments</w:t>
      </w:r>
      <w:bookmarkStart w:id="12" w:name="_Ref85808463"/>
      <w:bookmarkEnd w:id="11"/>
    </w:p>
    <w:p w14:paraId="68A42EF9" w14:textId="5A2CB096" w:rsidR="006562A8" w:rsidRPr="00756F07" w:rsidRDefault="005918D4" w:rsidP="004A314A">
      <w:pPr>
        <w:pStyle w:val="Heading2"/>
        <w:rPr>
          <w:lang w:val="en-GB"/>
        </w:rPr>
      </w:pPr>
      <w:bookmarkStart w:id="13" w:name="_Toc132730329"/>
      <w:bookmarkEnd w:id="12"/>
      <w:r w:rsidRPr="00756F07">
        <w:rPr>
          <w:lang w:val="en-GB"/>
        </w:rPr>
        <w:t>Direct</w:t>
      </w:r>
      <w:r w:rsidR="00B92FAE" w:rsidRPr="00756F07">
        <w:rPr>
          <w:lang w:val="en-GB"/>
        </w:rPr>
        <w:t xml:space="preserve"> </w:t>
      </w:r>
      <w:r w:rsidRPr="00756F07">
        <w:rPr>
          <w:lang w:val="en-GB"/>
        </w:rPr>
        <w:t>s</w:t>
      </w:r>
      <w:r w:rsidR="00B92FAE" w:rsidRPr="00756F07">
        <w:rPr>
          <w:lang w:val="en-GB"/>
        </w:rPr>
        <w:t xml:space="preserve">atellite to </w:t>
      </w:r>
      <w:r w:rsidR="00BF6F6C" w:rsidRPr="00756F07">
        <w:rPr>
          <w:lang w:val="en-GB"/>
        </w:rPr>
        <w:t>cellular connectivity</w:t>
      </w:r>
      <w:r w:rsidR="00B92FAE" w:rsidRPr="00756F07">
        <w:rPr>
          <w:lang w:val="en-GB"/>
        </w:rPr>
        <w:t xml:space="preserve"> developments</w:t>
      </w:r>
      <w:bookmarkEnd w:id="13"/>
    </w:p>
    <w:p w14:paraId="3CF7ED23" w14:textId="25039275" w:rsidR="00BF6F6C" w:rsidRPr="00756F07" w:rsidRDefault="00AA53A0" w:rsidP="004A314A">
      <w:r w:rsidRPr="00756F07">
        <w:t xml:space="preserve">Several new players have announced </w:t>
      </w:r>
      <w:r w:rsidR="004109C1" w:rsidRPr="00756F07">
        <w:t>intentions to enter the direct satellite to cellular connectivity market, further to those reported in the previous Bulletins.</w:t>
      </w:r>
    </w:p>
    <w:p w14:paraId="151648AE" w14:textId="461A3044" w:rsidR="00EB2BDB" w:rsidRPr="00756F07" w:rsidRDefault="00EB2BDB" w:rsidP="004A314A">
      <w:r w:rsidRPr="00756F07">
        <w:t xml:space="preserve">In January Qualcomm and Iridium </w:t>
      </w:r>
      <w:hyperlink r:id="rId18" w:history="1">
        <w:r w:rsidRPr="00756F07">
          <w:rPr>
            <w:rStyle w:val="Hyperlink"/>
          </w:rPr>
          <w:t>announced</w:t>
        </w:r>
      </w:hyperlink>
      <w:r w:rsidRPr="00756F07">
        <w:t xml:space="preserve"> a partnership to</w:t>
      </w:r>
      <w:r w:rsidR="00877FFB" w:rsidRPr="00756F07">
        <w:t xml:space="preserve"> </w:t>
      </w:r>
      <w:r w:rsidR="00D353D7" w:rsidRPr="00756F07">
        <w:t xml:space="preserve">enable </w:t>
      </w:r>
      <w:r w:rsidR="007E52DF" w:rsidRPr="00756F07">
        <w:t xml:space="preserve">emergency </w:t>
      </w:r>
      <w:r w:rsidR="00D353D7" w:rsidRPr="00756F07">
        <w:t>messaging from handsets using the new Snapdragon Satellite chipset</w:t>
      </w:r>
      <w:r w:rsidR="00BE40BD" w:rsidRPr="00756F07">
        <w:t xml:space="preserve"> connecting via the Iridium L-Band network.</w:t>
      </w:r>
      <w:r w:rsidR="000F517C" w:rsidRPr="00756F07">
        <w:t xml:space="preserve"> Emergency messaging is planned to be made available from the second half of 2023.</w:t>
      </w:r>
      <w:r w:rsidR="00252E92" w:rsidRPr="00756F07">
        <w:t xml:space="preserve"> </w:t>
      </w:r>
      <w:r w:rsidR="00B76DAD" w:rsidRPr="00756F07">
        <w:t xml:space="preserve">Garmin </w:t>
      </w:r>
      <w:r w:rsidR="00C43931" w:rsidRPr="00756F07">
        <w:t>also plans to join</w:t>
      </w:r>
      <w:r w:rsidR="00B76DAD" w:rsidRPr="00756F07">
        <w:t xml:space="preserve"> </w:t>
      </w:r>
      <w:r w:rsidR="00C43931" w:rsidRPr="00756F07">
        <w:t>this</w:t>
      </w:r>
      <w:r w:rsidR="00B76DAD" w:rsidRPr="00756F07">
        <w:t xml:space="preserve"> </w:t>
      </w:r>
      <w:r w:rsidR="00C43931" w:rsidRPr="00756F07">
        <w:t xml:space="preserve">collaboration </w:t>
      </w:r>
      <w:proofErr w:type="gramStart"/>
      <w:r w:rsidR="00C43931" w:rsidRPr="00756F07">
        <w:t>in order to</w:t>
      </w:r>
      <w:proofErr w:type="gramEnd"/>
      <w:r w:rsidR="00C43931" w:rsidRPr="00756F07">
        <w:t xml:space="preserve"> extend its existing emergency messaging capabilities.</w:t>
      </w:r>
      <w:r w:rsidR="00FA619A" w:rsidRPr="00756F07">
        <w:t xml:space="preserve"> It is noted that the Iridium frequencies of 1610-1626.5 MHz are outside the initial 3GPP NTN </w:t>
      </w:r>
      <w:r w:rsidR="00270EA1" w:rsidRPr="00756F07">
        <w:t xml:space="preserve">(not-terrestrial networks) </w:t>
      </w:r>
      <w:r w:rsidR="00FA619A" w:rsidRPr="00756F07">
        <w:t xml:space="preserve">range for L-Band, so this is a proprietary solution, however Qualcomm has indicated it plans to support the NTN ecosystem in future. </w:t>
      </w:r>
    </w:p>
    <w:p w14:paraId="03036CFF" w14:textId="5C2F97A1" w:rsidR="00EC5915" w:rsidRPr="00756F07" w:rsidRDefault="00EC5915" w:rsidP="004A314A">
      <w:r w:rsidRPr="00756F07">
        <w:lastRenderedPageBreak/>
        <w:t>In late February Samsung</w:t>
      </w:r>
      <w:r w:rsidR="0072255E" w:rsidRPr="00756F07">
        <w:t xml:space="preserve"> also </w:t>
      </w:r>
      <w:hyperlink r:id="rId19" w:history="1">
        <w:r w:rsidR="0072255E" w:rsidRPr="00756F07">
          <w:rPr>
            <w:rStyle w:val="Hyperlink"/>
          </w:rPr>
          <w:t>announced</w:t>
        </w:r>
      </w:hyperlink>
      <w:r w:rsidR="0072255E" w:rsidRPr="00756F07">
        <w:t xml:space="preserve"> </w:t>
      </w:r>
      <w:r w:rsidR="00F21A99" w:rsidRPr="00756F07">
        <w:t xml:space="preserve">that it will integrate </w:t>
      </w:r>
      <w:r w:rsidR="00BA5D75" w:rsidRPr="00756F07">
        <w:t xml:space="preserve">3GPP compliant </w:t>
      </w:r>
      <w:r w:rsidR="00F21A99" w:rsidRPr="00756F07">
        <w:t xml:space="preserve">NTN modem technology into </w:t>
      </w:r>
      <w:r w:rsidR="00BA5D75" w:rsidRPr="00756F07">
        <w:t xml:space="preserve">its </w:t>
      </w:r>
      <w:proofErr w:type="spellStart"/>
      <w:r w:rsidR="00BA5D75" w:rsidRPr="00756F07">
        <w:t>Exnyos</w:t>
      </w:r>
      <w:proofErr w:type="spellEnd"/>
      <w:r w:rsidR="00BA5D75" w:rsidRPr="00756F07">
        <w:t xml:space="preserve"> chipset range</w:t>
      </w:r>
      <w:r w:rsidR="00110795" w:rsidRPr="00756F07">
        <w:t>, which will support two-way text messaging as well as high-definition image and video sharing. The company also indicated it plans to support NB-IoT NTN</w:t>
      </w:r>
      <w:r w:rsidR="005A4CFD" w:rsidRPr="00756F07">
        <w:t xml:space="preserve"> in a future design.</w:t>
      </w:r>
    </w:p>
    <w:p w14:paraId="54A945B2" w14:textId="504402E3" w:rsidR="00FA619A" w:rsidRPr="00756F07" w:rsidRDefault="005A4CFD" w:rsidP="004A314A">
      <w:r w:rsidRPr="00756F07">
        <w:t xml:space="preserve">Also in late February </w:t>
      </w:r>
      <w:proofErr w:type="spellStart"/>
      <w:r w:rsidR="00966DD3" w:rsidRPr="00756F07">
        <w:t>Omnispace</w:t>
      </w:r>
      <w:proofErr w:type="spellEnd"/>
      <w:r w:rsidR="00966DD3" w:rsidRPr="00756F07">
        <w:t xml:space="preserve"> and </w:t>
      </w:r>
      <w:proofErr w:type="spellStart"/>
      <w:r w:rsidR="00966DD3" w:rsidRPr="00756F07">
        <w:t>Ligado</w:t>
      </w:r>
      <w:proofErr w:type="spellEnd"/>
      <w:r w:rsidR="00966DD3" w:rsidRPr="00756F07">
        <w:t xml:space="preserve"> </w:t>
      </w:r>
      <w:hyperlink r:id="rId20" w:history="1">
        <w:r w:rsidR="00A25D82" w:rsidRPr="00756F07">
          <w:rPr>
            <w:rStyle w:val="Hyperlink"/>
          </w:rPr>
          <w:t>announced</w:t>
        </w:r>
      </w:hyperlink>
      <w:r w:rsidR="00A25D82" w:rsidRPr="00756F07">
        <w:t xml:space="preserve"> a collaboration to combine their MSS </w:t>
      </w:r>
      <w:r w:rsidR="00B53C59" w:rsidRPr="00756F07">
        <w:t xml:space="preserve">networks in order to provide </w:t>
      </w:r>
      <w:r w:rsidR="00926266" w:rsidRPr="00756F07">
        <w:t xml:space="preserve">NTN </w:t>
      </w:r>
      <w:r w:rsidR="00B53C59" w:rsidRPr="00756F07">
        <w:t>direct-to-device connectivity.</w:t>
      </w:r>
      <w:r w:rsidR="007C16D2" w:rsidRPr="00756F07">
        <w:t xml:space="preserve"> This would include </w:t>
      </w:r>
      <w:r w:rsidR="00F33E25" w:rsidRPr="00756F07">
        <w:t xml:space="preserve">portions of </w:t>
      </w:r>
      <w:proofErr w:type="spellStart"/>
      <w:r w:rsidR="004447A4" w:rsidRPr="00756F07">
        <w:t>Ligado’s</w:t>
      </w:r>
      <w:proofErr w:type="spellEnd"/>
      <w:r w:rsidR="004447A4" w:rsidRPr="00756F07">
        <w:t xml:space="preserve"> L-Band spectrum in 1525-1559 MHz and 1626.5-1660.5 MHz</w:t>
      </w:r>
      <w:r w:rsidR="00F72E0B" w:rsidRPr="00756F07">
        <w:t xml:space="preserve"> in the US and Canada, as well as </w:t>
      </w:r>
      <w:proofErr w:type="spellStart"/>
      <w:r w:rsidR="00E75D9E" w:rsidRPr="00756F07">
        <w:t>Omnispace’s</w:t>
      </w:r>
      <w:proofErr w:type="spellEnd"/>
      <w:r w:rsidR="00E75D9E" w:rsidRPr="00756F07">
        <w:t xml:space="preserve"> </w:t>
      </w:r>
      <w:r w:rsidR="00E72130" w:rsidRPr="00756F07">
        <w:t>S-Band spectrum (1980-2010</w:t>
      </w:r>
      <w:r w:rsidR="0007043C" w:rsidRPr="00756F07">
        <w:t xml:space="preserve"> MHz and 2170-2200 MHz). These bands are </w:t>
      </w:r>
      <w:r w:rsidR="00CC170E" w:rsidRPr="00756F07">
        <w:t>st</w:t>
      </w:r>
      <w:r w:rsidR="00270EA1" w:rsidRPr="00756F07">
        <w:t>andardised for NTN in 3GPP Release 17 (bands n255 and n256).</w:t>
      </w:r>
    </w:p>
    <w:p w14:paraId="3E8455A8" w14:textId="5491AA46" w:rsidR="004109C1" w:rsidRPr="00756F07" w:rsidRDefault="00415D70" w:rsidP="004A314A">
      <w:proofErr w:type="spellStart"/>
      <w:r w:rsidRPr="00756F07">
        <w:t>Echostar</w:t>
      </w:r>
      <w:proofErr w:type="spellEnd"/>
      <w:r w:rsidRPr="00756F07">
        <w:t xml:space="preserve"> has also </w:t>
      </w:r>
      <w:hyperlink r:id="rId21" w:history="1">
        <w:r w:rsidRPr="00756F07">
          <w:rPr>
            <w:rStyle w:val="Hyperlink"/>
          </w:rPr>
          <w:t>announced</w:t>
        </w:r>
      </w:hyperlink>
      <w:r w:rsidRPr="00756F07">
        <w:t xml:space="preserve"> </w:t>
      </w:r>
      <w:r w:rsidR="00327859" w:rsidRPr="00756F07">
        <w:t xml:space="preserve">it intends to build 28 LEO satellites in the 2 GHz range </w:t>
      </w:r>
      <w:r w:rsidR="00BD6E90" w:rsidRPr="00756F07">
        <w:t>with both LoRa and NTN support</w:t>
      </w:r>
      <w:r w:rsidR="002C1612" w:rsidRPr="00756F07">
        <w:t xml:space="preserve"> to provide satellite based IoT connectivity</w:t>
      </w:r>
      <w:r w:rsidR="00BD6E90" w:rsidRPr="00756F07">
        <w:t>.</w:t>
      </w:r>
      <w:r w:rsidR="00A16E10" w:rsidRPr="00756F07">
        <w:t xml:space="preserve"> The satellites will be manufactured </w:t>
      </w:r>
      <w:r w:rsidR="00157F4A" w:rsidRPr="00756F07">
        <w:t>by Astro Digital and are planned for launch in 2024.</w:t>
      </w:r>
    </w:p>
    <w:p w14:paraId="7F99CF0A" w14:textId="51144607" w:rsidR="00DE0FAF" w:rsidRPr="002E5263" w:rsidRDefault="00E60F84" w:rsidP="002E5263">
      <w:pPr>
        <w:rPr>
          <w:rFonts w:cs="Arial"/>
          <w:b/>
          <w:bCs/>
          <w:szCs w:val="20"/>
        </w:rPr>
      </w:pPr>
      <w:r w:rsidRPr="00756F07">
        <w:rPr>
          <w:rFonts w:cs="Arial"/>
          <w:b/>
          <w:bCs/>
          <w:szCs w:val="20"/>
        </w:rPr>
        <w:t xml:space="preserve">(For information in WGFM, </w:t>
      </w:r>
      <w:r w:rsidR="00756F07" w:rsidRPr="00756F07">
        <w:rPr>
          <w:rFonts w:cs="Arial"/>
          <w:b/>
          <w:bCs/>
          <w:szCs w:val="20"/>
        </w:rPr>
        <w:t xml:space="preserve">SE, </w:t>
      </w:r>
      <w:r w:rsidR="00150111" w:rsidRPr="00756F07">
        <w:rPr>
          <w:rFonts w:cs="Arial"/>
          <w:b/>
          <w:bCs/>
          <w:szCs w:val="20"/>
        </w:rPr>
        <w:t xml:space="preserve">SE40, </w:t>
      </w:r>
      <w:r w:rsidRPr="00756F07">
        <w:rPr>
          <w:rFonts w:cs="Arial"/>
          <w:b/>
          <w:bCs/>
          <w:szCs w:val="20"/>
        </w:rPr>
        <w:t>FM44, PT1)</w:t>
      </w:r>
    </w:p>
    <w:sectPr w:rsidR="00DE0FAF" w:rsidRPr="002E5263" w:rsidSect="00E046E0">
      <w:headerReference w:type="even" r:id="rId22"/>
      <w:headerReference w:type="default" r:id="rId23"/>
      <w:pgSz w:w="11907" w:h="16840" w:code="9"/>
      <w:pgMar w:top="1440"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C269" w14:textId="77777777" w:rsidR="00B31BCD" w:rsidRDefault="00B31BCD" w:rsidP="00DB17F9">
      <w:r>
        <w:separator/>
      </w:r>
    </w:p>
    <w:p w14:paraId="0D2FF935" w14:textId="77777777" w:rsidR="00B31BCD" w:rsidRDefault="00B31BCD"/>
  </w:endnote>
  <w:endnote w:type="continuationSeparator" w:id="0">
    <w:p w14:paraId="11C466FA" w14:textId="77777777" w:rsidR="00B31BCD" w:rsidRDefault="00B31BCD" w:rsidP="00DB17F9">
      <w:r>
        <w:continuationSeparator/>
      </w:r>
    </w:p>
    <w:p w14:paraId="36AF2DE2" w14:textId="77777777" w:rsidR="00B31BCD" w:rsidRDefault="00B31BCD"/>
  </w:endnote>
  <w:endnote w:type="continuationNotice" w:id="1">
    <w:p w14:paraId="3E705DBE" w14:textId="77777777" w:rsidR="00B31BCD" w:rsidRDefault="00B31B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A0BD" w14:textId="77777777" w:rsidR="00B31BCD" w:rsidRPr="00F51BD6" w:rsidRDefault="00B31BCD" w:rsidP="00CD07E7">
      <w:pPr>
        <w:spacing w:before="120" w:after="0"/>
      </w:pPr>
      <w:r>
        <w:separator/>
      </w:r>
    </w:p>
  </w:footnote>
  <w:footnote w:type="continuationSeparator" w:id="0">
    <w:p w14:paraId="1A84E5B0" w14:textId="77777777" w:rsidR="00B31BCD" w:rsidRDefault="00B31BCD" w:rsidP="00CD07E7">
      <w:pPr>
        <w:spacing w:before="120" w:after="0"/>
      </w:pPr>
      <w:r>
        <w:continuationSeparator/>
      </w:r>
    </w:p>
  </w:footnote>
  <w:footnote w:type="continuationNotice" w:id="1">
    <w:p w14:paraId="123E2904" w14:textId="77777777" w:rsidR="00B31BCD" w:rsidRPr="00CD07E7" w:rsidRDefault="00B31BCD"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414796"/>
    <w:multiLevelType w:val="hybridMultilevel"/>
    <w:tmpl w:val="A8AA36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10C2D22"/>
    <w:multiLevelType w:val="hybridMultilevel"/>
    <w:tmpl w:val="40BA9F96"/>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7" w15:restartNumberingAfterBreak="0">
    <w:nsid w:val="43A83D68"/>
    <w:multiLevelType w:val="hybridMultilevel"/>
    <w:tmpl w:val="E6DC2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5696105A"/>
    <w:multiLevelType w:val="hybridMultilevel"/>
    <w:tmpl w:val="F4DAEB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80A75FF"/>
    <w:multiLevelType w:val="hybridMultilevel"/>
    <w:tmpl w:val="37E48948"/>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3" w15:restartNumberingAfterBreak="0">
    <w:nsid w:val="7CFE6DBD"/>
    <w:multiLevelType w:val="multilevel"/>
    <w:tmpl w:val="5BC4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960339">
    <w:abstractNumId w:val="2"/>
  </w:num>
  <w:num w:numId="2" w16cid:durableId="353389308">
    <w:abstractNumId w:val="0"/>
  </w:num>
  <w:num w:numId="3" w16cid:durableId="1960456301">
    <w:abstractNumId w:val="10"/>
  </w:num>
  <w:num w:numId="4" w16cid:durableId="98720870">
    <w:abstractNumId w:val="4"/>
  </w:num>
  <w:num w:numId="5" w16cid:durableId="612640049">
    <w:abstractNumId w:val="8"/>
  </w:num>
  <w:num w:numId="6" w16cid:durableId="607736831">
    <w:abstractNumId w:val="5"/>
  </w:num>
  <w:num w:numId="7" w16cid:durableId="1206913596">
    <w:abstractNumId w:val="9"/>
  </w:num>
  <w:num w:numId="8" w16cid:durableId="356548264">
    <w:abstractNumId w:val="3"/>
  </w:num>
  <w:num w:numId="9" w16cid:durableId="52389913">
    <w:abstractNumId w:val="3"/>
  </w:num>
  <w:num w:numId="10" w16cid:durableId="1582789379">
    <w:abstractNumId w:val="7"/>
  </w:num>
  <w:num w:numId="11" w16cid:durableId="527259035">
    <w:abstractNumId w:val="13"/>
  </w:num>
  <w:num w:numId="12" w16cid:durableId="1719666958">
    <w:abstractNumId w:val="12"/>
  </w:num>
  <w:num w:numId="13" w16cid:durableId="1525290717">
    <w:abstractNumId w:val="5"/>
  </w:num>
  <w:num w:numId="14" w16cid:durableId="2145459321">
    <w:abstractNumId w:val="6"/>
  </w:num>
  <w:num w:numId="15" w16cid:durableId="474221483">
    <w:abstractNumId w:val="11"/>
  </w:num>
  <w:num w:numId="16" w16cid:durableId="11467070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869"/>
    <w:rsid w:val="00001C34"/>
    <w:rsid w:val="000024F5"/>
    <w:rsid w:val="00002B01"/>
    <w:rsid w:val="0000310E"/>
    <w:rsid w:val="00003FD1"/>
    <w:rsid w:val="00004154"/>
    <w:rsid w:val="00004F02"/>
    <w:rsid w:val="000110AE"/>
    <w:rsid w:val="0001112E"/>
    <w:rsid w:val="000124E8"/>
    <w:rsid w:val="00012E3B"/>
    <w:rsid w:val="000145A3"/>
    <w:rsid w:val="0001616F"/>
    <w:rsid w:val="00016315"/>
    <w:rsid w:val="00025E87"/>
    <w:rsid w:val="00026729"/>
    <w:rsid w:val="0002774C"/>
    <w:rsid w:val="000300F0"/>
    <w:rsid w:val="00030696"/>
    <w:rsid w:val="00030A74"/>
    <w:rsid w:val="00031DA3"/>
    <w:rsid w:val="00032EAA"/>
    <w:rsid w:val="00034043"/>
    <w:rsid w:val="00035720"/>
    <w:rsid w:val="00037516"/>
    <w:rsid w:val="0003778C"/>
    <w:rsid w:val="000419B8"/>
    <w:rsid w:val="00041A18"/>
    <w:rsid w:val="0004622B"/>
    <w:rsid w:val="00046BE2"/>
    <w:rsid w:val="00050A79"/>
    <w:rsid w:val="00052A7D"/>
    <w:rsid w:val="00052BC0"/>
    <w:rsid w:val="00052BE4"/>
    <w:rsid w:val="00053D65"/>
    <w:rsid w:val="00054A3F"/>
    <w:rsid w:val="000564F0"/>
    <w:rsid w:val="00063A47"/>
    <w:rsid w:val="00066CB3"/>
    <w:rsid w:val="00067793"/>
    <w:rsid w:val="00067E52"/>
    <w:rsid w:val="0007043C"/>
    <w:rsid w:val="00070AE8"/>
    <w:rsid w:val="000715A0"/>
    <w:rsid w:val="000758C7"/>
    <w:rsid w:val="00075AE0"/>
    <w:rsid w:val="00080D4D"/>
    <w:rsid w:val="00081F43"/>
    <w:rsid w:val="00082DD7"/>
    <w:rsid w:val="00084F07"/>
    <w:rsid w:val="00085AC6"/>
    <w:rsid w:val="0008641E"/>
    <w:rsid w:val="00086470"/>
    <w:rsid w:val="00090BE1"/>
    <w:rsid w:val="00093A75"/>
    <w:rsid w:val="00093E3D"/>
    <w:rsid w:val="00094E23"/>
    <w:rsid w:val="000954EF"/>
    <w:rsid w:val="00095620"/>
    <w:rsid w:val="00095665"/>
    <w:rsid w:val="000A17E1"/>
    <w:rsid w:val="000A3940"/>
    <w:rsid w:val="000A3B26"/>
    <w:rsid w:val="000A52E1"/>
    <w:rsid w:val="000A623D"/>
    <w:rsid w:val="000A7DE7"/>
    <w:rsid w:val="000B136A"/>
    <w:rsid w:val="000B2BD3"/>
    <w:rsid w:val="000B573E"/>
    <w:rsid w:val="000B6D45"/>
    <w:rsid w:val="000C028F"/>
    <w:rsid w:val="000C0493"/>
    <w:rsid w:val="000C203B"/>
    <w:rsid w:val="000C2551"/>
    <w:rsid w:val="000C4FAA"/>
    <w:rsid w:val="000C70B0"/>
    <w:rsid w:val="000D1710"/>
    <w:rsid w:val="000D185F"/>
    <w:rsid w:val="000D43BB"/>
    <w:rsid w:val="000D580E"/>
    <w:rsid w:val="000D7DD3"/>
    <w:rsid w:val="000E01AD"/>
    <w:rsid w:val="000E291E"/>
    <w:rsid w:val="000E377A"/>
    <w:rsid w:val="000E3E4D"/>
    <w:rsid w:val="000E42F5"/>
    <w:rsid w:val="000E58F6"/>
    <w:rsid w:val="000E6BE7"/>
    <w:rsid w:val="000F0594"/>
    <w:rsid w:val="000F0CA8"/>
    <w:rsid w:val="000F1C9D"/>
    <w:rsid w:val="000F24F5"/>
    <w:rsid w:val="000F2ED9"/>
    <w:rsid w:val="000F517C"/>
    <w:rsid w:val="000F6C2B"/>
    <w:rsid w:val="000F720D"/>
    <w:rsid w:val="001006CA"/>
    <w:rsid w:val="00100F8B"/>
    <w:rsid w:val="00101CC7"/>
    <w:rsid w:val="00102133"/>
    <w:rsid w:val="00102172"/>
    <w:rsid w:val="001026CD"/>
    <w:rsid w:val="001055CC"/>
    <w:rsid w:val="00107768"/>
    <w:rsid w:val="00110652"/>
    <w:rsid w:val="00110795"/>
    <w:rsid w:val="00110BC4"/>
    <w:rsid w:val="001116BA"/>
    <w:rsid w:val="00112A0D"/>
    <w:rsid w:val="001137B2"/>
    <w:rsid w:val="00113CBA"/>
    <w:rsid w:val="001151CE"/>
    <w:rsid w:val="001161B2"/>
    <w:rsid w:val="00116EAA"/>
    <w:rsid w:val="00120D41"/>
    <w:rsid w:val="001210C8"/>
    <w:rsid w:val="001217D2"/>
    <w:rsid w:val="00124960"/>
    <w:rsid w:val="001251B5"/>
    <w:rsid w:val="00130496"/>
    <w:rsid w:val="0013129A"/>
    <w:rsid w:val="00131D7B"/>
    <w:rsid w:val="00132579"/>
    <w:rsid w:val="00132895"/>
    <w:rsid w:val="001358C1"/>
    <w:rsid w:val="00135924"/>
    <w:rsid w:val="00135E62"/>
    <w:rsid w:val="001377DB"/>
    <w:rsid w:val="00140184"/>
    <w:rsid w:val="00142E36"/>
    <w:rsid w:val="00142E7E"/>
    <w:rsid w:val="0014476D"/>
    <w:rsid w:val="001447F2"/>
    <w:rsid w:val="00145990"/>
    <w:rsid w:val="00145A27"/>
    <w:rsid w:val="0014652E"/>
    <w:rsid w:val="00146C40"/>
    <w:rsid w:val="001476D6"/>
    <w:rsid w:val="00150111"/>
    <w:rsid w:val="00150243"/>
    <w:rsid w:val="00150705"/>
    <w:rsid w:val="001510A6"/>
    <w:rsid w:val="001519CC"/>
    <w:rsid w:val="001526A2"/>
    <w:rsid w:val="00152BBE"/>
    <w:rsid w:val="00153FDC"/>
    <w:rsid w:val="00154F16"/>
    <w:rsid w:val="00156314"/>
    <w:rsid w:val="0015635D"/>
    <w:rsid w:val="001566A0"/>
    <w:rsid w:val="00157F4A"/>
    <w:rsid w:val="00163166"/>
    <w:rsid w:val="001647F0"/>
    <w:rsid w:val="001677F1"/>
    <w:rsid w:val="00167D1C"/>
    <w:rsid w:val="00172B28"/>
    <w:rsid w:val="001755E0"/>
    <w:rsid w:val="001764CB"/>
    <w:rsid w:val="001778CE"/>
    <w:rsid w:val="001800C8"/>
    <w:rsid w:val="00180C38"/>
    <w:rsid w:val="00182DA6"/>
    <w:rsid w:val="00183FE0"/>
    <w:rsid w:val="00184956"/>
    <w:rsid w:val="0018553F"/>
    <w:rsid w:val="00191987"/>
    <w:rsid w:val="00194022"/>
    <w:rsid w:val="00195430"/>
    <w:rsid w:val="00196619"/>
    <w:rsid w:val="001975FC"/>
    <w:rsid w:val="001A01CA"/>
    <w:rsid w:val="001A02D6"/>
    <w:rsid w:val="001A5655"/>
    <w:rsid w:val="001A79BC"/>
    <w:rsid w:val="001B037E"/>
    <w:rsid w:val="001B0583"/>
    <w:rsid w:val="001B05D5"/>
    <w:rsid w:val="001B0D25"/>
    <w:rsid w:val="001B192D"/>
    <w:rsid w:val="001B267F"/>
    <w:rsid w:val="001B2B4B"/>
    <w:rsid w:val="001B438D"/>
    <w:rsid w:val="001B5A7C"/>
    <w:rsid w:val="001C105B"/>
    <w:rsid w:val="001C2C87"/>
    <w:rsid w:val="001C30A8"/>
    <w:rsid w:val="001C58CD"/>
    <w:rsid w:val="001C684C"/>
    <w:rsid w:val="001D2502"/>
    <w:rsid w:val="001D2920"/>
    <w:rsid w:val="001D2AAB"/>
    <w:rsid w:val="001D35F0"/>
    <w:rsid w:val="001D462F"/>
    <w:rsid w:val="001D4FF6"/>
    <w:rsid w:val="001E0DFD"/>
    <w:rsid w:val="001E109C"/>
    <w:rsid w:val="001E307E"/>
    <w:rsid w:val="001E7026"/>
    <w:rsid w:val="001E71F3"/>
    <w:rsid w:val="001E7D77"/>
    <w:rsid w:val="001F0BFF"/>
    <w:rsid w:val="001F43A2"/>
    <w:rsid w:val="0020079A"/>
    <w:rsid w:val="00200A8C"/>
    <w:rsid w:val="002042C2"/>
    <w:rsid w:val="002068D7"/>
    <w:rsid w:val="002100EC"/>
    <w:rsid w:val="00210E22"/>
    <w:rsid w:val="00211194"/>
    <w:rsid w:val="0021460B"/>
    <w:rsid w:val="00216B75"/>
    <w:rsid w:val="0022068D"/>
    <w:rsid w:val="00220DBD"/>
    <w:rsid w:val="00222F00"/>
    <w:rsid w:val="00222F9E"/>
    <w:rsid w:val="00224F3A"/>
    <w:rsid w:val="00225539"/>
    <w:rsid w:val="00227378"/>
    <w:rsid w:val="0022793B"/>
    <w:rsid w:val="002302A9"/>
    <w:rsid w:val="00231A0F"/>
    <w:rsid w:val="00232DF7"/>
    <w:rsid w:val="00233509"/>
    <w:rsid w:val="00233E46"/>
    <w:rsid w:val="002352A5"/>
    <w:rsid w:val="0023699A"/>
    <w:rsid w:val="00240296"/>
    <w:rsid w:val="00242745"/>
    <w:rsid w:val="00243368"/>
    <w:rsid w:val="002449F9"/>
    <w:rsid w:val="00246E15"/>
    <w:rsid w:val="0024793C"/>
    <w:rsid w:val="00247B0B"/>
    <w:rsid w:val="00247C39"/>
    <w:rsid w:val="0025097C"/>
    <w:rsid w:val="00252E92"/>
    <w:rsid w:val="00254A0E"/>
    <w:rsid w:val="0026031B"/>
    <w:rsid w:val="0026061A"/>
    <w:rsid w:val="002618B8"/>
    <w:rsid w:val="00263A97"/>
    <w:rsid w:val="00263FFB"/>
    <w:rsid w:val="0026408B"/>
    <w:rsid w:val="002649BD"/>
    <w:rsid w:val="002654BA"/>
    <w:rsid w:val="00265F50"/>
    <w:rsid w:val="00267B23"/>
    <w:rsid w:val="00270EA1"/>
    <w:rsid w:val="00271F57"/>
    <w:rsid w:val="00273DEB"/>
    <w:rsid w:val="00273E3C"/>
    <w:rsid w:val="00274F84"/>
    <w:rsid w:val="0027648B"/>
    <w:rsid w:val="0027787F"/>
    <w:rsid w:val="00277E7D"/>
    <w:rsid w:val="0028060B"/>
    <w:rsid w:val="00281030"/>
    <w:rsid w:val="0028120C"/>
    <w:rsid w:val="0028144F"/>
    <w:rsid w:val="002814CC"/>
    <w:rsid w:val="00283417"/>
    <w:rsid w:val="00283924"/>
    <w:rsid w:val="0028469F"/>
    <w:rsid w:val="00285391"/>
    <w:rsid w:val="00286287"/>
    <w:rsid w:val="00286FFC"/>
    <w:rsid w:val="00291FC5"/>
    <w:rsid w:val="002925C3"/>
    <w:rsid w:val="00295827"/>
    <w:rsid w:val="00295F16"/>
    <w:rsid w:val="00296C44"/>
    <w:rsid w:val="002A033F"/>
    <w:rsid w:val="002A0CB7"/>
    <w:rsid w:val="002A1BA6"/>
    <w:rsid w:val="002A2C90"/>
    <w:rsid w:val="002A3A4F"/>
    <w:rsid w:val="002A79A5"/>
    <w:rsid w:val="002A7AB4"/>
    <w:rsid w:val="002A7BA3"/>
    <w:rsid w:val="002B6345"/>
    <w:rsid w:val="002C061F"/>
    <w:rsid w:val="002C1612"/>
    <w:rsid w:val="002C2832"/>
    <w:rsid w:val="002C3064"/>
    <w:rsid w:val="002C3387"/>
    <w:rsid w:val="002C4C89"/>
    <w:rsid w:val="002C4CD2"/>
    <w:rsid w:val="002C5ADE"/>
    <w:rsid w:val="002C6DC3"/>
    <w:rsid w:val="002D1FA9"/>
    <w:rsid w:val="002D3CFC"/>
    <w:rsid w:val="002D44FC"/>
    <w:rsid w:val="002D50A3"/>
    <w:rsid w:val="002D6F2C"/>
    <w:rsid w:val="002E0A08"/>
    <w:rsid w:val="002E2030"/>
    <w:rsid w:val="002E3736"/>
    <w:rsid w:val="002E4787"/>
    <w:rsid w:val="002E5263"/>
    <w:rsid w:val="002E5760"/>
    <w:rsid w:val="002E5807"/>
    <w:rsid w:val="002E61F4"/>
    <w:rsid w:val="002F03FC"/>
    <w:rsid w:val="002F07AC"/>
    <w:rsid w:val="002F12A4"/>
    <w:rsid w:val="002F1A55"/>
    <w:rsid w:val="002F70E6"/>
    <w:rsid w:val="003007C0"/>
    <w:rsid w:val="003013F7"/>
    <w:rsid w:val="00302076"/>
    <w:rsid w:val="003052F3"/>
    <w:rsid w:val="00305766"/>
    <w:rsid w:val="00305948"/>
    <w:rsid w:val="00307A79"/>
    <w:rsid w:val="003114A7"/>
    <w:rsid w:val="003143C9"/>
    <w:rsid w:val="00315326"/>
    <w:rsid w:val="0031560D"/>
    <w:rsid w:val="003204D5"/>
    <w:rsid w:val="00320ED0"/>
    <w:rsid w:val="00322AA2"/>
    <w:rsid w:val="00322E6A"/>
    <w:rsid w:val="00325558"/>
    <w:rsid w:val="00327859"/>
    <w:rsid w:val="003314A0"/>
    <w:rsid w:val="00331B4F"/>
    <w:rsid w:val="003338ED"/>
    <w:rsid w:val="00333FBA"/>
    <w:rsid w:val="00334294"/>
    <w:rsid w:val="0033496E"/>
    <w:rsid w:val="00335B28"/>
    <w:rsid w:val="00335B5F"/>
    <w:rsid w:val="00336617"/>
    <w:rsid w:val="00343EC5"/>
    <w:rsid w:val="003442BA"/>
    <w:rsid w:val="00346068"/>
    <w:rsid w:val="003470DF"/>
    <w:rsid w:val="00347585"/>
    <w:rsid w:val="00350127"/>
    <w:rsid w:val="00351B72"/>
    <w:rsid w:val="00352247"/>
    <w:rsid w:val="00353085"/>
    <w:rsid w:val="003532EA"/>
    <w:rsid w:val="0035391F"/>
    <w:rsid w:val="00355369"/>
    <w:rsid w:val="00360339"/>
    <w:rsid w:val="00361699"/>
    <w:rsid w:val="00362F18"/>
    <w:rsid w:val="00362F27"/>
    <w:rsid w:val="003651DB"/>
    <w:rsid w:val="0036606E"/>
    <w:rsid w:val="00370D36"/>
    <w:rsid w:val="00372727"/>
    <w:rsid w:val="00372FB1"/>
    <w:rsid w:val="003730B5"/>
    <w:rsid w:val="003746F1"/>
    <w:rsid w:val="00376A56"/>
    <w:rsid w:val="0037741A"/>
    <w:rsid w:val="0037776E"/>
    <w:rsid w:val="00381169"/>
    <w:rsid w:val="0038287C"/>
    <w:rsid w:val="0038358E"/>
    <w:rsid w:val="0038484C"/>
    <w:rsid w:val="00387DDE"/>
    <w:rsid w:val="00390A92"/>
    <w:rsid w:val="00390CBA"/>
    <w:rsid w:val="00390FE3"/>
    <w:rsid w:val="00391A01"/>
    <w:rsid w:val="00392006"/>
    <w:rsid w:val="003930D6"/>
    <w:rsid w:val="00394C73"/>
    <w:rsid w:val="00395D73"/>
    <w:rsid w:val="003970B9"/>
    <w:rsid w:val="003A0EB5"/>
    <w:rsid w:val="003A4A60"/>
    <w:rsid w:val="003A4C42"/>
    <w:rsid w:val="003A5711"/>
    <w:rsid w:val="003A6304"/>
    <w:rsid w:val="003A6A9C"/>
    <w:rsid w:val="003A70AF"/>
    <w:rsid w:val="003B334C"/>
    <w:rsid w:val="003B34C7"/>
    <w:rsid w:val="003B48BA"/>
    <w:rsid w:val="003B7224"/>
    <w:rsid w:val="003C0038"/>
    <w:rsid w:val="003C17FB"/>
    <w:rsid w:val="003C34BB"/>
    <w:rsid w:val="003C3FB5"/>
    <w:rsid w:val="003C4E56"/>
    <w:rsid w:val="003C64D9"/>
    <w:rsid w:val="003C706B"/>
    <w:rsid w:val="003D0FE7"/>
    <w:rsid w:val="003D38F3"/>
    <w:rsid w:val="003D4454"/>
    <w:rsid w:val="003D4E17"/>
    <w:rsid w:val="003D6042"/>
    <w:rsid w:val="003D6CEE"/>
    <w:rsid w:val="003E09F1"/>
    <w:rsid w:val="003E2E42"/>
    <w:rsid w:val="003E6CC5"/>
    <w:rsid w:val="003E70E0"/>
    <w:rsid w:val="00401BA0"/>
    <w:rsid w:val="00402B6A"/>
    <w:rsid w:val="00403810"/>
    <w:rsid w:val="00403CE6"/>
    <w:rsid w:val="00405486"/>
    <w:rsid w:val="004109C1"/>
    <w:rsid w:val="004110CA"/>
    <w:rsid w:val="0041160E"/>
    <w:rsid w:val="00413DEA"/>
    <w:rsid w:val="0041449A"/>
    <w:rsid w:val="0041535F"/>
    <w:rsid w:val="00415D70"/>
    <w:rsid w:val="0041692D"/>
    <w:rsid w:val="004203B5"/>
    <w:rsid w:val="00424654"/>
    <w:rsid w:val="00426A3F"/>
    <w:rsid w:val="004274B0"/>
    <w:rsid w:val="0042761F"/>
    <w:rsid w:val="0042787D"/>
    <w:rsid w:val="00431162"/>
    <w:rsid w:val="00432118"/>
    <w:rsid w:val="0043212C"/>
    <w:rsid w:val="0043250E"/>
    <w:rsid w:val="004328D1"/>
    <w:rsid w:val="004350F9"/>
    <w:rsid w:val="00436B00"/>
    <w:rsid w:val="00437675"/>
    <w:rsid w:val="00441EE0"/>
    <w:rsid w:val="00442407"/>
    <w:rsid w:val="004432C0"/>
    <w:rsid w:val="00443482"/>
    <w:rsid w:val="00443F25"/>
    <w:rsid w:val="004443C1"/>
    <w:rsid w:val="004447A4"/>
    <w:rsid w:val="00444B55"/>
    <w:rsid w:val="0044516A"/>
    <w:rsid w:val="004451A5"/>
    <w:rsid w:val="00446CBF"/>
    <w:rsid w:val="00446F8C"/>
    <w:rsid w:val="00450308"/>
    <w:rsid w:val="0045262F"/>
    <w:rsid w:val="004542C0"/>
    <w:rsid w:val="00454D72"/>
    <w:rsid w:val="0045732A"/>
    <w:rsid w:val="00457AD1"/>
    <w:rsid w:val="004604A0"/>
    <w:rsid w:val="004615B9"/>
    <w:rsid w:val="0046191A"/>
    <w:rsid w:val="004620C5"/>
    <w:rsid w:val="0046324F"/>
    <w:rsid w:val="0046427F"/>
    <w:rsid w:val="00464607"/>
    <w:rsid w:val="004669C1"/>
    <w:rsid w:val="00467905"/>
    <w:rsid w:val="00470625"/>
    <w:rsid w:val="00470DEC"/>
    <w:rsid w:val="0047289F"/>
    <w:rsid w:val="00473FEA"/>
    <w:rsid w:val="0048238A"/>
    <w:rsid w:val="0048281F"/>
    <w:rsid w:val="0048308B"/>
    <w:rsid w:val="0048372E"/>
    <w:rsid w:val="00484D05"/>
    <w:rsid w:val="00485665"/>
    <w:rsid w:val="00485893"/>
    <w:rsid w:val="00486224"/>
    <w:rsid w:val="00486703"/>
    <w:rsid w:val="00486B23"/>
    <w:rsid w:val="00491977"/>
    <w:rsid w:val="00491AA7"/>
    <w:rsid w:val="00493696"/>
    <w:rsid w:val="00494904"/>
    <w:rsid w:val="00496CE5"/>
    <w:rsid w:val="00496D84"/>
    <w:rsid w:val="00496EA4"/>
    <w:rsid w:val="004971C4"/>
    <w:rsid w:val="00497EB7"/>
    <w:rsid w:val="004A0AAD"/>
    <w:rsid w:val="004A1329"/>
    <w:rsid w:val="004A2F58"/>
    <w:rsid w:val="004A314A"/>
    <w:rsid w:val="004A4FB9"/>
    <w:rsid w:val="004A6834"/>
    <w:rsid w:val="004A72FB"/>
    <w:rsid w:val="004B1095"/>
    <w:rsid w:val="004B14BC"/>
    <w:rsid w:val="004B2745"/>
    <w:rsid w:val="004B2C0D"/>
    <w:rsid w:val="004B379F"/>
    <w:rsid w:val="004B4490"/>
    <w:rsid w:val="004B6A90"/>
    <w:rsid w:val="004C09E0"/>
    <w:rsid w:val="004C1A87"/>
    <w:rsid w:val="004C1D2D"/>
    <w:rsid w:val="004C1F27"/>
    <w:rsid w:val="004C35C6"/>
    <w:rsid w:val="004C4A2E"/>
    <w:rsid w:val="004C4E0C"/>
    <w:rsid w:val="004D1D49"/>
    <w:rsid w:val="004D46AA"/>
    <w:rsid w:val="004D51AB"/>
    <w:rsid w:val="004D7BB5"/>
    <w:rsid w:val="004E057E"/>
    <w:rsid w:val="004E2BEA"/>
    <w:rsid w:val="004E2C13"/>
    <w:rsid w:val="004E44C8"/>
    <w:rsid w:val="004E47C8"/>
    <w:rsid w:val="004E53BE"/>
    <w:rsid w:val="004E5A54"/>
    <w:rsid w:val="004E68DF"/>
    <w:rsid w:val="004E6A4E"/>
    <w:rsid w:val="004E773D"/>
    <w:rsid w:val="004E7F82"/>
    <w:rsid w:val="004F043C"/>
    <w:rsid w:val="004F3EA9"/>
    <w:rsid w:val="004F4CB1"/>
    <w:rsid w:val="004F6052"/>
    <w:rsid w:val="00500717"/>
    <w:rsid w:val="00500ED4"/>
    <w:rsid w:val="00501992"/>
    <w:rsid w:val="005026AC"/>
    <w:rsid w:val="00505589"/>
    <w:rsid w:val="0050732B"/>
    <w:rsid w:val="005075BE"/>
    <w:rsid w:val="00510AE7"/>
    <w:rsid w:val="005121D3"/>
    <w:rsid w:val="00513B6A"/>
    <w:rsid w:val="005162B9"/>
    <w:rsid w:val="00516A91"/>
    <w:rsid w:val="00520EFD"/>
    <w:rsid w:val="0052693D"/>
    <w:rsid w:val="00526F8D"/>
    <w:rsid w:val="0053062A"/>
    <w:rsid w:val="005309B9"/>
    <w:rsid w:val="00532814"/>
    <w:rsid w:val="00532DFD"/>
    <w:rsid w:val="00534B19"/>
    <w:rsid w:val="00535050"/>
    <w:rsid w:val="00536F3C"/>
    <w:rsid w:val="005379E3"/>
    <w:rsid w:val="00541416"/>
    <w:rsid w:val="00541663"/>
    <w:rsid w:val="00541BC7"/>
    <w:rsid w:val="0054260E"/>
    <w:rsid w:val="005433D5"/>
    <w:rsid w:val="00550411"/>
    <w:rsid w:val="00550D79"/>
    <w:rsid w:val="00550DFA"/>
    <w:rsid w:val="00552DA1"/>
    <w:rsid w:val="00553A84"/>
    <w:rsid w:val="00553DE6"/>
    <w:rsid w:val="00554F75"/>
    <w:rsid w:val="005559AC"/>
    <w:rsid w:val="00555ADF"/>
    <w:rsid w:val="00555FB3"/>
    <w:rsid w:val="00557B5A"/>
    <w:rsid w:val="005611D0"/>
    <w:rsid w:val="00562A9E"/>
    <w:rsid w:val="00563EC2"/>
    <w:rsid w:val="00566BD4"/>
    <w:rsid w:val="0056738D"/>
    <w:rsid w:val="00567A3D"/>
    <w:rsid w:val="00567FEF"/>
    <w:rsid w:val="00571E47"/>
    <w:rsid w:val="00572889"/>
    <w:rsid w:val="00575250"/>
    <w:rsid w:val="005754DC"/>
    <w:rsid w:val="00576411"/>
    <w:rsid w:val="00577CAF"/>
    <w:rsid w:val="00580223"/>
    <w:rsid w:val="00580796"/>
    <w:rsid w:val="005831E9"/>
    <w:rsid w:val="0058371C"/>
    <w:rsid w:val="00583F54"/>
    <w:rsid w:val="00585D39"/>
    <w:rsid w:val="005918D4"/>
    <w:rsid w:val="00591B4A"/>
    <w:rsid w:val="00593C79"/>
    <w:rsid w:val="00594186"/>
    <w:rsid w:val="005A05D1"/>
    <w:rsid w:val="005A4CFD"/>
    <w:rsid w:val="005A53B8"/>
    <w:rsid w:val="005B202B"/>
    <w:rsid w:val="005B3FAC"/>
    <w:rsid w:val="005B4EB9"/>
    <w:rsid w:val="005B67C3"/>
    <w:rsid w:val="005B70EE"/>
    <w:rsid w:val="005B7862"/>
    <w:rsid w:val="005C06D5"/>
    <w:rsid w:val="005C0B56"/>
    <w:rsid w:val="005C10EB"/>
    <w:rsid w:val="005C2301"/>
    <w:rsid w:val="005C58E5"/>
    <w:rsid w:val="005C5A96"/>
    <w:rsid w:val="005C7D70"/>
    <w:rsid w:val="005D113F"/>
    <w:rsid w:val="005D25FC"/>
    <w:rsid w:val="005D341D"/>
    <w:rsid w:val="005D371D"/>
    <w:rsid w:val="005D5684"/>
    <w:rsid w:val="005D6832"/>
    <w:rsid w:val="005D6E22"/>
    <w:rsid w:val="005D73B6"/>
    <w:rsid w:val="005E16CB"/>
    <w:rsid w:val="005E1F69"/>
    <w:rsid w:val="005E25E8"/>
    <w:rsid w:val="005E5C4A"/>
    <w:rsid w:val="005E5C5B"/>
    <w:rsid w:val="005E6E2D"/>
    <w:rsid w:val="005E7495"/>
    <w:rsid w:val="005F1582"/>
    <w:rsid w:val="005F1D78"/>
    <w:rsid w:val="005F4D21"/>
    <w:rsid w:val="005F5554"/>
    <w:rsid w:val="0060209D"/>
    <w:rsid w:val="0060256F"/>
    <w:rsid w:val="00605655"/>
    <w:rsid w:val="00610D8F"/>
    <w:rsid w:val="00610FB7"/>
    <w:rsid w:val="00611A71"/>
    <w:rsid w:val="00613607"/>
    <w:rsid w:val="00613EC2"/>
    <w:rsid w:val="006141F2"/>
    <w:rsid w:val="00621C12"/>
    <w:rsid w:val="006221D0"/>
    <w:rsid w:val="006225AA"/>
    <w:rsid w:val="00623E18"/>
    <w:rsid w:val="00623E9E"/>
    <w:rsid w:val="006250AE"/>
    <w:rsid w:val="00625C5D"/>
    <w:rsid w:val="00627FCB"/>
    <w:rsid w:val="00631A48"/>
    <w:rsid w:val="00633D22"/>
    <w:rsid w:val="00635A22"/>
    <w:rsid w:val="0064043A"/>
    <w:rsid w:val="00640CD5"/>
    <w:rsid w:val="00641DE2"/>
    <w:rsid w:val="00642083"/>
    <w:rsid w:val="006501FD"/>
    <w:rsid w:val="006506EA"/>
    <w:rsid w:val="0065158F"/>
    <w:rsid w:val="006534FE"/>
    <w:rsid w:val="00654714"/>
    <w:rsid w:val="0065485F"/>
    <w:rsid w:val="006549A6"/>
    <w:rsid w:val="0065550D"/>
    <w:rsid w:val="006562A8"/>
    <w:rsid w:val="00660989"/>
    <w:rsid w:val="00661406"/>
    <w:rsid w:val="00662D19"/>
    <w:rsid w:val="00664295"/>
    <w:rsid w:val="00665364"/>
    <w:rsid w:val="006673A2"/>
    <w:rsid w:val="00667B35"/>
    <w:rsid w:val="00667F7C"/>
    <w:rsid w:val="00670E2C"/>
    <w:rsid w:val="006713EB"/>
    <w:rsid w:val="00671965"/>
    <w:rsid w:val="00671D21"/>
    <w:rsid w:val="006720E6"/>
    <w:rsid w:val="00672A5C"/>
    <w:rsid w:val="00672FAF"/>
    <w:rsid w:val="00673A9B"/>
    <w:rsid w:val="006743DE"/>
    <w:rsid w:val="006749AF"/>
    <w:rsid w:val="00675012"/>
    <w:rsid w:val="006752F6"/>
    <w:rsid w:val="00680165"/>
    <w:rsid w:val="00682080"/>
    <w:rsid w:val="006829B9"/>
    <w:rsid w:val="006829DE"/>
    <w:rsid w:val="006835FA"/>
    <w:rsid w:val="006837FB"/>
    <w:rsid w:val="00684817"/>
    <w:rsid w:val="00685400"/>
    <w:rsid w:val="0068712B"/>
    <w:rsid w:val="006876A8"/>
    <w:rsid w:val="00690885"/>
    <w:rsid w:val="00691528"/>
    <w:rsid w:val="00692435"/>
    <w:rsid w:val="00692692"/>
    <w:rsid w:val="00692D89"/>
    <w:rsid w:val="00693F4A"/>
    <w:rsid w:val="00695743"/>
    <w:rsid w:val="00695FFC"/>
    <w:rsid w:val="006961D3"/>
    <w:rsid w:val="00697381"/>
    <w:rsid w:val="00697B8E"/>
    <w:rsid w:val="006A3B77"/>
    <w:rsid w:val="006A49E3"/>
    <w:rsid w:val="006B1EFD"/>
    <w:rsid w:val="006B1F87"/>
    <w:rsid w:val="006B1F9C"/>
    <w:rsid w:val="006B243B"/>
    <w:rsid w:val="006B25B3"/>
    <w:rsid w:val="006B4546"/>
    <w:rsid w:val="006B6337"/>
    <w:rsid w:val="006B725C"/>
    <w:rsid w:val="006C14E4"/>
    <w:rsid w:val="006C28A9"/>
    <w:rsid w:val="006C34C3"/>
    <w:rsid w:val="006C3A71"/>
    <w:rsid w:val="006C6DA8"/>
    <w:rsid w:val="006C710B"/>
    <w:rsid w:val="006C7F61"/>
    <w:rsid w:val="006D2381"/>
    <w:rsid w:val="006D2767"/>
    <w:rsid w:val="006D407F"/>
    <w:rsid w:val="006D790A"/>
    <w:rsid w:val="006E0002"/>
    <w:rsid w:val="006E2A57"/>
    <w:rsid w:val="006E5EFD"/>
    <w:rsid w:val="006E656B"/>
    <w:rsid w:val="006E698D"/>
    <w:rsid w:val="006E70EF"/>
    <w:rsid w:val="006F0442"/>
    <w:rsid w:val="006F11EB"/>
    <w:rsid w:val="006F61A7"/>
    <w:rsid w:val="007023DF"/>
    <w:rsid w:val="00702B3A"/>
    <w:rsid w:val="00703AF0"/>
    <w:rsid w:val="00710106"/>
    <w:rsid w:val="007138DB"/>
    <w:rsid w:val="00714AEB"/>
    <w:rsid w:val="00714F0F"/>
    <w:rsid w:val="00714F94"/>
    <w:rsid w:val="0071518E"/>
    <w:rsid w:val="007160BE"/>
    <w:rsid w:val="00716F89"/>
    <w:rsid w:val="00721261"/>
    <w:rsid w:val="0072151C"/>
    <w:rsid w:val="0072255E"/>
    <w:rsid w:val="00722F65"/>
    <w:rsid w:val="00724D8C"/>
    <w:rsid w:val="00724DAC"/>
    <w:rsid w:val="007257CD"/>
    <w:rsid w:val="00732974"/>
    <w:rsid w:val="00734A4F"/>
    <w:rsid w:val="00735E58"/>
    <w:rsid w:val="007377FA"/>
    <w:rsid w:val="00737CB1"/>
    <w:rsid w:val="00740FD8"/>
    <w:rsid w:val="007414C6"/>
    <w:rsid w:val="007416B7"/>
    <w:rsid w:val="007423CD"/>
    <w:rsid w:val="00742DEB"/>
    <w:rsid w:val="00743B27"/>
    <w:rsid w:val="00744E6B"/>
    <w:rsid w:val="0074519B"/>
    <w:rsid w:val="007506A8"/>
    <w:rsid w:val="007523CE"/>
    <w:rsid w:val="00752B4B"/>
    <w:rsid w:val="00755582"/>
    <w:rsid w:val="00756F07"/>
    <w:rsid w:val="007613AC"/>
    <w:rsid w:val="00761EDE"/>
    <w:rsid w:val="0076283C"/>
    <w:rsid w:val="00762A9E"/>
    <w:rsid w:val="00762B23"/>
    <w:rsid w:val="00762BCC"/>
    <w:rsid w:val="00763BA3"/>
    <w:rsid w:val="00763D66"/>
    <w:rsid w:val="00765B66"/>
    <w:rsid w:val="00767BB2"/>
    <w:rsid w:val="0077159C"/>
    <w:rsid w:val="00771A93"/>
    <w:rsid w:val="007749F1"/>
    <w:rsid w:val="00776D23"/>
    <w:rsid w:val="00776EDB"/>
    <w:rsid w:val="00780376"/>
    <w:rsid w:val="00780EE3"/>
    <w:rsid w:val="0078267A"/>
    <w:rsid w:val="00783011"/>
    <w:rsid w:val="00784525"/>
    <w:rsid w:val="00787730"/>
    <w:rsid w:val="00787800"/>
    <w:rsid w:val="0079023B"/>
    <w:rsid w:val="007903B0"/>
    <w:rsid w:val="00791AAC"/>
    <w:rsid w:val="00791B07"/>
    <w:rsid w:val="00791F36"/>
    <w:rsid w:val="00792B2A"/>
    <w:rsid w:val="00794B5E"/>
    <w:rsid w:val="00797470"/>
    <w:rsid w:val="0079790B"/>
    <w:rsid w:val="00797D4C"/>
    <w:rsid w:val="00797DEE"/>
    <w:rsid w:val="007A16EA"/>
    <w:rsid w:val="007A1A6C"/>
    <w:rsid w:val="007A2002"/>
    <w:rsid w:val="007A4FEE"/>
    <w:rsid w:val="007A67E0"/>
    <w:rsid w:val="007A6D6A"/>
    <w:rsid w:val="007A7041"/>
    <w:rsid w:val="007A76B2"/>
    <w:rsid w:val="007B1D0A"/>
    <w:rsid w:val="007B4549"/>
    <w:rsid w:val="007B5C13"/>
    <w:rsid w:val="007B5E5A"/>
    <w:rsid w:val="007B644E"/>
    <w:rsid w:val="007B69FC"/>
    <w:rsid w:val="007B7E91"/>
    <w:rsid w:val="007C0475"/>
    <w:rsid w:val="007C0E7E"/>
    <w:rsid w:val="007C16D2"/>
    <w:rsid w:val="007C1A56"/>
    <w:rsid w:val="007C2E38"/>
    <w:rsid w:val="007C39A9"/>
    <w:rsid w:val="007C3C50"/>
    <w:rsid w:val="007C4098"/>
    <w:rsid w:val="007C40F1"/>
    <w:rsid w:val="007C4E4D"/>
    <w:rsid w:val="007C50FC"/>
    <w:rsid w:val="007C51FA"/>
    <w:rsid w:val="007C6DEA"/>
    <w:rsid w:val="007C78F7"/>
    <w:rsid w:val="007D0EFE"/>
    <w:rsid w:val="007D12A1"/>
    <w:rsid w:val="007D17C5"/>
    <w:rsid w:val="007D380E"/>
    <w:rsid w:val="007D4D03"/>
    <w:rsid w:val="007D52A8"/>
    <w:rsid w:val="007D52EC"/>
    <w:rsid w:val="007D6CB6"/>
    <w:rsid w:val="007E0F4A"/>
    <w:rsid w:val="007E1A57"/>
    <w:rsid w:val="007E257A"/>
    <w:rsid w:val="007E52DF"/>
    <w:rsid w:val="007E6618"/>
    <w:rsid w:val="007F0105"/>
    <w:rsid w:val="007F05F4"/>
    <w:rsid w:val="007F1CEE"/>
    <w:rsid w:val="007F61F1"/>
    <w:rsid w:val="00801208"/>
    <w:rsid w:val="0080248A"/>
    <w:rsid w:val="00803144"/>
    <w:rsid w:val="008060A8"/>
    <w:rsid w:val="00806B7D"/>
    <w:rsid w:val="00807C77"/>
    <w:rsid w:val="00811242"/>
    <w:rsid w:val="0081306B"/>
    <w:rsid w:val="00814B02"/>
    <w:rsid w:val="00815D3D"/>
    <w:rsid w:val="00821F7F"/>
    <w:rsid w:val="008236F9"/>
    <w:rsid w:val="00824796"/>
    <w:rsid w:val="008249C3"/>
    <w:rsid w:val="0082544B"/>
    <w:rsid w:val="00827138"/>
    <w:rsid w:val="00827FF1"/>
    <w:rsid w:val="00831674"/>
    <w:rsid w:val="00832C39"/>
    <w:rsid w:val="0083300B"/>
    <w:rsid w:val="00833B85"/>
    <w:rsid w:val="00835239"/>
    <w:rsid w:val="008368E4"/>
    <w:rsid w:val="0083690F"/>
    <w:rsid w:val="00836C19"/>
    <w:rsid w:val="00837537"/>
    <w:rsid w:val="008375BF"/>
    <w:rsid w:val="00842415"/>
    <w:rsid w:val="00842766"/>
    <w:rsid w:val="00842B12"/>
    <w:rsid w:val="00843A88"/>
    <w:rsid w:val="008464F3"/>
    <w:rsid w:val="008466C5"/>
    <w:rsid w:val="00847646"/>
    <w:rsid w:val="008519E0"/>
    <w:rsid w:val="00853386"/>
    <w:rsid w:val="00854EBF"/>
    <w:rsid w:val="0086094D"/>
    <w:rsid w:val="00860C36"/>
    <w:rsid w:val="00864EDE"/>
    <w:rsid w:val="00865239"/>
    <w:rsid w:val="00866974"/>
    <w:rsid w:val="0086731C"/>
    <w:rsid w:val="00870233"/>
    <w:rsid w:val="00871DF3"/>
    <w:rsid w:val="00872382"/>
    <w:rsid w:val="00874DF5"/>
    <w:rsid w:val="008761B0"/>
    <w:rsid w:val="00876E8D"/>
    <w:rsid w:val="008777CB"/>
    <w:rsid w:val="00877FFB"/>
    <w:rsid w:val="00880263"/>
    <w:rsid w:val="00880CC6"/>
    <w:rsid w:val="00880F59"/>
    <w:rsid w:val="00881EB8"/>
    <w:rsid w:val="008821A6"/>
    <w:rsid w:val="00882DB1"/>
    <w:rsid w:val="00885B65"/>
    <w:rsid w:val="00886906"/>
    <w:rsid w:val="00886C40"/>
    <w:rsid w:val="00891039"/>
    <w:rsid w:val="008912FE"/>
    <w:rsid w:val="00891ABD"/>
    <w:rsid w:val="0089317C"/>
    <w:rsid w:val="00894EED"/>
    <w:rsid w:val="008967AB"/>
    <w:rsid w:val="00896A5E"/>
    <w:rsid w:val="008A0A4E"/>
    <w:rsid w:val="008A245D"/>
    <w:rsid w:val="008A2C83"/>
    <w:rsid w:val="008A54FC"/>
    <w:rsid w:val="008A6BF8"/>
    <w:rsid w:val="008B22D6"/>
    <w:rsid w:val="008B3681"/>
    <w:rsid w:val="008B59B2"/>
    <w:rsid w:val="008B5A82"/>
    <w:rsid w:val="008B70CD"/>
    <w:rsid w:val="008C0BD7"/>
    <w:rsid w:val="008C43B4"/>
    <w:rsid w:val="008C446B"/>
    <w:rsid w:val="008D141C"/>
    <w:rsid w:val="008D2C13"/>
    <w:rsid w:val="008D3C0B"/>
    <w:rsid w:val="008D4030"/>
    <w:rsid w:val="008D4989"/>
    <w:rsid w:val="008D5F02"/>
    <w:rsid w:val="008E0B2A"/>
    <w:rsid w:val="008E3309"/>
    <w:rsid w:val="008E33CE"/>
    <w:rsid w:val="008E6109"/>
    <w:rsid w:val="008E774E"/>
    <w:rsid w:val="008F1390"/>
    <w:rsid w:val="008F22E6"/>
    <w:rsid w:val="008F295D"/>
    <w:rsid w:val="008F2C54"/>
    <w:rsid w:val="008F432F"/>
    <w:rsid w:val="008F43C0"/>
    <w:rsid w:val="008F47AB"/>
    <w:rsid w:val="008F6375"/>
    <w:rsid w:val="008F6705"/>
    <w:rsid w:val="008F7983"/>
    <w:rsid w:val="00904BBD"/>
    <w:rsid w:val="00904E2E"/>
    <w:rsid w:val="0090559C"/>
    <w:rsid w:val="00907077"/>
    <w:rsid w:val="00907A34"/>
    <w:rsid w:val="00907DB4"/>
    <w:rsid w:val="00910836"/>
    <w:rsid w:val="00912FC5"/>
    <w:rsid w:val="009131E1"/>
    <w:rsid w:val="0091427E"/>
    <w:rsid w:val="0091664D"/>
    <w:rsid w:val="009170EA"/>
    <w:rsid w:val="0091738A"/>
    <w:rsid w:val="0092076F"/>
    <w:rsid w:val="00921D37"/>
    <w:rsid w:val="00921F24"/>
    <w:rsid w:val="009239A1"/>
    <w:rsid w:val="00923A6C"/>
    <w:rsid w:val="00925788"/>
    <w:rsid w:val="00925AF5"/>
    <w:rsid w:val="00926266"/>
    <w:rsid w:val="00926338"/>
    <w:rsid w:val="00926857"/>
    <w:rsid w:val="00930439"/>
    <w:rsid w:val="0093146A"/>
    <w:rsid w:val="00933587"/>
    <w:rsid w:val="009360AE"/>
    <w:rsid w:val="00937AEB"/>
    <w:rsid w:val="00940D25"/>
    <w:rsid w:val="00940EB4"/>
    <w:rsid w:val="00941246"/>
    <w:rsid w:val="0094155F"/>
    <w:rsid w:val="00943C97"/>
    <w:rsid w:val="00944E2D"/>
    <w:rsid w:val="009601DE"/>
    <w:rsid w:val="00960D6C"/>
    <w:rsid w:val="0096278E"/>
    <w:rsid w:val="00962B1E"/>
    <w:rsid w:val="009632EE"/>
    <w:rsid w:val="0096564E"/>
    <w:rsid w:val="009662E3"/>
    <w:rsid w:val="00966605"/>
    <w:rsid w:val="0096679D"/>
    <w:rsid w:val="00966DD3"/>
    <w:rsid w:val="00966DD9"/>
    <w:rsid w:val="00967050"/>
    <w:rsid w:val="00970C7C"/>
    <w:rsid w:val="009729BB"/>
    <w:rsid w:val="009739BD"/>
    <w:rsid w:val="009740BC"/>
    <w:rsid w:val="00974B60"/>
    <w:rsid w:val="00976B66"/>
    <w:rsid w:val="009821CE"/>
    <w:rsid w:val="0098407B"/>
    <w:rsid w:val="00984E3A"/>
    <w:rsid w:val="00985189"/>
    <w:rsid w:val="00986677"/>
    <w:rsid w:val="009905E2"/>
    <w:rsid w:val="0099161F"/>
    <w:rsid w:val="00992F17"/>
    <w:rsid w:val="00994207"/>
    <w:rsid w:val="0099421C"/>
    <w:rsid w:val="009948F8"/>
    <w:rsid w:val="009953E8"/>
    <w:rsid w:val="00996388"/>
    <w:rsid w:val="00997472"/>
    <w:rsid w:val="009A10D6"/>
    <w:rsid w:val="009A20BF"/>
    <w:rsid w:val="009A2F3A"/>
    <w:rsid w:val="009A569D"/>
    <w:rsid w:val="009A5950"/>
    <w:rsid w:val="009A5AE9"/>
    <w:rsid w:val="009A5F56"/>
    <w:rsid w:val="009A7A45"/>
    <w:rsid w:val="009A7D61"/>
    <w:rsid w:val="009B0CE3"/>
    <w:rsid w:val="009B7F43"/>
    <w:rsid w:val="009C3803"/>
    <w:rsid w:val="009C72D1"/>
    <w:rsid w:val="009D1507"/>
    <w:rsid w:val="009D16AA"/>
    <w:rsid w:val="009D2C13"/>
    <w:rsid w:val="009D3BA5"/>
    <w:rsid w:val="009D4AFF"/>
    <w:rsid w:val="009D4BA1"/>
    <w:rsid w:val="009D6848"/>
    <w:rsid w:val="009D7D5A"/>
    <w:rsid w:val="009E1B18"/>
    <w:rsid w:val="009E36B8"/>
    <w:rsid w:val="009E47EB"/>
    <w:rsid w:val="009E5876"/>
    <w:rsid w:val="009F1C49"/>
    <w:rsid w:val="009F2451"/>
    <w:rsid w:val="009F3A37"/>
    <w:rsid w:val="009F6EA2"/>
    <w:rsid w:val="009F6F33"/>
    <w:rsid w:val="00A0004F"/>
    <w:rsid w:val="00A02090"/>
    <w:rsid w:val="00A03659"/>
    <w:rsid w:val="00A03731"/>
    <w:rsid w:val="00A050E5"/>
    <w:rsid w:val="00A05661"/>
    <w:rsid w:val="00A061CE"/>
    <w:rsid w:val="00A076B5"/>
    <w:rsid w:val="00A07B27"/>
    <w:rsid w:val="00A07CD6"/>
    <w:rsid w:val="00A103FE"/>
    <w:rsid w:val="00A122E6"/>
    <w:rsid w:val="00A1330D"/>
    <w:rsid w:val="00A13621"/>
    <w:rsid w:val="00A16E10"/>
    <w:rsid w:val="00A17B1D"/>
    <w:rsid w:val="00A17F69"/>
    <w:rsid w:val="00A20270"/>
    <w:rsid w:val="00A2037A"/>
    <w:rsid w:val="00A211C1"/>
    <w:rsid w:val="00A22285"/>
    <w:rsid w:val="00A22D28"/>
    <w:rsid w:val="00A22EC9"/>
    <w:rsid w:val="00A23870"/>
    <w:rsid w:val="00A24160"/>
    <w:rsid w:val="00A24FF1"/>
    <w:rsid w:val="00A25D82"/>
    <w:rsid w:val="00A25F8D"/>
    <w:rsid w:val="00A274DB"/>
    <w:rsid w:val="00A336EF"/>
    <w:rsid w:val="00A34B68"/>
    <w:rsid w:val="00A35C0A"/>
    <w:rsid w:val="00A36F6F"/>
    <w:rsid w:val="00A370DD"/>
    <w:rsid w:val="00A41E1E"/>
    <w:rsid w:val="00A42147"/>
    <w:rsid w:val="00A42DB1"/>
    <w:rsid w:val="00A43200"/>
    <w:rsid w:val="00A4373F"/>
    <w:rsid w:val="00A441C0"/>
    <w:rsid w:val="00A46C65"/>
    <w:rsid w:val="00A51252"/>
    <w:rsid w:val="00A51B20"/>
    <w:rsid w:val="00A53F36"/>
    <w:rsid w:val="00A540E6"/>
    <w:rsid w:val="00A55AE9"/>
    <w:rsid w:val="00A573F0"/>
    <w:rsid w:val="00A57898"/>
    <w:rsid w:val="00A6007F"/>
    <w:rsid w:val="00A6112C"/>
    <w:rsid w:val="00A61B61"/>
    <w:rsid w:val="00A62C2A"/>
    <w:rsid w:val="00A63DB0"/>
    <w:rsid w:val="00A6411D"/>
    <w:rsid w:val="00A6518C"/>
    <w:rsid w:val="00A66006"/>
    <w:rsid w:val="00A6688D"/>
    <w:rsid w:val="00A66E5A"/>
    <w:rsid w:val="00A673EB"/>
    <w:rsid w:val="00A703EB"/>
    <w:rsid w:val="00A73298"/>
    <w:rsid w:val="00A735AB"/>
    <w:rsid w:val="00A751C0"/>
    <w:rsid w:val="00A76DD8"/>
    <w:rsid w:val="00A811FF"/>
    <w:rsid w:val="00A82825"/>
    <w:rsid w:val="00A836E8"/>
    <w:rsid w:val="00A85475"/>
    <w:rsid w:val="00A86102"/>
    <w:rsid w:val="00A87237"/>
    <w:rsid w:val="00A87577"/>
    <w:rsid w:val="00A90015"/>
    <w:rsid w:val="00A90FAC"/>
    <w:rsid w:val="00A91601"/>
    <w:rsid w:val="00A92013"/>
    <w:rsid w:val="00A923CA"/>
    <w:rsid w:val="00A93A57"/>
    <w:rsid w:val="00A94932"/>
    <w:rsid w:val="00A95ACB"/>
    <w:rsid w:val="00A97942"/>
    <w:rsid w:val="00A97AD3"/>
    <w:rsid w:val="00A97B9D"/>
    <w:rsid w:val="00AA0051"/>
    <w:rsid w:val="00AA079B"/>
    <w:rsid w:val="00AA086A"/>
    <w:rsid w:val="00AA1BC1"/>
    <w:rsid w:val="00AA4646"/>
    <w:rsid w:val="00AA4A4A"/>
    <w:rsid w:val="00AA53A0"/>
    <w:rsid w:val="00AA583B"/>
    <w:rsid w:val="00AA5EE2"/>
    <w:rsid w:val="00AA6EAC"/>
    <w:rsid w:val="00AA728A"/>
    <w:rsid w:val="00AA7ED3"/>
    <w:rsid w:val="00AB0C19"/>
    <w:rsid w:val="00AB1029"/>
    <w:rsid w:val="00AB160F"/>
    <w:rsid w:val="00AB35EC"/>
    <w:rsid w:val="00AB470B"/>
    <w:rsid w:val="00AB47B1"/>
    <w:rsid w:val="00AB4EF6"/>
    <w:rsid w:val="00AB758A"/>
    <w:rsid w:val="00AC0138"/>
    <w:rsid w:val="00AC01FE"/>
    <w:rsid w:val="00AC09AB"/>
    <w:rsid w:val="00AC0EA5"/>
    <w:rsid w:val="00AC1441"/>
    <w:rsid w:val="00AC2686"/>
    <w:rsid w:val="00AC2B51"/>
    <w:rsid w:val="00AC3803"/>
    <w:rsid w:val="00AC4FC7"/>
    <w:rsid w:val="00AC763C"/>
    <w:rsid w:val="00AD0D28"/>
    <w:rsid w:val="00AD1BE1"/>
    <w:rsid w:val="00AD21A9"/>
    <w:rsid w:val="00AD2994"/>
    <w:rsid w:val="00AD54B5"/>
    <w:rsid w:val="00AD7139"/>
    <w:rsid w:val="00AD7257"/>
    <w:rsid w:val="00AE27AA"/>
    <w:rsid w:val="00AE4053"/>
    <w:rsid w:val="00AE508E"/>
    <w:rsid w:val="00AE62E8"/>
    <w:rsid w:val="00AE6725"/>
    <w:rsid w:val="00AE7C50"/>
    <w:rsid w:val="00AF032D"/>
    <w:rsid w:val="00AF0889"/>
    <w:rsid w:val="00AF2D0C"/>
    <w:rsid w:val="00AF4734"/>
    <w:rsid w:val="00AF4C0E"/>
    <w:rsid w:val="00AF7CD8"/>
    <w:rsid w:val="00B00093"/>
    <w:rsid w:val="00B00CE7"/>
    <w:rsid w:val="00B00E48"/>
    <w:rsid w:val="00B04700"/>
    <w:rsid w:val="00B06A85"/>
    <w:rsid w:val="00B07A45"/>
    <w:rsid w:val="00B10FFE"/>
    <w:rsid w:val="00B14515"/>
    <w:rsid w:val="00B14519"/>
    <w:rsid w:val="00B14E5E"/>
    <w:rsid w:val="00B155E3"/>
    <w:rsid w:val="00B15D15"/>
    <w:rsid w:val="00B16375"/>
    <w:rsid w:val="00B17580"/>
    <w:rsid w:val="00B203A0"/>
    <w:rsid w:val="00B2052F"/>
    <w:rsid w:val="00B2186C"/>
    <w:rsid w:val="00B23C6C"/>
    <w:rsid w:val="00B25910"/>
    <w:rsid w:val="00B25E3C"/>
    <w:rsid w:val="00B26973"/>
    <w:rsid w:val="00B301A4"/>
    <w:rsid w:val="00B30C68"/>
    <w:rsid w:val="00B30D3B"/>
    <w:rsid w:val="00B31486"/>
    <w:rsid w:val="00B31BCD"/>
    <w:rsid w:val="00B337E4"/>
    <w:rsid w:val="00B33EF6"/>
    <w:rsid w:val="00B34402"/>
    <w:rsid w:val="00B3519B"/>
    <w:rsid w:val="00B3637B"/>
    <w:rsid w:val="00B3757B"/>
    <w:rsid w:val="00B40055"/>
    <w:rsid w:val="00B432D4"/>
    <w:rsid w:val="00B43E7B"/>
    <w:rsid w:val="00B44EE0"/>
    <w:rsid w:val="00B47A10"/>
    <w:rsid w:val="00B50761"/>
    <w:rsid w:val="00B50ABB"/>
    <w:rsid w:val="00B50C66"/>
    <w:rsid w:val="00B51514"/>
    <w:rsid w:val="00B524E1"/>
    <w:rsid w:val="00B52545"/>
    <w:rsid w:val="00B5315C"/>
    <w:rsid w:val="00B534F6"/>
    <w:rsid w:val="00B53C59"/>
    <w:rsid w:val="00B56397"/>
    <w:rsid w:val="00B576D7"/>
    <w:rsid w:val="00B604E6"/>
    <w:rsid w:val="00B60968"/>
    <w:rsid w:val="00B65592"/>
    <w:rsid w:val="00B65E6F"/>
    <w:rsid w:val="00B67733"/>
    <w:rsid w:val="00B72888"/>
    <w:rsid w:val="00B73C88"/>
    <w:rsid w:val="00B75FAD"/>
    <w:rsid w:val="00B76DAD"/>
    <w:rsid w:val="00B775D7"/>
    <w:rsid w:val="00B80892"/>
    <w:rsid w:val="00B82735"/>
    <w:rsid w:val="00B82BA7"/>
    <w:rsid w:val="00B83D56"/>
    <w:rsid w:val="00B847D5"/>
    <w:rsid w:val="00B850EA"/>
    <w:rsid w:val="00B85DF5"/>
    <w:rsid w:val="00B85FE2"/>
    <w:rsid w:val="00B8607A"/>
    <w:rsid w:val="00B86342"/>
    <w:rsid w:val="00B86774"/>
    <w:rsid w:val="00B8795B"/>
    <w:rsid w:val="00B921E0"/>
    <w:rsid w:val="00B92306"/>
    <w:rsid w:val="00B92861"/>
    <w:rsid w:val="00B92FAE"/>
    <w:rsid w:val="00B957A9"/>
    <w:rsid w:val="00B97F57"/>
    <w:rsid w:val="00BA01F1"/>
    <w:rsid w:val="00BA0243"/>
    <w:rsid w:val="00BA10B0"/>
    <w:rsid w:val="00BA1FBD"/>
    <w:rsid w:val="00BA3D26"/>
    <w:rsid w:val="00BA4118"/>
    <w:rsid w:val="00BA54BD"/>
    <w:rsid w:val="00BA5D75"/>
    <w:rsid w:val="00BA6E58"/>
    <w:rsid w:val="00BA7A69"/>
    <w:rsid w:val="00BB15E2"/>
    <w:rsid w:val="00BB3089"/>
    <w:rsid w:val="00BB51BD"/>
    <w:rsid w:val="00BC1359"/>
    <w:rsid w:val="00BC2A6F"/>
    <w:rsid w:val="00BC3F27"/>
    <w:rsid w:val="00BC78B8"/>
    <w:rsid w:val="00BD01D0"/>
    <w:rsid w:val="00BD156B"/>
    <w:rsid w:val="00BD1F49"/>
    <w:rsid w:val="00BD28DF"/>
    <w:rsid w:val="00BD6113"/>
    <w:rsid w:val="00BD6876"/>
    <w:rsid w:val="00BD6E90"/>
    <w:rsid w:val="00BD76BE"/>
    <w:rsid w:val="00BD7CD9"/>
    <w:rsid w:val="00BD7FD9"/>
    <w:rsid w:val="00BE0B23"/>
    <w:rsid w:val="00BE2864"/>
    <w:rsid w:val="00BE332C"/>
    <w:rsid w:val="00BE40BD"/>
    <w:rsid w:val="00BE42C2"/>
    <w:rsid w:val="00BE6B2F"/>
    <w:rsid w:val="00BF2F16"/>
    <w:rsid w:val="00BF464E"/>
    <w:rsid w:val="00BF5218"/>
    <w:rsid w:val="00BF59BB"/>
    <w:rsid w:val="00BF6F6C"/>
    <w:rsid w:val="00C00565"/>
    <w:rsid w:val="00C013FE"/>
    <w:rsid w:val="00C0202E"/>
    <w:rsid w:val="00C04A3A"/>
    <w:rsid w:val="00C054AF"/>
    <w:rsid w:val="00C06545"/>
    <w:rsid w:val="00C07629"/>
    <w:rsid w:val="00C076BF"/>
    <w:rsid w:val="00C10891"/>
    <w:rsid w:val="00C1233A"/>
    <w:rsid w:val="00C12370"/>
    <w:rsid w:val="00C12AC0"/>
    <w:rsid w:val="00C153A4"/>
    <w:rsid w:val="00C1585C"/>
    <w:rsid w:val="00C15B97"/>
    <w:rsid w:val="00C16017"/>
    <w:rsid w:val="00C17570"/>
    <w:rsid w:val="00C212B5"/>
    <w:rsid w:val="00C22720"/>
    <w:rsid w:val="00C256B4"/>
    <w:rsid w:val="00C25A3D"/>
    <w:rsid w:val="00C25F81"/>
    <w:rsid w:val="00C26092"/>
    <w:rsid w:val="00C27F02"/>
    <w:rsid w:val="00C316FD"/>
    <w:rsid w:val="00C31B22"/>
    <w:rsid w:val="00C32C20"/>
    <w:rsid w:val="00C338E4"/>
    <w:rsid w:val="00C338F0"/>
    <w:rsid w:val="00C351C7"/>
    <w:rsid w:val="00C41327"/>
    <w:rsid w:val="00C414E2"/>
    <w:rsid w:val="00C430CF"/>
    <w:rsid w:val="00C43931"/>
    <w:rsid w:val="00C44908"/>
    <w:rsid w:val="00C45783"/>
    <w:rsid w:val="00C47E43"/>
    <w:rsid w:val="00C504F4"/>
    <w:rsid w:val="00C512DE"/>
    <w:rsid w:val="00C51BFE"/>
    <w:rsid w:val="00C5269F"/>
    <w:rsid w:val="00C57E85"/>
    <w:rsid w:val="00C61D59"/>
    <w:rsid w:val="00C64093"/>
    <w:rsid w:val="00C65BB4"/>
    <w:rsid w:val="00C66442"/>
    <w:rsid w:val="00C66C33"/>
    <w:rsid w:val="00C723C2"/>
    <w:rsid w:val="00C74C8F"/>
    <w:rsid w:val="00C8071C"/>
    <w:rsid w:val="00C80957"/>
    <w:rsid w:val="00C816CB"/>
    <w:rsid w:val="00C82461"/>
    <w:rsid w:val="00C86B04"/>
    <w:rsid w:val="00C86CCD"/>
    <w:rsid w:val="00C8731C"/>
    <w:rsid w:val="00C876AB"/>
    <w:rsid w:val="00C90C87"/>
    <w:rsid w:val="00C91E3B"/>
    <w:rsid w:val="00C93622"/>
    <w:rsid w:val="00C9462A"/>
    <w:rsid w:val="00C9499F"/>
    <w:rsid w:val="00C94BAF"/>
    <w:rsid w:val="00C97F01"/>
    <w:rsid w:val="00CA07CC"/>
    <w:rsid w:val="00CA12AE"/>
    <w:rsid w:val="00CA25B5"/>
    <w:rsid w:val="00CA31C2"/>
    <w:rsid w:val="00CA4FCE"/>
    <w:rsid w:val="00CA5F8F"/>
    <w:rsid w:val="00CB21B7"/>
    <w:rsid w:val="00CC05E3"/>
    <w:rsid w:val="00CC084A"/>
    <w:rsid w:val="00CC170E"/>
    <w:rsid w:val="00CC3915"/>
    <w:rsid w:val="00CC3F29"/>
    <w:rsid w:val="00CC4290"/>
    <w:rsid w:val="00CC5A6F"/>
    <w:rsid w:val="00CC6B1C"/>
    <w:rsid w:val="00CC7EB1"/>
    <w:rsid w:val="00CD07E7"/>
    <w:rsid w:val="00CD17F6"/>
    <w:rsid w:val="00CD33B1"/>
    <w:rsid w:val="00CD3885"/>
    <w:rsid w:val="00CD4ECA"/>
    <w:rsid w:val="00CE2653"/>
    <w:rsid w:val="00CE271A"/>
    <w:rsid w:val="00CE3947"/>
    <w:rsid w:val="00CE4344"/>
    <w:rsid w:val="00CE6836"/>
    <w:rsid w:val="00CE6FF5"/>
    <w:rsid w:val="00CE7654"/>
    <w:rsid w:val="00CE7B26"/>
    <w:rsid w:val="00CF05DD"/>
    <w:rsid w:val="00CF1293"/>
    <w:rsid w:val="00CF26FF"/>
    <w:rsid w:val="00CF5245"/>
    <w:rsid w:val="00CF6AC5"/>
    <w:rsid w:val="00CF767E"/>
    <w:rsid w:val="00CF7752"/>
    <w:rsid w:val="00CF7E4B"/>
    <w:rsid w:val="00D0117F"/>
    <w:rsid w:val="00D01AE4"/>
    <w:rsid w:val="00D02014"/>
    <w:rsid w:val="00D05C23"/>
    <w:rsid w:val="00D06683"/>
    <w:rsid w:val="00D07385"/>
    <w:rsid w:val="00D0771C"/>
    <w:rsid w:val="00D07B1A"/>
    <w:rsid w:val="00D1005D"/>
    <w:rsid w:val="00D106CC"/>
    <w:rsid w:val="00D1101B"/>
    <w:rsid w:val="00D1167E"/>
    <w:rsid w:val="00D11A11"/>
    <w:rsid w:val="00D11F82"/>
    <w:rsid w:val="00D13502"/>
    <w:rsid w:val="00D13542"/>
    <w:rsid w:val="00D14ED7"/>
    <w:rsid w:val="00D169C6"/>
    <w:rsid w:val="00D20512"/>
    <w:rsid w:val="00D20761"/>
    <w:rsid w:val="00D20BE1"/>
    <w:rsid w:val="00D21C82"/>
    <w:rsid w:val="00D222D6"/>
    <w:rsid w:val="00D234E7"/>
    <w:rsid w:val="00D23571"/>
    <w:rsid w:val="00D243D4"/>
    <w:rsid w:val="00D2455A"/>
    <w:rsid w:val="00D257AE"/>
    <w:rsid w:val="00D26DF2"/>
    <w:rsid w:val="00D30E46"/>
    <w:rsid w:val="00D35153"/>
    <w:rsid w:val="00D352D8"/>
    <w:rsid w:val="00D353D7"/>
    <w:rsid w:val="00D3663D"/>
    <w:rsid w:val="00D36A62"/>
    <w:rsid w:val="00D42B2C"/>
    <w:rsid w:val="00D42BC0"/>
    <w:rsid w:val="00D43023"/>
    <w:rsid w:val="00D43474"/>
    <w:rsid w:val="00D4349F"/>
    <w:rsid w:val="00D44825"/>
    <w:rsid w:val="00D44B5B"/>
    <w:rsid w:val="00D45124"/>
    <w:rsid w:val="00D45699"/>
    <w:rsid w:val="00D45D5C"/>
    <w:rsid w:val="00D45DB9"/>
    <w:rsid w:val="00D46F23"/>
    <w:rsid w:val="00D47CC6"/>
    <w:rsid w:val="00D47EF6"/>
    <w:rsid w:val="00D50AC8"/>
    <w:rsid w:val="00D51BE2"/>
    <w:rsid w:val="00D54309"/>
    <w:rsid w:val="00D54A5A"/>
    <w:rsid w:val="00D559B0"/>
    <w:rsid w:val="00D55AAF"/>
    <w:rsid w:val="00D60A44"/>
    <w:rsid w:val="00D61180"/>
    <w:rsid w:val="00D619E9"/>
    <w:rsid w:val="00D62344"/>
    <w:rsid w:val="00D630D8"/>
    <w:rsid w:val="00D64327"/>
    <w:rsid w:val="00D660DD"/>
    <w:rsid w:val="00D66DEE"/>
    <w:rsid w:val="00D67C04"/>
    <w:rsid w:val="00D729B9"/>
    <w:rsid w:val="00D73426"/>
    <w:rsid w:val="00D73766"/>
    <w:rsid w:val="00D7390F"/>
    <w:rsid w:val="00D73B45"/>
    <w:rsid w:val="00D740A0"/>
    <w:rsid w:val="00D7428A"/>
    <w:rsid w:val="00D74F04"/>
    <w:rsid w:val="00D76287"/>
    <w:rsid w:val="00D76981"/>
    <w:rsid w:val="00D77345"/>
    <w:rsid w:val="00D80BA2"/>
    <w:rsid w:val="00D8517C"/>
    <w:rsid w:val="00D85B6F"/>
    <w:rsid w:val="00D86AD7"/>
    <w:rsid w:val="00D90913"/>
    <w:rsid w:val="00D91075"/>
    <w:rsid w:val="00D92BEC"/>
    <w:rsid w:val="00D951DC"/>
    <w:rsid w:val="00D96826"/>
    <w:rsid w:val="00D96F68"/>
    <w:rsid w:val="00D9797A"/>
    <w:rsid w:val="00DA0B26"/>
    <w:rsid w:val="00DA18F2"/>
    <w:rsid w:val="00DA25EA"/>
    <w:rsid w:val="00DA32CE"/>
    <w:rsid w:val="00DA6564"/>
    <w:rsid w:val="00DA7794"/>
    <w:rsid w:val="00DB17F9"/>
    <w:rsid w:val="00DB1F2F"/>
    <w:rsid w:val="00DB2D5F"/>
    <w:rsid w:val="00DB4505"/>
    <w:rsid w:val="00DB46F3"/>
    <w:rsid w:val="00DB4726"/>
    <w:rsid w:val="00DB5669"/>
    <w:rsid w:val="00DB581E"/>
    <w:rsid w:val="00DB622E"/>
    <w:rsid w:val="00DB6422"/>
    <w:rsid w:val="00DC04E2"/>
    <w:rsid w:val="00DC1252"/>
    <w:rsid w:val="00DC1C2D"/>
    <w:rsid w:val="00DC3499"/>
    <w:rsid w:val="00DD49BE"/>
    <w:rsid w:val="00DD5136"/>
    <w:rsid w:val="00DD583A"/>
    <w:rsid w:val="00DD6973"/>
    <w:rsid w:val="00DE054C"/>
    <w:rsid w:val="00DE0F2D"/>
    <w:rsid w:val="00DE0FAF"/>
    <w:rsid w:val="00DE48D1"/>
    <w:rsid w:val="00DE4D90"/>
    <w:rsid w:val="00DE4F05"/>
    <w:rsid w:val="00DE5B05"/>
    <w:rsid w:val="00DE68D8"/>
    <w:rsid w:val="00DF2C67"/>
    <w:rsid w:val="00DF33BB"/>
    <w:rsid w:val="00DF3AE2"/>
    <w:rsid w:val="00DF44A3"/>
    <w:rsid w:val="00DF5EDF"/>
    <w:rsid w:val="00DF7D21"/>
    <w:rsid w:val="00E0024F"/>
    <w:rsid w:val="00E00929"/>
    <w:rsid w:val="00E02A2D"/>
    <w:rsid w:val="00E02FC8"/>
    <w:rsid w:val="00E03771"/>
    <w:rsid w:val="00E03CC3"/>
    <w:rsid w:val="00E046E0"/>
    <w:rsid w:val="00E05586"/>
    <w:rsid w:val="00E059C5"/>
    <w:rsid w:val="00E06009"/>
    <w:rsid w:val="00E062AA"/>
    <w:rsid w:val="00E0768A"/>
    <w:rsid w:val="00E1003B"/>
    <w:rsid w:val="00E102AB"/>
    <w:rsid w:val="00E102E3"/>
    <w:rsid w:val="00E11D7E"/>
    <w:rsid w:val="00E136DD"/>
    <w:rsid w:val="00E14334"/>
    <w:rsid w:val="00E14F94"/>
    <w:rsid w:val="00E15589"/>
    <w:rsid w:val="00E16054"/>
    <w:rsid w:val="00E1732A"/>
    <w:rsid w:val="00E20658"/>
    <w:rsid w:val="00E21BF0"/>
    <w:rsid w:val="00E21C18"/>
    <w:rsid w:val="00E2303A"/>
    <w:rsid w:val="00E26D22"/>
    <w:rsid w:val="00E343BD"/>
    <w:rsid w:val="00E348D9"/>
    <w:rsid w:val="00E36245"/>
    <w:rsid w:val="00E36601"/>
    <w:rsid w:val="00E37885"/>
    <w:rsid w:val="00E401D7"/>
    <w:rsid w:val="00E41276"/>
    <w:rsid w:val="00E41D37"/>
    <w:rsid w:val="00E4290B"/>
    <w:rsid w:val="00E44387"/>
    <w:rsid w:val="00E45049"/>
    <w:rsid w:val="00E45618"/>
    <w:rsid w:val="00E46600"/>
    <w:rsid w:val="00E47574"/>
    <w:rsid w:val="00E47BC0"/>
    <w:rsid w:val="00E47D13"/>
    <w:rsid w:val="00E513AE"/>
    <w:rsid w:val="00E55854"/>
    <w:rsid w:val="00E60351"/>
    <w:rsid w:val="00E60F84"/>
    <w:rsid w:val="00E61067"/>
    <w:rsid w:val="00E6143F"/>
    <w:rsid w:val="00E61872"/>
    <w:rsid w:val="00E622D1"/>
    <w:rsid w:val="00E6668D"/>
    <w:rsid w:val="00E668CE"/>
    <w:rsid w:val="00E66A0A"/>
    <w:rsid w:val="00E71AE7"/>
    <w:rsid w:val="00E72130"/>
    <w:rsid w:val="00E729EA"/>
    <w:rsid w:val="00E74334"/>
    <w:rsid w:val="00E752E6"/>
    <w:rsid w:val="00E75735"/>
    <w:rsid w:val="00E75D9E"/>
    <w:rsid w:val="00E771B6"/>
    <w:rsid w:val="00E77D85"/>
    <w:rsid w:val="00E81808"/>
    <w:rsid w:val="00E82117"/>
    <w:rsid w:val="00E8598A"/>
    <w:rsid w:val="00E90D8B"/>
    <w:rsid w:val="00E91DDB"/>
    <w:rsid w:val="00E942EB"/>
    <w:rsid w:val="00E96113"/>
    <w:rsid w:val="00E964EB"/>
    <w:rsid w:val="00EA16A8"/>
    <w:rsid w:val="00EA26E0"/>
    <w:rsid w:val="00EA2ED5"/>
    <w:rsid w:val="00EA35D8"/>
    <w:rsid w:val="00EA5B55"/>
    <w:rsid w:val="00EA5E75"/>
    <w:rsid w:val="00EA6088"/>
    <w:rsid w:val="00EB093A"/>
    <w:rsid w:val="00EB0E91"/>
    <w:rsid w:val="00EB2BDB"/>
    <w:rsid w:val="00EB4F72"/>
    <w:rsid w:val="00EB7ACC"/>
    <w:rsid w:val="00EB7AF9"/>
    <w:rsid w:val="00EC054B"/>
    <w:rsid w:val="00EC1A2C"/>
    <w:rsid w:val="00EC2088"/>
    <w:rsid w:val="00EC3B88"/>
    <w:rsid w:val="00EC48F6"/>
    <w:rsid w:val="00EC568A"/>
    <w:rsid w:val="00EC5915"/>
    <w:rsid w:val="00EC5E43"/>
    <w:rsid w:val="00ED2C10"/>
    <w:rsid w:val="00ED6110"/>
    <w:rsid w:val="00EE1C43"/>
    <w:rsid w:val="00EE3A63"/>
    <w:rsid w:val="00EE43B1"/>
    <w:rsid w:val="00EE6526"/>
    <w:rsid w:val="00EE7DA1"/>
    <w:rsid w:val="00EF3407"/>
    <w:rsid w:val="00EF36AC"/>
    <w:rsid w:val="00EF4064"/>
    <w:rsid w:val="00EF5128"/>
    <w:rsid w:val="00EF53A0"/>
    <w:rsid w:val="00EF56BB"/>
    <w:rsid w:val="00EF6337"/>
    <w:rsid w:val="00F00254"/>
    <w:rsid w:val="00F0053B"/>
    <w:rsid w:val="00F00DC9"/>
    <w:rsid w:val="00F01571"/>
    <w:rsid w:val="00F02570"/>
    <w:rsid w:val="00F04C7A"/>
    <w:rsid w:val="00F05838"/>
    <w:rsid w:val="00F06638"/>
    <w:rsid w:val="00F0719B"/>
    <w:rsid w:val="00F10976"/>
    <w:rsid w:val="00F11542"/>
    <w:rsid w:val="00F17F40"/>
    <w:rsid w:val="00F20329"/>
    <w:rsid w:val="00F212EB"/>
    <w:rsid w:val="00F21A99"/>
    <w:rsid w:val="00F22728"/>
    <w:rsid w:val="00F23D13"/>
    <w:rsid w:val="00F23D9F"/>
    <w:rsid w:val="00F2440A"/>
    <w:rsid w:val="00F251A4"/>
    <w:rsid w:val="00F2762D"/>
    <w:rsid w:val="00F276B1"/>
    <w:rsid w:val="00F302DA"/>
    <w:rsid w:val="00F3111D"/>
    <w:rsid w:val="00F311D5"/>
    <w:rsid w:val="00F32B08"/>
    <w:rsid w:val="00F32B73"/>
    <w:rsid w:val="00F32DEC"/>
    <w:rsid w:val="00F33E25"/>
    <w:rsid w:val="00F346A2"/>
    <w:rsid w:val="00F372AB"/>
    <w:rsid w:val="00F37D73"/>
    <w:rsid w:val="00F40783"/>
    <w:rsid w:val="00F40C73"/>
    <w:rsid w:val="00F41714"/>
    <w:rsid w:val="00F43B83"/>
    <w:rsid w:val="00F43E24"/>
    <w:rsid w:val="00F43F0A"/>
    <w:rsid w:val="00F44695"/>
    <w:rsid w:val="00F44E93"/>
    <w:rsid w:val="00F45561"/>
    <w:rsid w:val="00F455C0"/>
    <w:rsid w:val="00F463E2"/>
    <w:rsid w:val="00F465D3"/>
    <w:rsid w:val="00F46D23"/>
    <w:rsid w:val="00F46E29"/>
    <w:rsid w:val="00F475C8"/>
    <w:rsid w:val="00F5066B"/>
    <w:rsid w:val="00F513E7"/>
    <w:rsid w:val="00F51BD6"/>
    <w:rsid w:val="00F56854"/>
    <w:rsid w:val="00F56F06"/>
    <w:rsid w:val="00F56F62"/>
    <w:rsid w:val="00F60854"/>
    <w:rsid w:val="00F61968"/>
    <w:rsid w:val="00F62D48"/>
    <w:rsid w:val="00F63474"/>
    <w:rsid w:val="00F66504"/>
    <w:rsid w:val="00F67404"/>
    <w:rsid w:val="00F677AD"/>
    <w:rsid w:val="00F70728"/>
    <w:rsid w:val="00F72E0B"/>
    <w:rsid w:val="00F73815"/>
    <w:rsid w:val="00F745C5"/>
    <w:rsid w:val="00F75313"/>
    <w:rsid w:val="00F771F6"/>
    <w:rsid w:val="00F7770D"/>
    <w:rsid w:val="00F82BF8"/>
    <w:rsid w:val="00F82CD4"/>
    <w:rsid w:val="00F85296"/>
    <w:rsid w:val="00F905E7"/>
    <w:rsid w:val="00F90BBE"/>
    <w:rsid w:val="00F915F0"/>
    <w:rsid w:val="00F91F4A"/>
    <w:rsid w:val="00F91FDD"/>
    <w:rsid w:val="00F92461"/>
    <w:rsid w:val="00F92D8A"/>
    <w:rsid w:val="00F92ED2"/>
    <w:rsid w:val="00F9310C"/>
    <w:rsid w:val="00F93115"/>
    <w:rsid w:val="00F95196"/>
    <w:rsid w:val="00F9539A"/>
    <w:rsid w:val="00F96FB1"/>
    <w:rsid w:val="00F974F5"/>
    <w:rsid w:val="00F97BAB"/>
    <w:rsid w:val="00FA09DC"/>
    <w:rsid w:val="00FA1687"/>
    <w:rsid w:val="00FA2837"/>
    <w:rsid w:val="00FA4E32"/>
    <w:rsid w:val="00FA5792"/>
    <w:rsid w:val="00FA5A12"/>
    <w:rsid w:val="00FA619A"/>
    <w:rsid w:val="00FA6CA2"/>
    <w:rsid w:val="00FA7C3A"/>
    <w:rsid w:val="00FB04BE"/>
    <w:rsid w:val="00FB1D21"/>
    <w:rsid w:val="00FB200D"/>
    <w:rsid w:val="00FB3571"/>
    <w:rsid w:val="00FB49C5"/>
    <w:rsid w:val="00FB4F1D"/>
    <w:rsid w:val="00FB5DD7"/>
    <w:rsid w:val="00FC06BD"/>
    <w:rsid w:val="00FC0CB1"/>
    <w:rsid w:val="00FC1795"/>
    <w:rsid w:val="00FC1CAF"/>
    <w:rsid w:val="00FC37F7"/>
    <w:rsid w:val="00FC3FEE"/>
    <w:rsid w:val="00FC49BF"/>
    <w:rsid w:val="00FC6590"/>
    <w:rsid w:val="00FD050E"/>
    <w:rsid w:val="00FD5554"/>
    <w:rsid w:val="00FD6870"/>
    <w:rsid w:val="00FD7A03"/>
    <w:rsid w:val="00FE2155"/>
    <w:rsid w:val="00FE2E2C"/>
    <w:rsid w:val="00FE5BFB"/>
    <w:rsid w:val="00FE5EFE"/>
    <w:rsid w:val="00FE75D3"/>
    <w:rsid w:val="00FE7CD3"/>
    <w:rsid w:val="00FE7CE5"/>
    <w:rsid w:val="00FE7D4C"/>
    <w:rsid w:val="00FE7EEC"/>
    <w:rsid w:val="00FF0E5A"/>
    <w:rsid w:val="00FF1413"/>
    <w:rsid w:val="00FF28BB"/>
    <w:rsid w:val="00FF35C1"/>
    <w:rsid w:val="00FF3AC9"/>
    <w:rsid w:val="00FF434B"/>
    <w:rsid w:val="00FF4AF5"/>
    <w:rsid w:val="156F09F7"/>
    <w:rsid w:val="46F4B8F4"/>
    <w:rsid w:val="47A5D9A1"/>
    <w:rsid w:val="507927C0"/>
    <w:rsid w:val="60B9EB2C"/>
    <w:rsid w:val="63E3CBD9"/>
    <w:rsid w:val="65E5E6D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41C373E8"/>
  <w15:docId w15:val="{CC83E8CF-7CB6-4A2D-8927-B214DC26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character" w:customStyle="1" w:styleId="s1">
    <w:name w:val="s1"/>
    <w:basedOn w:val="DefaultParagraphFont"/>
    <w:rsid w:val="00DE5B05"/>
  </w:style>
  <w:style w:type="character" w:styleId="UnresolvedMention">
    <w:name w:val="Unresolved Mention"/>
    <w:basedOn w:val="DefaultParagraphFont"/>
    <w:uiPriority w:val="99"/>
    <w:semiHidden/>
    <w:unhideWhenUsed/>
    <w:rsid w:val="00AF032D"/>
    <w:rPr>
      <w:color w:val="605E5C"/>
      <w:shd w:val="clear" w:color="auto" w:fill="E1DFDD"/>
    </w:rPr>
  </w:style>
  <w:style w:type="character" w:styleId="FollowedHyperlink">
    <w:name w:val="FollowedHyperlink"/>
    <w:basedOn w:val="DefaultParagraphFont"/>
    <w:uiPriority w:val="99"/>
    <w:semiHidden/>
    <w:unhideWhenUsed/>
    <w:locked/>
    <w:rsid w:val="002925C3"/>
    <w:rPr>
      <w:color w:val="800080" w:themeColor="followedHyperlink"/>
      <w:u w:val="single"/>
    </w:rPr>
  </w:style>
  <w:style w:type="character" w:styleId="CommentReference">
    <w:name w:val="annotation reference"/>
    <w:basedOn w:val="DefaultParagraphFont"/>
    <w:uiPriority w:val="99"/>
    <w:semiHidden/>
    <w:unhideWhenUsed/>
    <w:locked/>
    <w:rsid w:val="006C710B"/>
    <w:rPr>
      <w:sz w:val="16"/>
      <w:szCs w:val="16"/>
    </w:rPr>
  </w:style>
  <w:style w:type="paragraph" w:styleId="CommentText">
    <w:name w:val="annotation text"/>
    <w:basedOn w:val="Normal"/>
    <w:link w:val="CommentTextChar"/>
    <w:uiPriority w:val="99"/>
    <w:unhideWhenUsed/>
    <w:locked/>
    <w:rsid w:val="006C710B"/>
    <w:rPr>
      <w:szCs w:val="20"/>
    </w:rPr>
  </w:style>
  <w:style w:type="character" w:customStyle="1" w:styleId="CommentTextChar">
    <w:name w:val="Comment Text Char"/>
    <w:basedOn w:val="DefaultParagraphFont"/>
    <w:link w:val="CommentText"/>
    <w:uiPriority w:val="99"/>
    <w:rsid w:val="006C710B"/>
    <w:rPr>
      <w:rFonts w:eastAsia="Calibri"/>
      <w:lang w:val="en-GB"/>
    </w:rPr>
  </w:style>
  <w:style w:type="paragraph" w:styleId="CommentSubject">
    <w:name w:val="annotation subject"/>
    <w:basedOn w:val="CommentText"/>
    <w:next w:val="CommentText"/>
    <w:link w:val="CommentSubjectChar"/>
    <w:uiPriority w:val="99"/>
    <w:semiHidden/>
    <w:unhideWhenUsed/>
    <w:locked/>
    <w:rsid w:val="006C710B"/>
    <w:rPr>
      <w:b/>
      <w:bCs/>
    </w:rPr>
  </w:style>
  <w:style w:type="character" w:customStyle="1" w:styleId="CommentSubjectChar">
    <w:name w:val="Comment Subject Char"/>
    <w:basedOn w:val="CommentTextChar"/>
    <w:link w:val="CommentSubject"/>
    <w:uiPriority w:val="99"/>
    <w:semiHidden/>
    <w:rsid w:val="006C710B"/>
    <w:rPr>
      <w:rFonts w:eastAsia="Calibri"/>
      <w:b/>
      <w:bCs/>
      <w:lang w:val="en-GB"/>
    </w:rPr>
  </w:style>
  <w:style w:type="paragraph" w:styleId="Footer">
    <w:name w:val="footer"/>
    <w:basedOn w:val="Normal"/>
    <w:link w:val="FooterChar"/>
    <w:uiPriority w:val="99"/>
    <w:semiHidden/>
    <w:unhideWhenUsed/>
    <w:locked/>
    <w:rsid w:val="00A94932"/>
    <w:pPr>
      <w:tabs>
        <w:tab w:val="center" w:pos="4513"/>
        <w:tab w:val="right" w:pos="9026"/>
      </w:tabs>
      <w:spacing w:before="0" w:after="0"/>
    </w:pPr>
  </w:style>
  <w:style w:type="character" w:customStyle="1" w:styleId="FooterChar">
    <w:name w:val="Footer Char"/>
    <w:basedOn w:val="DefaultParagraphFont"/>
    <w:link w:val="Footer"/>
    <w:uiPriority w:val="99"/>
    <w:semiHidden/>
    <w:rsid w:val="00A94932"/>
    <w:rPr>
      <w:rFonts w:eastAsia="Calibri"/>
      <w:szCs w:val="22"/>
      <w:lang w:val="en-GB"/>
    </w:rPr>
  </w:style>
  <w:style w:type="paragraph" w:styleId="Revision">
    <w:name w:val="Revision"/>
    <w:hidden/>
    <w:uiPriority w:val="99"/>
    <w:semiHidden/>
    <w:rsid w:val="00132579"/>
    <w:pPr>
      <w:spacing w:before="0" w:after="0"/>
      <w:jc w:val="left"/>
    </w:pPr>
    <w:rPr>
      <w:rFonts w:eastAsia="Calibri"/>
      <w:szCs w:val="22"/>
      <w:lang w:val="en-GB"/>
    </w:rPr>
  </w:style>
  <w:style w:type="paragraph" w:customStyle="1" w:styleId="paragraph">
    <w:name w:val="paragraph"/>
    <w:basedOn w:val="Normal"/>
    <w:rsid w:val="00224F3A"/>
    <w:pPr>
      <w:spacing w:before="100" w:beforeAutospacing="1" w:after="100" w:afterAutospacing="1"/>
      <w:jc w:val="left"/>
    </w:pPr>
    <w:rPr>
      <w:rFonts w:ascii="Times New Roman" w:eastAsia="Times New Roman" w:hAnsi="Times New Roman"/>
      <w:sz w:val="24"/>
      <w:szCs w:val="24"/>
    </w:rPr>
  </w:style>
  <w:style w:type="character" w:customStyle="1" w:styleId="normaltextrun">
    <w:name w:val="normaltextrun"/>
    <w:basedOn w:val="DefaultParagraphFont"/>
    <w:rsid w:val="00224F3A"/>
  </w:style>
  <w:style w:type="character" w:customStyle="1" w:styleId="eop">
    <w:name w:val="eop"/>
    <w:basedOn w:val="DefaultParagraphFont"/>
    <w:rsid w:val="00224F3A"/>
  </w:style>
  <w:style w:type="character" w:customStyle="1" w:styleId="spellingerror">
    <w:name w:val="spellingerror"/>
    <w:basedOn w:val="DefaultParagraphFont"/>
    <w:rsid w:val="0078267A"/>
  </w:style>
  <w:style w:type="paragraph" w:styleId="NormalWeb">
    <w:name w:val="Normal (Web)"/>
    <w:basedOn w:val="Normal"/>
    <w:uiPriority w:val="99"/>
    <w:unhideWhenUsed/>
    <w:locked/>
    <w:rsid w:val="00FA1687"/>
    <w:pPr>
      <w:spacing w:before="100" w:beforeAutospacing="1" w:after="100" w:afterAutospacing="1"/>
      <w:jc w:val="left"/>
    </w:pPr>
    <w:rPr>
      <w:rFonts w:ascii="Times New Roman" w:eastAsia="Times New Roman" w:hAnsi="Times New Roman"/>
      <w:sz w:val="24"/>
      <w:szCs w:val="24"/>
    </w:rPr>
  </w:style>
  <w:style w:type="character" w:customStyle="1" w:styleId="markedcontent">
    <w:name w:val="markedcontent"/>
    <w:basedOn w:val="DefaultParagraphFont"/>
    <w:rsid w:val="000A623D"/>
  </w:style>
  <w:style w:type="paragraph" w:customStyle="1" w:styleId="B1">
    <w:name w:val="B1"/>
    <w:basedOn w:val="Normal"/>
    <w:link w:val="B1Char"/>
    <w:qFormat/>
    <w:rsid w:val="00732974"/>
    <w:pPr>
      <w:spacing w:before="0" w:after="180"/>
      <w:ind w:left="568" w:hanging="284"/>
      <w:jc w:val="left"/>
    </w:pPr>
    <w:rPr>
      <w:rFonts w:ascii="Times New Roman" w:eastAsiaTheme="minorEastAsia" w:hAnsi="Times New Roman"/>
      <w:szCs w:val="20"/>
    </w:rPr>
  </w:style>
  <w:style w:type="character" w:customStyle="1" w:styleId="B1Char">
    <w:name w:val="B1 Char"/>
    <w:link w:val="B1"/>
    <w:qFormat/>
    <w:locked/>
    <w:rsid w:val="00732974"/>
    <w:rPr>
      <w:rFonts w:ascii="Times New Roman" w:eastAsiaTheme="minorEastAsia"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7888">
      <w:bodyDiv w:val="1"/>
      <w:marLeft w:val="0"/>
      <w:marRight w:val="0"/>
      <w:marTop w:val="0"/>
      <w:marBottom w:val="0"/>
      <w:divBdr>
        <w:top w:val="none" w:sz="0" w:space="0" w:color="auto"/>
        <w:left w:val="none" w:sz="0" w:space="0" w:color="auto"/>
        <w:bottom w:val="none" w:sz="0" w:space="0" w:color="auto"/>
        <w:right w:val="none" w:sz="0" w:space="0" w:color="auto"/>
      </w:divBdr>
    </w:div>
    <w:div w:id="193155081">
      <w:bodyDiv w:val="1"/>
      <w:marLeft w:val="0"/>
      <w:marRight w:val="0"/>
      <w:marTop w:val="0"/>
      <w:marBottom w:val="0"/>
      <w:divBdr>
        <w:top w:val="none" w:sz="0" w:space="0" w:color="auto"/>
        <w:left w:val="none" w:sz="0" w:space="0" w:color="auto"/>
        <w:bottom w:val="none" w:sz="0" w:space="0" w:color="auto"/>
        <w:right w:val="none" w:sz="0" w:space="0" w:color="auto"/>
      </w:divBdr>
      <w:divsChild>
        <w:div w:id="932204273">
          <w:marLeft w:val="0"/>
          <w:marRight w:val="0"/>
          <w:marTop w:val="0"/>
          <w:marBottom w:val="0"/>
          <w:divBdr>
            <w:top w:val="none" w:sz="0" w:space="0" w:color="auto"/>
            <w:left w:val="none" w:sz="0" w:space="0" w:color="auto"/>
            <w:bottom w:val="none" w:sz="0" w:space="0" w:color="auto"/>
            <w:right w:val="none" w:sz="0" w:space="0" w:color="auto"/>
          </w:divBdr>
        </w:div>
        <w:div w:id="1227642294">
          <w:marLeft w:val="0"/>
          <w:marRight w:val="0"/>
          <w:marTop w:val="0"/>
          <w:marBottom w:val="0"/>
          <w:divBdr>
            <w:top w:val="none" w:sz="0" w:space="0" w:color="auto"/>
            <w:left w:val="none" w:sz="0" w:space="0" w:color="auto"/>
            <w:bottom w:val="none" w:sz="0" w:space="0" w:color="auto"/>
            <w:right w:val="none" w:sz="0" w:space="0" w:color="auto"/>
          </w:divBdr>
        </w:div>
      </w:divsChild>
    </w:div>
    <w:div w:id="409932492">
      <w:bodyDiv w:val="1"/>
      <w:marLeft w:val="0"/>
      <w:marRight w:val="0"/>
      <w:marTop w:val="0"/>
      <w:marBottom w:val="0"/>
      <w:divBdr>
        <w:top w:val="none" w:sz="0" w:space="0" w:color="auto"/>
        <w:left w:val="none" w:sz="0" w:space="0" w:color="auto"/>
        <w:bottom w:val="none" w:sz="0" w:space="0" w:color="auto"/>
        <w:right w:val="none" w:sz="0" w:space="0" w:color="auto"/>
      </w:divBdr>
      <w:divsChild>
        <w:div w:id="763263374">
          <w:marLeft w:val="0"/>
          <w:marRight w:val="0"/>
          <w:marTop w:val="0"/>
          <w:marBottom w:val="0"/>
          <w:divBdr>
            <w:top w:val="none" w:sz="0" w:space="0" w:color="auto"/>
            <w:left w:val="none" w:sz="0" w:space="0" w:color="auto"/>
            <w:bottom w:val="none" w:sz="0" w:space="0" w:color="auto"/>
            <w:right w:val="none" w:sz="0" w:space="0" w:color="auto"/>
          </w:divBdr>
        </w:div>
        <w:div w:id="1001853556">
          <w:marLeft w:val="0"/>
          <w:marRight w:val="0"/>
          <w:marTop w:val="0"/>
          <w:marBottom w:val="0"/>
          <w:divBdr>
            <w:top w:val="none" w:sz="0" w:space="0" w:color="auto"/>
            <w:left w:val="none" w:sz="0" w:space="0" w:color="auto"/>
            <w:bottom w:val="none" w:sz="0" w:space="0" w:color="auto"/>
            <w:right w:val="none" w:sz="0" w:space="0" w:color="auto"/>
          </w:divBdr>
        </w:div>
        <w:div w:id="1478187478">
          <w:marLeft w:val="0"/>
          <w:marRight w:val="0"/>
          <w:marTop w:val="0"/>
          <w:marBottom w:val="0"/>
          <w:divBdr>
            <w:top w:val="none" w:sz="0" w:space="0" w:color="auto"/>
            <w:left w:val="none" w:sz="0" w:space="0" w:color="auto"/>
            <w:bottom w:val="none" w:sz="0" w:space="0" w:color="auto"/>
            <w:right w:val="none" w:sz="0" w:space="0" w:color="auto"/>
          </w:divBdr>
        </w:div>
        <w:div w:id="1647204503">
          <w:marLeft w:val="0"/>
          <w:marRight w:val="0"/>
          <w:marTop w:val="0"/>
          <w:marBottom w:val="0"/>
          <w:divBdr>
            <w:top w:val="none" w:sz="0" w:space="0" w:color="auto"/>
            <w:left w:val="none" w:sz="0" w:space="0" w:color="auto"/>
            <w:bottom w:val="none" w:sz="0" w:space="0" w:color="auto"/>
            <w:right w:val="none" w:sz="0" w:space="0" w:color="auto"/>
          </w:divBdr>
        </w:div>
        <w:div w:id="2005543833">
          <w:marLeft w:val="0"/>
          <w:marRight w:val="0"/>
          <w:marTop w:val="0"/>
          <w:marBottom w:val="0"/>
          <w:divBdr>
            <w:top w:val="none" w:sz="0" w:space="0" w:color="auto"/>
            <w:left w:val="none" w:sz="0" w:space="0" w:color="auto"/>
            <w:bottom w:val="none" w:sz="0" w:space="0" w:color="auto"/>
            <w:right w:val="none" w:sz="0" w:space="0" w:color="auto"/>
          </w:divBdr>
        </w:div>
      </w:divsChild>
    </w:div>
    <w:div w:id="441002290">
      <w:bodyDiv w:val="1"/>
      <w:marLeft w:val="0"/>
      <w:marRight w:val="0"/>
      <w:marTop w:val="0"/>
      <w:marBottom w:val="0"/>
      <w:divBdr>
        <w:top w:val="none" w:sz="0" w:space="0" w:color="auto"/>
        <w:left w:val="none" w:sz="0" w:space="0" w:color="auto"/>
        <w:bottom w:val="none" w:sz="0" w:space="0" w:color="auto"/>
        <w:right w:val="none" w:sz="0" w:space="0" w:color="auto"/>
      </w:divBdr>
    </w:div>
    <w:div w:id="614023133">
      <w:bodyDiv w:val="1"/>
      <w:marLeft w:val="0"/>
      <w:marRight w:val="0"/>
      <w:marTop w:val="0"/>
      <w:marBottom w:val="0"/>
      <w:divBdr>
        <w:top w:val="none" w:sz="0" w:space="0" w:color="auto"/>
        <w:left w:val="none" w:sz="0" w:space="0" w:color="auto"/>
        <w:bottom w:val="none" w:sz="0" w:space="0" w:color="auto"/>
        <w:right w:val="none" w:sz="0" w:space="0" w:color="auto"/>
      </w:divBdr>
      <w:divsChild>
        <w:div w:id="193659455">
          <w:marLeft w:val="0"/>
          <w:marRight w:val="0"/>
          <w:marTop w:val="0"/>
          <w:marBottom w:val="0"/>
          <w:divBdr>
            <w:top w:val="none" w:sz="0" w:space="0" w:color="auto"/>
            <w:left w:val="none" w:sz="0" w:space="0" w:color="auto"/>
            <w:bottom w:val="none" w:sz="0" w:space="0" w:color="auto"/>
            <w:right w:val="none" w:sz="0" w:space="0" w:color="auto"/>
          </w:divBdr>
        </w:div>
      </w:divsChild>
    </w:div>
    <w:div w:id="735709648">
      <w:bodyDiv w:val="1"/>
      <w:marLeft w:val="0"/>
      <w:marRight w:val="0"/>
      <w:marTop w:val="0"/>
      <w:marBottom w:val="0"/>
      <w:divBdr>
        <w:top w:val="none" w:sz="0" w:space="0" w:color="auto"/>
        <w:left w:val="none" w:sz="0" w:space="0" w:color="auto"/>
        <w:bottom w:val="none" w:sz="0" w:space="0" w:color="auto"/>
        <w:right w:val="none" w:sz="0" w:space="0" w:color="auto"/>
      </w:divBdr>
      <w:divsChild>
        <w:div w:id="1342321342">
          <w:marLeft w:val="0"/>
          <w:marRight w:val="0"/>
          <w:marTop w:val="0"/>
          <w:marBottom w:val="0"/>
          <w:divBdr>
            <w:top w:val="none" w:sz="0" w:space="0" w:color="auto"/>
            <w:left w:val="none" w:sz="0" w:space="0" w:color="auto"/>
            <w:bottom w:val="none" w:sz="0" w:space="0" w:color="auto"/>
            <w:right w:val="none" w:sz="0" w:space="0" w:color="auto"/>
          </w:divBdr>
        </w:div>
      </w:divsChild>
    </w:div>
    <w:div w:id="764960465">
      <w:bodyDiv w:val="1"/>
      <w:marLeft w:val="0"/>
      <w:marRight w:val="0"/>
      <w:marTop w:val="0"/>
      <w:marBottom w:val="0"/>
      <w:divBdr>
        <w:top w:val="none" w:sz="0" w:space="0" w:color="auto"/>
        <w:left w:val="none" w:sz="0" w:space="0" w:color="auto"/>
        <w:bottom w:val="none" w:sz="0" w:space="0" w:color="auto"/>
        <w:right w:val="none" w:sz="0" w:space="0" w:color="auto"/>
      </w:divBdr>
    </w:div>
    <w:div w:id="780302949">
      <w:bodyDiv w:val="1"/>
      <w:marLeft w:val="0"/>
      <w:marRight w:val="0"/>
      <w:marTop w:val="0"/>
      <w:marBottom w:val="0"/>
      <w:divBdr>
        <w:top w:val="none" w:sz="0" w:space="0" w:color="auto"/>
        <w:left w:val="none" w:sz="0" w:space="0" w:color="auto"/>
        <w:bottom w:val="none" w:sz="0" w:space="0" w:color="auto"/>
        <w:right w:val="none" w:sz="0" w:space="0" w:color="auto"/>
      </w:divBdr>
    </w:div>
    <w:div w:id="948855672">
      <w:bodyDiv w:val="1"/>
      <w:marLeft w:val="0"/>
      <w:marRight w:val="0"/>
      <w:marTop w:val="0"/>
      <w:marBottom w:val="0"/>
      <w:divBdr>
        <w:top w:val="none" w:sz="0" w:space="0" w:color="auto"/>
        <w:left w:val="none" w:sz="0" w:space="0" w:color="auto"/>
        <w:bottom w:val="none" w:sz="0" w:space="0" w:color="auto"/>
        <w:right w:val="none" w:sz="0" w:space="0" w:color="auto"/>
      </w:divBdr>
      <w:divsChild>
        <w:div w:id="476578634">
          <w:marLeft w:val="0"/>
          <w:marRight w:val="0"/>
          <w:marTop w:val="0"/>
          <w:marBottom w:val="0"/>
          <w:divBdr>
            <w:top w:val="none" w:sz="0" w:space="0" w:color="auto"/>
            <w:left w:val="none" w:sz="0" w:space="0" w:color="auto"/>
            <w:bottom w:val="none" w:sz="0" w:space="0" w:color="auto"/>
            <w:right w:val="none" w:sz="0" w:space="0" w:color="auto"/>
          </w:divBdr>
        </w:div>
        <w:div w:id="615717907">
          <w:marLeft w:val="0"/>
          <w:marRight w:val="0"/>
          <w:marTop w:val="0"/>
          <w:marBottom w:val="0"/>
          <w:divBdr>
            <w:top w:val="none" w:sz="0" w:space="0" w:color="auto"/>
            <w:left w:val="none" w:sz="0" w:space="0" w:color="auto"/>
            <w:bottom w:val="none" w:sz="0" w:space="0" w:color="auto"/>
            <w:right w:val="none" w:sz="0" w:space="0" w:color="auto"/>
          </w:divBdr>
        </w:div>
        <w:div w:id="647632758">
          <w:marLeft w:val="0"/>
          <w:marRight w:val="0"/>
          <w:marTop w:val="0"/>
          <w:marBottom w:val="0"/>
          <w:divBdr>
            <w:top w:val="none" w:sz="0" w:space="0" w:color="auto"/>
            <w:left w:val="none" w:sz="0" w:space="0" w:color="auto"/>
            <w:bottom w:val="none" w:sz="0" w:space="0" w:color="auto"/>
            <w:right w:val="none" w:sz="0" w:space="0" w:color="auto"/>
          </w:divBdr>
        </w:div>
        <w:div w:id="951017037">
          <w:marLeft w:val="0"/>
          <w:marRight w:val="0"/>
          <w:marTop w:val="0"/>
          <w:marBottom w:val="0"/>
          <w:divBdr>
            <w:top w:val="none" w:sz="0" w:space="0" w:color="auto"/>
            <w:left w:val="none" w:sz="0" w:space="0" w:color="auto"/>
            <w:bottom w:val="none" w:sz="0" w:space="0" w:color="auto"/>
            <w:right w:val="none" w:sz="0" w:space="0" w:color="auto"/>
          </w:divBdr>
        </w:div>
        <w:div w:id="1270508546">
          <w:marLeft w:val="0"/>
          <w:marRight w:val="0"/>
          <w:marTop w:val="0"/>
          <w:marBottom w:val="0"/>
          <w:divBdr>
            <w:top w:val="none" w:sz="0" w:space="0" w:color="auto"/>
            <w:left w:val="none" w:sz="0" w:space="0" w:color="auto"/>
            <w:bottom w:val="none" w:sz="0" w:space="0" w:color="auto"/>
            <w:right w:val="none" w:sz="0" w:space="0" w:color="auto"/>
          </w:divBdr>
        </w:div>
      </w:divsChild>
    </w:div>
    <w:div w:id="990409745">
      <w:bodyDiv w:val="1"/>
      <w:marLeft w:val="0"/>
      <w:marRight w:val="0"/>
      <w:marTop w:val="0"/>
      <w:marBottom w:val="0"/>
      <w:divBdr>
        <w:top w:val="none" w:sz="0" w:space="0" w:color="auto"/>
        <w:left w:val="none" w:sz="0" w:space="0" w:color="auto"/>
        <w:bottom w:val="none" w:sz="0" w:space="0" w:color="auto"/>
        <w:right w:val="none" w:sz="0" w:space="0" w:color="auto"/>
      </w:divBdr>
    </w:div>
    <w:div w:id="1120564475">
      <w:bodyDiv w:val="1"/>
      <w:marLeft w:val="0"/>
      <w:marRight w:val="0"/>
      <w:marTop w:val="0"/>
      <w:marBottom w:val="0"/>
      <w:divBdr>
        <w:top w:val="none" w:sz="0" w:space="0" w:color="auto"/>
        <w:left w:val="none" w:sz="0" w:space="0" w:color="auto"/>
        <w:bottom w:val="none" w:sz="0" w:space="0" w:color="auto"/>
        <w:right w:val="none" w:sz="0" w:space="0" w:color="auto"/>
      </w:divBdr>
    </w:div>
    <w:div w:id="1183206866">
      <w:bodyDiv w:val="1"/>
      <w:marLeft w:val="0"/>
      <w:marRight w:val="0"/>
      <w:marTop w:val="0"/>
      <w:marBottom w:val="0"/>
      <w:divBdr>
        <w:top w:val="none" w:sz="0" w:space="0" w:color="auto"/>
        <w:left w:val="none" w:sz="0" w:space="0" w:color="auto"/>
        <w:bottom w:val="none" w:sz="0" w:space="0" w:color="auto"/>
        <w:right w:val="none" w:sz="0" w:space="0" w:color="auto"/>
      </w:divBdr>
      <w:divsChild>
        <w:div w:id="1789855980">
          <w:marLeft w:val="0"/>
          <w:marRight w:val="0"/>
          <w:marTop w:val="0"/>
          <w:marBottom w:val="0"/>
          <w:divBdr>
            <w:top w:val="none" w:sz="0" w:space="0" w:color="auto"/>
            <w:left w:val="none" w:sz="0" w:space="0" w:color="auto"/>
            <w:bottom w:val="none" w:sz="0" w:space="0" w:color="auto"/>
            <w:right w:val="none" w:sz="0" w:space="0" w:color="auto"/>
          </w:divBdr>
        </w:div>
      </w:divsChild>
    </w:div>
    <w:div w:id="1232500564">
      <w:bodyDiv w:val="1"/>
      <w:marLeft w:val="0"/>
      <w:marRight w:val="0"/>
      <w:marTop w:val="0"/>
      <w:marBottom w:val="0"/>
      <w:divBdr>
        <w:top w:val="none" w:sz="0" w:space="0" w:color="auto"/>
        <w:left w:val="none" w:sz="0" w:space="0" w:color="auto"/>
        <w:bottom w:val="none" w:sz="0" w:space="0" w:color="auto"/>
        <w:right w:val="none" w:sz="0" w:space="0" w:color="auto"/>
      </w:divBdr>
    </w:div>
    <w:div w:id="1320115034">
      <w:bodyDiv w:val="1"/>
      <w:marLeft w:val="0"/>
      <w:marRight w:val="0"/>
      <w:marTop w:val="0"/>
      <w:marBottom w:val="0"/>
      <w:divBdr>
        <w:top w:val="none" w:sz="0" w:space="0" w:color="auto"/>
        <w:left w:val="none" w:sz="0" w:space="0" w:color="auto"/>
        <w:bottom w:val="none" w:sz="0" w:space="0" w:color="auto"/>
        <w:right w:val="none" w:sz="0" w:space="0" w:color="auto"/>
      </w:divBdr>
    </w:div>
    <w:div w:id="1468475413">
      <w:bodyDiv w:val="1"/>
      <w:marLeft w:val="0"/>
      <w:marRight w:val="0"/>
      <w:marTop w:val="0"/>
      <w:marBottom w:val="0"/>
      <w:divBdr>
        <w:top w:val="none" w:sz="0" w:space="0" w:color="auto"/>
        <w:left w:val="none" w:sz="0" w:space="0" w:color="auto"/>
        <w:bottom w:val="none" w:sz="0" w:space="0" w:color="auto"/>
        <w:right w:val="none" w:sz="0" w:space="0" w:color="auto"/>
      </w:divBdr>
      <w:divsChild>
        <w:div w:id="742874468">
          <w:marLeft w:val="0"/>
          <w:marRight w:val="0"/>
          <w:marTop w:val="0"/>
          <w:marBottom w:val="0"/>
          <w:divBdr>
            <w:top w:val="none" w:sz="0" w:space="0" w:color="auto"/>
            <w:left w:val="none" w:sz="0" w:space="0" w:color="auto"/>
            <w:bottom w:val="none" w:sz="0" w:space="0" w:color="auto"/>
            <w:right w:val="none" w:sz="0" w:space="0" w:color="auto"/>
          </w:divBdr>
        </w:div>
      </w:divsChild>
    </w:div>
    <w:div w:id="1505824940">
      <w:bodyDiv w:val="1"/>
      <w:marLeft w:val="0"/>
      <w:marRight w:val="0"/>
      <w:marTop w:val="0"/>
      <w:marBottom w:val="0"/>
      <w:divBdr>
        <w:top w:val="none" w:sz="0" w:space="0" w:color="auto"/>
        <w:left w:val="none" w:sz="0" w:space="0" w:color="auto"/>
        <w:bottom w:val="none" w:sz="0" w:space="0" w:color="auto"/>
        <w:right w:val="none" w:sz="0" w:space="0" w:color="auto"/>
      </w:divBdr>
    </w:div>
    <w:div w:id="1596280818">
      <w:bodyDiv w:val="1"/>
      <w:marLeft w:val="0"/>
      <w:marRight w:val="0"/>
      <w:marTop w:val="0"/>
      <w:marBottom w:val="0"/>
      <w:divBdr>
        <w:top w:val="none" w:sz="0" w:space="0" w:color="auto"/>
        <w:left w:val="none" w:sz="0" w:space="0" w:color="auto"/>
        <w:bottom w:val="none" w:sz="0" w:space="0" w:color="auto"/>
        <w:right w:val="none" w:sz="0" w:space="0" w:color="auto"/>
      </w:divBdr>
    </w:div>
    <w:div w:id="1811970001">
      <w:bodyDiv w:val="1"/>
      <w:marLeft w:val="0"/>
      <w:marRight w:val="0"/>
      <w:marTop w:val="0"/>
      <w:marBottom w:val="0"/>
      <w:divBdr>
        <w:top w:val="none" w:sz="0" w:space="0" w:color="auto"/>
        <w:left w:val="none" w:sz="0" w:space="0" w:color="auto"/>
        <w:bottom w:val="none" w:sz="0" w:space="0" w:color="auto"/>
        <w:right w:val="none" w:sz="0" w:space="0" w:color="auto"/>
      </w:divBdr>
      <w:divsChild>
        <w:div w:id="339355455">
          <w:marLeft w:val="0"/>
          <w:marRight w:val="0"/>
          <w:marTop w:val="0"/>
          <w:marBottom w:val="0"/>
          <w:divBdr>
            <w:top w:val="none" w:sz="0" w:space="0" w:color="auto"/>
            <w:left w:val="none" w:sz="0" w:space="0" w:color="auto"/>
            <w:bottom w:val="none" w:sz="0" w:space="0" w:color="auto"/>
            <w:right w:val="none" w:sz="0" w:space="0" w:color="auto"/>
          </w:divBdr>
        </w:div>
        <w:div w:id="956445912">
          <w:marLeft w:val="0"/>
          <w:marRight w:val="0"/>
          <w:marTop w:val="0"/>
          <w:marBottom w:val="0"/>
          <w:divBdr>
            <w:top w:val="none" w:sz="0" w:space="0" w:color="auto"/>
            <w:left w:val="none" w:sz="0" w:space="0" w:color="auto"/>
            <w:bottom w:val="none" w:sz="0" w:space="0" w:color="auto"/>
            <w:right w:val="none" w:sz="0" w:space="0" w:color="auto"/>
          </w:divBdr>
        </w:div>
        <w:div w:id="960720524">
          <w:marLeft w:val="0"/>
          <w:marRight w:val="0"/>
          <w:marTop w:val="0"/>
          <w:marBottom w:val="0"/>
          <w:divBdr>
            <w:top w:val="none" w:sz="0" w:space="0" w:color="auto"/>
            <w:left w:val="none" w:sz="0" w:space="0" w:color="auto"/>
            <w:bottom w:val="none" w:sz="0" w:space="0" w:color="auto"/>
            <w:right w:val="none" w:sz="0" w:space="0" w:color="auto"/>
          </w:divBdr>
        </w:div>
      </w:divsChild>
    </w:div>
    <w:div w:id="1885285606">
      <w:bodyDiv w:val="1"/>
      <w:marLeft w:val="0"/>
      <w:marRight w:val="0"/>
      <w:marTop w:val="0"/>
      <w:marBottom w:val="0"/>
      <w:divBdr>
        <w:top w:val="none" w:sz="0" w:space="0" w:color="auto"/>
        <w:left w:val="none" w:sz="0" w:space="0" w:color="auto"/>
        <w:bottom w:val="none" w:sz="0" w:space="0" w:color="auto"/>
        <w:right w:val="none" w:sz="0" w:space="0" w:color="auto"/>
      </w:divBdr>
      <w:divsChild>
        <w:div w:id="548957328">
          <w:marLeft w:val="0"/>
          <w:marRight w:val="0"/>
          <w:marTop w:val="0"/>
          <w:marBottom w:val="0"/>
          <w:divBdr>
            <w:top w:val="none" w:sz="0" w:space="0" w:color="auto"/>
            <w:left w:val="none" w:sz="0" w:space="0" w:color="auto"/>
            <w:bottom w:val="none" w:sz="0" w:space="0" w:color="auto"/>
            <w:right w:val="none" w:sz="0" w:space="0" w:color="auto"/>
          </w:divBdr>
          <w:divsChild>
            <w:div w:id="937519005">
              <w:marLeft w:val="0"/>
              <w:marRight w:val="0"/>
              <w:marTop w:val="0"/>
              <w:marBottom w:val="0"/>
              <w:divBdr>
                <w:top w:val="none" w:sz="0" w:space="0" w:color="auto"/>
                <w:left w:val="none" w:sz="0" w:space="0" w:color="auto"/>
                <w:bottom w:val="none" w:sz="0" w:space="0" w:color="auto"/>
                <w:right w:val="none" w:sz="0" w:space="0" w:color="auto"/>
              </w:divBdr>
              <w:divsChild>
                <w:div w:id="692652948">
                  <w:marLeft w:val="0"/>
                  <w:marRight w:val="0"/>
                  <w:marTop w:val="0"/>
                  <w:marBottom w:val="150"/>
                  <w:divBdr>
                    <w:top w:val="none" w:sz="0" w:space="0" w:color="auto"/>
                    <w:left w:val="none" w:sz="0" w:space="0" w:color="auto"/>
                    <w:bottom w:val="none" w:sz="0" w:space="0" w:color="auto"/>
                    <w:right w:val="none" w:sz="0" w:space="0" w:color="auto"/>
                  </w:divBdr>
                </w:div>
              </w:divsChild>
            </w:div>
            <w:div w:id="1115176492">
              <w:marLeft w:val="0"/>
              <w:marRight w:val="0"/>
              <w:marTop w:val="0"/>
              <w:marBottom w:val="150"/>
              <w:divBdr>
                <w:top w:val="none" w:sz="0" w:space="0" w:color="auto"/>
                <w:left w:val="none" w:sz="0" w:space="0" w:color="auto"/>
                <w:bottom w:val="none" w:sz="0" w:space="0" w:color="auto"/>
                <w:right w:val="none" w:sz="0" w:space="0" w:color="auto"/>
              </w:divBdr>
              <w:divsChild>
                <w:div w:id="16172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107">
          <w:marLeft w:val="0"/>
          <w:marRight w:val="0"/>
          <w:marTop w:val="0"/>
          <w:marBottom w:val="0"/>
          <w:divBdr>
            <w:top w:val="none" w:sz="0" w:space="0" w:color="auto"/>
            <w:left w:val="none" w:sz="0" w:space="0" w:color="auto"/>
            <w:bottom w:val="none" w:sz="0" w:space="0" w:color="auto"/>
            <w:right w:val="none" w:sz="0" w:space="0" w:color="auto"/>
          </w:divBdr>
          <w:divsChild>
            <w:div w:id="355540125">
              <w:marLeft w:val="0"/>
              <w:marRight w:val="0"/>
              <w:marTop w:val="0"/>
              <w:marBottom w:val="600"/>
              <w:divBdr>
                <w:top w:val="none" w:sz="0" w:space="0" w:color="auto"/>
                <w:left w:val="none" w:sz="0" w:space="0" w:color="auto"/>
                <w:bottom w:val="none" w:sz="0" w:space="0" w:color="auto"/>
                <w:right w:val="none" w:sz="0" w:space="0" w:color="auto"/>
              </w:divBdr>
              <w:divsChild>
                <w:div w:id="1283610520">
                  <w:marLeft w:val="0"/>
                  <w:marRight w:val="0"/>
                  <w:marTop w:val="0"/>
                  <w:marBottom w:val="0"/>
                  <w:divBdr>
                    <w:top w:val="none" w:sz="0" w:space="0" w:color="auto"/>
                    <w:left w:val="none" w:sz="0" w:space="0" w:color="auto"/>
                    <w:bottom w:val="none" w:sz="0" w:space="0" w:color="auto"/>
                    <w:right w:val="none" w:sz="0" w:space="0" w:color="auto"/>
                  </w:divBdr>
                </w:div>
              </w:divsChild>
            </w:div>
            <w:div w:id="1028530301">
              <w:marLeft w:val="0"/>
              <w:marRight w:val="0"/>
              <w:marTop w:val="0"/>
              <w:marBottom w:val="600"/>
              <w:divBdr>
                <w:top w:val="none" w:sz="0" w:space="0" w:color="auto"/>
                <w:left w:val="none" w:sz="0" w:space="0" w:color="auto"/>
                <w:bottom w:val="none" w:sz="0" w:space="0" w:color="auto"/>
                <w:right w:val="none" w:sz="0" w:space="0" w:color="auto"/>
              </w:divBdr>
              <w:divsChild>
                <w:div w:id="587737279">
                  <w:marLeft w:val="0"/>
                  <w:marRight w:val="0"/>
                  <w:marTop w:val="0"/>
                  <w:marBottom w:val="0"/>
                  <w:divBdr>
                    <w:top w:val="none" w:sz="0" w:space="0" w:color="auto"/>
                    <w:left w:val="none" w:sz="0" w:space="0" w:color="auto"/>
                    <w:bottom w:val="none" w:sz="0" w:space="0" w:color="auto"/>
                    <w:right w:val="none" w:sz="0" w:space="0" w:color="auto"/>
                  </w:divBdr>
                </w:div>
              </w:divsChild>
            </w:div>
            <w:div w:id="1406296225">
              <w:marLeft w:val="0"/>
              <w:marRight w:val="0"/>
              <w:marTop w:val="0"/>
              <w:marBottom w:val="600"/>
              <w:divBdr>
                <w:top w:val="none" w:sz="0" w:space="0" w:color="auto"/>
                <w:left w:val="none" w:sz="0" w:space="0" w:color="auto"/>
                <w:bottom w:val="none" w:sz="0" w:space="0" w:color="auto"/>
                <w:right w:val="none" w:sz="0" w:space="0" w:color="auto"/>
              </w:divBdr>
              <w:divsChild>
                <w:div w:id="1721323214">
                  <w:marLeft w:val="0"/>
                  <w:marRight w:val="0"/>
                  <w:marTop w:val="0"/>
                  <w:marBottom w:val="0"/>
                  <w:divBdr>
                    <w:top w:val="none" w:sz="0" w:space="0" w:color="auto"/>
                    <w:left w:val="none" w:sz="0" w:space="0" w:color="auto"/>
                    <w:bottom w:val="none" w:sz="0" w:space="0" w:color="auto"/>
                    <w:right w:val="none" w:sz="0" w:space="0" w:color="auto"/>
                  </w:divBdr>
                </w:div>
              </w:divsChild>
            </w:div>
            <w:div w:id="1888108332">
              <w:marLeft w:val="0"/>
              <w:marRight w:val="0"/>
              <w:marTop w:val="0"/>
              <w:marBottom w:val="600"/>
              <w:divBdr>
                <w:top w:val="none" w:sz="0" w:space="0" w:color="auto"/>
                <w:left w:val="none" w:sz="0" w:space="0" w:color="auto"/>
                <w:bottom w:val="none" w:sz="0" w:space="0" w:color="auto"/>
                <w:right w:val="none" w:sz="0" w:space="0" w:color="auto"/>
              </w:divBdr>
              <w:divsChild>
                <w:div w:id="3017609">
                  <w:marLeft w:val="0"/>
                  <w:marRight w:val="0"/>
                  <w:marTop w:val="0"/>
                  <w:marBottom w:val="0"/>
                  <w:divBdr>
                    <w:top w:val="none" w:sz="0" w:space="0" w:color="auto"/>
                    <w:left w:val="none" w:sz="0" w:space="0" w:color="auto"/>
                    <w:bottom w:val="none" w:sz="0" w:space="0" w:color="auto"/>
                    <w:right w:val="none" w:sz="0" w:space="0" w:color="auto"/>
                  </w:divBdr>
                  <w:divsChild>
                    <w:div w:id="1302804681">
                      <w:marLeft w:val="0"/>
                      <w:marRight w:val="0"/>
                      <w:marTop w:val="0"/>
                      <w:marBottom w:val="225"/>
                      <w:divBdr>
                        <w:top w:val="none" w:sz="0" w:space="0" w:color="auto"/>
                        <w:left w:val="none" w:sz="0" w:space="0" w:color="auto"/>
                        <w:bottom w:val="none" w:sz="0" w:space="0" w:color="auto"/>
                        <w:right w:val="none" w:sz="0" w:space="0" w:color="auto"/>
                      </w:divBdr>
                      <w:divsChild>
                        <w:div w:id="225142686">
                          <w:marLeft w:val="0"/>
                          <w:marRight w:val="0"/>
                          <w:marTop w:val="0"/>
                          <w:marBottom w:val="75"/>
                          <w:divBdr>
                            <w:top w:val="none" w:sz="0" w:space="0" w:color="auto"/>
                            <w:left w:val="none" w:sz="0" w:space="0" w:color="auto"/>
                            <w:bottom w:val="none" w:sz="0" w:space="0" w:color="auto"/>
                            <w:right w:val="none" w:sz="0" w:space="0" w:color="auto"/>
                          </w:divBdr>
                        </w:div>
                      </w:divsChild>
                    </w:div>
                    <w:div w:id="2064061622">
                      <w:marLeft w:val="0"/>
                      <w:marRight w:val="0"/>
                      <w:marTop w:val="0"/>
                      <w:marBottom w:val="225"/>
                      <w:divBdr>
                        <w:top w:val="none" w:sz="0" w:space="0" w:color="auto"/>
                        <w:left w:val="none" w:sz="0" w:space="0" w:color="auto"/>
                        <w:bottom w:val="none" w:sz="0" w:space="0" w:color="auto"/>
                        <w:right w:val="none" w:sz="0" w:space="0" w:color="auto"/>
                      </w:divBdr>
                      <w:divsChild>
                        <w:div w:id="971133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83632">
                  <w:marLeft w:val="0"/>
                  <w:marRight w:val="0"/>
                  <w:marTop w:val="0"/>
                  <w:marBottom w:val="0"/>
                  <w:divBdr>
                    <w:top w:val="none" w:sz="0" w:space="0" w:color="auto"/>
                    <w:left w:val="none" w:sz="0" w:space="0" w:color="auto"/>
                    <w:bottom w:val="dotted" w:sz="6" w:space="0" w:color="A3B3B8"/>
                    <w:right w:val="none" w:sz="0" w:space="0" w:color="auto"/>
                  </w:divBdr>
                </w:div>
              </w:divsChild>
            </w:div>
            <w:div w:id="2035376964">
              <w:marLeft w:val="0"/>
              <w:marRight w:val="0"/>
              <w:marTop w:val="0"/>
              <w:marBottom w:val="600"/>
              <w:divBdr>
                <w:top w:val="none" w:sz="0" w:space="0" w:color="auto"/>
                <w:left w:val="none" w:sz="0" w:space="0" w:color="auto"/>
                <w:bottom w:val="none" w:sz="0" w:space="0" w:color="auto"/>
                <w:right w:val="none" w:sz="0" w:space="0" w:color="auto"/>
              </w:divBdr>
              <w:divsChild>
                <w:div w:id="1892381587">
                  <w:marLeft w:val="0"/>
                  <w:marRight w:val="0"/>
                  <w:marTop w:val="0"/>
                  <w:marBottom w:val="0"/>
                  <w:divBdr>
                    <w:top w:val="none" w:sz="0" w:space="0" w:color="auto"/>
                    <w:left w:val="none" w:sz="0" w:space="0" w:color="auto"/>
                    <w:bottom w:val="none" w:sz="0" w:space="0" w:color="auto"/>
                    <w:right w:val="none" w:sz="0" w:space="0" w:color="auto"/>
                  </w:divBdr>
                </w:div>
                <w:div w:id="1928534238">
                  <w:marLeft w:val="0"/>
                  <w:marRight w:val="0"/>
                  <w:marTop w:val="0"/>
                  <w:marBottom w:val="0"/>
                  <w:divBdr>
                    <w:top w:val="none" w:sz="0" w:space="0" w:color="auto"/>
                    <w:left w:val="none" w:sz="0" w:space="0" w:color="auto"/>
                    <w:bottom w:val="none" w:sz="0" w:space="0" w:color="auto"/>
                    <w:right w:val="none" w:sz="0" w:space="0" w:color="auto"/>
                  </w:divBdr>
                  <w:divsChild>
                    <w:div w:id="585192191">
                      <w:marLeft w:val="0"/>
                      <w:marRight w:val="0"/>
                      <w:marTop w:val="0"/>
                      <w:marBottom w:val="150"/>
                      <w:divBdr>
                        <w:top w:val="none" w:sz="0" w:space="0" w:color="auto"/>
                        <w:left w:val="none" w:sz="0" w:space="0" w:color="auto"/>
                        <w:bottom w:val="none" w:sz="0" w:space="0" w:color="auto"/>
                        <w:right w:val="none" w:sz="0" w:space="0" w:color="auto"/>
                      </w:divBdr>
                      <w:divsChild>
                        <w:div w:id="834565709">
                          <w:marLeft w:val="0"/>
                          <w:marRight w:val="0"/>
                          <w:marTop w:val="0"/>
                          <w:marBottom w:val="0"/>
                          <w:divBdr>
                            <w:top w:val="none" w:sz="0" w:space="0" w:color="auto"/>
                            <w:left w:val="none" w:sz="0" w:space="0" w:color="auto"/>
                            <w:bottom w:val="none" w:sz="0" w:space="0" w:color="auto"/>
                            <w:right w:val="none" w:sz="0" w:space="0" w:color="auto"/>
                          </w:divBdr>
                        </w:div>
                        <w:div w:id="1940524815">
                          <w:marLeft w:val="0"/>
                          <w:marRight w:val="0"/>
                          <w:marTop w:val="0"/>
                          <w:marBottom w:val="0"/>
                          <w:divBdr>
                            <w:top w:val="none" w:sz="0" w:space="0" w:color="auto"/>
                            <w:left w:val="none" w:sz="0" w:space="0" w:color="auto"/>
                            <w:bottom w:val="none" w:sz="0" w:space="0" w:color="auto"/>
                            <w:right w:val="none" w:sz="0" w:space="0" w:color="auto"/>
                          </w:divBdr>
                        </w:div>
                      </w:divsChild>
                    </w:div>
                    <w:div w:id="1104956407">
                      <w:marLeft w:val="0"/>
                      <w:marRight w:val="0"/>
                      <w:marTop w:val="0"/>
                      <w:marBottom w:val="150"/>
                      <w:divBdr>
                        <w:top w:val="none" w:sz="0" w:space="0" w:color="auto"/>
                        <w:left w:val="none" w:sz="0" w:space="0" w:color="auto"/>
                        <w:bottom w:val="none" w:sz="0" w:space="0" w:color="auto"/>
                        <w:right w:val="none" w:sz="0" w:space="0" w:color="auto"/>
                      </w:divBdr>
                      <w:divsChild>
                        <w:div w:id="468518681">
                          <w:marLeft w:val="0"/>
                          <w:marRight w:val="0"/>
                          <w:marTop w:val="0"/>
                          <w:marBottom w:val="0"/>
                          <w:divBdr>
                            <w:top w:val="none" w:sz="0" w:space="0" w:color="auto"/>
                            <w:left w:val="none" w:sz="0" w:space="0" w:color="auto"/>
                            <w:bottom w:val="none" w:sz="0" w:space="0" w:color="auto"/>
                            <w:right w:val="none" w:sz="0" w:space="0" w:color="auto"/>
                          </w:divBdr>
                        </w:div>
                        <w:div w:id="1266618514">
                          <w:marLeft w:val="0"/>
                          <w:marRight w:val="0"/>
                          <w:marTop w:val="0"/>
                          <w:marBottom w:val="0"/>
                          <w:divBdr>
                            <w:top w:val="none" w:sz="0" w:space="0" w:color="auto"/>
                            <w:left w:val="none" w:sz="0" w:space="0" w:color="auto"/>
                            <w:bottom w:val="none" w:sz="0" w:space="0" w:color="auto"/>
                            <w:right w:val="none" w:sz="0" w:space="0" w:color="auto"/>
                          </w:divBdr>
                        </w:div>
                      </w:divsChild>
                    </w:div>
                    <w:div w:id="1144469619">
                      <w:marLeft w:val="0"/>
                      <w:marRight w:val="0"/>
                      <w:marTop w:val="0"/>
                      <w:marBottom w:val="150"/>
                      <w:divBdr>
                        <w:top w:val="none" w:sz="0" w:space="0" w:color="auto"/>
                        <w:left w:val="none" w:sz="0" w:space="0" w:color="auto"/>
                        <w:bottom w:val="none" w:sz="0" w:space="0" w:color="auto"/>
                        <w:right w:val="none" w:sz="0" w:space="0" w:color="auto"/>
                      </w:divBdr>
                      <w:divsChild>
                        <w:div w:id="34430863">
                          <w:marLeft w:val="0"/>
                          <w:marRight w:val="0"/>
                          <w:marTop w:val="0"/>
                          <w:marBottom w:val="0"/>
                          <w:divBdr>
                            <w:top w:val="none" w:sz="0" w:space="0" w:color="auto"/>
                            <w:left w:val="none" w:sz="0" w:space="0" w:color="auto"/>
                            <w:bottom w:val="none" w:sz="0" w:space="0" w:color="auto"/>
                            <w:right w:val="none" w:sz="0" w:space="0" w:color="auto"/>
                          </w:divBdr>
                        </w:div>
                        <w:div w:id="169490945">
                          <w:marLeft w:val="0"/>
                          <w:marRight w:val="0"/>
                          <w:marTop w:val="0"/>
                          <w:marBottom w:val="0"/>
                          <w:divBdr>
                            <w:top w:val="none" w:sz="0" w:space="0" w:color="auto"/>
                            <w:left w:val="none" w:sz="0" w:space="0" w:color="auto"/>
                            <w:bottom w:val="none" w:sz="0" w:space="0" w:color="auto"/>
                            <w:right w:val="none" w:sz="0" w:space="0" w:color="auto"/>
                          </w:divBdr>
                        </w:div>
                      </w:divsChild>
                    </w:div>
                    <w:div w:id="1483545458">
                      <w:marLeft w:val="0"/>
                      <w:marRight w:val="0"/>
                      <w:marTop w:val="0"/>
                      <w:marBottom w:val="150"/>
                      <w:divBdr>
                        <w:top w:val="none" w:sz="0" w:space="0" w:color="auto"/>
                        <w:left w:val="none" w:sz="0" w:space="0" w:color="auto"/>
                        <w:bottom w:val="none" w:sz="0" w:space="0" w:color="auto"/>
                        <w:right w:val="none" w:sz="0" w:space="0" w:color="auto"/>
                      </w:divBdr>
                      <w:divsChild>
                        <w:div w:id="177357477">
                          <w:marLeft w:val="0"/>
                          <w:marRight w:val="0"/>
                          <w:marTop w:val="0"/>
                          <w:marBottom w:val="0"/>
                          <w:divBdr>
                            <w:top w:val="none" w:sz="0" w:space="0" w:color="auto"/>
                            <w:left w:val="none" w:sz="0" w:space="0" w:color="auto"/>
                            <w:bottom w:val="none" w:sz="0" w:space="0" w:color="auto"/>
                            <w:right w:val="none" w:sz="0" w:space="0" w:color="auto"/>
                          </w:divBdr>
                        </w:div>
                        <w:div w:id="723480804">
                          <w:marLeft w:val="0"/>
                          <w:marRight w:val="0"/>
                          <w:marTop w:val="0"/>
                          <w:marBottom w:val="0"/>
                          <w:divBdr>
                            <w:top w:val="none" w:sz="0" w:space="0" w:color="auto"/>
                            <w:left w:val="none" w:sz="0" w:space="0" w:color="auto"/>
                            <w:bottom w:val="none" w:sz="0" w:space="0" w:color="auto"/>
                            <w:right w:val="none" w:sz="0" w:space="0" w:color="auto"/>
                          </w:divBdr>
                        </w:div>
                      </w:divsChild>
                    </w:div>
                    <w:div w:id="1618758057">
                      <w:marLeft w:val="0"/>
                      <w:marRight w:val="0"/>
                      <w:marTop w:val="0"/>
                      <w:marBottom w:val="150"/>
                      <w:divBdr>
                        <w:top w:val="none" w:sz="0" w:space="0" w:color="auto"/>
                        <w:left w:val="none" w:sz="0" w:space="0" w:color="auto"/>
                        <w:bottom w:val="none" w:sz="0" w:space="0" w:color="auto"/>
                        <w:right w:val="none" w:sz="0" w:space="0" w:color="auto"/>
                      </w:divBdr>
                      <w:divsChild>
                        <w:div w:id="802385043">
                          <w:marLeft w:val="0"/>
                          <w:marRight w:val="0"/>
                          <w:marTop w:val="0"/>
                          <w:marBottom w:val="0"/>
                          <w:divBdr>
                            <w:top w:val="none" w:sz="0" w:space="0" w:color="auto"/>
                            <w:left w:val="none" w:sz="0" w:space="0" w:color="auto"/>
                            <w:bottom w:val="none" w:sz="0" w:space="0" w:color="auto"/>
                            <w:right w:val="none" w:sz="0" w:space="0" w:color="auto"/>
                          </w:divBdr>
                        </w:div>
                        <w:div w:id="15638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06994">
      <w:bodyDiv w:val="1"/>
      <w:marLeft w:val="0"/>
      <w:marRight w:val="0"/>
      <w:marTop w:val="0"/>
      <w:marBottom w:val="0"/>
      <w:divBdr>
        <w:top w:val="none" w:sz="0" w:space="0" w:color="auto"/>
        <w:left w:val="none" w:sz="0" w:space="0" w:color="auto"/>
        <w:bottom w:val="none" w:sz="0" w:space="0" w:color="auto"/>
        <w:right w:val="none" w:sz="0" w:space="0" w:color="auto"/>
      </w:divBdr>
    </w:div>
    <w:div w:id="1971668794">
      <w:bodyDiv w:val="1"/>
      <w:marLeft w:val="0"/>
      <w:marRight w:val="0"/>
      <w:marTop w:val="0"/>
      <w:marBottom w:val="0"/>
      <w:divBdr>
        <w:top w:val="none" w:sz="0" w:space="0" w:color="auto"/>
        <w:left w:val="none" w:sz="0" w:space="0" w:color="auto"/>
        <w:bottom w:val="none" w:sz="0" w:space="0" w:color="auto"/>
        <w:right w:val="none" w:sz="0" w:space="0" w:color="auto"/>
      </w:divBdr>
    </w:div>
    <w:div w:id="2021353543">
      <w:bodyDiv w:val="1"/>
      <w:marLeft w:val="0"/>
      <w:marRight w:val="0"/>
      <w:marTop w:val="0"/>
      <w:marBottom w:val="0"/>
      <w:divBdr>
        <w:top w:val="none" w:sz="0" w:space="0" w:color="auto"/>
        <w:left w:val="none" w:sz="0" w:space="0" w:color="auto"/>
        <w:bottom w:val="none" w:sz="0" w:space="0" w:color="auto"/>
        <w:right w:val="none" w:sz="0" w:space="0" w:color="auto"/>
      </w:divBdr>
    </w:div>
    <w:div w:id="20622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hyperlink" Target="https://www.qualcomm.com/news/releases/2023/01/qualcomm-introduces-snapdragon-satellite--the-world-s-first-sate" TargetMode="External"/><Relationship Id="rId3" Type="http://schemas.openxmlformats.org/officeDocument/2006/relationships/styles" Target="styles.xml"/><Relationship Id="rId21" Type="http://schemas.openxmlformats.org/officeDocument/2006/relationships/hyperlink" Target="https://www.prnewswire.com/news-releases/echostar-begins-construction-of-global-s-band-network-301736462.html" TargetMode="External"/><Relationship Id="rId7" Type="http://schemas.openxmlformats.org/officeDocument/2006/relationships/endnotes" Target="endnotes.xml"/><Relationship Id="rId12" Type="http://schemas.openxmlformats.org/officeDocument/2006/relationships/hyperlink" Target="https://www.federalregister.gov/documents/2023/01/11/2023-00420/airworthiness-directives-transport-and-commuter-category-airplanes" TargetMode="External"/><Relationship Id="rId17" Type="http://schemas.openxmlformats.org/officeDocument/2006/relationships/hyperlink" Target="https://licensing.fcc.gov/cgi-bin/ws.exe/prod/ib/forms/reports/swr031b.hts?q_set=V_SITE_ANTENNA_FREQ.file_numberC/File+Number/%3D/SATSTA2022122800180&amp;prepare=&amp;column=V_SITE_ANTENNA_FREQ.file_numberC/File+Numb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censing.fcc.gov/cgi-bin/ws.exe/prod/ib/forms/reports/swr031b.hts?q_set=V_SITE_ANTENNA_FREQ.file_numberC/File+Number/%3D/SATSTA2022121500174&amp;prepare=&amp;column=V_SITE_ANTENNA_FREQ.file_numberC/File+Number" TargetMode="External"/><Relationship Id="rId20" Type="http://schemas.openxmlformats.org/officeDocument/2006/relationships/hyperlink" Target="https://omnispace.com/omnispace-and-ligado-networks-join-forces-to-create-largest-portfolio-of-licensed-satellite-spectrum-for-global-direct-to-device-voice-text-and-data-connectiv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t.gov.sa/en/mediacenter/pressreleases/Pages/202212061.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fcc.gov/public/attachments/FCC-18-161A1_Rcd.pdf" TargetMode="External"/><Relationship Id="rId23" Type="http://schemas.openxmlformats.org/officeDocument/2006/relationships/header" Target="header2.xml"/><Relationship Id="rId10" Type="http://schemas.openxmlformats.org/officeDocument/2006/relationships/hyperlink" Target="https://www.msit.go.kr/bbs/view.do?sCode=eng&amp;mId=4&amp;mPid=2&amp;bbsSeqNo=42&amp;nttSeqNo=753" TargetMode="External"/><Relationship Id="rId19" Type="http://schemas.openxmlformats.org/officeDocument/2006/relationships/hyperlink" Target="https://news.samsung.com/global/samsung-electronics-introduces-standardized-5g-ntn-modem-technology-to-power-smartphone-satellite-communication" TargetMode="External"/><Relationship Id="rId4" Type="http://schemas.openxmlformats.org/officeDocument/2006/relationships/settings" Target="settings.xml"/><Relationship Id="rId9" Type="http://schemas.openxmlformats.org/officeDocument/2006/relationships/hyperlink" Target="https://www.kominfo.go.id/content/detail/47449/siaran-pers-no-19hmkominfo022023-tentang-penetapan-pita-frekuensi-radio-hasil-penataan-ulang-refarming-pita-frekuensi-radio-21-ghz/0/siaran_pers" TargetMode="External"/><Relationship Id="rId14" Type="http://schemas.openxmlformats.org/officeDocument/2006/relationships/hyperlink" Target="https://docs.fcc.gov/public/attachments/FCC-22-91A1.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B06C-4C13-41DB-A3E1-B5E7CF02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6</TotalTime>
  <Pages>5</Pages>
  <Words>1825</Words>
  <Characters>10409</Characters>
  <Application>Microsoft Office Word</Application>
  <DocSecurity>0</DocSecurity>
  <Lines>86</Lines>
  <Paragraphs>24</Paragraphs>
  <ScaleCrop>false</ScaleCrop>
  <Manager>ECC</Manager>
  <Company>ECO</Company>
  <LinksUpToDate>false</LinksUpToDate>
  <CharactersWithSpaces>12210</CharactersWithSpaces>
  <SharedDoc>false</SharedDoc>
  <HLinks>
    <vt:vector size="144" baseType="variant">
      <vt:variant>
        <vt:i4>4915269</vt:i4>
      </vt:variant>
      <vt:variant>
        <vt:i4>72</vt:i4>
      </vt:variant>
      <vt:variant>
        <vt:i4>0</vt:i4>
      </vt:variant>
      <vt:variant>
        <vt:i4>5</vt:i4>
      </vt:variant>
      <vt:variant>
        <vt:lpwstr>https://www.prnewswire.com/news-releases/echostar-begins-construction-of-global-s-band-network-301736462.html</vt:lpwstr>
      </vt:variant>
      <vt:variant>
        <vt:lpwstr/>
      </vt:variant>
      <vt:variant>
        <vt:i4>196688</vt:i4>
      </vt:variant>
      <vt:variant>
        <vt:i4>69</vt:i4>
      </vt:variant>
      <vt:variant>
        <vt:i4>0</vt:i4>
      </vt:variant>
      <vt:variant>
        <vt:i4>5</vt:i4>
      </vt:variant>
      <vt:variant>
        <vt:lpwstr>https://omnispace.com/omnispace-and-ligado-networks-join-forces-to-create-largest-portfolio-of-licensed-satellite-spectrum-for-global-direct-to-device-voice-text-and-data-connectivity/</vt:lpwstr>
      </vt:variant>
      <vt:variant>
        <vt:lpwstr/>
      </vt:variant>
      <vt:variant>
        <vt:i4>2883632</vt:i4>
      </vt:variant>
      <vt:variant>
        <vt:i4>66</vt:i4>
      </vt:variant>
      <vt:variant>
        <vt:i4>0</vt:i4>
      </vt:variant>
      <vt:variant>
        <vt:i4>5</vt:i4>
      </vt:variant>
      <vt:variant>
        <vt:lpwstr>https://news.samsung.com/global/samsung-electronics-introduces-standardized-5g-ntn-modem-technology-to-power-smartphone-satellite-communication</vt:lpwstr>
      </vt:variant>
      <vt:variant>
        <vt:lpwstr/>
      </vt:variant>
      <vt:variant>
        <vt:i4>3014756</vt:i4>
      </vt:variant>
      <vt:variant>
        <vt:i4>63</vt:i4>
      </vt:variant>
      <vt:variant>
        <vt:i4>0</vt:i4>
      </vt:variant>
      <vt:variant>
        <vt:i4>5</vt:i4>
      </vt:variant>
      <vt:variant>
        <vt:lpwstr>https://www.qualcomm.com/news/releases/2023/01/qualcomm-introduces-snapdragon-satellite--the-world-s-first-sate</vt:lpwstr>
      </vt:variant>
      <vt:variant>
        <vt:lpwstr/>
      </vt:variant>
      <vt:variant>
        <vt:i4>6815747</vt:i4>
      </vt:variant>
      <vt:variant>
        <vt:i4>60</vt:i4>
      </vt:variant>
      <vt:variant>
        <vt:i4>0</vt:i4>
      </vt:variant>
      <vt:variant>
        <vt:i4>5</vt:i4>
      </vt:variant>
      <vt:variant>
        <vt:lpwstr>https://licensing.fcc.gov/cgi-bin/ws.exe/prod/ib/forms/reports/swr031b.hts?q_set=V_SITE_ANTENNA_FREQ.file_numberC/File+Number/%3D/SATSTA2022122800180&amp;prepare=&amp;column=V_SITE_ANTENNA_FREQ.file_numberC/File+Number</vt:lpwstr>
      </vt:variant>
      <vt:variant>
        <vt:lpwstr/>
      </vt:variant>
      <vt:variant>
        <vt:i4>6946820</vt:i4>
      </vt:variant>
      <vt:variant>
        <vt:i4>57</vt:i4>
      </vt:variant>
      <vt:variant>
        <vt:i4>0</vt:i4>
      </vt:variant>
      <vt:variant>
        <vt:i4>5</vt:i4>
      </vt:variant>
      <vt:variant>
        <vt:lpwstr>https://licensing.fcc.gov/cgi-bin/ws.exe/prod/ib/forms/reports/swr031b.hts?q_set=V_SITE_ANTENNA_FREQ.file_numberC/File+Number/%3D/SATSTA2022121500174&amp;prepare=&amp;column=V_SITE_ANTENNA_FREQ.file_numberC/File+Number</vt:lpwstr>
      </vt:variant>
      <vt:variant>
        <vt:lpwstr/>
      </vt:variant>
      <vt:variant>
        <vt:i4>4784160</vt:i4>
      </vt:variant>
      <vt:variant>
        <vt:i4>54</vt:i4>
      </vt:variant>
      <vt:variant>
        <vt:i4>0</vt:i4>
      </vt:variant>
      <vt:variant>
        <vt:i4>5</vt:i4>
      </vt:variant>
      <vt:variant>
        <vt:lpwstr>https://docs.fcc.gov/public/attachments/FCC-18-161A1_Rcd.pdf</vt:lpwstr>
      </vt:variant>
      <vt:variant>
        <vt:lpwstr/>
      </vt:variant>
      <vt:variant>
        <vt:i4>6291570</vt:i4>
      </vt:variant>
      <vt:variant>
        <vt:i4>51</vt:i4>
      </vt:variant>
      <vt:variant>
        <vt:i4>0</vt:i4>
      </vt:variant>
      <vt:variant>
        <vt:i4>5</vt:i4>
      </vt:variant>
      <vt:variant>
        <vt:lpwstr>https://docs.fcc.gov/public/attachments/FCC-22-91A1.pdf</vt:lpwstr>
      </vt:variant>
      <vt:variant>
        <vt:lpwstr/>
      </vt:variant>
      <vt:variant>
        <vt:i4>4128866</vt:i4>
      </vt:variant>
      <vt:variant>
        <vt:i4>48</vt:i4>
      </vt:variant>
      <vt:variant>
        <vt:i4>0</vt:i4>
      </vt:variant>
      <vt:variant>
        <vt:i4>5</vt:i4>
      </vt:variant>
      <vt:variant>
        <vt:lpwstr>https://www.federalregister.gov/documents/2023/01/11/2023-00420/airworthiness-directives-transport-and-commuter-category-airplanes</vt:lpwstr>
      </vt:variant>
      <vt:variant>
        <vt:lpwstr/>
      </vt:variant>
      <vt:variant>
        <vt:i4>524380</vt:i4>
      </vt:variant>
      <vt:variant>
        <vt:i4>45</vt:i4>
      </vt:variant>
      <vt:variant>
        <vt:i4>0</vt:i4>
      </vt:variant>
      <vt:variant>
        <vt:i4>5</vt:i4>
      </vt:variant>
      <vt:variant>
        <vt:lpwstr>https://www.cst.gov.sa/en/mediacenter/pressreleases/Pages/202212061.aspx</vt:lpwstr>
      </vt:variant>
      <vt:variant>
        <vt:lpwstr/>
      </vt:variant>
      <vt:variant>
        <vt:i4>7209059</vt:i4>
      </vt:variant>
      <vt:variant>
        <vt:i4>42</vt:i4>
      </vt:variant>
      <vt:variant>
        <vt:i4>0</vt:i4>
      </vt:variant>
      <vt:variant>
        <vt:i4>5</vt:i4>
      </vt:variant>
      <vt:variant>
        <vt:lpwstr>https://www.msit.go.kr/bbs/view.do?sCode=eng&amp;mId=4&amp;mPid=2&amp;bbsSeqNo=42&amp;nttSeqNo=753</vt:lpwstr>
      </vt:variant>
      <vt:variant>
        <vt:lpwstr/>
      </vt:variant>
      <vt:variant>
        <vt:i4>2949214</vt:i4>
      </vt:variant>
      <vt:variant>
        <vt:i4>39</vt:i4>
      </vt:variant>
      <vt:variant>
        <vt:i4>0</vt:i4>
      </vt:variant>
      <vt:variant>
        <vt:i4>5</vt:i4>
      </vt:variant>
      <vt:variant>
        <vt:lpwstr>https://www.kominfo.go.id/content/detail/47449/siaran-pers-no-19hmkominfo022023-tentang-penetapan-pita-frekuensi-radio-hasil-penataan-ulang-refarming-pita-frekuensi-radio-21-ghz/0/siaran_pers</vt:lpwstr>
      </vt:variant>
      <vt:variant>
        <vt:lpwstr/>
      </vt:variant>
      <vt:variant>
        <vt:i4>1114162</vt:i4>
      </vt:variant>
      <vt:variant>
        <vt:i4>35</vt:i4>
      </vt:variant>
      <vt:variant>
        <vt:i4>0</vt:i4>
      </vt:variant>
      <vt:variant>
        <vt:i4>5</vt:i4>
      </vt:variant>
      <vt:variant>
        <vt:lpwstr/>
      </vt:variant>
      <vt:variant>
        <vt:lpwstr>_Toc128495252</vt:lpwstr>
      </vt:variant>
      <vt:variant>
        <vt:i4>1114162</vt:i4>
      </vt:variant>
      <vt:variant>
        <vt:i4>32</vt:i4>
      </vt:variant>
      <vt:variant>
        <vt:i4>0</vt:i4>
      </vt:variant>
      <vt:variant>
        <vt:i4>5</vt:i4>
      </vt:variant>
      <vt:variant>
        <vt:lpwstr/>
      </vt:variant>
      <vt:variant>
        <vt:lpwstr>_Toc128495251</vt:lpwstr>
      </vt:variant>
      <vt:variant>
        <vt:i4>1114162</vt:i4>
      </vt:variant>
      <vt:variant>
        <vt:i4>29</vt:i4>
      </vt:variant>
      <vt:variant>
        <vt:i4>0</vt:i4>
      </vt:variant>
      <vt:variant>
        <vt:i4>5</vt:i4>
      </vt:variant>
      <vt:variant>
        <vt:lpwstr/>
      </vt:variant>
      <vt:variant>
        <vt:lpwstr>_Toc128495250</vt:lpwstr>
      </vt:variant>
      <vt:variant>
        <vt:i4>1048626</vt:i4>
      </vt:variant>
      <vt:variant>
        <vt:i4>26</vt:i4>
      </vt:variant>
      <vt:variant>
        <vt:i4>0</vt:i4>
      </vt:variant>
      <vt:variant>
        <vt:i4>5</vt:i4>
      </vt:variant>
      <vt:variant>
        <vt:lpwstr/>
      </vt:variant>
      <vt:variant>
        <vt:lpwstr>_Toc128495249</vt:lpwstr>
      </vt:variant>
      <vt:variant>
        <vt:i4>1048626</vt:i4>
      </vt:variant>
      <vt:variant>
        <vt:i4>23</vt:i4>
      </vt:variant>
      <vt:variant>
        <vt:i4>0</vt:i4>
      </vt:variant>
      <vt:variant>
        <vt:i4>5</vt:i4>
      </vt:variant>
      <vt:variant>
        <vt:lpwstr/>
      </vt:variant>
      <vt:variant>
        <vt:lpwstr>_Toc128495248</vt:lpwstr>
      </vt:variant>
      <vt:variant>
        <vt:i4>1048626</vt:i4>
      </vt:variant>
      <vt:variant>
        <vt:i4>20</vt:i4>
      </vt:variant>
      <vt:variant>
        <vt:i4>0</vt:i4>
      </vt:variant>
      <vt:variant>
        <vt:i4>5</vt:i4>
      </vt:variant>
      <vt:variant>
        <vt:lpwstr/>
      </vt:variant>
      <vt:variant>
        <vt:lpwstr>_Toc128495247</vt:lpwstr>
      </vt:variant>
      <vt:variant>
        <vt:i4>1048626</vt:i4>
      </vt:variant>
      <vt:variant>
        <vt:i4>17</vt:i4>
      </vt:variant>
      <vt:variant>
        <vt:i4>0</vt:i4>
      </vt:variant>
      <vt:variant>
        <vt:i4>5</vt:i4>
      </vt:variant>
      <vt:variant>
        <vt:lpwstr/>
      </vt:variant>
      <vt:variant>
        <vt:lpwstr>_Toc128495246</vt:lpwstr>
      </vt:variant>
      <vt:variant>
        <vt:i4>1048626</vt:i4>
      </vt:variant>
      <vt:variant>
        <vt:i4>14</vt:i4>
      </vt:variant>
      <vt:variant>
        <vt:i4>0</vt:i4>
      </vt:variant>
      <vt:variant>
        <vt:i4>5</vt:i4>
      </vt:variant>
      <vt:variant>
        <vt:lpwstr/>
      </vt:variant>
      <vt:variant>
        <vt:lpwstr>_Toc128495245</vt:lpwstr>
      </vt:variant>
      <vt:variant>
        <vt:i4>1048626</vt:i4>
      </vt:variant>
      <vt:variant>
        <vt:i4>11</vt:i4>
      </vt:variant>
      <vt:variant>
        <vt:i4>0</vt:i4>
      </vt:variant>
      <vt:variant>
        <vt:i4>5</vt:i4>
      </vt:variant>
      <vt:variant>
        <vt:lpwstr/>
      </vt:variant>
      <vt:variant>
        <vt:lpwstr>_Toc128495244</vt:lpwstr>
      </vt:variant>
      <vt:variant>
        <vt:i4>1048626</vt:i4>
      </vt:variant>
      <vt:variant>
        <vt:i4>8</vt:i4>
      </vt:variant>
      <vt:variant>
        <vt:i4>0</vt:i4>
      </vt:variant>
      <vt:variant>
        <vt:i4>5</vt:i4>
      </vt:variant>
      <vt:variant>
        <vt:lpwstr/>
      </vt:variant>
      <vt:variant>
        <vt:lpwstr>_Toc128495243</vt:lpwstr>
      </vt:variant>
      <vt:variant>
        <vt:i4>1048626</vt:i4>
      </vt:variant>
      <vt:variant>
        <vt:i4>5</vt:i4>
      </vt:variant>
      <vt:variant>
        <vt:i4>0</vt:i4>
      </vt:variant>
      <vt:variant>
        <vt:i4>5</vt:i4>
      </vt:variant>
      <vt:variant>
        <vt:lpwstr/>
      </vt:variant>
      <vt:variant>
        <vt:lpwstr>_Toc128495242</vt:lpwstr>
      </vt:variant>
      <vt:variant>
        <vt:i4>1048626</vt:i4>
      </vt:variant>
      <vt:variant>
        <vt:i4>2</vt:i4>
      </vt:variant>
      <vt:variant>
        <vt:i4>0</vt:i4>
      </vt:variant>
      <vt:variant>
        <vt:i4>5</vt:i4>
      </vt:variant>
      <vt:variant>
        <vt:lpwstr/>
      </vt:variant>
      <vt:variant>
        <vt:lpwstr>_Toc128495241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This template is used as guidance to draft generic contributions to ECC groups</dc:description>
  <cp:lastModifiedBy>ECO</cp:lastModifiedBy>
  <cp:revision>9</cp:revision>
  <cp:lastPrinted>2016-10-04T17:55:00Z</cp:lastPrinted>
  <dcterms:created xsi:type="dcterms:W3CDTF">2023-05-11T08:54:00Z</dcterms:created>
  <dcterms:modified xsi:type="dcterms:W3CDTF">2023-05-11T09:11:00Z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Keith.Pollitt@ofcom.org.uk</vt:lpwstr>
  </property>
  <property fmtid="{D5CDD505-2E9C-101B-9397-08002B2CF9AE}" pid="5" name="MSIP_Label_5a50d26f-5c2c-4137-8396-1b24eb24286c_SetDate">
    <vt:lpwstr>2020-12-07T16:01:30.5095255Z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ba353066-8a90-4f8a-aff7-5575c6ebf24f</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