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61828" w14:textId="1A8E998E" w:rsidR="00AB46DF" w:rsidRPr="00F728A2" w:rsidRDefault="00AB46DF">
      <w:pPr>
        <w:rPr>
          <w:lang w:val="en-GB"/>
        </w:rPr>
      </w:pPr>
    </w:p>
    <w:p w14:paraId="27B99C49" w14:textId="77777777" w:rsidR="00AB46DF" w:rsidRPr="00F728A2" w:rsidRDefault="00AB46DF" w:rsidP="00AB46DF">
      <w:pPr>
        <w:jc w:val="center"/>
        <w:rPr>
          <w:lang w:val="en-GB"/>
        </w:rPr>
      </w:pPr>
    </w:p>
    <w:p w14:paraId="16AD69A0" w14:textId="77777777" w:rsidR="00AB46DF" w:rsidRPr="00F728A2" w:rsidRDefault="00AB46DF" w:rsidP="00AB46DF">
      <w:pPr>
        <w:jc w:val="center"/>
        <w:rPr>
          <w:lang w:val="en-GB"/>
        </w:rPr>
      </w:pPr>
    </w:p>
    <w:p w14:paraId="15B9CF15" w14:textId="77777777" w:rsidR="00AB46DF" w:rsidRPr="00F728A2" w:rsidRDefault="00AB46DF" w:rsidP="00AB46DF">
      <w:pPr>
        <w:rPr>
          <w:lang w:val="en-GB"/>
        </w:rPr>
      </w:pPr>
    </w:p>
    <w:p w14:paraId="144A15B3" w14:textId="77777777" w:rsidR="00AB46DF" w:rsidRPr="00F728A2" w:rsidRDefault="00AB46DF" w:rsidP="00AB46DF">
      <w:pPr>
        <w:rPr>
          <w:lang w:val="en-GB"/>
        </w:rPr>
      </w:pPr>
    </w:p>
    <w:p w14:paraId="792F28EC" w14:textId="77777777" w:rsidR="00AB46DF" w:rsidRPr="00F728A2" w:rsidRDefault="00D20E3B" w:rsidP="00AB46DF">
      <w:pPr>
        <w:jc w:val="center"/>
        <w:rPr>
          <w:b/>
          <w:sz w:val="24"/>
          <w:lang w:val="en-GB"/>
        </w:rPr>
      </w:pPr>
      <w:r w:rsidRPr="00F728A2">
        <w:rPr>
          <w:b/>
          <w:noProof/>
          <w:sz w:val="24"/>
          <w:szCs w:val="20"/>
          <w:lang w:val="en-GB" w:eastAsia="da-DK"/>
        </w:rPr>
        <mc:AlternateContent>
          <mc:Choice Requires="wpg">
            <w:drawing>
              <wp:anchor distT="0" distB="0" distL="114300" distR="114300" simplePos="0" relativeHeight="251658241" behindDoc="0" locked="0" layoutInCell="1" allowOverlap="1" wp14:anchorId="49B652FB" wp14:editId="24A67510">
                <wp:simplePos x="0" y="0"/>
                <wp:positionH relativeFrom="column">
                  <wp:posOffset>-720090</wp:posOffset>
                </wp:positionH>
                <wp:positionV relativeFrom="paragraph">
                  <wp:posOffset>69850</wp:posOffset>
                </wp:positionV>
                <wp:extent cx="7564120" cy="8268970"/>
                <wp:effectExtent l="0" t="76200" r="5080" b="0"/>
                <wp:wrapNone/>
                <wp:docPr id="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8"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28D88" w14:textId="57709E2F" w:rsidR="00216BE1" w:rsidRPr="00FE1795" w:rsidRDefault="00216BE1" w:rsidP="00AB46DF">
                              <w:pPr>
                                <w:rPr>
                                  <w:color w:val="57433E"/>
                                  <w:sz w:val="68"/>
                                </w:rPr>
                              </w:pPr>
                              <w:r w:rsidRPr="00FE1795">
                                <w:rPr>
                                  <w:color w:val="FFFFFF"/>
                                  <w:sz w:val="68"/>
                                </w:rPr>
                                <w:t xml:space="preserve">CEPT Report </w:t>
                              </w:r>
                              <w:r w:rsidR="000A4AAC">
                                <w:rPr>
                                  <w:color w:val="D2232A"/>
                                  <w:sz w:val="68"/>
                                </w:rPr>
                                <w:t>93</w:t>
                              </w:r>
                            </w:p>
                          </w:txbxContent>
                        </wps:txbx>
                        <wps:bodyPr rot="0" vert="horz" wrap="square" lIns="2880000" tIns="540000" rIns="72000" bIns="45720" anchor="t" anchorCtr="0" upright="1">
                          <a:noAutofit/>
                        </wps:bodyPr>
                      </wps:wsp>
                      <wpg:grpSp>
                        <wpg:cNvPr id="10" name="Group 36"/>
                        <wpg:cNvGrpSpPr>
                          <a:grpSpLocks/>
                        </wpg:cNvGrpSpPr>
                        <wpg:grpSpPr bwMode="auto">
                          <a:xfrm>
                            <a:off x="1304" y="2744"/>
                            <a:ext cx="2683" cy="2464"/>
                            <a:chOff x="1304" y="2744"/>
                            <a:chExt cx="2683" cy="2464"/>
                          </a:xfrm>
                        </wpg:grpSpPr>
                        <wps:wsp>
                          <wps:cNvPr id="11"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2"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3"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4"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5"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9B652FB" id="Group 37" o:spid="_x0000_s1026" style="position:absolute;left:0;text-align:left;margin-left:-56.7pt;margin-top:5.5pt;width:595.6pt;height:651.1pt;z-index:251658241"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">
                <v:rect id="Rectangle 24"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" fillcolor="#828282" stroked="f">
                  <v:textbox inset="80mm,15mm,2mm">
                    <w:txbxContent>
                      <w:p w14:paraId="1C228D88" w14:textId="57709E2F" w:rsidR="00216BE1" w:rsidRPr="00FE1795" w:rsidRDefault="00216BE1" w:rsidP="00AB46DF">
                        <w:pPr>
                          <w:rPr>
                            <w:color w:val="57433E"/>
                            <w:sz w:val="68"/>
                          </w:rPr>
                        </w:pPr>
                        <w:r w:rsidRPr="00FE1795">
                          <w:rPr>
                            <w:color w:val="FFFFFF"/>
                            <w:sz w:val="68"/>
                          </w:rPr>
                          <w:t xml:space="preserve">CEPT Report </w:t>
                        </w:r>
                        <w:r w:rsidR="000A4AAC">
                          <w:rPr>
                            <w:color w:val="D2232A"/>
                            <w:sz w:val="68"/>
                          </w:rPr>
                          <w:t>93</w:t>
                        </w:r>
                      </w:p>
                    </w:txbxContent>
                  </v:textbox>
                </v:shape>
                <v:group id="Group 36" o:spid="_x0000_s1029" style="position:absolute;left:1304;top:2744;width:2683;height:2464" coordorigin="1304,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30" o:spid="_x0000_s1030" style="position:absolute;rotation:45;visibility:visible;mso-wrap-style:square" from="2138,2646" to="2152,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" strokecolor="#d2232a" strokeweight="15pt"/>
                  <v:line id="Line 31" o:spid="_x0000_s1031" style="position:absolute;rotation:-45;flip:x;visibility:visible;mso-wrap-style:square" from="1447,4478" to="287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" strokecolor="#d2232a" strokeweight="15pt"/>
                  <v:line id="Line 32" o:spid="_x0000_s1032" style="position:absolute;rotation:-45;flip:x;visibility:visible;mso-wrap-style:square" from="3225,3653" to="3226,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" strokecolor="white" strokeweight="15pt"/>
                  <v:line id="Line 33" o:spid="_x0000_s1033" style="position:absolute;rotation:-45;flip:x;visibility:visible;mso-wrap-style:square" from="2439,3520" to="3987,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" strokecolor="white" strokeweight="15pt"/>
                  <v:line id="Line 34" o:spid="_x0000_s1034" style="position:absolute;visibility:visible;mso-wrap-style:square" from="2670,2744" to="267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" strokecolor="#828282" strokeweight="15.5pt"/>
                </v:group>
              </v:group>
            </w:pict>
          </mc:Fallback>
        </mc:AlternateContent>
      </w:r>
    </w:p>
    <w:p w14:paraId="2141EF15" w14:textId="77777777" w:rsidR="00AB46DF" w:rsidRPr="00F728A2" w:rsidRDefault="00AB46DF" w:rsidP="00AB46DF">
      <w:pPr>
        <w:jc w:val="center"/>
        <w:rPr>
          <w:b/>
          <w:sz w:val="24"/>
          <w:lang w:val="en-GB"/>
        </w:rPr>
      </w:pPr>
    </w:p>
    <w:p w14:paraId="797DAA27" w14:textId="77777777" w:rsidR="00AB46DF" w:rsidRPr="00F728A2" w:rsidRDefault="00AB46DF" w:rsidP="00AB46DF">
      <w:pPr>
        <w:jc w:val="center"/>
        <w:rPr>
          <w:b/>
          <w:sz w:val="24"/>
          <w:lang w:val="en-GB"/>
        </w:rPr>
      </w:pPr>
    </w:p>
    <w:p w14:paraId="64F59CD7" w14:textId="77777777" w:rsidR="00AB46DF" w:rsidRPr="00F728A2" w:rsidRDefault="00AB46DF" w:rsidP="00AB46DF">
      <w:pPr>
        <w:jc w:val="center"/>
        <w:rPr>
          <w:b/>
          <w:sz w:val="24"/>
          <w:lang w:val="en-GB"/>
        </w:rPr>
      </w:pPr>
    </w:p>
    <w:p w14:paraId="3D8EDBEB" w14:textId="77777777" w:rsidR="00AB46DF" w:rsidRPr="00F728A2" w:rsidRDefault="00AB46DF" w:rsidP="00AB46DF">
      <w:pPr>
        <w:jc w:val="center"/>
        <w:rPr>
          <w:b/>
          <w:sz w:val="24"/>
          <w:lang w:val="en-GB"/>
        </w:rPr>
      </w:pPr>
    </w:p>
    <w:p w14:paraId="2C978ADB" w14:textId="77777777" w:rsidR="00AB46DF" w:rsidRPr="00F728A2" w:rsidRDefault="00AB46DF" w:rsidP="00AB46DF">
      <w:pPr>
        <w:jc w:val="center"/>
        <w:rPr>
          <w:b/>
          <w:sz w:val="24"/>
          <w:lang w:val="en-GB"/>
        </w:rPr>
      </w:pPr>
    </w:p>
    <w:p w14:paraId="4CB6CE25" w14:textId="77777777" w:rsidR="00AB46DF" w:rsidRPr="00F728A2" w:rsidRDefault="00AB46DF" w:rsidP="00AB46DF">
      <w:pPr>
        <w:jc w:val="center"/>
        <w:rPr>
          <w:b/>
          <w:sz w:val="24"/>
          <w:lang w:val="en-GB"/>
        </w:rPr>
      </w:pPr>
    </w:p>
    <w:p w14:paraId="1C0F5270" w14:textId="77777777" w:rsidR="00AB46DF" w:rsidRPr="00F728A2" w:rsidRDefault="00AB46DF" w:rsidP="00AB46DF">
      <w:pPr>
        <w:jc w:val="center"/>
        <w:rPr>
          <w:b/>
          <w:sz w:val="24"/>
          <w:lang w:val="en-GB"/>
        </w:rPr>
      </w:pPr>
    </w:p>
    <w:p w14:paraId="12DA42DF" w14:textId="77777777" w:rsidR="00AB46DF" w:rsidRPr="00F728A2" w:rsidRDefault="00AB46DF" w:rsidP="00AB46DF">
      <w:pPr>
        <w:jc w:val="center"/>
        <w:rPr>
          <w:b/>
          <w:sz w:val="24"/>
          <w:lang w:val="en-GB"/>
        </w:rPr>
      </w:pPr>
    </w:p>
    <w:p w14:paraId="5A44109E" w14:textId="77777777" w:rsidR="00AB46DF" w:rsidRPr="00F728A2" w:rsidRDefault="00AB46DF" w:rsidP="00AB46DF">
      <w:pPr>
        <w:jc w:val="center"/>
        <w:rPr>
          <w:b/>
          <w:sz w:val="24"/>
          <w:lang w:val="en-GB"/>
        </w:rPr>
      </w:pPr>
    </w:p>
    <w:p w14:paraId="05EE5078" w14:textId="4EDBD4C6" w:rsidR="00AB46DF" w:rsidRPr="00F728A2" w:rsidRDefault="00B35E1E" w:rsidP="00AB46DF">
      <w:pPr>
        <w:pStyle w:val="Reporttitledescription"/>
        <w:rPr>
          <w:lang w:val="en-GB"/>
        </w:rPr>
      </w:pPr>
      <w:r>
        <w:rPr>
          <w:lang w:val="en-GB"/>
        </w:rPr>
        <w:fldChar w:fldCharType="begin">
          <w:ffData>
            <w:name w:val="Text7"/>
            <w:enabled/>
            <w:calcOnExit w:val="0"/>
            <w:textInput>
              <w:default w:val="Report from CEPT to the European Commission in response to the Mandate "/>
            </w:textInput>
          </w:ffData>
        </w:fldChar>
      </w:r>
      <w:bookmarkStart w:id="0" w:name="Text7"/>
      <w:r>
        <w:rPr>
          <w:lang w:val="en-GB"/>
        </w:rPr>
        <w:instrText xml:space="preserve"> FORMTEXT </w:instrText>
      </w:r>
      <w:r>
        <w:rPr>
          <w:lang w:val="en-GB"/>
        </w:rPr>
      </w:r>
      <w:r>
        <w:rPr>
          <w:lang w:val="en-GB"/>
        </w:rPr>
        <w:fldChar w:fldCharType="separate"/>
      </w:r>
      <w:r>
        <w:rPr>
          <w:noProof/>
          <w:lang w:val="en-GB"/>
        </w:rPr>
        <w:t xml:space="preserve">Report from CEPT to the European Commission in response to the Mandate </w:t>
      </w:r>
      <w:r>
        <w:rPr>
          <w:lang w:val="en-GB"/>
        </w:rPr>
        <w:fldChar w:fldCharType="end"/>
      </w:r>
      <w:bookmarkEnd w:id="0"/>
      <w:r w:rsidR="003C3EE4" w:rsidRPr="00F728A2">
        <w:rPr>
          <w:lang w:val="en-GB"/>
        </w:rPr>
        <w:t xml:space="preserve"> </w:t>
      </w:r>
    </w:p>
    <w:p w14:paraId="3F6661B2" w14:textId="77777777" w:rsidR="0033451C" w:rsidRPr="00043CE4" w:rsidRDefault="0033451C" w:rsidP="0033451C">
      <w:pPr>
        <w:pStyle w:val="Reporttitledescription"/>
        <w:rPr>
          <w:lang w:val="en-GB"/>
        </w:rPr>
      </w:pPr>
      <w:r w:rsidRPr="00043CE4">
        <w:rPr>
          <w:lang w:val="en-GB"/>
        </w:rPr>
        <w:t>“</w:t>
      </w:r>
      <w:r w:rsidRPr="00B154D2">
        <w:rPr>
          <w:lang w:val="en-GB"/>
        </w:rPr>
        <w:t>to study feasibility of and develop least restrictive harmonised technical conditions for the use of EU-harmonised frequency bands for terrestrial wireless systems providing electronic communications services by satellite systems providing direct-to-device-IMT connectivity</w:t>
      </w:r>
      <w:r w:rsidRPr="00043CE4">
        <w:rPr>
          <w:lang w:val="en-GB"/>
        </w:rPr>
        <w:t>”</w:t>
      </w:r>
    </w:p>
    <w:p w14:paraId="55BEAFB9" w14:textId="77777777" w:rsidR="0033451C" w:rsidRPr="00043CE4" w:rsidRDefault="0033451C" w:rsidP="0033451C">
      <w:pPr>
        <w:pStyle w:val="Reporttitledescription"/>
        <w:rPr>
          <w:lang w:val="en-GB"/>
        </w:rPr>
      </w:pPr>
      <w:r w:rsidRPr="00043CE4">
        <w:rPr>
          <w:lang w:val="en-GB"/>
        </w:rPr>
        <w:t xml:space="preserve">Report </w:t>
      </w:r>
      <w:r>
        <w:rPr>
          <w:lang w:val="en-GB"/>
        </w:rPr>
        <w:t>A</w:t>
      </w:r>
      <w:r w:rsidRPr="00043CE4">
        <w:rPr>
          <w:lang w:val="en-GB"/>
        </w:rPr>
        <w:t>:</w:t>
      </w:r>
      <w:r w:rsidRPr="00B50288">
        <w:rPr>
          <w:sz w:val="20"/>
        </w:rPr>
        <w:t xml:space="preserve"> </w:t>
      </w:r>
      <w:r w:rsidRPr="00B50288">
        <w:t>operational feasibility, coexistence and compatibility scenarios for the use of the EU-harmonised frequency bands for terrestrial wireless systems capable of providing ECS</w:t>
      </w:r>
      <w:r w:rsidRPr="00C71D78">
        <w:rPr>
          <w:sz w:val="20"/>
        </w:rPr>
        <w:t xml:space="preserve"> </w:t>
      </w:r>
      <w:r w:rsidRPr="00C71D78">
        <w:t>by satellite systems capable of providing D2D-IMT connectivity</w:t>
      </w:r>
      <w:r w:rsidRPr="00043CE4">
        <w:rPr>
          <w:lang w:val="en-GB"/>
        </w:rPr>
        <w:t>.</w:t>
      </w:r>
    </w:p>
    <w:p w14:paraId="29F5B6C3" w14:textId="470AA390" w:rsidR="00AB46DF" w:rsidRPr="00F728A2" w:rsidRDefault="00A4491C" w:rsidP="00AB46DF">
      <w:pPr>
        <w:pStyle w:val="Reporttitledescription"/>
        <w:rPr>
          <w:b/>
          <w:sz w:val="18"/>
          <w:lang w:val="en-GB"/>
        </w:rPr>
      </w:pPr>
      <w:r>
        <w:rPr>
          <w:b/>
          <w:sz w:val="18"/>
          <w:lang w:val="en-GB"/>
        </w:rPr>
        <w:fldChar w:fldCharType="begin">
          <w:ffData>
            <w:name w:val="Text8"/>
            <w:enabled/>
            <w:calcOnExit w:val="0"/>
            <w:textInput>
              <w:default w:val="Report approved on DD Month YYYY by the ECC"/>
            </w:textInput>
          </w:ffData>
        </w:fldChar>
      </w:r>
      <w:bookmarkStart w:id="1" w:name="Text8"/>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DD Month YYYY by the ECC</w:t>
      </w:r>
      <w:r>
        <w:rPr>
          <w:b/>
          <w:sz w:val="18"/>
          <w:lang w:val="en-GB"/>
        </w:rPr>
        <w:fldChar w:fldCharType="end"/>
      </w:r>
      <w:bookmarkEnd w:id="1"/>
      <w:r w:rsidR="00512677" w:rsidRPr="00F728A2">
        <w:rPr>
          <w:b/>
          <w:sz w:val="18"/>
          <w:lang w:val="en-GB"/>
        </w:rPr>
        <w:tab/>
      </w:r>
    </w:p>
    <w:p w14:paraId="54CC4171" w14:textId="77777777" w:rsidR="00AB46DF" w:rsidRPr="00737D5F" w:rsidRDefault="00AB46DF">
      <w:pPr>
        <w:rPr>
          <w:lang w:val="en-GB"/>
        </w:rPr>
      </w:pPr>
    </w:p>
    <w:p w14:paraId="4968D18F" w14:textId="77777777" w:rsidR="008D11DC" w:rsidRPr="00903D26" w:rsidRDefault="008D11DC" w:rsidP="008D11DC">
      <w:pPr>
        <w:rPr>
          <w:lang w:val="en-GB"/>
        </w:rPr>
      </w:pPr>
    </w:p>
    <w:p w14:paraId="553C3370" w14:textId="77777777" w:rsidR="008D11DC" w:rsidRPr="00143BED" w:rsidRDefault="008D11DC" w:rsidP="008D11DC">
      <w:pPr>
        <w:pBdr>
          <w:top w:val="single" w:sz="4" w:space="2" w:color="auto"/>
          <w:left w:val="single" w:sz="4" w:space="4" w:color="auto"/>
          <w:bottom w:val="single" w:sz="4" w:space="1" w:color="auto"/>
          <w:right w:val="single" w:sz="4" w:space="4" w:color="auto"/>
        </w:pBdr>
        <w:shd w:val="clear" w:color="auto" w:fill="FFFF00"/>
        <w:tabs>
          <w:tab w:val="left" w:pos="2410"/>
        </w:tabs>
        <w:jc w:val="center"/>
        <w:rPr>
          <w:rFonts w:ascii="Times New Roman" w:hAnsi="Times New Roman"/>
          <w:b/>
          <w:sz w:val="32"/>
          <w:szCs w:val="32"/>
          <w:highlight w:val="yellow"/>
          <w:lang w:val="en-GB"/>
        </w:rPr>
      </w:pPr>
    </w:p>
    <w:p w14:paraId="018E3D63" w14:textId="77777777" w:rsidR="008D11DC" w:rsidRPr="00F728A2" w:rsidRDefault="008D11DC" w:rsidP="008D11DC">
      <w:pPr>
        <w:pBdr>
          <w:top w:val="single" w:sz="4" w:space="2" w:color="auto"/>
          <w:left w:val="single" w:sz="4" w:space="4" w:color="auto"/>
          <w:bottom w:val="single" w:sz="4" w:space="1" w:color="auto"/>
          <w:right w:val="single" w:sz="4" w:space="4" w:color="auto"/>
        </w:pBdr>
        <w:shd w:val="clear" w:color="auto" w:fill="FFFF00"/>
        <w:tabs>
          <w:tab w:val="left" w:pos="2410"/>
        </w:tabs>
        <w:jc w:val="center"/>
        <w:rPr>
          <w:rFonts w:ascii="Times New Roman" w:hAnsi="Times New Roman"/>
          <w:b/>
          <w:sz w:val="32"/>
          <w:szCs w:val="32"/>
          <w:lang w:val="en-GB"/>
        </w:rPr>
      </w:pPr>
      <w:r w:rsidRPr="002F63B1">
        <w:rPr>
          <w:rFonts w:ascii="Times New Roman" w:hAnsi="Times New Roman"/>
          <w:b/>
          <w:sz w:val="32"/>
          <w:szCs w:val="32"/>
          <w:highlight w:val="yellow"/>
          <w:lang w:val="en-GB"/>
        </w:rPr>
        <w:t>CEPT Report – subject to public consultation</w:t>
      </w:r>
    </w:p>
    <w:p w14:paraId="48D5AF71" w14:textId="77777777" w:rsidR="008D11DC" w:rsidRPr="00F728A2" w:rsidRDefault="008D11DC" w:rsidP="008D11DC">
      <w:pPr>
        <w:pBdr>
          <w:top w:val="single" w:sz="4" w:space="2" w:color="auto"/>
          <w:left w:val="single" w:sz="4" w:space="4" w:color="auto"/>
          <w:bottom w:val="single" w:sz="4" w:space="1" w:color="auto"/>
          <w:right w:val="single" w:sz="4" w:space="4" w:color="auto"/>
        </w:pBdr>
        <w:shd w:val="clear" w:color="auto" w:fill="FFFF00"/>
        <w:tabs>
          <w:tab w:val="left" w:pos="2410"/>
        </w:tabs>
        <w:jc w:val="center"/>
        <w:rPr>
          <w:lang w:val="en-GB"/>
        </w:rPr>
      </w:pPr>
    </w:p>
    <w:p w14:paraId="41A02CA4" w14:textId="77777777" w:rsidR="008D11DC" w:rsidRPr="00F728A2" w:rsidRDefault="008D11DC">
      <w:pPr>
        <w:rPr>
          <w:lang w:val="en-GB"/>
        </w:rPr>
      </w:pPr>
    </w:p>
    <w:p w14:paraId="214A3DBC" w14:textId="77777777" w:rsidR="008D11DC" w:rsidRPr="00737D5F" w:rsidRDefault="008D11DC">
      <w:pPr>
        <w:rPr>
          <w:lang w:val="en-GB"/>
        </w:rPr>
      </w:pPr>
    </w:p>
    <w:p w14:paraId="02394588" w14:textId="77777777" w:rsidR="008D11DC" w:rsidRPr="00903D26" w:rsidRDefault="008D11DC">
      <w:pPr>
        <w:rPr>
          <w:lang w:val="en-GB"/>
        </w:rPr>
      </w:pPr>
    </w:p>
    <w:p w14:paraId="5699EC1B" w14:textId="382F1B5B" w:rsidR="008D11DC" w:rsidRPr="00F728A2" w:rsidRDefault="008D11DC">
      <w:pPr>
        <w:rPr>
          <w:lang w:val="en-GB"/>
        </w:rPr>
        <w:sectPr w:rsidR="008D11DC" w:rsidRPr="00F728A2">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14:paraId="6A039C2D" w14:textId="627E8592" w:rsidR="00AB46DF" w:rsidRPr="00903D26" w:rsidRDefault="003C3EE4" w:rsidP="00AB46DF">
      <w:pPr>
        <w:pStyle w:val="Heading1"/>
      </w:pPr>
      <w:bookmarkStart w:id="2" w:name="_Toc230360700"/>
      <w:r w:rsidRPr="00737D5F">
        <w:lastRenderedPageBreak/>
        <w:t>Execut</w:t>
      </w:r>
      <w:r w:rsidRPr="00903D26">
        <w:t>ive summary</w:t>
      </w:r>
      <w:bookmarkEnd w:id="2"/>
      <w:r w:rsidRPr="00903D26">
        <w:t xml:space="preserve"> </w:t>
      </w:r>
    </w:p>
    <w:p w14:paraId="5F0B3D2B" w14:textId="34AB8B14" w:rsidR="00643C6C" w:rsidRPr="005D6C93" w:rsidRDefault="00643C6C" w:rsidP="00643C6C">
      <w:pPr>
        <w:pStyle w:val="ECCParagraph"/>
      </w:pPr>
      <w:r w:rsidRPr="005D6C93">
        <w:t xml:space="preserve">This Report </w:t>
      </w:r>
      <w:r w:rsidRPr="00EE6727">
        <w:t>is a response to</w:t>
      </w:r>
      <w:r w:rsidRPr="005D6C93">
        <w:t xml:space="preserve"> task 1 of the EC Mandate which calls for studies and assesses operational feasibility, coexistence and compatibility scenarios for the use of the following EU-harmonised frequency bands for terrestrial wireless systems capable of providing ECS (WBB ECS):</w:t>
      </w:r>
    </w:p>
    <w:p w14:paraId="4D3675F5" w14:textId="1B0AA472" w:rsidR="00643C6C" w:rsidRDefault="00643C6C" w:rsidP="00643C6C">
      <w:pPr>
        <w:pStyle w:val="ECCBulletsLv1"/>
        <w:ind w:left="357" w:hanging="357"/>
      </w:pPr>
      <w:r w:rsidRPr="007607F4">
        <w:t>703-733 MHz/758-788 MHz (‘700 MHz’)</w:t>
      </w:r>
      <w:r>
        <w:t>;</w:t>
      </w:r>
      <w:r w:rsidRPr="007607F4">
        <w:t xml:space="preserve"> </w:t>
      </w:r>
    </w:p>
    <w:p w14:paraId="3D5821F4" w14:textId="0253771E" w:rsidR="00643C6C" w:rsidRDefault="00643C6C" w:rsidP="00643C6C">
      <w:pPr>
        <w:pStyle w:val="ECCBulletsLv1"/>
        <w:ind w:left="357" w:hanging="357"/>
      </w:pPr>
      <w:r w:rsidRPr="007607F4">
        <w:t>791–821 MHz/832-862 MHz (‘800 MHz')</w:t>
      </w:r>
      <w:r>
        <w:t>;</w:t>
      </w:r>
      <w:r w:rsidRPr="007607F4">
        <w:t xml:space="preserve"> </w:t>
      </w:r>
    </w:p>
    <w:p w14:paraId="791B6155" w14:textId="570D7B3C" w:rsidR="00643C6C" w:rsidRDefault="00643C6C" w:rsidP="00643C6C">
      <w:pPr>
        <w:pStyle w:val="ECCBulletsLv1"/>
        <w:ind w:left="357" w:hanging="357"/>
      </w:pPr>
      <w:r w:rsidRPr="007607F4">
        <w:t>880-915 MHz/925-960 MHz (‘900 MHz’)</w:t>
      </w:r>
      <w:r>
        <w:t>;</w:t>
      </w:r>
      <w:r w:rsidRPr="007607F4">
        <w:t xml:space="preserve"> </w:t>
      </w:r>
    </w:p>
    <w:p w14:paraId="2A71F5F6" w14:textId="3B3D95A0" w:rsidR="00643C6C" w:rsidRDefault="00643C6C" w:rsidP="00643C6C">
      <w:pPr>
        <w:pStyle w:val="ECCBulletsLv1"/>
        <w:ind w:left="357" w:hanging="357"/>
      </w:pPr>
      <w:r w:rsidRPr="007607F4">
        <w:t>1427-1517 MHz (‘1.5 GHz’)</w:t>
      </w:r>
      <w:r>
        <w:t>;</w:t>
      </w:r>
      <w:r w:rsidRPr="007607F4">
        <w:t xml:space="preserve"> </w:t>
      </w:r>
    </w:p>
    <w:p w14:paraId="70F5B069" w14:textId="44A1EA06" w:rsidR="00643C6C" w:rsidRDefault="00643C6C" w:rsidP="00643C6C">
      <w:pPr>
        <w:pStyle w:val="ECCBulletsLv1"/>
        <w:ind w:left="357" w:hanging="357"/>
      </w:pPr>
      <w:r w:rsidRPr="007607F4">
        <w:t>1710 1785 MHz/1805-1880 MHz (‘1 800 MHz’)</w:t>
      </w:r>
      <w:r>
        <w:t>;</w:t>
      </w:r>
      <w:r w:rsidRPr="007607F4">
        <w:t xml:space="preserve"> </w:t>
      </w:r>
    </w:p>
    <w:p w14:paraId="1C7DA861" w14:textId="129BCC49" w:rsidR="00643C6C" w:rsidRDefault="00643C6C" w:rsidP="00643C6C">
      <w:pPr>
        <w:pStyle w:val="ECCBulletsLv1"/>
        <w:ind w:left="357" w:hanging="357"/>
      </w:pPr>
      <w:r w:rsidRPr="007607F4">
        <w:t>1920-1980 MHz/2110-2170 MHz (‘paired terrestrial 2 GHz’)</w:t>
      </w:r>
      <w:r>
        <w:t>;</w:t>
      </w:r>
      <w:r w:rsidRPr="007607F4">
        <w:t xml:space="preserve"> </w:t>
      </w:r>
    </w:p>
    <w:p w14:paraId="1BB14B03" w14:textId="7DF8D9C4" w:rsidR="00643C6C" w:rsidRDefault="00643C6C" w:rsidP="00643C6C">
      <w:pPr>
        <w:pStyle w:val="ECCBulletsLv1"/>
        <w:ind w:left="357" w:hanging="357"/>
      </w:pPr>
      <w:r w:rsidRPr="007607F4">
        <w:t>2500-2690 MHz (‘2.6 GHz’)</w:t>
      </w:r>
      <w:r>
        <w:t>;</w:t>
      </w:r>
      <w:r w:rsidRPr="007607F4">
        <w:t xml:space="preserve"> </w:t>
      </w:r>
    </w:p>
    <w:p w14:paraId="7B976749" w14:textId="4EC73ED2" w:rsidR="00643C6C" w:rsidRDefault="00643C6C" w:rsidP="00643C6C">
      <w:pPr>
        <w:pStyle w:val="ECCBulletsLv1"/>
        <w:ind w:left="357" w:hanging="357"/>
      </w:pPr>
      <w:r w:rsidRPr="007607F4">
        <w:t>3400-3 800 MHz (‘3.6 GHz’)</w:t>
      </w:r>
      <w:r>
        <w:t>;</w:t>
      </w:r>
      <w:r w:rsidRPr="007607F4">
        <w:t xml:space="preserve"> </w:t>
      </w:r>
    </w:p>
    <w:p w14:paraId="7A625A5F" w14:textId="4CC1D9A0" w:rsidR="00643C6C" w:rsidRDefault="00643C6C" w:rsidP="00643C6C">
      <w:pPr>
        <w:pStyle w:val="ECCBulletsLv1"/>
        <w:ind w:left="357" w:hanging="357"/>
      </w:pPr>
      <w:r w:rsidRPr="007607F4">
        <w:t>24.25 27.5 GHz (‘26 GHz’)</w:t>
      </w:r>
      <w:r>
        <w:t>;</w:t>
      </w:r>
      <w:r w:rsidRPr="007607F4">
        <w:t xml:space="preserve"> </w:t>
      </w:r>
    </w:p>
    <w:p w14:paraId="2A31DC49" w14:textId="5D841F99" w:rsidR="00643C6C" w:rsidRDefault="00643C6C" w:rsidP="00643C6C">
      <w:pPr>
        <w:pStyle w:val="ECCBulletsLv1"/>
        <w:ind w:left="357" w:hanging="357"/>
      </w:pPr>
      <w:r w:rsidRPr="007607F4">
        <w:t xml:space="preserve">and 40.5-43.5 GHz (‘42 GHz’) </w:t>
      </w:r>
    </w:p>
    <w:p w14:paraId="0A283454" w14:textId="3E9472DF" w:rsidR="00643C6C" w:rsidRPr="0007715D" w:rsidRDefault="00643C6C" w:rsidP="0007715D">
      <w:pPr>
        <w:pStyle w:val="ECCParagraph"/>
      </w:pPr>
      <w:r w:rsidRPr="0007715D">
        <w:t>by satellite systems capable of providing D2D-IMT connectivity to “standalone” WBB ECS user equipment / terminals (i.e. terminals capable of connecting to both the terrestrial WBB ECS and the satellite without requiring additional components).</w:t>
      </w:r>
    </w:p>
    <w:p w14:paraId="436C352F" w14:textId="77777777" w:rsidR="00643C6C" w:rsidRPr="00643C6C" w:rsidRDefault="00643C6C" w:rsidP="00643C6C">
      <w:pPr>
        <w:pStyle w:val="ECCParagraph"/>
      </w:pPr>
      <w:r w:rsidRPr="00643C6C">
        <w:t>Based on the assessment, the following bands will not be considered for further detailed studies of task 2 of the EC Mandate:</w:t>
      </w:r>
    </w:p>
    <w:p w14:paraId="29412E88" w14:textId="77777777" w:rsidR="00643C6C" w:rsidRPr="00946A9F" w:rsidRDefault="00643C6C" w:rsidP="00643C6C">
      <w:pPr>
        <w:pStyle w:val="ECCBulletsLv1"/>
        <w:ind w:left="357" w:hanging="357"/>
      </w:pPr>
      <w:r w:rsidRPr="00946A9F">
        <w:t>26 GHz band</w:t>
      </w:r>
      <w:r>
        <w:t>;</w:t>
      </w:r>
    </w:p>
    <w:p w14:paraId="44A2E4CF" w14:textId="77777777" w:rsidR="00643C6C" w:rsidRPr="00946A9F" w:rsidRDefault="00643C6C" w:rsidP="00643C6C">
      <w:pPr>
        <w:pStyle w:val="ECCBulletsLv1"/>
        <w:ind w:left="357" w:hanging="357"/>
      </w:pPr>
      <w:r w:rsidRPr="00946A9F">
        <w:t>42 GHz band</w:t>
      </w:r>
      <w:r>
        <w:t>.</w:t>
      </w:r>
    </w:p>
    <w:p w14:paraId="3830A507" w14:textId="676DC3BA" w:rsidR="00643C6C" w:rsidRDefault="00643C6C" w:rsidP="00643C6C">
      <w:pPr>
        <w:pStyle w:val="ECCParagraph"/>
        <w:rPr>
          <w:szCs w:val="22"/>
        </w:rPr>
      </w:pPr>
      <w:r w:rsidRPr="00FE69FB">
        <w:rPr>
          <w:szCs w:val="22"/>
        </w:rPr>
        <w:t>The band 2.6 GHz TDD will not be considered for D2D-IMT authorisation but its protection from adjacent D2D-IMT operations in 2.6 GHz FDD bands will be considered for further detailed studies of task 2.</w:t>
      </w:r>
    </w:p>
    <w:p w14:paraId="3D37D07D" w14:textId="73C8C346" w:rsidR="00643C6C" w:rsidRPr="00FE69FB" w:rsidRDefault="00643C6C" w:rsidP="00643C6C">
      <w:pPr>
        <w:pStyle w:val="ECCParagraph"/>
        <w:rPr>
          <w:szCs w:val="22"/>
        </w:rPr>
      </w:pPr>
      <w:r w:rsidRPr="000A4AAC">
        <w:rPr>
          <w:szCs w:val="22"/>
        </w:rPr>
        <w:t xml:space="preserve">CEPT cannot yet assess fully the feasibility of D2D-IMT systems in the remaining frequency bands as the studies are still ongoing. </w:t>
      </w:r>
      <w:r w:rsidR="00211302" w:rsidRPr="000A4AAC">
        <w:rPr>
          <w:szCs w:val="22"/>
        </w:rPr>
        <w:t xml:space="preserve">Specific challenges have been raised regarding D2D-IMT operation in TDD bands, particularly the 3.5 GHz band. These challenges (e.g. </w:t>
      </w:r>
      <w:r w:rsidR="0038569F" w:rsidRPr="000A4AAC">
        <w:rPr>
          <w:szCs w:val="22"/>
        </w:rPr>
        <w:t>synchronisation capabilities of D2D-IMT systems with terrestrial WBB ECS networks, taking into account challenges such as propagation delay</w:t>
      </w:r>
      <w:r w:rsidR="00211302" w:rsidRPr="000A4AAC">
        <w:rPr>
          <w:szCs w:val="22"/>
        </w:rPr>
        <w:t xml:space="preserve">) </w:t>
      </w:r>
      <w:r w:rsidR="006A6E10" w:rsidRPr="000A4AAC">
        <w:rPr>
          <w:szCs w:val="22"/>
        </w:rPr>
        <w:t xml:space="preserve">and the feasibility of this band </w:t>
      </w:r>
      <w:r w:rsidR="00211302" w:rsidRPr="000A4AAC">
        <w:rPr>
          <w:szCs w:val="22"/>
        </w:rPr>
        <w:t xml:space="preserve">will be further discussed. </w:t>
      </w:r>
      <w:r w:rsidRPr="000A4AAC">
        <w:rPr>
          <w:szCs w:val="22"/>
        </w:rPr>
        <w:t>CEPT expects to define, for each band where CEPT establishes that D2D-IMT is feasible, the following regulatory limits:</w:t>
      </w:r>
    </w:p>
    <w:p w14:paraId="3868E051" w14:textId="77777777" w:rsidR="0058729D" w:rsidRPr="00D400D5" w:rsidRDefault="0058729D" w:rsidP="005B315C">
      <w:pPr>
        <w:pStyle w:val="ECCBulletsLv1"/>
        <w:numPr>
          <w:ilvl w:val="0"/>
          <w:numId w:val="15"/>
        </w:numPr>
      </w:pPr>
      <w:r w:rsidRPr="00D400D5">
        <w:t>Regulatory (Technical and/or operational) limits on D2D-IMT satellite emissions to protect WBB ECS services in co-channel and adjacent blocks;</w:t>
      </w:r>
    </w:p>
    <w:p w14:paraId="2A724D4F" w14:textId="77777777" w:rsidR="0058729D" w:rsidRPr="00D400D5" w:rsidRDefault="0058729D" w:rsidP="005B315C">
      <w:pPr>
        <w:pStyle w:val="ECCBulletsLv1"/>
        <w:numPr>
          <w:ilvl w:val="0"/>
          <w:numId w:val="15"/>
        </w:numPr>
      </w:pPr>
      <w:r w:rsidRPr="00D400D5">
        <w:t>Regulatory (Technical and/or operational) limits on D2D-IMT satellite emissions to protect other services in the bands adjacent to WBB ECS;</w:t>
      </w:r>
    </w:p>
    <w:p w14:paraId="7E0C9262" w14:textId="77777777" w:rsidR="0058729D" w:rsidRPr="00D400D5" w:rsidRDefault="0058729D" w:rsidP="005B315C">
      <w:pPr>
        <w:pStyle w:val="ECCBulletsLv1"/>
        <w:numPr>
          <w:ilvl w:val="0"/>
          <w:numId w:val="15"/>
        </w:numPr>
      </w:pPr>
      <w:r w:rsidRPr="00D400D5">
        <w:t>Regulatory (Technical and/or operational) limits on D2D-IMT satellite emissions to protect other services co-allocated in WBB ECS bands (if any).</w:t>
      </w:r>
    </w:p>
    <w:p w14:paraId="01F3E13E" w14:textId="77777777" w:rsidR="00643C6C" w:rsidRPr="00F728A2" w:rsidRDefault="00643C6C" w:rsidP="00AB46DF">
      <w:pPr>
        <w:pStyle w:val="ECCParagraph"/>
      </w:pPr>
    </w:p>
    <w:p w14:paraId="5198350A" w14:textId="77777777" w:rsidR="00AB46DF" w:rsidRPr="00F728A2" w:rsidRDefault="003C3EE4" w:rsidP="00AB46DF">
      <w:pPr>
        <w:rPr>
          <w:lang w:val="en-GB"/>
        </w:rPr>
      </w:pPr>
      <w:r w:rsidRPr="00F728A2">
        <w:rPr>
          <w:lang w:val="en-GB"/>
        </w:rPr>
        <w:br w:type="page"/>
      </w:r>
    </w:p>
    <w:p w14:paraId="5737A749" w14:textId="77777777" w:rsidR="00AB46DF" w:rsidRPr="00903D26" w:rsidRDefault="00D20E3B" w:rsidP="00AB46DF">
      <w:pPr>
        <w:rPr>
          <w:b/>
          <w:color w:val="FFFFFF"/>
          <w:lang w:val="en-GB"/>
        </w:rPr>
      </w:pPr>
      <w:r w:rsidRPr="00903D26">
        <w:rPr>
          <w:b/>
          <w:noProof/>
          <w:color w:val="FFFFFF"/>
          <w:szCs w:val="20"/>
          <w:lang w:val="en-GB" w:eastAsia="da-DK"/>
        </w:rPr>
        <w:lastRenderedPageBreak/>
        <mc:AlternateContent>
          <mc:Choice Requires="wps">
            <w:drawing>
              <wp:anchor distT="0" distB="0" distL="114300" distR="114300" simplePos="0" relativeHeight="251658240" behindDoc="1" locked="0" layoutInCell="1" allowOverlap="1" wp14:anchorId="21E2DEAF" wp14:editId="1785990C">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39BD4"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" fillcolor="#b0a696" stroked="f">
                <w10:wrap anchorx="page" anchory="page"/>
              </v:rect>
            </w:pict>
          </mc:Fallback>
        </mc:AlternateContent>
      </w:r>
    </w:p>
    <w:p w14:paraId="0D196F85" w14:textId="77777777" w:rsidR="00D20E3B" w:rsidRPr="00903D26" w:rsidRDefault="00D20E3B" w:rsidP="00AB46DF">
      <w:pPr>
        <w:rPr>
          <w:b/>
          <w:color w:val="FFFFFF"/>
          <w:szCs w:val="20"/>
          <w:lang w:val="en-GB"/>
        </w:rPr>
      </w:pPr>
    </w:p>
    <w:p w14:paraId="23D7E62F" w14:textId="77777777" w:rsidR="00AB46DF" w:rsidRPr="00903D26" w:rsidRDefault="002209A7" w:rsidP="00AB46DF">
      <w:pPr>
        <w:rPr>
          <w:b/>
          <w:color w:val="FFFFFF"/>
          <w:szCs w:val="20"/>
          <w:lang w:val="en-GB"/>
        </w:rPr>
      </w:pPr>
      <w:r w:rsidRPr="00903D26">
        <w:rPr>
          <w:b/>
          <w:color w:val="FFFFFF"/>
          <w:szCs w:val="20"/>
          <w:lang w:val="en-GB"/>
        </w:rPr>
        <w:t>TABLE OF CONTENTS</w:t>
      </w:r>
    </w:p>
    <w:p w14:paraId="2CA65AA3" w14:textId="77777777" w:rsidR="00512677" w:rsidRPr="00903D26" w:rsidRDefault="00512677" w:rsidP="00AB46DF">
      <w:pPr>
        <w:rPr>
          <w:b/>
          <w:color w:val="FFFFFF"/>
          <w:szCs w:val="20"/>
          <w:lang w:val="en-GB"/>
        </w:rPr>
      </w:pPr>
    </w:p>
    <w:p w14:paraId="04EFF696" w14:textId="77777777" w:rsidR="00512677" w:rsidRPr="00903D26" w:rsidRDefault="00512677" w:rsidP="00AB46DF">
      <w:pPr>
        <w:rPr>
          <w:b/>
          <w:color w:val="FFFFFF"/>
          <w:szCs w:val="20"/>
          <w:lang w:val="en-GB"/>
        </w:rPr>
      </w:pPr>
    </w:p>
    <w:p w14:paraId="04D38408" w14:textId="77777777" w:rsidR="00AB46DF" w:rsidRPr="00737D5F" w:rsidRDefault="00AB46DF">
      <w:pPr>
        <w:rPr>
          <w:lang w:val="en-GB"/>
        </w:rPr>
      </w:pPr>
    </w:p>
    <w:p w14:paraId="4770EBC6" w14:textId="3073F97A" w:rsidR="00E85EF2" w:rsidRDefault="003C3EE4">
      <w:pPr>
        <w:pStyle w:val="TOC1"/>
        <w:rPr>
          <w:rFonts w:asciiTheme="minorHAnsi" w:eastAsiaTheme="minorEastAsia" w:hAnsiTheme="minorHAnsi" w:cstheme="minorBidi"/>
          <w:b w:val="0"/>
          <w:caps w:val="0"/>
          <w:noProof/>
          <w:kern w:val="2"/>
          <w:sz w:val="24"/>
          <w14:ligatures w14:val="standardContextual"/>
        </w:rPr>
      </w:pPr>
      <w:r w:rsidRPr="00737D5F">
        <w:rPr>
          <w:caps w:val="0"/>
          <w:lang w:val="en-GB"/>
        </w:rPr>
        <w:fldChar w:fldCharType="begin"/>
      </w:r>
      <w:r w:rsidRPr="00903D26">
        <w:rPr>
          <w:caps w:val="0"/>
          <w:lang w:val="en-GB"/>
        </w:rPr>
        <w:instrText xml:space="preserve"> TOC \o "1-4" \h \z \u </w:instrText>
      </w:r>
      <w:r w:rsidRPr="00737D5F">
        <w:rPr>
          <w:caps w:val="0"/>
          <w:lang w:val="en-GB"/>
        </w:rPr>
        <w:fldChar w:fldCharType="separate"/>
      </w:r>
      <w:hyperlink w:anchor="_Toc230360700" w:history="1">
        <w:r w:rsidR="00E85EF2" w:rsidRPr="0069131A">
          <w:rPr>
            <w:rStyle w:val="Hyperlink"/>
            <w:noProof/>
          </w:rPr>
          <w:t>0</w:t>
        </w:r>
        <w:r w:rsidR="00E85EF2">
          <w:rPr>
            <w:rFonts w:asciiTheme="minorHAnsi" w:eastAsiaTheme="minorEastAsia" w:hAnsiTheme="minorHAnsi" w:cstheme="minorBidi"/>
            <w:b w:val="0"/>
            <w:caps w:val="0"/>
            <w:noProof/>
            <w:kern w:val="2"/>
            <w:sz w:val="24"/>
            <w14:ligatures w14:val="standardContextual"/>
          </w:rPr>
          <w:tab/>
        </w:r>
        <w:r w:rsidR="00E85EF2" w:rsidRPr="0069131A">
          <w:rPr>
            <w:rStyle w:val="Hyperlink"/>
            <w:noProof/>
          </w:rPr>
          <w:t>Executive summary</w:t>
        </w:r>
        <w:r w:rsidR="00E85EF2">
          <w:rPr>
            <w:noProof/>
            <w:webHidden/>
          </w:rPr>
          <w:tab/>
        </w:r>
        <w:r w:rsidR="00E85EF2">
          <w:rPr>
            <w:noProof/>
            <w:webHidden/>
          </w:rPr>
          <w:fldChar w:fldCharType="begin"/>
        </w:r>
        <w:r w:rsidR="00E85EF2">
          <w:rPr>
            <w:noProof/>
            <w:webHidden/>
          </w:rPr>
          <w:instrText xml:space="preserve"> PAGEREF _Toc230360700 \h </w:instrText>
        </w:r>
        <w:r w:rsidR="00E85EF2">
          <w:rPr>
            <w:noProof/>
            <w:webHidden/>
          </w:rPr>
        </w:r>
        <w:r w:rsidR="00E85EF2">
          <w:rPr>
            <w:noProof/>
            <w:webHidden/>
          </w:rPr>
          <w:fldChar w:fldCharType="separate"/>
        </w:r>
        <w:r w:rsidR="00E85EF2">
          <w:rPr>
            <w:noProof/>
            <w:webHidden/>
          </w:rPr>
          <w:t>2</w:t>
        </w:r>
        <w:r w:rsidR="00E85EF2">
          <w:rPr>
            <w:noProof/>
            <w:webHidden/>
          </w:rPr>
          <w:fldChar w:fldCharType="end"/>
        </w:r>
      </w:hyperlink>
    </w:p>
    <w:p w14:paraId="5211D808" w14:textId="034F48B8"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1" w:history="1">
        <w:r w:rsidRPr="0069131A">
          <w:rPr>
            <w:rStyle w:val="Hyperlink"/>
            <w:noProof/>
          </w:rPr>
          <w:t>1</w:t>
        </w:r>
        <w:r>
          <w:rPr>
            <w:rFonts w:asciiTheme="minorHAnsi" w:eastAsiaTheme="minorEastAsia" w:hAnsiTheme="minorHAnsi" w:cstheme="minorBidi"/>
            <w:b w:val="0"/>
            <w:caps w:val="0"/>
            <w:noProof/>
            <w:kern w:val="2"/>
            <w:sz w:val="24"/>
            <w14:ligatures w14:val="standardContextual"/>
          </w:rPr>
          <w:tab/>
        </w:r>
        <w:r w:rsidRPr="0069131A">
          <w:rPr>
            <w:rStyle w:val="Hyperlink"/>
            <w:noProof/>
          </w:rPr>
          <w:t>Introduction</w:t>
        </w:r>
        <w:r>
          <w:rPr>
            <w:noProof/>
            <w:webHidden/>
          </w:rPr>
          <w:tab/>
        </w:r>
        <w:r>
          <w:rPr>
            <w:noProof/>
            <w:webHidden/>
          </w:rPr>
          <w:fldChar w:fldCharType="begin"/>
        </w:r>
        <w:r>
          <w:rPr>
            <w:noProof/>
            <w:webHidden/>
          </w:rPr>
          <w:instrText xml:space="preserve"> PAGEREF _Toc230360701 \h </w:instrText>
        </w:r>
        <w:r>
          <w:rPr>
            <w:noProof/>
            <w:webHidden/>
          </w:rPr>
        </w:r>
        <w:r>
          <w:rPr>
            <w:noProof/>
            <w:webHidden/>
          </w:rPr>
          <w:fldChar w:fldCharType="separate"/>
        </w:r>
        <w:r>
          <w:rPr>
            <w:noProof/>
            <w:webHidden/>
          </w:rPr>
          <w:t>5</w:t>
        </w:r>
        <w:r>
          <w:rPr>
            <w:noProof/>
            <w:webHidden/>
          </w:rPr>
          <w:fldChar w:fldCharType="end"/>
        </w:r>
      </w:hyperlink>
    </w:p>
    <w:p w14:paraId="1199813A" w14:textId="4DC802FA"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2" w:history="1">
        <w:r w:rsidRPr="0069131A">
          <w:rPr>
            <w:rStyle w:val="Hyperlink"/>
            <w:noProof/>
          </w:rPr>
          <w:t>2</w:t>
        </w:r>
        <w:r>
          <w:rPr>
            <w:rFonts w:asciiTheme="minorHAnsi" w:eastAsiaTheme="minorEastAsia" w:hAnsiTheme="minorHAnsi" w:cstheme="minorBidi"/>
            <w:b w:val="0"/>
            <w:caps w:val="0"/>
            <w:noProof/>
            <w:kern w:val="2"/>
            <w:sz w:val="24"/>
            <w14:ligatures w14:val="standardContextual"/>
          </w:rPr>
          <w:tab/>
        </w:r>
        <w:r w:rsidRPr="0069131A">
          <w:rPr>
            <w:rStyle w:val="Hyperlink"/>
            <w:noProof/>
          </w:rPr>
          <w:t>Assessment of frequency bands</w:t>
        </w:r>
        <w:r>
          <w:rPr>
            <w:noProof/>
            <w:webHidden/>
          </w:rPr>
          <w:tab/>
        </w:r>
        <w:r>
          <w:rPr>
            <w:noProof/>
            <w:webHidden/>
          </w:rPr>
          <w:fldChar w:fldCharType="begin"/>
        </w:r>
        <w:r>
          <w:rPr>
            <w:noProof/>
            <w:webHidden/>
          </w:rPr>
          <w:instrText xml:space="preserve"> PAGEREF _Toc230360702 \h </w:instrText>
        </w:r>
        <w:r>
          <w:rPr>
            <w:noProof/>
            <w:webHidden/>
          </w:rPr>
        </w:r>
        <w:r>
          <w:rPr>
            <w:noProof/>
            <w:webHidden/>
          </w:rPr>
          <w:fldChar w:fldCharType="separate"/>
        </w:r>
        <w:r>
          <w:rPr>
            <w:noProof/>
            <w:webHidden/>
          </w:rPr>
          <w:t>6</w:t>
        </w:r>
        <w:r>
          <w:rPr>
            <w:noProof/>
            <w:webHidden/>
          </w:rPr>
          <w:fldChar w:fldCharType="end"/>
        </w:r>
      </w:hyperlink>
    </w:p>
    <w:p w14:paraId="48FF4B23" w14:textId="31040236"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3" w:history="1">
        <w:r w:rsidRPr="0069131A">
          <w:rPr>
            <w:rStyle w:val="Hyperlink"/>
            <w:noProof/>
          </w:rPr>
          <w:t>3</w:t>
        </w:r>
        <w:r>
          <w:rPr>
            <w:rFonts w:asciiTheme="minorHAnsi" w:eastAsiaTheme="minorEastAsia" w:hAnsiTheme="minorHAnsi" w:cstheme="minorBidi"/>
            <w:b w:val="0"/>
            <w:caps w:val="0"/>
            <w:noProof/>
            <w:kern w:val="2"/>
            <w:sz w:val="24"/>
            <w14:ligatures w14:val="standardContextual"/>
          </w:rPr>
          <w:tab/>
        </w:r>
        <w:r w:rsidRPr="0069131A">
          <w:rPr>
            <w:rStyle w:val="Hyperlink"/>
            <w:noProof/>
          </w:rPr>
          <w:t>Coexistence and compatibility scenarios</w:t>
        </w:r>
        <w:r>
          <w:rPr>
            <w:noProof/>
            <w:webHidden/>
          </w:rPr>
          <w:tab/>
        </w:r>
        <w:r>
          <w:rPr>
            <w:noProof/>
            <w:webHidden/>
          </w:rPr>
          <w:fldChar w:fldCharType="begin"/>
        </w:r>
        <w:r>
          <w:rPr>
            <w:noProof/>
            <w:webHidden/>
          </w:rPr>
          <w:instrText xml:space="preserve"> PAGEREF _Toc230360703 \h </w:instrText>
        </w:r>
        <w:r>
          <w:rPr>
            <w:noProof/>
            <w:webHidden/>
          </w:rPr>
        </w:r>
        <w:r>
          <w:rPr>
            <w:noProof/>
            <w:webHidden/>
          </w:rPr>
          <w:fldChar w:fldCharType="separate"/>
        </w:r>
        <w:r>
          <w:rPr>
            <w:noProof/>
            <w:webHidden/>
          </w:rPr>
          <w:t>7</w:t>
        </w:r>
        <w:r>
          <w:rPr>
            <w:noProof/>
            <w:webHidden/>
          </w:rPr>
          <w:fldChar w:fldCharType="end"/>
        </w:r>
      </w:hyperlink>
    </w:p>
    <w:p w14:paraId="04F258FB" w14:textId="7984C2B0"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4" w:history="1">
        <w:r w:rsidRPr="0069131A">
          <w:rPr>
            <w:rStyle w:val="Hyperlink"/>
            <w:noProof/>
          </w:rPr>
          <w:t>4</w:t>
        </w:r>
        <w:r>
          <w:rPr>
            <w:rFonts w:asciiTheme="minorHAnsi" w:eastAsiaTheme="minorEastAsia" w:hAnsiTheme="minorHAnsi" w:cstheme="minorBidi"/>
            <w:b w:val="0"/>
            <w:caps w:val="0"/>
            <w:noProof/>
            <w:kern w:val="2"/>
            <w:sz w:val="24"/>
            <w14:ligatures w14:val="standardContextual"/>
          </w:rPr>
          <w:tab/>
        </w:r>
        <w:r w:rsidRPr="0069131A">
          <w:rPr>
            <w:rStyle w:val="Hyperlink"/>
            <w:noProof/>
          </w:rPr>
          <w:t>Conclusions</w:t>
        </w:r>
        <w:r>
          <w:rPr>
            <w:noProof/>
            <w:webHidden/>
          </w:rPr>
          <w:tab/>
        </w:r>
        <w:r>
          <w:rPr>
            <w:noProof/>
            <w:webHidden/>
          </w:rPr>
          <w:fldChar w:fldCharType="begin"/>
        </w:r>
        <w:r>
          <w:rPr>
            <w:noProof/>
            <w:webHidden/>
          </w:rPr>
          <w:instrText xml:space="preserve"> PAGEREF _Toc230360704 \h </w:instrText>
        </w:r>
        <w:r>
          <w:rPr>
            <w:noProof/>
            <w:webHidden/>
          </w:rPr>
        </w:r>
        <w:r>
          <w:rPr>
            <w:noProof/>
            <w:webHidden/>
          </w:rPr>
          <w:fldChar w:fldCharType="separate"/>
        </w:r>
        <w:r>
          <w:rPr>
            <w:noProof/>
            <w:webHidden/>
          </w:rPr>
          <w:t>8</w:t>
        </w:r>
        <w:r>
          <w:rPr>
            <w:noProof/>
            <w:webHidden/>
          </w:rPr>
          <w:fldChar w:fldCharType="end"/>
        </w:r>
      </w:hyperlink>
    </w:p>
    <w:p w14:paraId="604C51CD" w14:textId="780B82DF"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5" w:history="1">
        <w:r w:rsidRPr="0069131A">
          <w:rPr>
            <w:rStyle w:val="Hyperlink"/>
            <w:noProof/>
          </w:rPr>
          <w:t>ANNEX 1: Link Budget for FDD bands 700 to 2600 mhz (example 1)</w:t>
        </w:r>
        <w:r>
          <w:rPr>
            <w:noProof/>
            <w:webHidden/>
          </w:rPr>
          <w:tab/>
        </w:r>
        <w:r>
          <w:rPr>
            <w:noProof/>
            <w:webHidden/>
          </w:rPr>
          <w:fldChar w:fldCharType="begin"/>
        </w:r>
        <w:r>
          <w:rPr>
            <w:noProof/>
            <w:webHidden/>
          </w:rPr>
          <w:instrText xml:space="preserve"> PAGEREF _Toc230360705 \h </w:instrText>
        </w:r>
        <w:r>
          <w:rPr>
            <w:noProof/>
            <w:webHidden/>
          </w:rPr>
        </w:r>
        <w:r>
          <w:rPr>
            <w:noProof/>
            <w:webHidden/>
          </w:rPr>
          <w:fldChar w:fldCharType="separate"/>
        </w:r>
        <w:r>
          <w:rPr>
            <w:noProof/>
            <w:webHidden/>
          </w:rPr>
          <w:t>9</w:t>
        </w:r>
        <w:r>
          <w:rPr>
            <w:noProof/>
            <w:webHidden/>
          </w:rPr>
          <w:fldChar w:fldCharType="end"/>
        </w:r>
      </w:hyperlink>
    </w:p>
    <w:p w14:paraId="6AEAFD49" w14:textId="1D1BFDA0"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6" w:history="1">
        <w:r w:rsidRPr="0069131A">
          <w:rPr>
            <w:rStyle w:val="Hyperlink"/>
            <w:noProof/>
          </w:rPr>
          <w:t>ANNEX 2: Link Budget for fdd BANDS FROM 700 to 2600 mhz AND 3600 MHZ tdd band (example 2)</w:t>
        </w:r>
        <w:r>
          <w:rPr>
            <w:noProof/>
            <w:webHidden/>
          </w:rPr>
          <w:tab/>
        </w:r>
        <w:r>
          <w:rPr>
            <w:noProof/>
            <w:webHidden/>
          </w:rPr>
          <w:fldChar w:fldCharType="begin"/>
        </w:r>
        <w:r>
          <w:rPr>
            <w:noProof/>
            <w:webHidden/>
          </w:rPr>
          <w:instrText xml:space="preserve"> PAGEREF _Toc230360706 \h </w:instrText>
        </w:r>
        <w:r>
          <w:rPr>
            <w:noProof/>
            <w:webHidden/>
          </w:rPr>
        </w:r>
        <w:r>
          <w:rPr>
            <w:noProof/>
            <w:webHidden/>
          </w:rPr>
          <w:fldChar w:fldCharType="separate"/>
        </w:r>
        <w:r>
          <w:rPr>
            <w:noProof/>
            <w:webHidden/>
          </w:rPr>
          <w:t>12</w:t>
        </w:r>
        <w:r>
          <w:rPr>
            <w:noProof/>
            <w:webHidden/>
          </w:rPr>
          <w:fldChar w:fldCharType="end"/>
        </w:r>
      </w:hyperlink>
    </w:p>
    <w:p w14:paraId="5403D53A" w14:textId="34513C4E"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7" w:history="1">
        <w:r w:rsidRPr="0069131A">
          <w:rPr>
            <w:rStyle w:val="Hyperlink"/>
            <w:noProof/>
          </w:rPr>
          <w:t>ANNEX 3:</w:t>
        </w:r>
        <w:r w:rsidRPr="0069131A">
          <w:rPr>
            <w:rStyle w:val="Hyperlink"/>
            <w:rFonts w:eastAsiaTheme="minorHAnsi"/>
            <w:noProof/>
            <w:lang w:val="fr-FR" w:eastAsia="fr-FR"/>
          </w:rPr>
          <w:t xml:space="preserve"> </w:t>
        </w:r>
        <w:r w:rsidRPr="0069131A">
          <w:rPr>
            <w:rStyle w:val="Hyperlink"/>
            <w:noProof/>
          </w:rPr>
          <w:t>EC Mandate</w:t>
        </w:r>
        <w:r>
          <w:rPr>
            <w:noProof/>
            <w:webHidden/>
          </w:rPr>
          <w:tab/>
        </w:r>
        <w:r>
          <w:rPr>
            <w:noProof/>
            <w:webHidden/>
          </w:rPr>
          <w:fldChar w:fldCharType="begin"/>
        </w:r>
        <w:r>
          <w:rPr>
            <w:noProof/>
            <w:webHidden/>
          </w:rPr>
          <w:instrText xml:space="preserve"> PAGEREF _Toc230360707 \h </w:instrText>
        </w:r>
        <w:r>
          <w:rPr>
            <w:noProof/>
            <w:webHidden/>
          </w:rPr>
        </w:r>
        <w:r>
          <w:rPr>
            <w:noProof/>
            <w:webHidden/>
          </w:rPr>
          <w:fldChar w:fldCharType="separate"/>
        </w:r>
        <w:r>
          <w:rPr>
            <w:noProof/>
            <w:webHidden/>
          </w:rPr>
          <w:t>16</w:t>
        </w:r>
        <w:r>
          <w:rPr>
            <w:noProof/>
            <w:webHidden/>
          </w:rPr>
          <w:fldChar w:fldCharType="end"/>
        </w:r>
      </w:hyperlink>
    </w:p>
    <w:p w14:paraId="3217E7B7" w14:textId="64B6BA3F" w:rsidR="00E85EF2" w:rsidRDefault="00E85EF2">
      <w:pPr>
        <w:pStyle w:val="TOC1"/>
        <w:rPr>
          <w:rFonts w:asciiTheme="minorHAnsi" w:eastAsiaTheme="minorEastAsia" w:hAnsiTheme="minorHAnsi" w:cstheme="minorBidi"/>
          <w:b w:val="0"/>
          <w:caps w:val="0"/>
          <w:noProof/>
          <w:kern w:val="2"/>
          <w:sz w:val="24"/>
          <w14:ligatures w14:val="standardContextual"/>
        </w:rPr>
      </w:pPr>
      <w:hyperlink w:anchor="_Toc230360708" w:history="1">
        <w:r w:rsidRPr="0069131A">
          <w:rPr>
            <w:rStyle w:val="Hyperlink"/>
            <w:noProof/>
            <w:lang w:val="en-IE"/>
          </w:rPr>
          <w:t>ANNEX 4: List of References</w:t>
        </w:r>
        <w:r>
          <w:rPr>
            <w:noProof/>
            <w:webHidden/>
          </w:rPr>
          <w:tab/>
        </w:r>
        <w:r>
          <w:rPr>
            <w:noProof/>
            <w:webHidden/>
          </w:rPr>
          <w:fldChar w:fldCharType="begin"/>
        </w:r>
        <w:r>
          <w:rPr>
            <w:noProof/>
            <w:webHidden/>
          </w:rPr>
          <w:instrText xml:space="preserve"> PAGEREF _Toc230360708 \h </w:instrText>
        </w:r>
        <w:r>
          <w:rPr>
            <w:noProof/>
            <w:webHidden/>
          </w:rPr>
        </w:r>
        <w:r>
          <w:rPr>
            <w:noProof/>
            <w:webHidden/>
          </w:rPr>
          <w:fldChar w:fldCharType="separate"/>
        </w:r>
        <w:r>
          <w:rPr>
            <w:noProof/>
            <w:webHidden/>
          </w:rPr>
          <w:t>23</w:t>
        </w:r>
        <w:r>
          <w:rPr>
            <w:noProof/>
            <w:webHidden/>
          </w:rPr>
          <w:fldChar w:fldCharType="end"/>
        </w:r>
      </w:hyperlink>
    </w:p>
    <w:p w14:paraId="1B2B3580" w14:textId="5A21228F" w:rsidR="00AB46DF" w:rsidRPr="00903D26" w:rsidRDefault="003C3EE4" w:rsidP="00AB46DF">
      <w:pPr>
        <w:rPr>
          <w:lang w:val="en-GB"/>
        </w:rPr>
      </w:pPr>
      <w:r w:rsidRPr="00737D5F">
        <w:rPr>
          <w:caps/>
          <w:lang w:val="en-GB"/>
        </w:rPr>
        <w:fldChar w:fldCharType="end"/>
      </w:r>
    </w:p>
    <w:p w14:paraId="63B02D77" w14:textId="43D3BDAE" w:rsidR="00AB46DF" w:rsidRPr="00903D26" w:rsidRDefault="003C3EE4" w:rsidP="00AB46DF">
      <w:pPr>
        <w:rPr>
          <w:lang w:val="en-GB"/>
        </w:rPr>
      </w:pPr>
      <w:r w:rsidRPr="00903D26">
        <w:rPr>
          <w:lang w:val="en-GB"/>
        </w:rPr>
        <w:br w:type="page"/>
      </w:r>
    </w:p>
    <w:p w14:paraId="78CD1062" w14:textId="0844840C" w:rsidR="00AB46DF" w:rsidRPr="00143BED" w:rsidRDefault="00DB0551" w:rsidP="00AB46DF">
      <w:pPr>
        <w:rPr>
          <w:b/>
          <w:color w:val="FFFFFF"/>
          <w:szCs w:val="20"/>
          <w:lang w:val="en-GB"/>
        </w:rPr>
      </w:pPr>
      <w:r w:rsidRPr="00143BED">
        <w:rPr>
          <w:b/>
          <w:noProof/>
          <w:color w:val="FFFFFF"/>
          <w:szCs w:val="20"/>
          <w:lang w:val="en-GB" w:eastAsia="da-DK"/>
        </w:rPr>
        <w:lastRenderedPageBreak/>
        <mc:AlternateContent>
          <mc:Choice Requires="wps">
            <w:drawing>
              <wp:anchor distT="0" distB="0" distL="114300" distR="114300" simplePos="0" relativeHeight="251658242" behindDoc="1" locked="0" layoutInCell="1" allowOverlap="1" wp14:anchorId="7E3B5326" wp14:editId="449879B3">
                <wp:simplePos x="0" y="0"/>
                <wp:positionH relativeFrom="page">
                  <wp:posOffset>20502</wp:posOffset>
                </wp:positionH>
                <wp:positionV relativeFrom="page">
                  <wp:posOffset>916759</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3986ED" id="Rectangle 22" o:spid="_x0000_s1026" style="position:absolute;margin-left:1.6pt;margin-top:72.2pt;width:595.3pt;height:56.7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" fillcolor="#b0a696" stroked="f">
                <w10:wrap anchorx="page" anchory="page"/>
              </v:rect>
            </w:pict>
          </mc:Fallback>
        </mc:AlternateContent>
      </w:r>
    </w:p>
    <w:p w14:paraId="6DFA7DDA" w14:textId="77777777" w:rsidR="00D20E3B" w:rsidRPr="00143BED" w:rsidRDefault="00D20E3B" w:rsidP="00AB46DF">
      <w:pPr>
        <w:rPr>
          <w:b/>
          <w:color w:val="FFFFFF"/>
          <w:szCs w:val="20"/>
          <w:lang w:val="en-GB"/>
        </w:rPr>
      </w:pPr>
    </w:p>
    <w:p w14:paraId="3DBB16F2" w14:textId="5ACD1251" w:rsidR="00AB46DF" w:rsidRPr="00143BED" w:rsidRDefault="003C3EE4" w:rsidP="00AB46DF">
      <w:pPr>
        <w:rPr>
          <w:b/>
          <w:color w:val="FFFFFF"/>
          <w:szCs w:val="20"/>
          <w:lang w:val="en-GB"/>
        </w:rPr>
      </w:pPr>
      <w:r w:rsidRPr="00143BED">
        <w:rPr>
          <w:b/>
          <w:color w:val="FFFFFF"/>
          <w:szCs w:val="20"/>
          <w:lang w:val="en-GB"/>
        </w:rPr>
        <w:t>LIST OF ABBREVIATIONS</w:t>
      </w:r>
    </w:p>
    <w:p w14:paraId="4D6C1A67" w14:textId="77777777" w:rsidR="00AB46DF" w:rsidRPr="00143BED" w:rsidRDefault="00AB46DF" w:rsidP="00AB46DF">
      <w:pPr>
        <w:rPr>
          <w:b/>
          <w:color w:val="FFFFFF"/>
          <w:szCs w:val="20"/>
          <w:lang w:val="en-GB"/>
        </w:rPr>
      </w:pPr>
    </w:p>
    <w:p w14:paraId="473DCF1D" w14:textId="77777777" w:rsidR="00AB46DF" w:rsidRPr="00143BED" w:rsidRDefault="00AB46DF" w:rsidP="00AB46DF">
      <w:pPr>
        <w:rPr>
          <w:b/>
          <w:color w:val="FFFFFF"/>
          <w:szCs w:val="20"/>
          <w:lang w:val="en-GB"/>
        </w:rPr>
      </w:pPr>
    </w:p>
    <w:p w14:paraId="293F6261" w14:textId="77777777" w:rsidR="00AB46DF" w:rsidRPr="00143BED" w:rsidRDefault="00AB46DF" w:rsidP="00AB46DF">
      <w:pPr>
        <w:rPr>
          <w:lang w:val="en-GB"/>
        </w:rPr>
      </w:pPr>
    </w:p>
    <w:p w14:paraId="7FADEAB7" w14:textId="77777777" w:rsidR="00AB46DF" w:rsidRPr="00143BED" w:rsidRDefault="00AB46DF" w:rsidP="00AB46DF">
      <w:pPr>
        <w:rPr>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212"/>
        <w:gridCol w:w="7564"/>
      </w:tblGrid>
      <w:tr w:rsidR="00AB46DF" w:rsidRPr="00143BED" w14:paraId="21C0EB30" w14:textId="77777777" w:rsidTr="0046339B">
        <w:trPr>
          <w:trHeight w:val="76"/>
        </w:trPr>
        <w:tc>
          <w:tcPr>
            <w:tcW w:w="2212" w:type="dxa"/>
          </w:tcPr>
          <w:p w14:paraId="4E12799F" w14:textId="77777777" w:rsidR="00AB46DF" w:rsidRPr="00143BED" w:rsidRDefault="003C3EE4" w:rsidP="00143BED">
            <w:pPr>
              <w:spacing w:before="60" w:after="60" w:line="288" w:lineRule="auto"/>
              <w:rPr>
                <w:b/>
                <w:color w:val="D2232A"/>
                <w:lang w:val="en-GB"/>
              </w:rPr>
            </w:pPr>
            <w:r w:rsidRPr="00143BED">
              <w:rPr>
                <w:b/>
                <w:color w:val="D2232A"/>
                <w:lang w:val="en-GB"/>
              </w:rPr>
              <w:t>Abbreviation</w:t>
            </w:r>
          </w:p>
        </w:tc>
        <w:tc>
          <w:tcPr>
            <w:tcW w:w="7564" w:type="dxa"/>
          </w:tcPr>
          <w:p w14:paraId="35D0AE71" w14:textId="3F38A50A" w:rsidR="00AB46DF" w:rsidRPr="00143BED" w:rsidRDefault="003C3EE4" w:rsidP="00143BED">
            <w:pPr>
              <w:spacing w:before="60" w:after="60" w:line="288" w:lineRule="auto"/>
              <w:rPr>
                <w:b/>
                <w:color w:val="D2232A"/>
                <w:lang w:val="en-GB"/>
              </w:rPr>
            </w:pPr>
            <w:r w:rsidRPr="00143BED">
              <w:rPr>
                <w:b/>
                <w:color w:val="D2232A"/>
                <w:lang w:val="en-GB"/>
              </w:rPr>
              <w:t>Explanation</w:t>
            </w:r>
          </w:p>
        </w:tc>
      </w:tr>
      <w:tr w:rsidR="007C099D" w:rsidRPr="00143BED" w14:paraId="2899F0BB" w14:textId="77777777" w:rsidTr="0046339B">
        <w:tc>
          <w:tcPr>
            <w:tcW w:w="2212" w:type="dxa"/>
          </w:tcPr>
          <w:p w14:paraId="010B4484" w14:textId="6EF2E16C" w:rsidR="007C099D" w:rsidRPr="00143BED" w:rsidRDefault="007C099D" w:rsidP="007C099D">
            <w:pPr>
              <w:spacing w:before="60" w:after="60" w:line="288" w:lineRule="auto"/>
              <w:rPr>
                <w:b/>
                <w:lang w:val="en-GB"/>
              </w:rPr>
            </w:pPr>
            <w:r w:rsidRPr="00DB1262">
              <w:rPr>
                <w:b/>
                <w:lang w:val="en-GB"/>
              </w:rPr>
              <w:t>CEPT</w:t>
            </w:r>
          </w:p>
        </w:tc>
        <w:tc>
          <w:tcPr>
            <w:tcW w:w="7564" w:type="dxa"/>
          </w:tcPr>
          <w:p w14:paraId="285038A6" w14:textId="15BAD3DA" w:rsidR="007C099D" w:rsidRPr="00143BED" w:rsidRDefault="007C099D" w:rsidP="007C099D">
            <w:pPr>
              <w:spacing w:before="60" w:after="60" w:line="288" w:lineRule="auto"/>
              <w:rPr>
                <w:szCs w:val="20"/>
                <w:lang w:val="en-GB"/>
              </w:rPr>
            </w:pPr>
            <w:r w:rsidRPr="00CA4F71">
              <w:t>European Conference of Postal and Telecommunications Administrations</w:t>
            </w:r>
          </w:p>
        </w:tc>
      </w:tr>
      <w:tr w:rsidR="007C099D" w:rsidRPr="00143BED" w14:paraId="1020421C" w14:textId="77777777" w:rsidTr="0046339B">
        <w:tc>
          <w:tcPr>
            <w:tcW w:w="2212" w:type="dxa"/>
          </w:tcPr>
          <w:p w14:paraId="34B4EC4C" w14:textId="212EE79B" w:rsidR="007C099D" w:rsidRPr="00143BED" w:rsidRDefault="007C099D" w:rsidP="007C099D">
            <w:pPr>
              <w:spacing w:before="60" w:after="60" w:line="288" w:lineRule="auto"/>
              <w:rPr>
                <w:b/>
                <w:lang w:val="en-GB"/>
              </w:rPr>
            </w:pPr>
            <w:r w:rsidRPr="00DB1262">
              <w:rPr>
                <w:b/>
                <w:lang w:val="en-GB"/>
              </w:rPr>
              <w:t>D2D-IMT</w:t>
            </w:r>
          </w:p>
        </w:tc>
        <w:tc>
          <w:tcPr>
            <w:tcW w:w="7564" w:type="dxa"/>
          </w:tcPr>
          <w:p w14:paraId="1BD9DDD7" w14:textId="57C97A64" w:rsidR="007C099D" w:rsidRPr="00737D5F" w:rsidRDefault="007C099D" w:rsidP="007C099D">
            <w:pPr>
              <w:pStyle w:val="ECCParagraph"/>
              <w:spacing w:before="60" w:line="288" w:lineRule="auto"/>
              <w:jc w:val="left"/>
              <w:rPr>
                <w:szCs w:val="20"/>
              </w:rPr>
            </w:pPr>
            <w:r w:rsidRPr="00CA4F71">
              <w:t xml:space="preserve">Direct-to-Device-IMT </w:t>
            </w:r>
          </w:p>
        </w:tc>
      </w:tr>
      <w:tr w:rsidR="007C099D" w:rsidRPr="00143BED" w14:paraId="36003713" w14:textId="77777777" w:rsidTr="0046339B">
        <w:tc>
          <w:tcPr>
            <w:tcW w:w="2212" w:type="dxa"/>
          </w:tcPr>
          <w:p w14:paraId="4094E275" w14:textId="4B44A81E" w:rsidR="007C099D" w:rsidRPr="00143BED" w:rsidRDefault="007C099D" w:rsidP="007C099D">
            <w:pPr>
              <w:spacing w:before="60" w:after="60" w:line="288" w:lineRule="auto"/>
              <w:rPr>
                <w:b/>
                <w:lang w:val="en-GB"/>
              </w:rPr>
            </w:pPr>
            <w:r w:rsidRPr="00DB1262">
              <w:rPr>
                <w:b/>
                <w:lang w:val="en-GB"/>
              </w:rPr>
              <w:t>EC</w:t>
            </w:r>
          </w:p>
        </w:tc>
        <w:tc>
          <w:tcPr>
            <w:tcW w:w="7564" w:type="dxa"/>
          </w:tcPr>
          <w:p w14:paraId="2AC08021" w14:textId="2322D398" w:rsidR="007C099D" w:rsidRPr="00737D5F" w:rsidRDefault="007C099D" w:rsidP="007C099D">
            <w:pPr>
              <w:pStyle w:val="ECCParagraph"/>
              <w:spacing w:before="60" w:line="288" w:lineRule="auto"/>
              <w:jc w:val="left"/>
            </w:pPr>
            <w:r w:rsidRPr="00CA4F71">
              <w:t xml:space="preserve">European Commission </w:t>
            </w:r>
          </w:p>
        </w:tc>
      </w:tr>
      <w:tr w:rsidR="0066071E" w:rsidRPr="00143BED" w14:paraId="7D958E92" w14:textId="77777777" w:rsidTr="0046339B">
        <w:tc>
          <w:tcPr>
            <w:tcW w:w="2212" w:type="dxa"/>
          </w:tcPr>
          <w:p w14:paraId="414D9983" w14:textId="36E7EB00" w:rsidR="0066071E" w:rsidRPr="00143BED" w:rsidRDefault="0066071E" w:rsidP="0066071E">
            <w:pPr>
              <w:spacing w:before="60" w:after="60" w:line="288" w:lineRule="auto"/>
              <w:rPr>
                <w:b/>
                <w:lang w:val="en-GB"/>
              </w:rPr>
            </w:pPr>
            <w:r w:rsidRPr="00043CE4">
              <w:rPr>
                <w:b/>
                <w:lang w:val="en-GB"/>
              </w:rPr>
              <w:t>ECC</w:t>
            </w:r>
          </w:p>
        </w:tc>
        <w:tc>
          <w:tcPr>
            <w:tcW w:w="7564" w:type="dxa"/>
          </w:tcPr>
          <w:p w14:paraId="5907069D" w14:textId="7A2F3B4F" w:rsidR="0066071E" w:rsidRPr="00737D5F" w:rsidRDefault="0066071E" w:rsidP="0066071E">
            <w:pPr>
              <w:pStyle w:val="ECCParagraph"/>
              <w:spacing w:before="60" w:line="288" w:lineRule="auto"/>
              <w:jc w:val="left"/>
              <w:rPr>
                <w:color w:val="000000"/>
              </w:rPr>
            </w:pPr>
            <w:r w:rsidRPr="00043CE4">
              <w:t>Electronic Communications Committee</w:t>
            </w:r>
          </w:p>
        </w:tc>
      </w:tr>
      <w:tr w:rsidR="0066071E" w:rsidRPr="00143BED" w14:paraId="572C84FB" w14:textId="77777777" w:rsidTr="0046339B">
        <w:tc>
          <w:tcPr>
            <w:tcW w:w="2212" w:type="dxa"/>
          </w:tcPr>
          <w:p w14:paraId="6D8B7990" w14:textId="01033D84" w:rsidR="0066071E" w:rsidRPr="00143BED" w:rsidRDefault="0066071E" w:rsidP="0066071E">
            <w:pPr>
              <w:spacing w:before="60" w:after="60" w:line="288" w:lineRule="auto"/>
              <w:rPr>
                <w:b/>
                <w:lang w:val="en-GB"/>
              </w:rPr>
            </w:pPr>
            <w:r>
              <w:rPr>
                <w:b/>
                <w:lang w:val="en-GB"/>
              </w:rPr>
              <w:t>EEZ</w:t>
            </w:r>
          </w:p>
        </w:tc>
        <w:tc>
          <w:tcPr>
            <w:tcW w:w="7564" w:type="dxa"/>
          </w:tcPr>
          <w:p w14:paraId="1AC37357" w14:textId="745B8F25" w:rsidR="0066071E" w:rsidRPr="00143BED" w:rsidRDefault="0066071E" w:rsidP="0066071E">
            <w:pPr>
              <w:spacing w:before="60" w:after="60" w:line="288" w:lineRule="auto"/>
              <w:rPr>
                <w:lang w:val="en-GB"/>
              </w:rPr>
            </w:pPr>
            <w:r w:rsidRPr="00BE4C56">
              <w:t>Exclusive Economic Zones</w:t>
            </w:r>
          </w:p>
        </w:tc>
      </w:tr>
      <w:tr w:rsidR="0066071E" w:rsidRPr="00143BED" w14:paraId="521EFA71" w14:textId="77777777" w:rsidTr="0046339B">
        <w:tc>
          <w:tcPr>
            <w:tcW w:w="2212" w:type="dxa"/>
          </w:tcPr>
          <w:p w14:paraId="61F669BF" w14:textId="778F865C" w:rsidR="0066071E" w:rsidRPr="0046339B" w:rsidRDefault="0066071E" w:rsidP="0066071E">
            <w:pPr>
              <w:spacing w:before="60" w:after="60" w:line="288" w:lineRule="auto"/>
              <w:rPr>
                <w:b/>
                <w:i/>
                <w:iCs/>
                <w:lang w:val="en-GB"/>
              </w:rPr>
            </w:pPr>
            <w:r w:rsidRPr="0046339B">
              <w:rPr>
                <w:b/>
                <w:i/>
                <w:iCs/>
                <w:lang w:val="en-GB"/>
              </w:rPr>
              <w:t>e.i.r.p.</w:t>
            </w:r>
          </w:p>
        </w:tc>
        <w:tc>
          <w:tcPr>
            <w:tcW w:w="7564" w:type="dxa"/>
          </w:tcPr>
          <w:p w14:paraId="4543B90D" w14:textId="58226FD5" w:rsidR="0066071E" w:rsidRPr="00143BED" w:rsidRDefault="0066071E" w:rsidP="0066071E">
            <w:pPr>
              <w:spacing w:before="60" w:after="60" w:line="288" w:lineRule="auto"/>
              <w:rPr>
                <w:lang w:val="en-GB"/>
              </w:rPr>
            </w:pPr>
            <w:r w:rsidRPr="00043CE4">
              <w:t>Effective isotropic radiated power</w:t>
            </w:r>
          </w:p>
        </w:tc>
      </w:tr>
      <w:tr w:rsidR="0066071E" w:rsidRPr="00143BED" w14:paraId="7A5F0026" w14:textId="77777777" w:rsidTr="0046339B">
        <w:tc>
          <w:tcPr>
            <w:tcW w:w="2212" w:type="dxa"/>
          </w:tcPr>
          <w:p w14:paraId="097AAF46" w14:textId="3C291452" w:rsidR="0066071E" w:rsidRPr="00143BED" w:rsidRDefault="0066071E" w:rsidP="0066071E">
            <w:pPr>
              <w:spacing w:before="60" w:after="60" w:line="288" w:lineRule="auto"/>
              <w:rPr>
                <w:b/>
                <w:lang w:val="en-GB"/>
              </w:rPr>
            </w:pPr>
            <w:r w:rsidRPr="00043CE4">
              <w:rPr>
                <w:b/>
                <w:lang w:val="en-GB"/>
              </w:rPr>
              <w:t>ETSI</w:t>
            </w:r>
          </w:p>
        </w:tc>
        <w:tc>
          <w:tcPr>
            <w:tcW w:w="7564" w:type="dxa"/>
          </w:tcPr>
          <w:p w14:paraId="42A2CB53" w14:textId="0EFD74BE" w:rsidR="0066071E" w:rsidRPr="00143BED" w:rsidRDefault="0066071E" w:rsidP="0066071E">
            <w:pPr>
              <w:spacing w:before="60" w:after="60" w:line="288" w:lineRule="auto"/>
              <w:rPr>
                <w:lang w:val="en-GB"/>
              </w:rPr>
            </w:pPr>
            <w:r w:rsidRPr="00043CE4">
              <w:t>European Telecommunications Standards Institute</w:t>
            </w:r>
          </w:p>
        </w:tc>
      </w:tr>
      <w:tr w:rsidR="0066071E" w:rsidRPr="00143BED" w14:paraId="17AB364B" w14:textId="77777777" w:rsidTr="0046339B">
        <w:tc>
          <w:tcPr>
            <w:tcW w:w="2212" w:type="dxa"/>
          </w:tcPr>
          <w:p w14:paraId="632DE1FB" w14:textId="2C746688" w:rsidR="0066071E" w:rsidRPr="00143BED" w:rsidRDefault="0066071E" w:rsidP="0066071E">
            <w:pPr>
              <w:spacing w:before="60" w:after="60" w:line="288" w:lineRule="auto"/>
              <w:rPr>
                <w:b/>
                <w:lang w:val="en-GB"/>
              </w:rPr>
            </w:pPr>
            <w:r w:rsidRPr="00043CE4">
              <w:rPr>
                <w:b/>
                <w:lang w:val="en-GB"/>
              </w:rPr>
              <w:t xml:space="preserve">EU </w:t>
            </w:r>
          </w:p>
        </w:tc>
        <w:tc>
          <w:tcPr>
            <w:tcW w:w="7564" w:type="dxa"/>
          </w:tcPr>
          <w:p w14:paraId="7243373E" w14:textId="088E2A27" w:rsidR="0066071E" w:rsidRPr="00143BED" w:rsidRDefault="0066071E" w:rsidP="0066071E">
            <w:pPr>
              <w:spacing w:before="60" w:after="60" w:line="288" w:lineRule="auto"/>
              <w:rPr>
                <w:lang w:val="en-GB"/>
              </w:rPr>
            </w:pPr>
            <w:r w:rsidRPr="00043CE4">
              <w:t>European Union</w:t>
            </w:r>
          </w:p>
        </w:tc>
      </w:tr>
      <w:tr w:rsidR="0066071E" w:rsidRPr="00143BED" w14:paraId="70E31AD7" w14:textId="77777777" w:rsidTr="0046339B">
        <w:tc>
          <w:tcPr>
            <w:tcW w:w="2212" w:type="dxa"/>
          </w:tcPr>
          <w:p w14:paraId="122AC85B" w14:textId="50F3DD3A" w:rsidR="0066071E" w:rsidRPr="00143BED" w:rsidRDefault="0066071E" w:rsidP="0066071E">
            <w:pPr>
              <w:spacing w:before="60" w:after="60" w:line="288" w:lineRule="auto"/>
              <w:rPr>
                <w:b/>
                <w:lang w:val="en-GB"/>
              </w:rPr>
            </w:pPr>
            <w:r w:rsidRPr="00043CE4">
              <w:rPr>
                <w:b/>
                <w:lang w:val="en-GB"/>
              </w:rPr>
              <w:t>FSS</w:t>
            </w:r>
          </w:p>
        </w:tc>
        <w:tc>
          <w:tcPr>
            <w:tcW w:w="7564" w:type="dxa"/>
          </w:tcPr>
          <w:p w14:paraId="0E5513BE" w14:textId="367AE9B7" w:rsidR="0066071E" w:rsidRPr="00143BED" w:rsidRDefault="0066071E" w:rsidP="0066071E">
            <w:pPr>
              <w:spacing w:before="60" w:after="60" w:line="288" w:lineRule="auto"/>
              <w:rPr>
                <w:lang w:val="en-GB"/>
              </w:rPr>
            </w:pPr>
            <w:r w:rsidRPr="00043CE4">
              <w:t>Fixed-Satellite Service</w:t>
            </w:r>
          </w:p>
        </w:tc>
      </w:tr>
      <w:tr w:rsidR="0066071E" w:rsidRPr="00143BED" w14:paraId="1A0C9F57" w14:textId="77777777" w:rsidTr="0046339B">
        <w:tc>
          <w:tcPr>
            <w:tcW w:w="2212" w:type="dxa"/>
          </w:tcPr>
          <w:p w14:paraId="478F50F9" w14:textId="2464DDAF" w:rsidR="0066071E" w:rsidRPr="00143BED" w:rsidRDefault="0066071E" w:rsidP="0066071E">
            <w:pPr>
              <w:spacing w:before="60" w:after="60" w:line="288" w:lineRule="auto"/>
              <w:rPr>
                <w:b/>
                <w:lang w:val="en-GB"/>
              </w:rPr>
            </w:pPr>
            <w:r w:rsidRPr="00043CE4">
              <w:rPr>
                <w:b/>
                <w:lang w:val="en-GB"/>
              </w:rPr>
              <w:t>ITU-R</w:t>
            </w:r>
          </w:p>
        </w:tc>
        <w:tc>
          <w:tcPr>
            <w:tcW w:w="7564" w:type="dxa"/>
          </w:tcPr>
          <w:p w14:paraId="60222C5C" w14:textId="4C9951FF" w:rsidR="0066071E" w:rsidRPr="00143BED" w:rsidRDefault="0066071E" w:rsidP="0066071E">
            <w:pPr>
              <w:spacing w:before="60" w:after="60" w:line="288" w:lineRule="auto"/>
              <w:rPr>
                <w:lang w:val="en-GB"/>
              </w:rPr>
            </w:pPr>
            <w:r w:rsidRPr="00043CE4">
              <w:t>International Telecommunication Union, Radiocommunication Sector</w:t>
            </w:r>
          </w:p>
        </w:tc>
      </w:tr>
      <w:tr w:rsidR="0066071E" w:rsidRPr="00143BED" w14:paraId="277DB0B9" w14:textId="77777777" w:rsidTr="0046339B">
        <w:tc>
          <w:tcPr>
            <w:tcW w:w="2212" w:type="dxa"/>
          </w:tcPr>
          <w:p w14:paraId="205E0043" w14:textId="30EB9228" w:rsidR="0066071E" w:rsidRPr="00143BED" w:rsidRDefault="0066071E" w:rsidP="0066071E">
            <w:pPr>
              <w:spacing w:before="60" w:after="60" w:line="288" w:lineRule="auto"/>
              <w:rPr>
                <w:b/>
                <w:lang w:val="en-GB"/>
              </w:rPr>
            </w:pPr>
            <w:r w:rsidRPr="00043CE4">
              <w:rPr>
                <w:b/>
                <w:lang w:val="en-GB"/>
              </w:rPr>
              <w:t>OoB</w:t>
            </w:r>
          </w:p>
        </w:tc>
        <w:tc>
          <w:tcPr>
            <w:tcW w:w="7564" w:type="dxa"/>
          </w:tcPr>
          <w:p w14:paraId="513CE082" w14:textId="5852DF4C" w:rsidR="0066071E" w:rsidRPr="00143BED" w:rsidRDefault="0066071E" w:rsidP="0066071E">
            <w:pPr>
              <w:spacing w:before="60" w:after="60" w:line="288" w:lineRule="auto"/>
              <w:rPr>
                <w:lang w:val="en-GB"/>
              </w:rPr>
            </w:pPr>
            <w:r w:rsidRPr="00043CE4">
              <w:t>Out-of-band</w:t>
            </w:r>
          </w:p>
        </w:tc>
      </w:tr>
      <w:tr w:rsidR="0066071E" w:rsidRPr="00143BED" w14:paraId="3917E92C" w14:textId="77777777" w:rsidTr="0046339B">
        <w:tc>
          <w:tcPr>
            <w:tcW w:w="2212" w:type="dxa"/>
          </w:tcPr>
          <w:p w14:paraId="1ACFE12D" w14:textId="7E4D4D7C" w:rsidR="0066071E" w:rsidRPr="00143BED" w:rsidRDefault="0066071E" w:rsidP="0066071E">
            <w:pPr>
              <w:spacing w:before="60" w:after="60" w:line="288" w:lineRule="auto"/>
              <w:rPr>
                <w:b/>
                <w:lang w:val="en-GB"/>
              </w:rPr>
            </w:pPr>
            <w:r w:rsidRPr="004F0E08">
              <w:rPr>
                <w:b/>
                <w:lang w:val="en-GB"/>
              </w:rPr>
              <w:t>WBB ECS</w:t>
            </w:r>
          </w:p>
        </w:tc>
        <w:tc>
          <w:tcPr>
            <w:tcW w:w="7564" w:type="dxa"/>
          </w:tcPr>
          <w:p w14:paraId="33FE2D2D" w14:textId="76A276F2" w:rsidR="0066071E" w:rsidRPr="00143BED" w:rsidRDefault="0066071E" w:rsidP="0066071E">
            <w:pPr>
              <w:spacing w:before="60" w:after="60" w:line="288" w:lineRule="auto"/>
              <w:rPr>
                <w:lang w:val="en-GB"/>
              </w:rPr>
            </w:pPr>
            <w:r w:rsidRPr="004F0E08">
              <w:t>Wireless broadband electronic communications services</w:t>
            </w:r>
          </w:p>
        </w:tc>
      </w:tr>
    </w:tbl>
    <w:p w14:paraId="29959935" w14:textId="70FBCC1D" w:rsidR="00AB46DF" w:rsidRPr="00143BED" w:rsidRDefault="00AB46DF" w:rsidP="00AB46DF">
      <w:pPr>
        <w:rPr>
          <w:lang w:val="en-GB"/>
        </w:rPr>
      </w:pPr>
    </w:p>
    <w:p w14:paraId="6B235334" w14:textId="1B439253" w:rsidR="00AB46DF" w:rsidRPr="00737D5F" w:rsidRDefault="003C3EE4" w:rsidP="00AB46DF">
      <w:pPr>
        <w:pStyle w:val="Heading1"/>
      </w:pPr>
      <w:bookmarkStart w:id="3" w:name="_Toc230360701"/>
      <w:r w:rsidRPr="00737D5F">
        <w:lastRenderedPageBreak/>
        <w:t>Introduction</w:t>
      </w:r>
      <w:bookmarkEnd w:id="3"/>
    </w:p>
    <w:p w14:paraId="75451E6B" w14:textId="77777777" w:rsidR="005C2BB6" w:rsidRPr="00077115" w:rsidRDefault="005C2BB6" w:rsidP="005C2BB6">
      <w:pPr>
        <w:pStyle w:val="ECCParagraph"/>
      </w:pPr>
      <w:r w:rsidRPr="00146DB7">
        <w:t>The objective of th</w:t>
      </w:r>
      <w:r>
        <w:t>e</w:t>
      </w:r>
      <w:r w:rsidRPr="00146DB7">
        <w:t xml:space="preserve"> </w:t>
      </w:r>
      <w:r>
        <w:t>EC Mandate</w:t>
      </w:r>
      <w:r w:rsidRPr="00146DB7">
        <w:t xml:space="preserve"> is </w:t>
      </w:r>
      <w:r>
        <w:t>“</w:t>
      </w:r>
      <w:r w:rsidRPr="00BE4C56">
        <w:rPr>
          <w:i/>
          <w:iCs/>
        </w:rPr>
        <w:t>to study feasibility and develop harmonised technical conditions for the use of EU-harmonised frequency bands for the terrestrial provision of electronic communications services (ECS) also by satellite systems providing Direct-to-Device-IMT (D2D-IMT) connectivity. Such use should protect the continued use of those bands by terrestrial wireless systems providing ECS, as well as ensure appropriate protection or coexistence with other incumbent services in those bands and in adjacent bands, including across Member States’ borders and at the EU’s external border. Satellite systems providing D2D-IMT connectivity are intended to complement the coverage of terrestrial wireless systems providing ECS.</w:t>
      </w:r>
      <w:r>
        <w:t>”</w:t>
      </w:r>
    </w:p>
    <w:p w14:paraId="77ACD3A6" w14:textId="77777777" w:rsidR="005C2BB6" w:rsidRDefault="005C2BB6" w:rsidP="005C2BB6">
      <w:pPr>
        <w:pStyle w:val="ECCParagraph"/>
      </w:pPr>
      <w:r>
        <w:t xml:space="preserve">This Report addresses task 1 of the EC mandate: </w:t>
      </w:r>
    </w:p>
    <w:p w14:paraId="3C406CFC" w14:textId="77777777" w:rsidR="005C2BB6" w:rsidRPr="00D44112" w:rsidRDefault="005C2BB6" w:rsidP="005C2BB6">
      <w:pPr>
        <w:pStyle w:val="ECCParagraph"/>
        <w:rPr>
          <w:bCs/>
        </w:rPr>
      </w:pPr>
      <w:r>
        <w:rPr>
          <w:bCs/>
        </w:rPr>
        <w:t>“</w:t>
      </w:r>
      <w:r w:rsidRPr="00D44112">
        <w:rPr>
          <w:bCs/>
        </w:rPr>
        <w:t xml:space="preserve">Study and assess operational feasibility, coexistence and compatibility scenarios for the use of the following EU-harmonised frequency bands for terrestrial wireless systems capable of providing ECS: </w:t>
      </w:r>
    </w:p>
    <w:p w14:paraId="0EA1C5C2" w14:textId="77777777" w:rsidR="005C2BB6" w:rsidRPr="00D44112" w:rsidRDefault="005C2BB6" w:rsidP="000F6FC9">
      <w:pPr>
        <w:pStyle w:val="ECCBulletsLv1"/>
        <w:ind w:left="357" w:hanging="357"/>
      </w:pPr>
      <w:r w:rsidRPr="00D44112">
        <w:t xml:space="preserve">703-733 MHz/758-788 MHz (‘700 MHz’), 791–821 MHz/832-862 MHz (‘800 MHz'), 880-915 MHz/925-960 MHz (‘900 MHz’), 1427-1517 MHz (‘1.5 GHz’), 1710- 1785 MHz/1805-1880 MHz (‘1 800 MHz’), 1920-1980 MHz/2110-2170 MHz (‘paired terrestrial 2 GHz’), 2500-2690 MHz (‘2.6 GHz’), 3400-3 800 MHz (‘3.6 GHz’), 24.25- 27.5 GHz (‘26 GHz’), and 40.5-43.5 GHz (‘42 GHz’), </w:t>
      </w:r>
    </w:p>
    <w:p w14:paraId="6F2C5E84" w14:textId="3AF7BAFB" w:rsidR="005C2BB6" w:rsidRPr="00D44112" w:rsidRDefault="005C2BB6" w:rsidP="005C2BB6">
      <w:pPr>
        <w:pStyle w:val="ECCParagraph"/>
        <w:rPr>
          <w:bCs/>
        </w:rPr>
      </w:pPr>
      <w:r w:rsidRPr="00D44112">
        <w:rPr>
          <w:bCs/>
        </w:rPr>
        <w:t>by satellite systems capable of providing D2D-IMT connectivity, which ensure protection of (a) terrestrial wireless systems capable of providing ECS using these bands, and (b) other relevant</w:t>
      </w:r>
      <w:r w:rsidRPr="00D44112">
        <w:rPr>
          <w:bCs/>
          <w:vertAlign w:val="superscript"/>
        </w:rPr>
        <w:footnoteReference w:id="1"/>
      </w:r>
      <w:r w:rsidRPr="00D44112">
        <w:rPr>
          <w:bCs/>
        </w:rPr>
        <w:t xml:space="preserve"> existing (terrestrial and non-terrestrial) uses in these bands and in adjacent bands and their potential evolution, including across Member States’ borders and at the EU’s external border. Such satellite systems should further not claim protection by the systems and uses under (a) and (b). </w:t>
      </w:r>
    </w:p>
    <w:p w14:paraId="1432F341" w14:textId="77777777" w:rsidR="005C2BB6" w:rsidRPr="00F709CE" w:rsidRDefault="005C2BB6" w:rsidP="005C2BB6">
      <w:pPr>
        <w:pStyle w:val="ECCParagraph"/>
      </w:pPr>
      <w:r w:rsidRPr="00D44112">
        <w:rPr>
          <w:bCs/>
          <w:lang w:val="en-US"/>
        </w:rPr>
        <w:t>Identify those frequency bands among the above, for which the deployment of satellite D2D-IMT connectivity is feasible.</w:t>
      </w:r>
      <w:r>
        <w:rPr>
          <w:bCs/>
          <w:lang w:val="en-US"/>
        </w:rPr>
        <w:t>”</w:t>
      </w:r>
    </w:p>
    <w:p w14:paraId="2D78B8F0" w14:textId="6F1E93B9" w:rsidR="00AB46DF" w:rsidRDefault="00611BCC" w:rsidP="00AB46DF">
      <w:pPr>
        <w:pStyle w:val="Heading1"/>
      </w:pPr>
      <w:bookmarkStart w:id="4" w:name="_Toc230352057"/>
      <w:bookmarkStart w:id="5" w:name="_Toc230352869"/>
      <w:bookmarkStart w:id="6" w:name="_Toc230360702"/>
      <w:r>
        <w:lastRenderedPageBreak/>
        <w:t>Assessment</w:t>
      </w:r>
      <w:r w:rsidRPr="00043CE4" w:rsidDel="0073601A">
        <w:t xml:space="preserve"> </w:t>
      </w:r>
      <w:r>
        <w:t>of frequency bands</w:t>
      </w:r>
      <w:bookmarkEnd w:id="4"/>
      <w:bookmarkEnd w:id="5"/>
      <w:bookmarkEnd w:id="6"/>
      <w:r w:rsidR="003C3EE4" w:rsidRPr="00737D5F">
        <w:t xml:space="preserve"> </w:t>
      </w:r>
    </w:p>
    <w:p w14:paraId="320EED34" w14:textId="29CA7795" w:rsidR="00F4239C" w:rsidRDefault="00F4239C" w:rsidP="00F4239C">
      <w:pPr>
        <w:pStyle w:val="ECCParagraph"/>
      </w:pPr>
      <w:r>
        <w:t xml:space="preserve">CEPT identified varying level of interest and technology maturity in the frequency bands listed in task 1 of the EC Mandate, as indicated in </w:t>
      </w:r>
      <w:r>
        <w:fldChar w:fldCharType="begin"/>
      </w:r>
      <w:r>
        <w:instrText xml:space="preserve"> REF _Ref230359113 \h </w:instrText>
      </w:r>
      <w:r>
        <w:fldChar w:fldCharType="separate"/>
      </w:r>
      <w:r>
        <w:t xml:space="preserve">Table </w:t>
      </w:r>
      <w:r>
        <w:rPr>
          <w:noProof/>
        </w:rPr>
        <w:t>1</w:t>
      </w:r>
      <w:r>
        <w:fldChar w:fldCharType="end"/>
      </w:r>
      <w:r>
        <w:t>.</w:t>
      </w:r>
    </w:p>
    <w:p w14:paraId="01AEA35C" w14:textId="77777777" w:rsidR="00F4239C" w:rsidRDefault="00F4239C" w:rsidP="00F4239C">
      <w:pPr>
        <w:pStyle w:val="Caption"/>
      </w:pPr>
      <w:bookmarkStart w:id="7" w:name="_Ref230359113"/>
      <w:r>
        <w:t xml:space="preserve">Table </w:t>
      </w:r>
      <w:r>
        <w:fldChar w:fldCharType="begin"/>
      </w:r>
      <w:r>
        <w:instrText xml:space="preserve"> SEQ Table \* ARABIC </w:instrText>
      </w:r>
      <w:r>
        <w:fldChar w:fldCharType="separate"/>
      </w:r>
      <w:r>
        <w:rPr>
          <w:noProof/>
        </w:rPr>
        <w:t>1</w:t>
      </w:r>
      <w:r>
        <w:fldChar w:fldCharType="end"/>
      </w:r>
      <w:bookmarkEnd w:id="7"/>
    </w:p>
    <w:tbl>
      <w:tblPr>
        <w:tblStyle w:val="ECCTable-redheader"/>
        <w:tblW w:w="9634" w:type="dxa"/>
        <w:tblInd w:w="0" w:type="dxa"/>
        <w:tblLook w:val="04A0" w:firstRow="1" w:lastRow="0" w:firstColumn="1" w:lastColumn="0" w:noHBand="0" w:noVBand="1"/>
      </w:tblPr>
      <w:tblGrid>
        <w:gridCol w:w="988"/>
        <w:gridCol w:w="1701"/>
        <w:gridCol w:w="1701"/>
        <w:gridCol w:w="1701"/>
        <w:gridCol w:w="3543"/>
      </w:tblGrid>
      <w:tr w:rsidR="00F4239C" w:rsidRPr="00E92344" w14:paraId="1E343722" w14:textId="77777777" w:rsidTr="005E30F7">
        <w:trPr>
          <w:cnfStyle w:val="100000000000" w:firstRow="1" w:lastRow="0" w:firstColumn="0" w:lastColumn="0" w:oddVBand="0" w:evenVBand="0" w:oddHBand="0" w:evenHBand="0" w:firstRowFirstColumn="0" w:firstRowLastColumn="0" w:lastRowFirstColumn="0" w:lastRowLastColumn="0"/>
        </w:trPr>
        <w:tc>
          <w:tcPr>
            <w:tcW w:w="2689" w:type="dxa"/>
            <w:gridSpan w:val="2"/>
          </w:tcPr>
          <w:p w14:paraId="23BDAE21" w14:textId="77777777" w:rsidR="00F4239C" w:rsidRDefault="00F4239C" w:rsidP="005E30F7">
            <w:pPr>
              <w:rPr>
                <w:iCs/>
              </w:rPr>
            </w:pPr>
            <w:r w:rsidRPr="00E92344">
              <w:rPr>
                <w:iCs/>
              </w:rPr>
              <w:t>Band</w:t>
            </w:r>
          </w:p>
        </w:tc>
        <w:tc>
          <w:tcPr>
            <w:tcW w:w="1701" w:type="dxa"/>
          </w:tcPr>
          <w:p w14:paraId="3ECDFA30" w14:textId="77777777" w:rsidR="00F4239C" w:rsidRPr="00E92344" w:rsidRDefault="00F4239C" w:rsidP="005E30F7">
            <w:pPr>
              <w:rPr>
                <w:iCs/>
              </w:rPr>
            </w:pPr>
            <w:r>
              <w:rPr>
                <w:iCs/>
              </w:rPr>
              <w:t>Stakeholders’</w:t>
            </w:r>
            <w:r>
              <w:rPr>
                <w:iCs/>
              </w:rPr>
              <w:br/>
              <w:t>Interest</w:t>
            </w:r>
            <w:r>
              <w:rPr>
                <w:iCs/>
              </w:rPr>
              <w:br/>
              <w:t xml:space="preserve">for </w:t>
            </w:r>
            <w:r w:rsidRPr="00C13540">
              <w:rPr>
                <w:iCs/>
              </w:rPr>
              <w:t>D2D-IMT</w:t>
            </w:r>
          </w:p>
        </w:tc>
        <w:tc>
          <w:tcPr>
            <w:tcW w:w="1701" w:type="dxa"/>
          </w:tcPr>
          <w:p w14:paraId="517DC7C7" w14:textId="23B4F66B" w:rsidR="00F4239C" w:rsidRPr="00F65209" w:rsidRDefault="00F4239C" w:rsidP="0046339B">
            <w:pPr>
              <w:rPr>
                <w:b w:val="0"/>
                <w:i/>
                <w:iCs/>
              </w:rPr>
            </w:pPr>
            <w:r>
              <w:rPr>
                <w:iCs/>
              </w:rPr>
              <w:t xml:space="preserve">Link </w:t>
            </w:r>
            <w:r>
              <w:rPr>
                <w:iCs/>
              </w:rPr>
              <w:br/>
              <w:t>Budget</w:t>
            </w:r>
            <w:r>
              <w:rPr>
                <w:iCs/>
              </w:rPr>
              <w:br/>
              <w:t xml:space="preserve">Proposed (see </w:t>
            </w:r>
            <w:r w:rsidR="00E1474E">
              <w:fldChar w:fldCharType="begin"/>
            </w:r>
            <w:r w:rsidR="00E1474E">
              <w:instrText xml:space="preserve"> REF _Ref233271985 \r \h </w:instrText>
            </w:r>
            <w:r w:rsidR="00E1474E">
              <w:fldChar w:fldCharType="separate"/>
            </w:r>
            <w:r w:rsidR="00E1474E">
              <w:t>A</w:t>
            </w:r>
            <w:r w:rsidR="0046339B">
              <w:t>nnex</w:t>
            </w:r>
            <w:r w:rsidR="00E1474E">
              <w:t xml:space="preserve"> 1</w:t>
            </w:r>
            <w:r w:rsidR="00E1474E">
              <w:fldChar w:fldCharType="end"/>
            </w:r>
            <w:r w:rsidR="00E1474E">
              <w:t xml:space="preserve"> </w:t>
            </w:r>
            <w:r w:rsidR="0046339B">
              <w:t xml:space="preserve">and </w:t>
            </w:r>
            <w:r w:rsidR="00E1474E">
              <w:fldChar w:fldCharType="begin"/>
            </w:r>
            <w:r w:rsidR="00E1474E">
              <w:instrText xml:space="preserve"> REF _Ref233271987 \r \h </w:instrText>
            </w:r>
            <w:r w:rsidR="00E1474E">
              <w:fldChar w:fldCharType="separate"/>
            </w:r>
            <w:r w:rsidR="00E1474E">
              <w:t>A</w:t>
            </w:r>
            <w:r w:rsidR="0046339B">
              <w:t>nnex</w:t>
            </w:r>
            <w:r w:rsidR="00E1474E">
              <w:t xml:space="preserve"> 2</w:t>
            </w:r>
            <w:r w:rsidR="00E1474E">
              <w:fldChar w:fldCharType="end"/>
            </w:r>
            <w:r>
              <w:rPr>
                <w:iCs/>
              </w:rPr>
              <w:t>)</w:t>
            </w:r>
          </w:p>
        </w:tc>
        <w:tc>
          <w:tcPr>
            <w:tcW w:w="3543" w:type="dxa"/>
          </w:tcPr>
          <w:p w14:paraId="6165ECA4" w14:textId="77777777" w:rsidR="00F4239C" w:rsidRDefault="00F4239C" w:rsidP="005E30F7">
            <w:pPr>
              <w:rPr>
                <w:iCs/>
              </w:rPr>
            </w:pPr>
            <w:r w:rsidRPr="00215DF3">
              <w:rPr>
                <w:iCs/>
              </w:rPr>
              <w:t>Existing Technology or Future Evolution</w:t>
            </w:r>
          </w:p>
        </w:tc>
      </w:tr>
      <w:tr w:rsidR="00F4239C" w:rsidRPr="00E92344" w14:paraId="34E4B4F1" w14:textId="77777777" w:rsidTr="005E30F7">
        <w:tc>
          <w:tcPr>
            <w:tcW w:w="2689" w:type="dxa"/>
            <w:gridSpan w:val="2"/>
          </w:tcPr>
          <w:p w14:paraId="5433C7E0" w14:textId="77777777" w:rsidR="00F4239C" w:rsidRDefault="00F4239C" w:rsidP="005E30F7">
            <w:pPr>
              <w:pStyle w:val="ECCTabletext"/>
            </w:pPr>
            <w:r w:rsidRPr="00E92344">
              <w:t>700 MHz</w:t>
            </w:r>
          </w:p>
        </w:tc>
        <w:tc>
          <w:tcPr>
            <w:tcW w:w="1701" w:type="dxa"/>
          </w:tcPr>
          <w:p w14:paraId="6187C2E0" w14:textId="77777777" w:rsidR="00F4239C" w:rsidRPr="00E92344" w:rsidRDefault="00F4239C" w:rsidP="005E30F7">
            <w:pPr>
              <w:pStyle w:val="ECCTabletext"/>
            </w:pPr>
            <w:r>
              <w:t>Yes</w:t>
            </w:r>
          </w:p>
        </w:tc>
        <w:tc>
          <w:tcPr>
            <w:tcW w:w="1701" w:type="dxa"/>
          </w:tcPr>
          <w:p w14:paraId="304BF7CC" w14:textId="77777777" w:rsidR="00F4239C" w:rsidRPr="00E92344" w:rsidRDefault="00F4239C" w:rsidP="005E30F7">
            <w:pPr>
              <w:pStyle w:val="ECCTabletext"/>
            </w:pPr>
            <w:r>
              <w:t>Yes</w:t>
            </w:r>
          </w:p>
        </w:tc>
        <w:tc>
          <w:tcPr>
            <w:tcW w:w="3543" w:type="dxa"/>
          </w:tcPr>
          <w:p w14:paraId="6D6E2094" w14:textId="77777777" w:rsidR="00F4239C" w:rsidRPr="00E92344" w:rsidRDefault="00F4239C" w:rsidP="005E30F7">
            <w:pPr>
              <w:pStyle w:val="ECCTabletext"/>
            </w:pPr>
            <w:r>
              <w:t xml:space="preserve">Existing Technology </w:t>
            </w:r>
          </w:p>
        </w:tc>
      </w:tr>
      <w:tr w:rsidR="00F4239C" w:rsidRPr="00E92344" w14:paraId="64393016" w14:textId="77777777" w:rsidTr="005E30F7">
        <w:tc>
          <w:tcPr>
            <w:tcW w:w="2689" w:type="dxa"/>
            <w:gridSpan w:val="2"/>
          </w:tcPr>
          <w:p w14:paraId="44FE6009" w14:textId="77777777" w:rsidR="00F4239C" w:rsidRDefault="00F4239C" w:rsidP="005E30F7">
            <w:pPr>
              <w:pStyle w:val="ECCTabletext"/>
            </w:pPr>
            <w:r w:rsidRPr="00E92344">
              <w:t>800 MHz</w:t>
            </w:r>
          </w:p>
        </w:tc>
        <w:tc>
          <w:tcPr>
            <w:tcW w:w="1701" w:type="dxa"/>
          </w:tcPr>
          <w:p w14:paraId="6DB714FB" w14:textId="77777777" w:rsidR="00F4239C" w:rsidRPr="00E92344" w:rsidRDefault="00F4239C" w:rsidP="005E30F7">
            <w:pPr>
              <w:pStyle w:val="ECCTabletext"/>
            </w:pPr>
            <w:r>
              <w:t>Yes</w:t>
            </w:r>
          </w:p>
        </w:tc>
        <w:tc>
          <w:tcPr>
            <w:tcW w:w="1701" w:type="dxa"/>
          </w:tcPr>
          <w:p w14:paraId="23ACC79D" w14:textId="77777777" w:rsidR="00F4239C" w:rsidRPr="00E92344" w:rsidRDefault="00F4239C" w:rsidP="005E30F7">
            <w:pPr>
              <w:pStyle w:val="ECCTabletext"/>
            </w:pPr>
            <w:r>
              <w:t>Yes</w:t>
            </w:r>
          </w:p>
        </w:tc>
        <w:tc>
          <w:tcPr>
            <w:tcW w:w="3543" w:type="dxa"/>
          </w:tcPr>
          <w:p w14:paraId="36729133" w14:textId="77777777" w:rsidR="00F4239C" w:rsidRPr="00E92344" w:rsidRDefault="00F4239C" w:rsidP="005E30F7">
            <w:pPr>
              <w:pStyle w:val="ECCTabletext"/>
            </w:pPr>
            <w:r>
              <w:t>Existing Technology</w:t>
            </w:r>
          </w:p>
        </w:tc>
      </w:tr>
      <w:tr w:rsidR="00F4239C" w:rsidRPr="00E92344" w14:paraId="4CE9D652" w14:textId="77777777" w:rsidTr="005E30F7">
        <w:tc>
          <w:tcPr>
            <w:tcW w:w="2689" w:type="dxa"/>
            <w:gridSpan w:val="2"/>
          </w:tcPr>
          <w:p w14:paraId="00F69EAD" w14:textId="77777777" w:rsidR="00F4239C" w:rsidRDefault="00F4239C" w:rsidP="005E30F7">
            <w:pPr>
              <w:pStyle w:val="ECCTabletext"/>
            </w:pPr>
            <w:r w:rsidRPr="00E92344">
              <w:t>900 MHz</w:t>
            </w:r>
          </w:p>
        </w:tc>
        <w:tc>
          <w:tcPr>
            <w:tcW w:w="1701" w:type="dxa"/>
          </w:tcPr>
          <w:p w14:paraId="10320ECB" w14:textId="77777777" w:rsidR="00F4239C" w:rsidRPr="00E92344" w:rsidRDefault="00F4239C" w:rsidP="005E30F7">
            <w:pPr>
              <w:pStyle w:val="ECCTabletext"/>
            </w:pPr>
            <w:r>
              <w:t>Yes</w:t>
            </w:r>
          </w:p>
        </w:tc>
        <w:tc>
          <w:tcPr>
            <w:tcW w:w="1701" w:type="dxa"/>
          </w:tcPr>
          <w:p w14:paraId="6B6E4136" w14:textId="77777777" w:rsidR="00F4239C" w:rsidRPr="00E92344" w:rsidRDefault="00F4239C" w:rsidP="005E30F7">
            <w:pPr>
              <w:pStyle w:val="ECCTabletext"/>
            </w:pPr>
            <w:r>
              <w:t>Yes</w:t>
            </w:r>
          </w:p>
        </w:tc>
        <w:tc>
          <w:tcPr>
            <w:tcW w:w="3543" w:type="dxa"/>
          </w:tcPr>
          <w:p w14:paraId="7FC8942F" w14:textId="77777777" w:rsidR="00F4239C" w:rsidRPr="00E92344" w:rsidRDefault="00F4239C" w:rsidP="005E30F7">
            <w:pPr>
              <w:pStyle w:val="ECCTabletext"/>
            </w:pPr>
            <w:r>
              <w:t>Existing Technology</w:t>
            </w:r>
          </w:p>
        </w:tc>
      </w:tr>
      <w:tr w:rsidR="00F4239C" w:rsidRPr="00E92344" w14:paraId="64F9C79A" w14:textId="77777777" w:rsidTr="005E30F7">
        <w:tc>
          <w:tcPr>
            <w:tcW w:w="988" w:type="dxa"/>
            <w:vMerge w:val="restart"/>
          </w:tcPr>
          <w:p w14:paraId="41CFDC62" w14:textId="77777777" w:rsidR="00F4239C" w:rsidRPr="00E92344" w:rsidRDefault="00F4239C" w:rsidP="005E30F7">
            <w:pPr>
              <w:pStyle w:val="ECCTabletext"/>
            </w:pPr>
            <w:r w:rsidRPr="00E92344">
              <w:t>1.5 GHz</w:t>
            </w:r>
          </w:p>
        </w:tc>
        <w:tc>
          <w:tcPr>
            <w:tcW w:w="1701" w:type="dxa"/>
          </w:tcPr>
          <w:p w14:paraId="5E467836" w14:textId="77777777" w:rsidR="00F4239C" w:rsidRDefault="00F4239C" w:rsidP="005E30F7">
            <w:pPr>
              <w:pStyle w:val="ECCTabletext"/>
            </w:pPr>
            <w:r>
              <w:t>1427-1452 MHz</w:t>
            </w:r>
          </w:p>
        </w:tc>
        <w:tc>
          <w:tcPr>
            <w:tcW w:w="1701" w:type="dxa"/>
          </w:tcPr>
          <w:p w14:paraId="507E9CF0" w14:textId="77777777" w:rsidR="00F4239C" w:rsidRDefault="00F4239C" w:rsidP="005E30F7">
            <w:pPr>
              <w:pStyle w:val="ECCTabletext"/>
            </w:pPr>
            <w:r>
              <w:t>Yes</w:t>
            </w:r>
          </w:p>
        </w:tc>
        <w:tc>
          <w:tcPr>
            <w:tcW w:w="1701" w:type="dxa"/>
          </w:tcPr>
          <w:p w14:paraId="24577D8E" w14:textId="77777777" w:rsidR="00F4239C" w:rsidRDefault="00F4239C" w:rsidP="005E30F7">
            <w:pPr>
              <w:pStyle w:val="ECCTabletext"/>
            </w:pPr>
            <w:r>
              <w:t>Yes</w:t>
            </w:r>
          </w:p>
        </w:tc>
        <w:tc>
          <w:tcPr>
            <w:tcW w:w="3543" w:type="dxa"/>
          </w:tcPr>
          <w:p w14:paraId="4B78664F" w14:textId="77777777" w:rsidR="00F4239C" w:rsidRDefault="00F4239C" w:rsidP="005E30F7">
            <w:pPr>
              <w:pStyle w:val="ECCTabletext"/>
            </w:pPr>
            <w:r>
              <w:t xml:space="preserve">Existing Technology/ Future Evolution </w:t>
            </w:r>
          </w:p>
        </w:tc>
      </w:tr>
      <w:tr w:rsidR="00F4239C" w:rsidRPr="00E92344" w14:paraId="03D0E02D" w14:textId="77777777" w:rsidTr="005E30F7">
        <w:tc>
          <w:tcPr>
            <w:tcW w:w="988" w:type="dxa"/>
            <w:vMerge/>
          </w:tcPr>
          <w:p w14:paraId="5D6B5628" w14:textId="77777777" w:rsidR="00F4239C" w:rsidRPr="00E92344" w:rsidRDefault="00F4239C" w:rsidP="005E30F7">
            <w:pPr>
              <w:pStyle w:val="ECCTabletext"/>
            </w:pPr>
          </w:p>
        </w:tc>
        <w:tc>
          <w:tcPr>
            <w:tcW w:w="1701" w:type="dxa"/>
          </w:tcPr>
          <w:p w14:paraId="79D515FE" w14:textId="77777777" w:rsidR="00F4239C" w:rsidRDefault="00F4239C" w:rsidP="005E30F7">
            <w:pPr>
              <w:pStyle w:val="ECCTabletext"/>
            </w:pPr>
            <w:r>
              <w:t>1452-1492 MHz</w:t>
            </w:r>
          </w:p>
        </w:tc>
        <w:tc>
          <w:tcPr>
            <w:tcW w:w="1701" w:type="dxa"/>
          </w:tcPr>
          <w:p w14:paraId="7EB9ACD4" w14:textId="77777777" w:rsidR="00F4239C" w:rsidRPr="00E92344" w:rsidRDefault="00F4239C" w:rsidP="005E30F7">
            <w:pPr>
              <w:pStyle w:val="ECCTabletext"/>
            </w:pPr>
            <w:r>
              <w:t>Yes</w:t>
            </w:r>
          </w:p>
        </w:tc>
        <w:tc>
          <w:tcPr>
            <w:tcW w:w="1701" w:type="dxa"/>
          </w:tcPr>
          <w:p w14:paraId="34282F16" w14:textId="77777777" w:rsidR="00F4239C" w:rsidRPr="00E92344" w:rsidRDefault="00F4239C" w:rsidP="005E30F7">
            <w:pPr>
              <w:pStyle w:val="ECCTabletext"/>
            </w:pPr>
            <w:r>
              <w:t>Yes</w:t>
            </w:r>
          </w:p>
        </w:tc>
        <w:tc>
          <w:tcPr>
            <w:tcW w:w="3543" w:type="dxa"/>
          </w:tcPr>
          <w:p w14:paraId="04A33264" w14:textId="77777777" w:rsidR="00F4239C" w:rsidRPr="00E92344" w:rsidRDefault="00F4239C" w:rsidP="005E30F7">
            <w:pPr>
              <w:pStyle w:val="ECCTabletext"/>
            </w:pPr>
            <w:r>
              <w:t>Existing Technology /Future Evolution</w:t>
            </w:r>
          </w:p>
        </w:tc>
      </w:tr>
      <w:tr w:rsidR="00F4239C" w:rsidRPr="00E92344" w14:paraId="70B21AE5" w14:textId="77777777" w:rsidTr="005E30F7">
        <w:tc>
          <w:tcPr>
            <w:tcW w:w="988" w:type="dxa"/>
            <w:vMerge/>
          </w:tcPr>
          <w:p w14:paraId="7F34DA83" w14:textId="77777777" w:rsidR="00F4239C" w:rsidRPr="00E92344" w:rsidRDefault="00F4239C" w:rsidP="005E30F7">
            <w:pPr>
              <w:pStyle w:val="ECCTabletext"/>
            </w:pPr>
          </w:p>
        </w:tc>
        <w:tc>
          <w:tcPr>
            <w:tcW w:w="1701" w:type="dxa"/>
          </w:tcPr>
          <w:p w14:paraId="29AFCE53" w14:textId="77777777" w:rsidR="00F4239C" w:rsidRDefault="00F4239C" w:rsidP="005E30F7">
            <w:pPr>
              <w:pStyle w:val="ECCTabletext"/>
            </w:pPr>
            <w:r>
              <w:t>1492-1517 MHz</w:t>
            </w:r>
          </w:p>
        </w:tc>
        <w:tc>
          <w:tcPr>
            <w:tcW w:w="1701" w:type="dxa"/>
          </w:tcPr>
          <w:p w14:paraId="588B0E02" w14:textId="77777777" w:rsidR="00F4239C" w:rsidRDefault="00F4239C" w:rsidP="005E30F7">
            <w:pPr>
              <w:pStyle w:val="ECCTabletext"/>
            </w:pPr>
            <w:r>
              <w:t>Yes</w:t>
            </w:r>
          </w:p>
        </w:tc>
        <w:tc>
          <w:tcPr>
            <w:tcW w:w="1701" w:type="dxa"/>
          </w:tcPr>
          <w:p w14:paraId="69A543FB" w14:textId="77777777" w:rsidR="00F4239C" w:rsidRDefault="00F4239C" w:rsidP="005E30F7">
            <w:pPr>
              <w:pStyle w:val="ECCTabletext"/>
            </w:pPr>
            <w:r>
              <w:t>Yes</w:t>
            </w:r>
          </w:p>
        </w:tc>
        <w:tc>
          <w:tcPr>
            <w:tcW w:w="3543" w:type="dxa"/>
          </w:tcPr>
          <w:p w14:paraId="042DEB8C" w14:textId="77777777" w:rsidR="00F4239C" w:rsidRDefault="00F4239C" w:rsidP="005E30F7">
            <w:pPr>
              <w:pStyle w:val="ECCTabletext"/>
            </w:pPr>
            <w:r>
              <w:t>Existing Technology /Future Evolution</w:t>
            </w:r>
          </w:p>
        </w:tc>
      </w:tr>
      <w:tr w:rsidR="00F4239C" w:rsidRPr="00E92344" w14:paraId="7C517DED" w14:textId="77777777" w:rsidTr="005E30F7">
        <w:tc>
          <w:tcPr>
            <w:tcW w:w="2689" w:type="dxa"/>
            <w:gridSpan w:val="2"/>
          </w:tcPr>
          <w:p w14:paraId="7BBEB681" w14:textId="77777777" w:rsidR="00F4239C" w:rsidRDefault="00F4239C" w:rsidP="005E30F7">
            <w:pPr>
              <w:pStyle w:val="ECCTabletext"/>
            </w:pPr>
            <w:r w:rsidRPr="00E92344">
              <w:t>1800 MHz</w:t>
            </w:r>
          </w:p>
        </w:tc>
        <w:tc>
          <w:tcPr>
            <w:tcW w:w="1701" w:type="dxa"/>
          </w:tcPr>
          <w:p w14:paraId="5E6C61AE" w14:textId="77777777" w:rsidR="00F4239C" w:rsidRPr="00E92344" w:rsidRDefault="00F4239C" w:rsidP="005E30F7">
            <w:pPr>
              <w:pStyle w:val="ECCTabletext"/>
            </w:pPr>
            <w:r>
              <w:t>Yes</w:t>
            </w:r>
          </w:p>
        </w:tc>
        <w:tc>
          <w:tcPr>
            <w:tcW w:w="1701" w:type="dxa"/>
          </w:tcPr>
          <w:p w14:paraId="7EEC42EC" w14:textId="77777777" w:rsidR="00F4239C" w:rsidRPr="00E92344" w:rsidRDefault="00F4239C" w:rsidP="005E30F7">
            <w:pPr>
              <w:pStyle w:val="ECCTabletext"/>
            </w:pPr>
            <w:r>
              <w:t>Yes</w:t>
            </w:r>
          </w:p>
        </w:tc>
        <w:tc>
          <w:tcPr>
            <w:tcW w:w="3543" w:type="dxa"/>
          </w:tcPr>
          <w:p w14:paraId="48D05B75" w14:textId="77777777" w:rsidR="00F4239C" w:rsidRPr="00E92344" w:rsidRDefault="00F4239C" w:rsidP="005E30F7">
            <w:pPr>
              <w:pStyle w:val="ECCTabletext"/>
            </w:pPr>
            <w:r>
              <w:t>Existing Technology</w:t>
            </w:r>
          </w:p>
        </w:tc>
      </w:tr>
      <w:tr w:rsidR="00F4239C" w:rsidRPr="00E92344" w14:paraId="2F830C2A" w14:textId="77777777" w:rsidTr="005E30F7">
        <w:tc>
          <w:tcPr>
            <w:tcW w:w="2689" w:type="dxa"/>
            <w:gridSpan w:val="2"/>
          </w:tcPr>
          <w:p w14:paraId="5D58F8EA" w14:textId="77777777" w:rsidR="00F4239C" w:rsidRDefault="00F4239C" w:rsidP="005E30F7">
            <w:pPr>
              <w:pStyle w:val="ECCTabletext"/>
            </w:pPr>
            <w:r w:rsidRPr="00E92344">
              <w:t>2 GHz</w:t>
            </w:r>
          </w:p>
        </w:tc>
        <w:tc>
          <w:tcPr>
            <w:tcW w:w="1701" w:type="dxa"/>
          </w:tcPr>
          <w:p w14:paraId="395200C0" w14:textId="77777777" w:rsidR="00F4239C" w:rsidRPr="00E92344" w:rsidRDefault="00F4239C" w:rsidP="005E30F7">
            <w:pPr>
              <w:pStyle w:val="ECCTabletext"/>
            </w:pPr>
            <w:r>
              <w:t>Yes</w:t>
            </w:r>
          </w:p>
        </w:tc>
        <w:tc>
          <w:tcPr>
            <w:tcW w:w="1701" w:type="dxa"/>
          </w:tcPr>
          <w:p w14:paraId="19F39421" w14:textId="77777777" w:rsidR="00F4239C" w:rsidRPr="00E92344" w:rsidRDefault="00F4239C" w:rsidP="005E30F7">
            <w:pPr>
              <w:pStyle w:val="ECCTabletext"/>
            </w:pPr>
            <w:r>
              <w:t>Yes</w:t>
            </w:r>
          </w:p>
        </w:tc>
        <w:tc>
          <w:tcPr>
            <w:tcW w:w="3543" w:type="dxa"/>
          </w:tcPr>
          <w:p w14:paraId="30866951" w14:textId="77777777" w:rsidR="00F4239C" w:rsidRPr="00E92344" w:rsidRDefault="00F4239C" w:rsidP="005E30F7">
            <w:pPr>
              <w:pStyle w:val="ECCTabletext"/>
            </w:pPr>
            <w:r>
              <w:t>Existing Technology</w:t>
            </w:r>
          </w:p>
        </w:tc>
      </w:tr>
      <w:tr w:rsidR="00F4239C" w:rsidRPr="00E92344" w14:paraId="474D848F" w14:textId="77777777" w:rsidTr="005E30F7">
        <w:tc>
          <w:tcPr>
            <w:tcW w:w="2689" w:type="dxa"/>
            <w:gridSpan w:val="2"/>
          </w:tcPr>
          <w:p w14:paraId="51766286" w14:textId="77777777" w:rsidR="00F4239C" w:rsidRDefault="00F4239C" w:rsidP="005E30F7">
            <w:pPr>
              <w:pStyle w:val="ECCTabletext"/>
            </w:pPr>
            <w:r w:rsidRPr="00E92344">
              <w:t>2.6</w:t>
            </w:r>
            <w:r>
              <w:t xml:space="preserve"> </w:t>
            </w:r>
            <w:r w:rsidRPr="00E92344">
              <w:t>GHz</w:t>
            </w:r>
            <w:r>
              <w:t xml:space="preserve"> FDD</w:t>
            </w:r>
          </w:p>
        </w:tc>
        <w:tc>
          <w:tcPr>
            <w:tcW w:w="1701" w:type="dxa"/>
          </w:tcPr>
          <w:p w14:paraId="45AEA285" w14:textId="77777777" w:rsidR="00F4239C" w:rsidRPr="00E92344" w:rsidRDefault="00F4239C" w:rsidP="005E30F7">
            <w:pPr>
              <w:pStyle w:val="ECCTabletext"/>
            </w:pPr>
            <w:r>
              <w:t>Yes</w:t>
            </w:r>
          </w:p>
        </w:tc>
        <w:tc>
          <w:tcPr>
            <w:tcW w:w="1701" w:type="dxa"/>
          </w:tcPr>
          <w:p w14:paraId="579D9B1C" w14:textId="77777777" w:rsidR="00F4239C" w:rsidRPr="00E92344" w:rsidRDefault="00F4239C" w:rsidP="005E30F7">
            <w:pPr>
              <w:pStyle w:val="ECCTabletext"/>
            </w:pPr>
            <w:r>
              <w:t>Yes</w:t>
            </w:r>
          </w:p>
        </w:tc>
        <w:tc>
          <w:tcPr>
            <w:tcW w:w="3543" w:type="dxa"/>
          </w:tcPr>
          <w:p w14:paraId="5454765C" w14:textId="77777777" w:rsidR="00F4239C" w:rsidRPr="00E92344" w:rsidRDefault="00F4239C" w:rsidP="005E30F7">
            <w:pPr>
              <w:pStyle w:val="ECCTabletext"/>
            </w:pPr>
            <w:r>
              <w:t>Existing Technology</w:t>
            </w:r>
          </w:p>
        </w:tc>
      </w:tr>
      <w:tr w:rsidR="00F4239C" w:rsidRPr="00E92344" w14:paraId="1B2753EB" w14:textId="77777777" w:rsidTr="005E30F7">
        <w:tc>
          <w:tcPr>
            <w:tcW w:w="2689" w:type="dxa"/>
            <w:gridSpan w:val="2"/>
          </w:tcPr>
          <w:p w14:paraId="03E33353" w14:textId="77777777" w:rsidR="00F4239C" w:rsidRDefault="00F4239C" w:rsidP="005E30F7">
            <w:pPr>
              <w:pStyle w:val="ECCTabletext"/>
            </w:pPr>
            <w:r>
              <w:t>2.6 GHz TDD</w:t>
            </w:r>
          </w:p>
        </w:tc>
        <w:tc>
          <w:tcPr>
            <w:tcW w:w="1701" w:type="dxa"/>
          </w:tcPr>
          <w:p w14:paraId="3E34B4AB" w14:textId="77777777" w:rsidR="00F4239C" w:rsidRPr="00E92344" w:rsidRDefault="00F4239C" w:rsidP="005E30F7">
            <w:pPr>
              <w:pStyle w:val="ECCTabletext"/>
            </w:pPr>
            <w:r>
              <w:t>No</w:t>
            </w:r>
          </w:p>
        </w:tc>
        <w:tc>
          <w:tcPr>
            <w:tcW w:w="1701" w:type="dxa"/>
          </w:tcPr>
          <w:p w14:paraId="0703E2D6" w14:textId="77777777" w:rsidR="00F4239C" w:rsidRPr="00E92344" w:rsidRDefault="00F4239C" w:rsidP="005E30F7">
            <w:pPr>
              <w:pStyle w:val="ECCTabletext"/>
            </w:pPr>
            <w:r>
              <w:t>No</w:t>
            </w:r>
          </w:p>
        </w:tc>
        <w:tc>
          <w:tcPr>
            <w:tcW w:w="3543" w:type="dxa"/>
          </w:tcPr>
          <w:p w14:paraId="3B21CFA2" w14:textId="77777777" w:rsidR="00F4239C" w:rsidRPr="00E92344" w:rsidRDefault="00F4239C" w:rsidP="005E30F7">
            <w:pPr>
              <w:pStyle w:val="ECCTabletext"/>
            </w:pPr>
          </w:p>
        </w:tc>
      </w:tr>
      <w:tr w:rsidR="00F4239C" w:rsidRPr="00E92344" w14:paraId="3EDD44FF" w14:textId="77777777" w:rsidTr="005E30F7">
        <w:tc>
          <w:tcPr>
            <w:tcW w:w="2689" w:type="dxa"/>
            <w:gridSpan w:val="2"/>
          </w:tcPr>
          <w:p w14:paraId="4ECB1E96" w14:textId="77777777" w:rsidR="00F4239C" w:rsidRDefault="00F4239C" w:rsidP="005E30F7">
            <w:pPr>
              <w:pStyle w:val="ECCTabletext"/>
            </w:pPr>
            <w:r w:rsidRPr="00E92344">
              <w:t>3.6 GHz</w:t>
            </w:r>
          </w:p>
        </w:tc>
        <w:tc>
          <w:tcPr>
            <w:tcW w:w="1701" w:type="dxa"/>
          </w:tcPr>
          <w:p w14:paraId="61612D84" w14:textId="77777777" w:rsidR="00F4239C" w:rsidRPr="00E92344" w:rsidRDefault="00F4239C" w:rsidP="005E30F7">
            <w:pPr>
              <w:pStyle w:val="ECCTabletext"/>
            </w:pPr>
            <w:r>
              <w:t>Yes</w:t>
            </w:r>
          </w:p>
        </w:tc>
        <w:tc>
          <w:tcPr>
            <w:tcW w:w="1701" w:type="dxa"/>
          </w:tcPr>
          <w:p w14:paraId="681C16AA" w14:textId="77777777" w:rsidR="00F4239C" w:rsidRPr="00E92344" w:rsidRDefault="00F4239C" w:rsidP="005E30F7">
            <w:pPr>
              <w:pStyle w:val="ECCTabletext"/>
            </w:pPr>
            <w:r>
              <w:t>Yes</w:t>
            </w:r>
          </w:p>
        </w:tc>
        <w:tc>
          <w:tcPr>
            <w:tcW w:w="3543" w:type="dxa"/>
          </w:tcPr>
          <w:p w14:paraId="189E5F50" w14:textId="77777777" w:rsidR="00F4239C" w:rsidRDefault="00F4239C" w:rsidP="005E30F7">
            <w:pPr>
              <w:pStyle w:val="ECCTabletext"/>
            </w:pPr>
            <w:r>
              <w:t xml:space="preserve">Future Evolution </w:t>
            </w:r>
          </w:p>
          <w:p w14:paraId="0EBB3497" w14:textId="532145F5" w:rsidR="00F4239C" w:rsidRPr="00E92344" w:rsidRDefault="00F4239C" w:rsidP="005E30F7">
            <w:pPr>
              <w:pStyle w:val="ECCTabletext"/>
            </w:pPr>
            <w:r>
              <w:t>See Note</w:t>
            </w:r>
            <w:r w:rsidR="00EA0FFA">
              <w:t xml:space="preserve"> </w:t>
            </w:r>
            <w:r>
              <w:t>2</w:t>
            </w:r>
          </w:p>
        </w:tc>
      </w:tr>
      <w:tr w:rsidR="00F4239C" w:rsidRPr="00E92344" w14:paraId="2FCFBE6D" w14:textId="77777777" w:rsidTr="005E30F7">
        <w:tc>
          <w:tcPr>
            <w:tcW w:w="2689" w:type="dxa"/>
            <w:gridSpan w:val="2"/>
          </w:tcPr>
          <w:p w14:paraId="49ACB0B2" w14:textId="77777777" w:rsidR="00F4239C" w:rsidRDefault="00F4239C" w:rsidP="005E30F7">
            <w:pPr>
              <w:pStyle w:val="ECCTabletext"/>
            </w:pPr>
            <w:r w:rsidRPr="00E92344">
              <w:t>26 GHz</w:t>
            </w:r>
          </w:p>
        </w:tc>
        <w:tc>
          <w:tcPr>
            <w:tcW w:w="1701" w:type="dxa"/>
          </w:tcPr>
          <w:p w14:paraId="01037023" w14:textId="7CBAACFD" w:rsidR="00F4239C" w:rsidRPr="00E92344" w:rsidRDefault="00F4239C" w:rsidP="005E30F7">
            <w:pPr>
              <w:pStyle w:val="ECCTabletext"/>
            </w:pPr>
            <w:r>
              <w:t>See Note</w:t>
            </w:r>
            <w:r w:rsidR="009F62D3">
              <w:t xml:space="preserve"> </w:t>
            </w:r>
            <w:r>
              <w:t>1</w:t>
            </w:r>
          </w:p>
        </w:tc>
        <w:tc>
          <w:tcPr>
            <w:tcW w:w="1701" w:type="dxa"/>
          </w:tcPr>
          <w:p w14:paraId="7BF1AF86" w14:textId="7399E56B" w:rsidR="00F4239C" w:rsidRPr="00E92344" w:rsidRDefault="00F4239C" w:rsidP="005E30F7">
            <w:pPr>
              <w:pStyle w:val="ECCTabletext"/>
            </w:pPr>
            <w:r>
              <w:t>See Note</w:t>
            </w:r>
            <w:r w:rsidR="009F62D3">
              <w:t xml:space="preserve"> </w:t>
            </w:r>
            <w:r>
              <w:t>1</w:t>
            </w:r>
          </w:p>
        </w:tc>
        <w:tc>
          <w:tcPr>
            <w:tcW w:w="3543" w:type="dxa"/>
          </w:tcPr>
          <w:p w14:paraId="01E7AC75" w14:textId="77777777" w:rsidR="00F4239C" w:rsidRPr="00E92344" w:rsidRDefault="00F4239C" w:rsidP="005E30F7">
            <w:pPr>
              <w:pStyle w:val="ECCTabletext"/>
            </w:pPr>
            <w:r>
              <w:t>Future Evolution</w:t>
            </w:r>
          </w:p>
        </w:tc>
      </w:tr>
      <w:tr w:rsidR="00F4239C" w:rsidRPr="00E92344" w14:paraId="3A412473" w14:textId="77777777" w:rsidTr="005E30F7">
        <w:tc>
          <w:tcPr>
            <w:tcW w:w="2689" w:type="dxa"/>
            <w:gridSpan w:val="2"/>
          </w:tcPr>
          <w:p w14:paraId="4FC91EBC" w14:textId="77777777" w:rsidR="00F4239C" w:rsidRDefault="00F4239C" w:rsidP="005E30F7">
            <w:pPr>
              <w:pStyle w:val="ECCTabletext"/>
            </w:pPr>
            <w:r w:rsidRPr="00E92344">
              <w:t>42 GHz</w:t>
            </w:r>
          </w:p>
        </w:tc>
        <w:tc>
          <w:tcPr>
            <w:tcW w:w="1701" w:type="dxa"/>
          </w:tcPr>
          <w:p w14:paraId="71ACF98C" w14:textId="77777777" w:rsidR="00F4239C" w:rsidRPr="00E92344" w:rsidRDefault="00F4239C" w:rsidP="005E30F7">
            <w:pPr>
              <w:pStyle w:val="ECCTabletext"/>
            </w:pPr>
            <w:r>
              <w:t>No</w:t>
            </w:r>
          </w:p>
        </w:tc>
        <w:tc>
          <w:tcPr>
            <w:tcW w:w="1701" w:type="dxa"/>
          </w:tcPr>
          <w:p w14:paraId="13EE553E" w14:textId="77777777" w:rsidR="00F4239C" w:rsidRPr="00E92344" w:rsidRDefault="00F4239C" w:rsidP="005E30F7">
            <w:pPr>
              <w:pStyle w:val="ECCTabletext"/>
            </w:pPr>
            <w:r>
              <w:t>No</w:t>
            </w:r>
          </w:p>
        </w:tc>
        <w:tc>
          <w:tcPr>
            <w:tcW w:w="3543" w:type="dxa"/>
          </w:tcPr>
          <w:p w14:paraId="3948D5DC" w14:textId="77777777" w:rsidR="00F4239C" w:rsidRPr="00E92344" w:rsidRDefault="00F4239C" w:rsidP="005E30F7">
            <w:pPr>
              <w:pStyle w:val="ECCTabletext"/>
            </w:pPr>
          </w:p>
        </w:tc>
      </w:tr>
      <w:tr w:rsidR="00F4239C" w:rsidRPr="00E92344" w14:paraId="6DE4BAD4" w14:textId="77777777" w:rsidTr="005E30F7">
        <w:tc>
          <w:tcPr>
            <w:tcW w:w="9634" w:type="dxa"/>
            <w:gridSpan w:val="5"/>
          </w:tcPr>
          <w:p w14:paraId="70202D36" w14:textId="3791B1B9" w:rsidR="00F4239C" w:rsidRPr="00F4239C" w:rsidRDefault="00F4239C" w:rsidP="00826FDB">
            <w:pPr>
              <w:pStyle w:val="ECCTablenote"/>
              <w:spacing w:before="60" w:after="60"/>
              <w:rPr>
                <w:szCs w:val="20"/>
              </w:rPr>
            </w:pPr>
            <w:r w:rsidRPr="00F91216">
              <w:t>Note1:</w:t>
            </w:r>
            <w:r>
              <w:t xml:space="preserve"> A</w:t>
            </w:r>
            <w:r w:rsidRPr="00F91216">
              <w:t xml:space="preserve"> </w:t>
            </w:r>
            <w:r w:rsidRPr="00F4239C">
              <w:t>stakeholder (Univity) indicated interest in 26</w:t>
            </w:r>
            <w:r w:rsidR="00004BD3">
              <w:t xml:space="preserve"> </w:t>
            </w:r>
            <w:r w:rsidRPr="00F4239C">
              <w:t>GHz band and provided link budgets for the band, on the basis of non-“standalone” WBB ECS user equipment / terminals</w:t>
            </w:r>
            <w:r w:rsidRPr="00F4239C">
              <w:rPr>
                <w:szCs w:val="20"/>
              </w:rPr>
              <w:t>.</w:t>
            </w:r>
          </w:p>
          <w:p w14:paraId="1D735DDD" w14:textId="77777777" w:rsidR="00F4239C" w:rsidRPr="00E92344" w:rsidRDefault="00F4239C" w:rsidP="00826FDB">
            <w:pPr>
              <w:pStyle w:val="ECCTablenote"/>
              <w:spacing w:before="60" w:after="60"/>
            </w:pPr>
            <w:r w:rsidRPr="00F4239C">
              <w:t>Note2: For the case of TDD bands, synchronisation capabilities of D2D-IMT systems with terrestrial WBB ECS networks, taking into account challenges such as propagation delay, are being investigated. Standardisation activities are expected to be required as well.</w:t>
            </w:r>
          </w:p>
        </w:tc>
      </w:tr>
    </w:tbl>
    <w:p w14:paraId="7AE04528" w14:textId="77777777" w:rsidR="00F4239C" w:rsidRDefault="00F4239C" w:rsidP="00F4239C">
      <w:pPr>
        <w:pStyle w:val="ECCParagraph"/>
        <w:rPr>
          <w:lang w:val="en-US"/>
        </w:rPr>
      </w:pPr>
      <w:r w:rsidRPr="001B174F">
        <w:rPr>
          <w:lang w:val="en-US"/>
        </w:rPr>
        <w:t xml:space="preserve">Based on </w:t>
      </w:r>
      <w:r>
        <w:rPr>
          <w:lang w:val="en-US"/>
        </w:rPr>
        <w:t>the assessment</w:t>
      </w:r>
      <w:r w:rsidRPr="001B174F">
        <w:rPr>
          <w:lang w:val="en-US"/>
        </w:rPr>
        <w:t xml:space="preserve">, the following bands will </w:t>
      </w:r>
      <w:r>
        <w:rPr>
          <w:lang w:val="en-US"/>
        </w:rPr>
        <w:t xml:space="preserve">not </w:t>
      </w:r>
      <w:r w:rsidRPr="001B174F">
        <w:rPr>
          <w:lang w:val="en-US"/>
        </w:rPr>
        <w:t xml:space="preserve">be considered for further detailed studies </w:t>
      </w:r>
      <w:r>
        <w:rPr>
          <w:lang w:val="en-US"/>
        </w:rPr>
        <w:t>of</w:t>
      </w:r>
      <w:r w:rsidRPr="001B174F">
        <w:rPr>
          <w:lang w:val="en-US"/>
        </w:rPr>
        <w:t xml:space="preserve"> </w:t>
      </w:r>
      <w:r>
        <w:rPr>
          <w:lang w:val="en-US"/>
        </w:rPr>
        <w:t>task 2:</w:t>
      </w:r>
    </w:p>
    <w:p w14:paraId="08CA1056" w14:textId="77777777" w:rsidR="00F4239C" w:rsidRDefault="00F4239C" w:rsidP="00F4239C">
      <w:pPr>
        <w:pStyle w:val="ECCBulletsLv1"/>
        <w:ind w:left="357" w:hanging="357"/>
      </w:pPr>
      <w:r>
        <w:t>26 GHz band;</w:t>
      </w:r>
    </w:p>
    <w:p w14:paraId="4AE17002" w14:textId="77777777" w:rsidR="00F4239C" w:rsidRDefault="00F4239C" w:rsidP="00F4239C">
      <w:pPr>
        <w:pStyle w:val="ECCBulletsLv1"/>
        <w:ind w:left="357" w:hanging="357"/>
      </w:pPr>
      <w:r>
        <w:t>42 GHz band.</w:t>
      </w:r>
    </w:p>
    <w:p w14:paraId="4592E27B" w14:textId="77777777" w:rsidR="00F4239C" w:rsidRDefault="00F4239C" w:rsidP="00F4239C">
      <w:pPr>
        <w:pStyle w:val="ECCParagraph"/>
      </w:pPr>
      <w:r w:rsidRPr="00F4239C">
        <w:t xml:space="preserve">The band 2.6 GHz TDD will not be considered for D2D-IMT authorisation but its protection from adjacent D2D-IMT operations in 2.6 GHz FDD bands will be considered </w:t>
      </w:r>
      <w:r w:rsidRPr="00F4239C">
        <w:rPr>
          <w:lang w:val="en-US"/>
        </w:rPr>
        <w:t>for further detailed studies of task 2</w:t>
      </w:r>
      <w:r w:rsidRPr="00F4239C">
        <w:t>.</w:t>
      </w:r>
    </w:p>
    <w:p w14:paraId="2F0755C9" w14:textId="77777777" w:rsidR="00F4239C" w:rsidRDefault="00F4239C" w:rsidP="00F4239C">
      <w:pPr>
        <w:pStyle w:val="ECCParagraph"/>
      </w:pPr>
      <w:r>
        <w:t>This assessment does not take into account coexistence and compatibility with other systems.</w:t>
      </w:r>
    </w:p>
    <w:p w14:paraId="4772D656" w14:textId="4E77BFFB" w:rsidR="00F4239C" w:rsidRDefault="00F4239C" w:rsidP="00F4239C">
      <w:pPr>
        <w:pStyle w:val="ECCParagraph"/>
      </w:pPr>
      <w:r w:rsidRPr="00146DB7">
        <w:t xml:space="preserve">Some examples of link budgets for D2D-IMT systems are provided in </w:t>
      </w:r>
      <w:r w:rsidR="00E1474E">
        <w:fldChar w:fldCharType="begin"/>
      </w:r>
      <w:r w:rsidR="00E1474E">
        <w:instrText xml:space="preserve"> REF _Ref233271985 \r \h </w:instrText>
      </w:r>
      <w:r w:rsidR="00E1474E">
        <w:fldChar w:fldCharType="separate"/>
      </w:r>
      <w:r w:rsidR="00E1474E">
        <w:t>A</w:t>
      </w:r>
      <w:r w:rsidR="00223AD1">
        <w:t xml:space="preserve">nnex </w:t>
      </w:r>
      <w:r w:rsidR="00E1474E">
        <w:t>1</w:t>
      </w:r>
      <w:r w:rsidR="00E1474E">
        <w:fldChar w:fldCharType="end"/>
      </w:r>
      <w:r w:rsidR="00E1474E">
        <w:t xml:space="preserve"> and </w:t>
      </w:r>
      <w:r w:rsidR="00E1474E">
        <w:fldChar w:fldCharType="begin"/>
      </w:r>
      <w:r w:rsidR="00E1474E">
        <w:instrText xml:space="preserve"> REF _Ref233271987 \r \h </w:instrText>
      </w:r>
      <w:r w:rsidR="00E1474E">
        <w:fldChar w:fldCharType="separate"/>
      </w:r>
      <w:r w:rsidR="00E1474E">
        <w:t>A</w:t>
      </w:r>
      <w:r w:rsidR="00223AD1">
        <w:t>nnex</w:t>
      </w:r>
      <w:r w:rsidR="00E1474E">
        <w:t xml:space="preserve"> 2</w:t>
      </w:r>
      <w:r w:rsidR="00E1474E">
        <w:fldChar w:fldCharType="end"/>
      </w:r>
      <w:r w:rsidRPr="00146DB7">
        <w:t>.</w:t>
      </w:r>
    </w:p>
    <w:p w14:paraId="0C6DAC2A" w14:textId="77777777" w:rsidR="00611BCC" w:rsidRPr="00611BCC" w:rsidRDefault="00611BCC" w:rsidP="00611BCC">
      <w:pPr>
        <w:pStyle w:val="ECCParagraph"/>
      </w:pPr>
    </w:p>
    <w:p w14:paraId="0E704084" w14:textId="77777777" w:rsidR="00EF7964" w:rsidRDefault="00EF7964" w:rsidP="00EF7964">
      <w:pPr>
        <w:pStyle w:val="Heading1"/>
      </w:pPr>
      <w:bookmarkStart w:id="8" w:name="_Toc230352060"/>
      <w:bookmarkStart w:id="9" w:name="_Toc230352872"/>
      <w:bookmarkStart w:id="10" w:name="_Toc230360703"/>
      <w:r>
        <w:lastRenderedPageBreak/>
        <w:t>Coexistence and compatibility scenarios</w:t>
      </w:r>
      <w:bookmarkEnd w:id="8"/>
      <w:bookmarkEnd w:id="9"/>
      <w:bookmarkEnd w:id="10"/>
    </w:p>
    <w:p w14:paraId="4E88D303" w14:textId="77777777" w:rsidR="00D400D5" w:rsidRDefault="00D400D5" w:rsidP="00D400D5">
      <w:pPr>
        <w:pStyle w:val="ECCParagraph"/>
      </w:pPr>
      <w:r>
        <w:t>CEPT is currently studying and determining:</w:t>
      </w:r>
    </w:p>
    <w:p w14:paraId="7213F4AD" w14:textId="77777777" w:rsidR="00D400D5" w:rsidRPr="00D400D5" w:rsidRDefault="00D400D5" w:rsidP="005B315C">
      <w:pPr>
        <w:pStyle w:val="ECCBulletsLv1"/>
        <w:numPr>
          <w:ilvl w:val="0"/>
          <w:numId w:val="14"/>
        </w:numPr>
      </w:pPr>
      <w:r w:rsidRPr="00D400D5">
        <w:t>Regulatory (Technical and/or operational) limits on D2D-IMT satellite emissions to protect WBB ECS services in co-channel and adjacent blocks;</w:t>
      </w:r>
    </w:p>
    <w:p w14:paraId="029E81D8" w14:textId="77777777" w:rsidR="00D400D5" w:rsidRPr="00D400D5" w:rsidRDefault="00D400D5" w:rsidP="005B315C">
      <w:pPr>
        <w:pStyle w:val="ECCBulletsLv1"/>
        <w:numPr>
          <w:ilvl w:val="0"/>
          <w:numId w:val="14"/>
        </w:numPr>
      </w:pPr>
      <w:r w:rsidRPr="00D400D5">
        <w:t>Regulatory (Technical and/or operational) limits on D2D-IMT satellite emissions to protect other services in the bands adjacent to WBB ECS;</w:t>
      </w:r>
    </w:p>
    <w:p w14:paraId="15E7EBA7" w14:textId="77777777" w:rsidR="00D400D5" w:rsidRPr="00D400D5" w:rsidRDefault="00D400D5" w:rsidP="005B315C">
      <w:pPr>
        <w:pStyle w:val="ECCBulletsLv1"/>
        <w:numPr>
          <w:ilvl w:val="0"/>
          <w:numId w:val="14"/>
        </w:numPr>
      </w:pPr>
      <w:r w:rsidRPr="00D400D5">
        <w:t>Regulatory (Technical and/or operational) limits on D2D-IMT satellite emissions to protect other services co-allocated in WBB ECS bands (if any).</w:t>
      </w:r>
    </w:p>
    <w:p w14:paraId="7D481146" w14:textId="109D8B98" w:rsidR="00D400D5" w:rsidRPr="00D400D5" w:rsidRDefault="00D400D5" w:rsidP="00D400D5">
      <w:pPr>
        <w:pStyle w:val="ECCParagraph"/>
      </w:pPr>
      <w:r w:rsidRPr="00D400D5">
        <w:t>While these studies are not finali</w:t>
      </w:r>
      <w:r w:rsidR="00B44932">
        <w:t>s</w:t>
      </w:r>
      <w:r w:rsidRPr="00D400D5">
        <w:t xml:space="preserve">ed, CEPT cannot yet assess fully the feasibility of D2D-IMT systems and the studies are still ongoing. The preliminary assessment, including coexistence and compatibility scenarios identified for studies can be found in </w:t>
      </w:r>
      <w:r>
        <w:t>the draft ECC Report</w:t>
      </w:r>
      <w:r w:rsidR="00A87880">
        <w:t xml:space="preserve"> </w:t>
      </w:r>
      <w:r w:rsidR="00D26CC9">
        <w:fldChar w:fldCharType="begin"/>
      </w:r>
      <w:r w:rsidR="00D26CC9">
        <w:instrText xml:space="preserve"> REF _Ref230359403 \r \h </w:instrText>
      </w:r>
      <w:r w:rsidR="00D26CC9">
        <w:fldChar w:fldCharType="separate"/>
      </w:r>
      <w:r w:rsidR="00D26CC9">
        <w:t>[1]</w:t>
      </w:r>
      <w:r w:rsidR="00D26CC9">
        <w:fldChar w:fldCharType="end"/>
      </w:r>
      <w:r w:rsidRPr="00D400D5">
        <w:t>.</w:t>
      </w:r>
    </w:p>
    <w:p w14:paraId="50CBB6B2" w14:textId="7C843459" w:rsidR="00D400D5" w:rsidRPr="00D400D5" w:rsidRDefault="00D400D5" w:rsidP="00D400D5">
      <w:pPr>
        <w:pStyle w:val="ECCParagraph"/>
      </w:pPr>
      <w:r w:rsidRPr="00D400D5">
        <w:t xml:space="preserve">ECO Report 03 </w:t>
      </w:r>
      <w:r w:rsidR="00D26CC9">
        <w:fldChar w:fldCharType="begin"/>
      </w:r>
      <w:r w:rsidR="00D26CC9">
        <w:instrText xml:space="preserve"> REF _Ref230359475 \r \h </w:instrText>
      </w:r>
      <w:r w:rsidR="00D26CC9">
        <w:fldChar w:fldCharType="separate"/>
      </w:r>
      <w:r w:rsidR="00D26CC9">
        <w:t>[2]</w:t>
      </w:r>
      <w:r w:rsidR="00D26CC9">
        <w:fldChar w:fldCharType="end"/>
      </w:r>
      <w:r w:rsidR="00D26CC9">
        <w:t xml:space="preserve"> </w:t>
      </w:r>
      <w:r w:rsidRPr="00D400D5">
        <w:t xml:space="preserve">provides information on the </w:t>
      </w:r>
      <w:r w:rsidR="000E705C">
        <w:t>l</w:t>
      </w:r>
      <w:r w:rsidRPr="00D400D5">
        <w:t>icensing of "Mobile Bands" in CEPT.</w:t>
      </w:r>
    </w:p>
    <w:p w14:paraId="322CA5B4" w14:textId="77777777" w:rsidR="00D400D5" w:rsidRPr="00D26CC9" w:rsidRDefault="00D400D5" w:rsidP="00D400D5">
      <w:pPr>
        <w:pStyle w:val="ECCParagraph"/>
      </w:pPr>
      <w:r w:rsidRPr="00D26CC9">
        <w:t>Existing WBB ECS uses include the extended coverage area beyond the territorial waters from land based WBB ECS operations and WBB ECS operating at fixed installations within the Exclusive Economic Zones (EEZ).</w:t>
      </w:r>
    </w:p>
    <w:p w14:paraId="75DDB877" w14:textId="77777777" w:rsidR="00D400D5" w:rsidRPr="00D400D5" w:rsidRDefault="00D400D5" w:rsidP="00D400D5">
      <w:pPr>
        <w:pStyle w:val="ECCParagraph"/>
      </w:pPr>
      <w:r w:rsidRPr="00D26CC9">
        <w:t>CEPT administrations consider it necessary to protect their base stations and user equipment in those areas from D2D-IMT downlinks. The need to harmonize such protection will be studied.</w:t>
      </w:r>
    </w:p>
    <w:p w14:paraId="318D5561" w14:textId="2347BB50" w:rsidR="00AB46DF" w:rsidRPr="00737D5F" w:rsidRDefault="00EF7964" w:rsidP="00AB46DF">
      <w:pPr>
        <w:pStyle w:val="Heading1"/>
      </w:pPr>
      <w:bookmarkStart w:id="11" w:name="_Toc230360704"/>
      <w:r>
        <w:lastRenderedPageBreak/>
        <w:t>Conclusions</w:t>
      </w:r>
      <w:bookmarkEnd w:id="11"/>
    </w:p>
    <w:p w14:paraId="6C8093DC" w14:textId="77777777" w:rsidR="00FB7767" w:rsidRPr="00FB7767" w:rsidRDefault="00FB7767" w:rsidP="00FB7767">
      <w:pPr>
        <w:pStyle w:val="ECCParagraph"/>
      </w:pPr>
      <w:r w:rsidRPr="00FB7767">
        <w:t>Based on the assessment, the following bands will not be considered for further detailed studies of task 2:</w:t>
      </w:r>
    </w:p>
    <w:p w14:paraId="1BB55769" w14:textId="77777777" w:rsidR="00FB7767" w:rsidRPr="00FB7767" w:rsidRDefault="00FB7767" w:rsidP="00826FDB">
      <w:pPr>
        <w:pStyle w:val="ECCBulletsLv1"/>
        <w:spacing w:after="60"/>
      </w:pPr>
      <w:r w:rsidRPr="00FB7767">
        <w:t>26 GHz band;</w:t>
      </w:r>
    </w:p>
    <w:p w14:paraId="16E70D9F" w14:textId="77777777" w:rsidR="00FB7767" w:rsidRPr="00FB7767" w:rsidRDefault="00FB7767" w:rsidP="00826FDB">
      <w:pPr>
        <w:pStyle w:val="ECCBulletsLv1"/>
        <w:spacing w:after="60"/>
      </w:pPr>
      <w:r w:rsidRPr="00FB7767">
        <w:t>42 GHz band.</w:t>
      </w:r>
    </w:p>
    <w:p w14:paraId="39024243" w14:textId="3B4483F9" w:rsidR="00FB7767" w:rsidRPr="00FB7767" w:rsidRDefault="00FB7767" w:rsidP="0016236B">
      <w:pPr>
        <w:pStyle w:val="ECCParagraph"/>
      </w:pPr>
      <w:r w:rsidRPr="00FB7767">
        <w:t>The band 2.6 GHz TDD will not be considered for D2D-IMT authorisation but its protection from adjacent D2D-IMT operations in 2.6 GHz FDD bands will be considered for further detailed studies of task 2.</w:t>
      </w:r>
    </w:p>
    <w:p w14:paraId="26B4D258" w14:textId="7FCB6C7B" w:rsidR="00FB7767" w:rsidRPr="00FB7767" w:rsidRDefault="00FB7767" w:rsidP="0016236B">
      <w:pPr>
        <w:pStyle w:val="ECCParagraph"/>
      </w:pPr>
      <w:r w:rsidRPr="00FB7767">
        <w:t xml:space="preserve">CEPT cannot yet assess fully the feasibility of D2D-IMT systems in the remaining frequency bands as the studies are still </w:t>
      </w:r>
      <w:r w:rsidRPr="000A4AAC">
        <w:t>ongoing</w:t>
      </w:r>
      <w:r w:rsidR="00BC5039" w:rsidRPr="000A4AAC">
        <w:t>.</w:t>
      </w:r>
      <w:r w:rsidR="0011728E" w:rsidRPr="000A4AAC">
        <w:rPr>
          <w:szCs w:val="22"/>
        </w:rPr>
        <w:t xml:space="preserve"> Specific challenges have been raised regarding D2D-IMT operation in TDD bands, particularly the 3.5 GHz band. These challenges (e.g. </w:t>
      </w:r>
      <w:r w:rsidR="00F21E94" w:rsidRPr="000A4AAC">
        <w:rPr>
          <w:szCs w:val="22"/>
        </w:rPr>
        <w:t>synchronisation capabilities of D2D-IMT systems with terrestrial WBB ECS networks, taking into account challenges such as propagation delay</w:t>
      </w:r>
      <w:r w:rsidR="0011728E" w:rsidRPr="000A4AAC">
        <w:rPr>
          <w:szCs w:val="22"/>
        </w:rPr>
        <w:t>) and the feasibility of this band will be further discussed</w:t>
      </w:r>
      <w:r w:rsidRPr="000A4AAC">
        <w:t>. CEPT</w:t>
      </w:r>
      <w:r w:rsidRPr="00FB7767">
        <w:t xml:space="preserve"> expects to define, for each band where CEPT establishes that D2D-IMT is feasible, the following regulatory limits:</w:t>
      </w:r>
    </w:p>
    <w:p w14:paraId="14907FA5" w14:textId="77777777" w:rsidR="0058729D" w:rsidRPr="00D400D5" w:rsidRDefault="0058729D" w:rsidP="00826FDB">
      <w:pPr>
        <w:pStyle w:val="ECCBulletsLv1"/>
        <w:numPr>
          <w:ilvl w:val="0"/>
          <w:numId w:val="20"/>
        </w:numPr>
      </w:pPr>
      <w:commentRangeStart w:id="12"/>
      <w:r w:rsidRPr="00D400D5">
        <w:t>Regulatory (Technical and/or operational) limits on D2D-IMT satellite emissions to protect WBB ECS services in co-channel and adjacent blocks;</w:t>
      </w:r>
    </w:p>
    <w:p w14:paraId="067D9AC3" w14:textId="77777777" w:rsidR="0058729D" w:rsidRPr="00D400D5" w:rsidRDefault="0058729D" w:rsidP="00826FDB">
      <w:pPr>
        <w:pStyle w:val="ECCBulletsLv1"/>
        <w:numPr>
          <w:ilvl w:val="0"/>
          <w:numId w:val="20"/>
        </w:numPr>
      </w:pPr>
      <w:r w:rsidRPr="00D400D5">
        <w:t>Regulatory (Technical and/or operational) limits on D2D-IMT satellite emissions to protect other services in the bands adjacent to WBB ECS;</w:t>
      </w:r>
    </w:p>
    <w:p w14:paraId="1BA6D8B3" w14:textId="77777777" w:rsidR="0058729D" w:rsidRPr="00D400D5" w:rsidRDefault="0058729D" w:rsidP="00826FDB">
      <w:pPr>
        <w:pStyle w:val="ECCBulletsLv1"/>
        <w:numPr>
          <w:ilvl w:val="0"/>
          <w:numId w:val="20"/>
        </w:numPr>
      </w:pPr>
      <w:r w:rsidRPr="00D400D5">
        <w:t>Regulatory (Technical and/or operational) limits on D2D-IMT satellite emissions to protect other services co-allocated in WBB ECS bands (if any).</w:t>
      </w:r>
      <w:commentRangeEnd w:id="12"/>
      <w:r w:rsidR="003C4329" w:rsidRPr="00D400D5">
        <w:rPr>
          <w:rStyle w:val="CommentReference"/>
          <w:sz w:val="20"/>
          <w:szCs w:val="22"/>
        </w:rPr>
        <w:commentReference w:id="12"/>
      </w:r>
    </w:p>
    <w:p w14:paraId="5C9138F3" w14:textId="77777777" w:rsidR="00AB46DF" w:rsidRPr="00ED080F" w:rsidRDefault="00AB46DF" w:rsidP="0045632B">
      <w:pPr>
        <w:outlineLvl w:val="2"/>
        <w:rPr>
          <w:lang w:val="en-GB"/>
        </w:rPr>
      </w:pPr>
    </w:p>
    <w:p w14:paraId="4A42A7E1" w14:textId="77777777" w:rsidR="00AB46DF" w:rsidRPr="00163D0F" w:rsidRDefault="00AB46DF">
      <w:pPr>
        <w:rPr>
          <w:lang w:val="en-GB"/>
        </w:rPr>
        <w:sectPr w:rsidR="00AB46DF" w:rsidRPr="00163D0F">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14:paraId="28E6FCC1" w14:textId="77777777" w:rsidR="00E6362F" w:rsidRDefault="00E6362F" w:rsidP="00E6362F">
      <w:pPr>
        <w:pStyle w:val="ECCAnnexheading1"/>
      </w:pPr>
      <w:bookmarkStart w:id="14" w:name="_Toc230352062"/>
      <w:bookmarkStart w:id="15" w:name="_Toc230352874"/>
      <w:bookmarkStart w:id="16" w:name="_Toc230360705"/>
      <w:bookmarkStart w:id="17" w:name="_Ref233271985"/>
      <w:bookmarkStart w:id="18" w:name="_Toc380059620"/>
      <w:bookmarkStart w:id="19" w:name="_Toc380059762"/>
      <w:bookmarkStart w:id="20" w:name="_Toc396383876"/>
      <w:bookmarkStart w:id="21" w:name="_Toc396917309"/>
      <w:bookmarkStart w:id="22" w:name="_Toc396917420"/>
      <w:bookmarkStart w:id="23" w:name="_Toc396917640"/>
      <w:bookmarkStart w:id="24" w:name="_Toc396917655"/>
      <w:bookmarkStart w:id="25" w:name="_Toc396917760"/>
      <w:bookmarkStart w:id="26" w:name="_Toc79649515"/>
      <w:bookmarkStart w:id="27" w:name="_Toc79649516"/>
      <w:r w:rsidRPr="008C75AB">
        <w:lastRenderedPageBreak/>
        <w:t>Link Budget for FDD bands 700 to 2600</w:t>
      </w:r>
      <w:r>
        <w:t xml:space="preserve"> mhz (example 1)</w:t>
      </w:r>
      <w:bookmarkEnd w:id="14"/>
      <w:bookmarkEnd w:id="15"/>
      <w:bookmarkEnd w:id="16"/>
      <w:bookmarkEnd w:id="17"/>
    </w:p>
    <w:p w14:paraId="407B3CAC" w14:textId="77777777" w:rsidR="00E6362F" w:rsidRDefault="00E6362F" w:rsidP="00E6362F">
      <w:pPr>
        <w:pStyle w:val="ECCAnnexheading2"/>
      </w:pPr>
      <w:bookmarkStart w:id="28" w:name="_Toc230352063"/>
      <w:r>
        <w:t>Space-to-earth</w:t>
      </w:r>
      <w:bookmarkEnd w:id="28"/>
    </w:p>
    <w:p w14:paraId="52D3740A" w14:textId="77777777" w:rsidR="00E6362F" w:rsidRDefault="00E6362F" w:rsidP="00E6362F">
      <w:pPr>
        <w:pStyle w:val="ECCAnnexheading3"/>
      </w:pPr>
      <w:r>
        <w:t>Assumptions and target service level</w:t>
      </w:r>
    </w:p>
    <w:p w14:paraId="15179082" w14:textId="77777777" w:rsidR="00E6362F" w:rsidRDefault="00E6362F" w:rsidP="00E6362F">
      <w:r>
        <w:t>The D2D-IMT system is designed around the following center scenario:</w:t>
      </w:r>
    </w:p>
    <w:p w14:paraId="440F7BC8" w14:textId="76596C6A" w:rsidR="00E6362F" w:rsidRDefault="00E6362F" w:rsidP="00E6362F">
      <w:pPr>
        <w:pStyle w:val="ECCBulletsLv1"/>
        <w:spacing w:line="288" w:lineRule="auto"/>
        <w:contextualSpacing/>
        <w:rPr>
          <w:lang w:val="en-US"/>
        </w:rPr>
      </w:pPr>
      <w:r>
        <w:rPr>
          <w:lang w:val="en-US"/>
        </w:rPr>
        <w:t>UE Antenna Gain = -3 dBi</w:t>
      </w:r>
      <w:r w:rsidR="00880D21">
        <w:rPr>
          <w:lang w:val="en-US"/>
        </w:rPr>
        <w:t>;</w:t>
      </w:r>
    </w:p>
    <w:p w14:paraId="210C761C" w14:textId="0DA58EE7" w:rsidR="00E6362F" w:rsidRDefault="00E6362F" w:rsidP="00E6362F">
      <w:pPr>
        <w:pStyle w:val="ECCBulletsLv1"/>
        <w:spacing w:line="288" w:lineRule="auto"/>
        <w:contextualSpacing/>
        <w:rPr>
          <w:lang w:val="en-US"/>
        </w:rPr>
      </w:pPr>
      <w:r>
        <w:rPr>
          <w:lang w:val="en-US"/>
        </w:rPr>
        <w:t>UE Noise Factor = 9 dB</w:t>
      </w:r>
      <w:r w:rsidR="00880D21">
        <w:rPr>
          <w:lang w:val="en-US"/>
        </w:rPr>
        <w:t>;</w:t>
      </w:r>
    </w:p>
    <w:p w14:paraId="761BCA77" w14:textId="3FAD878E" w:rsidR="00E6362F" w:rsidRDefault="00E6362F" w:rsidP="00E6362F">
      <w:pPr>
        <w:pStyle w:val="ECCBulletsLv1"/>
        <w:spacing w:line="288" w:lineRule="auto"/>
        <w:contextualSpacing/>
        <w:rPr>
          <w:lang w:val="en-US"/>
        </w:rPr>
      </w:pPr>
      <w:r>
        <w:rPr>
          <w:lang w:val="en-US"/>
        </w:rPr>
        <w:t>Terrestrial Loss (to compensate for local propagation losses) = 10 dB</w:t>
      </w:r>
      <w:r w:rsidR="00880D21">
        <w:rPr>
          <w:lang w:val="en-US"/>
        </w:rPr>
        <w:t>;</w:t>
      </w:r>
    </w:p>
    <w:p w14:paraId="23331D36" w14:textId="77777777" w:rsidR="00E6362F" w:rsidRDefault="00E6362F" w:rsidP="00E6362F">
      <w:pPr>
        <w:pStyle w:val="ECCBulletsLv1"/>
        <w:spacing w:line="288" w:lineRule="auto"/>
        <w:contextualSpacing/>
        <w:rPr>
          <w:lang w:val="en-US"/>
        </w:rPr>
      </w:pPr>
      <w:r>
        <w:rPr>
          <w:lang w:val="en-US"/>
        </w:rPr>
        <w:t>Target SNR = 10 dB.</w:t>
      </w:r>
    </w:p>
    <w:p w14:paraId="7AF45C55" w14:textId="77777777" w:rsidR="00E6362F" w:rsidRDefault="00E6362F" w:rsidP="00E6362F">
      <w:pPr>
        <w:pStyle w:val="ECCAnnexheading3"/>
      </w:pPr>
      <w:r>
        <w:t>Link Budget</w:t>
      </w:r>
    </w:p>
    <w:p w14:paraId="0B87202B" w14:textId="69B63F45" w:rsidR="00E6362F" w:rsidRDefault="00E6362F" w:rsidP="00E6362F">
      <w:r>
        <w:fldChar w:fldCharType="begin"/>
      </w:r>
      <w:r>
        <w:instrText xml:space="preserve"> REF _Ref217924380 \h </w:instrText>
      </w:r>
      <w:r>
        <w:fldChar w:fldCharType="separate"/>
      </w:r>
      <w:r w:rsidR="00880D21">
        <w:t xml:space="preserve">Table </w:t>
      </w:r>
      <w:r w:rsidR="00880D21">
        <w:rPr>
          <w:noProof/>
        </w:rPr>
        <w:t>2</w:t>
      </w:r>
      <w:r>
        <w:fldChar w:fldCharType="end"/>
      </w:r>
      <w:r>
        <w:t xml:space="preserve"> presents a representative space-to-earth link budget for a 5 MHz carrier at 700 MHz, based on the equation below,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8555"/>
        <w:gridCol w:w="461"/>
      </w:tblGrid>
      <w:tr w:rsidR="00E6362F" w:rsidRPr="00B216B4" w14:paraId="65682F86" w14:textId="77777777" w:rsidTr="005E30F7">
        <w:tc>
          <w:tcPr>
            <w:tcW w:w="330" w:type="pct"/>
          </w:tcPr>
          <w:p w14:paraId="7938165F" w14:textId="77777777" w:rsidR="00E6362F" w:rsidRPr="00B216B4" w:rsidRDefault="00E6362F" w:rsidP="005E30F7">
            <w:pPr>
              <w:spacing w:before="120" w:after="120"/>
            </w:pPr>
          </w:p>
        </w:tc>
        <w:tc>
          <w:tcPr>
            <w:tcW w:w="4444" w:type="pct"/>
          </w:tcPr>
          <w:p w14:paraId="77BF28E1" w14:textId="77777777" w:rsidR="00E6362F" w:rsidRPr="00B216B4" w:rsidRDefault="00E6362F" w:rsidP="005E30F7">
            <w:pPr>
              <w:spacing w:before="120" w:after="120"/>
            </w:pPr>
            <m:oMathPara>
              <m:oMathParaPr>
                <m:jc m:val="center"/>
              </m:oMathParaPr>
              <m:oMath>
                <m:r>
                  <m:rPr>
                    <m:sty m:val="p"/>
                  </m:rPr>
                  <w:rPr>
                    <w:rFonts w:ascii="Cambria Math" w:hAnsi="Cambria Math"/>
                  </w:rPr>
                  <m:t>RTrP=Nth+UE_NF+TSNR+UE_AG+TL+PL+SAT_AG,</m:t>
                </m:r>
              </m:oMath>
            </m:oMathPara>
          </w:p>
        </w:tc>
        <w:tc>
          <w:tcPr>
            <w:tcW w:w="226" w:type="pct"/>
          </w:tcPr>
          <w:p w14:paraId="7B902F01" w14:textId="77777777" w:rsidR="00E6362F" w:rsidRPr="00B216B4" w:rsidRDefault="00E6362F" w:rsidP="005E30F7">
            <w:pPr>
              <w:spacing w:before="120" w:after="120"/>
              <w:jc w:val="right"/>
            </w:pPr>
            <w:r w:rsidRPr="00B216B4">
              <w:t>(</w:t>
            </w:r>
            <w:r>
              <w:fldChar w:fldCharType="begin"/>
            </w:r>
            <w:r>
              <w:instrText xml:space="preserve"> SEQ Equation \* ARABIC </w:instrText>
            </w:r>
            <w:r>
              <w:fldChar w:fldCharType="separate"/>
            </w:r>
            <w:r>
              <w:rPr>
                <w:noProof/>
              </w:rPr>
              <w:t>1</w:t>
            </w:r>
            <w:r>
              <w:rPr>
                <w:noProof/>
              </w:rPr>
              <w:fldChar w:fldCharType="end"/>
            </w:r>
            <w:r w:rsidRPr="00B216B4">
              <w:t>)</w:t>
            </w:r>
          </w:p>
        </w:tc>
      </w:tr>
    </w:tbl>
    <w:p w14:paraId="76803F3E" w14:textId="77777777" w:rsidR="00E6362F" w:rsidRDefault="00E6362F" w:rsidP="00E6362F">
      <w:pPr>
        <w:jc w:val="center"/>
      </w:pPr>
    </w:p>
    <w:p w14:paraId="31071227" w14:textId="77777777" w:rsidR="00E6362F" w:rsidRDefault="00E6362F" w:rsidP="00E6362F">
      <w:r>
        <w:t>where:</w:t>
      </w:r>
    </w:p>
    <w:p w14:paraId="775039E8" w14:textId="77777777" w:rsidR="00E6362F" w:rsidRDefault="00E6362F" w:rsidP="00E6362F">
      <w:pPr>
        <w:pStyle w:val="ECCBulletsLv1"/>
        <w:ind w:left="357" w:hanging="357"/>
      </w:pPr>
      <w:r>
        <w:t>RTrP is the Required Transmit Power (dBm);</w:t>
      </w:r>
    </w:p>
    <w:p w14:paraId="5BCA6E05" w14:textId="77777777" w:rsidR="00E6362F" w:rsidRDefault="00E6362F" w:rsidP="00E6362F">
      <w:pPr>
        <w:pStyle w:val="ECCBulletsLv1"/>
        <w:ind w:left="357" w:hanging="357"/>
      </w:pPr>
      <w:r>
        <w:t>Nth is the thermal noise for the BW considered (dBm);</w:t>
      </w:r>
    </w:p>
    <w:p w14:paraId="7FEB8FA7" w14:textId="77777777" w:rsidR="00E6362F" w:rsidRDefault="00E6362F" w:rsidP="00E6362F">
      <w:pPr>
        <w:pStyle w:val="ECCBulletsLv1"/>
        <w:ind w:left="357" w:hanging="357"/>
      </w:pPr>
      <w:r>
        <w:t>UE_NF is the UE Noise Factor (dB);</w:t>
      </w:r>
    </w:p>
    <w:p w14:paraId="0AF2F1B5" w14:textId="77777777" w:rsidR="00E6362F" w:rsidRDefault="00E6362F" w:rsidP="00E6362F">
      <w:pPr>
        <w:pStyle w:val="ECCBulletsLv1"/>
        <w:ind w:left="357" w:hanging="357"/>
      </w:pPr>
      <w:r>
        <w:t>TSNR is the Target SNR (dB);</w:t>
      </w:r>
    </w:p>
    <w:p w14:paraId="252F5FEF" w14:textId="77777777" w:rsidR="00E6362F" w:rsidRDefault="00E6362F" w:rsidP="00E6362F">
      <w:pPr>
        <w:pStyle w:val="ECCBulletsLv1"/>
        <w:ind w:left="357" w:hanging="357"/>
      </w:pPr>
      <w:r>
        <w:t xml:space="preserve">UE_AG is the antenna gain of </w:t>
      </w:r>
      <w:r w:rsidRPr="003F76FA">
        <w:t>the WBB ECS User</w:t>
      </w:r>
      <w:r>
        <w:t xml:space="preserve"> Equipment (dBi);</w:t>
      </w:r>
    </w:p>
    <w:p w14:paraId="258009A0" w14:textId="77777777" w:rsidR="00E6362F" w:rsidRDefault="00E6362F" w:rsidP="00E6362F">
      <w:pPr>
        <w:pStyle w:val="ECCBulletsLv1"/>
        <w:ind w:left="357" w:hanging="357"/>
      </w:pPr>
      <w:r>
        <w:t>TL is the terrestrial Loss, i.e. a system margin to guarantee QoS (dB);</w:t>
      </w:r>
    </w:p>
    <w:p w14:paraId="3BFE02A3" w14:textId="77777777" w:rsidR="00E6362F" w:rsidRDefault="00E6362F" w:rsidP="00E6362F">
      <w:pPr>
        <w:pStyle w:val="ECCBulletsLv1"/>
        <w:ind w:left="357" w:hanging="357"/>
      </w:pPr>
      <w:r>
        <w:t>PL is the pathloss from the satellite to the ground (dB);</w:t>
      </w:r>
    </w:p>
    <w:p w14:paraId="1AB7F3F2" w14:textId="77777777" w:rsidR="00E6362F" w:rsidRDefault="00E6362F" w:rsidP="00E6362F">
      <w:pPr>
        <w:pStyle w:val="ECCBulletsLv1"/>
        <w:ind w:left="357" w:hanging="357"/>
      </w:pPr>
      <w:r>
        <w:t>SAT_AG is the antenna gain of the satellite (dBi).</w:t>
      </w:r>
    </w:p>
    <w:p w14:paraId="1E163E64" w14:textId="77777777" w:rsidR="00E6362F" w:rsidRDefault="00E6362F" w:rsidP="00E6362F">
      <w:pPr>
        <w:pStyle w:val="Caption"/>
      </w:pPr>
      <w:bookmarkStart w:id="29" w:name="_Ref217924380"/>
      <w:r>
        <w:t xml:space="preserve">Table </w:t>
      </w:r>
      <w:r>
        <w:fldChar w:fldCharType="begin"/>
      </w:r>
      <w:r>
        <w:instrText xml:space="preserve"> SEQ Table \* ARABIC </w:instrText>
      </w:r>
      <w:r>
        <w:fldChar w:fldCharType="separate"/>
      </w:r>
      <w:r>
        <w:rPr>
          <w:noProof/>
        </w:rPr>
        <w:t>2</w:t>
      </w:r>
      <w:r>
        <w:fldChar w:fldCharType="end"/>
      </w:r>
      <w:bookmarkEnd w:id="29"/>
      <w:r>
        <w:t>: Representative Space-to-earth Link Budget 700 MHz</w:t>
      </w:r>
    </w:p>
    <w:tbl>
      <w:tblPr>
        <w:tblStyle w:val="ECCTable-redheader"/>
        <w:tblW w:w="4046" w:type="pct"/>
        <w:tblInd w:w="0" w:type="dxa"/>
        <w:tblLook w:val="04A0" w:firstRow="1" w:lastRow="0" w:firstColumn="1" w:lastColumn="0" w:noHBand="0" w:noVBand="1"/>
      </w:tblPr>
      <w:tblGrid>
        <w:gridCol w:w="3259"/>
        <w:gridCol w:w="1923"/>
        <w:gridCol w:w="2610"/>
      </w:tblGrid>
      <w:tr w:rsidR="00E6362F" w14:paraId="69C6938D" w14:textId="77777777" w:rsidTr="005E30F7">
        <w:trPr>
          <w:cnfStyle w:val="100000000000" w:firstRow="1" w:lastRow="0" w:firstColumn="0" w:lastColumn="0" w:oddVBand="0" w:evenVBand="0" w:oddHBand="0" w:evenHBand="0" w:firstRowFirstColumn="0" w:firstRowLastColumn="0" w:lastRowFirstColumn="0" w:lastRowLastColumn="0"/>
          <w:trHeight w:val="265"/>
        </w:trPr>
        <w:tc>
          <w:tcPr>
            <w:tcW w:w="3325" w:type="pct"/>
            <w:gridSpan w:val="2"/>
          </w:tcPr>
          <w:p w14:paraId="56645400" w14:textId="77777777" w:rsidR="00E6362F" w:rsidRPr="005B0294" w:rsidRDefault="00E6362F" w:rsidP="005E30F7">
            <w:pPr>
              <w:pStyle w:val="ECCTableHeaderwhitefont"/>
              <w:rPr>
                <w:lang w:val="en-GB"/>
              </w:rPr>
            </w:pPr>
          </w:p>
        </w:tc>
        <w:tc>
          <w:tcPr>
            <w:tcW w:w="1675" w:type="pct"/>
            <w:hideMark/>
          </w:tcPr>
          <w:p w14:paraId="61F75D63" w14:textId="77777777" w:rsidR="00E6362F" w:rsidRPr="00C13540" w:rsidRDefault="00E6362F" w:rsidP="005E30F7">
            <w:pPr>
              <w:pStyle w:val="ECCTableHeaderwhitefont"/>
            </w:pPr>
            <w:r w:rsidRPr="00C13540">
              <w:rPr>
                <w:lang w:val="en-GB"/>
              </w:rPr>
              <w:t>Power (dBm)</w:t>
            </w:r>
          </w:p>
        </w:tc>
      </w:tr>
      <w:tr w:rsidR="00E6362F" w14:paraId="65043E9C" w14:textId="77777777" w:rsidTr="005E30F7">
        <w:trPr>
          <w:trHeight w:val="265"/>
        </w:trPr>
        <w:tc>
          <w:tcPr>
            <w:tcW w:w="2091" w:type="pct"/>
            <w:hideMark/>
          </w:tcPr>
          <w:p w14:paraId="02177A58" w14:textId="77777777" w:rsidR="00E6362F" w:rsidRPr="00DD6AE9" w:rsidRDefault="00E6362F" w:rsidP="005E30F7">
            <w:pPr>
              <w:pStyle w:val="ECCTabletext"/>
            </w:pPr>
            <w:r w:rsidRPr="00C13540">
              <w:t>Noise level 4.5 MHz</w:t>
            </w:r>
          </w:p>
        </w:tc>
        <w:tc>
          <w:tcPr>
            <w:tcW w:w="1234" w:type="pct"/>
            <w:hideMark/>
          </w:tcPr>
          <w:p w14:paraId="59BD2795" w14:textId="77777777" w:rsidR="00E6362F" w:rsidRPr="00DD6AE9" w:rsidRDefault="00E6362F" w:rsidP="005E30F7">
            <w:pPr>
              <w:pStyle w:val="ECCTabletext"/>
            </w:pPr>
            <w:r w:rsidRPr="00C13540">
              <w:t>-107.5 dBm</w:t>
            </w:r>
          </w:p>
        </w:tc>
        <w:tc>
          <w:tcPr>
            <w:tcW w:w="1675" w:type="pct"/>
            <w:hideMark/>
          </w:tcPr>
          <w:p w14:paraId="48A46003" w14:textId="77777777" w:rsidR="00E6362F" w:rsidRPr="00DD6AE9" w:rsidRDefault="00E6362F" w:rsidP="005E30F7">
            <w:pPr>
              <w:pStyle w:val="ECCTabletext"/>
            </w:pPr>
            <w:r w:rsidRPr="00C13540">
              <w:t>-107.5</w:t>
            </w:r>
          </w:p>
        </w:tc>
      </w:tr>
      <w:tr w:rsidR="00E6362F" w14:paraId="47DA29F5" w14:textId="77777777" w:rsidTr="005E30F7">
        <w:trPr>
          <w:trHeight w:val="265"/>
        </w:trPr>
        <w:tc>
          <w:tcPr>
            <w:tcW w:w="2091" w:type="pct"/>
            <w:hideMark/>
          </w:tcPr>
          <w:p w14:paraId="6EE2D99C" w14:textId="77777777" w:rsidR="00E6362F" w:rsidRPr="00DD6AE9" w:rsidRDefault="00E6362F" w:rsidP="005E30F7">
            <w:pPr>
              <w:pStyle w:val="ECCTabletext"/>
            </w:pPr>
            <w:r w:rsidRPr="00C13540">
              <w:t>UE Noise factor</w:t>
            </w:r>
          </w:p>
        </w:tc>
        <w:tc>
          <w:tcPr>
            <w:tcW w:w="1234" w:type="pct"/>
            <w:hideMark/>
          </w:tcPr>
          <w:p w14:paraId="0FC327F1" w14:textId="77777777" w:rsidR="00E6362F" w:rsidRPr="00DD6AE9" w:rsidRDefault="00E6362F" w:rsidP="005E30F7">
            <w:pPr>
              <w:pStyle w:val="ECCTabletext"/>
            </w:pPr>
            <w:r w:rsidRPr="00C13540">
              <w:t>9 dB</w:t>
            </w:r>
          </w:p>
        </w:tc>
        <w:tc>
          <w:tcPr>
            <w:tcW w:w="1675" w:type="pct"/>
            <w:hideMark/>
          </w:tcPr>
          <w:p w14:paraId="4CDFFC2D" w14:textId="77777777" w:rsidR="00E6362F" w:rsidRPr="00DD6AE9" w:rsidRDefault="00E6362F" w:rsidP="005E30F7">
            <w:pPr>
              <w:pStyle w:val="ECCTabletext"/>
            </w:pPr>
            <w:r w:rsidRPr="00C13540">
              <w:t>-98.5</w:t>
            </w:r>
          </w:p>
        </w:tc>
      </w:tr>
      <w:tr w:rsidR="00E6362F" w14:paraId="2A5BF14D" w14:textId="77777777" w:rsidTr="005E30F7">
        <w:trPr>
          <w:trHeight w:val="265"/>
        </w:trPr>
        <w:tc>
          <w:tcPr>
            <w:tcW w:w="2091" w:type="pct"/>
            <w:hideMark/>
          </w:tcPr>
          <w:p w14:paraId="17886D27" w14:textId="77777777" w:rsidR="00E6362F" w:rsidRPr="00C13540" w:rsidRDefault="00E6362F" w:rsidP="005E30F7">
            <w:pPr>
              <w:pStyle w:val="ECCTabletext"/>
            </w:pPr>
            <w:r w:rsidRPr="00C13540">
              <w:t>Target SNR</w:t>
            </w:r>
          </w:p>
        </w:tc>
        <w:tc>
          <w:tcPr>
            <w:tcW w:w="1234" w:type="pct"/>
            <w:hideMark/>
          </w:tcPr>
          <w:p w14:paraId="67D04024" w14:textId="77777777" w:rsidR="00E6362F" w:rsidRPr="00C13540" w:rsidRDefault="00E6362F" w:rsidP="005E30F7">
            <w:pPr>
              <w:pStyle w:val="ECCTabletext"/>
            </w:pPr>
            <w:r w:rsidRPr="00C13540">
              <w:t>10 dB</w:t>
            </w:r>
          </w:p>
        </w:tc>
        <w:tc>
          <w:tcPr>
            <w:tcW w:w="1675" w:type="pct"/>
            <w:hideMark/>
          </w:tcPr>
          <w:p w14:paraId="3B399027" w14:textId="77777777" w:rsidR="00E6362F" w:rsidRPr="00C13540" w:rsidRDefault="00E6362F" w:rsidP="005E30F7">
            <w:pPr>
              <w:pStyle w:val="ECCTabletext"/>
            </w:pPr>
            <w:r w:rsidRPr="00C13540">
              <w:t>-88.5</w:t>
            </w:r>
          </w:p>
        </w:tc>
      </w:tr>
      <w:tr w:rsidR="00E6362F" w14:paraId="6565251E" w14:textId="77777777" w:rsidTr="005E30F7">
        <w:trPr>
          <w:trHeight w:val="265"/>
        </w:trPr>
        <w:tc>
          <w:tcPr>
            <w:tcW w:w="2091" w:type="pct"/>
            <w:hideMark/>
          </w:tcPr>
          <w:p w14:paraId="2444D53D" w14:textId="77777777" w:rsidR="00E6362F" w:rsidRPr="00DD6AE9" w:rsidRDefault="00E6362F" w:rsidP="005E30F7">
            <w:pPr>
              <w:pStyle w:val="ECCTabletext"/>
            </w:pPr>
            <w:r w:rsidRPr="00C13540">
              <w:t>UE Antenna Gain</w:t>
            </w:r>
          </w:p>
        </w:tc>
        <w:tc>
          <w:tcPr>
            <w:tcW w:w="1234" w:type="pct"/>
            <w:hideMark/>
          </w:tcPr>
          <w:p w14:paraId="7FB55CD3" w14:textId="77777777" w:rsidR="00E6362F" w:rsidRPr="00DD6AE9" w:rsidRDefault="00E6362F" w:rsidP="005E30F7">
            <w:pPr>
              <w:pStyle w:val="ECCTabletext"/>
            </w:pPr>
            <w:r w:rsidRPr="00C13540">
              <w:t>-3 dBi</w:t>
            </w:r>
          </w:p>
        </w:tc>
        <w:tc>
          <w:tcPr>
            <w:tcW w:w="1675" w:type="pct"/>
            <w:hideMark/>
          </w:tcPr>
          <w:p w14:paraId="6BB6F86C" w14:textId="77777777" w:rsidR="00E6362F" w:rsidRPr="00DD6AE9" w:rsidRDefault="00E6362F" w:rsidP="005E30F7">
            <w:pPr>
              <w:pStyle w:val="ECCTabletext"/>
            </w:pPr>
            <w:r w:rsidRPr="00C13540">
              <w:t>-85.5</w:t>
            </w:r>
          </w:p>
        </w:tc>
      </w:tr>
      <w:tr w:rsidR="00E6362F" w14:paraId="754CB256" w14:textId="77777777" w:rsidTr="005E30F7">
        <w:trPr>
          <w:trHeight w:val="265"/>
        </w:trPr>
        <w:tc>
          <w:tcPr>
            <w:tcW w:w="2091" w:type="pct"/>
            <w:hideMark/>
          </w:tcPr>
          <w:p w14:paraId="744DE0AA" w14:textId="77777777" w:rsidR="00E6362F" w:rsidRPr="00DD6AE9" w:rsidRDefault="00E6362F" w:rsidP="005E30F7">
            <w:pPr>
              <w:pStyle w:val="ECCTabletext"/>
            </w:pPr>
            <w:r w:rsidRPr="00C13540">
              <w:t>Terrestrial Loss</w:t>
            </w:r>
          </w:p>
        </w:tc>
        <w:tc>
          <w:tcPr>
            <w:tcW w:w="1234" w:type="pct"/>
            <w:hideMark/>
          </w:tcPr>
          <w:p w14:paraId="6AB0C1C2" w14:textId="77777777" w:rsidR="00E6362F" w:rsidRPr="00DD6AE9" w:rsidRDefault="00E6362F" w:rsidP="005E30F7">
            <w:pPr>
              <w:pStyle w:val="ECCTabletext"/>
            </w:pPr>
            <w:r w:rsidRPr="00C13540">
              <w:t>10 dB</w:t>
            </w:r>
          </w:p>
        </w:tc>
        <w:tc>
          <w:tcPr>
            <w:tcW w:w="1675" w:type="pct"/>
            <w:hideMark/>
          </w:tcPr>
          <w:p w14:paraId="1A060DD0" w14:textId="77777777" w:rsidR="00E6362F" w:rsidRPr="00DD6AE9" w:rsidRDefault="00E6362F" w:rsidP="005E30F7">
            <w:pPr>
              <w:pStyle w:val="ECCTabletext"/>
            </w:pPr>
            <w:r w:rsidRPr="00C13540">
              <w:t>-75.5</w:t>
            </w:r>
          </w:p>
        </w:tc>
      </w:tr>
      <w:tr w:rsidR="00E6362F" w14:paraId="30162945" w14:textId="77777777" w:rsidTr="005E30F7">
        <w:trPr>
          <w:trHeight w:val="265"/>
        </w:trPr>
        <w:tc>
          <w:tcPr>
            <w:tcW w:w="2091" w:type="pct"/>
            <w:hideMark/>
          </w:tcPr>
          <w:p w14:paraId="1A627BEA" w14:textId="77777777" w:rsidR="00E6362F" w:rsidRPr="00DD6AE9" w:rsidRDefault="00E6362F" w:rsidP="005E30F7">
            <w:pPr>
              <w:pStyle w:val="ECCTabletext"/>
            </w:pPr>
            <w:r w:rsidRPr="00C13540">
              <w:t>Pathloss</w:t>
            </w:r>
          </w:p>
        </w:tc>
        <w:tc>
          <w:tcPr>
            <w:tcW w:w="1234" w:type="pct"/>
            <w:hideMark/>
          </w:tcPr>
          <w:p w14:paraId="4F387E6C" w14:textId="77777777" w:rsidR="00E6362F" w:rsidRPr="00DD6AE9" w:rsidRDefault="00E6362F" w:rsidP="005E30F7">
            <w:pPr>
              <w:pStyle w:val="ECCTabletext"/>
            </w:pPr>
            <w:r w:rsidRPr="00C13540">
              <w:t>147.1 dB</w:t>
            </w:r>
          </w:p>
        </w:tc>
        <w:tc>
          <w:tcPr>
            <w:tcW w:w="1675" w:type="pct"/>
            <w:hideMark/>
          </w:tcPr>
          <w:p w14:paraId="4556DAD6" w14:textId="77777777" w:rsidR="00E6362F" w:rsidRPr="00DD6AE9" w:rsidRDefault="00E6362F" w:rsidP="005E30F7">
            <w:pPr>
              <w:pStyle w:val="ECCTabletext"/>
            </w:pPr>
            <w:r w:rsidRPr="00C13540">
              <w:t>71.6</w:t>
            </w:r>
          </w:p>
        </w:tc>
      </w:tr>
      <w:tr w:rsidR="00E6362F" w14:paraId="476CA5E8" w14:textId="77777777" w:rsidTr="005E30F7">
        <w:trPr>
          <w:trHeight w:val="265"/>
        </w:trPr>
        <w:tc>
          <w:tcPr>
            <w:tcW w:w="2091" w:type="pct"/>
            <w:hideMark/>
          </w:tcPr>
          <w:p w14:paraId="5D3A1AA0" w14:textId="77777777" w:rsidR="00E6362F" w:rsidRPr="00DD6AE9" w:rsidRDefault="00E6362F" w:rsidP="005E30F7">
            <w:pPr>
              <w:pStyle w:val="ECCTabletext"/>
            </w:pPr>
            <w:r w:rsidRPr="00C13540">
              <w:t>Satellite Antenna Directivity</w:t>
            </w:r>
          </w:p>
        </w:tc>
        <w:tc>
          <w:tcPr>
            <w:tcW w:w="1234" w:type="pct"/>
            <w:hideMark/>
          </w:tcPr>
          <w:p w14:paraId="191C4ECF" w14:textId="77777777" w:rsidR="00E6362F" w:rsidRPr="00DD6AE9" w:rsidRDefault="00E6362F" w:rsidP="005E30F7">
            <w:pPr>
              <w:pStyle w:val="ECCTabletext"/>
            </w:pPr>
            <w:r w:rsidRPr="00C13540">
              <w:t>36.9 dBi</w:t>
            </w:r>
          </w:p>
        </w:tc>
        <w:tc>
          <w:tcPr>
            <w:tcW w:w="1675" w:type="pct"/>
            <w:hideMark/>
          </w:tcPr>
          <w:p w14:paraId="6E081724" w14:textId="77777777" w:rsidR="00E6362F" w:rsidRPr="00DD6AE9" w:rsidRDefault="00E6362F" w:rsidP="005E30F7">
            <w:pPr>
              <w:pStyle w:val="ECCTabletext"/>
            </w:pPr>
            <w:r w:rsidRPr="00C13540">
              <w:t>34.7</w:t>
            </w:r>
          </w:p>
        </w:tc>
      </w:tr>
    </w:tbl>
    <w:p w14:paraId="2E25896D" w14:textId="5D22A401" w:rsidR="00E6362F" w:rsidRDefault="00E6362F" w:rsidP="00E6362F">
      <w:pPr>
        <w:pStyle w:val="ECCParagraph"/>
      </w:pPr>
      <w:r>
        <w:t>The link budget is achieved at 700 MHz by transmitting a total power of 34.7 dBm to achieve a minimum received power of -88.5 dBm, requiring a maximum PFD on the ground of -92.8 dB</w:t>
      </w:r>
      <w:r w:rsidR="00CD6677">
        <w:t xml:space="preserve"> </w:t>
      </w:r>
      <w:r>
        <w:t>(W/(m</w:t>
      </w:r>
      <w:r>
        <w:rPr>
          <w:vertAlign w:val="superscript"/>
        </w:rPr>
        <w:t>2</w:t>
      </w:r>
      <w:r>
        <w:t>.MHz))</w:t>
      </w:r>
      <w:r w:rsidR="00CD6677">
        <w:t xml:space="preserve"> </w:t>
      </w:r>
      <w:r>
        <w:t xml:space="preserve">for losses (terrestrial and UE antenna) up to 13 dB. </w:t>
      </w:r>
    </w:p>
    <w:p w14:paraId="7115F3C2" w14:textId="4845041F" w:rsidR="00E6362F" w:rsidRDefault="000A3521" w:rsidP="00E6362F">
      <w:pPr>
        <w:pStyle w:val="ECCParagraph"/>
      </w:pPr>
      <w:r>
        <w:fldChar w:fldCharType="begin"/>
      </w:r>
      <w:r>
        <w:instrText xml:space="preserve"> REF _Ref217924462 \h </w:instrText>
      </w:r>
      <w:r>
        <w:fldChar w:fldCharType="separate"/>
      </w:r>
      <w:r>
        <w:t xml:space="preserve">Table </w:t>
      </w:r>
      <w:r>
        <w:rPr>
          <w:noProof/>
        </w:rPr>
        <w:t>3</w:t>
      </w:r>
      <w:r>
        <w:fldChar w:fldCharType="end"/>
      </w:r>
      <w:r>
        <w:t xml:space="preserve"> </w:t>
      </w:r>
      <w:r w:rsidR="00E6362F">
        <w:t>presents a representative space-to-earth link budget for a 5 MHz carrier at 2600 MHz, based on the same equation as the 700 MHz link budget.</w:t>
      </w:r>
    </w:p>
    <w:p w14:paraId="72355F85" w14:textId="77777777" w:rsidR="00E6362F" w:rsidRDefault="00E6362F" w:rsidP="00E6362F">
      <w:pPr>
        <w:pStyle w:val="Caption"/>
      </w:pPr>
      <w:bookmarkStart w:id="30" w:name="_Ref217924462"/>
      <w:r>
        <w:lastRenderedPageBreak/>
        <w:t xml:space="preserve">Table </w:t>
      </w:r>
      <w:r>
        <w:fldChar w:fldCharType="begin"/>
      </w:r>
      <w:r>
        <w:instrText xml:space="preserve"> SEQ Table \* ARABIC </w:instrText>
      </w:r>
      <w:r>
        <w:fldChar w:fldCharType="separate"/>
      </w:r>
      <w:r>
        <w:rPr>
          <w:noProof/>
        </w:rPr>
        <w:t>3</w:t>
      </w:r>
      <w:r>
        <w:fldChar w:fldCharType="end"/>
      </w:r>
      <w:bookmarkEnd w:id="30"/>
      <w:r>
        <w:t>: Representative Space-to-earth Link Budget 2600 MHz</w:t>
      </w:r>
    </w:p>
    <w:tbl>
      <w:tblPr>
        <w:tblStyle w:val="ECCTable-redheader"/>
        <w:tblW w:w="3310" w:type="pct"/>
        <w:tblInd w:w="0" w:type="dxa"/>
        <w:tblLook w:val="04A0" w:firstRow="1" w:lastRow="0" w:firstColumn="1" w:lastColumn="0" w:noHBand="0" w:noVBand="1"/>
      </w:tblPr>
      <w:tblGrid>
        <w:gridCol w:w="2830"/>
        <w:gridCol w:w="1560"/>
        <w:gridCol w:w="1984"/>
      </w:tblGrid>
      <w:tr w:rsidR="00E6362F" w14:paraId="413BA593" w14:textId="77777777" w:rsidTr="005E30F7">
        <w:trPr>
          <w:cnfStyle w:val="100000000000" w:firstRow="1" w:lastRow="0" w:firstColumn="0" w:lastColumn="0" w:oddVBand="0" w:evenVBand="0" w:oddHBand="0" w:evenHBand="0" w:firstRowFirstColumn="0" w:firstRowLastColumn="0" w:lastRowFirstColumn="0" w:lastRowLastColumn="0"/>
          <w:trHeight w:val="265"/>
        </w:trPr>
        <w:tc>
          <w:tcPr>
            <w:tcW w:w="3444" w:type="pct"/>
            <w:gridSpan w:val="2"/>
            <w:tcBorders>
              <w:top w:val="single" w:sz="4" w:space="0" w:color="FFFFFF" w:themeColor="background1"/>
              <w:left w:val="single" w:sz="4" w:space="0" w:color="FFFFFF" w:themeColor="background1"/>
              <w:bottom w:val="single" w:sz="4" w:space="0" w:color="FFFFFF" w:themeColor="background1"/>
            </w:tcBorders>
            <w:vAlign w:val="top"/>
          </w:tcPr>
          <w:p w14:paraId="049E6FE0" w14:textId="77777777" w:rsidR="00E6362F" w:rsidRPr="005B0294" w:rsidRDefault="00E6362F" w:rsidP="00754742">
            <w:pPr>
              <w:pStyle w:val="ECCTableHeaderwhitefont"/>
              <w:rPr>
                <w:lang w:val="en-GB"/>
              </w:rPr>
            </w:pPr>
          </w:p>
        </w:tc>
        <w:tc>
          <w:tcPr>
            <w:tcW w:w="1556" w:type="pct"/>
            <w:hideMark/>
          </w:tcPr>
          <w:p w14:paraId="4D368FE8" w14:textId="77777777" w:rsidR="00E6362F" w:rsidRPr="00C13540" w:rsidRDefault="00E6362F" w:rsidP="00754742">
            <w:pPr>
              <w:pStyle w:val="ECCTableHeaderwhitefont"/>
            </w:pPr>
            <w:r w:rsidRPr="00C13540">
              <w:rPr>
                <w:lang w:val="en-GB"/>
              </w:rPr>
              <w:t>Power (dBm)</w:t>
            </w:r>
          </w:p>
        </w:tc>
      </w:tr>
      <w:tr w:rsidR="00E6362F" w14:paraId="063EEDC0" w14:textId="77777777" w:rsidTr="005E30F7">
        <w:trPr>
          <w:trHeight w:val="265"/>
        </w:trPr>
        <w:tc>
          <w:tcPr>
            <w:tcW w:w="2220" w:type="pct"/>
            <w:tcBorders>
              <w:top w:val="single" w:sz="4" w:space="0" w:color="D22A23"/>
              <w:left w:val="single" w:sz="4" w:space="0" w:color="D22A23"/>
              <w:bottom w:val="single" w:sz="4" w:space="0" w:color="D22A23"/>
              <w:right w:val="single" w:sz="4" w:space="0" w:color="D22A23"/>
            </w:tcBorders>
            <w:vAlign w:val="bottom"/>
            <w:hideMark/>
          </w:tcPr>
          <w:p w14:paraId="284BE0A1" w14:textId="77777777" w:rsidR="00E6362F" w:rsidRPr="00DD6AE9" w:rsidRDefault="00E6362F" w:rsidP="005E30F7">
            <w:pPr>
              <w:pStyle w:val="ECCTabletext"/>
            </w:pPr>
            <w:r w:rsidRPr="00C13540">
              <w:t>Noise level 4.5 MHz</w:t>
            </w:r>
          </w:p>
        </w:tc>
        <w:tc>
          <w:tcPr>
            <w:tcW w:w="1224" w:type="pct"/>
            <w:tcBorders>
              <w:top w:val="single" w:sz="4" w:space="0" w:color="D22A23"/>
              <w:left w:val="single" w:sz="4" w:space="0" w:color="D22A23"/>
              <w:bottom w:val="single" w:sz="4" w:space="0" w:color="D22A23"/>
              <w:right w:val="single" w:sz="4" w:space="0" w:color="D22A23"/>
            </w:tcBorders>
            <w:vAlign w:val="bottom"/>
            <w:hideMark/>
          </w:tcPr>
          <w:p w14:paraId="01F54D5E" w14:textId="77777777" w:rsidR="00E6362F" w:rsidRPr="00DD6AE9" w:rsidRDefault="00E6362F" w:rsidP="005E30F7">
            <w:pPr>
              <w:pStyle w:val="ECCTabletext"/>
            </w:pPr>
            <w:r w:rsidRPr="00C13540">
              <w:t>-107.5 dBm</w:t>
            </w:r>
          </w:p>
        </w:tc>
        <w:tc>
          <w:tcPr>
            <w:tcW w:w="1556" w:type="pct"/>
            <w:tcBorders>
              <w:top w:val="single" w:sz="4" w:space="0" w:color="D22A23"/>
              <w:left w:val="single" w:sz="4" w:space="0" w:color="D22A23"/>
              <w:bottom w:val="single" w:sz="4" w:space="0" w:color="D22A23"/>
              <w:right w:val="single" w:sz="4" w:space="0" w:color="D22A23"/>
            </w:tcBorders>
            <w:vAlign w:val="bottom"/>
            <w:hideMark/>
          </w:tcPr>
          <w:p w14:paraId="3AA5D090" w14:textId="77777777" w:rsidR="00E6362F" w:rsidRPr="00DD6AE9" w:rsidRDefault="00E6362F" w:rsidP="005E30F7">
            <w:pPr>
              <w:pStyle w:val="ECCTabletext"/>
            </w:pPr>
            <w:r w:rsidRPr="00C13540">
              <w:t>-107.5</w:t>
            </w:r>
          </w:p>
        </w:tc>
      </w:tr>
      <w:tr w:rsidR="00E6362F" w14:paraId="5B4F6DFA" w14:textId="77777777" w:rsidTr="005E30F7">
        <w:trPr>
          <w:trHeight w:val="265"/>
        </w:trPr>
        <w:tc>
          <w:tcPr>
            <w:tcW w:w="2220" w:type="pct"/>
            <w:tcBorders>
              <w:top w:val="single" w:sz="4" w:space="0" w:color="D22A23"/>
              <w:left w:val="single" w:sz="4" w:space="0" w:color="D22A23"/>
              <w:bottom w:val="single" w:sz="4" w:space="0" w:color="D22A23"/>
              <w:right w:val="single" w:sz="4" w:space="0" w:color="D22A23"/>
            </w:tcBorders>
            <w:vAlign w:val="bottom"/>
            <w:hideMark/>
          </w:tcPr>
          <w:p w14:paraId="3733832B" w14:textId="77777777" w:rsidR="00E6362F" w:rsidRPr="00DD6AE9" w:rsidRDefault="00E6362F" w:rsidP="005E30F7">
            <w:pPr>
              <w:pStyle w:val="ECCTabletext"/>
            </w:pPr>
            <w:r w:rsidRPr="00C13540">
              <w:t>UE Noise factor</w:t>
            </w:r>
          </w:p>
        </w:tc>
        <w:tc>
          <w:tcPr>
            <w:tcW w:w="1224" w:type="pct"/>
            <w:tcBorders>
              <w:top w:val="single" w:sz="4" w:space="0" w:color="D22A23"/>
              <w:left w:val="single" w:sz="4" w:space="0" w:color="D22A23"/>
              <w:bottom w:val="single" w:sz="4" w:space="0" w:color="D22A23"/>
              <w:right w:val="single" w:sz="4" w:space="0" w:color="D22A23"/>
            </w:tcBorders>
            <w:vAlign w:val="bottom"/>
            <w:hideMark/>
          </w:tcPr>
          <w:p w14:paraId="4E3BC6BC" w14:textId="77777777" w:rsidR="00E6362F" w:rsidRPr="00DD6AE9" w:rsidRDefault="00E6362F" w:rsidP="005E30F7">
            <w:pPr>
              <w:pStyle w:val="ECCTabletext"/>
            </w:pPr>
            <w:r w:rsidRPr="00C13540">
              <w:t>9 dB</w:t>
            </w:r>
          </w:p>
        </w:tc>
        <w:tc>
          <w:tcPr>
            <w:tcW w:w="1556" w:type="pct"/>
            <w:tcBorders>
              <w:top w:val="single" w:sz="4" w:space="0" w:color="D22A23"/>
              <w:left w:val="single" w:sz="4" w:space="0" w:color="D22A23"/>
              <w:bottom w:val="single" w:sz="4" w:space="0" w:color="D22A23"/>
              <w:right w:val="single" w:sz="4" w:space="0" w:color="D22A23"/>
            </w:tcBorders>
            <w:vAlign w:val="bottom"/>
            <w:hideMark/>
          </w:tcPr>
          <w:p w14:paraId="66440A63" w14:textId="77777777" w:rsidR="00E6362F" w:rsidRPr="00DD6AE9" w:rsidRDefault="00E6362F" w:rsidP="005E30F7">
            <w:pPr>
              <w:pStyle w:val="ECCTabletext"/>
            </w:pPr>
            <w:r w:rsidRPr="00C13540">
              <w:t>-98.5</w:t>
            </w:r>
          </w:p>
        </w:tc>
      </w:tr>
      <w:tr w:rsidR="00E6362F" w14:paraId="42FC4C9F" w14:textId="77777777" w:rsidTr="005E30F7">
        <w:trPr>
          <w:trHeight w:val="265"/>
        </w:trPr>
        <w:tc>
          <w:tcPr>
            <w:tcW w:w="2220" w:type="pct"/>
            <w:tcBorders>
              <w:top w:val="single" w:sz="4" w:space="0" w:color="D22A23"/>
              <w:left w:val="single" w:sz="4" w:space="0" w:color="D22A23"/>
              <w:bottom w:val="single" w:sz="4" w:space="0" w:color="D22A23"/>
              <w:right w:val="single" w:sz="4" w:space="0" w:color="D22A23"/>
            </w:tcBorders>
            <w:vAlign w:val="bottom"/>
            <w:hideMark/>
          </w:tcPr>
          <w:p w14:paraId="113AECE2" w14:textId="77777777" w:rsidR="00E6362F" w:rsidRPr="00C13540" w:rsidRDefault="00E6362F" w:rsidP="005E30F7">
            <w:pPr>
              <w:pStyle w:val="ECCTabletext"/>
            </w:pPr>
            <w:r w:rsidRPr="00C13540">
              <w:t>Target SNR</w:t>
            </w:r>
          </w:p>
        </w:tc>
        <w:tc>
          <w:tcPr>
            <w:tcW w:w="1224" w:type="pct"/>
            <w:tcBorders>
              <w:top w:val="single" w:sz="4" w:space="0" w:color="D22A23"/>
              <w:left w:val="single" w:sz="4" w:space="0" w:color="D22A23"/>
              <w:bottom w:val="single" w:sz="4" w:space="0" w:color="D22A23"/>
              <w:right w:val="single" w:sz="4" w:space="0" w:color="D22A23"/>
            </w:tcBorders>
            <w:vAlign w:val="bottom"/>
            <w:hideMark/>
          </w:tcPr>
          <w:p w14:paraId="1C9E6482" w14:textId="77777777" w:rsidR="00E6362F" w:rsidRPr="00C13540" w:rsidRDefault="00E6362F" w:rsidP="005E30F7">
            <w:pPr>
              <w:pStyle w:val="ECCTabletext"/>
            </w:pPr>
            <w:r w:rsidRPr="00C13540">
              <w:t>10 dB</w:t>
            </w:r>
          </w:p>
        </w:tc>
        <w:tc>
          <w:tcPr>
            <w:tcW w:w="1556" w:type="pct"/>
            <w:tcBorders>
              <w:top w:val="single" w:sz="4" w:space="0" w:color="D22A23"/>
              <w:left w:val="single" w:sz="4" w:space="0" w:color="D22A23"/>
              <w:bottom w:val="single" w:sz="4" w:space="0" w:color="D22A23"/>
              <w:right w:val="single" w:sz="4" w:space="0" w:color="D22A23"/>
            </w:tcBorders>
            <w:vAlign w:val="bottom"/>
            <w:hideMark/>
          </w:tcPr>
          <w:p w14:paraId="038290DE" w14:textId="77777777" w:rsidR="00E6362F" w:rsidRPr="00C13540" w:rsidRDefault="00E6362F" w:rsidP="005E30F7">
            <w:pPr>
              <w:pStyle w:val="ECCTabletext"/>
            </w:pPr>
            <w:r w:rsidRPr="00C13540">
              <w:t>-88.5</w:t>
            </w:r>
          </w:p>
        </w:tc>
      </w:tr>
      <w:tr w:rsidR="00E6362F" w14:paraId="73028AF6" w14:textId="77777777" w:rsidTr="005E30F7">
        <w:trPr>
          <w:trHeight w:val="265"/>
        </w:trPr>
        <w:tc>
          <w:tcPr>
            <w:tcW w:w="2220" w:type="pct"/>
            <w:tcBorders>
              <w:top w:val="single" w:sz="4" w:space="0" w:color="D22A23"/>
              <w:left w:val="single" w:sz="4" w:space="0" w:color="D22A23"/>
              <w:bottom w:val="single" w:sz="4" w:space="0" w:color="D22A23"/>
              <w:right w:val="single" w:sz="4" w:space="0" w:color="D22A23"/>
            </w:tcBorders>
            <w:vAlign w:val="bottom"/>
            <w:hideMark/>
          </w:tcPr>
          <w:p w14:paraId="64143D89" w14:textId="77777777" w:rsidR="00E6362F" w:rsidRPr="00DD6AE9" w:rsidRDefault="00E6362F" w:rsidP="005E30F7">
            <w:pPr>
              <w:pStyle w:val="ECCTabletext"/>
            </w:pPr>
            <w:r w:rsidRPr="00C13540">
              <w:t>UE Antenna Gain</w:t>
            </w:r>
          </w:p>
        </w:tc>
        <w:tc>
          <w:tcPr>
            <w:tcW w:w="1224" w:type="pct"/>
            <w:tcBorders>
              <w:top w:val="single" w:sz="4" w:space="0" w:color="D22A23"/>
              <w:left w:val="single" w:sz="4" w:space="0" w:color="D22A23"/>
              <w:bottom w:val="single" w:sz="4" w:space="0" w:color="D22A23"/>
              <w:right w:val="single" w:sz="4" w:space="0" w:color="D22A23"/>
            </w:tcBorders>
            <w:vAlign w:val="bottom"/>
            <w:hideMark/>
          </w:tcPr>
          <w:p w14:paraId="77899F70" w14:textId="77777777" w:rsidR="00E6362F" w:rsidRPr="00DD6AE9" w:rsidRDefault="00E6362F" w:rsidP="005E30F7">
            <w:pPr>
              <w:pStyle w:val="ECCTabletext"/>
            </w:pPr>
            <w:r w:rsidRPr="00C13540">
              <w:t>-3 dBi</w:t>
            </w:r>
          </w:p>
        </w:tc>
        <w:tc>
          <w:tcPr>
            <w:tcW w:w="1556" w:type="pct"/>
            <w:tcBorders>
              <w:top w:val="single" w:sz="4" w:space="0" w:color="D22A23"/>
              <w:left w:val="single" w:sz="4" w:space="0" w:color="D22A23"/>
              <w:bottom w:val="single" w:sz="4" w:space="0" w:color="D22A23"/>
              <w:right w:val="single" w:sz="4" w:space="0" w:color="D22A23"/>
            </w:tcBorders>
            <w:vAlign w:val="bottom"/>
            <w:hideMark/>
          </w:tcPr>
          <w:p w14:paraId="75B67063" w14:textId="77777777" w:rsidR="00E6362F" w:rsidRPr="00DD6AE9" w:rsidRDefault="00E6362F" w:rsidP="005E30F7">
            <w:pPr>
              <w:pStyle w:val="ECCTabletext"/>
            </w:pPr>
            <w:r w:rsidRPr="00C13540">
              <w:t>-85.5</w:t>
            </w:r>
          </w:p>
        </w:tc>
      </w:tr>
      <w:tr w:rsidR="00E6362F" w14:paraId="0607B685" w14:textId="77777777" w:rsidTr="005E30F7">
        <w:trPr>
          <w:trHeight w:val="265"/>
        </w:trPr>
        <w:tc>
          <w:tcPr>
            <w:tcW w:w="2220" w:type="pct"/>
            <w:tcBorders>
              <w:top w:val="single" w:sz="4" w:space="0" w:color="D22A23"/>
              <w:left w:val="single" w:sz="4" w:space="0" w:color="D22A23"/>
              <w:bottom w:val="single" w:sz="4" w:space="0" w:color="D22A23"/>
              <w:right w:val="single" w:sz="4" w:space="0" w:color="D22A23"/>
            </w:tcBorders>
            <w:vAlign w:val="bottom"/>
            <w:hideMark/>
          </w:tcPr>
          <w:p w14:paraId="4399E917" w14:textId="77777777" w:rsidR="00E6362F" w:rsidRPr="00DD6AE9" w:rsidRDefault="00E6362F" w:rsidP="005E30F7">
            <w:pPr>
              <w:pStyle w:val="ECCTabletext"/>
            </w:pPr>
            <w:r w:rsidRPr="00C13540">
              <w:t>Terrestrial Loss</w:t>
            </w:r>
          </w:p>
        </w:tc>
        <w:tc>
          <w:tcPr>
            <w:tcW w:w="1224" w:type="pct"/>
            <w:tcBorders>
              <w:top w:val="single" w:sz="4" w:space="0" w:color="D22A23"/>
              <w:left w:val="single" w:sz="4" w:space="0" w:color="D22A23"/>
              <w:bottom w:val="single" w:sz="4" w:space="0" w:color="D22A23"/>
              <w:right w:val="single" w:sz="4" w:space="0" w:color="D22A23"/>
            </w:tcBorders>
            <w:vAlign w:val="bottom"/>
            <w:hideMark/>
          </w:tcPr>
          <w:p w14:paraId="028FFC96" w14:textId="77777777" w:rsidR="00E6362F" w:rsidRPr="00DD6AE9" w:rsidRDefault="00E6362F" w:rsidP="005E30F7">
            <w:pPr>
              <w:pStyle w:val="ECCTabletext"/>
            </w:pPr>
            <w:r w:rsidRPr="00C13540">
              <w:t>10 dB</w:t>
            </w:r>
          </w:p>
        </w:tc>
        <w:tc>
          <w:tcPr>
            <w:tcW w:w="1556" w:type="pct"/>
            <w:tcBorders>
              <w:top w:val="single" w:sz="4" w:space="0" w:color="D22A23"/>
              <w:left w:val="single" w:sz="4" w:space="0" w:color="D22A23"/>
              <w:bottom w:val="single" w:sz="4" w:space="0" w:color="D22A23"/>
              <w:right w:val="single" w:sz="4" w:space="0" w:color="D22A23"/>
            </w:tcBorders>
            <w:vAlign w:val="bottom"/>
            <w:hideMark/>
          </w:tcPr>
          <w:p w14:paraId="68D9C92D" w14:textId="77777777" w:rsidR="00E6362F" w:rsidRPr="00DD6AE9" w:rsidRDefault="00E6362F" w:rsidP="005E30F7">
            <w:pPr>
              <w:pStyle w:val="ECCTabletext"/>
            </w:pPr>
            <w:r w:rsidRPr="00C13540">
              <w:t>-75.5</w:t>
            </w:r>
          </w:p>
        </w:tc>
      </w:tr>
      <w:tr w:rsidR="00E6362F" w14:paraId="0FB03B9A" w14:textId="77777777" w:rsidTr="005E30F7">
        <w:trPr>
          <w:trHeight w:val="265"/>
        </w:trPr>
        <w:tc>
          <w:tcPr>
            <w:tcW w:w="2220" w:type="pct"/>
            <w:tcBorders>
              <w:top w:val="single" w:sz="4" w:space="0" w:color="D22A23"/>
              <w:left w:val="single" w:sz="4" w:space="0" w:color="D22A23"/>
              <w:bottom w:val="single" w:sz="4" w:space="0" w:color="D22A23"/>
              <w:right w:val="single" w:sz="4" w:space="0" w:color="D22A23"/>
            </w:tcBorders>
            <w:vAlign w:val="bottom"/>
            <w:hideMark/>
          </w:tcPr>
          <w:p w14:paraId="70F1B766" w14:textId="77777777" w:rsidR="00E6362F" w:rsidRPr="00DD6AE9" w:rsidRDefault="00E6362F" w:rsidP="005E30F7">
            <w:pPr>
              <w:pStyle w:val="ECCTabletext"/>
            </w:pPr>
            <w:r w:rsidRPr="00C13540">
              <w:t>Pathloss</w:t>
            </w:r>
          </w:p>
        </w:tc>
        <w:tc>
          <w:tcPr>
            <w:tcW w:w="1224" w:type="pct"/>
            <w:tcBorders>
              <w:top w:val="single" w:sz="4" w:space="0" w:color="D22A23"/>
              <w:left w:val="single" w:sz="4" w:space="0" w:color="D22A23"/>
              <w:bottom w:val="single" w:sz="4" w:space="0" w:color="D22A23"/>
              <w:right w:val="single" w:sz="4" w:space="0" w:color="D22A23"/>
            </w:tcBorders>
            <w:vAlign w:val="bottom"/>
            <w:hideMark/>
          </w:tcPr>
          <w:p w14:paraId="0415AEE8" w14:textId="77777777" w:rsidR="00E6362F" w:rsidRPr="00DD6AE9" w:rsidRDefault="00E6362F" w:rsidP="005E30F7">
            <w:pPr>
              <w:pStyle w:val="ECCTabletext"/>
            </w:pPr>
            <w:r w:rsidRPr="00C13540">
              <w:t>157.8 dB</w:t>
            </w:r>
          </w:p>
        </w:tc>
        <w:tc>
          <w:tcPr>
            <w:tcW w:w="1556" w:type="pct"/>
            <w:tcBorders>
              <w:top w:val="single" w:sz="4" w:space="0" w:color="D22A23"/>
              <w:left w:val="single" w:sz="4" w:space="0" w:color="D22A23"/>
              <w:bottom w:val="single" w:sz="4" w:space="0" w:color="D22A23"/>
              <w:right w:val="single" w:sz="4" w:space="0" w:color="D22A23"/>
            </w:tcBorders>
            <w:vAlign w:val="bottom"/>
            <w:hideMark/>
          </w:tcPr>
          <w:p w14:paraId="4EE3AEA8" w14:textId="77777777" w:rsidR="00E6362F" w:rsidRPr="00DD6AE9" w:rsidRDefault="00E6362F" w:rsidP="005E30F7">
            <w:pPr>
              <w:pStyle w:val="ECCTabletext"/>
            </w:pPr>
            <w:r w:rsidRPr="00C13540">
              <w:t>82.3</w:t>
            </w:r>
          </w:p>
        </w:tc>
      </w:tr>
      <w:tr w:rsidR="00E6362F" w14:paraId="5A656C7B" w14:textId="77777777" w:rsidTr="005E30F7">
        <w:trPr>
          <w:trHeight w:val="265"/>
        </w:trPr>
        <w:tc>
          <w:tcPr>
            <w:tcW w:w="2220" w:type="pct"/>
            <w:tcBorders>
              <w:top w:val="single" w:sz="4" w:space="0" w:color="D22A23"/>
              <w:left w:val="single" w:sz="4" w:space="0" w:color="D22A23"/>
              <w:bottom w:val="single" w:sz="4" w:space="0" w:color="D22A23"/>
              <w:right w:val="single" w:sz="4" w:space="0" w:color="D22A23"/>
            </w:tcBorders>
            <w:vAlign w:val="bottom"/>
            <w:hideMark/>
          </w:tcPr>
          <w:p w14:paraId="76EB2AE1" w14:textId="77777777" w:rsidR="00E6362F" w:rsidRPr="00DD6AE9" w:rsidRDefault="00E6362F" w:rsidP="005E30F7">
            <w:pPr>
              <w:pStyle w:val="ECCTabletext"/>
            </w:pPr>
            <w:r w:rsidRPr="00C13540">
              <w:t>Satellite Antenna Directivity</w:t>
            </w:r>
          </w:p>
        </w:tc>
        <w:tc>
          <w:tcPr>
            <w:tcW w:w="1224" w:type="pct"/>
            <w:tcBorders>
              <w:top w:val="single" w:sz="4" w:space="0" w:color="D22A23"/>
              <w:left w:val="single" w:sz="4" w:space="0" w:color="D22A23"/>
              <w:bottom w:val="single" w:sz="4" w:space="0" w:color="D22A23"/>
              <w:right w:val="single" w:sz="4" w:space="0" w:color="D22A23"/>
            </w:tcBorders>
            <w:vAlign w:val="bottom"/>
            <w:hideMark/>
          </w:tcPr>
          <w:p w14:paraId="36D8F2D3" w14:textId="77777777" w:rsidR="00E6362F" w:rsidRPr="00DD6AE9" w:rsidRDefault="00E6362F" w:rsidP="005E30F7">
            <w:pPr>
              <w:pStyle w:val="ECCTabletext"/>
            </w:pPr>
            <w:r w:rsidRPr="00C13540">
              <w:t>48 dBi</w:t>
            </w:r>
          </w:p>
        </w:tc>
        <w:tc>
          <w:tcPr>
            <w:tcW w:w="1556" w:type="pct"/>
            <w:tcBorders>
              <w:top w:val="single" w:sz="4" w:space="0" w:color="D22A23"/>
              <w:left w:val="single" w:sz="4" w:space="0" w:color="D22A23"/>
              <w:bottom w:val="single" w:sz="4" w:space="0" w:color="D22A23"/>
              <w:right w:val="single" w:sz="4" w:space="0" w:color="D22A23"/>
            </w:tcBorders>
            <w:vAlign w:val="bottom"/>
            <w:hideMark/>
          </w:tcPr>
          <w:p w14:paraId="3BE85082" w14:textId="77777777" w:rsidR="00E6362F" w:rsidRPr="00DD6AE9" w:rsidRDefault="00E6362F" w:rsidP="005E30F7">
            <w:pPr>
              <w:pStyle w:val="ECCTabletext"/>
            </w:pPr>
            <w:r w:rsidRPr="00C13540">
              <w:t>34.3</w:t>
            </w:r>
          </w:p>
        </w:tc>
      </w:tr>
    </w:tbl>
    <w:p w14:paraId="7FFFA20A" w14:textId="7AA3D18B" w:rsidR="00E6362F" w:rsidRDefault="00E6362F" w:rsidP="00E6362F">
      <w:pPr>
        <w:pStyle w:val="ECCParagraph"/>
      </w:pPr>
      <w:r>
        <w:t>The link budget is achieved at 2600 MHz by transmitting a total power of 34.3 dBm to achieve a minimum received power of -88.5 dBm, requiring a maximum PFD on the ground of -82.1 dB</w:t>
      </w:r>
      <w:r w:rsidR="003F76FA">
        <w:t xml:space="preserve"> (W/(m</w:t>
      </w:r>
      <w:r w:rsidR="003F76FA">
        <w:rPr>
          <w:vertAlign w:val="superscript"/>
        </w:rPr>
        <w:t>2</w:t>
      </w:r>
      <w:r w:rsidR="003F76FA">
        <w:t>.MHz))</w:t>
      </w:r>
      <w:r>
        <w:t xml:space="preserve"> for losses (terrestrial and UE antenna) up to 13 dB. </w:t>
      </w:r>
    </w:p>
    <w:p w14:paraId="0CF86767" w14:textId="77777777" w:rsidR="00E6362F" w:rsidRPr="00317883" w:rsidRDefault="00E6362F" w:rsidP="00E6362F">
      <w:pPr>
        <w:pStyle w:val="ECCAnnexheading2"/>
      </w:pPr>
      <w:bookmarkStart w:id="31" w:name="_Toc230352064"/>
      <w:r w:rsidRPr="00317883">
        <w:t>earth to space</w:t>
      </w:r>
      <w:bookmarkEnd w:id="31"/>
    </w:p>
    <w:p w14:paraId="30A38102" w14:textId="77777777" w:rsidR="00E6362F" w:rsidRPr="00317883" w:rsidRDefault="00E6362F" w:rsidP="00E6362F">
      <w:pPr>
        <w:pStyle w:val="ECCAnnexheading3"/>
      </w:pPr>
      <w:r w:rsidRPr="00317883">
        <w:t>Assumptions</w:t>
      </w:r>
    </w:p>
    <w:p w14:paraId="0B98F21C" w14:textId="77777777" w:rsidR="00E6362F" w:rsidRDefault="00E6362F" w:rsidP="00E6362F">
      <w:r>
        <w:t>The D2D-IMT system is designed around the following center scenario:</w:t>
      </w:r>
    </w:p>
    <w:p w14:paraId="058CE17C" w14:textId="77777777" w:rsidR="00E6362F" w:rsidRDefault="00E6362F" w:rsidP="00E6362F">
      <w:pPr>
        <w:pStyle w:val="ECCBulletsLv1"/>
        <w:spacing w:line="288" w:lineRule="auto"/>
        <w:contextualSpacing/>
        <w:rPr>
          <w:lang w:val="en-US"/>
        </w:rPr>
      </w:pPr>
      <w:r>
        <w:rPr>
          <w:lang w:val="en-US"/>
        </w:rPr>
        <w:t>Terrestrial Loss (to compensate for local propagation losses) = 10 dB;</w:t>
      </w:r>
    </w:p>
    <w:p w14:paraId="08B30633" w14:textId="77777777" w:rsidR="00E6362F" w:rsidRDefault="00E6362F" w:rsidP="00E6362F">
      <w:pPr>
        <w:pStyle w:val="ECCBulletsLv1"/>
        <w:spacing w:line="288" w:lineRule="auto"/>
        <w:contextualSpacing/>
        <w:rPr>
          <w:lang w:val="en-US"/>
        </w:rPr>
      </w:pPr>
      <w:r>
        <w:rPr>
          <w:lang w:val="en-US"/>
        </w:rPr>
        <w:t>Noise + Interference at satellite receiver = -110 dBm/MHz.</w:t>
      </w:r>
    </w:p>
    <w:p w14:paraId="57019630" w14:textId="77777777" w:rsidR="00E6362F" w:rsidRDefault="00E6362F" w:rsidP="00E6362F">
      <w:pPr>
        <w:pStyle w:val="ECCAnnexheading3"/>
      </w:pPr>
      <w:r>
        <w:t>Link budget</w:t>
      </w:r>
    </w:p>
    <w:p w14:paraId="4E2B28AD" w14:textId="3F6F62F4" w:rsidR="00902117" w:rsidRDefault="000A3521" w:rsidP="00E6362F">
      <w:r>
        <w:fldChar w:fldCharType="begin"/>
      </w:r>
      <w:r>
        <w:instrText xml:space="preserve"> REF _Ref217927749 \h </w:instrText>
      </w:r>
      <w:r>
        <w:fldChar w:fldCharType="separate"/>
      </w:r>
      <w:r>
        <w:t xml:space="preserve">Table </w:t>
      </w:r>
      <w:r>
        <w:rPr>
          <w:noProof/>
        </w:rPr>
        <w:t>4</w:t>
      </w:r>
      <w:r>
        <w:fldChar w:fldCharType="end"/>
      </w:r>
      <w:r>
        <w:t xml:space="preserve"> </w:t>
      </w:r>
      <w:r w:rsidR="00E6362F">
        <w:t xml:space="preserve">presents a representative earth-to-space link budget for a 1 MHz bandwidth at 700 MHz, based on the equation </w:t>
      </w:r>
      <w:r w:rsidR="003E0414">
        <w:fldChar w:fldCharType="begin"/>
      </w:r>
      <w:r w:rsidR="003E0414">
        <w:instrText xml:space="preserve"> REF _Ref233290771 \h </w:instrText>
      </w:r>
      <w:r w:rsidR="003E0414">
        <w:fldChar w:fldCharType="separate"/>
      </w:r>
      <w:r w:rsidR="003E0414" w:rsidRPr="00B216B4">
        <w:t>(</w:t>
      </w:r>
      <w:r w:rsidR="003E0414">
        <w:rPr>
          <w:noProof/>
        </w:rPr>
        <w:t>2</w:t>
      </w:r>
      <w:r w:rsidR="003E0414" w:rsidRPr="00B216B4">
        <w:t>)</w:t>
      </w:r>
      <w:r w:rsidR="003E0414">
        <w:fldChar w:fldCharType="end"/>
      </w:r>
      <w:r w:rsidR="00E6362F">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8555"/>
        <w:gridCol w:w="461"/>
      </w:tblGrid>
      <w:tr w:rsidR="00902117" w:rsidRPr="00B216B4" w14:paraId="6F2196D3" w14:textId="77777777" w:rsidTr="005E30F7">
        <w:tc>
          <w:tcPr>
            <w:tcW w:w="330" w:type="pct"/>
          </w:tcPr>
          <w:p w14:paraId="68C44385" w14:textId="77777777" w:rsidR="00902117" w:rsidRPr="00B216B4" w:rsidRDefault="00902117" w:rsidP="00EF5EC5">
            <w:pPr>
              <w:spacing w:before="60" w:after="60"/>
            </w:pPr>
          </w:p>
        </w:tc>
        <w:tc>
          <w:tcPr>
            <w:tcW w:w="4444" w:type="pct"/>
          </w:tcPr>
          <w:p w14:paraId="4C5F3AE1" w14:textId="33404267" w:rsidR="00902117" w:rsidRPr="00B216B4" w:rsidRDefault="00902117" w:rsidP="00296730">
            <w:pPr>
              <w:spacing w:before="120" w:after="120"/>
              <w:jc w:val="center"/>
            </w:pPr>
            <w:r>
              <w:rPr>
                <w:lang w:val="da-DK"/>
              </w:rPr>
              <w:t>SINR=TxRP_UE+TL+PL+SAT_AG-NI_SAT</w:t>
            </w:r>
          </w:p>
        </w:tc>
        <w:tc>
          <w:tcPr>
            <w:tcW w:w="226" w:type="pct"/>
          </w:tcPr>
          <w:p w14:paraId="7C62A359" w14:textId="2048D1C3" w:rsidR="00902117" w:rsidRPr="00B216B4" w:rsidRDefault="00902117" w:rsidP="00EF5EC5">
            <w:pPr>
              <w:spacing w:before="60" w:after="60"/>
              <w:jc w:val="right"/>
            </w:pPr>
            <w:bookmarkStart w:id="32" w:name="_Ref233290771"/>
            <w:r w:rsidRPr="00B216B4">
              <w:t>(</w:t>
            </w:r>
            <w:r>
              <w:fldChar w:fldCharType="begin"/>
            </w:r>
            <w:r>
              <w:instrText xml:space="preserve"> SEQ Equation \* ARABIC </w:instrText>
            </w:r>
            <w:r>
              <w:fldChar w:fldCharType="separate"/>
            </w:r>
            <w:r>
              <w:rPr>
                <w:noProof/>
              </w:rPr>
              <w:t>2</w:t>
            </w:r>
            <w:r>
              <w:rPr>
                <w:noProof/>
              </w:rPr>
              <w:fldChar w:fldCharType="end"/>
            </w:r>
            <w:r w:rsidRPr="00B216B4">
              <w:t>)</w:t>
            </w:r>
            <w:bookmarkEnd w:id="32"/>
          </w:p>
        </w:tc>
      </w:tr>
    </w:tbl>
    <w:p w14:paraId="011C4D7F" w14:textId="77777777" w:rsidR="00E6362F" w:rsidRDefault="00E6362F" w:rsidP="00004BD3">
      <w:pPr>
        <w:spacing w:before="240" w:after="60"/>
      </w:pPr>
      <w:r>
        <w:t>where:</w:t>
      </w:r>
    </w:p>
    <w:p w14:paraId="35D5B417" w14:textId="58DD4AAA" w:rsidR="00E6362F" w:rsidRPr="003F76FA" w:rsidRDefault="00E6362F" w:rsidP="00E6362F">
      <w:pPr>
        <w:pStyle w:val="ECCBulletsLv1"/>
        <w:ind w:left="357" w:hanging="357"/>
      </w:pPr>
      <w:r>
        <w:t xml:space="preserve">TxRP_UE is the Radiated Transmit power </w:t>
      </w:r>
      <w:r w:rsidRPr="003F76FA">
        <w:t>of the WBB ECS User Equipment (dBm)</w:t>
      </w:r>
      <w:r w:rsidR="00754742">
        <w:t>;</w:t>
      </w:r>
    </w:p>
    <w:p w14:paraId="626A9D9D" w14:textId="3C864BED" w:rsidR="00E6362F" w:rsidRDefault="00E6362F" w:rsidP="00E6362F">
      <w:pPr>
        <w:pStyle w:val="ECCBulletsLv1"/>
        <w:ind w:left="357" w:hanging="357"/>
      </w:pPr>
      <w:r w:rsidRPr="003F76FA">
        <w:t>TL is the terrestrial Loss, i.e. a system margin to guarantee QoS (</w:t>
      </w:r>
      <w:r>
        <w:t>dB)</w:t>
      </w:r>
      <w:r w:rsidR="00754742">
        <w:t>;</w:t>
      </w:r>
    </w:p>
    <w:p w14:paraId="2F2D6B60" w14:textId="071B99B8" w:rsidR="00E6362F" w:rsidRDefault="00E6362F" w:rsidP="00E6362F">
      <w:pPr>
        <w:pStyle w:val="ECCBulletsLv1"/>
        <w:ind w:left="357" w:hanging="357"/>
      </w:pPr>
      <w:r>
        <w:t>PL is the pathloss from the ground to the satellite (dB)</w:t>
      </w:r>
      <w:r w:rsidR="00754742">
        <w:t>;</w:t>
      </w:r>
    </w:p>
    <w:p w14:paraId="7C7D0575" w14:textId="48E4DA6C" w:rsidR="00E6362F" w:rsidRDefault="00E6362F" w:rsidP="00E6362F">
      <w:pPr>
        <w:pStyle w:val="ECCBulletsLv1"/>
        <w:ind w:left="357" w:hanging="357"/>
      </w:pPr>
      <w:r>
        <w:t>SAT_AG is the antenna gain of the satellite (dBi)</w:t>
      </w:r>
      <w:r w:rsidR="00754742">
        <w:t>;</w:t>
      </w:r>
    </w:p>
    <w:p w14:paraId="6347538F" w14:textId="77777777" w:rsidR="00E6362F" w:rsidRDefault="00E6362F" w:rsidP="00E6362F">
      <w:pPr>
        <w:pStyle w:val="ECCBulletsLv1"/>
        <w:ind w:left="357" w:hanging="357"/>
      </w:pPr>
      <w:r>
        <w:t>NI_SAT is the noise + interference level at the satellite (dBm).</w:t>
      </w:r>
    </w:p>
    <w:p w14:paraId="425D911B" w14:textId="77777777" w:rsidR="00E6362F" w:rsidRDefault="00E6362F" w:rsidP="00E6362F">
      <w:pPr>
        <w:pStyle w:val="Caption"/>
        <w:contextualSpacing w:val="0"/>
      </w:pPr>
      <w:bookmarkStart w:id="33" w:name="_Ref217927749"/>
      <w:r>
        <w:t xml:space="preserve">Table </w:t>
      </w:r>
      <w:r>
        <w:fldChar w:fldCharType="begin"/>
      </w:r>
      <w:r>
        <w:instrText xml:space="preserve"> SEQ Table \* ARABIC </w:instrText>
      </w:r>
      <w:r>
        <w:fldChar w:fldCharType="separate"/>
      </w:r>
      <w:r>
        <w:rPr>
          <w:noProof/>
        </w:rPr>
        <w:t>4</w:t>
      </w:r>
      <w:r>
        <w:fldChar w:fldCharType="end"/>
      </w:r>
      <w:bookmarkEnd w:id="33"/>
      <w:r>
        <w:t>: Representative Earth-to-space Link Budget 700 MHz</w:t>
      </w:r>
    </w:p>
    <w:tbl>
      <w:tblPr>
        <w:tblStyle w:val="ECCTable-redheader"/>
        <w:tblW w:w="4046" w:type="pct"/>
        <w:tblInd w:w="0" w:type="dxa"/>
        <w:tblLook w:val="04A0" w:firstRow="1" w:lastRow="0" w:firstColumn="1" w:lastColumn="0" w:noHBand="0" w:noVBand="1"/>
      </w:tblPr>
      <w:tblGrid>
        <w:gridCol w:w="5182"/>
        <w:gridCol w:w="2610"/>
      </w:tblGrid>
      <w:tr w:rsidR="00E6362F" w14:paraId="4F93B269" w14:textId="77777777" w:rsidTr="005E30F7">
        <w:trPr>
          <w:cnfStyle w:val="100000000000" w:firstRow="1" w:lastRow="0" w:firstColumn="0" w:lastColumn="0" w:oddVBand="0" w:evenVBand="0" w:oddHBand="0" w:evenHBand="0" w:firstRowFirstColumn="0" w:firstRowLastColumn="0" w:lastRowFirstColumn="0" w:lastRowLastColumn="0"/>
          <w:trHeight w:val="265"/>
        </w:trPr>
        <w:tc>
          <w:tcPr>
            <w:tcW w:w="3325" w:type="pct"/>
            <w:tcBorders>
              <w:top w:val="single" w:sz="4" w:space="0" w:color="FFFFFF" w:themeColor="background1"/>
              <w:left w:val="single" w:sz="4" w:space="0" w:color="FFFFFF" w:themeColor="background1"/>
              <w:bottom w:val="single" w:sz="4" w:space="0" w:color="FFFFFF" w:themeColor="background1"/>
            </w:tcBorders>
            <w:vAlign w:val="top"/>
            <w:hideMark/>
          </w:tcPr>
          <w:p w14:paraId="1A9491D3" w14:textId="77777777" w:rsidR="00E6362F" w:rsidRPr="00754742" w:rsidRDefault="00E6362F" w:rsidP="00754742">
            <w:pPr>
              <w:pStyle w:val="ECCTableHeaderwhitefont"/>
            </w:pPr>
            <w:r w:rsidRPr="00754742">
              <w:t>Parameter</w:t>
            </w:r>
          </w:p>
        </w:tc>
        <w:tc>
          <w:tcPr>
            <w:tcW w:w="1675" w:type="pct"/>
            <w:hideMark/>
          </w:tcPr>
          <w:p w14:paraId="50AB1D66" w14:textId="77777777" w:rsidR="00E6362F" w:rsidRPr="00754742" w:rsidRDefault="00E6362F" w:rsidP="00754742">
            <w:pPr>
              <w:pStyle w:val="ECCTableHeaderwhitefont"/>
            </w:pPr>
            <w:r w:rsidRPr="00754742">
              <w:t>Value</w:t>
            </w:r>
          </w:p>
        </w:tc>
      </w:tr>
      <w:tr w:rsidR="00E6362F" w14:paraId="4B08C0B7"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7030569C" w14:textId="77777777" w:rsidR="00E6362F" w:rsidRPr="00DD53C4" w:rsidRDefault="00E6362F" w:rsidP="005E30F7">
            <w:pPr>
              <w:pStyle w:val="ECCTabletext"/>
              <w:keepNext w:val="0"/>
            </w:pPr>
            <w:r w:rsidRPr="00C13540">
              <w:t>UE Tx Power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0977912A" w14:textId="77777777" w:rsidR="00E6362F" w:rsidRPr="00DD53C4" w:rsidRDefault="00E6362F" w:rsidP="005E30F7">
            <w:pPr>
              <w:pStyle w:val="ECCTabletext"/>
              <w:keepNext w:val="0"/>
            </w:pPr>
            <w:r w:rsidRPr="00C13540">
              <w:t>23 dBm</w:t>
            </w:r>
          </w:p>
        </w:tc>
      </w:tr>
      <w:tr w:rsidR="00E6362F" w14:paraId="0AEF2F0D"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29D5F8C2" w14:textId="77777777" w:rsidR="00E6362F" w:rsidRPr="00DD53C4" w:rsidRDefault="00E6362F" w:rsidP="005E30F7">
            <w:pPr>
              <w:pStyle w:val="ECCTabletext"/>
              <w:keepNext w:val="0"/>
            </w:pPr>
            <w:r w:rsidRPr="00C13540">
              <w:t>UE BW</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10B500DF" w14:textId="77777777" w:rsidR="00E6362F" w:rsidRPr="00DD53C4" w:rsidRDefault="00E6362F" w:rsidP="005E30F7">
            <w:pPr>
              <w:pStyle w:val="ECCTabletext"/>
              <w:keepNext w:val="0"/>
            </w:pPr>
            <w:r w:rsidRPr="00C13540">
              <w:t>1 MHz</w:t>
            </w:r>
          </w:p>
        </w:tc>
      </w:tr>
      <w:tr w:rsidR="00E6362F" w14:paraId="3292B8DB"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14ECB681" w14:textId="77777777" w:rsidR="00E6362F" w:rsidRPr="00C13540" w:rsidRDefault="00E6362F" w:rsidP="005E30F7">
            <w:pPr>
              <w:pStyle w:val="ECCTabletext"/>
              <w:keepNext w:val="0"/>
            </w:pPr>
            <w:r w:rsidRPr="00C13540">
              <w:t>Terrestrial loss</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58222FDB" w14:textId="77777777" w:rsidR="00E6362F" w:rsidRPr="00C13540" w:rsidRDefault="00E6362F" w:rsidP="005E30F7">
            <w:pPr>
              <w:pStyle w:val="ECCTabletext"/>
              <w:keepNext w:val="0"/>
            </w:pPr>
            <w:r w:rsidRPr="00C13540">
              <w:t>10 dBm</w:t>
            </w:r>
          </w:p>
        </w:tc>
      </w:tr>
      <w:tr w:rsidR="00E6362F" w14:paraId="39CD7497"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41CA6A4C" w14:textId="77777777" w:rsidR="00E6362F" w:rsidRPr="00DD53C4" w:rsidRDefault="00E6362F" w:rsidP="005E30F7">
            <w:pPr>
              <w:pStyle w:val="ECCTabletext"/>
              <w:keepNext w:val="0"/>
            </w:pPr>
            <w:r w:rsidRPr="00C13540">
              <w:t>Pathloss</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0D5CBD0E" w14:textId="77777777" w:rsidR="00E6362F" w:rsidRPr="00DD53C4" w:rsidRDefault="00E6362F" w:rsidP="005E30F7">
            <w:pPr>
              <w:pStyle w:val="ECCTabletext"/>
              <w:keepNext w:val="0"/>
            </w:pPr>
            <w:r w:rsidRPr="00C13540">
              <w:t>146.5 dB</w:t>
            </w:r>
          </w:p>
        </w:tc>
      </w:tr>
      <w:tr w:rsidR="00E6362F" w14:paraId="75D8F4C6"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19FE88AB" w14:textId="77777777" w:rsidR="00E6362F" w:rsidRPr="00DD53C4" w:rsidRDefault="00E6362F" w:rsidP="005E30F7">
            <w:pPr>
              <w:pStyle w:val="ECCTabletext"/>
              <w:keepNext w:val="0"/>
            </w:pPr>
            <w:r w:rsidRPr="00C13540">
              <w:lastRenderedPageBreak/>
              <w:t>Satellite antenna directivity</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54CDCA5B" w14:textId="77777777" w:rsidR="00E6362F" w:rsidRPr="00DD53C4" w:rsidRDefault="00E6362F" w:rsidP="005E30F7">
            <w:pPr>
              <w:pStyle w:val="ECCTabletext"/>
              <w:keepNext w:val="0"/>
            </w:pPr>
            <w:r w:rsidRPr="00C13540">
              <w:t>36.9 dBi</w:t>
            </w:r>
          </w:p>
        </w:tc>
      </w:tr>
      <w:tr w:rsidR="00E6362F" w14:paraId="5430810A"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1F334977" w14:textId="77777777" w:rsidR="00E6362F" w:rsidRPr="00C13540" w:rsidRDefault="00E6362F" w:rsidP="005E30F7">
            <w:pPr>
              <w:pStyle w:val="ECCTabletext"/>
              <w:keepNext w:val="0"/>
            </w:pPr>
            <w:r w:rsidRPr="00C13540">
              <w:t>Signal level at satellite receiver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0D9625B0" w14:textId="77777777" w:rsidR="00E6362F" w:rsidRPr="00DD53C4" w:rsidRDefault="00E6362F" w:rsidP="005E30F7">
            <w:pPr>
              <w:pStyle w:val="ECCTabletext"/>
              <w:keepNext w:val="0"/>
            </w:pPr>
            <w:r w:rsidRPr="00C13540">
              <w:t>-96.6 dBm</w:t>
            </w:r>
          </w:p>
        </w:tc>
      </w:tr>
      <w:tr w:rsidR="00E6362F" w14:paraId="6986888B"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63D34DFF" w14:textId="77777777" w:rsidR="00E6362F" w:rsidRPr="00DD53C4" w:rsidRDefault="00E6362F" w:rsidP="005E30F7">
            <w:pPr>
              <w:pStyle w:val="ECCTabletext"/>
              <w:keepNext w:val="0"/>
            </w:pPr>
            <w:r w:rsidRPr="00DD53C4">
              <w:t>Noise + Interference at satellite receiver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3C642905" w14:textId="77777777" w:rsidR="00E6362F" w:rsidRPr="00DD53C4" w:rsidRDefault="00E6362F" w:rsidP="005E30F7">
            <w:pPr>
              <w:pStyle w:val="ECCTabletext"/>
              <w:keepNext w:val="0"/>
            </w:pPr>
            <w:r w:rsidRPr="00DD53C4">
              <w:t>-110 dBm</w:t>
            </w:r>
          </w:p>
        </w:tc>
      </w:tr>
      <w:tr w:rsidR="00E6362F" w14:paraId="70924FA5"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693133A1" w14:textId="77777777" w:rsidR="00E6362F" w:rsidRPr="00DD53C4" w:rsidRDefault="00E6362F" w:rsidP="005E30F7">
            <w:pPr>
              <w:pStyle w:val="ECCTabletext"/>
              <w:keepNext w:val="0"/>
            </w:pPr>
            <w:r w:rsidRPr="00DD53C4">
              <w:t>Minimum SINR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1F96A05A" w14:textId="77777777" w:rsidR="00E6362F" w:rsidRPr="00DD53C4" w:rsidRDefault="00E6362F" w:rsidP="005E30F7">
            <w:pPr>
              <w:pStyle w:val="ECCTabletext"/>
              <w:keepNext w:val="0"/>
            </w:pPr>
            <w:r w:rsidRPr="00DD53C4">
              <w:t>13.4 dB</w:t>
            </w:r>
          </w:p>
        </w:tc>
      </w:tr>
    </w:tbl>
    <w:p w14:paraId="38065A90" w14:textId="77777777" w:rsidR="00E6362F" w:rsidRDefault="00E6362F" w:rsidP="00E6362F">
      <w:pPr>
        <w:pStyle w:val="ECCParagraph"/>
      </w:pPr>
      <w:r>
        <w:t>A UE transmitting at 23 dBm over a 1 MHz BW would achieve a minimum SINR of 13.4 dB at the satellite.</w:t>
      </w:r>
    </w:p>
    <w:p w14:paraId="66CD1642" w14:textId="13E51F25" w:rsidR="00E6362F" w:rsidRDefault="0037070F" w:rsidP="00E6362F">
      <w:pPr>
        <w:pStyle w:val="ECCParagraph"/>
      </w:pPr>
      <w:r>
        <w:fldChar w:fldCharType="begin"/>
      </w:r>
      <w:r>
        <w:instrText xml:space="preserve"> REF _Ref217928260 \h </w:instrText>
      </w:r>
      <w:r>
        <w:fldChar w:fldCharType="separate"/>
      </w:r>
      <w:r>
        <w:t xml:space="preserve">Table </w:t>
      </w:r>
      <w:r>
        <w:rPr>
          <w:noProof/>
        </w:rPr>
        <w:t>5</w:t>
      </w:r>
      <w:r>
        <w:fldChar w:fldCharType="end"/>
      </w:r>
      <w:r>
        <w:t xml:space="preserve"> </w:t>
      </w:r>
      <w:r w:rsidR="00E6362F">
        <w:t>presents a representative earth-to-space link budget for a 1 MHz bandwidth at 2600 MHz.</w:t>
      </w:r>
    </w:p>
    <w:p w14:paraId="64DBDAE9" w14:textId="77777777" w:rsidR="00E6362F" w:rsidRDefault="00E6362F" w:rsidP="00E6362F">
      <w:pPr>
        <w:pStyle w:val="Caption"/>
      </w:pPr>
      <w:bookmarkStart w:id="34" w:name="_Ref217928260"/>
      <w:r>
        <w:t xml:space="preserve">Table </w:t>
      </w:r>
      <w:r>
        <w:fldChar w:fldCharType="begin"/>
      </w:r>
      <w:r>
        <w:instrText xml:space="preserve"> SEQ Table \* ARABIC </w:instrText>
      </w:r>
      <w:r>
        <w:fldChar w:fldCharType="separate"/>
      </w:r>
      <w:r>
        <w:rPr>
          <w:noProof/>
        </w:rPr>
        <w:t>5</w:t>
      </w:r>
      <w:r>
        <w:fldChar w:fldCharType="end"/>
      </w:r>
      <w:bookmarkEnd w:id="34"/>
      <w:r>
        <w:t>: Representative Earth-to-space Link Budget 2600 MHz</w:t>
      </w:r>
    </w:p>
    <w:tbl>
      <w:tblPr>
        <w:tblStyle w:val="ECCTable-redheader"/>
        <w:tblW w:w="4046" w:type="pct"/>
        <w:tblInd w:w="0" w:type="dxa"/>
        <w:tblLook w:val="04A0" w:firstRow="1" w:lastRow="0" w:firstColumn="1" w:lastColumn="0" w:noHBand="0" w:noVBand="1"/>
      </w:tblPr>
      <w:tblGrid>
        <w:gridCol w:w="5182"/>
        <w:gridCol w:w="2610"/>
      </w:tblGrid>
      <w:tr w:rsidR="00E6362F" w14:paraId="6B2C32D4" w14:textId="77777777" w:rsidTr="005E30F7">
        <w:trPr>
          <w:cnfStyle w:val="100000000000" w:firstRow="1" w:lastRow="0" w:firstColumn="0" w:lastColumn="0" w:oddVBand="0" w:evenVBand="0" w:oddHBand="0" w:evenHBand="0" w:firstRowFirstColumn="0" w:firstRowLastColumn="0" w:lastRowFirstColumn="0" w:lastRowLastColumn="0"/>
          <w:trHeight w:val="265"/>
        </w:trPr>
        <w:tc>
          <w:tcPr>
            <w:tcW w:w="3325" w:type="pct"/>
            <w:tcBorders>
              <w:top w:val="single" w:sz="4" w:space="0" w:color="FFFFFF" w:themeColor="background1"/>
              <w:left w:val="single" w:sz="4" w:space="0" w:color="FFFFFF" w:themeColor="background1"/>
              <w:bottom w:val="single" w:sz="4" w:space="0" w:color="FFFFFF" w:themeColor="background1"/>
            </w:tcBorders>
            <w:vAlign w:val="top"/>
            <w:hideMark/>
          </w:tcPr>
          <w:p w14:paraId="6169FCED" w14:textId="77777777" w:rsidR="00E6362F" w:rsidRDefault="00E6362F" w:rsidP="005E30F7">
            <w:pPr>
              <w:pStyle w:val="ECCTableHeaderwhitefont"/>
              <w:rPr>
                <w:b w:val="0"/>
                <w:i/>
                <w:lang w:val="en-US"/>
              </w:rPr>
            </w:pPr>
            <w:r>
              <w:rPr>
                <w:lang w:val="en-US"/>
              </w:rPr>
              <w:t>Parameter</w:t>
            </w:r>
          </w:p>
        </w:tc>
        <w:tc>
          <w:tcPr>
            <w:tcW w:w="1675" w:type="pct"/>
            <w:hideMark/>
          </w:tcPr>
          <w:p w14:paraId="3A18F999" w14:textId="77777777" w:rsidR="00E6362F" w:rsidRDefault="00E6362F" w:rsidP="005E30F7">
            <w:pPr>
              <w:pStyle w:val="ECCTableHeaderwhitefont"/>
              <w:rPr>
                <w:lang w:val="en-US"/>
              </w:rPr>
            </w:pPr>
            <w:r>
              <w:rPr>
                <w:lang w:val="en-US"/>
              </w:rPr>
              <w:t>Value</w:t>
            </w:r>
          </w:p>
        </w:tc>
      </w:tr>
      <w:tr w:rsidR="00E6362F" w14:paraId="34206F7F"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19A6DD76" w14:textId="77777777" w:rsidR="00E6362F" w:rsidRPr="00DD53C4" w:rsidRDefault="00E6362F" w:rsidP="005E30F7">
            <w:pPr>
              <w:pStyle w:val="ECCTabletext"/>
            </w:pPr>
            <w:r w:rsidRPr="00C13540">
              <w:t>UE Tx Power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318AC7D1" w14:textId="77777777" w:rsidR="00E6362F" w:rsidRPr="00DD53C4" w:rsidRDefault="00E6362F" w:rsidP="005E30F7">
            <w:pPr>
              <w:pStyle w:val="ECCTabletext"/>
            </w:pPr>
            <w:r w:rsidRPr="00C13540">
              <w:t>23 dBm</w:t>
            </w:r>
          </w:p>
        </w:tc>
      </w:tr>
      <w:tr w:rsidR="00E6362F" w14:paraId="0B3A49C3"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5B623B6B" w14:textId="77777777" w:rsidR="00E6362F" w:rsidRPr="00DD53C4" w:rsidRDefault="00E6362F" w:rsidP="005E30F7">
            <w:pPr>
              <w:pStyle w:val="ECCTabletext"/>
            </w:pPr>
            <w:r w:rsidRPr="00C13540">
              <w:t>UE BW</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628E615E" w14:textId="77777777" w:rsidR="00E6362F" w:rsidRPr="00DD53C4" w:rsidRDefault="00E6362F" w:rsidP="005E30F7">
            <w:pPr>
              <w:pStyle w:val="ECCTabletext"/>
            </w:pPr>
            <w:r w:rsidRPr="00C13540">
              <w:t>1 MHz</w:t>
            </w:r>
          </w:p>
        </w:tc>
      </w:tr>
      <w:tr w:rsidR="00E6362F" w14:paraId="64751267"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562C85EB" w14:textId="77777777" w:rsidR="00E6362F" w:rsidRPr="00C13540" w:rsidRDefault="00E6362F" w:rsidP="005E30F7">
            <w:pPr>
              <w:pStyle w:val="ECCTabletext"/>
            </w:pPr>
            <w:r w:rsidRPr="00C13540">
              <w:t>Terrestrial loss</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051A7E89" w14:textId="77777777" w:rsidR="00E6362F" w:rsidRPr="00C13540" w:rsidRDefault="00E6362F" w:rsidP="005E30F7">
            <w:pPr>
              <w:pStyle w:val="ECCTabletext"/>
            </w:pPr>
            <w:r w:rsidRPr="00C13540">
              <w:t>10 dBm</w:t>
            </w:r>
          </w:p>
        </w:tc>
      </w:tr>
      <w:tr w:rsidR="00E6362F" w14:paraId="23A0386B"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7A4FE1F1" w14:textId="77777777" w:rsidR="00E6362F" w:rsidRPr="00DD53C4" w:rsidRDefault="00E6362F" w:rsidP="005E30F7">
            <w:pPr>
              <w:pStyle w:val="ECCTabletext"/>
            </w:pPr>
            <w:r w:rsidRPr="00C13540">
              <w:t>Pathloss</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659BC34C" w14:textId="77777777" w:rsidR="00E6362F" w:rsidRPr="00DD53C4" w:rsidRDefault="00E6362F" w:rsidP="005E30F7">
            <w:pPr>
              <w:pStyle w:val="ECCTabletext"/>
            </w:pPr>
            <w:r w:rsidRPr="00C13540">
              <w:t>157.4 dB</w:t>
            </w:r>
          </w:p>
        </w:tc>
      </w:tr>
      <w:tr w:rsidR="00E6362F" w14:paraId="0626DB2E"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54A1135F" w14:textId="77777777" w:rsidR="00E6362F" w:rsidRPr="00DD53C4" w:rsidRDefault="00E6362F" w:rsidP="005E30F7">
            <w:pPr>
              <w:pStyle w:val="ECCTabletext"/>
            </w:pPr>
            <w:r w:rsidRPr="00C13540">
              <w:t>Satellite antenna directivity</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42710DAF" w14:textId="77777777" w:rsidR="00E6362F" w:rsidRPr="00DD53C4" w:rsidRDefault="00E6362F" w:rsidP="005E30F7">
            <w:pPr>
              <w:pStyle w:val="ECCTabletext"/>
            </w:pPr>
            <w:r w:rsidRPr="00C13540">
              <w:t>48 dBi</w:t>
            </w:r>
          </w:p>
        </w:tc>
      </w:tr>
      <w:tr w:rsidR="00E6362F" w14:paraId="41B9C19E"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1BB316B4" w14:textId="77777777" w:rsidR="00E6362F" w:rsidRPr="00C13540" w:rsidRDefault="00E6362F" w:rsidP="005E30F7">
            <w:pPr>
              <w:pStyle w:val="ECCTabletext"/>
            </w:pPr>
            <w:r w:rsidRPr="00C13540">
              <w:t>Signal level at satellite receiver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407ACA90" w14:textId="77777777" w:rsidR="00E6362F" w:rsidRPr="00DD53C4" w:rsidRDefault="00E6362F" w:rsidP="005E30F7">
            <w:pPr>
              <w:pStyle w:val="ECCTabletext"/>
            </w:pPr>
            <w:r w:rsidRPr="00C13540">
              <w:t>-94.4 dBm</w:t>
            </w:r>
          </w:p>
        </w:tc>
      </w:tr>
      <w:tr w:rsidR="00E6362F" w14:paraId="2DBCFD07"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0E4592EF" w14:textId="77777777" w:rsidR="00E6362F" w:rsidRPr="00DD53C4" w:rsidRDefault="00E6362F" w:rsidP="005E30F7">
            <w:pPr>
              <w:pStyle w:val="ECCTabletext"/>
            </w:pPr>
            <w:r w:rsidRPr="00DD53C4">
              <w:t>Noise + Interference at satellite receiver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1E2287B5" w14:textId="77777777" w:rsidR="00E6362F" w:rsidRPr="00DD53C4" w:rsidRDefault="00E6362F" w:rsidP="005E30F7">
            <w:pPr>
              <w:pStyle w:val="ECCTabletext"/>
            </w:pPr>
            <w:r w:rsidRPr="00DD53C4">
              <w:t>-110 dBm</w:t>
            </w:r>
          </w:p>
        </w:tc>
      </w:tr>
      <w:tr w:rsidR="00E6362F" w14:paraId="02A16E18" w14:textId="77777777" w:rsidTr="005E30F7">
        <w:trPr>
          <w:trHeight w:val="265"/>
        </w:trPr>
        <w:tc>
          <w:tcPr>
            <w:tcW w:w="3325" w:type="pct"/>
            <w:tcBorders>
              <w:top w:val="single" w:sz="4" w:space="0" w:color="D22A23"/>
              <w:left w:val="single" w:sz="4" w:space="0" w:color="D22A23"/>
              <w:bottom w:val="single" w:sz="4" w:space="0" w:color="D22A23"/>
              <w:right w:val="single" w:sz="4" w:space="0" w:color="D22A23"/>
            </w:tcBorders>
            <w:vAlign w:val="bottom"/>
            <w:hideMark/>
          </w:tcPr>
          <w:p w14:paraId="4643B9F4" w14:textId="77777777" w:rsidR="00E6362F" w:rsidRPr="00DD53C4" w:rsidRDefault="00E6362F" w:rsidP="005E30F7">
            <w:pPr>
              <w:pStyle w:val="ECCTabletext"/>
            </w:pPr>
            <w:r w:rsidRPr="00DD53C4">
              <w:t>Minimum SINR</w:t>
            </w:r>
          </w:p>
        </w:tc>
        <w:tc>
          <w:tcPr>
            <w:tcW w:w="1675" w:type="pct"/>
            <w:tcBorders>
              <w:top w:val="single" w:sz="4" w:space="0" w:color="D22A23"/>
              <w:left w:val="single" w:sz="4" w:space="0" w:color="D22A23"/>
              <w:bottom w:val="single" w:sz="4" w:space="0" w:color="D22A23"/>
              <w:right w:val="single" w:sz="4" w:space="0" w:color="D22A23"/>
            </w:tcBorders>
            <w:vAlign w:val="bottom"/>
            <w:hideMark/>
          </w:tcPr>
          <w:p w14:paraId="2F419943" w14:textId="77777777" w:rsidR="00E6362F" w:rsidRPr="00DD53C4" w:rsidRDefault="00E6362F" w:rsidP="005E30F7">
            <w:pPr>
              <w:pStyle w:val="ECCTabletext"/>
            </w:pPr>
            <w:r w:rsidRPr="00DD53C4">
              <w:t>13.6 dB</w:t>
            </w:r>
          </w:p>
        </w:tc>
      </w:tr>
    </w:tbl>
    <w:p w14:paraId="06093E87" w14:textId="77777777" w:rsidR="00E6362F" w:rsidRDefault="00E6362F" w:rsidP="00E6362F">
      <w:pPr>
        <w:pStyle w:val="ECCParagraph"/>
      </w:pPr>
      <w:r>
        <w:t>A UE transmitting at 23 dBm over a 1 MHz BW would achieve a minimum SINR of 13.6 dB at the satellite.</w:t>
      </w:r>
    </w:p>
    <w:p w14:paraId="0F8CE6D6" w14:textId="77777777" w:rsidR="00BC0AF1" w:rsidRDefault="00BC0AF1">
      <w:pPr>
        <w:rPr>
          <w:rFonts w:cs="Arial"/>
          <w:b/>
          <w:bCs/>
          <w:caps/>
          <w:color w:val="D2232A"/>
          <w:kern w:val="32"/>
          <w:szCs w:val="32"/>
          <w:lang w:val="en-IE"/>
        </w:rPr>
      </w:pPr>
      <w:r>
        <w:rPr>
          <w:lang w:val="en-IE"/>
        </w:rPr>
        <w:br w:type="page"/>
      </w:r>
    </w:p>
    <w:p w14:paraId="6BF2F844" w14:textId="77777777" w:rsidR="00C240D3" w:rsidRPr="008C75AB" w:rsidRDefault="00C240D3" w:rsidP="00C240D3">
      <w:pPr>
        <w:pStyle w:val="ECCAnnexheading1"/>
        <w:rPr>
          <w:lang w:val="en-US"/>
        </w:rPr>
      </w:pPr>
      <w:bookmarkStart w:id="35" w:name="_Toc230352065"/>
      <w:bookmarkStart w:id="36" w:name="_Toc230352875"/>
      <w:bookmarkStart w:id="37" w:name="_Toc230360706"/>
      <w:bookmarkStart w:id="38" w:name="_Ref233271987"/>
      <w:r w:rsidRPr="008C75AB">
        <w:lastRenderedPageBreak/>
        <w:t>Link Budget for</w:t>
      </w:r>
      <w:r>
        <w:t xml:space="preserve"> fdd BANDS FROM </w:t>
      </w:r>
      <w:r w:rsidRPr="008C75AB">
        <w:t>700 to 2600</w:t>
      </w:r>
      <w:r>
        <w:t xml:space="preserve"> mhz</w:t>
      </w:r>
      <w:r w:rsidRPr="008C75AB">
        <w:t xml:space="preserve"> </w:t>
      </w:r>
      <w:r>
        <w:t>AND 3600 MHZ tdd</w:t>
      </w:r>
      <w:r w:rsidRPr="008C75AB">
        <w:t xml:space="preserve"> band </w:t>
      </w:r>
      <w:r>
        <w:t>(example 2)</w:t>
      </w:r>
      <w:bookmarkEnd w:id="35"/>
      <w:bookmarkEnd w:id="36"/>
      <w:bookmarkEnd w:id="37"/>
      <w:bookmarkEnd w:id="38"/>
    </w:p>
    <w:p w14:paraId="632B2EAE" w14:textId="77777777" w:rsidR="00C240D3" w:rsidRPr="008C75AB" w:rsidRDefault="00C240D3" w:rsidP="00C240D3">
      <w:pPr>
        <w:pStyle w:val="ECCAnnexheading2"/>
      </w:pPr>
      <w:bookmarkStart w:id="39" w:name="_Toc230352066"/>
      <w:r w:rsidRPr="008C75AB">
        <w:t>Space-to-earth</w:t>
      </w:r>
      <w:bookmarkEnd w:id="39"/>
    </w:p>
    <w:p w14:paraId="0AAAAB4C" w14:textId="77777777" w:rsidR="00C240D3" w:rsidRDefault="00C240D3" w:rsidP="00C240D3">
      <w:pPr>
        <w:pStyle w:val="ECCAnnexheading3"/>
      </w:pPr>
      <w:r>
        <w:t>Assumptions and target service level</w:t>
      </w:r>
    </w:p>
    <w:p w14:paraId="507A2D2B" w14:textId="4187A421" w:rsidR="00C240D3" w:rsidRPr="00146DB7" w:rsidRDefault="00C240D3" w:rsidP="00C240D3">
      <w:pPr>
        <w:pStyle w:val="ECCParagraph"/>
      </w:pPr>
      <w:r w:rsidRPr="00146DB7">
        <w:t>The following link budget calculation are considered at nadir and at minimum elevation of 26 degrees and for a 5</w:t>
      </w:r>
      <w:r w:rsidR="00EB61B0">
        <w:t xml:space="preserve"> </w:t>
      </w:r>
      <w:r w:rsidRPr="00146DB7">
        <w:t xml:space="preserve">MHz carrier (4.5 MHz usable bandwidth). </w:t>
      </w:r>
      <w:r w:rsidR="0037070F">
        <w:fldChar w:fldCharType="begin"/>
      </w:r>
      <w:r w:rsidR="0037070F">
        <w:instrText xml:space="preserve"> REF _Ref230361235 \h </w:instrText>
      </w:r>
      <w:r w:rsidR="0037070F">
        <w:fldChar w:fldCharType="separate"/>
      </w:r>
      <w:r w:rsidR="0037070F" w:rsidRPr="004D48FE">
        <w:t xml:space="preserve">Table </w:t>
      </w:r>
      <w:r w:rsidR="0037070F">
        <w:rPr>
          <w:noProof/>
        </w:rPr>
        <w:t>6</w:t>
      </w:r>
      <w:r w:rsidR="0037070F">
        <w:fldChar w:fldCharType="end"/>
      </w:r>
      <w:r w:rsidRPr="00146DB7">
        <w:t xml:space="preserve"> summarises the satellite characteristics</w:t>
      </w:r>
      <w:r w:rsidR="002137F0">
        <w:t>.</w:t>
      </w:r>
    </w:p>
    <w:p w14:paraId="7A23AB0D" w14:textId="1FC4A612" w:rsidR="00C240D3" w:rsidRPr="006F2B1D" w:rsidRDefault="00C240D3" w:rsidP="00C240D3">
      <w:pPr>
        <w:pStyle w:val="Caption"/>
      </w:pPr>
      <w:bookmarkStart w:id="40" w:name="_Ref230361235"/>
      <w:r w:rsidRPr="004D48FE">
        <w:t xml:space="preserve">Table </w:t>
      </w:r>
      <w:r w:rsidRPr="00566DA4">
        <w:fldChar w:fldCharType="begin"/>
      </w:r>
      <w:r w:rsidRPr="004D48FE">
        <w:instrText xml:space="preserve"> SEQ Table \* ARABIC </w:instrText>
      </w:r>
      <w:r w:rsidRPr="00566DA4">
        <w:fldChar w:fldCharType="separate"/>
      </w:r>
      <w:r>
        <w:rPr>
          <w:noProof/>
        </w:rPr>
        <w:t>6</w:t>
      </w:r>
      <w:r w:rsidRPr="00566DA4">
        <w:fldChar w:fldCharType="end"/>
      </w:r>
      <w:bookmarkEnd w:id="40"/>
      <w:r w:rsidRPr="004D48FE">
        <w:t xml:space="preserve">: </w:t>
      </w:r>
      <w:r w:rsidR="00AD0BE2">
        <w:t>P</w:t>
      </w:r>
      <w:r>
        <w:t>arameters for link budget</w:t>
      </w:r>
    </w:p>
    <w:tbl>
      <w:tblPr>
        <w:tblStyle w:val="ECCTable-redheader"/>
        <w:tblW w:w="0" w:type="auto"/>
        <w:tblInd w:w="0" w:type="dxa"/>
        <w:tblLook w:val="0480" w:firstRow="0" w:lastRow="0" w:firstColumn="1" w:lastColumn="0" w:noHBand="0" w:noVBand="1"/>
      </w:tblPr>
      <w:tblGrid>
        <w:gridCol w:w="2532"/>
        <w:gridCol w:w="1164"/>
        <w:gridCol w:w="1153"/>
        <w:gridCol w:w="952"/>
        <w:gridCol w:w="952"/>
        <w:gridCol w:w="955"/>
      </w:tblGrid>
      <w:tr w:rsidR="00AD0BE2" w14:paraId="6B0ED7B1" w14:textId="77777777" w:rsidTr="00EB61B0">
        <w:trPr>
          <w:trHeight w:val="204"/>
        </w:trPr>
        <w:tc>
          <w:tcPr>
            <w:tcW w:w="2532" w:type="dxa"/>
          </w:tcPr>
          <w:p w14:paraId="0F44D931" w14:textId="57CA9293" w:rsidR="00AD0BE2" w:rsidRDefault="00AD0BE2" w:rsidP="00AD0BE2">
            <w:pPr>
              <w:pStyle w:val="ECCTabletext"/>
            </w:pPr>
            <w:r>
              <w:rPr>
                <w:lang w:val="da-DK"/>
              </w:rPr>
              <w:t>Frequency</w:t>
            </w:r>
          </w:p>
        </w:tc>
        <w:tc>
          <w:tcPr>
            <w:tcW w:w="1164" w:type="dxa"/>
          </w:tcPr>
          <w:p w14:paraId="5F4CF627" w14:textId="1165ECD1" w:rsidR="00AD0BE2" w:rsidRDefault="00AD0BE2" w:rsidP="00AD0BE2">
            <w:pPr>
              <w:pStyle w:val="ECCTabletext"/>
            </w:pPr>
            <w:r>
              <w:rPr>
                <w:lang w:val="da-DK"/>
              </w:rPr>
              <w:t>MHz</w:t>
            </w:r>
          </w:p>
        </w:tc>
        <w:tc>
          <w:tcPr>
            <w:tcW w:w="4012" w:type="dxa"/>
            <w:gridSpan w:val="4"/>
          </w:tcPr>
          <w:p w14:paraId="268C2FB4" w14:textId="0E3AD87C" w:rsidR="00AD0BE2" w:rsidRDefault="00AD0BE2" w:rsidP="00AD0BE2">
            <w:pPr>
              <w:pStyle w:val="ECCTabletext"/>
            </w:pPr>
            <w:r>
              <w:rPr>
                <w:lang w:val="da-DK"/>
              </w:rPr>
              <w:t>700</w:t>
            </w:r>
          </w:p>
        </w:tc>
      </w:tr>
      <w:tr w:rsidR="00C240D3" w14:paraId="399BE11F" w14:textId="77777777" w:rsidTr="00EB61B0">
        <w:trPr>
          <w:trHeight w:val="204"/>
        </w:trPr>
        <w:tc>
          <w:tcPr>
            <w:tcW w:w="2532" w:type="dxa"/>
          </w:tcPr>
          <w:p w14:paraId="2B98EFE5" w14:textId="77777777" w:rsidR="00C240D3" w:rsidRDefault="00C240D3" w:rsidP="005E30F7">
            <w:pPr>
              <w:pStyle w:val="ECCTabletext"/>
            </w:pPr>
            <w:r>
              <w:t>Satellite altitude</w:t>
            </w:r>
          </w:p>
        </w:tc>
        <w:tc>
          <w:tcPr>
            <w:tcW w:w="1164" w:type="dxa"/>
          </w:tcPr>
          <w:p w14:paraId="2537DBCA" w14:textId="77777777" w:rsidR="00C240D3" w:rsidRDefault="00C240D3" w:rsidP="005E30F7">
            <w:pPr>
              <w:pStyle w:val="ECCTabletext"/>
            </w:pPr>
            <w:r>
              <w:t>km</w:t>
            </w:r>
          </w:p>
        </w:tc>
        <w:tc>
          <w:tcPr>
            <w:tcW w:w="4012" w:type="dxa"/>
            <w:gridSpan w:val="4"/>
          </w:tcPr>
          <w:p w14:paraId="6AF7A5AD" w14:textId="77777777" w:rsidR="00C240D3" w:rsidRDefault="00C240D3" w:rsidP="005E30F7">
            <w:pPr>
              <w:pStyle w:val="ECCTabletext"/>
            </w:pPr>
            <w:r>
              <w:t>500</w:t>
            </w:r>
          </w:p>
        </w:tc>
      </w:tr>
      <w:tr w:rsidR="00C240D3" w14:paraId="4E44F944" w14:textId="77777777" w:rsidTr="00EB61B0">
        <w:trPr>
          <w:trHeight w:val="60"/>
        </w:trPr>
        <w:tc>
          <w:tcPr>
            <w:tcW w:w="2532" w:type="dxa"/>
          </w:tcPr>
          <w:p w14:paraId="2C184518" w14:textId="77777777" w:rsidR="00C240D3" w:rsidRDefault="00C240D3" w:rsidP="005E30F7">
            <w:pPr>
              <w:pStyle w:val="ECCTabletext"/>
            </w:pPr>
            <w:r>
              <w:t>Maximum antenna gain</w:t>
            </w:r>
          </w:p>
        </w:tc>
        <w:tc>
          <w:tcPr>
            <w:tcW w:w="1164" w:type="dxa"/>
          </w:tcPr>
          <w:p w14:paraId="3A1F7399" w14:textId="77777777" w:rsidR="00C240D3" w:rsidRDefault="00C240D3" w:rsidP="005E30F7">
            <w:pPr>
              <w:pStyle w:val="ECCTabletext"/>
            </w:pPr>
            <w:r>
              <w:t>dBi</w:t>
            </w:r>
          </w:p>
        </w:tc>
        <w:tc>
          <w:tcPr>
            <w:tcW w:w="1153" w:type="dxa"/>
          </w:tcPr>
          <w:p w14:paraId="63A2922A" w14:textId="77777777" w:rsidR="00C240D3" w:rsidRDefault="00C240D3" w:rsidP="005E30F7">
            <w:pPr>
              <w:pStyle w:val="ECCTabletext"/>
            </w:pPr>
            <w:r>
              <w:t>24.3</w:t>
            </w:r>
          </w:p>
        </w:tc>
        <w:tc>
          <w:tcPr>
            <w:tcW w:w="952" w:type="dxa"/>
          </w:tcPr>
          <w:p w14:paraId="6ECE5070" w14:textId="77777777" w:rsidR="00C240D3" w:rsidRDefault="00C240D3" w:rsidP="005E30F7">
            <w:pPr>
              <w:pStyle w:val="ECCTabletext"/>
            </w:pPr>
            <w:r>
              <w:t>32.52</w:t>
            </w:r>
          </w:p>
        </w:tc>
        <w:tc>
          <w:tcPr>
            <w:tcW w:w="952" w:type="dxa"/>
          </w:tcPr>
          <w:p w14:paraId="7BF0CA33" w14:textId="77777777" w:rsidR="00C240D3" w:rsidRDefault="00C240D3" w:rsidP="005E30F7">
            <w:pPr>
              <w:pStyle w:val="ECCTabletext"/>
            </w:pPr>
            <w:r>
              <w:t>32.52</w:t>
            </w:r>
          </w:p>
        </w:tc>
        <w:tc>
          <w:tcPr>
            <w:tcW w:w="955" w:type="dxa"/>
          </w:tcPr>
          <w:p w14:paraId="5F8A0DEC" w14:textId="77777777" w:rsidR="00C240D3" w:rsidRDefault="00C240D3" w:rsidP="005E30F7">
            <w:pPr>
              <w:pStyle w:val="ECCTabletext"/>
            </w:pPr>
            <w:r>
              <w:t>36</w:t>
            </w:r>
          </w:p>
        </w:tc>
      </w:tr>
      <w:tr w:rsidR="00C240D3" w14:paraId="68297283" w14:textId="77777777" w:rsidTr="00EB61B0">
        <w:trPr>
          <w:trHeight w:val="204"/>
        </w:trPr>
        <w:tc>
          <w:tcPr>
            <w:tcW w:w="2532" w:type="dxa"/>
          </w:tcPr>
          <w:p w14:paraId="471B7A13" w14:textId="77777777" w:rsidR="00C240D3" w:rsidRDefault="00C240D3" w:rsidP="005E30F7">
            <w:pPr>
              <w:pStyle w:val="ECCTabletext"/>
            </w:pPr>
            <w:r>
              <w:t>Usable bandwidth</w:t>
            </w:r>
          </w:p>
        </w:tc>
        <w:tc>
          <w:tcPr>
            <w:tcW w:w="1164" w:type="dxa"/>
          </w:tcPr>
          <w:p w14:paraId="0426F29D" w14:textId="77777777" w:rsidR="00C240D3" w:rsidRDefault="00C240D3" w:rsidP="005E30F7">
            <w:pPr>
              <w:pStyle w:val="ECCTabletext"/>
            </w:pPr>
            <w:r>
              <w:t>MHz</w:t>
            </w:r>
          </w:p>
        </w:tc>
        <w:tc>
          <w:tcPr>
            <w:tcW w:w="4012" w:type="dxa"/>
            <w:gridSpan w:val="4"/>
          </w:tcPr>
          <w:p w14:paraId="65361DFD" w14:textId="77777777" w:rsidR="00C240D3" w:rsidRDefault="00C240D3" w:rsidP="005E30F7">
            <w:pPr>
              <w:pStyle w:val="ECCTabletext"/>
            </w:pPr>
            <w:r>
              <w:t>4.5 MHz</w:t>
            </w:r>
          </w:p>
        </w:tc>
      </w:tr>
      <w:tr w:rsidR="00C240D3" w14:paraId="4C95396C" w14:textId="77777777" w:rsidTr="00EB61B0">
        <w:trPr>
          <w:trHeight w:val="204"/>
        </w:trPr>
        <w:tc>
          <w:tcPr>
            <w:tcW w:w="2532" w:type="dxa"/>
          </w:tcPr>
          <w:p w14:paraId="191AF23F" w14:textId="77777777" w:rsidR="00C240D3" w:rsidRDefault="00C240D3" w:rsidP="005E30F7">
            <w:pPr>
              <w:pStyle w:val="ECCTabletext"/>
            </w:pPr>
            <w:r>
              <w:t>Minimum elevation</w:t>
            </w:r>
          </w:p>
        </w:tc>
        <w:tc>
          <w:tcPr>
            <w:tcW w:w="1164" w:type="dxa"/>
          </w:tcPr>
          <w:p w14:paraId="39CC0885" w14:textId="77777777" w:rsidR="00C240D3" w:rsidRDefault="00C240D3" w:rsidP="005E30F7">
            <w:pPr>
              <w:pStyle w:val="ECCTabletext"/>
            </w:pPr>
            <w:r w:rsidRPr="00807685">
              <w:t>°</w:t>
            </w:r>
          </w:p>
        </w:tc>
        <w:tc>
          <w:tcPr>
            <w:tcW w:w="4012" w:type="dxa"/>
            <w:gridSpan w:val="4"/>
          </w:tcPr>
          <w:p w14:paraId="636FA18B" w14:textId="77777777" w:rsidR="00C240D3" w:rsidRDefault="00C240D3" w:rsidP="005E30F7">
            <w:pPr>
              <w:pStyle w:val="ECCTabletext"/>
            </w:pPr>
            <w:r>
              <w:t>26</w:t>
            </w:r>
          </w:p>
        </w:tc>
      </w:tr>
    </w:tbl>
    <w:p w14:paraId="13C8BB9B" w14:textId="3AB1D3E3" w:rsidR="00C240D3" w:rsidRDefault="00C240D3" w:rsidP="00C240D3">
      <w:pPr>
        <w:pStyle w:val="ECCParagraph"/>
      </w:pPr>
      <w:r>
        <w:t>In addition, the D2D-IMT system is designed around the following assumption:</w:t>
      </w:r>
    </w:p>
    <w:p w14:paraId="16D1D4D8" w14:textId="77777777" w:rsidR="00C240D3" w:rsidRPr="00CC1A75" w:rsidRDefault="00C240D3" w:rsidP="00C240D3">
      <w:pPr>
        <w:pStyle w:val="ECCBulletsLv1"/>
        <w:spacing w:line="288" w:lineRule="auto"/>
        <w:contextualSpacing/>
        <w:rPr>
          <w:lang w:val="en-US"/>
        </w:rPr>
      </w:pPr>
      <w:r>
        <w:rPr>
          <w:lang w:val="en-US"/>
        </w:rPr>
        <w:t>UE Antenna Gain = -3 dBi;</w:t>
      </w:r>
    </w:p>
    <w:p w14:paraId="0ADF2A67" w14:textId="77777777" w:rsidR="00C240D3" w:rsidRDefault="00C240D3" w:rsidP="00C240D3">
      <w:pPr>
        <w:pStyle w:val="ECCBulletsLv1"/>
        <w:spacing w:line="288" w:lineRule="auto"/>
        <w:contextualSpacing/>
        <w:rPr>
          <w:lang w:val="en-US"/>
        </w:rPr>
      </w:pPr>
      <w:r>
        <w:rPr>
          <w:lang w:val="en-US"/>
        </w:rPr>
        <w:t>UE Noise Factor = 9 dB;</w:t>
      </w:r>
    </w:p>
    <w:p w14:paraId="2E6A7348" w14:textId="77777777" w:rsidR="00C240D3" w:rsidRDefault="00C240D3" w:rsidP="00C240D3">
      <w:pPr>
        <w:pStyle w:val="ECCBulletsLv1"/>
        <w:spacing w:line="288" w:lineRule="auto"/>
        <w:contextualSpacing/>
        <w:rPr>
          <w:lang w:val="en-US"/>
        </w:rPr>
      </w:pPr>
      <w:r>
        <w:rPr>
          <w:lang w:val="en-US"/>
        </w:rPr>
        <w:t>Body loss = 4 dB;</w:t>
      </w:r>
    </w:p>
    <w:p w14:paraId="44D55E08" w14:textId="77777777" w:rsidR="00C240D3" w:rsidRDefault="00C240D3" w:rsidP="00C240D3">
      <w:pPr>
        <w:pStyle w:val="ECCBulletsLv1"/>
        <w:spacing w:line="288" w:lineRule="auto"/>
        <w:contextualSpacing/>
        <w:rPr>
          <w:lang w:val="en-US"/>
        </w:rPr>
      </w:pPr>
      <w:r>
        <w:rPr>
          <w:lang w:val="en-US"/>
        </w:rPr>
        <w:t>Target SNR @EL 90</w:t>
      </w:r>
      <w:r w:rsidRPr="00807685">
        <w:rPr>
          <w:lang w:val="da-DK"/>
        </w:rPr>
        <w:t>°</w:t>
      </w:r>
      <w:r>
        <w:rPr>
          <w:lang w:val="da-DK"/>
        </w:rPr>
        <w:t xml:space="preserve"> (nadir)</w:t>
      </w:r>
      <w:r>
        <w:rPr>
          <w:lang w:val="en-US"/>
        </w:rPr>
        <w:t xml:space="preserve"> = 10 dB; </w:t>
      </w:r>
    </w:p>
    <w:p w14:paraId="488540AF" w14:textId="77777777" w:rsidR="00C240D3" w:rsidRDefault="00C240D3" w:rsidP="00C240D3">
      <w:pPr>
        <w:pStyle w:val="ECCBulletsLv1"/>
        <w:spacing w:line="288" w:lineRule="auto"/>
        <w:contextualSpacing/>
        <w:rPr>
          <w:lang w:val="en-US"/>
        </w:rPr>
      </w:pPr>
      <w:r>
        <w:rPr>
          <w:lang w:val="en-US"/>
        </w:rPr>
        <w:t>Target SNR @EL 26</w:t>
      </w:r>
      <w:r w:rsidRPr="00807685">
        <w:rPr>
          <w:lang w:val="da-DK"/>
        </w:rPr>
        <w:t>°</w:t>
      </w:r>
      <w:r>
        <w:rPr>
          <w:lang w:val="da-DK"/>
        </w:rPr>
        <w:t xml:space="preserve"> (minimum elevation)</w:t>
      </w:r>
      <w:r>
        <w:rPr>
          <w:lang w:val="en-US"/>
        </w:rPr>
        <w:t xml:space="preserve"> = 8 dB.</w:t>
      </w:r>
    </w:p>
    <w:p w14:paraId="3B0F4301" w14:textId="77777777" w:rsidR="00C240D3" w:rsidRDefault="00C240D3" w:rsidP="00C240D3">
      <w:pPr>
        <w:pStyle w:val="ECCParagraph"/>
      </w:pPr>
      <w:r>
        <w:t>The target SNR are taken as examples for the sake of the link budget calculations.</w:t>
      </w:r>
    </w:p>
    <w:p w14:paraId="538A5780" w14:textId="77777777" w:rsidR="00C240D3" w:rsidRDefault="00C240D3" w:rsidP="00C240D3">
      <w:pPr>
        <w:pStyle w:val="ECCAnnexheading3"/>
      </w:pPr>
      <w:r w:rsidRPr="003B31BC">
        <w:t>Link Budget</w:t>
      </w:r>
      <w:r>
        <w:t>s</w:t>
      </w:r>
    </w:p>
    <w:p w14:paraId="7D4BB70B" w14:textId="03370CAA" w:rsidR="00C240D3" w:rsidRDefault="00010604" w:rsidP="00C240D3">
      <w:pPr>
        <w:pStyle w:val="ECCParagraph"/>
        <w:rPr>
          <w:rFonts w:eastAsia="Calibri"/>
        </w:rPr>
      </w:pPr>
      <w:r>
        <w:rPr>
          <w:rFonts w:eastAsia="Calibri"/>
          <w:b/>
          <w:bCs/>
        </w:rPr>
        <w:fldChar w:fldCharType="begin"/>
      </w:r>
      <w:r>
        <w:rPr>
          <w:rFonts w:eastAsia="Calibri"/>
        </w:rPr>
        <w:instrText xml:space="preserve"> REF _Ref230361441 \h </w:instrText>
      </w:r>
      <w:r>
        <w:rPr>
          <w:rFonts w:eastAsia="Calibri"/>
          <w:b/>
          <w:bCs/>
        </w:rPr>
      </w:r>
      <w:r>
        <w:rPr>
          <w:rFonts w:eastAsia="Calibri"/>
          <w:b/>
          <w:bCs/>
        </w:rPr>
        <w:fldChar w:fldCharType="separate"/>
      </w:r>
      <w:r w:rsidRPr="004D48FE">
        <w:t xml:space="preserve">Table </w:t>
      </w:r>
      <w:r>
        <w:rPr>
          <w:noProof/>
        </w:rPr>
        <w:t>7</w:t>
      </w:r>
      <w:r>
        <w:rPr>
          <w:rFonts w:eastAsia="Calibri"/>
          <w:b/>
          <w:bCs/>
        </w:rPr>
        <w:fldChar w:fldCharType="end"/>
      </w:r>
      <w:r w:rsidR="00F80244">
        <w:rPr>
          <w:rFonts w:eastAsia="Calibri"/>
          <w:b/>
          <w:bCs/>
        </w:rPr>
        <w:t xml:space="preserve"> </w:t>
      </w:r>
      <w:r w:rsidR="00C240D3" w:rsidRPr="00957A62">
        <w:rPr>
          <w:rFonts w:eastAsia="Calibri"/>
        </w:rPr>
        <w:t xml:space="preserve">and </w:t>
      </w:r>
      <w:r>
        <w:rPr>
          <w:rFonts w:eastAsia="Calibri"/>
        </w:rPr>
        <w:fldChar w:fldCharType="begin"/>
      </w:r>
      <w:r>
        <w:rPr>
          <w:rFonts w:eastAsia="Calibri"/>
        </w:rPr>
        <w:instrText xml:space="preserve"> REF _Ref230361446 \h </w:instrText>
      </w:r>
      <w:r>
        <w:rPr>
          <w:rFonts w:eastAsia="Calibri"/>
        </w:rPr>
      </w:r>
      <w:r>
        <w:rPr>
          <w:rFonts w:eastAsia="Calibri"/>
        </w:rPr>
        <w:fldChar w:fldCharType="separate"/>
      </w:r>
      <w:r w:rsidRPr="004D48FE">
        <w:t xml:space="preserve">Table </w:t>
      </w:r>
      <w:r>
        <w:rPr>
          <w:noProof/>
        </w:rPr>
        <w:t>8</w:t>
      </w:r>
      <w:r>
        <w:rPr>
          <w:rFonts w:eastAsia="Calibri"/>
        </w:rPr>
        <w:fldChar w:fldCharType="end"/>
      </w:r>
      <w:r>
        <w:rPr>
          <w:rFonts w:eastAsia="Calibri"/>
        </w:rPr>
        <w:t xml:space="preserve"> </w:t>
      </w:r>
      <w:r w:rsidR="00C240D3" w:rsidRPr="00957A62">
        <w:rPr>
          <w:rFonts w:eastAsia="Calibri"/>
        </w:rPr>
        <w:t xml:space="preserve">present a representative space-to-earth link budget for a 5 MHz carrier in the different frequency bands considered at elevation 90° and 26°, respectively. The equation </w:t>
      </w:r>
      <w:r w:rsidR="000F3BA2">
        <w:rPr>
          <w:rFonts w:eastAsia="Calibri"/>
        </w:rPr>
        <w:fldChar w:fldCharType="begin"/>
      </w:r>
      <w:r w:rsidR="000F3BA2">
        <w:rPr>
          <w:rFonts w:eastAsia="Calibri"/>
        </w:rPr>
        <w:instrText xml:space="preserve"> REF _Ref233290815 \h </w:instrText>
      </w:r>
      <w:r w:rsidR="000F3BA2">
        <w:rPr>
          <w:rFonts w:eastAsia="Calibri"/>
        </w:rPr>
      </w:r>
      <w:r w:rsidR="000F3BA2">
        <w:rPr>
          <w:rFonts w:eastAsia="Calibri"/>
        </w:rPr>
        <w:fldChar w:fldCharType="separate"/>
      </w:r>
      <w:r w:rsidR="000F3BA2" w:rsidRPr="00B216B4">
        <w:t>(</w:t>
      </w:r>
      <w:r w:rsidR="000F3BA2">
        <w:rPr>
          <w:noProof/>
        </w:rPr>
        <w:t>3</w:t>
      </w:r>
      <w:r w:rsidR="000F3BA2" w:rsidRPr="00B216B4">
        <w:t>)</w:t>
      </w:r>
      <w:r w:rsidR="000F3BA2">
        <w:rPr>
          <w:rFonts w:eastAsia="Calibri"/>
        </w:rPr>
        <w:fldChar w:fldCharType="end"/>
      </w:r>
      <w:r w:rsidR="000F3BA2">
        <w:rPr>
          <w:rFonts w:eastAsia="Calibri"/>
        </w:rPr>
        <w:t xml:space="preserve"> </w:t>
      </w:r>
      <w:r w:rsidR="00C240D3" w:rsidRPr="00957A62">
        <w:rPr>
          <w:rFonts w:eastAsia="Calibri"/>
        </w:rPr>
        <w:t>was used: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8556"/>
        <w:gridCol w:w="461"/>
      </w:tblGrid>
      <w:tr w:rsidR="00C240D3" w:rsidRPr="00B216B4" w14:paraId="55B055A9" w14:textId="77777777" w:rsidTr="005E30F7">
        <w:tc>
          <w:tcPr>
            <w:tcW w:w="323" w:type="pct"/>
          </w:tcPr>
          <w:p w14:paraId="5CBA1043" w14:textId="77777777" w:rsidR="00C240D3" w:rsidRPr="00B216B4" w:rsidRDefault="00C240D3" w:rsidP="005E30F7">
            <w:pPr>
              <w:spacing w:before="120" w:after="120"/>
            </w:pPr>
          </w:p>
        </w:tc>
        <w:tc>
          <w:tcPr>
            <w:tcW w:w="4438" w:type="pct"/>
          </w:tcPr>
          <w:p w14:paraId="690ED080" w14:textId="77777777" w:rsidR="00C240D3" w:rsidRPr="00B216B4" w:rsidRDefault="00C240D3" w:rsidP="005E30F7">
            <w:pPr>
              <w:spacing w:before="120" w:after="120"/>
            </w:pPr>
            <m:oMathPara>
              <m:oMathParaPr>
                <m:jc m:val="center"/>
              </m:oMathParaPr>
              <m:oMath>
                <m:r>
                  <m:rPr>
                    <m:sty m:val="p"/>
                  </m:rPr>
                  <w:rPr>
                    <w:rFonts w:ascii="Cambria Math" w:hAnsi="Cambria Math"/>
                  </w:rPr>
                  <m:t>RTrP=Nth+UE_NF+TSNR-G_UE+BL+FSPL-G_SAT</m:t>
                </m:r>
              </m:oMath>
            </m:oMathPara>
          </w:p>
        </w:tc>
        <w:tc>
          <w:tcPr>
            <w:tcW w:w="239" w:type="pct"/>
          </w:tcPr>
          <w:p w14:paraId="7861A97F" w14:textId="5B7111E8" w:rsidR="00C240D3" w:rsidRPr="00B216B4" w:rsidRDefault="00C240D3" w:rsidP="005E30F7">
            <w:pPr>
              <w:spacing w:before="120" w:after="120"/>
              <w:jc w:val="right"/>
            </w:pPr>
            <w:bookmarkStart w:id="41" w:name="_Ref233290815"/>
            <w:r w:rsidRPr="00B216B4">
              <w:t>(</w:t>
            </w:r>
            <w:r>
              <w:fldChar w:fldCharType="begin"/>
            </w:r>
            <w:r>
              <w:instrText xml:space="preserve"> SEQ Equation \* ARABIC </w:instrText>
            </w:r>
            <w:r>
              <w:fldChar w:fldCharType="separate"/>
            </w:r>
            <w:r w:rsidR="004322CF">
              <w:rPr>
                <w:noProof/>
              </w:rPr>
              <w:t>3</w:t>
            </w:r>
            <w:r>
              <w:rPr>
                <w:noProof/>
              </w:rPr>
              <w:fldChar w:fldCharType="end"/>
            </w:r>
            <w:r w:rsidRPr="00B216B4">
              <w:t>)</w:t>
            </w:r>
            <w:bookmarkEnd w:id="41"/>
          </w:p>
        </w:tc>
      </w:tr>
    </w:tbl>
    <w:p w14:paraId="68D31D38" w14:textId="77777777" w:rsidR="00C240D3" w:rsidRDefault="00C240D3" w:rsidP="00C240D3">
      <w:pPr>
        <w:jc w:val="center"/>
      </w:pPr>
    </w:p>
    <w:p w14:paraId="0614CB9B" w14:textId="77777777" w:rsidR="00C240D3" w:rsidRDefault="00C240D3" w:rsidP="00C240D3">
      <w:r>
        <w:t>where:</w:t>
      </w:r>
    </w:p>
    <w:p w14:paraId="66D3C01D" w14:textId="77777777" w:rsidR="00C240D3" w:rsidRPr="008E3115" w:rsidRDefault="00C240D3" w:rsidP="00C240D3">
      <w:pPr>
        <w:pStyle w:val="ECCBulletsLv1"/>
        <w:ind w:left="357" w:hanging="357"/>
      </w:pPr>
      <w:r w:rsidRPr="008E3115">
        <w:t>RTrP is the Required Transmit Power (dBm)</w:t>
      </w:r>
      <w:r>
        <w:t>;</w:t>
      </w:r>
    </w:p>
    <w:p w14:paraId="647E0B53" w14:textId="77777777" w:rsidR="00C240D3" w:rsidRPr="008E3115" w:rsidRDefault="00C240D3" w:rsidP="00C240D3">
      <w:pPr>
        <w:pStyle w:val="ECCBulletsLv1"/>
        <w:ind w:left="357" w:hanging="357"/>
      </w:pPr>
      <w:r w:rsidRPr="008E3115">
        <w:t>Nth is the thermal noise for the BW considered (dBm)</w:t>
      </w:r>
      <w:r>
        <w:t>;</w:t>
      </w:r>
    </w:p>
    <w:p w14:paraId="5285537B" w14:textId="77777777" w:rsidR="00C240D3" w:rsidRPr="008E3115" w:rsidRDefault="00C240D3" w:rsidP="00C240D3">
      <w:pPr>
        <w:pStyle w:val="ECCBulletsLv1"/>
        <w:ind w:left="357" w:hanging="357"/>
      </w:pPr>
      <w:r w:rsidRPr="008E3115">
        <w:t>UE_NF is the UE Noise Factor (dB)</w:t>
      </w:r>
      <w:r>
        <w:t>;</w:t>
      </w:r>
    </w:p>
    <w:p w14:paraId="5FE077D7" w14:textId="77777777" w:rsidR="00C240D3" w:rsidRPr="008E3115" w:rsidRDefault="00C240D3" w:rsidP="00C240D3">
      <w:pPr>
        <w:pStyle w:val="ECCBulletsLv1"/>
        <w:ind w:left="357" w:hanging="357"/>
      </w:pPr>
      <w:r w:rsidRPr="008E3115">
        <w:t>TSNR is the Target SNR (dB)</w:t>
      </w:r>
      <w:r>
        <w:t>;</w:t>
      </w:r>
    </w:p>
    <w:p w14:paraId="41624AFF" w14:textId="77777777" w:rsidR="00C240D3" w:rsidRPr="008E3115" w:rsidRDefault="00C240D3" w:rsidP="00C240D3">
      <w:pPr>
        <w:pStyle w:val="ECCBulletsLv1"/>
        <w:ind w:left="357" w:hanging="357"/>
      </w:pPr>
      <w:r>
        <w:t>G_UE</w:t>
      </w:r>
      <w:r w:rsidRPr="008E3115">
        <w:t xml:space="preserve"> is the antenna gain </w:t>
      </w:r>
      <w:r w:rsidRPr="00111768">
        <w:t>of the WBB ECS User</w:t>
      </w:r>
      <w:r w:rsidRPr="008E3115">
        <w:t xml:space="preserve"> Equipment (dBi)</w:t>
      </w:r>
      <w:r>
        <w:t>;</w:t>
      </w:r>
    </w:p>
    <w:p w14:paraId="72E3F4F2" w14:textId="77777777" w:rsidR="00C240D3" w:rsidRPr="008E3115" w:rsidRDefault="00C240D3" w:rsidP="00C240D3">
      <w:pPr>
        <w:pStyle w:val="ECCBulletsLv1"/>
        <w:ind w:left="357" w:hanging="357"/>
      </w:pPr>
      <w:r>
        <w:t>BL</w:t>
      </w:r>
      <w:r w:rsidRPr="008E3115">
        <w:t xml:space="preserve"> is the terrestrial Loss, i.e. a system margin to guarantee QoS (dB)</w:t>
      </w:r>
      <w:r>
        <w:t>;</w:t>
      </w:r>
    </w:p>
    <w:p w14:paraId="2E38DFBA" w14:textId="77777777" w:rsidR="00C240D3" w:rsidRPr="008E3115" w:rsidRDefault="00C240D3" w:rsidP="00C240D3">
      <w:pPr>
        <w:pStyle w:val="ECCBulletsLv1"/>
        <w:ind w:left="357" w:hanging="357"/>
      </w:pPr>
      <w:r>
        <w:t>FSP</w:t>
      </w:r>
      <w:r w:rsidRPr="008E3115">
        <w:t>L is the pathloss from the satellite to the ground (dB)</w:t>
      </w:r>
      <w:r>
        <w:t>;</w:t>
      </w:r>
    </w:p>
    <w:p w14:paraId="56EBA721" w14:textId="77777777" w:rsidR="00C240D3" w:rsidRDefault="00C240D3" w:rsidP="00C240D3">
      <w:pPr>
        <w:pStyle w:val="ECCBulletsLv1"/>
        <w:ind w:left="357" w:hanging="357"/>
      </w:pPr>
      <w:r>
        <w:t>G_SAT</w:t>
      </w:r>
      <w:r w:rsidRPr="008E3115">
        <w:t xml:space="preserve"> is the antenna gain of the satellite (dBi).</w:t>
      </w:r>
    </w:p>
    <w:p w14:paraId="29777E8C" w14:textId="77777777" w:rsidR="00C240D3" w:rsidRDefault="00C240D3" w:rsidP="00C240D3">
      <w:pPr>
        <w:pStyle w:val="Caption"/>
      </w:pPr>
      <w:bookmarkStart w:id="42" w:name="_Ref223536663"/>
      <w:r>
        <w:br w:type="page"/>
      </w:r>
    </w:p>
    <w:p w14:paraId="683E875D" w14:textId="77777777" w:rsidR="00C240D3" w:rsidRDefault="00C240D3" w:rsidP="00C240D3">
      <w:pPr>
        <w:pStyle w:val="Caption"/>
      </w:pPr>
      <w:bookmarkStart w:id="43" w:name="_Ref230361441"/>
      <w:r w:rsidRPr="004D48FE">
        <w:lastRenderedPageBreak/>
        <w:t xml:space="preserve">Table </w:t>
      </w:r>
      <w:r w:rsidRPr="00566DA4">
        <w:fldChar w:fldCharType="begin"/>
      </w:r>
      <w:r w:rsidRPr="004D48FE">
        <w:instrText xml:space="preserve"> SEQ Table \* ARABIC </w:instrText>
      </w:r>
      <w:r w:rsidRPr="00566DA4">
        <w:fldChar w:fldCharType="separate"/>
      </w:r>
      <w:r>
        <w:rPr>
          <w:noProof/>
        </w:rPr>
        <w:t>7</w:t>
      </w:r>
      <w:r w:rsidRPr="00566DA4">
        <w:fldChar w:fldCharType="end"/>
      </w:r>
      <w:bookmarkEnd w:id="42"/>
      <w:bookmarkEnd w:id="43"/>
      <w:r w:rsidRPr="004D48FE">
        <w:t xml:space="preserve">: </w:t>
      </w:r>
      <w:r>
        <w:t>Representative Space-to-earth Link Budget @EL 90</w:t>
      </w:r>
      <w:r w:rsidRPr="00BC5732">
        <w:t>°</w:t>
      </w:r>
      <w:bookmarkStart w:id="44" w:name="_Ref223605222"/>
    </w:p>
    <w:tbl>
      <w:tblPr>
        <w:tblW w:w="9980" w:type="dxa"/>
        <w:tblLook w:val="04A0" w:firstRow="1" w:lastRow="0" w:firstColumn="1" w:lastColumn="0" w:noHBand="0" w:noVBand="1"/>
      </w:tblPr>
      <w:tblGrid>
        <w:gridCol w:w="557"/>
        <w:gridCol w:w="2491"/>
        <w:gridCol w:w="1917"/>
        <w:gridCol w:w="820"/>
        <w:gridCol w:w="952"/>
        <w:gridCol w:w="702"/>
        <w:gridCol w:w="952"/>
        <w:gridCol w:w="827"/>
        <w:gridCol w:w="762"/>
      </w:tblGrid>
      <w:tr w:rsidR="00C240D3" w:rsidRPr="002446C4" w14:paraId="5AE244C8" w14:textId="77777777" w:rsidTr="00405568">
        <w:trPr>
          <w:trHeight w:val="280"/>
        </w:trPr>
        <w:tc>
          <w:tcPr>
            <w:tcW w:w="4965" w:type="dxa"/>
            <w:gridSpan w:val="3"/>
            <w:vMerge w:val="restart"/>
            <w:tcBorders>
              <w:top w:val="single" w:sz="8" w:space="0" w:color="D22A23"/>
              <w:left w:val="single" w:sz="8" w:space="0" w:color="FF0000"/>
              <w:bottom w:val="single" w:sz="8" w:space="0" w:color="FFFFFF"/>
              <w:right w:val="single" w:sz="8" w:space="0" w:color="FFFFFF"/>
            </w:tcBorders>
            <w:shd w:val="clear" w:color="000000" w:fill="D22A23"/>
            <w:vAlign w:val="center"/>
            <w:hideMark/>
          </w:tcPr>
          <w:p w14:paraId="41DBF811" w14:textId="77777777" w:rsidR="00C240D3" w:rsidRPr="00405568" w:rsidRDefault="00C240D3" w:rsidP="005E30F7">
            <w:pPr>
              <w:pStyle w:val="ECCTableHeaderwhitefont"/>
              <w:rPr>
                <w:b/>
                <w:bCs w:val="0"/>
              </w:rPr>
            </w:pPr>
            <w:r w:rsidRPr="00405568">
              <w:rPr>
                <w:b/>
                <w:bCs w:val="0"/>
              </w:rPr>
              <w:t> </w:t>
            </w:r>
          </w:p>
        </w:tc>
        <w:tc>
          <w:tcPr>
            <w:tcW w:w="5015" w:type="dxa"/>
            <w:gridSpan w:val="6"/>
            <w:tcBorders>
              <w:top w:val="single" w:sz="8" w:space="0" w:color="D22A23"/>
              <w:left w:val="nil"/>
              <w:bottom w:val="nil"/>
              <w:right w:val="single" w:sz="8" w:space="0" w:color="FFFFFF"/>
            </w:tcBorders>
            <w:shd w:val="clear" w:color="000000" w:fill="D22A23"/>
            <w:vAlign w:val="center"/>
            <w:hideMark/>
          </w:tcPr>
          <w:p w14:paraId="2EC872A1" w14:textId="77777777" w:rsidR="00C240D3" w:rsidRPr="00405568" w:rsidRDefault="00C240D3" w:rsidP="005E30F7">
            <w:pPr>
              <w:pStyle w:val="ECCTableHeaderwhitefont"/>
              <w:rPr>
                <w:b/>
                <w:bCs w:val="0"/>
              </w:rPr>
            </w:pPr>
            <w:r w:rsidRPr="00405568">
              <w:rPr>
                <w:b/>
                <w:bCs w:val="0"/>
              </w:rPr>
              <w:t>Power (dBm)</w:t>
            </w:r>
          </w:p>
        </w:tc>
      </w:tr>
      <w:tr w:rsidR="00C240D3" w:rsidRPr="002446C4" w14:paraId="2FB6EBE1" w14:textId="77777777" w:rsidTr="00405568">
        <w:trPr>
          <w:trHeight w:val="290"/>
        </w:trPr>
        <w:tc>
          <w:tcPr>
            <w:tcW w:w="4965" w:type="dxa"/>
            <w:gridSpan w:val="3"/>
            <w:vMerge/>
            <w:tcBorders>
              <w:top w:val="single" w:sz="8" w:space="0" w:color="D22A23"/>
              <w:left w:val="single" w:sz="8" w:space="0" w:color="FF0000"/>
              <w:bottom w:val="single" w:sz="8" w:space="0" w:color="FFFFFF"/>
              <w:right w:val="single" w:sz="8" w:space="0" w:color="FFFFFF"/>
            </w:tcBorders>
            <w:vAlign w:val="center"/>
            <w:hideMark/>
          </w:tcPr>
          <w:p w14:paraId="357592A2" w14:textId="77777777" w:rsidR="00C240D3" w:rsidRPr="008D791D" w:rsidRDefault="00C240D3" w:rsidP="005E30F7">
            <w:pPr>
              <w:pStyle w:val="ECCTableHeaderwhitefont"/>
              <w:rPr>
                <w:b/>
                <w:bCs w:val="0"/>
              </w:rPr>
            </w:pPr>
          </w:p>
        </w:tc>
        <w:tc>
          <w:tcPr>
            <w:tcW w:w="5015" w:type="dxa"/>
            <w:gridSpan w:val="6"/>
            <w:tcBorders>
              <w:top w:val="nil"/>
              <w:left w:val="nil"/>
              <w:bottom w:val="single" w:sz="8" w:space="0" w:color="FFFFFF"/>
              <w:right w:val="single" w:sz="8" w:space="0" w:color="FFFFFF"/>
            </w:tcBorders>
            <w:shd w:val="clear" w:color="000000" w:fill="D22A23"/>
            <w:vAlign w:val="center"/>
            <w:hideMark/>
          </w:tcPr>
          <w:p w14:paraId="7A8732DB" w14:textId="77777777" w:rsidR="00C240D3" w:rsidRPr="008D791D" w:rsidRDefault="00C240D3" w:rsidP="005E30F7">
            <w:pPr>
              <w:pStyle w:val="ECCTableHeaderwhitefont"/>
              <w:rPr>
                <w:b/>
                <w:bCs w:val="0"/>
              </w:rPr>
            </w:pPr>
            <w:r w:rsidRPr="008D791D">
              <w:rPr>
                <w:b/>
                <w:bCs w:val="0"/>
              </w:rPr>
              <w:t>@El 90°</w:t>
            </w:r>
          </w:p>
        </w:tc>
      </w:tr>
      <w:tr w:rsidR="00C240D3" w:rsidRPr="002446C4" w14:paraId="167801D9" w14:textId="77777777" w:rsidTr="00405568">
        <w:trPr>
          <w:trHeight w:val="290"/>
        </w:trPr>
        <w:tc>
          <w:tcPr>
            <w:tcW w:w="4965" w:type="dxa"/>
            <w:gridSpan w:val="3"/>
            <w:tcBorders>
              <w:top w:val="single" w:sz="8" w:space="0" w:color="FFFFFF"/>
              <w:left w:val="single" w:sz="8" w:space="0" w:color="FF0000"/>
              <w:bottom w:val="single" w:sz="4" w:space="0" w:color="D2232A"/>
              <w:right w:val="single" w:sz="8" w:space="0" w:color="FFFFFF"/>
            </w:tcBorders>
            <w:shd w:val="clear" w:color="000000" w:fill="D22A23"/>
            <w:vAlign w:val="center"/>
            <w:hideMark/>
          </w:tcPr>
          <w:p w14:paraId="1783D502" w14:textId="77777777" w:rsidR="00C240D3" w:rsidRPr="00405568" w:rsidRDefault="00C240D3" w:rsidP="005E30F7">
            <w:pPr>
              <w:pStyle w:val="ECCTableHeaderwhitefont"/>
              <w:rPr>
                <w:b/>
                <w:bCs w:val="0"/>
              </w:rPr>
            </w:pPr>
            <w:r w:rsidRPr="00405568">
              <w:rPr>
                <w:b/>
                <w:bCs w:val="0"/>
              </w:rPr>
              <w:t>Frequency (MHz)</w:t>
            </w:r>
          </w:p>
        </w:tc>
        <w:tc>
          <w:tcPr>
            <w:tcW w:w="820" w:type="dxa"/>
            <w:tcBorders>
              <w:top w:val="nil"/>
              <w:left w:val="nil"/>
              <w:bottom w:val="single" w:sz="4" w:space="0" w:color="D2232A"/>
              <w:right w:val="single" w:sz="8" w:space="0" w:color="FFFFFF"/>
            </w:tcBorders>
            <w:shd w:val="clear" w:color="000000" w:fill="D22A23"/>
            <w:vAlign w:val="center"/>
            <w:hideMark/>
          </w:tcPr>
          <w:p w14:paraId="378F5F08" w14:textId="77777777" w:rsidR="00C240D3" w:rsidRPr="00405568" w:rsidRDefault="00C240D3" w:rsidP="005E30F7">
            <w:pPr>
              <w:pStyle w:val="ECCTableHeaderwhitefont"/>
              <w:rPr>
                <w:b/>
                <w:bCs w:val="0"/>
              </w:rPr>
            </w:pPr>
            <w:r w:rsidRPr="00405568">
              <w:rPr>
                <w:b/>
                <w:bCs w:val="0"/>
              </w:rPr>
              <w:t>700</w:t>
            </w:r>
          </w:p>
        </w:tc>
        <w:tc>
          <w:tcPr>
            <w:tcW w:w="952" w:type="dxa"/>
            <w:tcBorders>
              <w:top w:val="nil"/>
              <w:left w:val="nil"/>
              <w:bottom w:val="single" w:sz="4" w:space="0" w:color="D2232A"/>
              <w:right w:val="single" w:sz="8" w:space="0" w:color="FFFFFF"/>
            </w:tcBorders>
            <w:shd w:val="clear" w:color="000000" w:fill="D22A23"/>
            <w:vAlign w:val="center"/>
            <w:hideMark/>
          </w:tcPr>
          <w:p w14:paraId="123D7D51" w14:textId="77777777" w:rsidR="00C240D3" w:rsidRPr="00405568" w:rsidRDefault="00C240D3" w:rsidP="005E30F7">
            <w:pPr>
              <w:pStyle w:val="ECCTableHeaderwhitefont"/>
              <w:rPr>
                <w:b/>
                <w:bCs w:val="0"/>
              </w:rPr>
            </w:pPr>
            <w:r w:rsidRPr="00405568">
              <w:rPr>
                <w:b/>
                <w:bCs w:val="0"/>
              </w:rPr>
              <w:t>1500</w:t>
            </w:r>
          </w:p>
        </w:tc>
        <w:tc>
          <w:tcPr>
            <w:tcW w:w="702" w:type="dxa"/>
            <w:tcBorders>
              <w:top w:val="nil"/>
              <w:left w:val="nil"/>
              <w:bottom w:val="single" w:sz="4" w:space="0" w:color="D2232A"/>
              <w:right w:val="single" w:sz="8" w:space="0" w:color="FFFFFF"/>
            </w:tcBorders>
            <w:shd w:val="clear" w:color="000000" w:fill="D22A23"/>
            <w:vAlign w:val="center"/>
            <w:hideMark/>
          </w:tcPr>
          <w:p w14:paraId="5BFD43DF" w14:textId="77777777" w:rsidR="00C240D3" w:rsidRPr="00405568" w:rsidRDefault="00C240D3" w:rsidP="005E30F7">
            <w:pPr>
              <w:pStyle w:val="ECCTableHeaderwhitefont"/>
              <w:rPr>
                <w:b/>
                <w:bCs w:val="0"/>
              </w:rPr>
            </w:pPr>
            <w:r w:rsidRPr="00405568">
              <w:rPr>
                <w:b/>
                <w:bCs w:val="0"/>
              </w:rPr>
              <w:t>1750</w:t>
            </w:r>
          </w:p>
        </w:tc>
        <w:tc>
          <w:tcPr>
            <w:tcW w:w="952" w:type="dxa"/>
            <w:tcBorders>
              <w:top w:val="nil"/>
              <w:left w:val="nil"/>
              <w:bottom w:val="single" w:sz="4" w:space="0" w:color="D2232A"/>
              <w:right w:val="single" w:sz="8" w:space="0" w:color="FFFFFF"/>
            </w:tcBorders>
            <w:shd w:val="clear" w:color="000000" w:fill="D22A23"/>
            <w:vAlign w:val="center"/>
            <w:hideMark/>
          </w:tcPr>
          <w:p w14:paraId="1E21ABBD" w14:textId="77777777" w:rsidR="00C240D3" w:rsidRPr="00405568" w:rsidRDefault="00C240D3" w:rsidP="005E30F7">
            <w:pPr>
              <w:pStyle w:val="ECCTableHeaderwhitefont"/>
              <w:rPr>
                <w:b/>
                <w:bCs w:val="0"/>
              </w:rPr>
            </w:pPr>
            <w:r w:rsidRPr="00405568">
              <w:rPr>
                <w:b/>
                <w:bCs w:val="0"/>
              </w:rPr>
              <w:t>2150</w:t>
            </w:r>
          </w:p>
        </w:tc>
        <w:tc>
          <w:tcPr>
            <w:tcW w:w="827" w:type="dxa"/>
            <w:tcBorders>
              <w:top w:val="nil"/>
              <w:left w:val="nil"/>
              <w:bottom w:val="single" w:sz="4" w:space="0" w:color="D2232A"/>
              <w:right w:val="single" w:sz="8" w:space="0" w:color="FFFFFF"/>
            </w:tcBorders>
            <w:shd w:val="clear" w:color="000000" w:fill="D22A23"/>
            <w:vAlign w:val="center"/>
            <w:hideMark/>
          </w:tcPr>
          <w:p w14:paraId="0CC63074" w14:textId="77777777" w:rsidR="00C240D3" w:rsidRPr="00405568" w:rsidRDefault="00C240D3" w:rsidP="005E30F7">
            <w:pPr>
              <w:pStyle w:val="ECCTableHeaderwhitefont"/>
              <w:rPr>
                <w:b/>
                <w:bCs w:val="0"/>
              </w:rPr>
            </w:pPr>
            <w:r w:rsidRPr="00405568">
              <w:rPr>
                <w:b/>
                <w:bCs w:val="0"/>
              </w:rPr>
              <w:t>2600</w:t>
            </w:r>
          </w:p>
        </w:tc>
        <w:tc>
          <w:tcPr>
            <w:tcW w:w="762" w:type="dxa"/>
            <w:tcBorders>
              <w:top w:val="nil"/>
              <w:left w:val="nil"/>
              <w:bottom w:val="single" w:sz="4" w:space="0" w:color="D2232A"/>
              <w:right w:val="single" w:sz="8" w:space="0" w:color="FFFFFF"/>
            </w:tcBorders>
            <w:shd w:val="clear" w:color="000000" w:fill="D22A23"/>
            <w:vAlign w:val="center"/>
            <w:hideMark/>
          </w:tcPr>
          <w:p w14:paraId="2A3D8DDC" w14:textId="77777777" w:rsidR="00C240D3" w:rsidRPr="00405568" w:rsidRDefault="00C240D3" w:rsidP="005E30F7">
            <w:pPr>
              <w:pStyle w:val="ECCTableHeaderwhitefont"/>
              <w:rPr>
                <w:b/>
                <w:bCs w:val="0"/>
              </w:rPr>
            </w:pPr>
            <w:r w:rsidRPr="00405568">
              <w:rPr>
                <w:b/>
                <w:bCs w:val="0"/>
              </w:rPr>
              <w:t>3600</w:t>
            </w:r>
          </w:p>
        </w:tc>
      </w:tr>
      <w:tr w:rsidR="00C240D3" w:rsidRPr="002446C4" w14:paraId="1C9ECE3C" w14:textId="77777777" w:rsidTr="00405568">
        <w:trPr>
          <w:trHeight w:val="59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14EB9BE8" w14:textId="77777777" w:rsidR="00C240D3" w:rsidRPr="002446C4" w:rsidRDefault="00C240D3" w:rsidP="005E30F7">
            <w:pPr>
              <w:pStyle w:val="ECCTabletext"/>
              <w:spacing w:before="60"/>
            </w:pPr>
            <w:r w:rsidRPr="007F3002">
              <w:t>(1)</w:t>
            </w:r>
          </w:p>
        </w:tc>
        <w:tc>
          <w:tcPr>
            <w:tcW w:w="2491" w:type="dxa"/>
            <w:tcBorders>
              <w:top w:val="single" w:sz="4" w:space="0" w:color="D2232A"/>
              <w:left w:val="single" w:sz="4" w:space="0" w:color="D2232A"/>
              <w:bottom w:val="single" w:sz="4" w:space="0" w:color="D2232A"/>
              <w:right w:val="single" w:sz="4" w:space="0" w:color="D2232A"/>
            </w:tcBorders>
            <w:vAlign w:val="center"/>
            <w:hideMark/>
          </w:tcPr>
          <w:p w14:paraId="2DC8BDFE" w14:textId="77777777" w:rsidR="00C240D3" w:rsidRPr="002446C4" w:rsidRDefault="00C240D3" w:rsidP="005E30F7">
            <w:pPr>
              <w:pStyle w:val="ECCTabletext"/>
              <w:spacing w:before="60"/>
            </w:pPr>
            <w:r w:rsidRPr="002446C4">
              <w:t>UE Noise level 4.5 MHz</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092D8148" w14:textId="77777777" w:rsidR="00C240D3" w:rsidRPr="002446C4" w:rsidRDefault="00C240D3" w:rsidP="005E30F7">
            <w:pPr>
              <w:pStyle w:val="ECCTabletext"/>
              <w:spacing w:before="60"/>
            </w:pPr>
            <w:r w:rsidRPr="002446C4">
              <w:t>10log(kTB)+NF+30</w:t>
            </w:r>
          </w:p>
        </w:tc>
        <w:tc>
          <w:tcPr>
            <w:tcW w:w="820" w:type="dxa"/>
            <w:tcBorders>
              <w:top w:val="single" w:sz="4" w:space="0" w:color="D2232A"/>
              <w:left w:val="single" w:sz="4" w:space="0" w:color="D2232A"/>
              <w:bottom w:val="single" w:sz="4" w:space="0" w:color="D2232A"/>
              <w:right w:val="single" w:sz="4" w:space="0" w:color="D2232A"/>
            </w:tcBorders>
            <w:vAlign w:val="center"/>
            <w:hideMark/>
          </w:tcPr>
          <w:p w14:paraId="31C56FFD" w14:textId="77777777" w:rsidR="00C240D3" w:rsidRPr="002446C4" w:rsidRDefault="00C240D3" w:rsidP="005E30F7">
            <w:pPr>
              <w:pStyle w:val="ECCTabletext"/>
              <w:spacing w:before="60"/>
            </w:pPr>
            <w:r w:rsidRPr="002446C4">
              <w:t>-98.4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7E6605A9" w14:textId="77777777" w:rsidR="00C240D3" w:rsidRPr="002446C4" w:rsidRDefault="00C240D3" w:rsidP="005E30F7">
            <w:pPr>
              <w:pStyle w:val="ECCTabletext"/>
              <w:spacing w:before="60"/>
            </w:pPr>
            <w:r w:rsidRPr="002446C4">
              <w:t>-98.4</w:t>
            </w:r>
          </w:p>
        </w:tc>
        <w:tc>
          <w:tcPr>
            <w:tcW w:w="702" w:type="dxa"/>
            <w:tcBorders>
              <w:top w:val="single" w:sz="4" w:space="0" w:color="D2232A"/>
              <w:left w:val="single" w:sz="4" w:space="0" w:color="D2232A"/>
              <w:bottom w:val="single" w:sz="4" w:space="0" w:color="D2232A"/>
              <w:right w:val="single" w:sz="4" w:space="0" w:color="D2232A"/>
            </w:tcBorders>
            <w:vAlign w:val="center"/>
            <w:hideMark/>
          </w:tcPr>
          <w:p w14:paraId="2AF432E9" w14:textId="77777777" w:rsidR="00C240D3" w:rsidRPr="002446C4" w:rsidRDefault="00C240D3" w:rsidP="005E30F7">
            <w:pPr>
              <w:pStyle w:val="ECCTabletext"/>
              <w:spacing w:before="60"/>
            </w:pPr>
            <w:r w:rsidRPr="002446C4">
              <w:t>-98.4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7551DAB3" w14:textId="77777777" w:rsidR="00C240D3" w:rsidRPr="002446C4" w:rsidRDefault="00C240D3" w:rsidP="005E30F7">
            <w:pPr>
              <w:pStyle w:val="ECCTabletext"/>
              <w:spacing w:before="60"/>
            </w:pPr>
            <w:r w:rsidRPr="002446C4">
              <w:t>-98.4</w:t>
            </w:r>
          </w:p>
        </w:tc>
        <w:tc>
          <w:tcPr>
            <w:tcW w:w="827" w:type="dxa"/>
            <w:tcBorders>
              <w:top w:val="single" w:sz="4" w:space="0" w:color="D2232A"/>
              <w:left w:val="single" w:sz="4" w:space="0" w:color="D2232A"/>
              <w:bottom w:val="single" w:sz="4" w:space="0" w:color="D2232A"/>
              <w:right w:val="single" w:sz="4" w:space="0" w:color="D2232A"/>
            </w:tcBorders>
            <w:vAlign w:val="center"/>
            <w:hideMark/>
          </w:tcPr>
          <w:p w14:paraId="603FFEDC" w14:textId="77777777" w:rsidR="00C240D3" w:rsidRPr="002446C4" w:rsidRDefault="00C240D3" w:rsidP="005E30F7">
            <w:pPr>
              <w:pStyle w:val="ECCTabletext"/>
              <w:spacing w:before="60"/>
            </w:pPr>
            <w:r w:rsidRPr="002446C4">
              <w:t>-98.4</w:t>
            </w:r>
          </w:p>
        </w:tc>
        <w:tc>
          <w:tcPr>
            <w:tcW w:w="762" w:type="dxa"/>
            <w:tcBorders>
              <w:top w:val="single" w:sz="4" w:space="0" w:color="D2232A"/>
              <w:left w:val="single" w:sz="4" w:space="0" w:color="D2232A"/>
              <w:bottom w:val="single" w:sz="4" w:space="0" w:color="D2232A"/>
              <w:right w:val="single" w:sz="4" w:space="0" w:color="D2232A"/>
            </w:tcBorders>
            <w:vAlign w:val="center"/>
            <w:hideMark/>
          </w:tcPr>
          <w:p w14:paraId="12212540" w14:textId="77777777" w:rsidR="00C240D3" w:rsidRPr="002446C4" w:rsidRDefault="00C240D3" w:rsidP="005E30F7">
            <w:pPr>
              <w:pStyle w:val="ECCTabletext"/>
              <w:spacing w:before="60"/>
            </w:pPr>
            <w:r w:rsidRPr="002446C4">
              <w:t>-98.4</w:t>
            </w:r>
          </w:p>
        </w:tc>
      </w:tr>
      <w:tr w:rsidR="00C240D3" w:rsidRPr="002446C4" w14:paraId="73312288" w14:textId="77777777" w:rsidTr="00405568">
        <w:trPr>
          <w:trHeight w:val="71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135AA04D" w14:textId="77777777" w:rsidR="00C240D3" w:rsidRPr="002446C4" w:rsidRDefault="00C240D3" w:rsidP="005E30F7">
            <w:pPr>
              <w:pStyle w:val="ECCTabletext"/>
              <w:spacing w:before="60"/>
            </w:pPr>
            <w:r w:rsidRPr="007F3002">
              <w:t>(2)</w:t>
            </w:r>
          </w:p>
        </w:tc>
        <w:tc>
          <w:tcPr>
            <w:tcW w:w="2491" w:type="dxa"/>
            <w:tcBorders>
              <w:top w:val="single" w:sz="4" w:space="0" w:color="D2232A"/>
              <w:left w:val="single" w:sz="4" w:space="0" w:color="D2232A"/>
              <w:bottom w:val="single" w:sz="4" w:space="0" w:color="D2232A"/>
              <w:right w:val="single" w:sz="4" w:space="0" w:color="D2232A"/>
            </w:tcBorders>
            <w:vAlign w:val="center"/>
            <w:hideMark/>
          </w:tcPr>
          <w:p w14:paraId="16C46EE9" w14:textId="77777777" w:rsidR="00C240D3" w:rsidRPr="002446C4" w:rsidRDefault="00C240D3" w:rsidP="005E30F7">
            <w:pPr>
              <w:pStyle w:val="ECCTabletext"/>
              <w:spacing w:before="60"/>
            </w:pPr>
            <w:r w:rsidRPr="002446C4">
              <w:t>Required signal level after UE antenna</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08DF9852" w14:textId="77777777" w:rsidR="00C240D3" w:rsidRPr="002446C4" w:rsidRDefault="00C240D3" w:rsidP="005E30F7">
            <w:pPr>
              <w:pStyle w:val="ECCTabletext"/>
              <w:spacing w:before="60"/>
            </w:pPr>
            <w:r w:rsidRPr="002446C4">
              <w:t xml:space="preserve">(1) + TSNR </w:t>
            </w:r>
          </w:p>
        </w:tc>
        <w:tc>
          <w:tcPr>
            <w:tcW w:w="820" w:type="dxa"/>
            <w:tcBorders>
              <w:top w:val="single" w:sz="4" w:space="0" w:color="D2232A"/>
              <w:left w:val="single" w:sz="4" w:space="0" w:color="D2232A"/>
              <w:bottom w:val="single" w:sz="4" w:space="0" w:color="D2232A"/>
              <w:right w:val="single" w:sz="4" w:space="0" w:color="D2232A"/>
            </w:tcBorders>
            <w:vAlign w:val="center"/>
            <w:hideMark/>
          </w:tcPr>
          <w:p w14:paraId="04E333B2" w14:textId="77777777" w:rsidR="00C240D3" w:rsidRPr="002446C4" w:rsidRDefault="00C240D3" w:rsidP="005E30F7">
            <w:pPr>
              <w:pStyle w:val="ECCTabletext"/>
              <w:spacing w:before="60"/>
            </w:pPr>
            <w:r w:rsidRPr="002446C4">
              <w:t>-88.4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1B42E618" w14:textId="77777777" w:rsidR="00C240D3" w:rsidRPr="002446C4" w:rsidRDefault="00C240D3" w:rsidP="005E30F7">
            <w:pPr>
              <w:pStyle w:val="ECCTabletext"/>
              <w:spacing w:before="60"/>
            </w:pPr>
            <w:r w:rsidRPr="002446C4">
              <w:t>-88.4</w:t>
            </w:r>
          </w:p>
        </w:tc>
        <w:tc>
          <w:tcPr>
            <w:tcW w:w="702" w:type="dxa"/>
            <w:tcBorders>
              <w:top w:val="single" w:sz="4" w:space="0" w:color="D2232A"/>
              <w:left w:val="single" w:sz="4" w:space="0" w:color="D2232A"/>
              <w:bottom w:val="single" w:sz="4" w:space="0" w:color="D2232A"/>
              <w:right w:val="single" w:sz="4" w:space="0" w:color="D2232A"/>
            </w:tcBorders>
            <w:vAlign w:val="center"/>
            <w:hideMark/>
          </w:tcPr>
          <w:p w14:paraId="7081E38F" w14:textId="77777777" w:rsidR="00C240D3" w:rsidRPr="002446C4" w:rsidRDefault="00C240D3" w:rsidP="005E30F7">
            <w:pPr>
              <w:pStyle w:val="ECCTabletext"/>
              <w:spacing w:before="60"/>
            </w:pPr>
            <w:r w:rsidRPr="002446C4">
              <w:t>-88.4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4203D1AC" w14:textId="77777777" w:rsidR="00C240D3" w:rsidRPr="002446C4" w:rsidRDefault="00C240D3" w:rsidP="005E30F7">
            <w:pPr>
              <w:pStyle w:val="ECCTabletext"/>
              <w:spacing w:before="60"/>
            </w:pPr>
            <w:r w:rsidRPr="002446C4">
              <w:t>-88.4</w:t>
            </w:r>
          </w:p>
        </w:tc>
        <w:tc>
          <w:tcPr>
            <w:tcW w:w="827" w:type="dxa"/>
            <w:tcBorders>
              <w:top w:val="single" w:sz="4" w:space="0" w:color="D2232A"/>
              <w:left w:val="single" w:sz="4" w:space="0" w:color="D2232A"/>
              <w:bottom w:val="single" w:sz="4" w:space="0" w:color="D2232A"/>
              <w:right w:val="single" w:sz="4" w:space="0" w:color="D2232A"/>
            </w:tcBorders>
            <w:vAlign w:val="center"/>
            <w:hideMark/>
          </w:tcPr>
          <w:p w14:paraId="278F7C8B" w14:textId="77777777" w:rsidR="00C240D3" w:rsidRPr="002446C4" w:rsidRDefault="00C240D3" w:rsidP="005E30F7">
            <w:pPr>
              <w:pStyle w:val="ECCTabletext"/>
              <w:spacing w:before="60"/>
            </w:pPr>
            <w:r w:rsidRPr="002446C4">
              <w:t>-88.4</w:t>
            </w:r>
          </w:p>
        </w:tc>
        <w:tc>
          <w:tcPr>
            <w:tcW w:w="762" w:type="dxa"/>
            <w:tcBorders>
              <w:top w:val="single" w:sz="4" w:space="0" w:color="D2232A"/>
              <w:left w:val="single" w:sz="4" w:space="0" w:color="D2232A"/>
              <w:bottom w:val="single" w:sz="4" w:space="0" w:color="D2232A"/>
              <w:right w:val="single" w:sz="4" w:space="0" w:color="D2232A"/>
            </w:tcBorders>
            <w:vAlign w:val="center"/>
            <w:hideMark/>
          </w:tcPr>
          <w:p w14:paraId="46A997CB" w14:textId="77777777" w:rsidR="00C240D3" w:rsidRPr="002446C4" w:rsidRDefault="00C240D3" w:rsidP="005E30F7">
            <w:pPr>
              <w:pStyle w:val="ECCTabletext"/>
              <w:spacing w:before="60"/>
            </w:pPr>
            <w:r w:rsidRPr="002446C4">
              <w:t>-88.4</w:t>
            </w:r>
          </w:p>
        </w:tc>
      </w:tr>
      <w:tr w:rsidR="00C240D3" w:rsidRPr="002446C4" w14:paraId="422B74B3" w14:textId="77777777" w:rsidTr="00405568">
        <w:trPr>
          <w:trHeight w:val="679"/>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3F06A8CD" w14:textId="77777777" w:rsidR="00C240D3" w:rsidRPr="002446C4" w:rsidRDefault="00C240D3" w:rsidP="005E30F7">
            <w:pPr>
              <w:pStyle w:val="ECCTabletext"/>
              <w:spacing w:before="60"/>
            </w:pPr>
            <w:r w:rsidRPr="007F3002">
              <w:t>(3)</w:t>
            </w:r>
          </w:p>
        </w:tc>
        <w:tc>
          <w:tcPr>
            <w:tcW w:w="2491" w:type="dxa"/>
            <w:tcBorders>
              <w:top w:val="single" w:sz="4" w:space="0" w:color="D2232A"/>
              <w:left w:val="single" w:sz="4" w:space="0" w:color="D2232A"/>
              <w:bottom w:val="single" w:sz="4" w:space="0" w:color="D2232A"/>
              <w:right w:val="single" w:sz="4" w:space="0" w:color="D2232A"/>
            </w:tcBorders>
            <w:vAlign w:val="center"/>
            <w:hideMark/>
          </w:tcPr>
          <w:p w14:paraId="7D86A1CD" w14:textId="77777777" w:rsidR="00C240D3" w:rsidRPr="002446C4" w:rsidRDefault="00C240D3" w:rsidP="005E30F7">
            <w:pPr>
              <w:pStyle w:val="ECCTabletext"/>
              <w:spacing w:before="60"/>
            </w:pPr>
            <w:r w:rsidRPr="002446C4">
              <w:t>Required signal level before UE antenna</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30FA33CE" w14:textId="77777777" w:rsidR="00C240D3" w:rsidRPr="002446C4" w:rsidRDefault="00C240D3" w:rsidP="005E30F7">
            <w:pPr>
              <w:pStyle w:val="ECCTabletext"/>
              <w:spacing w:before="60"/>
            </w:pPr>
            <w:r w:rsidRPr="002446C4">
              <w:t>(2) - G_UE</w:t>
            </w:r>
          </w:p>
        </w:tc>
        <w:tc>
          <w:tcPr>
            <w:tcW w:w="820" w:type="dxa"/>
            <w:tcBorders>
              <w:top w:val="single" w:sz="4" w:space="0" w:color="D2232A"/>
              <w:left w:val="single" w:sz="4" w:space="0" w:color="D2232A"/>
              <w:bottom w:val="single" w:sz="4" w:space="0" w:color="D2232A"/>
              <w:right w:val="single" w:sz="4" w:space="0" w:color="D2232A"/>
            </w:tcBorders>
            <w:vAlign w:val="center"/>
            <w:hideMark/>
          </w:tcPr>
          <w:p w14:paraId="09A222E8" w14:textId="77777777" w:rsidR="00C240D3" w:rsidRPr="002446C4" w:rsidRDefault="00C240D3" w:rsidP="005E30F7">
            <w:pPr>
              <w:pStyle w:val="ECCTabletext"/>
              <w:spacing w:before="60"/>
            </w:pPr>
            <w:r w:rsidRPr="002446C4">
              <w:t>-85.4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2C21D32F" w14:textId="77777777" w:rsidR="00C240D3" w:rsidRPr="002446C4" w:rsidRDefault="00C240D3" w:rsidP="005E30F7">
            <w:pPr>
              <w:pStyle w:val="ECCTabletext"/>
              <w:spacing w:before="60"/>
            </w:pPr>
            <w:r w:rsidRPr="002446C4">
              <w:t>-85.4</w:t>
            </w:r>
          </w:p>
        </w:tc>
        <w:tc>
          <w:tcPr>
            <w:tcW w:w="702" w:type="dxa"/>
            <w:tcBorders>
              <w:top w:val="single" w:sz="4" w:space="0" w:color="D2232A"/>
              <w:left w:val="single" w:sz="4" w:space="0" w:color="D2232A"/>
              <w:bottom w:val="single" w:sz="4" w:space="0" w:color="D2232A"/>
              <w:right w:val="single" w:sz="4" w:space="0" w:color="D2232A"/>
            </w:tcBorders>
            <w:vAlign w:val="center"/>
            <w:hideMark/>
          </w:tcPr>
          <w:p w14:paraId="28AF6EB1" w14:textId="77777777" w:rsidR="00C240D3" w:rsidRPr="002446C4" w:rsidRDefault="00C240D3" w:rsidP="005E30F7">
            <w:pPr>
              <w:pStyle w:val="ECCTabletext"/>
              <w:spacing w:before="60"/>
            </w:pPr>
            <w:r w:rsidRPr="002446C4">
              <w:t>-85.4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6D36541D" w14:textId="77777777" w:rsidR="00C240D3" w:rsidRPr="002446C4" w:rsidRDefault="00C240D3" w:rsidP="005E30F7">
            <w:pPr>
              <w:pStyle w:val="ECCTabletext"/>
              <w:spacing w:before="60"/>
            </w:pPr>
            <w:r w:rsidRPr="002446C4">
              <w:t>-85.4</w:t>
            </w:r>
          </w:p>
        </w:tc>
        <w:tc>
          <w:tcPr>
            <w:tcW w:w="827" w:type="dxa"/>
            <w:tcBorders>
              <w:top w:val="single" w:sz="4" w:space="0" w:color="D2232A"/>
              <w:left w:val="single" w:sz="4" w:space="0" w:color="D2232A"/>
              <w:bottom w:val="single" w:sz="4" w:space="0" w:color="D2232A"/>
              <w:right w:val="single" w:sz="4" w:space="0" w:color="D2232A"/>
            </w:tcBorders>
            <w:vAlign w:val="center"/>
            <w:hideMark/>
          </w:tcPr>
          <w:p w14:paraId="5845D83E" w14:textId="77777777" w:rsidR="00C240D3" w:rsidRPr="002446C4" w:rsidRDefault="00C240D3" w:rsidP="005E30F7">
            <w:pPr>
              <w:pStyle w:val="ECCTabletext"/>
              <w:spacing w:before="60"/>
            </w:pPr>
            <w:r w:rsidRPr="002446C4">
              <w:t>-85.4</w:t>
            </w:r>
          </w:p>
        </w:tc>
        <w:tc>
          <w:tcPr>
            <w:tcW w:w="762" w:type="dxa"/>
            <w:tcBorders>
              <w:top w:val="single" w:sz="4" w:space="0" w:color="D2232A"/>
              <w:left w:val="single" w:sz="4" w:space="0" w:color="D2232A"/>
              <w:bottom w:val="single" w:sz="4" w:space="0" w:color="D2232A"/>
              <w:right w:val="single" w:sz="4" w:space="0" w:color="D2232A"/>
            </w:tcBorders>
            <w:vAlign w:val="center"/>
            <w:hideMark/>
          </w:tcPr>
          <w:p w14:paraId="0A85982C" w14:textId="77777777" w:rsidR="00C240D3" w:rsidRPr="002446C4" w:rsidRDefault="00C240D3" w:rsidP="005E30F7">
            <w:pPr>
              <w:pStyle w:val="ECCTabletext"/>
              <w:spacing w:before="60"/>
            </w:pPr>
            <w:r w:rsidRPr="002446C4">
              <w:t>-85.4</w:t>
            </w:r>
          </w:p>
        </w:tc>
      </w:tr>
      <w:tr w:rsidR="00C240D3" w:rsidRPr="002446C4" w14:paraId="4F4CBD16" w14:textId="77777777" w:rsidTr="00405568">
        <w:trPr>
          <w:trHeight w:val="621"/>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1828D105" w14:textId="77777777" w:rsidR="00C240D3" w:rsidRPr="002446C4" w:rsidRDefault="00C240D3" w:rsidP="005E30F7">
            <w:pPr>
              <w:pStyle w:val="ECCTabletext"/>
              <w:spacing w:before="60"/>
            </w:pPr>
            <w:r w:rsidRPr="007F3002">
              <w:t>(4)</w:t>
            </w:r>
          </w:p>
        </w:tc>
        <w:tc>
          <w:tcPr>
            <w:tcW w:w="2491" w:type="dxa"/>
            <w:tcBorders>
              <w:top w:val="single" w:sz="4" w:space="0" w:color="D2232A"/>
              <w:left w:val="single" w:sz="4" w:space="0" w:color="D2232A"/>
              <w:bottom w:val="single" w:sz="4" w:space="0" w:color="D2232A"/>
              <w:right w:val="single" w:sz="4" w:space="0" w:color="D2232A"/>
            </w:tcBorders>
            <w:vAlign w:val="center"/>
            <w:hideMark/>
          </w:tcPr>
          <w:p w14:paraId="70E7660F" w14:textId="77777777" w:rsidR="00C240D3" w:rsidRPr="002446C4" w:rsidRDefault="00C240D3" w:rsidP="005E30F7">
            <w:pPr>
              <w:pStyle w:val="ECCTabletext"/>
              <w:spacing w:before="60"/>
            </w:pPr>
            <w:r w:rsidRPr="002446C4">
              <w:t>Required signal level before terrestrial additional losses</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784344F5" w14:textId="77777777" w:rsidR="00C240D3" w:rsidRPr="002446C4" w:rsidRDefault="00C240D3" w:rsidP="005E30F7">
            <w:pPr>
              <w:pStyle w:val="ECCTabletext"/>
              <w:spacing w:before="60"/>
            </w:pPr>
            <w:r w:rsidRPr="002446C4">
              <w:t>(3) + BL</w:t>
            </w:r>
          </w:p>
        </w:tc>
        <w:tc>
          <w:tcPr>
            <w:tcW w:w="820" w:type="dxa"/>
            <w:tcBorders>
              <w:top w:val="single" w:sz="4" w:space="0" w:color="D2232A"/>
              <w:left w:val="single" w:sz="4" w:space="0" w:color="D2232A"/>
              <w:bottom w:val="single" w:sz="4" w:space="0" w:color="D2232A"/>
              <w:right w:val="single" w:sz="4" w:space="0" w:color="D2232A"/>
            </w:tcBorders>
            <w:vAlign w:val="center"/>
            <w:hideMark/>
          </w:tcPr>
          <w:p w14:paraId="47B9606B" w14:textId="77777777" w:rsidR="00C240D3" w:rsidRPr="002446C4" w:rsidRDefault="00C240D3" w:rsidP="005E30F7">
            <w:pPr>
              <w:pStyle w:val="ECCTabletext"/>
              <w:spacing w:before="60"/>
            </w:pPr>
            <w:r w:rsidRPr="002446C4">
              <w:t>-81.4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2DB4B4A0" w14:textId="77777777" w:rsidR="00C240D3" w:rsidRPr="002446C4" w:rsidRDefault="00C240D3" w:rsidP="005E30F7">
            <w:pPr>
              <w:pStyle w:val="ECCTabletext"/>
              <w:spacing w:before="60"/>
            </w:pPr>
            <w:r w:rsidRPr="002446C4">
              <w:t>-81.4</w:t>
            </w:r>
          </w:p>
        </w:tc>
        <w:tc>
          <w:tcPr>
            <w:tcW w:w="702" w:type="dxa"/>
            <w:tcBorders>
              <w:top w:val="single" w:sz="4" w:space="0" w:color="D2232A"/>
              <w:left w:val="single" w:sz="4" w:space="0" w:color="D2232A"/>
              <w:bottom w:val="single" w:sz="4" w:space="0" w:color="D2232A"/>
              <w:right w:val="single" w:sz="4" w:space="0" w:color="D2232A"/>
            </w:tcBorders>
            <w:vAlign w:val="center"/>
            <w:hideMark/>
          </w:tcPr>
          <w:p w14:paraId="08822A1B" w14:textId="77777777" w:rsidR="00C240D3" w:rsidRPr="002446C4" w:rsidRDefault="00C240D3" w:rsidP="005E30F7">
            <w:pPr>
              <w:pStyle w:val="ECCTabletext"/>
              <w:spacing w:before="60"/>
            </w:pPr>
            <w:r w:rsidRPr="002446C4">
              <w:t>-81.4</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04960855" w14:textId="77777777" w:rsidR="00C240D3" w:rsidRPr="002446C4" w:rsidRDefault="00C240D3" w:rsidP="005E30F7">
            <w:pPr>
              <w:pStyle w:val="ECCTabletext"/>
              <w:spacing w:before="60"/>
            </w:pPr>
            <w:r w:rsidRPr="002446C4">
              <w:t>-81.4</w:t>
            </w:r>
          </w:p>
        </w:tc>
        <w:tc>
          <w:tcPr>
            <w:tcW w:w="827" w:type="dxa"/>
            <w:tcBorders>
              <w:top w:val="single" w:sz="4" w:space="0" w:color="D2232A"/>
              <w:left w:val="single" w:sz="4" w:space="0" w:color="D2232A"/>
              <w:bottom w:val="single" w:sz="4" w:space="0" w:color="D2232A"/>
              <w:right w:val="single" w:sz="4" w:space="0" w:color="D2232A"/>
            </w:tcBorders>
            <w:vAlign w:val="center"/>
            <w:hideMark/>
          </w:tcPr>
          <w:p w14:paraId="0ACA530A" w14:textId="77777777" w:rsidR="00C240D3" w:rsidRPr="002446C4" w:rsidRDefault="00C240D3" w:rsidP="005E30F7">
            <w:pPr>
              <w:pStyle w:val="ECCTabletext"/>
              <w:spacing w:before="60"/>
            </w:pPr>
            <w:r w:rsidRPr="002446C4">
              <w:t>-81.4</w:t>
            </w:r>
          </w:p>
        </w:tc>
        <w:tc>
          <w:tcPr>
            <w:tcW w:w="762" w:type="dxa"/>
            <w:tcBorders>
              <w:top w:val="single" w:sz="4" w:space="0" w:color="D2232A"/>
              <w:left w:val="single" w:sz="4" w:space="0" w:color="D2232A"/>
              <w:bottom w:val="single" w:sz="4" w:space="0" w:color="D2232A"/>
              <w:right w:val="single" w:sz="4" w:space="0" w:color="D2232A"/>
            </w:tcBorders>
            <w:vAlign w:val="center"/>
            <w:hideMark/>
          </w:tcPr>
          <w:p w14:paraId="0EE055EA" w14:textId="77777777" w:rsidR="00C240D3" w:rsidRPr="002446C4" w:rsidRDefault="00C240D3" w:rsidP="005E30F7">
            <w:pPr>
              <w:pStyle w:val="ECCTabletext"/>
              <w:spacing w:before="60"/>
            </w:pPr>
            <w:r w:rsidRPr="002446C4">
              <w:t>-81.4</w:t>
            </w:r>
          </w:p>
        </w:tc>
      </w:tr>
      <w:tr w:rsidR="00C240D3" w:rsidRPr="002446C4" w14:paraId="343FAD78" w14:textId="77777777" w:rsidTr="00405568">
        <w:trPr>
          <w:trHeight w:val="59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4DFECEFB" w14:textId="77777777" w:rsidR="00C240D3" w:rsidRPr="002446C4" w:rsidRDefault="00C240D3" w:rsidP="005E30F7">
            <w:pPr>
              <w:pStyle w:val="ECCTabletext"/>
              <w:spacing w:before="60"/>
            </w:pPr>
            <w:r w:rsidRPr="007F3002">
              <w:t>(5)</w:t>
            </w:r>
          </w:p>
        </w:tc>
        <w:tc>
          <w:tcPr>
            <w:tcW w:w="2491" w:type="dxa"/>
            <w:tcBorders>
              <w:top w:val="single" w:sz="4" w:space="0" w:color="D2232A"/>
              <w:left w:val="single" w:sz="4" w:space="0" w:color="D2232A"/>
              <w:bottom w:val="single" w:sz="4" w:space="0" w:color="D2232A"/>
              <w:right w:val="single" w:sz="4" w:space="0" w:color="D2232A"/>
            </w:tcBorders>
            <w:vAlign w:val="center"/>
            <w:hideMark/>
          </w:tcPr>
          <w:p w14:paraId="435752CB" w14:textId="77777777" w:rsidR="00C240D3" w:rsidRPr="002446C4" w:rsidRDefault="00C240D3" w:rsidP="005E30F7">
            <w:pPr>
              <w:pStyle w:val="ECCTabletext"/>
              <w:spacing w:before="60"/>
            </w:pPr>
            <w:r w:rsidRPr="002446C4">
              <w:t>Required EIRP at the satellite</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081006E6" w14:textId="77777777" w:rsidR="00C240D3" w:rsidRPr="002446C4" w:rsidRDefault="00C240D3" w:rsidP="005E30F7">
            <w:pPr>
              <w:pStyle w:val="ECCTabletext"/>
              <w:spacing w:before="60"/>
            </w:pPr>
            <w:r w:rsidRPr="002446C4">
              <w:t>(4) + FSPL</w:t>
            </w:r>
          </w:p>
        </w:tc>
        <w:tc>
          <w:tcPr>
            <w:tcW w:w="820" w:type="dxa"/>
            <w:tcBorders>
              <w:top w:val="single" w:sz="4" w:space="0" w:color="D2232A"/>
              <w:left w:val="single" w:sz="4" w:space="0" w:color="D2232A"/>
              <w:bottom w:val="single" w:sz="4" w:space="0" w:color="D2232A"/>
              <w:right w:val="single" w:sz="4" w:space="0" w:color="D2232A"/>
            </w:tcBorders>
            <w:vAlign w:val="center"/>
            <w:hideMark/>
          </w:tcPr>
          <w:p w14:paraId="69E54E2A" w14:textId="77777777" w:rsidR="00C240D3" w:rsidRPr="002446C4" w:rsidRDefault="00C240D3" w:rsidP="005E30F7">
            <w:pPr>
              <w:pStyle w:val="ECCTabletext"/>
              <w:spacing w:before="60"/>
            </w:pPr>
            <w:r w:rsidRPr="002446C4">
              <w:t>61.9</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1CF48C55" w14:textId="77777777" w:rsidR="00C240D3" w:rsidRPr="002446C4" w:rsidRDefault="00C240D3" w:rsidP="005E30F7">
            <w:pPr>
              <w:pStyle w:val="ECCTabletext"/>
              <w:spacing w:before="60"/>
            </w:pPr>
            <w:r w:rsidRPr="002446C4">
              <w:t>68.5</w:t>
            </w:r>
          </w:p>
        </w:tc>
        <w:tc>
          <w:tcPr>
            <w:tcW w:w="702" w:type="dxa"/>
            <w:tcBorders>
              <w:top w:val="single" w:sz="4" w:space="0" w:color="D2232A"/>
              <w:left w:val="single" w:sz="4" w:space="0" w:color="D2232A"/>
              <w:bottom w:val="single" w:sz="4" w:space="0" w:color="D2232A"/>
              <w:right w:val="single" w:sz="4" w:space="0" w:color="D2232A"/>
            </w:tcBorders>
            <w:vAlign w:val="center"/>
            <w:hideMark/>
          </w:tcPr>
          <w:p w14:paraId="6CB86202" w14:textId="77777777" w:rsidR="00C240D3" w:rsidRPr="002446C4" w:rsidRDefault="00C240D3" w:rsidP="005E30F7">
            <w:pPr>
              <w:pStyle w:val="ECCTabletext"/>
              <w:spacing w:before="60"/>
            </w:pPr>
            <w:r w:rsidRPr="002446C4">
              <w:t>69.8</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7894CB5A" w14:textId="77777777" w:rsidR="00C240D3" w:rsidRPr="002446C4" w:rsidRDefault="00C240D3" w:rsidP="005E30F7">
            <w:pPr>
              <w:pStyle w:val="ECCTabletext"/>
              <w:spacing w:before="60"/>
            </w:pPr>
            <w:r w:rsidRPr="002446C4">
              <w:t>71.6</w:t>
            </w:r>
          </w:p>
        </w:tc>
        <w:tc>
          <w:tcPr>
            <w:tcW w:w="827" w:type="dxa"/>
            <w:tcBorders>
              <w:top w:val="single" w:sz="4" w:space="0" w:color="D2232A"/>
              <w:left w:val="single" w:sz="4" w:space="0" w:color="D2232A"/>
              <w:bottom w:val="single" w:sz="4" w:space="0" w:color="D2232A"/>
              <w:right w:val="single" w:sz="4" w:space="0" w:color="D2232A"/>
            </w:tcBorders>
            <w:vAlign w:val="center"/>
            <w:hideMark/>
          </w:tcPr>
          <w:p w14:paraId="7F4A39CC" w14:textId="77777777" w:rsidR="00C240D3" w:rsidRPr="002446C4" w:rsidRDefault="00C240D3" w:rsidP="005E30F7">
            <w:pPr>
              <w:pStyle w:val="ECCTabletext"/>
              <w:spacing w:before="60"/>
            </w:pPr>
            <w:r w:rsidRPr="002446C4">
              <w:t>73.3</w:t>
            </w:r>
          </w:p>
        </w:tc>
        <w:tc>
          <w:tcPr>
            <w:tcW w:w="762" w:type="dxa"/>
            <w:tcBorders>
              <w:top w:val="single" w:sz="4" w:space="0" w:color="D2232A"/>
              <w:left w:val="single" w:sz="4" w:space="0" w:color="D2232A"/>
              <w:bottom w:val="single" w:sz="4" w:space="0" w:color="D2232A"/>
              <w:right w:val="single" w:sz="4" w:space="0" w:color="D2232A"/>
            </w:tcBorders>
            <w:vAlign w:val="center"/>
            <w:hideMark/>
          </w:tcPr>
          <w:p w14:paraId="5D983BEC" w14:textId="77777777" w:rsidR="00C240D3" w:rsidRPr="002446C4" w:rsidRDefault="00C240D3" w:rsidP="005E30F7">
            <w:pPr>
              <w:pStyle w:val="ECCTabletext"/>
              <w:spacing w:before="60"/>
            </w:pPr>
            <w:r w:rsidRPr="002446C4">
              <w:t>75.9</w:t>
            </w:r>
          </w:p>
        </w:tc>
      </w:tr>
      <w:tr w:rsidR="00C240D3" w:rsidRPr="002446C4" w14:paraId="10FE65AE" w14:textId="77777777" w:rsidTr="00405568">
        <w:trPr>
          <w:trHeight w:val="666"/>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09EE9B2E" w14:textId="77777777" w:rsidR="00C240D3" w:rsidRPr="002446C4" w:rsidRDefault="00C240D3" w:rsidP="005E30F7">
            <w:pPr>
              <w:pStyle w:val="ECCTabletext"/>
              <w:spacing w:before="60"/>
            </w:pPr>
            <w:r w:rsidRPr="007F3002">
              <w:t>(6)</w:t>
            </w:r>
          </w:p>
        </w:tc>
        <w:tc>
          <w:tcPr>
            <w:tcW w:w="2491" w:type="dxa"/>
            <w:tcBorders>
              <w:top w:val="single" w:sz="4" w:space="0" w:color="D2232A"/>
              <w:left w:val="single" w:sz="4" w:space="0" w:color="D2232A"/>
              <w:bottom w:val="single" w:sz="4" w:space="0" w:color="D2232A"/>
              <w:right w:val="single" w:sz="4" w:space="0" w:color="D2232A"/>
            </w:tcBorders>
            <w:vAlign w:val="center"/>
            <w:hideMark/>
          </w:tcPr>
          <w:p w14:paraId="21C3EB3C" w14:textId="77777777" w:rsidR="00C240D3" w:rsidRPr="002446C4" w:rsidRDefault="00C240D3" w:rsidP="005E30F7">
            <w:pPr>
              <w:pStyle w:val="ECCTabletext"/>
              <w:spacing w:before="60"/>
            </w:pPr>
            <w:r w:rsidRPr="002446C4">
              <w:t>Required satellite conducted power</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7424271F" w14:textId="77777777" w:rsidR="00C240D3" w:rsidRPr="002446C4" w:rsidRDefault="00C240D3" w:rsidP="005E30F7">
            <w:pPr>
              <w:pStyle w:val="ECCTabletext"/>
              <w:spacing w:before="60"/>
            </w:pPr>
            <w:r w:rsidRPr="002446C4">
              <w:t>(5) - G_SAT</w:t>
            </w:r>
          </w:p>
        </w:tc>
        <w:tc>
          <w:tcPr>
            <w:tcW w:w="820" w:type="dxa"/>
            <w:tcBorders>
              <w:top w:val="single" w:sz="4" w:space="0" w:color="D2232A"/>
              <w:left w:val="single" w:sz="4" w:space="0" w:color="D2232A"/>
              <w:bottom w:val="single" w:sz="4" w:space="0" w:color="D2232A"/>
              <w:right w:val="single" w:sz="4" w:space="0" w:color="D2232A"/>
            </w:tcBorders>
            <w:vAlign w:val="center"/>
            <w:hideMark/>
          </w:tcPr>
          <w:p w14:paraId="29FDD7A9" w14:textId="77777777" w:rsidR="00C240D3" w:rsidRPr="002446C4" w:rsidRDefault="00C240D3" w:rsidP="005E30F7">
            <w:pPr>
              <w:pStyle w:val="ECCTabletext"/>
              <w:spacing w:before="60"/>
            </w:pPr>
            <w:r w:rsidRPr="002446C4">
              <w:rPr>
                <w:color w:val="000000" w:themeColor="text1"/>
              </w:rPr>
              <w:t>37.6</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0A472A91" w14:textId="77777777" w:rsidR="00C240D3" w:rsidRPr="002446C4" w:rsidRDefault="00C240D3" w:rsidP="005E30F7">
            <w:pPr>
              <w:pStyle w:val="ECCTabletext"/>
              <w:spacing w:before="60"/>
            </w:pPr>
            <w:r w:rsidRPr="002446C4">
              <w:rPr>
                <w:color w:val="000000" w:themeColor="text1"/>
              </w:rPr>
              <w:t>36</w:t>
            </w:r>
          </w:p>
        </w:tc>
        <w:tc>
          <w:tcPr>
            <w:tcW w:w="702" w:type="dxa"/>
            <w:tcBorders>
              <w:top w:val="single" w:sz="4" w:space="0" w:color="D2232A"/>
              <w:left w:val="single" w:sz="4" w:space="0" w:color="D2232A"/>
              <w:bottom w:val="single" w:sz="4" w:space="0" w:color="D2232A"/>
              <w:right w:val="single" w:sz="4" w:space="0" w:color="D2232A"/>
            </w:tcBorders>
            <w:vAlign w:val="center"/>
            <w:hideMark/>
          </w:tcPr>
          <w:p w14:paraId="6738AAAE" w14:textId="77777777" w:rsidR="00C240D3" w:rsidRPr="002446C4" w:rsidRDefault="00C240D3" w:rsidP="005E30F7">
            <w:pPr>
              <w:pStyle w:val="ECCTabletext"/>
              <w:spacing w:before="60"/>
            </w:pPr>
            <w:r w:rsidRPr="002446C4">
              <w:t>37.3</w:t>
            </w:r>
          </w:p>
        </w:tc>
        <w:tc>
          <w:tcPr>
            <w:tcW w:w="952" w:type="dxa"/>
            <w:tcBorders>
              <w:top w:val="single" w:sz="4" w:space="0" w:color="D2232A"/>
              <w:left w:val="single" w:sz="4" w:space="0" w:color="D2232A"/>
              <w:bottom w:val="single" w:sz="4" w:space="0" w:color="D2232A"/>
              <w:right w:val="single" w:sz="4" w:space="0" w:color="D2232A"/>
            </w:tcBorders>
            <w:vAlign w:val="center"/>
            <w:hideMark/>
          </w:tcPr>
          <w:p w14:paraId="03F8C349" w14:textId="77777777" w:rsidR="00C240D3" w:rsidRPr="002446C4" w:rsidRDefault="00C240D3" w:rsidP="005E30F7">
            <w:pPr>
              <w:pStyle w:val="ECCTabletext"/>
              <w:spacing w:before="60"/>
            </w:pPr>
            <w:r w:rsidRPr="002446C4">
              <w:rPr>
                <w:color w:val="000000" w:themeColor="text1"/>
              </w:rPr>
              <w:t>39.1</w:t>
            </w:r>
          </w:p>
        </w:tc>
        <w:tc>
          <w:tcPr>
            <w:tcW w:w="827" w:type="dxa"/>
            <w:tcBorders>
              <w:top w:val="single" w:sz="4" w:space="0" w:color="D2232A"/>
              <w:left w:val="single" w:sz="4" w:space="0" w:color="D2232A"/>
              <w:bottom w:val="single" w:sz="4" w:space="0" w:color="D2232A"/>
              <w:right w:val="single" w:sz="4" w:space="0" w:color="D2232A"/>
            </w:tcBorders>
            <w:vAlign w:val="center"/>
            <w:hideMark/>
          </w:tcPr>
          <w:p w14:paraId="79687479" w14:textId="77777777" w:rsidR="00C240D3" w:rsidRPr="002446C4" w:rsidRDefault="00C240D3" w:rsidP="005E30F7">
            <w:pPr>
              <w:pStyle w:val="ECCTabletext"/>
              <w:spacing w:before="60"/>
            </w:pPr>
            <w:r w:rsidRPr="002446C4">
              <w:rPr>
                <w:color w:val="000000" w:themeColor="text1"/>
              </w:rPr>
              <w:t>40.8</w:t>
            </w:r>
          </w:p>
        </w:tc>
        <w:tc>
          <w:tcPr>
            <w:tcW w:w="762" w:type="dxa"/>
            <w:tcBorders>
              <w:top w:val="single" w:sz="4" w:space="0" w:color="D2232A"/>
              <w:left w:val="single" w:sz="4" w:space="0" w:color="D2232A"/>
              <w:bottom w:val="single" w:sz="4" w:space="0" w:color="D2232A"/>
              <w:right w:val="single" w:sz="4" w:space="0" w:color="D2232A"/>
            </w:tcBorders>
            <w:vAlign w:val="center"/>
            <w:hideMark/>
          </w:tcPr>
          <w:p w14:paraId="37494590" w14:textId="77777777" w:rsidR="00C240D3" w:rsidRPr="002446C4" w:rsidRDefault="00C240D3" w:rsidP="005E30F7">
            <w:pPr>
              <w:pStyle w:val="ECCTabletext"/>
              <w:spacing w:before="60"/>
            </w:pPr>
            <w:r w:rsidRPr="002446C4">
              <w:rPr>
                <w:color w:val="000000" w:themeColor="text1"/>
              </w:rPr>
              <w:t>39.9</w:t>
            </w:r>
          </w:p>
        </w:tc>
      </w:tr>
    </w:tbl>
    <w:p w14:paraId="0A8F78D0" w14:textId="77777777" w:rsidR="00C240D3" w:rsidRDefault="00C240D3" w:rsidP="00C240D3">
      <w:pPr>
        <w:pStyle w:val="Caption"/>
      </w:pPr>
      <w:bookmarkStart w:id="45" w:name="_Ref230361446"/>
      <w:r w:rsidRPr="004D48FE">
        <w:t xml:space="preserve">Table </w:t>
      </w:r>
      <w:r w:rsidRPr="00566DA4">
        <w:fldChar w:fldCharType="begin"/>
      </w:r>
      <w:r w:rsidRPr="004D48FE">
        <w:instrText xml:space="preserve"> SEQ Table \* ARABIC </w:instrText>
      </w:r>
      <w:r w:rsidRPr="00566DA4">
        <w:fldChar w:fldCharType="separate"/>
      </w:r>
      <w:r>
        <w:rPr>
          <w:noProof/>
        </w:rPr>
        <w:t>8</w:t>
      </w:r>
      <w:r w:rsidRPr="00566DA4">
        <w:fldChar w:fldCharType="end"/>
      </w:r>
      <w:bookmarkEnd w:id="44"/>
      <w:bookmarkEnd w:id="45"/>
      <w:r w:rsidRPr="004D48FE">
        <w:t xml:space="preserve">: </w:t>
      </w:r>
      <w:r>
        <w:t>Representative Space-to-earth Link Budget @EL 26</w:t>
      </w:r>
      <w:r w:rsidRPr="00BC5732">
        <w:t>°</w:t>
      </w:r>
    </w:p>
    <w:tbl>
      <w:tblPr>
        <w:tblW w:w="10140" w:type="dxa"/>
        <w:tblLook w:val="04A0" w:firstRow="1" w:lastRow="0" w:firstColumn="1" w:lastColumn="0" w:noHBand="0" w:noVBand="1"/>
      </w:tblPr>
      <w:tblGrid>
        <w:gridCol w:w="557"/>
        <w:gridCol w:w="2424"/>
        <w:gridCol w:w="1917"/>
        <w:gridCol w:w="857"/>
        <w:gridCol w:w="877"/>
        <w:gridCol w:w="877"/>
        <w:gridCol w:w="877"/>
        <w:gridCol w:w="877"/>
        <w:gridCol w:w="877"/>
      </w:tblGrid>
      <w:tr w:rsidR="00C240D3" w:rsidRPr="00B31E71" w14:paraId="3804C514" w14:textId="77777777" w:rsidTr="008D791D">
        <w:trPr>
          <w:trHeight w:val="280"/>
        </w:trPr>
        <w:tc>
          <w:tcPr>
            <w:tcW w:w="4898" w:type="dxa"/>
            <w:gridSpan w:val="3"/>
            <w:vMerge w:val="restart"/>
            <w:tcBorders>
              <w:top w:val="single" w:sz="8" w:space="0" w:color="D22A23"/>
              <w:left w:val="single" w:sz="8" w:space="0" w:color="FF0000"/>
              <w:bottom w:val="single" w:sz="8" w:space="0" w:color="FFFFFF"/>
              <w:right w:val="single" w:sz="8" w:space="0" w:color="FFFFFF"/>
            </w:tcBorders>
            <w:shd w:val="clear" w:color="auto" w:fill="D2232A"/>
            <w:vAlign w:val="center"/>
            <w:hideMark/>
          </w:tcPr>
          <w:p w14:paraId="3D1A8AAC"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 </w:t>
            </w:r>
          </w:p>
        </w:tc>
        <w:tc>
          <w:tcPr>
            <w:tcW w:w="5242" w:type="dxa"/>
            <w:gridSpan w:val="6"/>
            <w:tcBorders>
              <w:top w:val="single" w:sz="8" w:space="0" w:color="D22A23"/>
              <w:left w:val="nil"/>
              <w:bottom w:val="nil"/>
              <w:right w:val="single" w:sz="8" w:space="0" w:color="FFFFFF"/>
            </w:tcBorders>
            <w:shd w:val="clear" w:color="auto" w:fill="D2232A"/>
            <w:vAlign w:val="center"/>
            <w:hideMark/>
          </w:tcPr>
          <w:p w14:paraId="3E46AA6C"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Power (dBm)</w:t>
            </w:r>
          </w:p>
        </w:tc>
      </w:tr>
      <w:tr w:rsidR="00C240D3" w:rsidRPr="00B31E71" w14:paraId="69BBFABF" w14:textId="77777777" w:rsidTr="008D791D">
        <w:trPr>
          <w:trHeight w:val="290"/>
        </w:trPr>
        <w:tc>
          <w:tcPr>
            <w:tcW w:w="4898" w:type="dxa"/>
            <w:gridSpan w:val="3"/>
            <w:vMerge/>
            <w:tcBorders>
              <w:top w:val="single" w:sz="8" w:space="0" w:color="D22A23"/>
              <w:left w:val="single" w:sz="8" w:space="0" w:color="FF0000"/>
              <w:bottom w:val="single" w:sz="8" w:space="0" w:color="FFFFFF"/>
              <w:right w:val="single" w:sz="8" w:space="0" w:color="FFFFFF"/>
            </w:tcBorders>
            <w:shd w:val="clear" w:color="auto" w:fill="D2232A"/>
            <w:vAlign w:val="center"/>
            <w:hideMark/>
          </w:tcPr>
          <w:p w14:paraId="2A0973EC" w14:textId="77777777" w:rsidR="00C240D3" w:rsidRPr="00C13540" w:rsidRDefault="00C240D3" w:rsidP="005E30F7">
            <w:pPr>
              <w:widowControl w:val="0"/>
              <w:spacing w:before="120" w:after="120"/>
              <w:rPr>
                <w:rFonts w:cs="Arial"/>
                <w:b/>
                <w:bCs/>
                <w:color w:val="FFFFFF" w:themeColor="background1"/>
                <w:szCs w:val="20"/>
              </w:rPr>
            </w:pPr>
          </w:p>
        </w:tc>
        <w:tc>
          <w:tcPr>
            <w:tcW w:w="5242" w:type="dxa"/>
            <w:gridSpan w:val="6"/>
            <w:tcBorders>
              <w:top w:val="nil"/>
              <w:left w:val="nil"/>
              <w:bottom w:val="single" w:sz="8" w:space="0" w:color="FFFFFF"/>
              <w:right w:val="single" w:sz="8" w:space="0" w:color="FFFFFF"/>
            </w:tcBorders>
            <w:shd w:val="clear" w:color="auto" w:fill="D2232A"/>
            <w:vAlign w:val="center"/>
            <w:hideMark/>
          </w:tcPr>
          <w:p w14:paraId="47B0EE8A"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@El 26°</w:t>
            </w:r>
          </w:p>
        </w:tc>
      </w:tr>
      <w:tr w:rsidR="00C240D3" w:rsidRPr="00B31E71" w14:paraId="7DF359E5" w14:textId="77777777" w:rsidTr="008D791D">
        <w:trPr>
          <w:trHeight w:val="290"/>
        </w:trPr>
        <w:tc>
          <w:tcPr>
            <w:tcW w:w="4898" w:type="dxa"/>
            <w:gridSpan w:val="3"/>
            <w:tcBorders>
              <w:top w:val="single" w:sz="8" w:space="0" w:color="FFFFFF"/>
              <w:left w:val="single" w:sz="8" w:space="0" w:color="FF0000"/>
              <w:bottom w:val="single" w:sz="4" w:space="0" w:color="D2232A"/>
              <w:right w:val="single" w:sz="8" w:space="0" w:color="FFFFFF"/>
            </w:tcBorders>
            <w:shd w:val="clear" w:color="auto" w:fill="D2232A"/>
            <w:vAlign w:val="center"/>
            <w:hideMark/>
          </w:tcPr>
          <w:p w14:paraId="6B8F70B0"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Frequency (MHz)</w:t>
            </w:r>
          </w:p>
        </w:tc>
        <w:tc>
          <w:tcPr>
            <w:tcW w:w="857" w:type="dxa"/>
            <w:tcBorders>
              <w:top w:val="nil"/>
              <w:left w:val="nil"/>
              <w:bottom w:val="single" w:sz="4" w:space="0" w:color="D2232A"/>
              <w:right w:val="single" w:sz="8" w:space="0" w:color="FFFFFF"/>
            </w:tcBorders>
            <w:shd w:val="clear" w:color="auto" w:fill="D2232A"/>
            <w:vAlign w:val="center"/>
            <w:hideMark/>
          </w:tcPr>
          <w:p w14:paraId="78E30113"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700</w:t>
            </w:r>
          </w:p>
        </w:tc>
        <w:tc>
          <w:tcPr>
            <w:tcW w:w="877" w:type="dxa"/>
            <w:tcBorders>
              <w:top w:val="nil"/>
              <w:left w:val="nil"/>
              <w:bottom w:val="single" w:sz="4" w:space="0" w:color="D2232A"/>
              <w:right w:val="single" w:sz="8" w:space="0" w:color="FFFFFF"/>
            </w:tcBorders>
            <w:shd w:val="clear" w:color="auto" w:fill="D2232A"/>
            <w:vAlign w:val="center"/>
            <w:hideMark/>
          </w:tcPr>
          <w:p w14:paraId="37AD40E5"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1500</w:t>
            </w:r>
          </w:p>
        </w:tc>
        <w:tc>
          <w:tcPr>
            <w:tcW w:w="877" w:type="dxa"/>
            <w:tcBorders>
              <w:top w:val="nil"/>
              <w:left w:val="nil"/>
              <w:bottom w:val="single" w:sz="4" w:space="0" w:color="D2232A"/>
              <w:right w:val="single" w:sz="8" w:space="0" w:color="FFFFFF"/>
            </w:tcBorders>
            <w:shd w:val="clear" w:color="auto" w:fill="D2232A"/>
            <w:vAlign w:val="center"/>
            <w:hideMark/>
          </w:tcPr>
          <w:p w14:paraId="0C9F68F0"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1750</w:t>
            </w:r>
          </w:p>
        </w:tc>
        <w:tc>
          <w:tcPr>
            <w:tcW w:w="877" w:type="dxa"/>
            <w:tcBorders>
              <w:top w:val="nil"/>
              <w:left w:val="nil"/>
              <w:bottom w:val="single" w:sz="4" w:space="0" w:color="D2232A"/>
              <w:right w:val="single" w:sz="8" w:space="0" w:color="FFFFFF"/>
            </w:tcBorders>
            <w:shd w:val="clear" w:color="auto" w:fill="D2232A"/>
            <w:vAlign w:val="center"/>
            <w:hideMark/>
          </w:tcPr>
          <w:p w14:paraId="5A896733"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2150</w:t>
            </w:r>
          </w:p>
        </w:tc>
        <w:tc>
          <w:tcPr>
            <w:tcW w:w="877" w:type="dxa"/>
            <w:tcBorders>
              <w:top w:val="nil"/>
              <w:left w:val="nil"/>
              <w:bottom w:val="single" w:sz="4" w:space="0" w:color="D2232A"/>
              <w:right w:val="single" w:sz="8" w:space="0" w:color="FFFFFF"/>
            </w:tcBorders>
            <w:shd w:val="clear" w:color="auto" w:fill="D2232A"/>
            <w:vAlign w:val="center"/>
            <w:hideMark/>
          </w:tcPr>
          <w:p w14:paraId="6448E937"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2600</w:t>
            </w:r>
          </w:p>
        </w:tc>
        <w:tc>
          <w:tcPr>
            <w:tcW w:w="877" w:type="dxa"/>
            <w:tcBorders>
              <w:top w:val="nil"/>
              <w:left w:val="nil"/>
              <w:bottom w:val="single" w:sz="4" w:space="0" w:color="D2232A"/>
              <w:right w:val="single" w:sz="8" w:space="0" w:color="FFFFFF"/>
            </w:tcBorders>
            <w:shd w:val="clear" w:color="auto" w:fill="D2232A"/>
            <w:vAlign w:val="center"/>
            <w:hideMark/>
          </w:tcPr>
          <w:p w14:paraId="5C27CD14" w14:textId="77777777" w:rsidR="00C240D3" w:rsidRPr="00C13540" w:rsidRDefault="00C240D3" w:rsidP="005E30F7">
            <w:pPr>
              <w:widowControl w:val="0"/>
              <w:spacing w:before="120" w:after="120"/>
              <w:jc w:val="center"/>
              <w:rPr>
                <w:rFonts w:cs="Arial"/>
                <w:b/>
                <w:bCs/>
                <w:color w:val="FFFFFF" w:themeColor="background1"/>
                <w:szCs w:val="20"/>
              </w:rPr>
            </w:pPr>
            <w:r w:rsidRPr="00C13540">
              <w:rPr>
                <w:rFonts w:cs="Arial"/>
                <w:b/>
                <w:bCs/>
                <w:color w:val="FFFFFF" w:themeColor="background1"/>
                <w:szCs w:val="20"/>
              </w:rPr>
              <w:t>3600</w:t>
            </w:r>
          </w:p>
        </w:tc>
      </w:tr>
      <w:tr w:rsidR="00C240D3" w:rsidRPr="00B31E71" w14:paraId="6D21FA5F" w14:textId="77777777" w:rsidTr="008D791D">
        <w:trPr>
          <w:trHeight w:val="453"/>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7BCC9A07" w14:textId="77777777" w:rsidR="00C240D3" w:rsidRPr="00B31E71" w:rsidRDefault="00C240D3" w:rsidP="005E30F7">
            <w:pPr>
              <w:pStyle w:val="ECCTabletext"/>
              <w:keepNext w:val="0"/>
              <w:widowControl w:val="0"/>
            </w:pPr>
            <w:r w:rsidRPr="007F3002">
              <w:t>(1)</w:t>
            </w:r>
          </w:p>
        </w:tc>
        <w:tc>
          <w:tcPr>
            <w:tcW w:w="2424" w:type="dxa"/>
            <w:tcBorders>
              <w:top w:val="single" w:sz="4" w:space="0" w:color="D2232A"/>
              <w:left w:val="single" w:sz="4" w:space="0" w:color="D2232A"/>
              <w:bottom w:val="single" w:sz="4" w:space="0" w:color="D2232A"/>
              <w:right w:val="single" w:sz="4" w:space="0" w:color="D2232A"/>
            </w:tcBorders>
            <w:vAlign w:val="center"/>
            <w:hideMark/>
          </w:tcPr>
          <w:p w14:paraId="733DF7D9" w14:textId="77777777" w:rsidR="00C240D3" w:rsidRPr="00B31E71" w:rsidRDefault="00C240D3" w:rsidP="005E30F7">
            <w:pPr>
              <w:pStyle w:val="ECCTabletext"/>
              <w:keepNext w:val="0"/>
              <w:widowControl w:val="0"/>
            </w:pPr>
            <w:r w:rsidRPr="00B31E71">
              <w:t>UE Noise level 4.5 MHz</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2B5A4308" w14:textId="77777777" w:rsidR="00C240D3" w:rsidRPr="00B31E71" w:rsidRDefault="00C240D3" w:rsidP="005E30F7">
            <w:pPr>
              <w:pStyle w:val="ECCTabletext"/>
              <w:keepNext w:val="0"/>
              <w:widowControl w:val="0"/>
            </w:pPr>
            <w:r w:rsidRPr="00B31E71">
              <w:t>10log(kTB)+NF+30</w:t>
            </w:r>
          </w:p>
        </w:tc>
        <w:tc>
          <w:tcPr>
            <w:tcW w:w="857" w:type="dxa"/>
            <w:tcBorders>
              <w:top w:val="single" w:sz="4" w:space="0" w:color="D2232A"/>
              <w:left w:val="single" w:sz="4" w:space="0" w:color="D2232A"/>
              <w:bottom w:val="single" w:sz="4" w:space="0" w:color="D2232A"/>
              <w:right w:val="single" w:sz="4" w:space="0" w:color="D2232A"/>
            </w:tcBorders>
            <w:vAlign w:val="center"/>
            <w:hideMark/>
          </w:tcPr>
          <w:p w14:paraId="40CA65D8" w14:textId="77777777" w:rsidR="00C240D3" w:rsidRPr="00B31E71" w:rsidRDefault="00C240D3" w:rsidP="005E30F7">
            <w:pPr>
              <w:pStyle w:val="ECCTabletext"/>
              <w:keepNext w:val="0"/>
              <w:widowControl w:val="0"/>
            </w:pPr>
            <w:r w:rsidRPr="00B31E71">
              <w:t>-98.4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2FB1E470" w14:textId="77777777" w:rsidR="00C240D3" w:rsidRPr="00B31E71" w:rsidRDefault="00C240D3" w:rsidP="005E30F7">
            <w:pPr>
              <w:pStyle w:val="ECCTabletext"/>
              <w:keepNext w:val="0"/>
              <w:widowControl w:val="0"/>
            </w:pPr>
            <w:r w:rsidRPr="00B31E71">
              <w:t>-98.4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569575C7" w14:textId="77777777" w:rsidR="00C240D3" w:rsidRPr="00B31E71" w:rsidRDefault="00C240D3" w:rsidP="005E30F7">
            <w:pPr>
              <w:pStyle w:val="ECCTabletext"/>
              <w:keepNext w:val="0"/>
              <w:widowControl w:val="0"/>
            </w:pPr>
            <w:r w:rsidRPr="00B31E71">
              <w:t>-98.4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3ED42C02" w14:textId="77777777" w:rsidR="00C240D3" w:rsidRPr="00B31E71" w:rsidRDefault="00C240D3" w:rsidP="005E30F7">
            <w:pPr>
              <w:pStyle w:val="ECCTabletext"/>
              <w:keepNext w:val="0"/>
              <w:widowControl w:val="0"/>
            </w:pPr>
            <w:r w:rsidRPr="00B31E71">
              <w:t>-98.4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6CA924F6" w14:textId="77777777" w:rsidR="00C240D3" w:rsidRPr="00B31E71" w:rsidRDefault="00C240D3" w:rsidP="005E30F7">
            <w:pPr>
              <w:pStyle w:val="ECCTabletext"/>
              <w:keepNext w:val="0"/>
              <w:widowControl w:val="0"/>
            </w:pPr>
            <w:r w:rsidRPr="00B31E71">
              <w:t>-98.4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2FFBE236" w14:textId="77777777" w:rsidR="00C240D3" w:rsidRPr="00B31E71" w:rsidRDefault="00C240D3" w:rsidP="005E30F7">
            <w:pPr>
              <w:pStyle w:val="ECCTabletext"/>
              <w:keepNext w:val="0"/>
              <w:widowControl w:val="0"/>
            </w:pPr>
            <w:r w:rsidRPr="00B31E71">
              <w:t>-98.4</w:t>
            </w:r>
          </w:p>
        </w:tc>
      </w:tr>
      <w:tr w:rsidR="00C240D3" w:rsidRPr="00B31E71" w14:paraId="1C74C146" w14:textId="77777777" w:rsidTr="008D791D">
        <w:trPr>
          <w:trHeight w:val="558"/>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4B8EF6A9" w14:textId="77777777" w:rsidR="00C240D3" w:rsidRPr="00B31E71" w:rsidRDefault="00C240D3" w:rsidP="005E30F7">
            <w:pPr>
              <w:pStyle w:val="ECCTabletext"/>
              <w:keepNext w:val="0"/>
              <w:widowControl w:val="0"/>
            </w:pPr>
            <w:r w:rsidRPr="007F3002">
              <w:t>(2)</w:t>
            </w:r>
          </w:p>
        </w:tc>
        <w:tc>
          <w:tcPr>
            <w:tcW w:w="2424" w:type="dxa"/>
            <w:tcBorders>
              <w:top w:val="single" w:sz="4" w:space="0" w:color="D2232A"/>
              <w:left w:val="single" w:sz="4" w:space="0" w:color="D2232A"/>
              <w:bottom w:val="single" w:sz="4" w:space="0" w:color="D2232A"/>
              <w:right w:val="single" w:sz="4" w:space="0" w:color="D2232A"/>
            </w:tcBorders>
            <w:vAlign w:val="center"/>
            <w:hideMark/>
          </w:tcPr>
          <w:p w14:paraId="46999DD1" w14:textId="77777777" w:rsidR="00C240D3" w:rsidRPr="00B31E71" w:rsidRDefault="00C240D3" w:rsidP="005E30F7">
            <w:pPr>
              <w:pStyle w:val="ECCTabletext"/>
              <w:keepNext w:val="0"/>
              <w:widowControl w:val="0"/>
            </w:pPr>
            <w:r w:rsidRPr="00B31E71">
              <w:t>Required signal level after UE antenna</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0E482E66" w14:textId="77777777" w:rsidR="00C240D3" w:rsidRPr="00B31E71" w:rsidRDefault="00C240D3" w:rsidP="005E30F7">
            <w:pPr>
              <w:pStyle w:val="ECCTabletext"/>
              <w:keepNext w:val="0"/>
              <w:widowControl w:val="0"/>
            </w:pPr>
            <w:r w:rsidRPr="00B31E71">
              <w:t xml:space="preserve">(1) + TSNR </w:t>
            </w:r>
          </w:p>
        </w:tc>
        <w:tc>
          <w:tcPr>
            <w:tcW w:w="857" w:type="dxa"/>
            <w:tcBorders>
              <w:top w:val="single" w:sz="4" w:space="0" w:color="D2232A"/>
              <w:left w:val="single" w:sz="4" w:space="0" w:color="D2232A"/>
              <w:bottom w:val="single" w:sz="4" w:space="0" w:color="D2232A"/>
              <w:right w:val="single" w:sz="4" w:space="0" w:color="D2232A"/>
            </w:tcBorders>
            <w:vAlign w:val="center"/>
            <w:hideMark/>
          </w:tcPr>
          <w:p w14:paraId="0228BFDF" w14:textId="77777777" w:rsidR="00C240D3" w:rsidRPr="00B31E71" w:rsidRDefault="00C240D3" w:rsidP="005E30F7">
            <w:pPr>
              <w:pStyle w:val="ECCTabletext"/>
              <w:keepNext w:val="0"/>
              <w:widowControl w:val="0"/>
            </w:pPr>
            <w:r w:rsidRPr="00B31E71">
              <w:t>-90.4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7055860E" w14:textId="77777777" w:rsidR="00C240D3" w:rsidRPr="00B31E71" w:rsidRDefault="00C240D3" w:rsidP="005E30F7">
            <w:pPr>
              <w:pStyle w:val="ECCTabletext"/>
              <w:keepNext w:val="0"/>
              <w:widowControl w:val="0"/>
            </w:pPr>
            <w:r w:rsidRPr="00B31E71">
              <w:t>-90.4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1C04C233" w14:textId="77777777" w:rsidR="00C240D3" w:rsidRPr="00B31E71" w:rsidRDefault="00C240D3" w:rsidP="005E30F7">
            <w:pPr>
              <w:pStyle w:val="ECCTabletext"/>
              <w:keepNext w:val="0"/>
              <w:widowControl w:val="0"/>
            </w:pPr>
            <w:r w:rsidRPr="00B31E71">
              <w:t>-90.4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7D9AD359" w14:textId="77777777" w:rsidR="00C240D3" w:rsidRPr="00B31E71" w:rsidRDefault="00C240D3" w:rsidP="005E30F7">
            <w:pPr>
              <w:pStyle w:val="ECCTabletext"/>
              <w:keepNext w:val="0"/>
              <w:widowControl w:val="0"/>
            </w:pPr>
            <w:r w:rsidRPr="00B31E71">
              <w:t>-90.4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37AAFFB5" w14:textId="77777777" w:rsidR="00C240D3" w:rsidRPr="00B31E71" w:rsidRDefault="00C240D3" w:rsidP="005E30F7">
            <w:pPr>
              <w:pStyle w:val="ECCTabletext"/>
              <w:keepNext w:val="0"/>
              <w:widowControl w:val="0"/>
            </w:pPr>
            <w:r w:rsidRPr="00B31E71">
              <w:t>-90.4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36209EB1" w14:textId="77777777" w:rsidR="00C240D3" w:rsidRPr="00B31E71" w:rsidRDefault="00C240D3" w:rsidP="005E30F7">
            <w:pPr>
              <w:pStyle w:val="ECCTabletext"/>
              <w:keepNext w:val="0"/>
              <w:widowControl w:val="0"/>
            </w:pPr>
            <w:r w:rsidRPr="00B31E71">
              <w:t>-90.4</w:t>
            </w:r>
          </w:p>
        </w:tc>
      </w:tr>
      <w:tr w:rsidR="00C240D3" w:rsidRPr="00B31E71" w14:paraId="4907F96F" w14:textId="77777777" w:rsidTr="008D791D">
        <w:trPr>
          <w:trHeight w:val="418"/>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46274D28" w14:textId="77777777" w:rsidR="00C240D3" w:rsidRPr="00B31E71" w:rsidRDefault="00C240D3" w:rsidP="005E30F7">
            <w:pPr>
              <w:pStyle w:val="ECCTabletext"/>
              <w:keepNext w:val="0"/>
              <w:widowControl w:val="0"/>
            </w:pPr>
            <w:r w:rsidRPr="007F3002">
              <w:t>(3)</w:t>
            </w:r>
          </w:p>
        </w:tc>
        <w:tc>
          <w:tcPr>
            <w:tcW w:w="2424" w:type="dxa"/>
            <w:tcBorders>
              <w:top w:val="single" w:sz="4" w:space="0" w:color="D2232A"/>
              <w:left w:val="single" w:sz="4" w:space="0" w:color="D2232A"/>
              <w:bottom w:val="single" w:sz="4" w:space="0" w:color="D2232A"/>
              <w:right w:val="single" w:sz="4" w:space="0" w:color="D2232A"/>
            </w:tcBorders>
            <w:vAlign w:val="center"/>
            <w:hideMark/>
          </w:tcPr>
          <w:p w14:paraId="6CC7D03E" w14:textId="77777777" w:rsidR="00C240D3" w:rsidRPr="00B31E71" w:rsidRDefault="00C240D3" w:rsidP="005E30F7">
            <w:pPr>
              <w:pStyle w:val="ECCTabletext"/>
              <w:keepNext w:val="0"/>
              <w:widowControl w:val="0"/>
            </w:pPr>
            <w:r w:rsidRPr="00B31E71">
              <w:t>Required signal level before UE antenna</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488CDD20" w14:textId="77777777" w:rsidR="00C240D3" w:rsidRPr="00B31E71" w:rsidRDefault="00C240D3" w:rsidP="005E30F7">
            <w:pPr>
              <w:pStyle w:val="ECCTabletext"/>
              <w:keepNext w:val="0"/>
              <w:widowControl w:val="0"/>
            </w:pPr>
            <w:r w:rsidRPr="00B31E71">
              <w:t>(2) - G_UE</w:t>
            </w:r>
          </w:p>
        </w:tc>
        <w:tc>
          <w:tcPr>
            <w:tcW w:w="857" w:type="dxa"/>
            <w:tcBorders>
              <w:top w:val="single" w:sz="4" w:space="0" w:color="D2232A"/>
              <w:left w:val="single" w:sz="4" w:space="0" w:color="D2232A"/>
              <w:bottom w:val="single" w:sz="4" w:space="0" w:color="D2232A"/>
              <w:right w:val="single" w:sz="4" w:space="0" w:color="D2232A"/>
            </w:tcBorders>
            <w:vAlign w:val="center"/>
            <w:hideMark/>
          </w:tcPr>
          <w:p w14:paraId="5F0BDF2D" w14:textId="77777777" w:rsidR="00C240D3" w:rsidRPr="00B31E71" w:rsidRDefault="00C240D3" w:rsidP="005E30F7">
            <w:pPr>
              <w:pStyle w:val="ECCTabletext"/>
              <w:keepNext w:val="0"/>
              <w:widowControl w:val="0"/>
            </w:pPr>
            <w:r w:rsidRPr="00B31E71">
              <w:t>-87.4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657DB748" w14:textId="77777777" w:rsidR="00C240D3" w:rsidRPr="00B31E71" w:rsidRDefault="00C240D3" w:rsidP="005E30F7">
            <w:pPr>
              <w:pStyle w:val="ECCTabletext"/>
              <w:keepNext w:val="0"/>
              <w:widowControl w:val="0"/>
            </w:pPr>
            <w:r w:rsidRPr="00B31E71">
              <w:t>-87.4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22ED419D" w14:textId="77777777" w:rsidR="00C240D3" w:rsidRPr="00B31E71" w:rsidRDefault="00C240D3" w:rsidP="005E30F7">
            <w:pPr>
              <w:pStyle w:val="ECCTabletext"/>
              <w:keepNext w:val="0"/>
              <w:widowControl w:val="0"/>
            </w:pPr>
            <w:r w:rsidRPr="00B31E71">
              <w:t>-87.4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02FAF290" w14:textId="77777777" w:rsidR="00C240D3" w:rsidRPr="00B31E71" w:rsidRDefault="00C240D3" w:rsidP="005E30F7">
            <w:pPr>
              <w:pStyle w:val="ECCTabletext"/>
              <w:keepNext w:val="0"/>
              <w:widowControl w:val="0"/>
            </w:pPr>
            <w:r w:rsidRPr="00B31E71">
              <w:t>-87.4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70383F93" w14:textId="77777777" w:rsidR="00C240D3" w:rsidRPr="00B31E71" w:rsidRDefault="00C240D3" w:rsidP="005E30F7">
            <w:pPr>
              <w:pStyle w:val="ECCTabletext"/>
              <w:keepNext w:val="0"/>
              <w:widowControl w:val="0"/>
            </w:pPr>
            <w:r w:rsidRPr="00B31E71">
              <w:t>-87.4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38EBCC43" w14:textId="77777777" w:rsidR="00C240D3" w:rsidRPr="00B31E71" w:rsidRDefault="00C240D3" w:rsidP="005E30F7">
            <w:pPr>
              <w:pStyle w:val="ECCTabletext"/>
              <w:keepNext w:val="0"/>
              <w:widowControl w:val="0"/>
            </w:pPr>
            <w:r w:rsidRPr="00B31E71">
              <w:t>-87.4</w:t>
            </w:r>
          </w:p>
        </w:tc>
      </w:tr>
      <w:tr w:rsidR="00C240D3" w:rsidRPr="00B31E71" w14:paraId="1E59BD27" w14:textId="77777777" w:rsidTr="008D791D">
        <w:trPr>
          <w:trHeight w:val="702"/>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51F90205" w14:textId="77777777" w:rsidR="00C240D3" w:rsidRPr="00B31E71" w:rsidRDefault="00C240D3" w:rsidP="005E30F7">
            <w:pPr>
              <w:pStyle w:val="ECCTabletext"/>
              <w:keepNext w:val="0"/>
              <w:widowControl w:val="0"/>
            </w:pPr>
            <w:r w:rsidRPr="007F3002">
              <w:t>(4)</w:t>
            </w:r>
          </w:p>
        </w:tc>
        <w:tc>
          <w:tcPr>
            <w:tcW w:w="2424" w:type="dxa"/>
            <w:tcBorders>
              <w:top w:val="single" w:sz="4" w:space="0" w:color="D2232A"/>
              <w:left w:val="single" w:sz="4" w:space="0" w:color="D2232A"/>
              <w:bottom w:val="single" w:sz="4" w:space="0" w:color="D2232A"/>
              <w:right w:val="single" w:sz="4" w:space="0" w:color="D2232A"/>
            </w:tcBorders>
            <w:vAlign w:val="center"/>
            <w:hideMark/>
          </w:tcPr>
          <w:p w14:paraId="58CF6CD5" w14:textId="77777777" w:rsidR="00C240D3" w:rsidRPr="00B31E71" w:rsidRDefault="00C240D3" w:rsidP="005E30F7">
            <w:pPr>
              <w:pStyle w:val="ECCTabletext"/>
              <w:keepNext w:val="0"/>
              <w:widowControl w:val="0"/>
            </w:pPr>
            <w:r w:rsidRPr="00B31E71">
              <w:t>Required signal level before terrestrial additional losses</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288EFA40" w14:textId="77777777" w:rsidR="00C240D3" w:rsidRPr="00B31E71" w:rsidRDefault="00C240D3" w:rsidP="005E30F7">
            <w:pPr>
              <w:pStyle w:val="ECCTabletext"/>
              <w:keepNext w:val="0"/>
              <w:widowControl w:val="0"/>
            </w:pPr>
            <w:r w:rsidRPr="00B31E71">
              <w:t>(3) + BL</w:t>
            </w:r>
          </w:p>
        </w:tc>
        <w:tc>
          <w:tcPr>
            <w:tcW w:w="857" w:type="dxa"/>
            <w:tcBorders>
              <w:top w:val="single" w:sz="4" w:space="0" w:color="D2232A"/>
              <w:left w:val="single" w:sz="4" w:space="0" w:color="D2232A"/>
              <w:bottom w:val="single" w:sz="4" w:space="0" w:color="D2232A"/>
              <w:right w:val="single" w:sz="4" w:space="0" w:color="D2232A"/>
            </w:tcBorders>
            <w:vAlign w:val="center"/>
            <w:hideMark/>
          </w:tcPr>
          <w:p w14:paraId="10233F0C" w14:textId="77777777" w:rsidR="00C240D3" w:rsidRPr="00B31E71" w:rsidRDefault="00C240D3" w:rsidP="005E30F7">
            <w:pPr>
              <w:pStyle w:val="ECCTabletext"/>
              <w:keepNext w:val="0"/>
              <w:widowControl w:val="0"/>
            </w:pPr>
            <w:r w:rsidRPr="00B31E71">
              <w:t>-83.4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33366203" w14:textId="77777777" w:rsidR="00C240D3" w:rsidRPr="00B31E71" w:rsidRDefault="00C240D3" w:rsidP="005E30F7">
            <w:pPr>
              <w:pStyle w:val="ECCTabletext"/>
              <w:keepNext w:val="0"/>
              <w:widowControl w:val="0"/>
            </w:pPr>
            <w:r w:rsidRPr="00B31E71">
              <w:t>-83.4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485ADED6" w14:textId="77777777" w:rsidR="00C240D3" w:rsidRPr="00B31E71" w:rsidRDefault="00C240D3" w:rsidP="005E30F7">
            <w:pPr>
              <w:pStyle w:val="ECCTabletext"/>
              <w:keepNext w:val="0"/>
              <w:widowControl w:val="0"/>
            </w:pPr>
            <w:r w:rsidRPr="00B31E71">
              <w:t>-83.4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61239819" w14:textId="77777777" w:rsidR="00C240D3" w:rsidRPr="00B31E71" w:rsidRDefault="00C240D3" w:rsidP="005E30F7">
            <w:pPr>
              <w:pStyle w:val="ECCTabletext"/>
              <w:keepNext w:val="0"/>
              <w:widowControl w:val="0"/>
            </w:pPr>
            <w:r w:rsidRPr="00B31E71">
              <w:t>-83.4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2D8EE78D" w14:textId="77777777" w:rsidR="00C240D3" w:rsidRPr="00B31E71" w:rsidRDefault="00C240D3" w:rsidP="005E30F7">
            <w:pPr>
              <w:pStyle w:val="ECCTabletext"/>
              <w:keepNext w:val="0"/>
              <w:widowControl w:val="0"/>
            </w:pPr>
            <w:r w:rsidRPr="00B31E71">
              <w:t>-83.4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5E55D859" w14:textId="77777777" w:rsidR="00C240D3" w:rsidRPr="00B31E71" w:rsidRDefault="00C240D3" w:rsidP="005E30F7">
            <w:pPr>
              <w:pStyle w:val="ECCTabletext"/>
              <w:keepNext w:val="0"/>
              <w:widowControl w:val="0"/>
            </w:pPr>
            <w:r w:rsidRPr="00B31E71">
              <w:t>-83.4</w:t>
            </w:r>
          </w:p>
        </w:tc>
      </w:tr>
      <w:tr w:rsidR="00C240D3" w:rsidRPr="00B31E71" w14:paraId="6A04E6E5" w14:textId="77777777" w:rsidTr="008D791D">
        <w:trPr>
          <w:trHeight w:val="59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73BA4D71" w14:textId="77777777" w:rsidR="00C240D3" w:rsidRPr="00B31E71" w:rsidRDefault="00C240D3" w:rsidP="005E30F7">
            <w:pPr>
              <w:pStyle w:val="ECCTabletext"/>
              <w:keepNext w:val="0"/>
              <w:widowControl w:val="0"/>
            </w:pPr>
            <w:r w:rsidRPr="007F3002">
              <w:t>(5)</w:t>
            </w:r>
          </w:p>
        </w:tc>
        <w:tc>
          <w:tcPr>
            <w:tcW w:w="2424" w:type="dxa"/>
            <w:tcBorders>
              <w:top w:val="single" w:sz="4" w:space="0" w:color="D2232A"/>
              <w:left w:val="single" w:sz="4" w:space="0" w:color="D2232A"/>
              <w:bottom w:val="single" w:sz="4" w:space="0" w:color="D2232A"/>
              <w:right w:val="single" w:sz="4" w:space="0" w:color="D2232A"/>
            </w:tcBorders>
            <w:vAlign w:val="center"/>
            <w:hideMark/>
          </w:tcPr>
          <w:p w14:paraId="4D39E4CE" w14:textId="77777777" w:rsidR="00C240D3" w:rsidRPr="00B31E71" w:rsidRDefault="00C240D3" w:rsidP="005E30F7">
            <w:pPr>
              <w:pStyle w:val="ECCTabletext"/>
              <w:keepNext w:val="0"/>
              <w:widowControl w:val="0"/>
            </w:pPr>
            <w:r w:rsidRPr="00B31E71">
              <w:t>Required EIRP at the satellite</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410B9D4F" w14:textId="77777777" w:rsidR="00C240D3" w:rsidRPr="00B31E71" w:rsidRDefault="00C240D3" w:rsidP="005E30F7">
            <w:pPr>
              <w:pStyle w:val="ECCTabletext"/>
              <w:keepNext w:val="0"/>
              <w:widowControl w:val="0"/>
            </w:pPr>
            <w:r w:rsidRPr="00B31E71">
              <w:t>(4) + FSPL</w:t>
            </w:r>
          </w:p>
        </w:tc>
        <w:tc>
          <w:tcPr>
            <w:tcW w:w="857" w:type="dxa"/>
            <w:tcBorders>
              <w:top w:val="single" w:sz="4" w:space="0" w:color="D2232A"/>
              <w:left w:val="single" w:sz="4" w:space="0" w:color="D2232A"/>
              <w:bottom w:val="single" w:sz="4" w:space="0" w:color="D2232A"/>
              <w:right w:val="single" w:sz="4" w:space="0" w:color="D2232A"/>
            </w:tcBorders>
            <w:vAlign w:val="center"/>
            <w:hideMark/>
          </w:tcPr>
          <w:p w14:paraId="759EBDCE" w14:textId="77777777" w:rsidR="00C240D3" w:rsidRPr="00B31E71" w:rsidRDefault="00C240D3" w:rsidP="005E30F7">
            <w:pPr>
              <w:pStyle w:val="ECCTabletext"/>
              <w:keepNext w:val="0"/>
              <w:widowControl w:val="0"/>
            </w:pPr>
            <w:r w:rsidRPr="00B31E71">
              <w:t>65.9</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65E48D6E" w14:textId="77777777" w:rsidR="00C240D3" w:rsidRPr="00B31E71" w:rsidRDefault="00C240D3" w:rsidP="005E30F7">
            <w:pPr>
              <w:pStyle w:val="ECCTabletext"/>
              <w:keepNext w:val="0"/>
              <w:widowControl w:val="0"/>
            </w:pPr>
            <w:r w:rsidRPr="00B31E71">
              <w:t>72.6</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0C12B012" w14:textId="77777777" w:rsidR="00C240D3" w:rsidRPr="00B31E71" w:rsidRDefault="00C240D3" w:rsidP="005E30F7">
            <w:pPr>
              <w:pStyle w:val="ECCTabletext"/>
              <w:keepNext w:val="0"/>
              <w:widowControl w:val="0"/>
            </w:pPr>
            <w:r w:rsidRPr="00B31E71">
              <w:t>73.9</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43F966B9" w14:textId="77777777" w:rsidR="00C240D3" w:rsidRPr="00B31E71" w:rsidRDefault="00C240D3" w:rsidP="005E30F7">
            <w:pPr>
              <w:pStyle w:val="ECCTabletext"/>
              <w:keepNext w:val="0"/>
              <w:widowControl w:val="0"/>
            </w:pPr>
            <w:r w:rsidRPr="00B31E71">
              <w:t>75.7</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51E6AC49" w14:textId="77777777" w:rsidR="00C240D3" w:rsidRPr="00B31E71" w:rsidRDefault="00C240D3" w:rsidP="005E30F7">
            <w:pPr>
              <w:pStyle w:val="ECCTabletext"/>
              <w:keepNext w:val="0"/>
              <w:widowControl w:val="0"/>
            </w:pPr>
            <w:r w:rsidRPr="00B31E71">
              <w:t>77.3</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196C47A3" w14:textId="77777777" w:rsidR="00C240D3" w:rsidRPr="00B31E71" w:rsidRDefault="00C240D3" w:rsidP="005E30F7">
            <w:pPr>
              <w:pStyle w:val="ECCTabletext"/>
              <w:keepNext w:val="0"/>
              <w:widowControl w:val="0"/>
            </w:pPr>
            <w:r w:rsidRPr="00B31E71">
              <w:t>79.9</w:t>
            </w:r>
          </w:p>
        </w:tc>
      </w:tr>
      <w:tr w:rsidR="00C240D3" w:rsidRPr="00B31E71" w14:paraId="7808FBF2" w14:textId="77777777" w:rsidTr="008D791D">
        <w:trPr>
          <w:trHeight w:val="669"/>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591ABF40" w14:textId="77777777" w:rsidR="00C240D3" w:rsidRPr="00B31E71" w:rsidRDefault="00C240D3" w:rsidP="005E30F7">
            <w:pPr>
              <w:pStyle w:val="ECCTabletext"/>
            </w:pPr>
            <w:r w:rsidRPr="007F3002">
              <w:t>(6)</w:t>
            </w:r>
          </w:p>
        </w:tc>
        <w:tc>
          <w:tcPr>
            <w:tcW w:w="2424" w:type="dxa"/>
            <w:tcBorders>
              <w:top w:val="single" w:sz="4" w:space="0" w:color="D2232A"/>
              <w:left w:val="single" w:sz="4" w:space="0" w:color="D2232A"/>
              <w:bottom w:val="single" w:sz="4" w:space="0" w:color="D2232A"/>
              <w:right w:val="single" w:sz="4" w:space="0" w:color="D2232A"/>
            </w:tcBorders>
            <w:vAlign w:val="center"/>
            <w:hideMark/>
          </w:tcPr>
          <w:p w14:paraId="7227CED7" w14:textId="77777777" w:rsidR="00C240D3" w:rsidRPr="00B31E71" w:rsidRDefault="00C240D3" w:rsidP="005E30F7">
            <w:pPr>
              <w:pStyle w:val="ECCTabletext"/>
            </w:pPr>
            <w:r w:rsidRPr="00B31E71">
              <w:t>Required satellite conducted power</w:t>
            </w:r>
          </w:p>
        </w:tc>
        <w:tc>
          <w:tcPr>
            <w:tcW w:w="1917" w:type="dxa"/>
            <w:tcBorders>
              <w:top w:val="single" w:sz="4" w:space="0" w:color="D2232A"/>
              <w:left w:val="single" w:sz="4" w:space="0" w:color="D2232A"/>
              <w:bottom w:val="single" w:sz="4" w:space="0" w:color="D2232A"/>
              <w:right w:val="single" w:sz="4" w:space="0" w:color="D2232A"/>
            </w:tcBorders>
            <w:vAlign w:val="center"/>
            <w:hideMark/>
          </w:tcPr>
          <w:p w14:paraId="7C371114" w14:textId="77777777" w:rsidR="00C240D3" w:rsidRPr="00B31E71" w:rsidRDefault="00C240D3" w:rsidP="005E30F7">
            <w:pPr>
              <w:pStyle w:val="ECCTabletext"/>
            </w:pPr>
            <w:r w:rsidRPr="00B31E71">
              <w:t>(5) - G_SAT</w:t>
            </w:r>
          </w:p>
        </w:tc>
        <w:tc>
          <w:tcPr>
            <w:tcW w:w="857" w:type="dxa"/>
            <w:tcBorders>
              <w:top w:val="single" w:sz="4" w:space="0" w:color="D2232A"/>
              <w:left w:val="single" w:sz="4" w:space="0" w:color="D2232A"/>
              <w:bottom w:val="single" w:sz="4" w:space="0" w:color="D2232A"/>
              <w:right w:val="single" w:sz="4" w:space="0" w:color="D2232A"/>
            </w:tcBorders>
            <w:vAlign w:val="center"/>
            <w:hideMark/>
          </w:tcPr>
          <w:p w14:paraId="67971995" w14:textId="77777777" w:rsidR="00C240D3" w:rsidRPr="00B31E71" w:rsidRDefault="00C240D3" w:rsidP="005E30F7">
            <w:pPr>
              <w:pStyle w:val="ECCTabletext"/>
            </w:pPr>
            <w:r w:rsidRPr="00B31E71">
              <w:rPr>
                <w:color w:val="000000" w:themeColor="text1"/>
              </w:rPr>
              <w:t>41.6</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2ABD69EF" w14:textId="77777777" w:rsidR="00C240D3" w:rsidRPr="00B31E71" w:rsidRDefault="00C240D3" w:rsidP="005E30F7">
            <w:pPr>
              <w:pStyle w:val="ECCTabletext"/>
            </w:pPr>
            <w:r w:rsidRPr="00B31E71">
              <w:rPr>
                <w:color w:val="000000" w:themeColor="text1"/>
              </w:rPr>
              <w:t>40</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3F95B284" w14:textId="77777777" w:rsidR="00C240D3" w:rsidRPr="00B31E71" w:rsidRDefault="00C240D3" w:rsidP="005E30F7">
            <w:pPr>
              <w:pStyle w:val="ECCTabletext"/>
            </w:pPr>
            <w:r w:rsidRPr="00B31E71">
              <w:t>41.4</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6CEE50BC" w14:textId="77777777" w:rsidR="00C240D3" w:rsidRPr="00B31E71" w:rsidRDefault="00C240D3" w:rsidP="005E30F7">
            <w:pPr>
              <w:pStyle w:val="ECCTabletext"/>
            </w:pPr>
            <w:r w:rsidRPr="00B31E71">
              <w:rPr>
                <w:color w:val="000000" w:themeColor="text1"/>
              </w:rPr>
              <w:t>43.2</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0D9C33E3" w14:textId="77777777" w:rsidR="00C240D3" w:rsidRPr="00B31E71" w:rsidRDefault="00C240D3" w:rsidP="005E30F7">
            <w:pPr>
              <w:pStyle w:val="ECCTabletext"/>
            </w:pPr>
            <w:r w:rsidRPr="00B31E71">
              <w:rPr>
                <w:color w:val="000000" w:themeColor="text1"/>
              </w:rPr>
              <w:t>44.8</w:t>
            </w:r>
          </w:p>
        </w:tc>
        <w:tc>
          <w:tcPr>
            <w:tcW w:w="877" w:type="dxa"/>
            <w:tcBorders>
              <w:top w:val="single" w:sz="4" w:space="0" w:color="D2232A"/>
              <w:left w:val="single" w:sz="4" w:space="0" w:color="D2232A"/>
              <w:bottom w:val="single" w:sz="4" w:space="0" w:color="D2232A"/>
              <w:right w:val="single" w:sz="4" w:space="0" w:color="D2232A"/>
            </w:tcBorders>
            <w:vAlign w:val="center"/>
            <w:hideMark/>
          </w:tcPr>
          <w:p w14:paraId="3C7F3B0B" w14:textId="77777777" w:rsidR="00C240D3" w:rsidRPr="00B31E71" w:rsidRDefault="00C240D3" w:rsidP="005E30F7">
            <w:pPr>
              <w:pStyle w:val="ECCTabletext"/>
            </w:pPr>
            <w:r w:rsidRPr="00B31E71">
              <w:rPr>
                <w:color w:val="000000" w:themeColor="text1"/>
              </w:rPr>
              <w:t>43.9</w:t>
            </w:r>
          </w:p>
        </w:tc>
      </w:tr>
    </w:tbl>
    <w:p w14:paraId="0BB662C9" w14:textId="77777777" w:rsidR="00C240D3" w:rsidRDefault="00C240D3" w:rsidP="00C240D3">
      <w:pPr>
        <w:pStyle w:val="ECCAnnexheading2"/>
      </w:pPr>
      <w:r>
        <w:br w:type="page"/>
      </w:r>
    </w:p>
    <w:p w14:paraId="6EF873D6" w14:textId="77777777" w:rsidR="00C240D3" w:rsidRDefault="00C240D3" w:rsidP="00C240D3">
      <w:pPr>
        <w:pStyle w:val="ECCAnnexheading2"/>
      </w:pPr>
      <w:bookmarkStart w:id="46" w:name="_Toc230352067"/>
      <w:r w:rsidRPr="00D13D85">
        <w:lastRenderedPageBreak/>
        <w:t>earth to space</w:t>
      </w:r>
      <w:bookmarkEnd w:id="46"/>
    </w:p>
    <w:p w14:paraId="4C80C922" w14:textId="77777777" w:rsidR="00C240D3" w:rsidRPr="00053886" w:rsidRDefault="00C240D3" w:rsidP="00C240D3">
      <w:pPr>
        <w:pStyle w:val="ECCAnnexheading3"/>
      </w:pPr>
      <w:r>
        <w:t>Assumptions</w:t>
      </w:r>
    </w:p>
    <w:p w14:paraId="03B108E1" w14:textId="77777777" w:rsidR="00C240D3" w:rsidRDefault="00C240D3" w:rsidP="00C240D3">
      <w:r>
        <w:t>The D2D-IMT system is designed around the following center scenario:</w:t>
      </w:r>
    </w:p>
    <w:p w14:paraId="39AE45F4" w14:textId="77777777" w:rsidR="00C240D3" w:rsidRDefault="00C240D3" w:rsidP="00C240D3">
      <w:pPr>
        <w:pStyle w:val="ECCBulletsLv1"/>
        <w:spacing w:line="288" w:lineRule="auto"/>
        <w:contextualSpacing/>
        <w:rPr>
          <w:lang w:val="en-US"/>
        </w:rPr>
      </w:pPr>
      <w:r>
        <w:rPr>
          <w:lang w:val="en-US"/>
        </w:rPr>
        <w:t>Body loss = 4dB;</w:t>
      </w:r>
    </w:p>
    <w:p w14:paraId="6DBE6D8A" w14:textId="77777777" w:rsidR="00C240D3" w:rsidRPr="00A36F8F" w:rsidRDefault="00C240D3" w:rsidP="00C240D3">
      <w:pPr>
        <w:pStyle w:val="ECCBulletsLv1"/>
        <w:spacing w:line="288" w:lineRule="auto"/>
        <w:contextualSpacing/>
        <w:rPr>
          <w:lang w:val="en-US"/>
        </w:rPr>
      </w:pPr>
      <w:r>
        <w:rPr>
          <w:lang w:val="en-US"/>
        </w:rPr>
        <w:t>Considering a bandwidth of 180kHz (1 resource block emission from the UE);</w:t>
      </w:r>
    </w:p>
    <w:p w14:paraId="3D7D4769" w14:textId="271890C3" w:rsidR="00C240D3" w:rsidRPr="00514494" w:rsidRDefault="00C240D3" w:rsidP="00C240D3">
      <w:pPr>
        <w:pStyle w:val="ECCBulletsLv1"/>
        <w:spacing w:line="288" w:lineRule="auto"/>
        <w:contextualSpacing/>
        <w:rPr>
          <w:lang w:val="en-US"/>
        </w:rPr>
      </w:pPr>
      <w:r>
        <w:rPr>
          <w:lang w:val="en-US"/>
        </w:rPr>
        <w:t>Satellite noise level = 10log(kTB) = -117.6</w:t>
      </w:r>
      <w:r w:rsidR="005E2EDC">
        <w:rPr>
          <w:lang w:val="en-US"/>
        </w:rPr>
        <w:t xml:space="preserve"> </w:t>
      </w:r>
      <w:r>
        <w:rPr>
          <w:lang w:val="en-US"/>
        </w:rPr>
        <w:t>dBm/180</w:t>
      </w:r>
      <w:r w:rsidR="005E2EDC">
        <w:rPr>
          <w:lang w:val="en-US"/>
        </w:rPr>
        <w:t xml:space="preserve"> </w:t>
      </w:r>
      <w:r>
        <w:rPr>
          <w:lang w:val="en-US"/>
        </w:rPr>
        <w:t>kHz (with T = 700K and B = 180</w:t>
      </w:r>
      <w:r w:rsidR="005E2EDC">
        <w:rPr>
          <w:lang w:val="en-US"/>
        </w:rPr>
        <w:t xml:space="preserve"> </w:t>
      </w:r>
      <w:r>
        <w:rPr>
          <w:lang w:val="en-US"/>
        </w:rPr>
        <w:t>kHz).</w:t>
      </w:r>
    </w:p>
    <w:p w14:paraId="0A295FCA" w14:textId="77777777" w:rsidR="00C240D3" w:rsidRPr="00D13D85" w:rsidRDefault="00C240D3" w:rsidP="00C240D3">
      <w:pPr>
        <w:pStyle w:val="ECCAnnexheading3"/>
      </w:pPr>
      <w:r w:rsidRPr="00D13D85">
        <w:t>Link budget</w:t>
      </w:r>
    </w:p>
    <w:p w14:paraId="704C7749" w14:textId="1C4CBF6E" w:rsidR="00C240D3" w:rsidRDefault="00010604" w:rsidP="00C240D3">
      <w:r>
        <w:fldChar w:fldCharType="begin"/>
      </w:r>
      <w:r>
        <w:instrText xml:space="preserve"> REF _Ref223605489 \h </w:instrText>
      </w:r>
      <w:r>
        <w:fldChar w:fldCharType="separate"/>
      </w:r>
      <w:r w:rsidRPr="004D48FE">
        <w:t xml:space="preserve">Table </w:t>
      </w:r>
      <w:r>
        <w:rPr>
          <w:noProof/>
        </w:rPr>
        <w:t>9</w:t>
      </w:r>
      <w:r>
        <w:fldChar w:fldCharType="end"/>
      </w:r>
      <w:r>
        <w:t xml:space="preserve"> </w:t>
      </w:r>
      <w:r w:rsidR="00C240D3">
        <w:t xml:space="preserve">and </w:t>
      </w:r>
      <w:r>
        <w:fldChar w:fldCharType="begin"/>
      </w:r>
      <w:r>
        <w:instrText xml:space="preserve"> REF _Ref230361505 \h </w:instrText>
      </w:r>
      <w:r>
        <w:fldChar w:fldCharType="separate"/>
      </w:r>
      <w:r w:rsidRPr="004D48FE">
        <w:t xml:space="preserve">Table </w:t>
      </w:r>
      <w:r>
        <w:rPr>
          <w:noProof/>
        </w:rPr>
        <w:t>10</w:t>
      </w:r>
      <w:r>
        <w:fldChar w:fldCharType="end"/>
      </w:r>
      <w:r>
        <w:t xml:space="preserve"> </w:t>
      </w:r>
      <w:r w:rsidR="00C240D3">
        <w:t>below present a representative earth-to-space link budget assuming the emission of the UE over 1 resource block (180</w:t>
      </w:r>
      <w:r w:rsidR="007623D9">
        <w:t xml:space="preserve"> </w:t>
      </w:r>
      <w:r w:rsidR="00C240D3">
        <w:t>kHz) in the different frequency bands considered at elevation 90</w:t>
      </w:r>
      <w:r w:rsidR="00C240D3" w:rsidRPr="00BC5732">
        <w:t>°</w:t>
      </w:r>
      <w:r w:rsidR="00C240D3">
        <w:t xml:space="preserve"> and 26</w:t>
      </w:r>
      <w:r w:rsidR="00C240D3" w:rsidRPr="00BC5732">
        <w:t>°</w:t>
      </w:r>
      <w:r w:rsidR="00C240D3">
        <w:t xml:space="preserve">, respectively. The equation </w:t>
      </w:r>
      <w:r w:rsidR="006E6DA9">
        <w:fldChar w:fldCharType="begin"/>
      </w:r>
      <w:r w:rsidR="006E6DA9">
        <w:instrText xml:space="preserve"> REF _Ref233290929 \h </w:instrText>
      </w:r>
      <w:r w:rsidR="006E6DA9">
        <w:fldChar w:fldCharType="separate"/>
      </w:r>
      <w:r w:rsidR="006E6DA9" w:rsidRPr="00B216B4">
        <w:t>(</w:t>
      </w:r>
      <w:r w:rsidR="006E6DA9">
        <w:rPr>
          <w:noProof/>
        </w:rPr>
        <w:t>4</w:t>
      </w:r>
      <w:r w:rsidR="006E6DA9" w:rsidRPr="00B216B4">
        <w:t>)</w:t>
      </w:r>
      <w:r w:rsidR="006E6DA9">
        <w:fldChar w:fldCharType="end"/>
      </w:r>
      <w:r w:rsidR="006E6DA9">
        <w:t xml:space="preserve"> </w:t>
      </w:r>
      <w:r w:rsidR="00C240D3">
        <w:t>was used: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8556"/>
        <w:gridCol w:w="461"/>
      </w:tblGrid>
      <w:tr w:rsidR="00C240D3" w:rsidRPr="00B216B4" w14:paraId="780E09B0" w14:textId="77777777" w:rsidTr="005E30F7">
        <w:tc>
          <w:tcPr>
            <w:tcW w:w="323" w:type="pct"/>
          </w:tcPr>
          <w:p w14:paraId="4089207C" w14:textId="77777777" w:rsidR="00C240D3" w:rsidRPr="00B216B4" w:rsidRDefault="00C240D3" w:rsidP="005E30F7">
            <w:pPr>
              <w:spacing w:before="120" w:after="120"/>
            </w:pPr>
          </w:p>
        </w:tc>
        <w:tc>
          <w:tcPr>
            <w:tcW w:w="4438" w:type="pct"/>
          </w:tcPr>
          <w:p w14:paraId="67AFFD5A" w14:textId="77777777" w:rsidR="00C240D3" w:rsidRPr="00B216B4" w:rsidRDefault="00C240D3" w:rsidP="005E30F7">
            <w:pPr>
              <w:spacing w:before="120" w:after="120"/>
            </w:pPr>
            <m:oMathPara>
              <m:oMathParaPr>
                <m:jc m:val="center"/>
              </m:oMathParaPr>
              <m:oMath>
                <m:r>
                  <m:rPr>
                    <m:sty m:val="p"/>
                  </m:rPr>
                  <w:rPr>
                    <w:rFonts w:ascii="Cambria Math" w:hAnsi="Cambria Math"/>
                  </w:rPr>
                  <m:t>SINR=TxRP_UE+BL+PL+G_SAT-N_SAT</m:t>
                </m:r>
              </m:oMath>
            </m:oMathPara>
          </w:p>
        </w:tc>
        <w:tc>
          <w:tcPr>
            <w:tcW w:w="239" w:type="pct"/>
          </w:tcPr>
          <w:p w14:paraId="65974A66" w14:textId="2297ACE6" w:rsidR="00C240D3" w:rsidRPr="00B216B4" w:rsidRDefault="00C240D3" w:rsidP="005E30F7">
            <w:pPr>
              <w:spacing w:before="120" w:after="120"/>
              <w:jc w:val="right"/>
            </w:pPr>
            <w:bookmarkStart w:id="47" w:name="_Ref233290929"/>
            <w:r w:rsidRPr="00B216B4">
              <w:t>(</w:t>
            </w:r>
            <w:r>
              <w:fldChar w:fldCharType="begin"/>
            </w:r>
            <w:r>
              <w:instrText xml:space="preserve"> SEQ Equation \* ARABIC </w:instrText>
            </w:r>
            <w:r>
              <w:fldChar w:fldCharType="separate"/>
            </w:r>
            <w:r w:rsidR="007623D9">
              <w:rPr>
                <w:noProof/>
              </w:rPr>
              <w:t>4</w:t>
            </w:r>
            <w:r>
              <w:rPr>
                <w:noProof/>
              </w:rPr>
              <w:fldChar w:fldCharType="end"/>
            </w:r>
            <w:r w:rsidRPr="00B216B4">
              <w:t>)</w:t>
            </w:r>
            <w:bookmarkEnd w:id="47"/>
          </w:p>
        </w:tc>
      </w:tr>
    </w:tbl>
    <w:p w14:paraId="23E8EED4" w14:textId="77777777" w:rsidR="00C240D3" w:rsidRDefault="00C240D3" w:rsidP="00004BD3">
      <w:pPr>
        <w:spacing w:before="240" w:after="60"/>
      </w:pPr>
      <w:r>
        <w:t>where:</w:t>
      </w:r>
    </w:p>
    <w:p w14:paraId="3A1F08CB" w14:textId="77777777" w:rsidR="00C240D3" w:rsidRPr="00111768" w:rsidRDefault="00C240D3" w:rsidP="00C240D3">
      <w:pPr>
        <w:pStyle w:val="ECCBulletsLv1"/>
        <w:ind w:left="357" w:hanging="357"/>
      </w:pPr>
      <w:r>
        <w:t xml:space="preserve">TxRP_UE is the Radiated Transmit </w:t>
      </w:r>
      <w:r w:rsidRPr="00111768">
        <w:t>power of the WBB ECS User Equipment (dBm);</w:t>
      </w:r>
    </w:p>
    <w:p w14:paraId="53A11C0D" w14:textId="77777777" w:rsidR="00C240D3" w:rsidRPr="00111768" w:rsidRDefault="00C240D3" w:rsidP="00C240D3">
      <w:pPr>
        <w:pStyle w:val="ECCBulletsLv1"/>
        <w:ind w:left="357" w:hanging="357"/>
      </w:pPr>
      <w:r w:rsidRPr="00111768">
        <w:t>BL is the terrestrial Loss (dB);</w:t>
      </w:r>
    </w:p>
    <w:p w14:paraId="66BE036D" w14:textId="77777777" w:rsidR="00C240D3" w:rsidRDefault="00C240D3" w:rsidP="00C240D3">
      <w:pPr>
        <w:pStyle w:val="ECCBulletsLv1"/>
        <w:ind w:left="357" w:hanging="357"/>
      </w:pPr>
      <w:r w:rsidRPr="008E3115">
        <w:t xml:space="preserve">PL is the pathloss from the </w:t>
      </w:r>
      <w:r>
        <w:t>ground</w:t>
      </w:r>
      <w:r w:rsidRPr="008E3115">
        <w:t xml:space="preserve"> to the </w:t>
      </w:r>
      <w:r>
        <w:t>satellite</w:t>
      </w:r>
      <w:r w:rsidRPr="008E3115">
        <w:t xml:space="preserve"> (dB)</w:t>
      </w:r>
      <w:r>
        <w:t>;</w:t>
      </w:r>
    </w:p>
    <w:p w14:paraId="22964B3C" w14:textId="77777777" w:rsidR="00C240D3" w:rsidRPr="008E3115" w:rsidRDefault="00C240D3" w:rsidP="00C240D3">
      <w:pPr>
        <w:pStyle w:val="ECCBulletsLv1"/>
        <w:ind w:left="357" w:hanging="357"/>
      </w:pPr>
      <w:r>
        <w:t>G_SAT</w:t>
      </w:r>
      <w:r w:rsidRPr="008E3115">
        <w:t xml:space="preserve"> is the antenna gain of the satellite (dBi</w:t>
      </w:r>
      <w:r>
        <w:t>);</w:t>
      </w:r>
    </w:p>
    <w:p w14:paraId="7AD10014" w14:textId="77777777" w:rsidR="00C240D3" w:rsidRPr="00F37921" w:rsidRDefault="00C240D3" w:rsidP="00C240D3">
      <w:pPr>
        <w:pStyle w:val="ECCBulletsLv1"/>
        <w:ind w:left="357" w:hanging="357"/>
      </w:pPr>
      <w:r w:rsidRPr="00F37921">
        <w:t>N_SAT Satellite noise level (dBm).</w:t>
      </w:r>
    </w:p>
    <w:p w14:paraId="3EFD03D0" w14:textId="77777777" w:rsidR="00C240D3" w:rsidRDefault="00C240D3" w:rsidP="00C240D3">
      <w:pPr>
        <w:pStyle w:val="Caption"/>
      </w:pPr>
      <w:bookmarkStart w:id="48" w:name="_Ref223605489"/>
      <w:r w:rsidRPr="004D48FE">
        <w:t xml:space="preserve">Table </w:t>
      </w:r>
      <w:r w:rsidRPr="00566DA4">
        <w:fldChar w:fldCharType="begin"/>
      </w:r>
      <w:r w:rsidRPr="004D48FE">
        <w:instrText xml:space="preserve"> SEQ Table \* ARABIC </w:instrText>
      </w:r>
      <w:r w:rsidRPr="00566DA4">
        <w:fldChar w:fldCharType="separate"/>
      </w:r>
      <w:r>
        <w:rPr>
          <w:noProof/>
        </w:rPr>
        <w:t>9</w:t>
      </w:r>
      <w:r w:rsidRPr="00566DA4">
        <w:fldChar w:fldCharType="end"/>
      </w:r>
      <w:bookmarkEnd w:id="48"/>
      <w:r w:rsidRPr="004D48FE">
        <w:t xml:space="preserve">: </w:t>
      </w:r>
      <w:r>
        <w:t>Representative Earth-to-space Link Budget @EL 90</w:t>
      </w:r>
      <w:r w:rsidRPr="00865487">
        <w:t>°</w:t>
      </w:r>
    </w:p>
    <w:tbl>
      <w:tblPr>
        <w:tblW w:w="9980" w:type="dxa"/>
        <w:tblLook w:val="04A0" w:firstRow="1" w:lastRow="0" w:firstColumn="1" w:lastColumn="0" w:noHBand="0" w:noVBand="1"/>
      </w:tblPr>
      <w:tblGrid>
        <w:gridCol w:w="557"/>
        <w:gridCol w:w="2552"/>
        <w:gridCol w:w="1417"/>
        <w:gridCol w:w="851"/>
        <w:gridCol w:w="992"/>
        <w:gridCol w:w="851"/>
        <w:gridCol w:w="992"/>
        <w:gridCol w:w="850"/>
        <w:gridCol w:w="918"/>
      </w:tblGrid>
      <w:tr w:rsidR="00C240D3" w:rsidRPr="006717DB" w14:paraId="162C8E99" w14:textId="77777777" w:rsidTr="00F97512">
        <w:trPr>
          <w:trHeight w:val="280"/>
        </w:trPr>
        <w:tc>
          <w:tcPr>
            <w:tcW w:w="4526" w:type="dxa"/>
            <w:gridSpan w:val="3"/>
            <w:vMerge w:val="restart"/>
            <w:tcBorders>
              <w:top w:val="single" w:sz="8" w:space="0" w:color="D22A23"/>
              <w:left w:val="single" w:sz="8" w:space="0" w:color="FF0000"/>
              <w:bottom w:val="single" w:sz="8" w:space="0" w:color="FFFFFF"/>
              <w:right w:val="single" w:sz="8" w:space="0" w:color="FFFFFF"/>
            </w:tcBorders>
            <w:shd w:val="clear" w:color="000000" w:fill="D22A23"/>
            <w:vAlign w:val="center"/>
            <w:hideMark/>
          </w:tcPr>
          <w:p w14:paraId="0B8828D8" w14:textId="77777777" w:rsidR="00C240D3" w:rsidRPr="00F97512" w:rsidRDefault="00C240D3" w:rsidP="005E30F7">
            <w:pPr>
              <w:pStyle w:val="ECCTableHeaderwhitefont"/>
              <w:rPr>
                <w:b/>
                <w:bCs w:val="0"/>
              </w:rPr>
            </w:pPr>
            <w:r w:rsidRPr="00F97512">
              <w:rPr>
                <w:b/>
                <w:bCs w:val="0"/>
              </w:rPr>
              <w:t> </w:t>
            </w:r>
          </w:p>
        </w:tc>
        <w:tc>
          <w:tcPr>
            <w:tcW w:w="5454" w:type="dxa"/>
            <w:gridSpan w:val="6"/>
            <w:tcBorders>
              <w:top w:val="single" w:sz="8" w:space="0" w:color="D22A23"/>
              <w:left w:val="nil"/>
              <w:bottom w:val="nil"/>
              <w:right w:val="single" w:sz="8" w:space="0" w:color="FFFFFF"/>
            </w:tcBorders>
            <w:shd w:val="clear" w:color="000000" w:fill="D22A23"/>
            <w:vAlign w:val="center"/>
            <w:hideMark/>
          </w:tcPr>
          <w:p w14:paraId="019397A0" w14:textId="77777777" w:rsidR="00C240D3" w:rsidRPr="00F97512" w:rsidRDefault="00C240D3" w:rsidP="005E30F7">
            <w:pPr>
              <w:pStyle w:val="ECCTableHeaderwhitefont"/>
              <w:rPr>
                <w:b/>
                <w:bCs w:val="0"/>
              </w:rPr>
            </w:pPr>
            <w:r w:rsidRPr="00F97512">
              <w:rPr>
                <w:b/>
                <w:bCs w:val="0"/>
              </w:rPr>
              <w:t>Power (dBm)</w:t>
            </w:r>
          </w:p>
        </w:tc>
      </w:tr>
      <w:tr w:rsidR="00C240D3" w:rsidRPr="006717DB" w14:paraId="68448303" w14:textId="77777777" w:rsidTr="00F97512">
        <w:trPr>
          <w:trHeight w:val="290"/>
        </w:trPr>
        <w:tc>
          <w:tcPr>
            <w:tcW w:w="4526" w:type="dxa"/>
            <w:gridSpan w:val="3"/>
            <w:vMerge/>
            <w:tcBorders>
              <w:top w:val="single" w:sz="8" w:space="0" w:color="D22A23"/>
              <w:left w:val="single" w:sz="8" w:space="0" w:color="FF0000"/>
              <w:bottom w:val="single" w:sz="8" w:space="0" w:color="FFFFFF"/>
              <w:right w:val="single" w:sz="8" w:space="0" w:color="FFFFFF"/>
            </w:tcBorders>
            <w:vAlign w:val="center"/>
            <w:hideMark/>
          </w:tcPr>
          <w:p w14:paraId="46674346" w14:textId="77777777" w:rsidR="00C240D3" w:rsidRPr="00004BD3" w:rsidRDefault="00C240D3" w:rsidP="005E30F7">
            <w:pPr>
              <w:pStyle w:val="ECCTableHeaderwhitefont"/>
              <w:rPr>
                <w:b/>
                <w:bCs w:val="0"/>
              </w:rPr>
            </w:pPr>
          </w:p>
        </w:tc>
        <w:tc>
          <w:tcPr>
            <w:tcW w:w="5454" w:type="dxa"/>
            <w:gridSpan w:val="6"/>
            <w:tcBorders>
              <w:top w:val="nil"/>
              <w:left w:val="nil"/>
              <w:bottom w:val="single" w:sz="8" w:space="0" w:color="FFFFFF"/>
              <w:right w:val="single" w:sz="8" w:space="0" w:color="FFFFFF"/>
            </w:tcBorders>
            <w:shd w:val="clear" w:color="000000" w:fill="D22A23"/>
            <w:vAlign w:val="center"/>
            <w:hideMark/>
          </w:tcPr>
          <w:p w14:paraId="028CA28C" w14:textId="77777777" w:rsidR="00C240D3" w:rsidRPr="00004BD3" w:rsidRDefault="00C240D3" w:rsidP="005E30F7">
            <w:pPr>
              <w:pStyle w:val="ECCTableHeaderwhitefont"/>
              <w:rPr>
                <w:b/>
                <w:bCs w:val="0"/>
              </w:rPr>
            </w:pPr>
            <w:r w:rsidRPr="00004BD3">
              <w:rPr>
                <w:b/>
                <w:bCs w:val="0"/>
              </w:rPr>
              <w:t>@El 90°</w:t>
            </w:r>
          </w:p>
        </w:tc>
      </w:tr>
      <w:tr w:rsidR="00C240D3" w:rsidRPr="006717DB" w14:paraId="7DEB0264" w14:textId="77777777" w:rsidTr="0020516D">
        <w:trPr>
          <w:trHeight w:val="290"/>
        </w:trPr>
        <w:tc>
          <w:tcPr>
            <w:tcW w:w="4526" w:type="dxa"/>
            <w:gridSpan w:val="3"/>
            <w:tcBorders>
              <w:top w:val="single" w:sz="8" w:space="0" w:color="FFFFFF"/>
              <w:left w:val="single" w:sz="8" w:space="0" w:color="FF0000"/>
              <w:bottom w:val="single" w:sz="4" w:space="0" w:color="D2232A"/>
              <w:right w:val="single" w:sz="8" w:space="0" w:color="FFFFFF"/>
            </w:tcBorders>
            <w:shd w:val="clear" w:color="000000" w:fill="D22A23"/>
            <w:vAlign w:val="center"/>
            <w:hideMark/>
          </w:tcPr>
          <w:p w14:paraId="2763061A" w14:textId="77777777" w:rsidR="00C240D3" w:rsidRPr="00F97512" w:rsidRDefault="00C240D3" w:rsidP="005E30F7">
            <w:pPr>
              <w:pStyle w:val="ECCTableHeaderwhitefont"/>
              <w:rPr>
                <w:b/>
                <w:bCs w:val="0"/>
              </w:rPr>
            </w:pPr>
            <w:r w:rsidRPr="00F97512">
              <w:rPr>
                <w:b/>
                <w:bCs w:val="0"/>
              </w:rPr>
              <w:t>Frequency (MHz)</w:t>
            </w:r>
          </w:p>
        </w:tc>
        <w:tc>
          <w:tcPr>
            <w:tcW w:w="851" w:type="dxa"/>
            <w:tcBorders>
              <w:top w:val="nil"/>
              <w:left w:val="nil"/>
              <w:bottom w:val="single" w:sz="4" w:space="0" w:color="D2232A"/>
              <w:right w:val="single" w:sz="8" w:space="0" w:color="FFFFFF"/>
            </w:tcBorders>
            <w:shd w:val="clear" w:color="000000" w:fill="D22A23"/>
            <w:vAlign w:val="center"/>
            <w:hideMark/>
          </w:tcPr>
          <w:p w14:paraId="1CEDCF2A" w14:textId="77777777" w:rsidR="00C240D3" w:rsidRPr="00F97512" w:rsidRDefault="00C240D3" w:rsidP="005E30F7">
            <w:pPr>
              <w:pStyle w:val="ECCTableHeaderwhitefont"/>
              <w:rPr>
                <w:b/>
                <w:bCs w:val="0"/>
              </w:rPr>
            </w:pPr>
            <w:r w:rsidRPr="00F97512">
              <w:rPr>
                <w:b/>
                <w:bCs w:val="0"/>
              </w:rPr>
              <w:t>700</w:t>
            </w:r>
          </w:p>
        </w:tc>
        <w:tc>
          <w:tcPr>
            <w:tcW w:w="992" w:type="dxa"/>
            <w:tcBorders>
              <w:top w:val="nil"/>
              <w:left w:val="nil"/>
              <w:bottom w:val="single" w:sz="4" w:space="0" w:color="D2232A"/>
              <w:right w:val="single" w:sz="8" w:space="0" w:color="FFFFFF"/>
            </w:tcBorders>
            <w:shd w:val="clear" w:color="000000" w:fill="D22A23"/>
            <w:vAlign w:val="center"/>
            <w:hideMark/>
          </w:tcPr>
          <w:p w14:paraId="6A314F2E" w14:textId="77777777" w:rsidR="00C240D3" w:rsidRPr="00F97512" w:rsidRDefault="00C240D3" w:rsidP="005E30F7">
            <w:pPr>
              <w:pStyle w:val="ECCTableHeaderwhitefont"/>
              <w:rPr>
                <w:b/>
                <w:bCs w:val="0"/>
              </w:rPr>
            </w:pPr>
            <w:r w:rsidRPr="00F97512">
              <w:rPr>
                <w:b/>
                <w:bCs w:val="0"/>
              </w:rPr>
              <w:t>1500</w:t>
            </w:r>
          </w:p>
        </w:tc>
        <w:tc>
          <w:tcPr>
            <w:tcW w:w="851" w:type="dxa"/>
            <w:tcBorders>
              <w:top w:val="nil"/>
              <w:left w:val="nil"/>
              <w:bottom w:val="single" w:sz="4" w:space="0" w:color="D2232A"/>
              <w:right w:val="single" w:sz="8" w:space="0" w:color="FFFFFF"/>
            </w:tcBorders>
            <w:shd w:val="clear" w:color="000000" w:fill="D22A23"/>
            <w:vAlign w:val="center"/>
            <w:hideMark/>
          </w:tcPr>
          <w:p w14:paraId="00B77826" w14:textId="77777777" w:rsidR="00C240D3" w:rsidRPr="00F97512" w:rsidRDefault="00C240D3" w:rsidP="005E30F7">
            <w:pPr>
              <w:pStyle w:val="ECCTableHeaderwhitefont"/>
              <w:rPr>
                <w:b/>
                <w:bCs w:val="0"/>
              </w:rPr>
            </w:pPr>
            <w:r w:rsidRPr="00F97512">
              <w:rPr>
                <w:b/>
                <w:bCs w:val="0"/>
              </w:rPr>
              <w:t>1750</w:t>
            </w:r>
          </w:p>
        </w:tc>
        <w:tc>
          <w:tcPr>
            <w:tcW w:w="992" w:type="dxa"/>
            <w:tcBorders>
              <w:top w:val="nil"/>
              <w:left w:val="nil"/>
              <w:bottom w:val="single" w:sz="4" w:space="0" w:color="D2232A"/>
              <w:right w:val="single" w:sz="8" w:space="0" w:color="FFFFFF"/>
            </w:tcBorders>
            <w:shd w:val="clear" w:color="000000" w:fill="D22A23"/>
            <w:vAlign w:val="center"/>
            <w:hideMark/>
          </w:tcPr>
          <w:p w14:paraId="1988F484" w14:textId="77777777" w:rsidR="00C240D3" w:rsidRPr="00F97512" w:rsidRDefault="00C240D3" w:rsidP="005E30F7">
            <w:pPr>
              <w:pStyle w:val="ECCTableHeaderwhitefont"/>
              <w:rPr>
                <w:b/>
                <w:bCs w:val="0"/>
              </w:rPr>
            </w:pPr>
            <w:r w:rsidRPr="00F97512">
              <w:rPr>
                <w:b/>
                <w:bCs w:val="0"/>
              </w:rPr>
              <w:t>2150</w:t>
            </w:r>
          </w:p>
        </w:tc>
        <w:tc>
          <w:tcPr>
            <w:tcW w:w="850" w:type="dxa"/>
            <w:tcBorders>
              <w:top w:val="nil"/>
              <w:left w:val="nil"/>
              <w:bottom w:val="single" w:sz="4" w:space="0" w:color="D2232A"/>
              <w:right w:val="single" w:sz="8" w:space="0" w:color="FFFFFF"/>
            </w:tcBorders>
            <w:shd w:val="clear" w:color="000000" w:fill="D22A23"/>
            <w:vAlign w:val="center"/>
            <w:hideMark/>
          </w:tcPr>
          <w:p w14:paraId="361933F6" w14:textId="77777777" w:rsidR="00C240D3" w:rsidRPr="00F97512" w:rsidRDefault="00C240D3" w:rsidP="005E30F7">
            <w:pPr>
              <w:pStyle w:val="ECCTableHeaderwhitefont"/>
              <w:rPr>
                <w:b/>
                <w:bCs w:val="0"/>
              </w:rPr>
            </w:pPr>
            <w:r w:rsidRPr="00F97512">
              <w:rPr>
                <w:b/>
                <w:bCs w:val="0"/>
              </w:rPr>
              <w:t>2600</w:t>
            </w:r>
          </w:p>
        </w:tc>
        <w:tc>
          <w:tcPr>
            <w:tcW w:w="918" w:type="dxa"/>
            <w:tcBorders>
              <w:top w:val="nil"/>
              <w:left w:val="nil"/>
              <w:bottom w:val="single" w:sz="4" w:space="0" w:color="D2232A"/>
              <w:right w:val="single" w:sz="8" w:space="0" w:color="FFFFFF"/>
            </w:tcBorders>
            <w:shd w:val="clear" w:color="000000" w:fill="D22A23"/>
            <w:vAlign w:val="center"/>
            <w:hideMark/>
          </w:tcPr>
          <w:p w14:paraId="7FEB38B2" w14:textId="77777777" w:rsidR="00C240D3" w:rsidRPr="00F97512" w:rsidRDefault="00C240D3" w:rsidP="005E30F7">
            <w:pPr>
              <w:pStyle w:val="ECCTableHeaderwhitefont"/>
              <w:rPr>
                <w:b/>
                <w:bCs w:val="0"/>
              </w:rPr>
            </w:pPr>
            <w:r w:rsidRPr="00F97512">
              <w:rPr>
                <w:b/>
                <w:bCs w:val="0"/>
              </w:rPr>
              <w:t>3600</w:t>
            </w:r>
          </w:p>
        </w:tc>
      </w:tr>
      <w:tr w:rsidR="00C240D3" w:rsidRPr="006717DB" w14:paraId="74EAF293" w14:textId="77777777" w:rsidTr="0020516D">
        <w:trPr>
          <w:trHeight w:val="509"/>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3BC7AEBD" w14:textId="77777777" w:rsidR="00C240D3" w:rsidRPr="00C13540" w:rsidRDefault="00C240D3" w:rsidP="00F97512">
            <w:pPr>
              <w:pStyle w:val="ECCTabletext"/>
              <w:spacing w:before="60"/>
            </w:pPr>
            <w:r w:rsidRPr="00C13540">
              <w:t>(1)</w:t>
            </w:r>
          </w:p>
        </w:tc>
        <w:tc>
          <w:tcPr>
            <w:tcW w:w="2552" w:type="dxa"/>
            <w:tcBorders>
              <w:top w:val="single" w:sz="4" w:space="0" w:color="D2232A"/>
              <w:left w:val="single" w:sz="4" w:space="0" w:color="D2232A"/>
              <w:bottom w:val="single" w:sz="4" w:space="0" w:color="D2232A"/>
              <w:right w:val="single" w:sz="4" w:space="0" w:color="D2232A"/>
            </w:tcBorders>
            <w:vAlign w:val="center"/>
            <w:hideMark/>
          </w:tcPr>
          <w:p w14:paraId="76875E9A" w14:textId="77777777" w:rsidR="00C240D3" w:rsidRPr="00C13540" w:rsidRDefault="00C240D3" w:rsidP="00F97512">
            <w:pPr>
              <w:pStyle w:val="ECCTabletext"/>
              <w:spacing w:before="60"/>
            </w:pPr>
            <w:r w:rsidRPr="00C13540">
              <w:t xml:space="preserve">UE Tx EIRP </w:t>
            </w:r>
          </w:p>
        </w:tc>
        <w:tc>
          <w:tcPr>
            <w:tcW w:w="1417" w:type="dxa"/>
            <w:tcBorders>
              <w:top w:val="single" w:sz="4" w:space="0" w:color="D2232A"/>
              <w:left w:val="single" w:sz="4" w:space="0" w:color="D2232A"/>
              <w:bottom w:val="single" w:sz="4" w:space="0" w:color="D2232A"/>
              <w:right w:val="single" w:sz="4" w:space="0" w:color="D2232A"/>
            </w:tcBorders>
            <w:vAlign w:val="center"/>
            <w:hideMark/>
          </w:tcPr>
          <w:p w14:paraId="424520E6" w14:textId="77777777" w:rsidR="00C240D3" w:rsidRPr="00C13540" w:rsidRDefault="00C240D3" w:rsidP="00F97512">
            <w:pPr>
              <w:pStyle w:val="ECCTabletext"/>
              <w:spacing w:before="60"/>
            </w:pPr>
            <w:r w:rsidRPr="00C13540">
              <w:t> </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710BE135" w14:textId="77777777" w:rsidR="00C240D3" w:rsidRPr="00C13540" w:rsidRDefault="00C240D3" w:rsidP="00F97512">
            <w:pPr>
              <w:pStyle w:val="ECCTabletext"/>
              <w:spacing w:before="60"/>
            </w:pPr>
            <w:r w:rsidRPr="00C13540">
              <w:t>23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6FCB9D4C" w14:textId="77777777" w:rsidR="00C240D3" w:rsidRPr="00C13540" w:rsidRDefault="00C240D3" w:rsidP="00F97512">
            <w:pPr>
              <w:pStyle w:val="ECCTabletext"/>
              <w:spacing w:before="60"/>
            </w:pPr>
            <w:r w:rsidRPr="00C13540">
              <w:t>23</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715E4DF0" w14:textId="77777777" w:rsidR="00C240D3" w:rsidRPr="00C13540" w:rsidRDefault="00C240D3" w:rsidP="00F97512">
            <w:pPr>
              <w:pStyle w:val="ECCTabletext"/>
              <w:spacing w:before="60"/>
            </w:pPr>
            <w:r w:rsidRPr="00C13540">
              <w:t>23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49E0EE97" w14:textId="77777777" w:rsidR="00C240D3" w:rsidRPr="00C13540" w:rsidRDefault="00C240D3" w:rsidP="00F97512">
            <w:pPr>
              <w:pStyle w:val="ECCTabletext"/>
              <w:spacing w:before="60"/>
            </w:pPr>
            <w:r w:rsidRPr="00C13540">
              <w:t>23</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52E012E" w14:textId="77777777" w:rsidR="00C240D3" w:rsidRPr="00C13540" w:rsidRDefault="00C240D3" w:rsidP="00F97512">
            <w:pPr>
              <w:pStyle w:val="ECCTabletext"/>
              <w:spacing w:before="60"/>
            </w:pPr>
            <w:r w:rsidRPr="00C13540">
              <w:t>23</w:t>
            </w:r>
          </w:p>
        </w:tc>
        <w:tc>
          <w:tcPr>
            <w:tcW w:w="918" w:type="dxa"/>
            <w:tcBorders>
              <w:top w:val="single" w:sz="4" w:space="0" w:color="D2232A"/>
              <w:left w:val="single" w:sz="4" w:space="0" w:color="D2232A"/>
              <w:bottom w:val="single" w:sz="4" w:space="0" w:color="D2232A"/>
              <w:right w:val="single" w:sz="4" w:space="0" w:color="D2232A"/>
            </w:tcBorders>
            <w:vAlign w:val="center"/>
            <w:hideMark/>
          </w:tcPr>
          <w:p w14:paraId="60F011E2" w14:textId="77777777" w:rsidR="00C240D3" w:rsidRPr="00C13540" w:rsidRDefault="00C240D3" w:rsidP="00F97512">
            <w:pPr>
              <w:pStyle w:val="ECCTabletext"/>
              <w:spacing w:before="60"/>
            </w:pPr>
            <w:r w:rsidRPr="00C13540">
              <w:t>23</w:t>
            </w:r>
          </w:p>
        </w:tc>
      </w:tr>
      <w:tr w:rsidR="00C240D3" w:rsidRPr="006717DB" w14:paraId="7210C327" w14:textId="77777777" w:rsidTr="0020516D">
        <w:trPr>
          <w:trHeight w:val="475"/>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7468EBAF" w14:textId="77777777" w:rsidR="00C240D3" w:rsidRPr="00C13540" w:rsidRDefault="00C240D3" w:rsidP="00F97512">
            <w:pPr>
              <w:pStyle w:val="ECCTabletext"/>
              <w:spacing w:before="60"/>
            </w:pPr>
            <w:r w:rsidRPr="00C13540">
              <w:t>(2)</w:t>
            </w:r>
          </w:p>
        </w:tc>
        <w:tc>
          <w:tcPr>
            <w:tcW w:w="2552" w:type="dxa"/>
            <w:tcBorders>
              <w:top w:val="single" w:sz="4" w:space="0" w:color="D2232A"/>
              <w:left w:val="single" w:sz="4" w:space="0" w:color="D2232A"/>
              <w:bottom w:val="single" w:sz="4" w:space="0" w:color="D2232A"/>
              <w:right w:val="single" w:sz="4" w:space="0" w:color="D2232A"/>
            </w:tcBorders>
            <w:vAlign w:val="center"/>
            <w:hideMark/>
          </w:tcPr>
          <w:p w14:paraId="78268332" w14:textId="77777777" w:rsidR="00C240D3" w:rsidRPr="00C13540" w:rsidRDefault="00C240D3" w:rsidP="00F97512">
            <w:pPr>
              <w:pStyle w:val="ECCTabletext"/>
              <w:spacing w:before="60"/>
            </w:pPr>
            <w:r w:rsidRPr="00C13540">
              <w:t>Power after body loss</w:t>
            </w:r>
          </w:p>
        </w:tc>
        <w:tc>
          <w:tcPr>
            <w:tcW w:w="1417" w:type="dxa"/>
            <w:tcBorders>
              <w:top w:val="single" w:sz="4" w:space="0" w:color="D2232A"/>
              <w:left w:val="single" w:sz="4" w:space="0" w:color="D2232A"/>
              <w:bottom w:val="single" w:sz="4" w:space="0" w:color="D2232A"/>
              <w:right w:val="single" w:sz="4" w:space="0" w:color="D2232A"/>
            </w:tcBorders>
            <w:vAlign w:val="center"/>
            <w:hideMark/>
          </w:tcPr>
          <w:p w14:paraId="78840148" w14:textId="77777777" w:rsidR="00C240D3" w:rsidRPr="00C13540" w:rsidRDefault="00C240D3" w:rsidP="00F97512">
            <w:pPr>
              <w:pStyle w:val="ECCTabletext"/>
              <w:spacing w:before="60"/>
            </w:pPr>
            <w:r w:rsidRPr="00C13540">
              <w:t>(1) - BL</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7B322B8D" w14:textId="77777777" w:rsidR="00C240D3" w:rsidRPr="00C13540" w:rsidRDefault="00C240D3" w:rsidP="00F97512">
            <w:pPr>
              <w:pStyle w:val="ECCTabletext"/>
              <w:spacing w:before="60"/>
            </w:pPr>
            <w:r w:rsidRPr="00C13540">
              <w:t>19</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4EBDBEED" w14:textId="77777777" w:rsidR="00C240D3" w:rsidRPr="00C13540" w:rsidRDefault="00C240D3" w:rsidP="00F97512">
            <w:pPr>
              <w:pStyle w:val="ECCTabletext"/>
              <w:spacing w:before="60"/>
            </w:pPr>
            <w:r w:rsidRPr="00C13540">
              <w:t>19</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605269EE" w14:textId="77777777" w:rsidR="00C240D3" w:rsidRPr="00C13540" w:rsidRDefault="00C240D3" w:rsidP="00F97512">
            <w:pPr>
              <w:pStyle w:val="ECCTabletext"/>
              <w:spacing w:before="60"/>
            </w:pPr>
            <w:r w:rsidRPr="00C13540">
              <w:t>19</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54B6B583" w14:textId="77777777" w:rsidR="00C240D3" w:rsidRPr="00C13540" w:rsidRDefault="00C240D3" w:rsidP="00F97512">
            <w:pPr>
              <w:pStyle w:val="ECCTabletext"/>
              <w:spacing w:before="60"/>
            </w:pPr>
            <w:r w:rsidRPr="00C13540">
              <w:t>19</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05E4B92" w14:textId="77777777" w:rsidR="00C240D3" w:rsidRPr="00C13540" w:rsidRDefault="00C240D3" w:rsidP="00F97512">
            <w:pPr>
              <w:pStyle w:val="ECCTabletext"/>
              <w:spacing w:before="60"/>
            </w:pPr>
            <w:r w:rsidRPr="00C13540">
              <w:t>19</w:t>
            </w:r>
          </w:p>
        </w:tc>
        <w:tc>
          <w:tcPr>
            <w:tcW w:w="918" w:type="dxa"/>
            <w:tcBorders>
              <w:top w:val="single" w:sz="4" w:space="0" w:color="D2232A"/>
              <w:left w:val="single" w:sz="4" w:space="0" w:color="D2232A"/>
              <w:bottom w:val="single" w:sz="4" w:space="0" w:color="D2232A"/>
              <w:right w:val="single" w:sz="4" w:space="0" w:color="D2232A"/>
            </w:tcBorders>
            <w:vAlign w:val="center"/>
            <w:hideMark/>
          </w:tcPr>
          <w:p w14:paraId="3C85BF82" w14:textId="77777777" w:rsidR="00C240D3" w:rsidRPr="00C13540" w:rsidRDefault="00C240D3" w:rsidP="00F97512">
            <w:pPr>
              <w:pStyle w:val="ECCTabletext"/>
              <w:spacing w:before="60"/>
            </w:pPr>
            <w:r w:rsidRPr="00C13540">
              <w:t>19</w:t>
            </w:r>
          </w:p>
        </w:tc>
      </w:tr>
      <w:tr w:rsidR="00C240D3" w:rsidRPr="006717DB" w14:paraId="34918898" w14:textId="77777777" w:rsidTr="0020516D">
        <w:trPr>
          <w:trHeight w:val="622"/>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081BB119" w14:textId="77777777" w:rsidR="00C240D3" w:rsidRPr="00C13540" w:rsidRDefault="00C240D3" w:rsidP="00F97512">
            <w:pPr>
              <w:pStyle w:val="ECCTabletext"/>
              <w:spacing w:before="60"/>
            </w:pPr>
            <w:r w:rsidRPr="00C13540">
              <w:t>(3)</w:t>
            </w:r>
          </w:p>
        </w:tc>
        <w:tc>
          <w:tcPr>
            <w:tcW w:w="2552" w:type="dxa"/>
            <w:tcBorders>
              <w:top w:val="single" w:sz="4" w:space="0" w:color="D2232A"/>
              <w:left w:val="single" w:sz="4" w:space="0" w:color="D2232A"/>
              <w:bottom w:val="single" w:sz="4" w:space="0" w:color="D2232A"/>
              <w:right w:val="single" w:sz="4" w:space="0" w:color="D2232A"/>
            </w:tcBorders>
            <w:vAlign w:val="center"/>
            <w:hideMark/>
          </w:tcPr>
          <w:p w14:paraId="2965BE5C" w14:textId="77777777" w:rsidR="00C240D3" w:rsidRPr="00C13540" w:rsidRDefault="00C240D3" w:rsidP="00F97512">
            <w:pPr>
              <w:pStyle w:val="ECCTabletext"/>
              <w:spacing w:before="60"/>
            </w:pPr>
            <w:r w:rsidRPr="00C13540">
              <w:t>Power at the satellite before the antenna</w:t>
            </w:r>
          </w:p>
        </w:tc>
        <w:tc>
          <w:tcPr>
            <w:tcW w:w="1417" w:type="dxa"/>
            <w:tcBorders>
              <w:top w:val="single" w:sz="4" w:space="0" w:color="D2232A"/>
              <w:left w:val="single" w:sz="4" w:space="0" w:color="D2232A"/>
              <w:bottom w:val="single" w:sz="4" w:space="0" w:color="D2232A"/>
              <w:right w:val="single" w:sz="4" w:space="0" w:color="D2232A"/>
            </w:tcBorders>
            <w:vAlign w:val="center"/>
            <w:hideMark/>
          </w:tcPr>
          <w:p w14:paraId="3F44A4B1" w14:textId="77777777" w:rsidR="00C240D3" w:rsidRPr="00C13540" w:rsidRDefault="00C240D3" w:rsidP="00F97512">
            <w:pPr>
              <w:pStyle w:val="ECCTabletext"/>
              <w:spacing w:before="60"/>
            </w:pPr>
            <w:r w:rsidRPr="00C13540">
              <w:t>(2) - FSPL</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476EE8E7" w14:textId="77777777" w:rsidR="00C240D3" w:rsidRPr="00C13540" w:rsidRDefault="00C240D3" w:rsidP="00F97512">
            <w:pPr>
              <w:pStyle w:val="ECCTabletext"/>
              <w:spacing w:before="60"/>
            </w:pPr>
            <w:r w:rsidRPr="00C13540">
              <w:t>-124.3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04E9AE27" w14:textId="77777777" w:rsidR="00C240D3" w:rsidRPr="00C13540" w:rsidRDefault="00C240D3" w:rsidP="00F97512">
            <w:pPr>
              <w:pStyle w:val="ECCTabletext"/>
              <w:spacing w:before="60"/>
            </w:pPr>
            <w:r w:rsidRPr="00C13540">
              <w:t>-131.0</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13CAC58B" w14:textId="77777777" w:rsidR="00C240D3" w:rsidRPr="00C13540" w:rsidRDefault="00C240D3" w:rsidP="00F97512">
            <w:pPr>
              <w:pStyle w:val="ECCTabletext"/>
              <w:spacing w:before="60"/>
            </w:pPr>
            <w:r w:rsidRPr="00C13540">
              <w:t>-132.3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650921E3" w14:textId="77777777" w:rsidR="00C240D3" w:rsidRPr="00C13540" w:rsidRDefault="00C240D3" w:rsidP="00F97512">
            <w:pPr>
              <w:pStyle w:val="ECCTabletext"/>
              <w:spacing w:before="60"/>
            </w:pPr>
            <w:r w:rsidRPr="00C13540">
              <w:t>-134.1</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A65EABE" w14:textId="77777777" w:rsidR="00C240D3" w:rsidRPr="00C13540" w:rsidRDefault="00C240D3" w:rsidP="00F97512">
            <w:pPr>
              <w:pStyle w:val="ECCTabletext"/>
              <w:spacing w:before="60"/>
            </w:pPr>
            <w:r w:rsidRPr="00C13540">
              <w:t>-135.7</w:t>
            </w:r>
          </w:p>
        </w:tc>
        <w:tc>
          <w:tcPr>
            <w:tcW w:w="918" w:type="dxa"/>
            <w:tcBorders>
              <w:top w:val="single" w:sz="4" w:space="0" w:color="D2232A"/>
              <w:left w:val="single" w:sz="4" w:space="0" w:color="D2232A"/>
              <w:bottom w:val="single" w:sz="4" w:space="0" w:color="D2232A"/>
              <w:right w:val="single" w:sz="4" w:space="0" w:color="D2232A"/>
            </w:tcBorders>
            <w:vAlign w:val="center"/>
            <w:hideMark/>
          </w:tcPr>
          <w:p w14:paraId="22EB365E" w14:textId="77777777" w:rsidR="00C240D3" w:rsidRPr="00C13540" w:rsidRDefault="00C240D3" w:rsidP="00F97512">
            <w:pPr>
              <w:pStyle w:val="ECCTabletext"/>
              <w:spacing w:before="60"/>
            </w:pPr>
            <w:r w:rsidRPr="00C13540">
              <w:t>-138.3</w:t>
            </w:r>
          </w:p>
        </w:tc>
      </w:tr>
      <w:tr w:rsidR="00C240D3" w:rsidRPr="006717DB" w14:paraId="38E7861C" w14:textId="77777777" w:rsidTr="0020516D">
        <w:trPr>
          <w:trHeight w:val="59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4E31FDE5" w14:textId="77777777" w:rsidR="00C240D3" w:rsidRPr="00C13540" w:rsidRDefault="00C240D3" w:rsidP="00F97512">
            <w:pPr>
              <w:pStyle w:val="ECCTabletext"/>
              <w:spacing w:before="60"/>
            </w:pPr>
            <w:r w:rsidRPr="00C13540">
              <w:t>(4)</w:t>
            </w:r>
          </w:p>
        </w:tc>
        <w:tc>
          <w:tcPr>
            <w:tcW w:w="2552" w:type="dxa"/>
            <w:tcBorders>
              <w:top w:val="single" w:sz="4" w:space="0" w:color="D2232A"/>
              <w:left w:val="single" w:sz="4" w:space="0" w:color="D2232A"/>
              <w:bottom w:val="single" w:sz="4" w:space="0" w:color="D2232A"/>
              <w:right w:val="single" w:sz="4" w:space="0" w:color="D2232A"/>
            </w:tcBorders>
            <w:vAlign w:val="center"/>
            <w:hideMark/>
          </w:tcPr>
          <w:p w14:paraId="6EE60963" w14:textId="77777777" w:rsidR="00C240D3" w:rsidRPr="00C13540" w:rsidRDefault="00C240D3" w:rsidP="00F97512">
            <w:pPr>
              <w:pStyle w:val="ECCTabletext"/>
              <w:spacing w:before="60"/>
            </w:pPr>
            <w:r w:rsidRPr="00C13540">
              <w:t>Power after satellite antenna</w:t>
            </w:r>
          </w:p>
        </w:tc>
        <w:tc>
          <w:tcPr>
            <w:tcW w:w="1417" w:type="dxa"/>
            <w:tcBorders>
              <w:top w:val="single" w:sz="4" w:space="0" w:color="D2232A"/>
              <w:left w:val="single" w:sz="4" w:space="0" w:color="D2232A"/>
              <w:bottom w:val="single" w:sz="4" w:space="0" w:color="D2232A"/>
              <w:right w:val="single" w:sz="4" w:space="0" w:color="D2232A"/>
            </w:tcBorders>
            <w:vAlign w:val="center"/>
            <w:hideMark/>
          </w:tcPr>
          <w:p w14:paraId="0A031AF2" w14:textId="77777777" w:rsidR="00C240D3" w:rsidRPr="00C13540" w:rsidRDefault="00C240D3" w:rsidP="00F97512">
            <w:pPr>
              <w:pStyle w:val="ECCTabletext"/>
              <w:spacing w:before="60"/>
            </w:pPr>
            <w:r w:rsidRPr="00C13540">
              <w:t>(3) + G_sat</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342D72AF" w14:textId="77777777" w:rsidR="00C240D3" w:rsidRPr="00C13540" w:rsidRDefault="00C240D3" w:rsidP="00F97512">
            <w:pPr>
              <w:pStyle w:val="ECCTabletext"/>
              <w:spacing w:before="60"/>
            </w:pPr>
            <w:r w:rsidRPr="00C13540">
              <w:t>-100.0</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4E9562F7" w14:textId="77777777" w:rsidR="00C240D3" w:rsidRPr="00C13540" w:rsidRDefault="00C240D3" w:rsidP="00F97512">
            <w:pPr>
              <w:pStyle w:val="ECCTabletext"/>
              <w:spacing w:before="60"/>
            </w:pPr>
            <w:r w:rsidRPr="00C13540">
              <w:t>-98.4</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54026AD5" w14:textId="77777777" w:rsidR="00C240D3" w:rsidRPr="00C13540" w:rsidRDefault="00C240D3" w:rsidP="00F97512">
            <w:pPr>
              <w:pStyle w:val="ECCTabletext"/>
              <w:spacing w:before="60"/>
            </w:pPr>
            <w:r w:rsidRPr="00C13540">
              <w:t>-99.8</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7BC943B1" w14:textId="77777777" w:rsidR="00C240D3" w:rsidRPr="00C13540" w:rsidRDefault="00C240D3" w:rsidP="00F97512">
            <w:pPr>
              <w:pStyle w:val="ECCTabletext"/>
              <w:spacing w:before="60"/>
            </w:pPr>
            <w:r w:rsidRPr="00C13540">
              <w:t>-101.6</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336E717" w14:textId="77777777" w:rsidR="00C240D3" w:rsidRPr="00C13540" w:rsidRDefault="00C240D3" w:rsidP="00F97512">
            <w:pPr>
              <w:pStyle w:val="ECCTabletext"/>
              <w:spacing w:before="60"/>
            </w:pPr>
            <w:r w:rsidRPr="00C13540">
              <w:t>-103.2</w:t>
            </w:r>
          </w:p>
        </w:tc>
        <w:tc>
          <w:tcPr>
            <w:tcW w:w="918" w:type="dxa"/>
            <w:tcBorders>
              <w:top w:val="single" w:sz="4" w:space="0" w:color="D2232A"/>
              <w:left w:val="single" w:sz="4" w:space="0" w:color="D2232A"/>
              <w:bottom w:val="single" w:sz="4" w:space="0" w:color="D2232A"/>
              <w:right w:val="single" w:sz="4" w:space="0" w:color="D2232A"/>
            </w:tcBorders>
            <w:vAlign w:val="center"/>
            <w:hideMark/>
          </w:tcPr>
          <w:p w14:paraId="1C4C5F0F" w14:textId="77777777" w:rsidR="00C240D3" w:rsidRPr="00C13540" w:rsidRDefault="00C240D3" w:rsidP="00F97512">
            <w:pPr>
              <w:pStyle w:val="ECCTabletext"/>
              <w:spacing w:before="60"/>
            </w:pPr>
            <w:r w:rsidRPr="00C13540">
              <w:t>-102.3</w:t>
            </w:r>
          </w:p>
        </w:tc>
      </w:tr>
      <w:tr w:rsidR="00C240D3" w:rsidRPr="006717DB" w14:paraId="6EDA0992" w14:textId="77777777" w:rsidTr="0020516D">
        <w:trPr>
          <w:trHeight w:val="59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2510BAD6" w14:textId="77777777" w:rsidR="00C240D3" w:rsidRPr="00C13540" w:rsidRDefault="00C240D3" w:rsidP="00F97512">
            <w:pPr>
              <w:pStyle w:val="ECCTabletext"/>
              <w:spacing w:before="60"/>
            </w:pPr>
            <w:r w:rsidRPr="00C13540">
              <w:t>(5)</w:t>
            </w:r>
          </w:p>
        </w:tc>
        <w:tc>
          <w:tcPr>
            <w:tcW w:w="2552" w:type="dxa"/>
            <w:tcBorders>
              <w:top w:val="single" w:sz="4" w:space="0" w:color="D2232A"/>
              <w:left w:val="single" w:sz="4" w:space="0" w:color="D2232A"/>
              <w:bottom w:val="single" w:sz="4" w:space="0" w:color="D2232A"/>
              <w:right w:val="single" w:sz="4" w:space="0" w:color="D2232A"/>
            </w:tcBorders>
            <w:vAlign w:val="center"/>
            <w:hideMark/>
          </w:tcPr>
          <w:p w14:paraId="0DDC7558" w14:textId="77777777" w:rsidR="00C240D3" w:rsidRPr="00C13540" w:rsidRDefault="00C240D3" w:rsidP="00F97512">
            <w:pPr>
              <w:pStyle w:val="ECCTabletext"/>
              <w:spacing w:before="60"/>
            </w:pPr>
            <w:r w:rsidRPr="00C13540">
              <w:t>SINR</w:t>
            </w:r>
          </w:p>
        </w:tc>
        <w:tc>
          <w:tcPr>
            <w:tcW w:w="1417" w:type="dxa"/>
            <w:tcBorders>
              <w:top w:val="single" w:sz="4" w:space="0" w:color="D2232A"/>
              <w:left w:val="single" w:sz="4" w:space="0" w:color="D2232A"/>
              <w:bottom w:val="single" w:sz="4" w:space="0" w:color="D2232A"/>
              <w:right w:val="single" w:sz="4" w:space="0" w:color="D2232A"/>
            </w:tcBorders>
            <w:vAlign w:val="center"/>
            <w:hideMark/>
          </w:tcPr>
          <w:p w14:paraId="5D8E5D06" w14:textId="77777777" w:rsidR="00C240D3" w:rsidRPr="00C13540" w:rsidRDefault="00C240D3" w:rsidP="00F97512">
            <w:pPr>
              <w:pStyle w:val="ECCTabletext"/>
              <w:spacing w:before="60"/>
            </w:pPr>
            <w:r w:rsidRPr="00C13540">
              <w:t>(4) - N_SAT</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3993A7E4" w14:textId="77777777" w:rsidR="00C240D3" w:rsidRPr="00C13540" w:rsidRDefault="00C240D3" w:rsidP="00F97512">
            <w:pPr>
              <w:pStyle w:val="ECCTabletext"/>
              <w:spacing w:before="60"/>
            </w:pPr>
            <w:r w:rsidRPr="00C13540">
              <w:t>17.6</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709CA134" w14:textId="77777777" w:rsidR="00C240D3" w:rsidRPr="00C13540" w:rsidRDefault="00C240D3" w:rsidP="00F97512">
            <w:pPr>
              <w:pStyle w:val="ECCTabletext"/>
              <w:spacing w:before="60"/>
            </w:pPr>
            <w:r w:rsidRPr="00C13540">
              <w:t>19.2</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43E13DC1" w14:textId="77777777" w:rsidR="00C240D3" w:rsidRPr="00C13540" w:rsidRDefault="00C240D3" w:rsidP="00F97512">
            <w:pPr>
              <w:pStyle w:val="ECCTabletext"/>
              <w:spacing w:before="60"/>
            </w:pPr>
            <w:r w:rsidRPr="00C13540">
              <w:t>17.8</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330AE450" w14:textId="77777777" w:rsidR="00C240D3" w:rsidRPr="00C13540" w:rsidRDefault="00C240D3" w:rsidP="00F97512">
            <w:pPr>
              <w:pStyle w:val="ECCTabletext"/>
              <w:spacing w:before="60"/>
            </w:pPr>
            <w:r w:rsidRPr="00C13540">
              <w:t>16.0</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43E5AAAD" w14:textId="77777777" w:rsidR="00C240D3" w:rsidRPr="00C13540" w:rsidRDefault="00C240D3" w:rsidP="00F97512">
            <w:pPr>
              <w:pStyle w:val="ECCTabletext"/>
              <w:spacing w:before="60"/>
            </w:pPr>
            <w:r w:rsidRPr="00C13540">
              <w:t>14.4</w:t>
            </w:r>
          </w:p>
        </w:tc>
        <w:tc>
          <w:tcPr>
            <w:tcW w:w="918" w:type="dxa"/>
            <w:tcBorders>
              <w:top w:val="single" w:sz="4" w:space="0" w:color="D2232A"/>
              <w:left w:val="single" w:sz="4" w:space="0" w:color="D2232A"/>
              <w:bottom w:val="single" w:sz="4" w:space="0" w:color="D2232A"/>
              <w:right w:val="single" w:sz="4" w:space="0" w:color="D2232A"/>
            </w:tcBorders>
            <w:vAlign w:val="center"/>
            <w:hideMark/>
          </w:tcPr>
          <w:p w14:paraId="5CD191FA" w14:textId="77777777" w:rsidR="00C240D3" w:rsidRPr="00C13540" w:rsidRDefault="00C240D3" w:rsidP="00F97512">
            <w:pPr>
              <w:pStyle w:val="ECCTabletext"/>
              <w:spacing w:before="60"/>
            </w:pPr>
            <w:r w:rsidRPr="00C13540">
              <w:t>15.3</w:t>
            </w:r>
          </w:p>
        </w:tc>
      </w:tr>
    </w:tbl>
    <w:p w14:paraId="3DAE1981" w14:textId="77777777" w:rsidR="00C240D3" w:rsidRDefault="00C240D3" w:rsidP="00C240D3">
      <w:pPr>
        <w:pStyle w:val="Caption"/>
      </w:pPr>
      <w:bookmarkStart w:id="49" w:name="_Ref223605491"/>
      <w:r>
        <w:br w:type="page"/>
      </w:r>
    </w:p>
    <w:p w14:paraId="5B154041" w14:textId="77777777" w:rsidR="00C240D3" w:rsidRDefault="00C240D3" w:rsidP="00C240D3">
      <w:pPr>
        <w:pStyle w:val="Caption"/>
      </w:pPr>
      <w:bookmarkStart w:id="50" w:name="_Ref230361505"/>
      <w:r w:rsidRPr="004D48FE">
        <w:lastRenderedPageBreak/>
        <w:t xml:space="preserve">Table </w:t>
      </w:r>
      <w:r w:rsidRPr="00566DA4">
        <w:fldChar w:fldCharType="begin"/>
      </w:r>
      <w:r w:rsidRPr="004D48FE">
        <w:instrText xml:space="preserve"> SEQ Table \* ARABIC </w:instrText>
      </w:r>
      <w:r w:rsidRPr="00566DA4">
        <w:fldChar w:fldCharType="separate"/>
      </w:r>
      <w:r>
        <w:rPr>
          <w:noProof/>
        </w:rPr>
        <w:t>10</w:t>
      </w:r>
      <w:r w:rsidRPr="00566DA4">
        <w:fldChar w:fldCharType="end"/>
      </w:r>
      <w:bookmarkEnd w:id="49"/>
      <w:bookmarkEnd w:id="50"/>
      <w:r w:rsidRPr="004D48FE">
        <w:t xml:space="preserve">: </w:t>
      </w:r>
      <w:r>
        <w:t>Representative Earth-to-space Link Budget @EL 26</w:t>
      </w:r>
      <w:r w:rsidRPr="00865487">
        <w:t>°</w:t>
      </w:r>
    </w:p>
    <w:tbl>
      <w:tblPr>
        <w:tblW w:w="9771" w:type="dxa"/>
        <w:tblLook w:val="04A0" w:firstRow="1" w:lastRow="0" w:firstColumn="1" w:lastColumn="0" w:noHBand="0" w:noVBand="1"/>
      </w:tblPr>
      <w:tblGrid>
        <w:gridCol w:w="557"/>
        <w:gridCol w:w="2303"/>
        <w:gridCol w:w="1525"/>
        <w:gridCol w:w="850"/>
        <w:gridCol w:w="992"/>
        <w:gridCol w:w="851"/>
        <w:gridCol w:w="850"/>
        <w:gridCol w:w="851"/>
        <w:gridCol w:w="992"/>
      </w:tblGrid>
      <w:tr w:rsidR="00C240D3" w:rsidRPr="00557B7E" w14:paraId="6021C4C9" w14:textId="77777777" w:rsidTr="005E2EDC">
        <w:trPr>
          <w:trHeight w:val="280"/>
        </w:trPr>
        <w:tc>
          <w:tcPr>
            <w:tcW w:w="4385" w:type="dxa"/>
            <w:gridSpan w:val="3"/>
            <w:vMerge w:val="restart"/>
            <w:tcBorders>
              <w:top w:val="single" w:sz="8" w:space="0" w:color="D22A23"/>
              <w:left w:val="single" w:sz="8" w:space="0" w:color="FF0000"/>
              <w:bottom w:val="single" w:sz="8" w:space="0" w:color="FFFFFF"/>
              <w:right w:val="single" w:sz="8" w:space="0" w:color="FFFFFF"/>
            </w:tcBorders>
            <w:shd w:val="clear" w:color="000000" w:fill="D22A23"/>
            <w:vAlign w:val="center"/>
            <w:hideMark/>
          </w:tcPr>
          <w:p w14:paraId="594EE803" w14:textId="77777777" w:rsidR="00C240D3" w:rsidRPr="005E2EDC" w:rsidRDefault="00C240D3" w:rsidP="005E30F7">
            <w:pPr>
              <w:pStyle w:val="ECCTableHeaderwhitefont"/>
              <w:rPr>
                <w:b/>
                <w:bCs w:val="0"/>
              </w:rPr>
            </w:pPr>
            <w:r w:rsidRPr="005E2EDC">
              <w:rPr>
                <w:b/>
                <w:bCs w:val="0"/>
              </w:rPr>
              <w:t> </w:t>
            </w:r>
          </w:p>
        </w:tc>
        <w:tc>
          <w:tcPr>
            <w:tcW w:w="5386" w:type="dxa"/>
            <w:gridSpan w:val="6"/>
            <w:tcBorders>
              <w:top w:val="single" w:sz="8" w:space="0" w:color="D22A23"/>
              <w:left w:val="nil"/>
              <w:bottom w:val="nil"/>
              <w:right w:val="single" w:sz="8" w:space="0" w:color="FFFFFF"/>
            </w:tcBorders>
            <w:shd w:val="clear" w:color="000000" w:fill="D22A23"/>
            <w:vAlign w:val="center"/>
            <w:hideMark/>
          </w:tcPr>
          <w:p w14:paraId="4327923B" w14:textId="77777777" w:rsidR="00C240D3" w:rsidRPr="005E2EDC" w:rsidRDefault="00C240D3" w:rsidP="005E30F7">
            <w:pPr>
              <w:pStyle w:val="ECCTableHeaderwhitefont"/>
              <w:rPr>
                <w:b/>
                <w:bCs w:val="0"/>
              </w:rPr>
            </w:pPr>
            <w:r w:rsidRPr="005E2EDC">
              <w:rPr>
                <w:b/>
                <w:bCs w:val="0"/>
              </w:rPr>
              <w:t>Power (dBm)</w:t>
            </w:r>
          </w:p>
        </w:tc>
      </w:tr>
      <w:tr w:rsidR="00C240D3" w:rsidRPr="00557B7E" w14:paraId="56B25DB8" w14:textId="77777777" w:rsidTr="005E2EDC">
        <w:trPr>
          <w:trHeight w:val="290"/>
        </w:trPr>
        <w:tc>
          <w:tcPr>
            <w:tcW w:w="4385" w:type="dxa"/>
            <w:gridSpan w:val="3"/>
            <w:vMerge/>
            <w:tcBorders>
              <w:top w:val="single" w:sz="8" w:space="0" w:color="D22A23"/>
              <w:left w:val="single" w:sz="8" w:space="0" w:color="FF0000"/>
              <w:bottom w:val="single" w:sz="8" w:space="0" w:color="FFFFFF"/>
              <w:right w:val="single" w:sz="8" w:space="0" w:color="FFFFFF"/>
            </w:tcBorders>
            <w:vAlign w:val="center"/>
            <w:hideMark/>
          </w:tcPr>
          <w:p w14:paraId="0A874DAE" w14:textId="77777777" w:rsidR="00C240D3" w:rsidRPr="00BE620A" w:rsidRDefault="00C240D3" w:rsidP="005E30F7">
            <w:pPr>
              <w:pStyle w:val="ECCTableHeaderwhitefont"/>
              <w:rPr>
                <w:b/>
                <w:bCs w:val="0"/>
              </w:rPr>
            </w:pPr>
          </w:p>
        </w:tc>
        <w:tc>
          <w:tcPr>
            <w:tcW w:w="5386" w:type="dxa"/>
            <w:gridSpan w:val="6"/>
            <w:tcBorders>
              <w:top w:val="nil"/>
              <w:left w:val="nil"/>
              <w:bottom w:val="single" w:sz="8" w:space="0" w:color="FFFFFF"/>
              <w:right w:val="single" w:sz="8" w:space="0" w:color="FFFFFF"/>
            </w:tcBorders>
            <w:shd w:val="clear" w:color="000000" w:fill="D22A23"/>
            <w:vAlign w:val="center"/>
            <w:hideMark/>
          </w:tcPr>
          <w:p w14:paraId="03BBCCF4" w14:textId="77777777" w:rsidR="00C240D3" w:rsidRPr="00BE620A" w:rsidRDefault="00C240D3" w:rsidP="005E30F7">
            <w:pPr>
              <w:pStyle w:val="ECCTableHeaderwhitefont"/>
              <w:rPr>
                <w:b/>
                <w:bCs w:val="0"/>
              </w:rPr>
            </w:pPr>
            <w:r w:rsidRPr="00BE620A">
              <w:rPr>
                <w:b/>
                <w:bCs w:val="0"/>
              </w:rPr>
              <w:t>@El 26°</w:t>
            </w:r>
          </w:p>
        </w:tc>
      </w:tr>
      <w:tr w:rsidR="00C240D3" w:rsidRPr="00557B7E" w14:paraId="5699842F" w14:textId="77777777" w:rsidTr="0020516D">
        <w:trPr>
          <w:trHeight w:val="290"/>
        </w:trPr>
        <w:tc>
          <w:tcPr>
            <w:tcW w:w="4385" w:type="dxa"/>
            <w:gridSpan w:val="3"/>
            <w:tcBorders>
              <w:top w:val="nil"/>
              <w:left w:val="single" w:sz="8" w:space="0" w:color="FF0000"/>
              <w:bottom w:val="single" w:sz="4" w:space="0" w:color="D2232A"/>
              <w:right w:val="single" w:sz="8" w:space="0" w:color="FFFFFF"/>
            </w:tcBorders>
            <w:shd w:val="clear" w:color="000000" w:fill="D22A23"/>
            <w:vAlign w:val="center"/>
            <w:hideMark/>
          </w:tcPr>
          <w:p w14:paraId="1C6CEDEE" w14:textId="77777777" w:rsidR="00C240D3" w:rsidRPr="005E2EDC" w:rsidRDefault="00C240D3" w:rsidP="005E30F7">
            <w:pPr>
              <w:pStyle w:val="ECCTableHeaderwhitefont"/>
              <w:rPr>
                <w:b/>
                <w:bCs w:val="0"/>
              </w:rPr>
            </w:pPr>
            <w:r w:rsidRPr="005E2EDC">
              <w:rPr>
                <w:b/>
                <w:bCs w:val="0"/>
              </w:rPr>
              <w:t>Frequency (MHz) </w:t>
            </w:r>
          </w:p>
        </w:tc>
        <w:tc>
          <w:tcPr>
            <w:tcW w:w="850" w:type="dxa"/>
            <w:tcBorders>
              <w:top w:val="nil"/>
              <w:left w:val="nil"/>
              <w:bottom w:val="single" w:sz="4" w:space="0" w:color="D2232A"/>
              <w:right w:val="single" w:sz="8" w:space="0" w:color="FFFFFF"/>
            </w:tcBorders>
            <w:shd w:val="clear" w:color="000000" w:fill="D22A23"/>
            <w:vAlign w:val="center"/>
            <w:hideMark/>
          </w:tcPr>
          <w:p w14:paraId="19F085B3" w14:textId="77777777" w:rsidR="00C240D3" w:rsidRPr="005E2EDC" w:rsidRDefault="00C240D3" w:rsidP="005E30F7">
            <w:pPr>
              <w:pStyle w:val="ECCTableHeaderwhitefont"/>
              <w:rPr>
                <w:b/>
                <w:bCs w:val="0"/>
              </w:rPr>
            </w:pPr>
            <w:r w:rsidRPr="005E2EDC">
              <w:rPr>
                <w:b/>
                <w:bCs w:val="0"/>
              </w:rPr>
              <w:t>700</w:t>
            </w:r>
          </w:p>
        </w:tc>
        <w:tc>
          <w:tcPr>
            <w:tcW w:w="992" w:type="dxa"/>
            <w:tcBorders>
              <w:top w:val="nil"/>
              <w:left w:val="nil"/>
              <w:bottom w:val="single" w:sz="4" w:space="0" w:color="D2232A"/>
              <w:right w:val="single" w:sz="8" w:space="0" w:color="FFFFFF"/>
            </w:tcBorders>
            <w:shd w:val="clear" w:color="000000" w:fill="D22A23"/>
            <w:vAlign w:val="center"/>
            <w:hideMark/>
          </w:tcPr>
          <w:p w14:paraId="3B45ED62" w14:textId="77777777" w:rsidR="00C240D3" w:rsidRPr="005E2EDC" w:rsidRDefault="00C240D3" w:rsidP="005E30F7">
            <w:pPr>
              <w:pStyle w:val="ECCTableHeaderwhitefont"/>
              <w:rPr>
                <w:b/>
                <w:bCs w:val="0"/>
              </w:rPr>
            </w:pPr>
            <w:r w:rsidRPr="005E2EDC">
              <w:rPr>
                <w:b/>
                <w:bCs w:val="0"/>
              </w:rPr>
              <w:t>1500</w:t>
            </w:r>
          </w:p>
        </w:tc>
        <w:tc>
          <w:tcPr>
            <w:tcW w:w="851" w:type="dxa"/>
            <w:tcBorders>
              <w:top w:val="nil"/>
              <w:left w:val="nil"/>
              <w:bottom w:val="single" w:sz="4" w:space="0" w:color="D2232A"/>
              <w:right w:val="single" w:sz="8" w:space="0" w:color="FFFFFF"/>
            </w:tcBorders>
            <w:shd w:val="clear" w:color="000000" w:fill="D22A23"/>
            <w:vAlign w:val="center"/>
            <w:hideMark/>
          </w:tcPr>
          <w:p w14:paraId="04B09BC7" w14:textId="77777777" w:rsidR="00C240D3" w:rsidRPr="005E2EDC" w:rsidRDefault="00C240D3" w:rsidP="005E30F7">
            <w:pPr>
              <w:pStyle w:val="ECCTableHeaderwhitefont"/>
              <w:rPr>
                <w:b/>
                <w:bCs w:val="0"/>
              </w:rPr>
            </w:pPr>
            <w:r w:rsidRPr="005E2EDC">
              <w:rPr>
                <w:b/>
                <w:bCs w:val="0"/>
              </w:rPr>
              <w:t>1750</w:t>
            </w:r>
          </w:p>
        </w:tc>
        <w:tc>
          <w:tcPr>
            <w:tcW w:w="850" w:type="dxa"/>
            <w:tcBorders>
              <w:top w:val="nil"/>
              <w:left w:val="nil"/>
              <w:bottom w:val="single" w:sz="4" w:space="0" w:color="D2232A"/>
              <w:right w:val="single" w:sz="8" w:space="0" w:color="FFFFFF"/>
            </w:tcBorders>
            <w:shd w:val="clear" w:color="000000" w:fill="D22A23"/>
            <w:vAlign w:val="center"/>
            <w:hideMark/>
          </w:tcPr>
          <w:p w14:paraId="0654C63D" w14:textId="77777777" w:rsidR="00C240D3" w:rsidRPr="005E2EDC" w:rsidRDefault="00C240D3" w:rsidP="005E30F7">
            <w:pPr>
              <w:pStyle w:val="ECCTableHeaderwhitefont"/>
              <w:rPr>
                <w:b/>
                <w:bCs w:val="0"/>
              </w:rPr>
            </w:pPr>
            <w:r w:rsidRPr="005E2EDC">
              <w:rPr>
                <w:b/>
                <w:bCs w:val="0"/>
              </w:rPr>
              <w:t>2150</w:t>
            </w:r>
          </w:p>
        </w:tc>
        <w:tc>
          <w:tcPr>
            <w:tcW w:w="851" w:type="dxa"/>
            <w:tcBorders>
              <w:top w:val="nil"/>
              <w:left w:val="nil"/>
              <w:bottom w:val="single" w:sz="4" w:space="0" w:color="D2232A"/>
              <w:right w:val="single" w:sz="8" w:space="0" w:color="FFFFFF"/>
            </w:tcBorders>
            <w:shd w:val="clear" w:color="000000" w:fill="D22A23"/>
            <w:vAlign w:val="center"/>
            <w:hideMark/>
          </w:tcPr>
          <w:p w14:paraId="7D45B453" w14:textId="77777777" w:rsidR="00C240D3" w:rsidRPr="005E2EDC" w:rsidRDefault="00C240D3" w:rsidP="005E30F7">
            <w:pPr>
              <w:pStyle w:val="ECCTableHeaderwhitefont"/>
              <w:rPr>
                <w:b/>
                <w:bCs w:val="0"/>
              </w:rPr>
            </w:pPr>
            <w:r w:rsidRPr="005E2EDC">
              <w:rPr>
                <w:b/>
                <w:bCs w:val="0"/>
              </w:rPr>
              <w:t>2600</w:t>
            </w:r>
          </w:p>
        </w:tc>
        <w:tc>
          <w:tcPr>
            <w:tcW w:w="992" w:type="dxa"/>
            <w:tcBorders>
              <w:top w:val="nil"/>
              <w:left w:val="nil"/>
              <w:bottom w:val="single" w:sz="4" w:space="0" w:color="D2232A"/>
              <w:right w:val="single" w:sz="8" w:space="0" w:color="FFFFFF"/>
            </w:tcBorders>
            <w:shd w:val="clear" w:color="000000" w:fill="D22A23"/>
            <w:vAlign w:val="center"/>
            <w:hideMark/>
          </w:tcPr>
          <w:p w14:paraId="7623CDC2" w14:textId="77777777" w:rsidR="00C240D3" w:rsidRPr="005E2EDC" w:rsidRDefault="00C240D3" w:rsidP="005E30F7">
            <w:pPr>
              <w:pStyle w:val="ECCTableHeaderwhitefont"/>
              <w:rPr>
                <w:b/>
                <w:bCs w:val="0"/>
              </w:rPr>
            </w:pPr>
            <w:r w:rsidRPr="005E2EDC">
              <w:rPr>
                <w:b/>
                <w:bCs w:val="0"/>
              </w:rPr>
              <w:t>3500</w:t>
            </w:r>
          </w:p>
        </w:tc>
      </w:tr>
      <w:tr w:rsidR="00C240D3" w:rsidRPr="00557B7E" w14:paraId="4650C711" w14:textId="77777777" w:rsidTr="0020516D">
        <w:trPr>
          <w:trHeight w:val="381"/>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5A70F0E4" w14:textId="77777777" w:rsidR="00C240D3" w:rsidRPr="009D540F" w:rsidRDefault="00C240D3" w:rsidP="005E30F7">
            <w:pPr>
              <w:pStyle w:val="ECCTabletext"/>
            </w:pPr>
            <w:r w:rsidRPr="009D540F">
              <w:t>(1)</w:t>
            </w:r>
          </w:p>
        </w:tc>
        <w:tc>
          <w:tcPr>
            <w:tcW w:w="2303" w:type="dxa"/>
            <w:tcBorders>
              <w:top w:val="single" w:sz="4" w:space="0" w:color="D2232A"/>
              <w:left w:val="single" w:sz="4" w:space="0" w:color="D2232A"/>
              <w:bottom w:val="single" w:sz="4" w:space="0" w:color="D2232A"/>
              <w:right w:val="single" w:sz="4" w:space="0" w:color="D2232A"/>
            </w:tcBorders>
            <w:vAlign w:val="center"/>
            <w:hideMark/>
          </w:tcPr>
          <w:p w14:paraId="39D6314C" w14:textId="77777777" w:rsidR="00C240D3" w:rsidRPr="009D540F" w:rsidRDefault="00C240D3" w:rsidP="005E30F7">
            <w:pPr>
              <w:pStyle w:val="ECCTabletext"/>
            </w:pPr>
            <w:r w:rsidRPr="009D540F">
              <w:t xml:space="preserve">UE Tx EIRP </w:t>
            </w:r>
          </w:p>
        </w:tc>
        <w:tc>
          <w:tcPr>
            <w:tcW w:w="1525" w:type="dxa"/>
            <w:tcBorders>
              <w:top w:val="single" w:sz="4" w:space="0" w:color="D2232A"/>
              <w:left w:val="single" w:sz="4" w:space="0" w:color="D2232A"/>
              <w:bottom w:val="single" w:sz="4" w:space="0" w:color="D2232A"/>
              <w:right w:val="single" w:sz="4" w:space="0" w:color="D2232A"/>
            </w:tcBorders>
            <w:vAlign w:val="center"/>
            <w:hideMark/>
          </w:tcPr>
          <w:p w14:paraId="692DFB9C" w14:textId="77777777" w:rsidR="00C240D3" w:rsidRPr="009D540F" w:rsidRDefault="00C240D3" w:rsidP="005E30F7">
            <w:pPr>
              <w:pStyle w:val="ECCTabletext"/>
            </w:pPr>
            <w:r w:rsidRPr="009D540F">
              <w:t> </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41A890F" w14:textId="77777777" w:rsidR="00C240D3" w:rsidRPr="009D540F" w:rsidRDefault="00C240D3" w:rsidP="005E30F7">
            <w:pPr>
              <w:pStyle w:val="ECCTabletext"/>
            </w:pPr>
            <w:r w:rsidRPr="009D540F">
              <w:t>23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2908C1D1" w14:textId="77777777" w:rsidR="00C240D3" w:rsidRPr="009D540F" w:rsidRDefault="00C240D3" w:rsidP="005E30F7">
            <w:pPr>
              <w:pStyle w:val="ECCTabletext"/>
            </w:pPr>
            <w:r w:rsidRPr="00C13540">
              <w:t>23</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50003FB3" w14:textId="77777777" w:rsidR="00C240D3" w:rsidRPr="009D540F" w:rsidRDefault="00C240D3" w:rsidP="005E30F7">
            <w:pPr>
              <w:pStyle w:val="ECCTabletext"/>
            </w:pPr>
            <w:r w:rsidRPr="00C13540">
              <w:t>23</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4988886" w14:textId="77777777" w:rsidR="00C240D3" w:rsidRPr="009D540F" w:rsidRDefault="00C240D3" w:rsidP="005E30F7">
            <w:pPr>
              <w:pStyle w:val="ECCTabletext"/>
            </w:pPr>
            <w:r w:rsidRPr="00C13540">
              <w:t>23</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5ABA55FE" w14:textId="77777777" w:rsidR="00C240D3" w:rsidRPr="009D540F" w:rsidRDefault="00C240D3" w:rsidP="005E30F7">
            <w:pPr>
              <w:pStyle w:val="ECCTabletext"/>
            </w:pPr>
            <w:r w:rsidRPr="00C13540">
              <w:t>23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3981DEE5" w14:textId="77777777" w:rsidR="00C240D3" w:rsidRPr="009D540F" w:rsidRDefault="00C240D3" w:rsidP="005E30F7">
            <w:pPr>
              <w:pStyle w:val="ECCTabletext"/>
            </w:pPr>
            <w:r w:rsidRPr="00C13540">
              <w:t>23</w:t>
            </w:r>
          </w:p>
        </w:tc>
      </w:tr>
      <w:tr w:rsidR="00C240D3" w:rsidRPr="00557B7E" w14:paraId="67E738AB" w14:textId="77777777" w:rsidTr="0020516D">
        <w:trPr>
          <w:trHeight w:val="401"/>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23F1A2C8" w14:textId="77777777" w:rsidR="00C240D3" w:rsidRPr="009D540F" w:rsidRDefault="00C240D3" w:rsidP="005E30F7">
            <w:pPr>
              <w:pStyle w:val="ECCTabletext"/>
            </w:pPr>
            <w:r w:rsidRPr="009D540F">
              <w:t>(2)</w:t>
            </w:r>
          </w:p>
        </w:tc>
        <w:tc>
          <w:tcPr>
            <w:tcW w:w="2303" w:type="dxa"/>
            <w:tcBorders>
              <w:top w:val="single" w:sz="4" w:space="0" w:color="D2232A"/>
              <w:left w:val="single" w:sz="4" w:space="0" w:color="D2232A"/>
              <w:bottom w:val="single" w:sz="4" w:space="0" w:color="D2232A"/>
              <w:right w:val="single" w:sz="4" w:space="0" w:color="D2232A"/>
            </w:tcBorders>
            <w:vAlign w:val="center"/>
            <w:hideMark/>
          </w:tcPr>
          <w:p w14:paraId="07FE90B3" w14:textId="77777777" w:rsidR="00C240D3" w:rsidRPr="009D540F" w:rsidRDefault="00C240D3" w:rsidP="005E30F7">
            <w:pPr>
              <w:pStyle w:val="ECCTabletext"/>
            </w:pPr>
            <w:r w:rsidRPr="009D540F">
              <w:t>Power after body loss</w:t>
            </w:r>
          </w:p>
        </w:tc>
        <w:tc>
          <w:tcPr>
            <w:tcW w:w="1525" w:type="dxa"/>
            <w:tcBorders>
              <w:top w:val="single" w:sz="4" w:space="0" w:color="D2232A"/>
              <w:left w:val="single" w:sz="4" w:space="0" w:color="D2232A"/>
              <w:bottom w:val="single" w:sz="4" w:space="0" w:color="D2232A"/>
              <w:right w:val="single" w:sz="4" w:space="0" w:color="D2232A"/>
            </w:tcBorders>
            <w:vAlign w:val="center"/>
            <w:hideMark/>
          </w:tcPr>
          <w:p w14:paraId="4C01E5CA" w14:textId="77777777" w:rsidR="00C240D3" w:rsidRPr="009D540F" w:rsidRDefault="00C240D3" w:rsidP="005E30F7">
            <w:pPr>
              <w:pStyle w:val="ECCTabletext"/>
            </w:pPr>
            <w:r w:rsidRPr="009D540F">
              <w:t>(1) - BL</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7FD94A26" w14:textId="77777777" w:rsidR="00C240D3" w:rsidRPr="009D540F" w:rsidRDefault="00C240D3" w:rsidP="005E30F7">
            <w:pPr>
              <w:pStyle w:val="ECCTabletext"/>
            </w:pPr>
            <w:r w:rsidRPr="009D540F">
              <w:t>19</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4DFE96DB" w14:textId="77777777" w:rsidR="00C240D3" w:rsidRPr="009D540F" w:rsidRDefault="00C240D3" w:rsidP="005E30F7">
            <w:pPr>
              <w:pStyle w:val="ECCTabletext"/>
            </w:pPr>
            <w:r w:rsidRPr="00C13540">
              <w:t>19</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3AEE1D8F" w14:textId="77777777" w:rsidR="00C240D3" w:rsidRPr="009D540F" w:rsidRDefault="00C240D3" w:rsidP="005E30F7">
            <w:pPr>
              <w:pStyle w:val="ECCTabletext"/>
            </w:pPr>
            <w:r w:rsidRPr="00C13540">
              <w:t>19</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BF0D429" w14:textId="77777777" w:rsidR="00C240D3" w:rsidRPr="009D540F" w:rsidRDefault="00C240D3" w:rsidP="005E30F7">
            <w:pPr>
              <w:pStyle w:val="ECCTabletext"/>
            </w:pPr>
            <w:r w:rsidRPr="00C13540">
              <w:t>19</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4108013C" w14:textId="77777777" w:rsidR="00C240D3" w:rsidRPr="009D540F" w:rsidRDefault="00C240D3" w:rsidP="005E30F7">
            <w:pPr>
              <w:pStyle w:val="ECCTabletext"/>
            </w:pPr>
            <w:r w:rsidRPr="00C13540">
              <w:t>19</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6B243A8E" w14:textId="77777777" w:rsidR="00C240D3" w:rsidRPr="009D540F" w:rsidRDefault="00C240D3" w:rsidP="005E30F7">
            <w:pPr>
              <w:pStyle w:val="ECCTabletext"/>
            </w:pPr>
            <w:r w:rsidRPr="00C13540">
              <w:t>19</w:t>
            </w:r>
          </w:p>
        </w:tc>
      </w:tr>
      <w:tr w:rsidR="00C240D3" w:rsidRPr="00557B7E" w14:paraId="3FE5FC73" w14:textId="77777777" w:rsidTr="0020516D">
        <w:trPr>
          <w:trHeight w:val="69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2C75E54B" w14:textId="77777777" w:rsidR="00C240D3" w:rsidRPr="009D540F" w:rsidRDefault="00C240D3" w:rsidP="005E30F7">
            <w:pPr>
              <w:pStyle w:val="ECCTabletext"/>
            </w:pPr>
            <w:r w:rsidRPr="009D540F">
              <w:t>(3)</w:t>
            </w:r>
          </w:p>
        </w:tc>
        <w:tc>
          <w:tcPr>
            <w:tcW w:w="2303" w:type="dxa"/>
            <w:tcBorders>
              <w:top w:val="single" w:sz="4" w:space="0" w:color="D2232A"/>
              <w:left w:val="single" w:sz="4" w:space="0" w:color="D2232A"/>
              <w:bottom w:val="single" w:sz="4" w:space="0" w:color="D2232A"/>
              <w:right w:val="single" w:sz="4" w:space="0" w:color="D2232A"/>
            </w:tcBorders>
            <w:vAlign w:val="center"/>
            <w:hideMark/>
          </w:tcPr>
          <w:p w14:paraId="41EA3AAC" w14:textId="77777777" w:rsidR="00C240D3" w:rsidRPr="009D540F" w:rsidRDefault="00C240D3" w:rsidP="005E30F7">
            <w:pPr>
              <w:pStyle w:val="ECCTabletext"/>
            </w:pPr>
            <w:r w:rsidRPr="009D540F">
              <w:t>Power at the satellite before the antenna</w:t>
            </w:r>
          </w:p>
        </w:tc>
        <w:tc>
          <w:tcPr>
            <w:tcW w:w="1525" w:type="dxa"/>
            <w:tcBorders>
              <w:top w:val="single" w:sz="4" w:space="0" w:color="D2232A"/>
              <w:left w:val="single" w:sz="4" w:space="0" w:color="D2232A"/>
              <w:bottom w:val="single" w:sz="4" w:space="0" w:color="D2232A"/>
              <w:right w:val="single" w:sz="4" w:space="0" w:color="D2232A"/>
            </w:tcBorders>
            <w:vAlign w:val="center"/>
            <w:hideMark/>
          </w:tcPr>
          <w:p w14:paraId="51D9BCD0" w14:textId="77777777" w:rsidR="00C240D3" w:rsidRPr="009D540F" w:rsidRDefault="00C240D3" w:rsidP="005E30F7">
            <w:pPr>
              <w:pStyle w:val="ECCTabletext"/>
            </w:pPr>
            <w:r w:rsidRPr="009D540F">
              <w:t>(2) - FSPL</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292D59B8" w14:textId="77777777" w:rsidR="00C240D3" w:rsidRPr="009D540F" w:rsidRDefault="00C240D3" w:rsidP="005E30F7">
            <w:pPr>
              <w:pStyle w:val="ECCTabletext"/>
            </w:pPr>
            <w:r w:rsidRPr="009D540F">
              <w:t>-130.4</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4BD7BFBC" w14:textId="77777777" w:rsidR="00C240D3" w:rsidRPr="009D540F" w:rsidRDefault="00C240D3" w:rsidP="005E30F7">
            <w:pPr>
              <w:pStyle w:val="ECCTabletext"/>
            </w:pPr>
            <w:r w:rsidRPr="009D540F">
              <w:t>-137.0</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2EE36B9C" w14:textId="77777777" w:rsidR="00C240D3" w:rsidRPr="009D540F" w:rsidRDefault="00C240D3" w:rsidP="005E30F7">
            <w:pPr>
              <w:pStyle w:val="ECCTabletext"/>
            </w:pPr>
            <w:r w:rsidRPr="009D540F">
              <w:t>-138.4</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65A4111E" w14:textId="77777777" w:rsidR="00C240D3" w:rsidRPr="009D540F" w:rsidRDefault="00C240D3" w:rsidP="005E30F7">
            <w:pPr>
              <w:pStyle w:val="ECCTabletext"/>
            </w:pPr>
            <w:r w:rsidRPr="009D540F">
              <w:t>-140.1</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623196BF" w14:textId="77777777" w:rsidR="00C240D3" w:rsidRPr="009D540F" w:rsidRDefault="00C240D3" w:rsidP="005E30F7">
            <w:pPr>
              <w:pStyle w:val="ECCTabletext"/>
            </w:pPr>
            <w:r w:rsidRPr="009D540F">
              <w:t>-141.8</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2370F7FA" w14:textId="77777777" w:rsidR="00C240D3" w:rsidRPr="009D540F" w:rsidRDefault="00C240D3" w:rsidP="005E30F7">
            <w:pPr>
              <w:pStyle w:val="ECCTabletext"/>
            </w:pPr>
            <w:r w:rsidRPr="009D540F">
              <w:t>-144.4</w:t>
            </w:r>
          </w:p>
        </w:tc>
      </w:tr>
      <w:tr w:rsidR="00C240D3" w:rsidRPr="00557B7E" w14:paraId="1915C4B9" w14:textId="77777777" w:rsidTr="0020516D">
        <w:trPr>
          <w:trHeight w:val="590"/>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75129E51" w14:textId="77777777" w:rsidR="00C240D3" w:rsidRPr="009D540F" w:rsidRDefault="00C240D3" w:rsidP="005E30F7">
            <w:pPr>
              <w:pStyle w:val="ECCTabletext"/>
            </w:pPr>
            <w:r w:rsidRPr="009D540F">
              <w:t>(4)</w:t>
            </w:r>
          </w:p>
        </w:tc>
        <w:tc>
          <w:tcPr>
            <w:tcW w:w="2303" w:type="dxa"/>
            <w:tcBorders>
              <w:top w:val="single" w:sz="4" w:space="0" w:color="D2232A"/>
              <w:left w:val="single" w:sz="4" w:space="0" w:color="D2232A"/>
              <w:bottom w:val="single" w:sz="4" w:space="0" w:color="D2232A"/>
              <w:right w:val="single" w:sz="4" w:space="0" w:color="D2232A"/>
            </w:tcBorders>
            <w:vAlign w:val="center"/>
            <w:hideMark/>
          </w:tcPr>
          <w:p w14:paraId="665081C2" w14:textId="77777777" w:rsidR="00C240D3" w:rsidRPr="009D540F" w:rsidRDefault="00C240D3" w:rsidP="005E30F7">
            <w:pPr>
              <w:pStyle w:val="ECCTabletext"/>
            </w:pPr>
            <w:r w:rsidRPr="009D540F">
              <w:t>Power after satellite antenna</w:t>
            </w:r>
          </w:p>
        </w:tc>
        <w:tc>
          <w:tcPr>
            <w:tcW w:w="1525" w:type="dxa"/>
            <w:tcBorders>
              <w:top w:val="single" w:sz="4" w:space="0" w:color="D2232A"/>
              <w:left w:val="single" w:sz="4" w:space="0" w:color="D2232A"/>
              <w:bottom w:val="single" w:sz="4" w:space="0" w:color="D2232A"/>
              <w:right w:val="single" w:sz="4" w:space="0" w:color="D2232A"/>
            </w:tcBorders>
            <w:vAlign w:val="center"/>
            <w:hideMark/>
          </w:tcPr>
          <w:p w14:paraId="398EE4E4" w14:textId="77777777" w:rsidR="00C240D3" w:rsidRPr="009D540F" w:rsidRDefault="00C240D3" w:rsidP="005E30F7">
            <w:pPr>
              <w:pStyle w:val="ECCTabletext"/>
            </w:pPr>
            <w:r w:rsidRPr="009D540F">
              <w:t>(3) + G_sat</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9EFCA82" w14:textId="77777777" w:rsidR="00C240D3" w:rsidRPr="009D540F" w:rsidRDefault="00C240D3" w:rsidP="005E30F7">
            <w:pPr>
              <w:pStyle w:val="ECCTabletext"/>
            </w:pPr>
            <w:r w:rsidRPr="009D540F">
              <w:t>-106.1</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3F38A23C" w14:textId="77777777" w:rsidR="00C240D3" w:rsidRPr="009D540F" w:rsidRDefault="00C240D3" w:rsidP="005E30F7">
            <w:pPr>
              <w:pStyle w:val="ECCTabletext"/>
            </w:pPr>
            <w:r w:rsidRPr="009D540F">
              <w:t>-104.5</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7AB4BCCC" w14:textId="77777777" w:rsidR="00C240D3" w:rsidRPr="009D540F" w:rsidRDefault="00C240D3" w:rsidP="005E30F7">
            <w:pPr>
              <w:pStyle w:val="ECCTabletext"/>
            </w:pPr>
            <w:r w:rsidRPr="009D540F">
              <w:t>-105.8</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02BBD89F" w14:textId="77777777" w:rsidR="00C240D3" w:rsidRPr="009D540F" w:rsidRDefault="00C240D3" w:rsidP="005E30F7">
            <w:pPr>
              <w:pStyle w:val="ECCTabletext"/>
            </w:pPr>
            <w:r w:rsidRPr="009D540F">
              <w:t>-107.6</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7B71FEA2" w14:textId="77777777" w:rsidR="00C240D3" w:rsidRPr="009D540F" w:rsidRDefault="00C240D3" w:rsidP="005E30F7">
            <w:pPr>
              <w:pStyle w:val="ECCTabletext"/>
            </w:pPr>
            <w:r w:rsidRPr="009D540F">
              <w:t>-109.3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5F4299DE" w14:textId="77777777" w:rsidR="00C240D3" w:rsidRPr="009D540F" w:rsidRDefault="00C240D3" w:rsidP="005E30F7">
            <w:pPr>
              <w:pStyle w:val="ECCTabletext"/>
            </w:pPr>
            <w:r w:rsidRPr="009D540F">
              <w:t>-108.4</w:t>
            </w:r>
          </w:p>
        </w:tc>
      </w:tr>
      <w:tr w:rsidR="00C240D3" w:rsidRPr="00557B7E" w14:paraId="2B67F499" w14:textId="77777777" w:rsidTr="0020516D">
        <w:trPr>
          <w:trHeight w:val="511"/>
        </w:trPr>
        <w:tc>
          <w:tcPr>
            <w:tcW w:w="557" w:type="dxa"/>
            <w:tcBorders>
              <w:top w:val="single" w:sz="4" w:space="0" w:color="D2232A"/>
              <w:left w:val="single" w:sz="4" w:space="0" w:color="D2232A"/>
              <w:bottom w:val="single" w:sz="4" w:space="0" w:color="D2232A"/>
              <w:right w:val="single" w:sz="4" w:space="0" w:color="D2232A"/>
            </w:tcBorders>
            <w:vAlign w:val="center"/>
            <w:hideMark/>
          </w:tcPr>
          <w:p w14:paraId="7328B656" w14:textId="77777777" w:rsidR="00C240D3" w:rsidRPr="009D540F" w:rsidRDefault="00C240D3" w:rsidP="005E30F7">
            <w:pPr>
              <w:pStyle w:val="ECCTabletext"/>
            </w:pPr>
            <w:r w:rsidRPr="009D540F">
              <w:t>(5)</w:t>
            </w:r>
          </w:p>
        </w:tc>
        <w:tc>
          <w:tcPr>
            <w:tcW w:w="2303" w:type="dxa"/>
            <w:tcBorders>
              <w:top w:val="single" w:sz="4" w:space="0" w:color="D2232A"/>
              <w:left w:val="single" w:sz="4" w:space="0" w:color="D2232A"/>
              <w:bottom w:val="single" w:sz="4" w:space="0" w:color="D2232A"/>
              <w:right w:val="single" w:sz="4" w:space="0" w:color="D2232A"/>
            </w:tcBorders>
            <w:vAlign w:val="center"/>
            <w:hideMark/>
          </w:tcPr>
          <w:p w14:paraId="7BE7E5DE" w14:textId="77777777" w:rsidR="00C240D3" w:rsidRPr="009D540F" w:rsidRDefault="00C240D3" w:rsidP="005E30F7">
            <w:pPr>
              <w:pStyle w:val="ECCTabletext"/>
            </w:pPr>
            <w:r w:rsidRPr="009D540F">
              <w:t>SINR</w:t>
            </w:r>
          </w:p>
        </w:tc>
        <w:tc>
          <w:tcPr>
            <w:tcW w:w="1525" w:type="dxa"/>
            <w:tcBorders>
              <w:top w:val="single" w:sz="4" w:space="0" w:color="D2232A"/>
              <w:left w:val="single" w:sz="4" w:space="0" w:color="D2232A"/>
              <w:bottom w:val="single" w:sz="4" w:space="0" w:color="D2232A"/>
              <w:right w:val="single" w:sz="4" w:space="0" w:color="D2232A"/>
            </w:tcBorders>
            <w:vAlign w:val="center"/>
            <w:hideMark/>
          </w:tcPr>
          <w:p w14:paraId="0A6A73C2" w14:textId="77777777" w:rsidR="00C240D3" w:rsidRPr="009D540F" w:rsidRDefault="00C240D3" w:rsidP="005E30F7">
            <w:pPr>
              <w:pStyle w:val="ECCTabletext"/>
            </w:pPr>
            <w:r w:rsidRPr="009D540F">
              <w:t>(4) - N_SAT</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30E78190" w14:textId="77777777" w:rsidR="00C240D3" w:rsidRPr="009D540F" w:rsidRDefault="00C240D3" w:rsidP="005E30F7">
            <w:pPr>
              <w:pStyle w:val="ECCTabletext"/>
            </w:pPr>
            <w:r w:rsidRPr="009D540F">
              <w:t>11.5</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3C6251F8" w14:textId="77777777" w:rsidR="00C240D3" w:rsidRPr="009D540F" w:rsidRDefault="00C240D3" w:rsidP="005E30F7">
            <w:pPr>
              <w:pStyle w:val="ECCTabletext"/>
            </w:pPr>
            <w:r w:rsidRPr="009D540F">
              <w:t>13.1</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22EF7D13" w14:textId="77777777" w:rsidR="00C240D3" w:rsidRPr="009D540F" w:rsidRDefault="00C240D3" w:rsidP="005E30F7">
            <w:pPr>
              <w:pStyle w:val="ECCTabletext"/>
            </w:pPr>
            <w:r w:rsidRPr="009D540F">
              <w:t>11.8</w:t>
            </w:r>
          </w:p>
        </w:tc>
        <w:tc>
          <w:tcPr>
            <w:tcW w:w="850" w:type="dxa"/>
            <w:tcBorders>
              <w:top w:val="single" w:sz="4" w:space="0" w:color="D2232A"/>
              <w:left w:val="single" w:sz="4" w:space="0" w:color="D2232A"/>
              <w:bottom w:val="single" w:sz="4" w:space="0" w:color="D2232A"/>
              <w:right w:val="single" w:sz="4" w:space="0" w:color="D2232A"/>
            </w:tcBorders>
            <w:vAlign w:val="center"/>
            <w:hideMark/>
          </w:tcPr>
          <w:p w14:paraId="589DFD8B" w14:textId="77777777" w:rsidR="00C240D3" w:rsidRPr="009D540F" w:rsidRDefault="00C240D3" w:rsidP="005E30F7">
            <w:pPr>
              <w:pStyle w:val="ECCTabletext"/>
            </w:pPr>
            <w:r w:rsidRPr="009D540F">
              <w:t>10.0</w:t>
            </w:r>
          </w:p>
        </w:tc>
        <w:tc>
          <w:tcPr>
            <w:tcW w:w="851" w:type="dxa"/>
            <w:tcBorders>
              <w:top w:val="single" w:sz="4" w:space="0" w:color="D2232A"/>
              <w:left w:val="single" w:sz="4" w:space="0" w:color="D2232A"/>
              <w:bottom w:val="single" w:sz="4" w:space="0" w:color="D2232A"/>
              <w:right w:val="single" w:sz="4" w:space="0" w:color="D2232A"/>
            </w:tcBorders>
            <w:vAlign w:val="center"/>
            <w:hideMark/>
          </w:tcPr>
          <w:p w14:paraId="4014ADD0" w14:textId="77777777" w:rsidR="00C240D3" w:rsidRPr="009D540F" w:rsidRDefault="00C240D3" w:rsidP="005E30F7">
            <w:pPr>
              <w:pStyle w:val="ECCTabletext"/>
            </w:pPr>
            <w:r w:rsidRPr="009D540F">
              <w:t>8.3</w:t>
            </w:r>
          </w:p>
        </w:tc>
        <w:tc>
          <w:tcPr>
            <w:tcW w:w="992" w:type="dxa"/>
            <w:tcBorders>
              <w:top w:val="single" w:sz="4" w:space="0" w:color="D2232A"/>
              <w:left w:val="single" w:sz="4" w:space="0" w:color="D2232A"/>
              <w:bottom w:val="single" w:sz="4" w:space="0" w:color="D2232A"/>
              <w:right w:val="single" w:sz="4" w:space="0" w:color="D2232A"/>
            </w:tcBorders>
            <w:vAlign w:val="center"/>
            <w:hideMark/>
          </w:tcPr>
          <w:p w14:paraId="745CE91D" w14:textId="77777777" w:rsidR="00C240D3" w:rsidRPr="009D540F" w:rsidRDefault="00C240D3" w:rsidP="005E30F7">
            <w:pPr>
              <w:pStyle w:val="ECCTabletext"/>
            </w:pPr>
            <w:r w:rsidRPr="009D540F">
              <w:t>9.2</w:t>
            </w:r>
          </w:p>
        </w:tc>
      </w:tr>
    </w:tbl>
    <w:p w14:paraId="4E1F5D2F" w14:textId="77777777" w:rsidR="00C240D3" w:rsidRDefault="00C240D3" w:rsidP="00C240D3">
      <w:pPr>
        <w:pStyle w:val="ECCParagraph"/>
      </w:pPr>
      <w:bookmarkStart w:id="51" w:name="_Ref29893625"/>
    </w:p>
    <w:p w14:paraId="2446B87B" w14:textId="77777777" w:rsidR="00C240D3" w:rsidRPr="00043CE4" w:rsidRDefault="00C240D3" w:rsidP="00C240D3">
      <w:pPr>
        <w:pStyle w:val="ECCAnnexheading1"/>
      </w:pPr>
      <w:bookmarkStart w:id="52" w:name="_Toc230352068"/>
      <w:bookmarkStart w:id="53" w:name="_Toc230352876"/>
      <w:bookmarkStart w:id="54" w:name="_Toc230360707"/>
      <w:r w:rsidRPr="00043CE4">
        <w:rPr>
          <w:rFonts w:asciiTheme="minorHAnsi" w:eastAsiaTheme="minorHAnsi" w:hAnsiTheme="minorHAnsi" w:cstheme="minorBidi"/>
          <w:noProof/>
          <w:szCs w:val="22"/>
          <w:lang w:val="fr-FR" w:eastAsia="fr-FR"/>
        </w:rPr>
        <w:lastRenderedPageBreak/>
        <w:drawing>
          <wp:anchor distT="0" distB="0" distL="114300" distR="114300" simplePos="0" relativeHeight="251658244" behindDoc="0" locked="0" layoutInCell="1" allowOverlap="1" wp14:anchorId="4F565B8A" wp14:editId="3F028FEE">
            <wp:simplePos x="0" y="0"/>
            <wp:positionH relativeFrom="page">
              <wp:posOffset>5047835</wp:posOffset>
            </wp:positionH>
            <wp:positionV relativeFrom="paragraph">
              <wp:posOffset>294262</wp:posOffset>
            </wp:positionV>
            <wp:extent cx="165100" cy="114300"/>
            <wp:effectExtent l="0" t="0" r="6350" b="0"/>
            <wp:wrapNone/>
            <wp:docPr id="1084486748"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t>EC</w:t>
      </w:r>
      <w:r w:rsidRPr="00043CE4">
        <w:t xml:space="preserve"> Mandate</w:t>
      </w:r>
      <w:bookmarkEnd w:id="51"/>
      <w:bookmarkEnd w:id="52"/>
      <w:bookmarkEnd w:id="53"/>
      <w:bookmarkEnd w:id="54"/>
      <w:r w:rsidRPr="00043CE4">
        <w:t xml:space="preserve"> </w:t>
      </w:r>
    </w:p>
    <w:p w14:paraId="48200972" w14:textId="77777777" w:rsidR="00C240D3" w:rsidRPr="00043CE4" w:rsidRDefault="00C240D3" w:rsidP="00C240D3">
      <w:pPr>
        <w:spacing w:before="70"/>
        <w:ind w:right="110"/>
        <w:jc w:val="right"/>
        <w:rPr>
          <w:rFonts w:eastAsia="Arial" w:cs="Arial"/>
          <w:sz w:val="16"/>
          <w:szCs w:val="16"/>
          <w:lang w:val="en-GB"/>
        </w:rPr>
      </w:pPr>
      <w:r w:rsidRPr="00043CE4">
        <w:rPr>
          <w:spacing w:val="-8"/>
          <w:sz w:val="16"/>
          <w:lang w:val="en-GB"/>
        </w:rPr>
        <w:t>Ref.</w:t>
      </w:r>
      <w:r w:rsidRPr="00043CE4">
        <w:rPr>
          <w:spacing w:val="-19"/>
          <w:sz w:val="16"/>
          <w:lang w:val="en-GB"/>
        </w:rPr>
        <w:t xml:space="preserve"> </w:t>
      </w:r>
      <w:r w:rsidRPr="00043CE4">
        <w:rPr>
          <w:spacing w:val="-10"/>
          <w:sz w:val="16"/>
          <w:lang w:val="en-GB"/>
        </w:rPr>
        <w:t>Ares(20</w:t>
      </w:r>
      <w:r>
        <w:rPr>
          <w:spacing w:val="-10"/>
          <w:sz w:val="16"/>
          <w:lang w:val="en-GB"/>
        </w:rPr>
        <w:t>25</w:t>
      </w:r>
      <w:r w:rsidRPr="00043CE4">
        <w:rPr>
          <w:spacing w:val="-10"/>
          <w:sz w:val="16"/>
          <w:lang w:val="en-GB"/>
        </w:rPr>
        <w:t>)</w:t>
      </w:r>
      <w:r>
        <w:rPr>
          <w:spacing w:val="-10"/>
          <w:sz w:val="16"/>
          <w:lang w:val="en-GB"/>
        </w:rPr>
        <w:t>9157699</w:t>
      </w:r>
      <w:r w:rsidRPr="00043CE4">
        <w:rPr>
          <w:spacing w:val="-19"/>
          <w:sz w:val="16"/>
          <w:lang w:val="en-GB"/>
        </w:rPr>
        <w:t xml:space="preserve"> </w:t>
      </w:r>
      <w:r>
        <w:rPr>
          <w:sz w:val="16"/>
          <w:lang w:val="en-GB"/>
        </w:rPr>
        <w:t>–</w:t>
      </w:r>
      <w:r w:rsidRPr="00043CE4">
        <w:rPr>
          <w:spacing w:val="-19"/>
          <w:sz w:val="16"/>
          <w:lang w:val="en-GB"/>
        </w:rPr>
        <w:t xml:space="preserve"> </w:t>
      </w:r>
      <w:r>
        <w:rPr>
          <w:spacing w:val="-10"/>
          <w:sz w:val="16"/>
          <w:lang w:val="en-GB"/>
        </w:rPr>
        <w:t>27</w:t>
      </w:r>
      <w:r w:rsidRPr="00043CE4">
        <w:rPr>
          <w:spacing w:val="-10"/>
          <w:sz w:val="16"/>
          <w:lang w:val="en-GB"/>
        </w:rPr>
        <w:t>/1</w:t>
      </w:r>
      <w:r>
        <w:rPr>
          <w:spacing w:val="-10"/>
          <w:sz w:val="16"/>
          <w:lang w:val="en-GB"/>
        </w:rPr>
        <w:t>0</w:t>
      </w:r>
      <w:r w:rsidRPr="00043CE4">
        <w:rPr>
          <w:spacing w:val="-10"/>
          <w:sz w:val="16"/>
          <w:lang w:val="en-GB"/>
        </w:rPr>
        <w:t>/20</w:t>
      </w:r>
      <w:r>
        <w:rPr>
          <w:spacing w:val="-10"/>
          <w:sz w:val="16"/>
          <w:lang w:val="en-GB"/>
        </w:rPr>
        <w:t>25</w:t>
      </w:r>
    </w:p>
    <w:p w14:paraId="10172E30" w14:textId="77777777" w:rsidR="00C240D3" w:rsidRPr="00043CE4" w:rsidRDefault="00C240D3" w:rsidP="00C240D3">
      <w:pPr>
        <w:spacing w:before="8"/>
        <w:rPr>
          <w:rFonts w:eastAsia="Arial" w:cs="Arial"/>
          <w:sz w:val="17"/>
          <w:szCs w:val="17"/>
          <w:lang w:val="en-GB"/>
        </w:rPr>
      </w:pPr>
    </w:p>
    <w:p w14:paraId="64539DC2" w14:textId="77777777" w:rsidR="00C240D3" w:rsidRPr="00043CE4" w:rsidRDefault="00C240D3" w:rsidP="00C240D3">
      <w:pPr>
        <w:pStyle w:val="BodyText"/>
        <w:spacing w:before="69"/>
        <w:ind w:left="2488"/>
        <w:rPr>
          <w:rFonts w:ascii="Arial" w:eastAsia="Arial" w:hAnsi="Arial" w:cs="Arial"/>
        </w:rPr>
      </w:pPr>
      <w:r w:rsidRPr="00043CE4">
        <w:rPr>
          <w:noProof/>
          <w:lang w:val="fr-FR" w:eastAsia="fr-FR"/>
        </w:rPr>
        <w:drawing>
          <wp:anchor distT="0" distB="0" distL="114300" distR="114300" simplePos="0" relativeHeight="251658243" behindDoc="0" locked="0" layoutInCell="1" allowOverlap="1" wp14:anchorId="60586C49" wp14:editId="3B3F09A8">
            <wp:simplePos x="0" y="0"/>
            <wp:positionH relativeFrom="page">
              <wp:posOffset>1009403</wp:posOffset>
            </wp:positionH>
            <wp:positionV relativeFrom="paragraph">
              <wp:posOffset>137309</wp:posOffset>
            </wp:positionV>
            <wp:extent cx="1062841" cy="525000"/>
            <wp:effectExtent l="0" t="0" r="4445" b="8890"/>
            <wp:wrapNone/>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2666" cy="5249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CE4">
        <w:rPr>
          <w:rFonts w:ascii="Arial"/>
          <w:spacing w:val="-1"/>
        </w:rPr>
        <w:t>EUROPEAN</w:t>
      </w:r>
      <w:r w:rsidRPr="00043CE4">
        <w:rPr>
          <w:rFonts w:ascii="Arial"/>
          <w:spacing w:val="-20"/>
        </w:rPr>
        <w:t xml:space="preserve"> </w:t>
      </w:r>
      <w:r w:rsidRPr="00043CE4">
        <w:rPr>
          <w:rFonts w:ascii="Arial"/>
          <w:spacing w:val="-1"/>
        </w:rPr>
        <w:t>COMMISSION</w:t>
      </w:r>
    </w:p>
    <w:p w14:paraId="76D80FC3" w14:textId="77777777" w:rsidR="00C240D3" w:rsidRPr="00043CE4" w:rsidRDefault="00C240D3" w:rsidP="00C240D3">
      <w:pPr>
        <w:tabs>
          <w:tab w:val="left" w:pos="7641"/>
        </w:tabs>
        <w:spacing w:line="720" w:lineRule="auto"/>
        <w:ind w:left="2488" w:right="1998"/>
        <w:rPr>
          <w:rFonts w:eastAsia="Arial" w:cs="Arial"/>
          <w:sz w:val="16"/>
          <w:szCs w:val="16"/>
          <w:lang w:val="en-GB"/>
        </w:rPr>
      </w:pPr>
      <w:r w:rsidRPr="00043CE4">
        <w:rPr>
          <w:sz w:val="16"/>
          <w:lang w:val="en-GB"/>
        </w:rPr>
        <w:t>Directorate-General</w:t>
      </w:r>
      <w:r w:rsidRPr="00043CE4">
        <w:rPr>
          <w:spacing w:val="-9"/>
          <w:sz w:val="16"/>
          <w:lang w:val="en-GB"/>
        </w:rPr>
        <w:t xml:space="preserve"> </w:t>
      </w:r>
      <w:r w:rsidRPr="00043CE4">
        <w:rPr>
          <w:sz w:val="16"/>
          <w:lang w:val="en-GB"/>
        </w:rPr>
        <w:t>for</w:t>
      </w:r>
      <w:r w:rsidRPr="00043CE4">
        <w:rPr>
          <w:spacing w:val="-9"/>
          <w:sz w:val="16"/>
          <w:lang w:val="en-GB"/>
        </w:rPr>
        <w:t xml:space="preserve"> </w:t>
      </w:r>
      <w:r w:rsidRPr="00043CE4">
        <w:rPr>
          <w:sz w:val="16"/>
          <w:lang w:val="en-GB"/>
        </w:rPr>
        <w:t>Communications</w:t>
      </w:r>
      <w:r w:rsidRPr="00043CE4">
        <w:rPr>
          <w:spacing w:val="-9"/>
          <w:sz w:val="16"/>
          <w:lang w:val="en-GB"/>
        </w:rPr>
        <w:t xml:space="preserve"> </w:t>
      </w:r>
      <w:r w:rsidRPr="00043CE4">
        <w:rPr>
          <w:spacing w:val="-1"/>
          <w:sz w:val="16"/>
          <w:lang w:val="en-GB"/>
        </w:rPr>
        <w:t>Networks,</w:t>
      </w:r>
      <w:r w:rsidRPr="00043CE4">
        <w:rPr>
          <w:spacing w:val="-8"/>
          <w:sz w:val="16"/>
          <w:lang w:val="en-GB"/>
        </w:rPr>
        <w:t xml:space="preserve"> </w:t>
      </w:r>
      <w:r w:rsidRPr="00043CE4">
        <w:rPr>
          <w:sz w:val="16"/>
          <w:lang w:val="en-GB"/>
        </w:rPr>
        <w:t>Content</w:t>
      </w:r>
      <w:r w:rsidRPr="00043CE4">
        <w:rPr>
          <w:spacing w:val="-8"/>
          <w:sz w:val="16"/>
          <w:lang w:val="en-GB"/>
        </w:rPr>
        <w:t xml:space="preserve"> </w:t>
      </w:r>
      <w:r w:rsidRPr="00043CE4">
        <w:rPr>
          <w:sz w:val="16"/>
          <w:lang w:val="en-GB"/>
        </w:rPr>
        <w:t>and</w:t>
      </w:r>
      <w:r w:rsidRPr="00043CE4">
        <w:rPr>
          <w:spacing w:val="-8"/>
          <w:sz w:val="16"/>
          <w:lang w:val="en-GB"/>
        </w:rPr>
        <w:t xml:space="preserve"> </w:t>
      </w:r>
      <w:r w:rsidRPr="00043CE4">
        <w:rPr>
          <w:sz w:val="16"/>
          <w:lang w:val="en-GB"/>
        </w:rPr>
        <w:t>Technology</w:t>
      </w:r>
      <w:r w:rsidRPr="00043CE4">
        <w:rPr>
          <w:spacing w:val="26"/>
          <w:w w:val="99"/>
          <w:sz w:val="16"/>
          <w:lang w:val="en-GB"/>
        </w:rPr>
        <w:t xml:space="preserve"> </w:t>
      </w:r>
      <w:r w:rsidRPr="00043CE4">
        <w:rPr>
          <w:sz w:val="16"/>
          <w:lang w:val="en-GB"/>
        </w:rPr>
        <w:t>Director-General</w:t>
      </w:r>
    </w:p>
    <w:p w14:paraId="59E1A872" w14:textId="77777777" w:rsidR="00C240D3" w:rsidRPr="00043CE4" w:rsidRDefault="00C240D3" w:rsidP="00C240D3">
      <w:pPr>
        <w:ind w:left="5867"/>
        <w:rPr>
          <w:rFonts w:ascii="Times New Roman" w:hAnsi="Times New Roman"/>
          <w:lang w:val="en-GB"/>
        </w:rPr>
      </w:pPr>
      <w:r w:rsidRPr="00043CE4">
        <w:rPr>
          <w:rFonts w:ascii="Times New Roman"/>
          <w:sz w:val="22"/>
          <w:lang w:val="en-GB"/>
        </w:rPr>
        <w:t>Brussels,</w:t>
      </w:r>
    </w:p>
    <w:p w14:paraId="4107F9F3" w14:textId="77777777" w:rsidR="00C240D3" w:rsidRPr="00043CE4" w:rsidRDefault="00C240D3" w:rsidP="00C240D3">
      <w:pPr>
        <w:ind w:left="5867"/>
        <w:rPr>
          <w:rFonts w:ascii="Times New Roman" w:hAnsi="Times New Roman"/>
          <w:lang w:val="en-GB"/>
        </w:rPr>
      </w:pPr>
      <w:r w:rsidRPr="00043CE4">
        <w:rPr>
          <w:rFonts w:ascii="Times New Roman"/>
          <w:spacing w:val="-1"/>
          <w:sz w:val="22"/>
          <w:lang w:val="en-GB"/>
        </w:rPr>
        <w:t>DG</w:t>
      </w:r>
      <w:r w:rsidRPr="00043CE4">
        <w:rPr>
          <w:rFonts w:ascii="Times New Roman"/>
          <w:spacing w:val="-14"/>
          <w:sz w:val="22"/>
          <w:lang w:val="en-GB"/>
        </w:rPr>
        <w:t xml:space="preserve"> </w:t>
      </w:r>
      <w:r w:rsidRPr="00043CE4">
        <w:rPr>
          <w:rFonts w:ascii="Times New Roman"/>
          <w:sz w:val="22"/>
          <w:lang w:val="en-GB"/>
        </w:rPr>
        <w:t>CNECT</w:t>
      </w:r>
    </w:p>
    <w:p w14:paraId="6A0CC5A1" w14:textId="77777777" w:rsidR="00C240D3" w:rsidRPr="00043CE4" w:rsidRDefault="00C240D3" w:rsidP="00C240D3">
      <w:pPr>
        <w:spacing w:before="11"/>
        <w:rPr>
          <w:rFonts w:ascii="Times New Roman" w:hAnsi="Times New Roman"/>
          <w:sz w:val="14"/>
          <w:szCs w:val="14"/>
          <w:lang w:val="en-GB"/>
        </w:rPr>
      </w:pPr>
    </w:p>
    <w:p w14:paraId="07068FFA" w14:textId="77777777" w:rsidR="00C240D3" w:rsidRPr="00043CE4" w:rsidRDefault="00C240D3" w:rsidP="00C240D3">
      <w:pPr>
        <w:spacing w:before="69"/>
        <w:ind w:right="1068"/>
        <w:jc w:val="center"/>
        <w:rPr>
          <w:rFonts w:ascii="Times New Roman" w:hAnsi="Times New Roman"/>
          <w:sz w:val="24"/>
          <w:lang w:val="en-GB"/>
        </w:rPr>
      </w:pPr>
      <w:r w:rsidRPr="00043CE4">
        <w:rPr>
          <w:rFonts w:ascii="Times New Roman"/>
          <w:b/>
          <w:spacing w:val="-1"/>
          <w:sz w:val="24"/>
          <w:lang w:val="en-GB"/>
        </w:rPr>
        <w:t>M</w:t>
      </w:r>
      <w:r w:rsidRPr="00043CE4">
        <w:rPr>
          <w:rFonts w:ascii="Times New Roman"/>
          <w:b/>
          <w:spacing w:val="-1"/>
          <w:sz w:val="19"/>
          <w:lang w:val="en-GB"/>
        </w:rPr>
        <w:t>ANDATE</w:t>
      </w:r>
      <w:r w:rsidRPr="00043CE4">
        <w:rPr>
          <w:rFonts w:ascii="Times New Roman"/>
          <w:b/>
          <w:spacing w:val="-9"/>
          <w:sz w:val="19"/>
          <w:lang w:val="en-GB"/>
        </w:rPr>
        <w:t xml:space="preserve"> </w:t>
      </w:r>
      <w:r w:rsidRPr="00043CE4">
        <w:rPr>
          <w:rFonts w:ascii="Times New Roman"/>
          <w:b/>
          <w:spacing w:val="-1"/>
          <w:sz w:val="19"/>
          <w:lang w:val="en-GB"/>
        </w:rPr>
        <w:t>TO</w:t>
      </w:r>
      <w:r w:rsidRPr="00043CE4">
        <w:rPr>
          <w:rFonts w:ascii="Times New Roman"/>
          <w:b/>
          <w:spacing w:val="-10"/>
          <w:sz w:val="19"/>
          <w:lang w:val="en-GB"/>
        </w:rPr>
        <w:t xml:space="preserve"> </w:t>
      </w:r>
      <w:r w:rsidRPr="00043CE4">
        <w:rPr>
          <w:rFonts w:ascii="Times New Roman"/>
          <w:b/>
          <w:spacing w:val="-1"/>
          <w:sz w:val="24"/>
          <w:lang w:val="en-GB"/>
        </w:rPr>
        <w:t>CEPT</w:t>
      </w:r>
    </w:p>
    <w:p w14:paraId="21CE1F2C" w14:textId="77777777" w:rsidR="00C240D3" w:rsidRPr="00925103" w:rsidRDefault="00C240D3" w:rsidP="00C240D3">
      <w:pPr>
        <w:rPr>
          <w:rFonts w:ascii="Times New Roman"/>
          <w:b/>
          <w:sz w:val="19"/>
          <w:lang w:val="en-GB"/>
        </w:rPr>
      </w:pPr>
    </w:p>
    <w:p w14:paraId="7B8E9B0B" w14:textId="77777777" w:rsidR="00C240D3" w:rsidRPr="000F0735" w:rsidRDefault="00C240D3" w:rsidP="00C240D3">
      <w:pPr>
        <w:jc w:val="center"/>
        <w:rPr>
          <w:rFonts w:ascii="Times New Roman" w:hAnsi="Times New Roman"/>
          <w:b/>
          <w:bCs/>
          <w:sz w:val="24"/>
          <w:lang w:val="en-GB"/>
        </w:rPr>
      </w:pPr>
      <w:r w:rsidRPr="000F0735">
        <w:rPr>
          <w:rFonts w:ascii="Times New Roman"/>
          <w:b/>
          <w:bCs/>
          <w:sz w:val="19"/>
          <w:lang w:val="en-GB"/>
        </w:rPr>
        <w:t>TO STUDY FEASIBILITY OF AND DEVELOP LEAST RESTRICTIVE HARMONISED TECHNICAL CONDITIONS FOR THE USE OF EU-HARMONISED FREQUENCY BANDS FOR TERRESTRIAL WIRELESS SYSTEMS PROVIDING ELECTRONIC COMMUNICATIONS SERVICES BY SATELLITE SYSTEMS PROVIDING DIRECT-TO-DEVICE-IMT1</w:t>
      </w:r>
      <w:r>
        <w:rPr>
          <w:rStyle w:val="FootnoteReference"/>
          <w:rFonts w:ascii="Times New Roman"/>
          <w:b/>
          <w:bCs/>
          <w:sz w:val="19"/>
          <w:lang w:val="en-GB"/>
        </w:rPr>
        <w:footnoteReference w:id="2"/>
      </w:r>
      <w:r w:rsidRPr="000F0735">
        <w:rPr>
          <w:rFonts w:ascii="Times New Roman"/>
          <w:b/>
          <w:bCs/>
          <w:sz w:val="19"/>
          <w:lang w:val="en-GB"/>
        </w:rPr>
        <w:t xml:space="preserve"> CONNECTIVITY</w:t>
      </w:r>
    </w:p>
    <w:p w14:paraId="28DF00D0" w14:textId="77777777" w:rsidR="00C240D3" w:rsidRPr="00043CE4" w:rsidRDefault="00C240D3" w:rsidP="005B315C">
      <w:pPr>
        <w:widowControl w:val="0"/>
        <w:numPr>
          <w:ilvl w:val="0"/>
          <w:numId w:val="16"/>
        </w:numPr>
        <w:tabs>
          <w:tab w:val="left" w:pos="588"/>
        </w:tabs>
        <w:jc w:val="both"/>
        <w:rPr>
          <w:rFonts w:ascii="Times New Roman" w:hAnsi="Times New Roman"/>
          <w:sz w:val="19"/>
          <w:szCs w:val="19"/>
          <w:lang w:val="en-GB"/>
        </w:rPr>
      </w:pPr>
      <w:r w:rsidRPr="00043CE4">
        <w:rPr>
          <w:rFonts w:ascii="Times New Roman"/>
          <w:b/>
          <w:spacing w:val="-1"/>
          <w:sz w:val="24"/>
          <w:lang w:val="en-GB"/>
        </w:rPr>
        <w:t>P</w:t>
      </w:r>
      <w:r w:rsidRPr="00043CE4">
        <w:rPr>
          <w:rFonts w:ascii="Times New Roman"/>
          <w:b/>
          <w:spacing w:val="-1"/>
          <w:sz w:val="19"/>
          <w:lang w:val="en-GB"/>
        </w:rPr>
        <w:t>URPOSE</w:t>
      </w:r>
    </w:p>
    <w:p w14:paraId="0E2F034F" w14:textId="77777777" w:rsidR="00C240D3" w:rsidRPr="00043CE4" w:rsidRDefault="00C240D3" w:rsidP="00C240D3">
      <w:pPr>
        <w:spacing w:before="8"/>
        <w:rPr>
          <w:rFonts w:ascii="Times New Roman" w:hAnsi="Times New Roman"/>
          <w:b/>
          <w:bCs/>
          <w:szCs w:val="20"/>
          <w:lang w:val="en-GB"/>
        </w:rPr>
      </w:pPr>
    </w:p>
    <w:p w14:paraId="3C9E95B6" w14:textId="77777777" w:rsidR="00C240D3" w:rsidRPr="00043CE4" w:rsidRDefault="00C240D3" w:rsidP="00C240D3">
      <w:pPr>
        <w:pStyle w:val="BodyText"/>
        <w:ind w:right="283"/>
        <w:jc w:val="both"/>
        <w:rPr>
          <w:sz w:val="16"/>
          <w:szCs w:val="16"/>
        </w:rPr>
      </w:pPr>
      <w:r w:rsidRPr="000F0735">
        <w:t>The objective of this Mandate is to study feasibility and develop harmonised technical conditions for the use of EU-harmonised frequency bands for the terrestrial provision of electronic communications services (ECS) also by satellite systems providing Direct-to-Device-IMT (D2D-IMT) connectivity2</w:t>
      </w:r>
      <w:r>
        <w:rPr>
          <w:rStyle w:val="FootnoteReference"/>
        </w:rPr>
        <w:footnoteReference w:id="3"/>
      </w:r>
      <w:r w:rsidRPr="000F0735">
        <w:t>. Such use should protect the continued use of those bands by terrestrial wireless systems providing ECS, as well as ensure appropriate protection or coexistence with other incumbent services in those bands and in adjacent bands, including across Member States’ borders and at the EU’s external border. Satellite systems providing D2D-IMT connectivity are intended to complement the coverage of terrestrial wireless systems providing ECS</w:t>
      </w:r>
      <w:r w:rsidRPr="00043CE4">
        <w:t>.</w:t>
      </w:r>
    </w:p>
    <w:p w14:paraId="2AE240CF" w14:textId="77777777" w:rsidR="00C240D3" w:rsidRPr="00043CE4" w:rsidRDefault="00C240D3" w:rsidP="005B315C">
      <w:pPr>
        <w:widowControl w:val="0"/>
        <w:numPr>
          <w:ilvl w:val="0"/>
          <w:numId w:val="16"/>
        </w:numPr>
        <w:tabs>
          <w:tab w:val="left" w:pos="588"/>
        </w:tabs>
        <w:spacing w:before="206"/>
        <w:jc w:val="both"/>
        <w:rPr>
          <w:rFonts w:ascii="Times New Roman" w:hAnsi="Times New Roman"/>
          <w:sz w:val="19"/>
          <w:szCs w:val="19"/>
          <w:lang w:val="en-GB"/>
        </w:rPr>
      </w:pPr>
      <w:r w:rsidRPr="00043CE4">
        <w:rPr>
          <w:rFonts w:ascii="Times New Roman"/>
          <w:b/>
          <w:spacing w:val="-1"/>
          <w:sz w:val="24"/>
          <w:lang w:val="en-GB"/>
        </w:rPr>
        <w:t>B</w:t>
      </w:r>
      <w:r w:rsidRPr="00043CE4">
        <w:rPr>
          <w:rFonts w:ascii="Times New Roman"/>
          <w:b/>
          <w:spacing w:val="-1"/>
          <w:sz w:val="19"/>
          <w:lang w:val="en-GB"/>
        </w:rPr>
        <w:t>ACKGROUND</w:t>
      </w:r>
    </w:p>
    <w:p w14:paraId="44DD08EF" w14:textId="77777777" w:rsidR="00C240D3" w:rsidRPr="00043CE4" w:rsidRDefault="00C240D3" w:rsidP="00C240D3">
      <w:pPr>
        <w:spacing w:before="11"/>
        <w:rPr>
          <w:rFonts w:ascii="Times New Roman" w:hAnsi="Times New Roman"/>
          <w:b/>
          <w:bCs/>
          <w:szCs w:val="20"/>
          <w:lang w:val="en-GB"/>
        </w:rPr>
      </w:pPr>
    </w:p>
    <w:p w14:paraId="7B1E813F" w14:textId="77777777" w:rsidR="00934BED" w:rsidRDefault="00C240D3" w:rsidP="00934BED">
      <w:pPr>
        <w:pStyle w:val="BodyText"/>
        <w:spacing w:line="276" w:lineRule="exact"/>
        <w:ind w:right="283"/>
        <w:jc w:val="both"/>
      </w:pPr>
      <w:r w:rsidRPr="000F0735">
        <w:t>Satellite connectivity has been rapidly evolving and gaining importance during the current decade based on technological innovation (in particular, the launch of constellations of small-size low-earth orbit (LEO) satellites), cost-efficient satellite production and launch, as well as the growing market demand for ubiquitous broadband and internet services, including in rural and remote areas. While satellite systems providing D2D connectivity have been using dedicated spectrum such as for the Mobile Satellite Service (MSS)3</w:t>
      </w:r>
      <w:r>
        <w:rPr>
          <w:rStyle w:val="FootnoteReference"/>
        </w:rPr>
        <w:footnoteReference w:id="4"/>
      </w:r>
      <w:r w:rsidRPr="000F0735">
        <w:t>, the use of radio spectrum harmonised for and authorised to terrestrial wireless systems providing ECS, also by satellite systems providing D2D-IMT connectivity, has become an emerging business model for both, satellite and mobile operators, with the goal to improve coverage for mobile users</w:t>
      </w:r>
      <w:r>
        <w:rPr>
          <w:rStyle w:val="FootnoteReference"/>
        </w:rPr>
        <w:footnoteReference w:id="5"/>
      </w:r>
      <w:r w:rsidRPr="000F0735">
        <w:t>, mainly with</w:t>
      </w:r>
      <w:r>
        <w:t xml:space="preserve"> </w:t>
      </w:r>
    </w:p>
    <w:p w14:paraId="6EAC9A74" w14:textId="224F078C" w:rsidR="00C240D3" w:rsidRPr="00043CE4" w:rsidRDefault="00C240D3" w:rsidP="00C240D3">
      <w:pPr>
        <w:pStyle w:val="BodyText"/>
        <w:spacing w:line="276" w:lineRule="exact"/>
        <w:ind w:right="283"/>
        <w:jc w:val="both"/>
      </w:pPr>
      <w:r w:rsidRPr="000F0735">
        <w:lastRenderedPageBreak/>
        <w:t>off-the-shelf terminal stations (e.g. smart phones), and optimise network investment cost. The usage of off-the-shelf terminal stations, capable to communicate with both satellite systems providing D2D-IMT connectivity and terrestrial wireless systems providing ECS, has received substantial support in standardisation. Satellite D2D-IMT connectivity is subject to growth of innovative developments</w:t>
      </w:r>
      <w:r w:rsidRPr="00043CE4">
        <w:t>.</w:t>
      </w:r>
    </w:p>
    <w:p w14:paraId="6EAE47FA" w14:textId="77777777" w:rsidR="00C240D3" w:rsidRDefault="00C240D3" w:rsidP="00C240D3">
      <w:pPr>
        <w:pStyle w:val="BodyText"/>
        <w:ind w:right="113"/>
        <w:jc w:val="both"/>
        <w:rPr>
          <w:spacing w:val="-1"/>
        </w:rPr>
      </w:pPr>
    </w:p>
    <w:p w14:paraId="2F0C3B21" w14:textId="77777777" w:rsidR="00C240D3" w:rsidRDefault="00C240D3" w:rsidP="00C240D3">
      <w:pPr>
        <w:pStyle w:val="BodyText"/>
        <w:ind w:right="113"/>
        <w:jc w:val="both"/>
        <w:rPr>
          <w:spacing w:val="-1"/>
        </w:rPr>
      </w:pPr>
      <w:r w:rsidRPr="000F0735">
        <w:rPr>
          <w:spacing w:val="-1"/>
        </w:rPr>
        <w:t xml:space="preserve">At present, satellite D2D-IMT deployments are largely driven by non-EU operators and take place outside the EU territory operating under the provisions of Article 4.4 of the ITU Radio Regulations (ITU RR), i.e. on a non-protection and non-interference basis. </w:t>
      </w:r>
    </w:p>
    <w:p w14:paraId="03453DD4" w14:textId="77777777" w:rsidR="00C240D3" w:rsidRPr="000F0735" w:rsidRDefault="00C240D3" w:rsidP="00C240D3">
      <w:pPr>
        <w:pStyle w:val="BodyText"/>
        <w:ind w:right="113"/>
        <w:jc w:val="both"/>
        <w:rPr>
          <w:spacing w:val="-1"/>
        </w:rPr>
      </w:pPr>
    </w:p>
    <w:p w14:paraId="1261A384" w14:textId="77777777" w:rsidR="00C240D3" w:rsidRDefault="00C240D3" w:rsidP="00C240D3">
      <w:pPr>
        <w:pStyle w:val="BodyText"/>
        <w:ind w:right="113"/>
        <w:jc w:val="both"/>
        <w:rPr>
          <w:spacing w:val="-1"/>
        </w:rPr>
      </w:pPr>
      <w:r w:rsidRPr="000F0735">
        <w:rPr>
          <w:spacing w:val="-1"/>
        </w:rPr>
        <w:t>Beyond spectrum harmonisation, the introduction of satellite D2D-IMT services in EU-harmonised bands, which are used for the terrestrial provision of ECS, should be subject to national measures ensuring that Member States retain the ability to supervise, maintain or interrupt such services within their national territory, especially in cases of crisis or safeguarding public security.</w:t>
      </w:r>
    </w:p>
    <w:p w14:paraId="46CACCF5" w14:textId="77777777" w:rsidR="00C240D3" w:rsidRDefault="00C240D3" w:rsidP="00C240D3">
      <w:pPr>
        <w:pStyle w:val="BodyText"/>
        <w:ind w:right="113"/>
        <w:jc w:val="both"/>
        <w:rPr>
          <w:spacing w:val="-1"/>
        </w:rPr>
      </w:pPr>
    </w:p>
    <w:p w14:paraId="6D25A0DA" w14:textId="77777777" w:rsidR="00C240D3" w:rsidRDefault="00C240D3" w:rsidP="00C240D3">
      <w:pPr>
        <w:pStyle w:val="BodyText"/>
        <w:ind w:right="113"/>
        <w:jc w:val="both"/>
        <w:rPr>
          <w:spacing w:val="-1"/>
        </w:rPr>
      </w:pPr>
      <w:r w:rsidRPr="00A003C1">
        <w:rPr>
          <w:spacing w:val="-1"/>
        </w:rPr>
        <w:t>The World Radiocommunication Conference in 2027 (WRC-27) will consider under its agenda item 1.13</w:t>
      </w:r>
      <w:r>
        <w:rPr>
          <w:rStyle w:val="FootnoteReference"/>
          <w:spacing w:val="-1"/>
        </w:rPr>
        <w:footnoteReference w:id="6"/>
      </w:r>
      <w:r w:rsidRPr="00A003C1">
        <w:rPr>
          <w:spacing w:val="-1"/>
        </w:rPr>
        <w:t xml:space="preserve"> regulatory actions, including possible new MSS allocations, for satellite D2D connectivity to off-the-shelf IMT terminal stations. The aim is to complement the coverage of terrestrial IMT networks in certain frequency bands in the range from 694/698 MHz to 2.7 GHz. These include several EU-harmonised frequency bands for terrestrial wireless systems capable of providing (wireless broadband – WBB) ECS by virtue of the Commission implementing decisions (EU) 2016/687 [694-790 MHz / ‘700 MHz band’], 2010/267/EU [790-862 MHz / ‘800 MHz band’], (EU) 2022/173 [880-915/925-960 MHz / ‘900 MHz band’, and 1710-1785/1805-1880 MHz / ‘1800 MHz band’], (EU) 2015/750 [1427-1517 MHz / ‘1.5 GHz band’], 2012/688/EU [1920-1980 MHz and 2110-2170 MHz / ‘paired terrestrial 2 GHz band’], and 2008/477/EC [2.5-2.69 GHz /‘2.6 GHz band’]. The relevant ITU-R studies will determine the technical, operational and regulatory conditions for the implementation of satellite D2D-IMT connectivity at national borders ensuring the protection of terrestrial wireless systems providing ECS and incumbent services. Moreover, within the scope of this mandate, feasibility of satellite D2D-IMT connectivity should be explored also for other relevant EU-harmonised bands for terrestrial wireless systems providing ECS by virtue of Commission implementing decisions 2008/411/EC [3.4-3.8 GHz / ‘3.6 GHz band’], (EU) 2019/784 [24.25-27.5 GHz / ‘26 GHz band’], and (EU) 2024/1983 [40.5-43.5 GHz / ’42 GHz band’]. Studies for the implementation of D2D-IMT connectivity should address the protection of terrestrial wireless systems providing ECS and other incumbent services within the same band and in adjacent bands, and their potential evolution, including across Member States’ borders and at the EU’s external borders</w:t>
      </w:r>
      <w:r>
        <w:rPr>
          <w:spacing w:val="-1"/>
        </w:rPr>
        <w:t>.</w:t>
      </w:r>
    </w:p>
    <w:p w14:paraId="5798C0D5" w14:textId="77777777" w:rsidR="00C240D3" w:rsidRDefault="00C240D3" w:rsidP="00C240D3">
      <w:pPr>
        <w:pStyle w:val="BodyText"/>
        <w:ind w:right="113"/>
        <w:jc w:val="both"/>
        <w:rPr>
          <w:spacing w:val="-1"/>
        </w:rPr>
      </w:pPr>
    </w:p>
    <w:p w14:paraId="1A2A8C1D" w14:textId="77777777" w:rsidR="00C240D3" w:rsidRDefault="00C240D3" w:rsidP="00C240D3">
      <w:pPr>
        <w:pStyle w:val="BodyText"/>
        <w:ind w:right="113"/>
        <w:jc w:val="both"/>
        <w:rPr>
          <w:spacing w:val="-1"/>
        </w:rPr>
      </w:pPr>
    </w:p>
    <w:p w14:paraId="6D4DFB1D" w14:textId="77777777" w:rsidR="00C240D3" w:rsidRDefault="00C240D3" w:rsidP="00C240D3">
      <w:pPr>
        <w:pStyle w:val="BodyText"/>
        <w:ind w:right="113"/>
        <w:jc w:val="both"/>
        <w:rPr>
          <w:spacing w:val="-1"/>
        </w:rPr>
      </w:pPr>
    </w:p>
    <w:p w14:paraId="63A78BC8" w14:textId="77777777" w:rsidR="00C240D3" w:rsidRDefault="00C240D3" w:rsidP="00C240D3">
      <w:pPr>
        <w:pStyle w:val="BodyText"/>
        <w:ind w:right="113"/>
        <w:jc w:val="both"/>
        <w:rPr>
          <w:spacing w:val="-1"/>
        </w:rPr>
      </w:pPr>
    </w:p>
    <w:p w14:paraId="78831E56" w14:textId="77777777" w:rsidR="00C240D3" w:rsidRPr="00A003C1" w:rsidRDefault="00C240D3" w:rsidP="00C240D3">
      <w:pPr>
        <w:pStyle w:val="BodyText"/>
        <w:ind w:right="113"/>
        <w:jc w:val="both"/>
        <w:rPr>
          <w:spacing w:val="-1"/>
        </w:rPr>
      </w:pPr>
      <w:r w:rsidRPr="00A003C1">
        <w:rPr>
          <w:spacing w:val="-1"/>
        </w:rPr>
        <w:lastRenderedPageBreak/>
        <w:t>In this regard, under its Work Programme</w:t>
      </w:r>
      <w:r>
        <w:rPr>
          <w:rStyle w:val="FootnoteReference"/>
          <w:spacing w:val="-1"/>
        </w:rPr>
        <w:footnoteReference w:id="7"/>
      </w:r>
      <w:r w:rsidRPr="00A003C1">
        <w:rPr>
          <w:spacing w:val="-1"/>
        </w:rPr>
        <w:t xml:space="preserve"> for 2024 and beyond, the RSPG adopted in June 2025 an Opinion</w:t>
      </w:r>
      <w:r>
        <w:rPr>
          <w:rStyle w:val="FootnoteReference"/>
          <w:spacing w:val="-1"/>
        </w:rPr>
        <w:footnoteReference w:id="8"/>
      </w:r>
      <w:r w:rsidRPr="00A003C1">
        <w:rPr>
          <w:spacing w:val="-1"/>
        </w:rPr>
        <w:t xml:space="preserve"> on the EU-level policy approach to satellite D2D connectivity and related single market issues. In that Opinion, the RSPG recommends to the Commission among others: </w:t>
      </w:r>
    </w:p>
    <w:p w14:paraId="592FB177" w14:textId="77777777" w:rsidR="00C240D3" w:rsidRPr="00903A51" w:rsidRDefault="00C240D3" w:rsidP="00BE620A">
      <w:pPr>
        <w:pStyle w:val="ECCBulletsLv2"/>
        <w:numPr>
          <w:ilvl w:val="0"/>
          <w:numId w:val="21"/>
        </w:numPr>
        <w:tabs>
          <w:tab w:val="clear" w:pos="680"/>
          <w:tab w:val="left" w:pos="709"/>
        </w:tabs>
        <w:ind w:left="1276"/>
        <w:rPr>
          <w:rFonts w:ascii="Times New Roman" w:hAnsi="Times New Roman"/>
          <w:sz w:val="24"/>
          <w:szCs w:val="24"/>
        </w:rPr>
      </w:pPr>
      <w:r w:rsidRPr="00903A51">
        <w:rPr>
          <w:rFonts w:ascii="Times New Roman" w:hAnsi="Times New Roman"/>
          <w:sz w:val="24"/>
          <w:szCs w:val="24"/>
        </w:rPr>
        <w:t xml:space="preserve">to issue a mandate to CEPT to develop harmonised technical conditions for D2D-IMT satellite operations in EU-harmonised bands for ECS which addresses, as appropriate, the protection of networks providing ECS and other radio services from D2D satellite operations; such a mandate should include a follow-up action further to WRC-27, in order to update the technical conditions, if appropriate; </w:t>
      </w:r>
    </w:p>
    <w:p w14:paraId="15B8158C" w14:textId="77777777" w:rsidR="00C240D3" w:rsidRPr="00903A51" w:rsidRDefault="00C240D3" w:rsidP="00BE620A">
      <w:pPr>
        <w:pStyle w:val="ECCBulletsLv2"/>
        <w:numPr>
          <w:ilvl w:val="0"/>
          <w:numId w:val="21"/>
        </w:numPr>
        <w:tabs>
          <w:tab w:val="clear" w:pos="680"/>
          <w:tab w:val="left" w:pos="709"/>
        </w:tabs>
        <w:ind w:left="1276"/>
        <w:rPr>
          <w:rFonts w:ascii="Times New Roman" w:hAnsi="Times New Roman"/>
          <w:sz w:val="24"/>
          <w:szCs w:val="24"/>
        </w:rPr>
      </w:pPr>
      <w:r w:rsidRPr="00903A51">
        <w:rPr>
          <w:rFonts w:ascii="Times New Roman" w:hAnsi="Times New Roman"/>
          <w:sz w:val="24"/>
          <w:szCs w:val="24"/>
        </w:rPr>
        <w:t xml:space="preserve">as a follow-up to the CEPT deliverable to the Commission mandate, to consider proposing an amendment to the relevant Commission implementing decisions, in order to enable the introduction of D2D-IMT under harmonised technical conditions. </w:t>
      </w:r>
    </w:p>
    <w:p w14:paraId="521F643D" w14:textId="77777777" w:rsidR="00C240D3" w:rsidRPr="00A003C1" w:rsidRDefault="00C240D3" w:rsidP="00C240D3">
      <w:pPr>
        <w:pStyle w:val="BodyText"/>
        <w:ind w:right="113"/>
        <w:jc w:val="both"/>
        <w:rPr>
          <w:spacing w:val="-1"/>
        </w:rPr>
      </w:pPr>
    </w:p>
    <w:p w14:paraId="195563D6" w14:textId="77777777" w:rsidR="00C240D3" w:rsidRPr="00A003C1" w:rsidRDefault="00C240D3" w:rsidP="00C240D3">
      <w:pPr>
        <w:pStyle w:val="BodyText"/>
        <w:ind w:right="113"/>
        <w:jc w:val="both"/>
        <w:rPr>
          <w:spacing w:val="-1"/>
        </w:rPr>
      </w:pPr>
      <w:r w:rsidRPr="00A003C1">
        <w:rPr>
          <w:spacing w:val="-1"/>
        </w:rPr>
        <w:t xml:space="preserve">The RSPG emphasises that perceived European benefits of satellite D2D-IMT connectivity include providing complementary coverage in rural, remote and maritime areas, as well as enhancing resilience when mobile networks providing ECS are temporarily unavailable (e.g. due to external damage by flooding or earthquakes, or in case of a technical failure). </w:t>
      </w:r>
    </w:p>
    <w:p w14:paraId="7BE3BCE4" w14:textId="77777777" w:rsidR="00C240D3" w:rsidRDefault="00C240D3" w:rsidP="00C240D3">
      <w:pPr>
        <w:pStyle w:val="BodyText"/>
        <w:ind w:right="113"/>
        <w:jc w:val="both"/>
        <w:rPr>
          <w:spacing w:val="-1"/>
        </w:rPr>
      </w:pPr>
      <w:r w:rsidRPr="00A003C1">
        <w:rPr>
          <w:spacing w:val="-1"/>
        </w:rPr>
        <w:t>The RSPG highlights several challenges with the introduction of satellite D2D-IMT services in EU-harmonised bands for terrestrial wireless systems providing ECS, such as interference issues (including across borders) and roaming.</w:t>
      </w:r>
    </w:p>
    <w:p w14:paraId="6AD260D9" w14:textId="77777777" w:rsidR="00C240D3" w:rsidRDefault="00C240D3" w:rsidP="00C240D3">
      <w:pPr>
        <w:pStyle w:val="BodyText"/>
        <w:ind w:right="113"/>
        <w:jc w:val="both"/>
        <w:rPr>
          <w:spacing w:val="-1"/>
        </w:rPr>
      </w:pPr>
    </w:p>
    <w:p w14:paraId="23DA65EF" w14:textId="77777777" w:rsidR="00C240D3" w:rsidRDefault="00C240D3" w:rsidP="00C240D3">
      <w:pPr>
        <w:pStyle w:val="BodyText"/>
        <w:ind w:right="113"/>
        <w:jc w:val="both"/>
        <w:rPr>
          <w:spacing w:val="-1"/>
        </w:rPr>
      </w:pPr>
      <w:r w:rsidRPr="00A003C1">
        <w:rPr>
          <w:spacing w:val="-1"/>
        </w:rPr>
        <w:t xml:space="preserve">EU policy priorities on the single market, innovation and competitiveness, as well as on technological sovereignty, call for a coordinated approach and an enhanced regulatory framework to promote the proliferation of satellite services across the Union, including harmonised spectrum use. Allowing the use of additional spectrum resources, according to market demand and on the basis of harmonised technical conditions, in EU-harmonised bands already used for terrestrial wireless systems providing ECS also to satellite systems providing D2D-IMT connectivity through extending the designation of those bands to include satellite (D2D-IMT) use, will contribute to achieving the Union’s Digital Decade connectivity targets, promoting innovation and level-playing field as well as fostering the development of satellite players originating in the Union. This approach will also foster the convergence of terrestrial and non-terrestrial networks on the path towards 6G, enhance resilience and provide predictability to all relevant spectrum users (terrestrial and non-terrestrial) as regards coexistence, protection of investments and continued development of incumbent services. </w:t>
      </w:r>
    </w:p>
    <w:p w14:paraId="0C855A78" w14:textId="77777777" w:rsidR="00C240D3" w:rsidRPr="00A003C1" w:rsidRDefault="00C240D3" w:rsidP="00C240D3">
      <w:pPr>
        <w:pStyle w:val="BodyText"/>
        <w:ind w:right="113"/>
        <w:jc w:val="both"/>
        <w:rPr>
          <w:spacing w:val="-1"/>
        </w:rPr>
      </w:pPr>
    </w:p>
    <w:p w14:paraId="72EC5C7F" w14:textId="77777777" w:rsidR="00C240D3" w:rsidRPr="00043CE4" w:rsidRDefault="00C240D3" w:rsidP="00C240D3">
      <w:pPr>
        <w:pStyle w:val="BodyText"/>
        <w:ind w:right="113"/>
        <w:jc w:val="both"/>
      </w:pPr>
      <w:r w:rsidRPr="00A003C1">
        <w:rPr>
          <w:spacing w:val="-1"/>
        </w:rPr>
        <w:t>In this context, harmonised standards to be developed by the European Telecommunications Standards Institute (ETSI) should be consistent with the harmonised technical conditions established for the future use of EU-harmonised bands by satellite systems providing D2D-IMT connectivity, and also include operational conditions for such satellite systems, in order to ensure their coexistence with incumbent terrestrial wireless systems operating in the same bands and in adjacent bands</w:t>
      </w:r>
      <w:r w:rsidRPr="00043CE4">
        <w:rPr>
          <w:spacing w:val="-1"/>
        </w:rPr>
        <w:t>.</w:t>
      </w:r>
    </w:p>
    <w:p w14:paraId="70A56919" w14:textId="77777777" w:rsidR="00C240D3" w:rsidRDefault="00C240D3" w:rsidP="00C240D3">
      <w:pPr>
        <w:rPr>
          <w:rFonts w:ascii="Times New Roman" w:hAnsi="Times New Roman"/>
          <w:sz w:val="24"/>
          <w:lang w:val="en-GB"/>
        </w:rPr>
      </w:pPr>
    </w:p>
    <w:p w14:paraId="14BDD2C1" w14:textId="77777777" w:rsidR="00C240D3" w:rsidRDefault="00C240D3" w:rsidP="00C240D3">
      <w:pPr>
        <w:rPr>
          <w:rFonts w:ascii="Times New Roman" w:hAnsi="Times New Roman"/>
          <w:sz w:val="24"/>
          <w:lang w:val="en-GB"/>
        </w:rPr>
      </w:pPr>
    </w:p>
    <w:p w14:paraId="514AF487" w14:textId="77777777" w:rsidR="00C240D3" w:rsidRDefault="00C240D3" w:rsidP="00C240D3">
      <w:pPr>
        <w:rPr>
          <w:rFonts w:ascii="Times New Roman" w:hAnsi="Times New Roman"/>
          <w:sz w:val="24"/>
          <w:lang w:val="en-GB"/>
        </w:rPr>
      </w:pPr>
    </w:p>
    <w:p w14:paraId="109397DA" w14:textId="77777777" w:rsidR="00C240D3" w:rsidRPr="00043CE4" w:rsidRDefault="00C240D3" w:rsidP="005B315C">
      <w:pPr>
        <w:widowControl w:val="0"/>
        <w:numPr>
          <w:ilvl w:val="0"/>
          <w:numId w:val="16"/>
        </w:numPr>
        <w:tabs>
          <w:tab w:val="left" w:pos="588"/>
        </w:tabs>
        <w:spacing w:before="206"/>
        <w:jc w:val="both"/>
        <w:rPr>
          <w:rFonts w:ascii="Times New Roman" w:hAnsi="Times New Roman"/>
          <w:sz w:val="19"/>
          <w:szCs w:val="19"/>
          <w:lang w:val="en-GB"/>
        </w:rPr>
      </w:pPr>
      <w:r w:rsidRPr="00043CE4">
        <w:rPr>
          <w:rFonts w:ascii="Times New Roman"/>
          <w:b/>
          <w:spacing w:val="-1"/>
          <w:sz w:val="24"/>
          <w:lang w:val="en-GB"/>
        </w:rPr>
        <w:lastRenderedPageBreak/>
        <w:t>J</w:t>
      </w:r>
      <w:r w:rsidRPr="00043CE4">
        <w:rPr>
          <w:rFonts w:ascii="Times New Roman"/>
          <w:b/>
          <w:spacing w:val="-1"/>
          <w:sz w:val="19"/>
          <w:lang w:val="en-GB"/>
        </w:rPr>
        <w:t>USTIFICATION</w:t>
      </w:r>
    </w:p>
    <w:p w14:paraId="09354237" w14:textId="77777777" w:rsidR="00C240D3" w:rsidRPr="00A003C1" w:rsidRDefault="00C240D3" w:rsidP="00C240D3">
      <w:pPr>
        <w:pStyle w:val="BodyText"/>
        <w:spacing w:before="202"/>
        <w:ind w:right="111"/>
        <w:jc w:val="both"/>
        <w:rPr>
          <w:spacing w:val="-1"/>
        </w:rPr>
      </w:pPr>
      <w:r w:rsidRPr="00A003C1">
        <w:rPr>
          <w:spacing w:val="-1"/>
        </w:rPr>
        <w:t>Pursuant to Article 4(2) of the Radio Spectrum Decision</w:t>
      </w:r>
      <w:r>
        <w:rPr>
          <w:rStyle w:val="FootnoteReference"/>
          <w:spacing w:val="-1"/>
        </w:rPr>
        <w:footnoteReference w:id="9"/>
      </w:r>
      <w:r w:rsidRPr="00A003C1">
        <w:rPr>
          <w:spacing w:val="-1"/>
        </w:rPr>
        <w:t xml:space="preserve">, the Commission shall issue mandates to the CEPT for the development of technical implementing measures with a view to ensuring harmonised conditions for the availability and efficient use of radio spectrum necessary for the functioning of the internal market. Such mandates shall set the tasks to be performed and their timetable. </w:t>
      </w:r>
    </w:p>
    <w:p w14:paraId="5B39FE69" w14:textId="77777777" w:rsidR="00C240D3" w:rsidRPr="00A003C1" w:rsidRDefault="00C240D3" w:rsidP="00C240D3">
      <w:pPr>
        <w:pStyle w:val="BodyText"/>
        <w:spacing w:before="202"/>
        <w:ind w:right="111"/>
        <w:jc w:val="both"/>
        <w:rPr>
          <w:spacing w:val="-1"/>
        </w:rPr>
      </w:pPr>
      <w:r w:rsidRPr="00A003C1">
        <w:rPr>
          <w:spacing w:val="-1"/>
        </w:rPr>
        <w:t>Pursuant to Article 6(1) of the Radio Spectrum Policy Programme (RSPP)9</w:t>
      </w:r>
      <w:r>
        <w:rPr>
          <w:rStyle w:val="FootnoteReference"/>
          <w:spacing w:val="-1"/>
        </w:rPr>
        <w:footnoteReference w:id="10"/>
      </w:r>
      <w:r w:rsidRPr="00A003C1">
        <w:rPr>
          <w:spacing w:val="-1"/>
        </w:rPr>
        <w:t xml:space="preserve">, Member States shall, in cooperation with the Commission, ensure the availability of sufficient spectrum for coverage and capacity purposes within the Union, in order to enable the Union to have the fastest broadband speeds in the world, thereby making it possible for wireless applications and European leadership in new services to contribute effectively to economic growth. </w:t>
      </w:r>
    </w:p>
    <w:p w14:paraId="5AE1F874" w14:textId="77777777" w:rsidR="00C240D3" w:rsidRPr="00A003C1" w:rsidRDefault="00C240D3" w:rsidP="00C240D3">
      <w:pPr>
        <w:pStyle w:val="BodyText"/>
        <w:spacing w:before="202"/>
        <w:ind w:right="111"/>
        <w:jc w:val="both"/>
        <w:rPr>
          <w:spacing w:val="-1"/>
        </w:rPr>
      </w:pPr>
      <w:r w:rsidRPr="00A003C1">
        <w:rPr>
          <w:spacing w:val="-1"/>
        </w:rPr>
        <w:t>The Digital Decade Policy Programme 2030</w:t>
      </w:r>
      <w:r>
        <w:rPr>
          <w:rStyle w:val="FootnoteReference"/>
          <w:spacing w:val="-1"/>
        </w:rPr>
        <w:footnoteReference w:id="11"/>
      </w:r>
      <w:r w:rsidRPr="00A003C1">
        <w:rPr>
          <w:spacing w:val="-1"/>
        </w:rPr>
        <w:t xml:space="preserve"> (DDPP) sets out digital connectivity targets for 2030, including for the deployment of networks with gigabit speeds and highlights the importance of connectivity infrastructure. All end users at a fixed location should be covered by a gigabit network up to the network termination point and all populated areas should be covered by a next-generation wireless high-speed network with performance at least equivalent to that of 5G. In the context of technology neutrality, which is a guiding principle for digital connectivity infrastructure of the highest performance, resilience, security and sustainability, different types of communications technologies can contribute to the achievement of gigabit connectivity. These include the current and upcoming generations of fibre, satellite, electronic communications networks, WAS/RLAN or other systems to be developed in the future, whereby such technologies should be treated equally and without prior constraints regarding their deployment and performance characteristics. </w:t>
      </w:r>
    </w:p>
    <w:p w14:paraId="2A057314" w14:textId="77777777" w:rsidR="00C240D3" w:rsidRPr="00A003C1" w:rsidRDefault="00C240D3" w:rsidP="00C240D3">
      <w:pPr>
        <w:pStyle w:val="BodyText"/>
        <w:spacing w:before="202"/>
        <w:ind w:right="111"/>
        <w:jc w:val="both"/>
        <w:rPr>
          <w:spacing w:val="-1"/>
        </w:rPr>
      </w:pPr>
      <w:r w:rsidRPr="00A003C1">
        <w:rPr>
          <w:spacing w:val="-1"/>
        </w:rPr>
        <w:t xml:space="preserve">Spectrum co-usage between both terrestrial and satellite systems should ensure efficient use of spectrum, prevent harmful interference to terrestrial wireless systems providing ECS, and adequately protect other relevant incumbent wireless services and applications. It will therefore be necessary to carry out the relevant technical studies and define appropriate compatibility and coexistence conditions. Those conditions should support the use of EU-harmonised bands also by satellite systems providing D2D-IMT connectivity and, at the same time, safeguard the unconstrained continuity of the current operation and the future evolution and development of all relevant radio services and applications currently using these bands and adjacent bands. </w:t>
      </w:r>
    </w:p>
    <w:p w14:paraId="2E1C8030" w14:textId="77777777" w:rsidR="00C240D3" w:rsidRPr="00043CE4" w:rsidRDefault="00C240D3" w:rsidP="00C240D3">
      <w:pPr>
        <w:pStyle w:val="BodyText"/>
        <w:spacing w:before="202"/>
        <w:ind w:right="111"/>
        <w:jc w:val="both"/>
      </w:pPr>
      <w:r w:rsidRPr="00A003C1">
        <w:rPr>
          <w:spacing w:val="-1"/>
        </w:rPr>
        <w:t>The CEPT should work in cooperation with the ETSI, taking into account the need for consistency between future harmonised standards and the harmonised technical conditions resulting from this Mandate</w:t>
      </w:r>
      <w:r w:rsidRPr="00043CE4">
        <w:rPr>
          <w:spacing w:val="-1"/>
        </w:rPr>
        <w:t>.</w:t>
      </w:r>
    </w:p>
    <w:p w14:paraId="166E7493" w14:textId="77777777" w:rsidR="00C240D3" w:rsidRPr="00043CE4" w:rsidRDefault="00C240D3" w:rsidP="00C240D3">
      <w:pPr>
        <w:spacing w:before="2"/>
        <w:rPr>
          <w:rFonts w:ascii="Times New Roman" w:hAnsi="Times New Roman"/>
          <w:sz w:val="21"/>
          <w:szCs w:val="21"/>
          <w:lang w:val="en-GB"/>
        </w:rPr>
      </w:pPr>
    </w:p>
    <w:p w14:paraId="267AFBA7" w14:textId="77777777" w:rsidR="00C240D3" w:rsidRDefault="00C240D3" w:rsidP="00C240D3">
      <w:pPr>
        <w:pStyle w:val="BodyText"/>
        <w:ind w:right="117"/>
        <w:jc w:val="both"/>
      </w:pPr>
    </w:p>
    <w:p w14:paraId="5714FDBF" w14:textId="77777777" w:rsidR="00C240D3" w:rsidRDefault="00C240D3" w:rsidP="00C240D3">
      <w:pPr>
        <w:pStyle w:val="BodyText"/>
        <w:ind w:right="117"/>
        <w:jc w:val="both"/>
      </w:pPr>
    </w:p>
    <w:p w14:paraId="5033D915" w14:textId="5E92DDC9" w:rsidR="00C240D3" w:rsidRPr="00043CE4" w:rsidRDefault="00C240D3" w:rsidP="00C240D3">
      <w:pPr>
        <w:rPr>
          <w:rFonts w:ascii="Times New Roman" w:hAnsi="Times New Roman"/>
          <w:sz w:val="24"/>
          <w:lang w:val="en-GB"/>
        </w:rPr>
      </w:pPr>
    </w:p>
    <w:p w14:paraId="701BE360" w14:textId="77777777" w:rsidR="00C240D3" w:rsidRPr="00043CE4" w:rsidRDefault="00C240D3" w:rsidP="005B315C">
      <w:pPr>
        <w:widowControl w:val="0"/>
        <w:numPr>
          <w:ilvl w:val="0"/>
          <w:numId w:val="16"/>
        </w:numPr>
        <w:tabs>
          <w:tab w:val="left" w:pos="588"/>
        </w:tabs>
        <w:spacing w:before="206"/>
        <w:jc w:val="both"/>
        <w:rPr>
          <w:rFonts w:ascii="Times New Roman" w:hAnsi="Times New Roman"/>
          <w:sz w:val="19"/>
          <w:szCs w:val="19"/>
          <w:lang w:val="en-GB"/>
        </w:rPr>
      </w:pPr>
      <w:r w:rsidRPr="00043CE4">
        <w:rPr>
          <w:rFonts w:ascii="Times New Roman"/>
          <w:b/>
          <w:spacing w:val="-1"/>
          <w:sz w:val="24"/>
          <w:lang w:val="en-GB"/>
        </w:rPr>
        <w:lastRenderedPageBreak/>
        <w:t>T</w:t>
      </w:r>
      <w:r w:rsidRPr="00043CE4">
        <w:rPr>
          <w:rFonts w:ascii="Times New Roman"/>
          <w:b/>
          <w:spacing w:val="-1"/>
          <w:sz w:val="19"/>
          <w:lang w:val="en-GB"/>
        </w:rPr>
        <w:t>ASK</w:t>
      </w:r>
      <w:r w:rsidRPr="00043CE4">
        <w:rPr>
          <w:rFonts w:ascii="Times New Roman"/>
          <w:b/>
          <w:spacing w:val="-9"/>
          <w:sz w:val="19"/>
          <w:lang w:val="en-GB"/>
        </w:rPr>
        <w:t xml:space="preserve"> </w:t>
      </w:r>
      <w:r w:rsidRPr="00043CE4">
        <w:rPr>
          <w:rFonts w:ascii="Times New Roman"/>
          <w:b/>
          <w:sz w:val="19"/>
          <w:lang w:val="en-GB"/>
        </w:rPr>
        <w:t>ORDER</w:t>
      </w:r>
      <w:r w:rsidRPr="00043CE4">
        <w:rPr>
          <w:rFonts w:ascii="Times New Roman"/>
          <w:b/>
          <w:spacing w:val="-9"/>
          <w:sz w:val="19"/>
          <w:lang w:val="en-GB"/>
        </w:rPr>
        <w:t xml:space="preserve"> </w:t>
      </w:r>
      <w:r w:rsidRPr="00043CE4">
        <w:rPr>
          <w:rFonts w:ascii="Times New Roman"/>
          <w:b/>
          <w:spacing w:val="-1"/>
          <w:sz w:val="19"/>
          <w:lang w:val="en-GB"/>
        </w:rPr>
        <w:t>AND</w:t>
      </w:r>
      <w:r w:rsidRPr="00043CE4">
        <w:rPr>
          <w:rFonts w:ascii="Times New Roman"/>
          <w:b/>
          <w:spacing w:val="-9"/>
          <w:sz w:val="19"/>
          <w:lang w:val="en-GB"/>
        </w:rPr>
        <w:t xml:space="preserve"> </w:t>
      </w:r>
      <w:r w:rsidRPr="00043CE4">
        <w:rPr>
          <w:rFonts w:ascii="Times New Roman"/>
          <w:b/>
          <w:sz w:val="19"/>
          <w:lang w:val="en-GB"/>
        </w:rPr>
        <w:t>SCHEDULE</w:t>
      </w:r>
    </w:p>
    <w:p w14:paraId="78EED787" w14:textId="77777777" w:rsidR="00C240D3" w:rsidRPr="00043CE4" w:rsidRDefault="00C240D3" w:rsidP="00C240D3">
      <w:pPr>
        <w:spacing w:before="6"/>
        <w:rPr>
          <w:rFonts w:ascii="Times New Roman" w:hAnsi="Times New Roman"/>
          <w:b/>
          <w:bCs/>
          <w:szCs w:val="20"/>
          <w:lang w:val="en-GB"/>
        </w:rPr>
      </w:pPr>
    </w:p>
    <w:p w14:paraId="7DCF4768" w14:textId="77777777" w:rsidR="00C240D3" w:rsidRPr="00043CE4" w:rsidRDefault="00C240D3" w:rsidP="00C240D3">
      <w:pPr>
        <w:pStyle w:val="BodyText"/>
        <w:ind w:right="114"/>
        <w:jc w:val="both"/>
      </w:pPr>
      <w:r w:rsidRPr="00A003C1">
        <w:t>This Mandate addresses operational feasibility, coexistence and compatibility studies for the use of relevant EU-harmonised bands for terrestrial wireless systems providing ECS by satellite systems providing D2D-IMT connectivity, which ensure protection of existing uses, also for their evolution and development, in those bands and in the adjacent bands, including across Member States’ borders and at the EU’s external border. It further addresses the development of EU-harmonised technical conditions</w:t>
      </w:r>
      <w:r w:rsidRPr="00043CE4">
        <w:rPr>
          <w:spacing w:val="-1"/>
        </w:rPr>
        <w:t>.</w:t>
      </w:r>
    </w:p>
    <w:p w14:paraId="13F35A3E" w14:textId="77777777" w:rsidR="00C240D3" w:rsidRPr="00043CE4" w:rsidRDefault="00C240D3" w:rsidP="00C240D3">
      <w:pPr>
        <w:spacing w:before="10"/>
        <w:rPr>
          <w:rFonts w:ascii="Times New Roman" w:hAnsi="Times New Roman"/>
          <w:szCs w:val="20"/>
          <w:lang w:val="en-GB"/>
        </w:rPr>
      </w:pPr>
    </w:p>
    <w:p w14:paraId="79D9C0EE" w14:textId="77777777" w:rsidR="00C240D3" w:rsidRPr="00043CE4" w:rsidRDefault="00C240D3" w:rsidP="00C240D3">
      <w:pPr>
        <w:pStyle w:val="BodyText"/>
        <w:jc w:val="both"/>
      </w:pPr>
      <w:r w:rsidRPr="00043CE4">
        <w:t>The</w:t>
      </w:r>
      <w:r w:rsidRPr="00043CE4">
        <w:rPr>
          <w:spacing w:val="-7"/>
        </w:rPr>
        <w:t xml:space="preserve"> </w:t>
      </w:r>
      <w:r w:rsidRPr="00043CE4">
        <w:t>CEPT</w:t>
      </w:r>
      <w:r w:rsidRPr="00043CE4">
        <w:rPr>
          <w:spacing w:val="-7"/>
        </w:rPr>
        <w:t xml:space="preserve"> </w:t>
      </w:r>
      <w:r w:rsidRPr="00043CE4">
        <w:t>is</w:t>
      </w:r>
      <w:r w:rsidRPr="00043CE4">
        <w:rPr>
          <w:spacing w:val="-6"/>
        </w:rPr>
        <w:t xml:space="preserve"> </w:t>
      </w:r>
      <w:r w:rsidRPr="00043CE4">
        <w:t>thereby</w:t>
      </w:r>
      <w:r w:rsidRPr="00043CE4">
        <w:rPr>
          <w:spacing w:val="-7"/>
        </w:rPr>
        <w:t xml:space="preserve"> </w:t>
      </w:r>
      <w:r w:rsidRPr="00043CE4">
        <w:rPr>
          <w:spacing w:val="-1"/>
        </w:rPr>
        <w:t>mandated</w:t>
      </w:r>
      <w:r w:rsidRPr="00043CE4">
        <w:rPr>
          <w:spacing w:val="-6"/>
        </w:rPr>
        <w:t xml:space="preserve"> </w:t>
      </w:r>
      <w:r w:rsidRPr="00043CE4">
        <w:t>to</w:t>
      </w:r>
      <w:r w:rsidRPr="00043CE4">
        <w:rPr>
          <w:spacing w:val="-7"/>
        </w:rPr>
        <w:t xml:space="preserve"> </w:t>
      </w:r>
      <w:r w:rsidRPr="00043CE4">
        <w:t>carry</w:t>
      </w:r>
      <w:r w:rsidRPr="00043CE4">
        <w:rPr>
          <w:spacing w:val="-6"/>
        </w:rPr>
        <w:t xml:space="preserve"> </w:t>
      </w:r>
      <w:r w:rsidRPr="00043CE4">
        <w:t>out</w:t>
      </w:r>
      <w:r w:rsidRPr="00043CE4">
        <w:rPr>
          <w:spacing w:val="-7"/>
        </w:rPr>
        <w:t xml:space="preserve"> </w:t>
      </w:r>
      <w:r w:rsidRPr="00043CE4">
        <w:t>the</w:t>
      </w:r>
      <w:r w:rsidRPr="00043CE4">
        <w:rPr>
          <w:spacing w:val="-6"/>
        </w:rPr>
        <w:t xml:space="preserve"> </w:t>
      </w:r>
      <w:r w:rsidRPr="00043CE4">
        <w:t>following</w:t>
      </w:r>
      <w:r w:rsidRPr="00043CE4">
        <w:rPr>
          <w:spacing w:val="-7"/>
        </w:rPr>
        <w:t xml:space="preserve"> </w:t>
      </w:r>
      <w:r w:rsidRPr="00043CE4">
        <w:t>tasks:</w:t>
      </w:r>
    </w:p>
    <w:p w14:paraId="31CB6472" w14:textId="77777777" w:rsidR="00C240D3" w:rsidRPr="00043CE4" w:rsidRDefault="00C240D3" w:rsidP="00C240D3">
      <w:pPr>
        <w:spacing w:before="1"/>
        <w:rPr>
          <w:rFonts w:ascii="Times New Roman" w:hAnsi="Times New Roman"/>
          <w:sz w:val="21"/>
          <w:szCs w:val="21"/>
          <w:lang w:val="en-GB"/>
        </w:rPr>
      </w:pPr>
    </w:p>
    <w:p w14:paraId="62D93829" w14:textId="77777777" w:rsidR="00C240D3" w:rsidRDefault="00C240D3" w:rsidP="00F97512">
      <w:pPr>
        <w:pStyle w:val="Default"/>
        <w:ind w:left="737" w:hanging="720"/>
        <w:rPr>
          <w:b/>
          <w:lang w:val="en-GB"/>
        </w:rPr>
      </w:pPr>
      <w:r w:rsidRPr="00043CE4">
        <w:rPr>
          <w:b/>
          <w:lang w:val="en-GB"/>
        </w:rPr>
        <w:t>Task</w:t>
      </w:r>
      <w:r w:rsidRPr="00043CE4">
        <w:rPr>
          <w:b/>
          <w:spacing w:val="8"/>
          <w:lang w:val="en-GB"/>
        </w:rPr>
        <w:t xml:space="preserve"> </w:t>
      </w:r>
      <w:r w:rsidRPr="00043CE4">
        <w:rPr>
          <w:b/>
          <w:lang w:val="en-GB"/>
        </w:rPr>
        <w:t>1</w:t>
      </w:r>
    </w:p>
    <w:p w14:paraId="424C796D" w14:textId="77777777" w:rsidR="00C240D3" w:rsidRDefault="00C240D3" w:rsidP="00F97512">
      <w:pPr>
        <w:pStyle w:val="Default"/>
        <w:ind w:hanging="720"/>
        <w:rPr>
          <w:b/>
          <w:lang w:val="en-GB"/>
        </w:rPr>
      </w:pPr>
    </w:p>
    <w:p w14:paraId="0ADB2018" w14:textId="77777777" w:rsidR="00C240D3" w:rsidRPr="00A003C1" w:rsidRDefault="00C240D3" w:rsidP="00F97512">
      <w:pPr>
        <w:pStyle w:val="Default"/>
        <w:jc w:val="both"/>
        <w:rPr>
          <w:bCs/>
          <w:lang w:val="en-GB"/>
        </w:rPr>
      </w:pPr>
      <w:r w:rsidRPr="00A003C1">
        <w:rPr>
          <w:bCs/>
          <w:lang w:val="en-GB"/>
        </w:rPr>
        <w:t xml:space="preserve">Study and assess operational feasibility, coexistence and compatibility scenarios for the use of the following EU-harmonised frequency bands for terrestrial wireless systems capable of providing ECS: </w:t>
      </w:r>
    </w:p>
    <w:p w14:paraId="136AF5DD" w14:textId="77777777" w:rsidR="00C240D3" w:rsidRPr="00A003C1" w:rsidRDefault="00C240D3" w:rsidP="00F97512">
      <w:pPr>
        <w:pStyle w:val="Default"/>
        <w:numPr>
          <w:ilvl w:val="0"/>
          <w:numId w:val="17"/>
        </w:numPr>
        <w:ind w:left="1457" w:hanging="720"/>
        <w:jc w:val="both"/>
        <w:rPr>
          <w:bCs/>
          <w:lang w:val="en-GB"/>
        </w:rPr>
      </w:pPr>
      <w:r w:rsidRPr="00A003C1">
        <w:rPr>
          <w:bCs/>
          <w:lang w:val="en-GB"/>
        </w:rPr>
        <w:t xml:space="preserve">703-733 MHz/758-788 MHz (‘700 MHz’), 791–821 MHz/832-862 MHz (‘800 MHz'), 880-915 MHz/925-960 MHz (‘900 MHz’), 1427-1517 MHz (‘1.5 GHz’), 1710- 1785 MHz/1805-1880 MHz (‘1 800 MHz’), 1920-1980 MHz/2110-2170 MHz (‘paired terrestrial 2 GHz’), 2500-2690 MHz (‘2.6 GHz’), 3400-3 800 MHz (‘3.6 GHz’), 24.25- 27.5 GHz (‘26 GHz’), and 40.5-43.5 GHz (‘42 GHz’), </w:t>
      </w:r>
    </w:p>
    <w:p w14:paraId="0966DB28" w14:textId="77777777" w:rsidR="00C240D3" w:rsidRPr="00A003C1" w:rsidRDefault="00C240D3" w:rsidP="00F97512">
      <w:pPr>
        <w:pStyle w:val="Default"/>
        <w:ind w:left="737"/>
        <w:rPr>
          <w:bCs/>
          <w:lang w:val="en-GB"/>
        </w:rPr>
      </w:pPr>
    </w:p>
    <w:p w14:paraId="49F24607" w14:textId="77777777" w:rsidR="00C240D3" w:rsidRDefault="00C240D3" w:rsidP="00F97512">
      <w:pPr>
        <w:pStyle w:val="Default"/>
        <w:jc w:val="both"/>
        <w:rPr>
          <w:bCs/>
          <w:lang w:val="en-GB"/>
        </w:rPr>
      </w:pPr>
      <w:r w:rsidRPr="00A003C1">
        <w:rPr>
          <w:bCs/>
          <w:lang w:val="en-GB"/>
        </w:rPr>
        <w:t>by satellite systems capable of providing D2D-IMT connectivity, which ensure protection of (a) terrestrial wireless systems capable of providing ECS using these bands, and (b) other relevant</w:t>
      </w:r>
      <w:r>
        <w:rPr>
          <w:rStyle w:val="FootnoteReference"/>
          <w:bCs/>
          <w:lang w:val="en-GB"/>
        </w:rPr>
        <w:footnoteReference w:id="12"/>
      </w:r>
      <w:r w:rsidRPr="00A003C1">
        <w:rPr>
          <w:bCs/>
          <w:lang w:val="en-GB"/>
        </w:rPr>
        <w:t xml:space="preserve"> existing (terrestrial and non-terrestrial) uses in these bands and in adjacent bands and their potential evolution, including across Member States’ borders and at the EU’s external border. Such satellite systems should further not claim protection by the systems and uses under (a) and (b). </w:t>
      </w:r>
    </w:p>
    <w:p w14:paraId="6E7552BB" w14:textId="77777777" w:rsidR="00C240D3" w:rsidRPr="00A003C1" w:rsidRDefault="00C240D3" w:rsidP="00F97512">
      <w:pPr>
        <w:pStyle w:val="Default"/>
        <w:ind w:left="737"/>
        <w:jc w:val="both"/>
        <w:rPr>
          <w:bCs/>
          <w:lang w:val="en-GB"/>
        </w:rPr>
      </w:pPr>
    </w:p>
    <w:p w14:paraId="25F3C81F" w14:textId="77777777" w:rsidR="00C240D3" w:rsidRDefault="00C240D3" w:rsidP="00F97512">
      <w:pPr>
        <w:pStyle w:val="Default"/>
        <w:rPr>
          <w:bCs/>
          <w:lang w:val="en-GB"/>
        </w:rPr>
      </w:pPr>
      <w:r w:rsidRPr="00A003C1">
        <w:rPr>
          <w:bCs/>
          <w:lang w:val="en-GB"/>
        </w:rPr>
        <w:t>Identify those frequency bands among the above, for which the deployment of satellite D2D-IMT connectivity is feasible.</w:t>
      </w:r>
    </w:p>
    <w:p w14:paraId="14510E3A" w14:textId="77777777" w:rsidR="00C240D3" w:rsidRPr="00A003C1" w:rsidRDefault="00C240D3" w:rsidP="00F97512">
      <w:pPr>
        <w:pStyle w:val="Default"/>
        <w:ind w:left="737" w:hanging="720"/>
        <w:rPr>
          <w:bCs/>
          <w:lang w:val="en-GB"/>
        </w:rPr>
      </w:pPr>
    </w:p>
    <w:p w14:paraId="049B8D0F" w14:textId="77777777" w:rsidR="00C240D3" w:rsidRPr="00043CE4" w:rsidRDefault="00C240D3" w:rsidP="00F97512">
      <w:pPr>
        <w:pStyle w:val="Default"/>
        <w:ind w:left="737" w:hanging="720"/>
        <w:rPr>
          <w:b/>
          <w:bCs/>
          <w:lang w:val="en-GB"/>
        </w:rPr>
      </w:pPr>
      <w:r>
        <w:rPr>
          <w:b/>
          <w:lang w:val="en-GB"/>
        </w:rPr>
        <w:t>T</w:t>
      </w:r>
      <w:r w:rsidRPr="00043CE4">
        <w:rPr>
          <w:b/>
          <w:lang w:val="en-GB"/>
        </w:rPr>
        <w:t>ask</w:t>
      </w:r>
      <w:r w:rsidRPr="00043CE4">
        <w:rPr>
          <w:b/>
          <w:spacing w:val="-5"/>
          <w:lang w:val="en-GB"/>
        </w:rPr>
        <w:t xml:space="preserve"> </w:t>
      </w:r>
      <w:r w:rsidRPr="00043CE4">
        <w:rPr>
          <w:b/>
          <w:lang w:val="en-GB"/>
        </w:rPr>
        <w:t>2</w:t>
      </w:r>
    </w:p>
    <w:p w14:paraId="5E7F1E96" w14:textId="77777777" w:rsidR="00C240D3" w:rsidRPr="00043CE4" w:rsidRDefault="00C240D3" w:rsidP="00F97512">
      <w:pPr>
        <w:spacing w:before="8"/>
        <w:ind w:left="737"/>
        <w:rPr>
          <w:rFonts w:ascii="Times New Roman" w:hAnsi="Times New Roman"/>
          <w:b/>
          <w:bCs/>
          <w:szCs w:val="20"/>
          <w:lang w:val="en-GB"/>
        </w:rPr>
      </w:pPr>
    </w:p>
    <w:p w14:paraId="4DC54BCA" w14:textId="77777777" w:rsidR="00C240D3" w:rsidRDefault="00C240D3" w:rsidP="00C240D3">
      <w:pPr>
        <w:pStyle w:val="BodyText"/>
        <w:ind w:right="113"/>
        <w:jc w:val="both"/>
        <w:rPr>
          <w:spacing w:val="-1"/>
        </w:rPr>
      </w:pPr>
      <w:r w:rsidRPr="00A003C1">
        <w:rPr>
          <w:spacing w:val="-1"/>
        </w:rPr>
        <w:t xml:space="preserve">Pursuant to the outcome of Task 1, </w:t>
      </w:r>
    </w:p>
    <w:p w14:paraId="24F9626B" w14:textId="77777777" w:rsidR="00C240D3" w:rsidRPr="00A003C1" w:rsidRDefault="00C240D3" w:rsidP="00C240D3">
      <w:pPr>
        <w:pStyle w:val="BodyText"/>
        <w:ind w:right="113"/>
        <w:jc w:val="both"/>
        <w:rPr>
          <w:spacing w:val="-1"/>
        </w:rPr>
      </w:pPr>
    </w:p>
    <w:p w14:paraId="0E417B24" w14:textId="77777777" w:rsidR="00C240D3" w:rsidRPr="00A003C1" w:rsidRDefault="00C240D3" w:rsidP="00F97512">
      <w:pPr>
        <w:pStyle w:val="BodyText"/>
        <w:widowControl w:val="0"/>
        <w:numPr>
          <w:ilvl w:val="0"/>
          <w:numId w:val="19"/>
        </w:numPr>
        <w:autoSpaceDE/>
        <w:autoSpaceDN/>
        <w:spacing w:after="0"/>
        <w:ind w:left="850" w:right="113" w:hanging="425"/>
        <w:jc w:val="both"/>
        <w:rPr>
          <w:spacing w:val="-1"/>
        </w:rPr>
      </w:pPr>
      <w:r w:rsidRPr="00A003C1">
        <w:rPr>
          <w:spacing w:val="-1"/>
        </w:rPr>
        <w:t xml:space="preserve">Study technical and operational conditions for the EU-harmonised bands for which the deployment of satellite systems capable of providing D2D-IMT connectivity is deemed feasible, in order to protect terrestrial wireless systems capable of providing ECS and other relevant existing radio services and applications, without constraining those, within and adjacent to the identified frequency bands, including across Member States’ borders and at the EU’s external border. </w:t>
      </w:r>
    </w:p>
    <w:p w14:paraId="011DC682" w14:textId="77777777" w:rsidR="00C240D3" w:rsidRPr="00A003C1" w:rsidRDefault="00C240D3" w:rsidP="00F97512">
      <w:pPr>
        <w:pStyle w:val="BodyText"/>
        <w:ind w:left="850" w:right="113" w:hanging="425"/>
        <w:jc w:val="both"/>
        <w:rPr>
          <w:spacing w:val="-1"/>
        </w:rPr>
      </w:pPr>
    </w:p>
    <w:p w14:paraId="6E552611" w14:textId="77777777" w:rsidR="00C240D3" w:rsidRPr="00A003C1" w:rsidRDefault="00C240D3" w:rsidP="00F97512">
      <w:pPr>
        <w:pStyle w:val="BodyText"/>
        <w:widowControl w:val="0"/>
        <w:numPr>
          <w:ilvl w:val="0"/>
          <w:numId w:val="19"/>
        </w:numPr>
        <w:autoSpaceDE/>
        <w:autoSpaceDN/>
        <w:spacing w:after="0"/>
        <w:ind w:left="850" w:right="113" w:hanging="425"/>
        <w:jc w:val="both"/>
        <w:rPr>
          <w:spacing w:val="-1"/>
        </w:rPr>
      </w:pPr>
      <w:r w:rsidRPr="00A003C1">
        <w:rPr>
          <w:spacing w:val="-1"/>
        </w:rPr>
        <w:t xml:space="preserve">Based on the outcome of sub-task 2a), develop the least restrictive harmonised technical and operational conditions, to be implemented in the EU’s regulatory framework, for the wireless communications between satellite systems capable of providing D2D-IMT </w:t>
      </w:r>
    </w:p>
    <w:p w14:paraId="53A246E6" w14:textId="77777777" w:rsidR="00C240D3" w:rsidRDefault="00C240D3" w:rsidP="00DA6AA9">
      <w:pPr>
        <w:pStyle w:val="BodyText"/>
        <w:widowControl w:val="0"/>
        <w:autoSpaceDE/>
        <w:autoSpaceDN/>
        <w:spacing w:after="0"/>
        <w:ind w:right="113"/>
        <w:jc w:val="both"/>
        <w:rPr>
          <w:spacing w:val="-1"/>
        </w:rPr>
      </w:pPr>
    </w:p>
    <w:p w14:paraId="08D844B9" w14:textId="77777777" w:rsidR="002379ED" w:rsidRDefault="002379ED" w:rsidP="006741C2">
      <w:pPr>
        <w:pStyle w:val="BodyText"/>
        <w:widowControl w:val="0"/>
        <w:autoSpaceDE/>
        <w:autoSpaceDN/>
        <w:spacing w:after="0"/>
        <w:ind w:right="113"/>
        <w:jc w:val="both"/>
        <w:rPr>
          <w:spacing w:val="-1"/>
        </w:rPr>
      </w:pPr>
    </w:p>
    <w:p w14:paraId="367A0EAA" w14:textId="77777777" w:rsidR="002379ED" w:rsidRDefault="002379ED" w:rsidP="00F97512">
      <w:pPr>
        <w:pStyle w:val="BodyText"/>
        <w:widowControl w:val="0"/>
        <w:autoSpaceDE/>
        <w:autoSpaceDN/>
        <w:spacing w:after="0"/>
        <w:ind w:right="113"/>
        <w:jc w:val="both"/>
        <w:rPr>
          <w:spacing w:val="-1"/>
        </w:rPr>
      </w:pPr>
    </w:p>
    <w:p w14:paraId="65F3529C" w14:textId="77777777" w:rsidR="00270DD1" w:rsidRPr="00F97512" w:rsidRDefault="00270DD1" w:rsidP="00F97512">
      <w:pPr>
        <w:pStyle w:val="BodyText"/>
        <w:widowControl w:val="0"/>
        <w:numPr>
          <w:ilvl w:val="0"/>
          <w:numId w:val="18"/>
        </w:numPr>
        <w:autoSpaceDE/>
        <w:autoSpaceDN/>
        <w:spacing w:after="0"/>
        <w:ind w:left="993" w:right="113"/>
        <w:jc w:val="both"/>
        <w:rPr>
          <w:spacing w:val="-1"/>
        </w:rPr>
      </w:pPr>
      <w:r w:rsidRPr="00270DD1">
        <w:rPr>
          <w:spacing w:val="-1"/>
          <w:lang w:val="en-US"/>
        </w:rPr>
        <w:lastRenderedPageBreak/>
        <w:t>connectivity and terminal stations used with terrestrial wireless systems capable of providing ECS.</w:t>
      </w:r>
    </w:p>
    <w:p w14:paraId="6BA609E3" w14:textId="77777777" w:rsidR="00270DD1" w:rsidRPr="00F97512" w:rsidRDefault="00270DD1" w:rsidP="00F97512">
      <w:pPr>
        <w:pStyle w:val="BodyText"/>
        <w:widowControl w:val="0"/>
        <w:numPr>
          <w:ilvl w:val="0"/>
          <w:numId w:val="18"/>
        </w:numPr>
        <w:autoSpaceDE/>
        <w:autoSpaceDN/>
        <w:spacing w:after="0"/>
        <w:ind w:left="993" w:right="113"/>
        <w:jc w:val="both"/>
        <w:rPr>
          <w:spacing w:val="-1"/>
        </w:rPr>
      </w:pPr>
    </w:p>
    <w:p w14:paraId="1386BA27" w14:textId="1B782812" w:rsidR="00C240D3" w:rsidRPr="00A003C1" w:rsidRDefault="00C240D3" w:rsidP="00F97512">
      <w:pPr>
        <w:pStyle w:val="BodyText"/>
        <w:widowControl w:val="0"/>
        <w:numPr>
          <w:ilvl w:val="0"/>
          <w:numId w:val="18"/>
        </w:numPr>
        <w:autoSpaceDE/>
        <w:autoSpaceDN/>
        <w:spacing w:after="0"/>
        <w:ind w:left="993" w:right="113"/>
        <w:jc w:val="both"/>
        <w:rPr>
          <w:spacing w:val="-1"/>
        </w:rPr>
      </w:pPr>
      <w:r w:rsidRPr="00A003C1">
        <w:rPr>
          <w:spacing w:val="-1"/>
        </w:rPr>
        <w:t>These conditions must be consistent with the existing EU regulatory framework applicable to the frequency bands under consideration. They must ensure interference mitigation, protection of or appropriate co-existence with terrestrial wireless systems capable of providing ECS and other relevant existing radio services/applications in the same band and in adjacent bands as well as facilitate cross-border frequency coordination.</w:t>
      </w:r>
    </w:p>
    <w:p w14:paraId="32A0206B" w14:textId="77777777" w:rsidR="00C240D3" w:rsidRDefault="00C240D3" w:rsidP="00C240D3">
      <w:pPr>
        <w:pStyle w:val="BodyText"/>
        <w:ind w:right="113"/>
        <w:jc w:val="both"/>
      </w:pPr>
    </w:p>
    <w:p w14:paraId="44086FD4" w14:textId="77777777" w:rsidR="00C240D3" w:rsidRPr="00043CE4" w:rsidRDefault="00C240D3" w:rsidP="00F97512">
      <w:pPr>
        <w:pStyle w:val="Default"/>
        <w:ind w:left="851" w:hanging="851"/>
        <w:rPr>
          <w:b/>
          <w:bCs/>
          <w:lang w:val="en-GB"/>
        </w:rPr>
      </w:pPr>
      <w:r>
        <w:rPr>
          <w:b/>
          <w:lang w:val="en-GB"/>
        </w:rPr>
        <w:t>T</w:t>
      </w:r>
      <w:r w:rsidRPr="00043CE4">
        <w:rPr>
          <w:b/>
          <w:lang w:val="en-GB"/>
        </w:rPr>
        <w:t>ask</w:t>
      </w:r>
      <w:r w:rsidRPr="00043CE4">
        <w:rPr>
          <w:b/>
          <w:spacing w:val="-5"/>
          <w:lang w:val="en-GB"/>
        </w:rPr>
        <w:t xml:space="preserve"> </w:t>
      </w:r>
      <w:r>
        <w:rPr>
          <w:b/>
          <w:lang w:val="en-GB"/>
        </w:rPr>
        <w:t>3</w:t>
      </w:r>
    </w:p>
    <w:p w14:paraId="12B6F262" w14:textId="77777777" w:rsidR="00C240D3" w:rsidRDefault="00C240D3" w:rsidP="00C240D3">
      <w:pPr>
        <w:pStyle w:val="BodyText"/>
        <w:ind w:right="113"/>
        <w:jc w:val="both"/>
      </w:pPr>
    </w:p>
    <w:p w14:paraId="0F7D4F54" w14:textId="77777777" w:rsidR="00C240D3" w:rsidRPr="00A003C1" w:rsidRDefault="00C240D3" w:rsidP="00C240D3">
      <w:pPr>
        <w:pStyle w:val="BodyText"/>
        <w:ind w:right="113"/>
        <w:jc w:val="both"/>
      </w:pPr>
      <w:r w:rsidRPr="00A003C1">
        <w:t xml:space="preserve">The CEPT must take into account relevant conclusions at the international level within the scope of this Mandate, such as from technical studies performed within the ITU-R and the outcome of WRC-27, so as to review and, if necessary, to revise the results under Tasks 1 and 2 </w:t>
      </w:r>
      <w:r w:rsidRPr="00A003C1">
        <w:rPr>
          <w:u w:val="single"/>
        </w:rPr>
        <w:t>after</w:t>
      </w:r>
      <w:r w:rsidRPr="00A003C1">
        <w:t xml:space="preserve"> WRC-27.</w:t>
      </w:r>
    </w:p>
    <w:p w14:paraId="5559060F" w14:textId="77777777" w:rsidR="00C240D3" w:rsidRDefault="00C240D3" w:rsidP="00C240D3">
      <w:pPr>
        <w:pStyle w:val="BodyText"/>
        <w:ind w:right="113"/>
        <w:jc w:val="both"/>
      </w:pPr>
    </w:p>
    <w:p w14:paraId="534A3E4C" w14:textId="77777777" w:rsidR="00C240D3" w:rsidRPr="00043CE4" w:rsidRDefault="00C240D3" w:rsidP="00C240D3">
      <w:pPr>
        <w:pStyle w:val="BodyText"/>
        <w:ind w:right="113"/>
        <w:jc w:val="both"/>
      </w:pPr>
      <w:r w:rsidRPr="00A003C1">
        <w:t>The CEPT is also requested to collaborate actively with all concerned stakeholders as well as ETSI, which develops relevant harmonised standards for the presumption of conformity under Directive 2014/53/EU12</w:t>
      </w:r>
      <w:r>
        <w:rPr>
          <w:rStyle w:val="FootnoteReference"/>
        </w:rPr>
        <w:footnoteReference w:id="13"/>
      </w:r>
      <w:r w:rsidRPr="00A003C1">
        <w:t>. Based on the harmonised technical and operational conditions pursuant to Task 2 (and possibly Task 3), the CEPT may further recommend to ETSI to consider the results of this study when developing relevant harmonised standards.</w:t>
      </w:r>
    </w:p>
    <w:p w14:paraId="6244C312" w14:textId="77777777" w:rsidR="00C240D3" w:rsidRPr="00043CE4" w:rsidRDefault="00C240D3" w:rsidP="00C240D3">
      <w:pPr>
        <w:rPr>
          <w:lang w:val="en-GB"/>
        </w:rPr>
      </w:pPr>
    </w:p>
    <w:p w14:paraId="02FC851A" w14:textId="77777777" w:rsidR="00C240D3" w:rsidRPr="00043CE4" w:rsidRDefault="00C240D3" w:rsidP="00C240D3">
      <w:pPr>
        <w:pStyle w:val="BodyText"/>
        <w:ind w:right="113"/>
        <w:jc w:val="both"/>
      </w:pPr>
      <w:r w:rsidRPr="00043CE4">
        <w:t>CEPT should provide deliverables according to the following schedule:</w:t>
      </w:r>
    </w:p>
    <w:p w14:paraId="2C8AD7B7" w14:textId="77777777" w:rsidR="00C240D3" w:rsidRPr="00043CE4" w:rsidRDefault="00C240D3" w:rsidP="00C240D3">
      <w:pPr>
        <w:spacing w:before="1"/>
        <w:rPr>
          <w:rFonts w:ascii="Times New Roman" w:hAnsi="Times New Roman"/>
          <w:sz w:val="21"/>
          <w:szCs w:val="21"/>
          <w:lang w:val="en-GB"/>
        </w:rPr>
      </w:pPr>
    </w:p>
    <w:tbl>
      <w:tblPr>
        <w:tblW w:w="5000" w:type="pct"/>
        <w:tblLayout w:type="fixed"/>
        <w:tblCellMar>
          <w:left w:w="0" w:type="dxa"/>
          <w:right w:w="0" w:type="dxa"/>
        </w:tblCellMar>
        <w:tblLook w:val="01E0" w:firstRow="1" w:lastRow="1" w:firstColumn="1" w:lastColumn="1" w:noHBand="0" w:noVBand="0"/>
      </w:tblPr>
      <w:tblGrid>
        <w:gridCol w:w="2362"/>
        <w:gridCol w:w="3418"/>
        <w:gridCol w:w="3847"/>
      </w:tblGrid>
      <w:tr w:rsidR="00C240D3" w:rsidRPr="00043CE4" w14:paraId="291FCA24" w14:textId="77777777" w:rsidTr="00F97512">
        <w:trPr>
          <w:trHeight w:hRule="exact" w:val="526"/>
        </w:trPr>
        <w:tc>
          <w:tcPr>
            <w:tcW w:w="1227" w:type="pct"/>
            <w:tcBorders>
              <w:top w:val="single" w:sz="5" w:space="0" w:color="000000"/>
              <w:left w:val="single" w:sz="5" w:space="0" w:color="000000"/>
              <w:bottom w:val="single" w:sz="5" w:space="0" w:color="000000"/>
              <w:right w:val="single" w:sz="5" w:space="0" w:color="000000"/>
            </w:tcBorders>
          </w:tcPr>
          <w:p w14:paraId="658253D5" w14:textId="77777777" w:rsidR="00C240D3" w:rsidRPr="00043CE4" w:rsidRDefault="00C240D3" w:rsidP="005E30F7">
            <w:pPr>
              <w:pStyle w:val="TableParagraph"/>
              <w:spacing w:line="274" w:lineRule="exact"/>
              <w:ind w:left="205"/>
              <w:rPr>
                <w:rFonts w:ascii="Times New Roman" w:eastAsia="Times New Roman" w:hAnsi="Times New Roman" w:cs="Times New Roman"/>
                <w:sz w:val="24"/>
                <w:szCs w:val="24"/>
                <w:lang w:val="en-GB"/>
              </w:rPr>
            </w:pPr>
            <w:r w:rsidRPr="00043CE4">
              <w:rPr>
                <w:rFonts w:ascii="Times New Roman"/>
                <w:b/>
                <w:spacing w:val="-1"/>
                <w:sz w:val="24"/>
                <w:lang w:val="en-GB"/>
              </w:rPr>
              <w:t>Delivery</w:t>
            </w:r>
            <w:r w:rsidRPr="00043CE4">
              <w:rPr>
                <w:rFonts w:ascii="Times New Roman"/>
                <w:b/>
                <w:spacing w:val="-9"/>
                <w:sz w:val="24"/>
                <w:lang w:val="en-GB"/>
              </w:rPr>
              <w:t xml:space="preserve"> </w:t>
            </w:r>
            <w:r w:rsidRPr="00043CE4">
              <w:rPr>
                <w:rFonts w:ascii="Times New Roman"/>
                <w:b/>
                <w:spacing w:val="-1"/>
                <w:sz w:val="24"/>
                <w:lang w:val="en-GB"/>
              </w:rPr>
              <w:t>date</w:t>
            </w:r>
          </w:p>
        </w:tc>
        <w:tc>
          <w:tcPr>
            <w:tcW w:w="1775" w:type="pct"/>
            <w:tcBorders>
              <w:top w:val="single" w:sz="5" w:space="0" w:color="000000"/>
              <w:left w:val="single" w:sz="5" w:space="0" w:color="000000"/>
              <w:bottom w:val="single" w:sz="5" w:space="0" w:color="000000"/>
              <w:right w:val="single" w:sz="5" w:space="0" w:color="000000"/>
            </w:tcBorders>
          </w:tcPr>
          <w:p w14:paraId="53D706BE" w14:textId="77777777" w:rsidR="00C240D3" w:rsidRPr="00043CE4" w:rsidRDefault="00C240D3" w:rsidP="005E30F7">
            <w:pPr>
              <w:pStyle w:val="TableParagraph"/>
              <w:spacing w:line="274" w:lineRule="exact"/>
              <w:ind w:left="205"/>
              <w:rPr>
                <w:rFonts w:ascii="Times New Roman" w:eastAsia="Times New Roman" w:hAnsi="Times New Roman" w:cs="Times New Roman"/>
                <w:sz w:val="24"/>
                <w:szCs w:val="24"/>
                <w:lang w:val="en-GB"/>
              </w:rPr>
            </w:pPr>
            <w:r w:rsidRPr="00043CE4">
              <w:rPr>
                <w:rFonts w:ascii="Times New Roman"/>
                <w:b/>
                <w:spacing w:val="-1"/>
                <w:sz w:val="24"/>
                <w:lang w:val="en-GB"/>
              </w:rPr>
              <w:t>Deliverable</w:t>
            </w:r>
          </w:p>
        </w:tc>
        <w:tc>
          <w:tcPr>
            <w:tcW w:w="1998" w:type="pct"/>
            <w:tcBorders>
              <w:top w:val="single" w:sz="5" w:space="0" w:color="000000"/>
              <w:left w:val="single" w:sz="5" w:space="0" w:color="000000"/>
              <w:bottom w:val="single" w:sz="5" w:space="0" w:color="000000"/>
              <w:right w:val="single" w:sz="5" w:space="0" w:color="000000"/>
            </w:tcBorders>
          </w:tcPr>
          <w:p w14:paraId="7B2A843B" w14:textId="77777777" w:rsidR="00C240D3" w:rsidRPr="00043CE4" w:rsidRDefault="00C240D3" w:rsidP="005E30F7">
            <w:pPr>
              <w:pStyle w:val="TableParagraph"/>
              <w:spacing w:line="274" w:lineRule="exact"/>
              <w:ind w:left="205"/>
              <w:rPr>
                <w:rFonts w:ascii="Times New Roman" w:eastAsia="Times New Roman" w:hAnsi="Times New Roman" w:cs="Times New Roman"/>
                <w:sz w:val="24"/>
                <w:szCs w:val="24"/>
                <w:lang w:val="en-GB"/>
              </w:rPr>
            </w:pPr>
            <w:r w:rsidRPr="00043CE4">
              <w:rPr>
                <w:rFonts w:ascii="Times New Roman"/>
                <w:b/>
                <w:spacing w:val="-1"/>
                <w:sz w:val="24"/>
                <w:lang w:val="en-GB"/>
              </w:rPr>
              <w:t>Subject</w:t>
            </w:r>
          </w:p>
        </w:tc>
      </w:tr>
      <w:tr w:rsidR="00C240D3" w:rsidRPr="00043CE4" w14:paraId="0AD3A099" w14:textId="77777777" w:rsidTr="00F97512">
        <w:trPr>
          <w:trHeight w:hRule="exact" w:val="1079"/>
        </w:trPr>
        <w:tc>
          <w:tcPr>
            <w:tcW w:w="1227" w:type="pct"/>
            <w:tcBorders>
              <w:top w:val="single" w:sz="5" w:space="0" w:color="000000"/>
              <w:left w:val="single" w:sz="5" w:space="0" w:color="000000"/>
              <w:bottom w:val="single" w:sz="5" w:space="0" w:color="000000"/>
              <w:right w:val="single" w:sz="5" w:space="0" w:color="000000"/>
            </w:tcBorders>
          </w:tcPr>
          <w:p w14:paraId="439A808C" w14:textId="77777777" w:rsidR="00C240D3" w:rsidRPr="00043CE4" w:rsidRDefault="00C240D3" w:rsidP="00F97512">
            <w:pPr>
              <w:pStyle w:val="TableParagraph"/>
              <w:spacing w:before="40" w:after="40" w:line="273" w:lineRule="exact"/>
              <w:ind w:left="205"/>
              <w:rPr>
                <w:rFonts w:ascii="Times New Roman" w:eastAsia="Times New Roman" w:hAnsi="Times New Roman" w:cs="Times New Roman"/>
                <w:sz w:val="24"/>
                <w:szCs w:val="24"/>
                <w:lang w:val="en-GB"/>
              </w:rPr>
            </w:pPr>
            <w:r>
              <w:rPr>
                <w:rFonts w:ascii="Times New Roman"/>
                <w:spacing w:val="-1"/>
                <w:sz w:val="24"/>
                <w:lang w:val="en-GB"/>
              </w:rPr>
              <w:t>July 2026</w:t>
            </w:r>
          </w:p>
        </w:tc>
        <w:tc>
          <w:tcPr>
            <w:tcW w:w="1775" w:type="pct"/>
            <w:tcBorders>
              <w:top w:val="single" w:sz="5" w:space="0" w:color="000000"/>
              <w:left w:val="single" w:sz="5" w:space="0" w:color="000000"/>
              <w:bottom w:val="single" w:sz="5" w:space="0" w:color="000000"/>
              <w:right w:val="single" w:sz="5" w:space="0" w:color="000000"/>
            </w:tcBorders>
          </w:tcPr>
          <w:p w14:paraId="194260EA" w14:textId="77777777" w:rsidR="00C240D3" w:rsidRPr="00A003C1" w:rsidRDefault="00C240D3" w:rsidP="00F97512">
            <w:pPr>
              <w:pStyle w:val="TableParagraph"/>
              <w:spacing w:before="40" w:after="40"/>
              <w:ind w:left="205" w:right="564"/>
              <w:rPr>
                <w:rFonts w:ascii="Times New Roman" w:eastAsia="Times New Roman" w:hAnsi="Times New Roman" w:cs="Times New Roman"/>
                <w:sz w:val="24"/>
                <w:szCs w:val="24"/>
              </w:rPr>
            </w:pPr>
            <w:r w:rsidRPr="00A003C1">
              <w:rPr>
                <w:rFonts w:ascii="Times New Roman"/>
                <w:sz w:val="24"/>
                <w:lang w:val="en-GB"/>
              </w:rPr>
              <w:t>Draft Report A13</w:t>
            </w:r>
            <w:r>
              <w:rPr>
                <w:rStyle w:val="FootnoteReference"/>
                <w:rFonts w:ascii="Times New Roman"/>
                <w:sz w:val="24"/>
                <w:lang w:val="en-GB"/>
              </w:rPr>
              <w:footnoteReference w:id="14"/>
            </w:r>
            <w:r w:rsidRPr="00A003C1">
              <w:rPr>
                <w:rFonts w:ascii="Times New Roman"/>
                <w:sz w:val="24"/>
                <w:lang w:val="en-GB"/>
              </w:rPr>
              <w:t xml:space="preserve"> from the CEPT to the Commission.</w:t>
            </w:r>
          </w:p>
        </w:tc>
        <w:tc>
          <w:tcPr>
            <w:tcW w:w="1998" w:type="pct"/>
            <w:tcBorders>
              <w:top w:val="single" w:sz="5" w:space="0" w:color="000000"/>
              <w:left w:val="single" w:sz="5" w:space="0" w:color="000000"/>
              <w:bottom w:val="single" w:sz="5" w:space="0" w:color="000000"/>
              <w:right w:val="single" w:sz="5" w:space="0" w:color="000000"/>
            </w:tcBorders>
          </w:tcPr>
          <w:p w14:paraId="228CB39F" w14:textId="77777777" w:rsidR="00C240D3" w:rsidRPr="00043CE4" w:rsidRDefault="00C240D3" w:rsidP="00F97512">
            <w:pPr>
              <w:pStyle w:val="TableParagraph"/>
              <w:spacing w:before="40" w:after="40"/>
              <w:ind w:left="205" w:right="161"/>
              <w:rPr>
                <w:rFonts w:ascii="Times New Roman" w:eastAsia="Times New Roman" w:hAnsi="Times New Roman" w:cs="Times New Roman"/>
                <w:sz w:val="24"/>
                <w:szCs w:val="24"/>
                <w:lang w:val="en-GB"/>
              </w:rPr>
            </w:pPr>
            <w:r w:rsidRPr="00A003C1">
              <w:rPr>
                <w:rFonts w:ascii="Times New Roman"/>
                <w:sz w:val="24"/>
                <w:lang w:val="en-GB"/>
              </w:rPr>
              <w:t>Draft results under Task (1) of this Mandate.</w:t>
            </w:r>
          </w:p>
        </w:tc>
      </w:tr>
      <w:tr w:rsidR="00C240D3" w:rsidRPr="00043CE4" w14:paraId="0B59D6A6" w14:textId="77777777" w:rsidTr="00F97512">
        <w:trPr>
          <w:trHeight w:hRule="exact" w:val="1467"/>
        </w:trPr>
        <w:tc>
          <w:tcPr>
            <w:tcW w:w="1227" w:type="pct"/>
            <w:tcBorders>
              <w:top w:val="single" w:sz="5" w:space="0" w:color="000000"/>
              <w:left w:val="single" w:sz="5" w:space="0" w:color="000000"/>
              <w:bottom w:val="single" w:sz="5" w:space="0" w:color="000000"/>
              <w:right w:val="single" w:sz="5" w:space="0" w:color="000000"/>
            </w:tcBorders>
          </w:tcPr>
          <w:p w14:paraId="73C4CC25" w14:textId="77777777" w:rsidR="00C240D3" w:rsidRPr="00043CE4" w:rsidRDefault="00C240D3" w:rsidP="00F97512">
            <w:pPr>
              <w:pStyle w:val="TableParagraph"/>
              <w:spacing w:before="40" w:after="40" w:line="272" w:lineRule="exact"/>
              <w:ind w:left="205"/>
              <w:rPr>
                <w:rFonts w:ascii="Times New Roman" w:eastAsia="Times New Roman" w:hAnsi="Times New Roman" w:cs="Times New Roman"/>
                <w:sz w:val="24"/>
                <w:szCs w:val="24"/>
                <w:lang w:val="en-GB"/>
              </w:rPr>
            </w:pPr>
            <w:r>
              <w:rPr>
                <w:rFonts w:ascii="Times New Roman"/>
                <w:sz w:val="24"/>
                <w:lang w:val="en-GB"/>
              </w:rPr>
              <w:t>November 2026</w:t>
            </w:r>
          </w:p>
        </w:tc>
        <w:tc>
          <w:tcPr>
            <w:tcW w:w="1775" w:type="pct"/>
            <w:tcBorders>
              <w:top w:val="single" w:sz="5" w:space="0" w:color="000000"/>
              <w:left w:val="single" w:sz="5" w:space="0" w:color="000000"/>
              <w:bottom w:val="single" w:sz="5" w:space="0" w:color="000000"/>
              <w:right w:val="single" w:sz="5" w:space="0" w:color="000000"/>
            </w:tcBorders>
          </w:tcPr>
          <w:p w14:paraId="5FD89AFB" w14:textId="77777777" w:rsidR="00C240D3" w:rsidRPr="00043CE4" w:rsidRDefault="00C240D3" w:rsidP="00F97512">
            <w:pPr>
              <w:pStyle w:val="TableParagraph"/>
              <w:spacing w:before="40" w:after="40"/>
              <w:ind w:left="205" w:right="794"/>
              <w:rPr>
                <w:rFonts w:ascii="Times New Roman" w:eastAsia="Times New Roman" w:hAnsi="Times New Roman" w:cs="Times New Roman"/>
                <w:sz w:val="24"/>
                <w:szCs w:val="24"/>
                <w:lang w:val="en-GB"/>
              </w:rPr>
            </w:pPr>
            <w:r w:rsidRPr="00A003C1">
              <w:rPr>
                <w:rFonts w:ascii="Times New Roman"/>
                <w:sz w:val="24"/>
                <w:lang w:val="en-GB"/>
              </w:rPr>
              <w:t>Final Report A from the CEPT to the Commission taking into account the outcome of the public consultation</w:t>
            </w:r>
          </w:p>
        </w:tc>
        <w:tc>
          <w:tcPr>
            <w:tcW w:w="1998" w:type="pct"/>
            <w:tcBorders>
              <w:top w:val="single" w:sz="5" w:space="0" w:color="000000"/>
              <w:left w:val="single" w:sz="5" w:space="0" w:color="000000"/>
              <w:bottom w:val="single" w:sz="5" w:space="0" w:color="000000"/>
              <w:right w:val="single" w:sz="5" w:space="0" w:color="000000"/>
            </w:tcBorders>
          </w:tcPr>
          <w:p w14:paraId="13BE6C9F" w14:textId="77777777" w:rsidR="00C240D3" w:rsidRPr="00043CE4" w:rsidRDefault="00C240D3" w:rsidP="00F97512">
            <w:pPr>
              <w:pStyle w:val="TableParagraph"/>
              <w:spacing w:before="40" w:after="40"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Draft</w:t>
            </w:r>
            <w:r w:rsidRPr="00043CE4">
              <w:rPr>
                <w:rFonts w:ascii="Times New Roman"/>
                <w:spacing w:val="-6"/>
                <w:sz w:val="24"/>
                <w:lang w:val="en-GB"/>
              </w:rPr>
              <w:t xml:space="preserve"> </w:t>
            </w:r>
            <w:r w:rsidRPr="00043CE4">
              <w:rPr>
                <w:rFonts w:ascii="Times New Roman"/>
                <w:sz w:val="24"/>
                <w:lang w:val="en-GB"/>
              </w:rPr>
              <w:t>results</w:t>
            </w:r>
            <w:r w:rsidRPr="00043CE4">
              <w:rPr>
                <w:rFonts w:ascii="Times New Roman"/>
                <w:spacing w:val="-6"/>
                <w:sz w:val="24"/>
                <w:lang w:val="en-GB"/>
              </w:rPr>
              <w:t xml:space="preserve"> </w:t>
            </w:r>
            <w:r w:rsidRPr="00043CE4">
              <w:rPr>
                <w:rFonts w:ascii="Times New Roman"/>
                <w:sz w:val="24"/>
                <w:lang w:val="en-GB"/>
              </w:rPr>
              <w:t>under</w:t>
            </w:r>
            <w:r w:rsidRPr="00043CE4">
              <w:rPr>
                <w:rFonts w:ascii="Times New Roman"/>
                <w:spacing w:val="-6"/>
                <w:sz w:val="24"/>
                <w:lang w:val="en-GB"/>
              </w:rPr>
              <w:t xml:space="preserve"> </w:t>
            </w:r>
            <w:r>
              <w:rPr>
                <w:rFonts w:ascii="Times New Roman"/>
                <w:sz w:val="24"/>
                <w:lang w:val="en-GB"/>
              </w:rPr>
              <w:t>T</w:t>
            </w:r>
            <w:r w:rsidRPr="00043CE4">
              <w:rPr>
                <w:rFonts w:ascii="Times New Roman"/>
                <w:sz w:val="24"/>
                <w:lang w:val="en-GB"/>
              </w:rPr>
              <w:t>ask</w:t>
            </w:r>
            <w:r w:rsidRPr="00043CE4">
              <w:rPr>
                <w:rFonts w:ascii="Times New Roman"/>
                <w:spacing w:val="-6"/>
                <w:sz w:val="24"/>
                <w:lang w:val="en-GB"/>
              </w:rPr>
              <w:t xml:space="preserve"> </w:t>
            </w:r>
            <w:r w:rsidRPr="00043CE4">
              <w:rPr>
                <w:rFonts w:ascii="Times New Roman"/>
                <w:sz w:val="24"/>
                <w:lang w:val="en-GB"/>
              </w:rPr>
              <w:t>(1)</w:t>
            </w:r>
            <w:r>
              <w:rPr>
                <w:rFonts w:ascii="Times New Roman"/>
                <w:sz w:val="24"/>
                <w:lang w:val="en-GB"/>
              </w:rPr>
              <w:t xml:space="preserve"> of this Mandate</w:t>
            </w:r>
          </w:p>
        </w:tc>
      </w:tr>
      <w:tr w:rsidR="00C240D3" w:rsidRPr="00043CE4" w14:paraId="75042324" w14:textId="77777777" w:rsidTr="00F97512">
        <w:trPr>
          <w:trHeight w:hRule="exact" w:val="863"/>
        </w:trPr>
        <w:tc>
          <w:tcPr>
            <w:tcW w:w="1227" w:type="pct"/>
            <w:tcBorders>
              <w:top w:val="single" w:sz="5" w:space="0" w:color="000000"/>
              <w:left w:val="single" w:sz="5" w:space="0" w:color="000000"/>
              <w:bottom w:val="single" w:sz="5" w:space="0" w:color="000000"/>
              <w:right w:val="single" w:sz="5" w:space="0" w:color="000000"/>
            </w:tcBorders>
          </w:tcPr>
          <w:p w14:paraId="108C4B57" w14:textId="4BE45ED0" w:rsidR="00C240D3" w:rsidRPr="00043CE4" w:rsidRDefault="00C240D3" w:rsidP="00F97512">
            <w:pPr>
              <w:pStyle w:val="TableParagraph"/>
              <w:spacing w:before="40" w:after="40" w:line="272" w:lineRule="exact"/>
              <w:ind w:left="205"/>
              <w:rPr>
                <w:rFonts w:ascii="Times New Roman" w:eastAsia="Times New Roman" w:hAnsi="Times New Roman" w:cs="Times New Roman"/>
                <w:sz w:val="24"/>
                <w:szCs w:val="24"/>
                <w:lang w:val="en-GB"/>
              </w:rPr>
            </w:pPr>
            <w:r>
              <w:rPr>
                <w:rFonts w:ascii="Times New Roman"/>
                <w:spacing w:val="-1"/>
                <w:sz w:val="24"/>
                <w:lang w:val="en-GB"/>
              </w:rPr>
              <w:t>March 2027</w:t>
            </w:r>
          </w:p>
        </w:tc>
        <w:tc>
          <w:tcPr>
            <w:tcW w:w="1775" w:type="pct"/>
            <w:tcBorders>
              <w:top w:val="single" w:sz="5" w:space="0" w:color="000000"/>
              <w:left w:val="single" w:sz="5" w:space="0" w:color="000000"/>
              <w:bottom w:val="single" w:sz="5" w:space="0" w:color="000000"/>
              <w:right w:val="single" w:sz="5" w:space="0" w:color="000000"/>
            </w:tcBorders>
          </w:tcPr>
          <w:p w14:paraId="71330273" w14:textId="77777777" w:rsidR="00C240D3" w:rsidRPr="00043CE4" w:rsidRDefault="00C240D3" w:rsidP="00F97512">
            <w:pPr>
              <w:pStyle w:val="TableParagraph"/>
              <w:spacing w:before="40" w:after="40"/>
              <w:ind w:left="205" w:right="358"/>
              <w:rPr>
                <w:rFonts w:ascii="Times New Roman" w:eastAsia="Times New Roman" w:hAnsi="Times New Roman" w:cs="Times New Roman"/>
                <w:sz w:val="24"/>
                <w:szCs w:val="24"/>
                <w:lang w:val="en-GB"/>
              </w:rPr>
            </w:pPr>
            <w:r w:rsidRPr="00A003C1">
              <w:rPr>
                <w:rFonts w:ascii="Times New Roman"/>
                <w:spacing w:val="-1"/>
                <w:sz w:val="24"/>
                <w:lang w:val="en-GB"/>
              </w:rPr>
              <w:t>Draft Report B15 from the CEPT to the Commission</w:t>
            </w:r>
          </w:p>
        </w:tc>
        <w:tc>
          <w:tcPr>
            <w:tcW w:w="1998" w:type="pct"/>
            <w:tcBorders>
              <w:top w:val="single" w:sz="5" w:space="0" w:color="000000"/>
              <w:left w:val="single" w:sz="5" w:space="0" w:color="000000"/>
              <w:bottom w:val="single" w:sz="5" w:space="0" w:color="000000"/>
              <w:right w:val="single" w:sz="5" w:space="0" w:color="000000"/>
            </w:tcBorders>
          </w:tcPr>
          <w:p w14:paraId="4CF1D84F" w14:textId="77777777" w:rsidR="00C240D3" w:rsidRPr="00043CE4" w:rsidRDefault="00C240D3" w:rsidP="00F97512">
            <w:pPr>
              <w:pStyle w:val="TableParagraph"/>
              <w:spacing w:before="40" w:after="40"/>
              <w:ind w:left="205"/>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Dr</w:t>
            </w:r>
            <w:r w:rsidRPr="00A003C1">
              <w:rPr>
                <w:rFonts w:ascii="Times New Roman" w:eastAsia="Times New Roman" w:hAnsi="Times New Roman" w:cs="Times New Roman"/>
                <w:sz w:val="24"/>
                <w:szCs w:val="24"/>
                <w:lang w:val="en-GB"/>
              </w:rPr>
              <w:t>aft results under Task (2) of this Mandate.</w:t>
            </w:r>
          </w:p>
        </w:tc>
      </w:tr>
      <w:tr w:rsidR="00C240D3" w:rsidRPr="00043CE4" w14:paraId="1A992E94" w14:textId="77777777" w:rsidTr="00F97512">
        <w:trPr>
          <w:trHeight w:hRule="exact" w:val="1147"/>
        </w:trPr>
        <w:tc>
          <w:tcPr>
            <w:tcW w:w="1227" w:type="pct"/>
            <w:tcBorders>
              <w:top w:val="single" w:sz="5" w:space="0" w:color="000000"/>
              <w:left w:val="single" w:sz="5" w:space="0" w:color="000000"/>
              <w:bottom w:val="single" w:sz="5" w:space="0" w:color="000000"/>
              <w:right w:val="single" w:sz="5" w:space="0" w:color="000000"/>
            </w:tcBorders>
          </w:tcPr>
          <w:p w14:paraId="3AC5111E" w14:textId="77777777" w:rsidR="00C240D3" w:rsidRPr="00043CE4" w:rsidRDefault="00C240D3" w:rsidP="00F97512">
            <w:pPr>
              <w:pStyle w:val="TableParagraph"/>
              <w:spacing w:before="40" w:after="40"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July</w:t>
            </w:r>
            <w:r w:rsidRPr="00043CE4">
              <w:rPr>
                <w:rFonts w:ascii="Times New Roman"/>
                <w:spacing w:val="-4"/>
                <w:sz w:val="24"/>
                <w:lang w:val="en-GB"/>
              </w:rPr>
              <w:t xml:space="preserve"> </w:t>
            </w:r>
            <w:r w:rsidRPr="00043CE4">
              <w:rPr>
                <w:rFonts w:ascii="Times New Roman"/>
                <w:sz w:val="24"/>
                <w:lang w:val="en-GB"/>
              </w:rPr>
              <w:t>202</w:t>
            </w:r>
            <w:r>
              <w:rPr>
                <w:rFonts w:ascii="Times New Roman"/>
                <w:sz w:val="24"/>
                <w:lang w:val="en-GB"/>
              </w:rPr>
              <w:t>7</w:t>
            </w:r>
          </w:p>
        </w:tc>
        <w:tc>
          <w:tcPr>
            <w:tcW w:w="1775" w:type="pct"/>
            <w:tcBorders>
              <w:top w:val="single" w:sz="5" w:space="0" w:color="000000"/>
              <w:left w:val="single" w:sz="5" w:space="0" w:color="000000"/>
              <w:bottom w:val="single" w:sz="5" w:space="0" w:color="000000"/>
              <w:right w:val="single" w:sz="5" w:space="0" w:color="000000"/>
            </w:tcBorders>
          </w:tcPr>
          <w:p w14:paraId="352E7B40" w14:textId="77777777" w:rsidR="00C240D3" w:rsidRPr="00043CE4" w:rsidRDefault="00C240D3" w:rsidP="00F97512">
            <w:pPr>
              <w:pStyle w:val="TableParagraph"/>
              <w:spacing w:before="40" w:after="40"/>
              <w:ind w:left="205" w:right="203"/>
              <w:rPr>
                <w:rFonts w:ascii="Times New Roman" w:eastAsia="Times New Roman" w:hAnsi="Times New Roman" w:cs="Times New Roman"/>
                <w:sz w:val="24"/>
                <w:szCs w:val="24"/>
                <w:lang w:val="en-GB"/>
              </w:rPr>
            </w:pPr>
            <w:r w:rsidRPr="00043CE4">
              <w:rPr>
                <w:rFonts w:ascii="Times New Roman"/>
                <w:spacing w:val="-1"/>
                <w:sz w:val="24"/>
                <w:lang w:val="en-GB"/>
              </w:rPr>
              <w:t>Final</w:t>
            </w:r>
            <w:r w:rsidRPr="00043CE4">
              <w:rPr>
                <w:rFonts w:ascii="Times New Roman"/>
                <w:spacing w:val="-6"/>
                <w:sz w:val="24"/>
                <w:lang w:val="en-GB"/>
              </w:rPr>
              <w:t xml:space="preserve"> </w:t>
            </w:r>
            <w:r w:rsidRPr="00043CE4">
              <w:rPr>
                <w:rFonts w:ascii="Times New Roman"/>
                <w:sz w:val="24"/>
                <w:lang w:val="en-GB"/>
              </w:rPr>
              <w:t>Report</w:t>
            </w:r>
            <w:r w:rsidRPr="00043CE4">
              <w:rPr>
                <w:rFonts w:ascii="Times New Roman"/>
                <w:spacing w:val="-6"/>
                <w:sz w:val="24"/>
                <w:lang w:val="en-GB"/>
              </w:rPr>
              <w:t xml:space="preserve"> </w:t>
            </w:r>
            <w:r w:rsidRPr="00043CE4">
              <w:rPr>
                <w:rFonts w:ascii="Times New Roman"/>
                <w:sz w:val="24"/>
                <w:lang w:val="en-GB"/>
              </w:rPr>
              <w:t>B</w:t>
            </w:r>
            <w:r w:rsidRPr="00043CE4">
              <w:rPr>
                <w:rFonts w:ascii="Times New Roman"/>
                <w:spacing w:val="-6"/>
                <w:sz w:val="24"/>
                <w:lang w:val="en-GB"/>
              </w:rPr>
              <w:t xml:space="preserve"> </w:t>
            </w:r>
            <w:r w:rsidRPr="00043CE4">
              <w:rPr>
                <w:rFonts w:ascii="Times New Roman"/>
                <w:sz w:val="24"/>
                <w:lang w:val="en-GB"/>
              </w:rPr>
              <w:t>from</w:t>
            </w:r>
            <w:r w:rsidRPr="00043CE4">
              <w:rPr>
                <w:rFonts w:ascii="Times New Roman"/>
                <w:spacing w:val="21"/>
                <w:w w:val="99"/>
                <w:sz w:val="24"/>
                <w:lang w:val="en-GB"/>
              </w:rPr>
              <w:t xml:space="preserve"> </w:t>
            </w:r>
            <w:r w:rsidRPr="00043CE4">
              <w:rPr>
                <w:rFonts w:ascii="Times New Roman"/>
                <w:sz w:val="24"/>
                <w:lang w:val="en-GB"/>
              </w:rPr>
              <w:t>CEPT</w:t>
            </w:r>
            <w:r w:rsidRPr="00043CE4">
              <w:rPr>
                <w:rFonts w:ascii="Times New Roman"/>
                <w:spacing w:val="-6"/>
                <w:sz w:val="24"/>
                <w:lang w:val="en-GB"/>
              </w:rPr>
              <w:t xml:space="preserve"> </w:t>
            </w:r>
            <w:r w:rsidRPr="00043CE4">
              <w:rPr>
                <w:rFonts w:ascii="Times New Roman"/>
                <w:sz w:val="24"/>
                <w:lang w:val="en-GB"/>
              </w:rPr>
              <w:t>to</w:t>
            </w:r>
            <w:r w:rsidRPr="00043CE4">
              <w:rPr>
                <w:rFonts w:ascii="Times New Roman"/>
                <w:spacing w:val="-5"/>
                <w:sz w:val="24"/>
                <w:lang w:val="en-GB"/>
              </w:rPr>
              <w:t xml:space="preserve"> </w:t>
            </w:r>
            <w:r w:rsidRPr="00043CE4">
              <w:rPr>
                <w:rFonts w:ascii="Times New Roman"/>
                <w:sz w:val="24"/>
                <w:lang w:val="en-GB"/>
              </w:rPr>
              <w:t>the</w:t>
            </w:r>
            <w:r w:rsidRPr="00043CE4">
              <w:rPr>
                <w:rFonts w:ascii="Times New Roman"/>
                <w:w w:val="99"/>
                <w:sz w:val="24"/>
                <w:lang w:val="en-GB"/>
              </w:rPr>
              <w:t xml:space="preserve"> </w:t>
            </w:r>
            <w:r w:rsidRPr="00043CE4">
              <w:rPr>
                <w:rFonts w:ascii="Times New Roman"/>
                <w:spacing w:val="-1"/>
                <w:sz w:val="24"/>
                <w:lang w:val="en-GB"/>
              </w:rPr>
              <w:t>Commission</w:t>
            </w:r>
            <w:r w:rsidRPr="00043CE4">
              <w:rPr>
                <w:rFonts w:ascii="Times New Roman"/>
                <w:spacing w:val="-12"/>
                <w:sz w:val="24"/>
                <w:lang w:val="en-GB"/>
              </w:rPr>
              <w:t xml:space="preserve"> </w:t>
            </w:r>
            <w:r w:rsidRPr="00043CE4">
              <w:rPr>
                <w:rFonts w:ascii="Times New Roman"/>
                <w:sz w:val="24"/>
                <w:lang w:val="en-GB"/>
              </w:rPr>
              <w:t>taking</w:t>
            </w:r>
            <w:r w:rsidRPr="00043CE4">
              <w:rPr>
                <w:rFonts w:ascii="Times New Roman"/>
                <w:spacing w:val="-12"/>
                <w:sz w:val="24"/>
                <w:lang w:val="en-GB"/>
              </w:rPr>
              <w:t xml:space="preserve"> </w:t>
            </w:r>
            <w:r w:rsidRPr="00043CE4">
              <w:rPr>
                <w:rFonts w:ascii="Times New Roman"/>
                <w:sz w:val="24"/>
                <w:lang w:val="en-GB"/>
              </w:rPr>
              <w:t>into</w:t>
            </w:r>
            <w:r w:rsidRPr="00043CE4">
              <w:rPr>
                <w:rFonts w:ascii="Times New Roman"/>
                <w:spacing w:val="28"/>
                <w:w w:val="99"/>
                <w:sz w:val="24"/>
                <w:lang w:val="en-GB"/>
              </w:rPr>
              <w:t xml:space="preserve"> </w:t>
            </w:r>
            <w:r w:rsidRPr="00043CE4">
              <w:rPr>
                <w:rFonts w:ascii="Times New Roman"/>
                <w:sz w:val="24"/>
                <w:lang w:val="en-GB"/>
              </w:rPr>
              <w:t>account</w:t>
            </w:r>
            <w:r w:rsidRPr="00043CE4">
              <w:rPr>
                <w:rFonts w:ascii="Times New Roman"/>
                <w:spacing w:val="-8"/>
                <w:sz w:val="24"/>
                <w:lang w:val="en-GB"/>
              </w:rPr>
              <w:t xml:space="preserve"> </w:t>
            </w:r>
            <w:r w:rsidRPr="00043CE4">
              <w:rPr>
                <w:rFonts w:ascii="Times New Roman"/>
                <w:sz w:val="24"/>
                <w:lang w:val="en-GB"/>
              </w:rPr>
              <w:t>the</w:t>
            </w:r>
            <w:r w:rsidRPr="00043CE4">
              <w:rPr>
                <w:rFonts w:ascii="Times New Roman"/>
                <w:spacing w:val="-7"/>
                <w:sz w:val="24"/>
                <w:lang w:val="en-GB"/>
              </w:rPr>
              <w:t xml:space="preserve"> </w:t>
            </w:r>
            <w:r w:rsidRPr="00043CE4">
              <w:rPr>
                <w:rFonts w:ascii="Times New Roman"/>
                <w:spacing w:val="-1"/>
                <w:sz w:val="24"/>
                <w:lang w:val="en-GB"/>
              </w:rPr>
              <w:t>outcome</w:t>
            </w:r>
            <w:r w:rsidRPr="00043CE4">
              <w:rPr>
                <w:rFonts w:ascii="Times New Roman"/>
                <w:spacing w:val="-7"/>
                <w:sz w:val="24"/>
                <w:lang w:val="en-GB"/>
              </w:rPr>
              <w:t xml:space="preserve"> </w:t>
            </w:r>
            <w:r w:rsidRPr="00043CE4">
              <w:rPr>
                <w:rFonts w:ascii="Times New Roman"/>
                <w:sz w:val="24"/>
                <w:lang w:val="en-GB"/>
              </w:rPr>
              <w:t>of</w:t>
            </w:r>
            <w:r w:rsidRPr="00043CE4">
              <w:rPr>
                <w:rFonts w:ascii="Times New Roman"/>
                <w:spacing w:val="25"/>
                <w:sz w:val="24"/>
                <w:lang w:val="en-GB"/>
              </w:rPr>
              <w:t xml:space="preserve"> </w:t>
            </w:r>
            <w:r w:rsidRPr="00043CE4">
              <w:rPr>
                <w:rFonts w:ascii="Times New Roman"/>
                <w:sz w:val="24"/>
                <w:lang w:val="en-GB"/>
              </w:rPr>
              <w:t>the</w:t>
            </w:r>
            <w:r w:rsidRPr="00043CE4">
              <w:rPr>
                <w:rFonts w:ascii="Times New Roman"/>
                <w:spacing w:val="-12"/>
                <w:sz w:val="24"/>
                <w:lang w:val="en-GB"/>
              </w:rPr>
              <w:t xml:space="preserve"> </w:t>
            </w:r>
            <w:r w:rsidRPr="00043CE4">
              <w:rPr>
                <w:rFonts w:ascii="Times New Roman"/>
                <w:spacing w:val="-1"/>
                <w:sz w:val="24"/>
                <w:lang w:val="en-GB"/>
              </w:rPr>
              <w:t>public</w:t>
            </w:r>
            <w:r w:rsidRPr="00043CE4">
              <w:rPr>
                <w:rFonts w:ascii="Times New Roman"/>
                <w:spacing w:val="-10"/>
                <w:sz w:val="24"/>
                <w:lang w:val="en-GB"/>
              </w:rPr>
              <w:t xml:space="preserve"> </w:t>
            </w:r>
            <w:r w:rsidRPr="00043CE4">
              <w:rPr>
                <w:rFonts w:ascii="Times New Roman"/>
                <w:sz w:val="24"/>
                <w:lang w:val="en-GB"/>
              </w:rPr>
              <w:t>consultation</w:t>
            </w:r>
          </w:p>
        </w:tc>
        <w:tc>
          <w:tcPr>
            <w:tcW w:w="1998" w:type="pct"/>
            <w:tcBorders>
              <w:top w:val="single" w:sz="5" w:space="0" w:color="000000"/>
              <w:left w:val="single" w:sz="5" w:space="0" w:color="000000"/>
              <w:bottom w:val="single" w:sz="5" w:space="0" w:color="000000"/>
              <w:right w:val="single" w:sz="5" w:space="0" w:color="000000"/>
            </w:tcBorders>
          </w:tcPr>
          <w:p w14:paraId="533B0770" w14:textId="77777777" w:rsidR="00C240D3" w:rsidRPr="00043CE4" w:rsidRDefault="00C240D3" w:rsidP="00F97512">
            <w:pPr>
              <w:pStyle w:val="TableParagraph"/>
              <w:spacing w:before="40" w:after="40" w:line="272" w:lineRule="exact"/>
              <w:ind w:left="205"/>
              <w:rPr>
                <w:rFonts w:ascii="Times New Roman" w:eastAsia="Times New Roman" w:hAnsi="Times New Roman" w:cs="Times New Roman"/>
                <w:sz w:val="24"/>
                <w:szCs w:val="24"/>
                <w:lang w:val="en-GB"/>
              </w:rPr>
            </w:pPr>
            <w:r w:rsidRPr="00043CE4">
              <w:rPr>
                <w:rFonts w:ascii="Times New Roman"/>
                <w:spacing w:val="-1"/>
                <w:sz w:val="24"/>
                <w:lang w:val="en-GB"/>
              </w:rPr>
              <w:t>Final</w:t>
            </w:r>
            <w:r w:rsidRPr="00043CE4">
              <w:rPr>
                <w:rFonts w:ascii="Times New Roman"/>
                <w:spacing w:val="-6"/>
                <w:sz w:val="24"/>
                <w:lang w:val="en-GB"/>
              </w:rPr>
              <w:t xml:space="preserve"> </w:t>
            </w:r>
            <w:r w:rsidRPr="00043CE4">
              <w:rPr>
                <w:rFonts w:ascii="Times New Roman"/>
                <w:sz w:val="24"/>
                <w:lang w:val="en-GB"/>
              </w:rPr>
              <w:t>results</w:t>
            </w:r>
            <w:r w:rsidRPr="00043CE4">
              <w:rPr>
                <w:rFonts w:ascii="Times New Roman"/>
                <w:spacing w:val="-6"/>
                <w:sz w:val="24"/>
                <w:lang w:val="en-GB"/>
              </w:rPr>
              <w:t xml:space="preserve"> </w:t>
            </w:r>
            <w:r w:rsidRPr="00043CE4">
              <w:rPr>
                <w:rFonts w:ascii="Times New Roman"/>
                <w:sz w:val="24"/>
                <w:lang w:val="en-GB"/>
              </w:rPr>
              <w:t>under</w:t>
            </w:r>
            <w:r w:rsidRPr="00043CE4">
              <w:rPr>
                <w:rFonts w:ascii="Times New Roman"/>
                <w:spacing w:val="-6"/>
                <w:sz w:val="24"/>
                <w:lang w:val="en-GB"/>
              </w:rPr>
              <w:t xml:space="preserve"> </w:t>
            </w:r>
            <w:r w:rsidRPr="00043CE4">
              <w:rPr>
                <w:rFonts w:ascii="Times New Roman"/>
                <w:sz w:val="24"/>
                <w:lang w:val="en-GB"/>
              </w:rPr>
              <w:t>task</w:t>
            </w:r>
            <w:r w:rsidRPr="00043CE4">
              <w:rPr>
                <w:rFonts w:ascii="Times New Roman"/>
                <w:spacing w:val="-6"/>
                <w:sz w:val="24"/>
                <w:lang w:val="en-GB"/>
              </w:rPr>
              <w:t xml:space="preserve"> </w:t>
            </w:r>
            <w:r w:rsidRPr="00043CE4">
              <w:rPr>
                <w:rFonts w:ascii="Times New Roman"/>
                <w:sz w:val="24"/>
                <w:lang w:val="en-GB"/>
              </w:rPr>
              <w:t>(2)</w:t>
            </w:r>
            <w:r>
              <w:rPr>
                <w:rFonts w:ascii="Times New Roman"/>
                <w:sz w:val="24"/>
                <w:lang w:val="en-GB"/>
              </w:rPr>
              <w:t xml:space="preserve"> of this Mandate</w:t>
            </w:r>
          </w:p>
        </w:tc>
      </w:tr>
      <w:tr w:rsidR="003C7512" w:rsidRPr="00043CE4" w14:paraId="41C5546A" w14:textId="77777777" w:rsidTr="00F97512">
        <w:trPr>
          <w:trHeight w:hRule="exact" w:val="709"/>
        </w:trPr>
        <w:tc>
          <w:tcPr>
            <w:tcW w:w="1227" w:type="pct"/>
            <w:tcBorders>
              <w:top w:val="single" w:sz="5" w:space="0" w:color="000000"/>
              <w:left w:val="single" w:sz="5" w:space="0" w:color="000000"/>
              <w:bottom w:val="single" w:sz="5" w:space="0" w:color="000000"/>
              <w:right w:val="single" w:sz="5" w:space="0" w:color="000000"/>
            </w:tcBorders>
          </w:tcPr>
          <w:p w14:paraId="4C8CA9F8" w14:textId="66F76501" w:rsidR="003C7512" w:rsidRDefault="003C7512" w:rsidP="003C7512">
            <w:pPr>
              <w:pStyle w:val="TableParagraph"/>
              <w:spacing w:line="272" w:lineRule="exact"/>
              <w:ind w:left="205"/>
              <w:rPr>
                <w:rFonts w:ascii="Times New Roman"/>
                <w:spacing w:val="-1"/>
                <w:sz w:val="24"/>
                <w:lang w:val="en-GB"/>
              </w:rPr>
            </w:pPr>
            <w:r w:rsidRPr="00043CE4">
              <w:rPr>
                <w:rFonts w:ascii="Times New Roman"/>
                <w:b/>
                <w:spacing w:val="-1"/>
                <w:sz w:val="24"/>
                <w:lang w:val="en-GB"/>
              </w:rPr>
              <w:lastRenderedPageBreak/>
              <w:t>Delivery</w:t>
            </w:r>
            <w:r w:rsidRPr="00043CE4">
              <w:rPr>
                <w:rFonts w:ascii="Times New Roman"/>
                <w:b/>
                <w:spacing w:val="-9"/>
                <w:sz w:val="24"/>
                <w:lang w:val="en-GB"/>
              </w:rPr>
              <w:t xml:space="preserve"> </w:t>
            </w:r>
            <w:r w:rsidRPr="00043CE4">
              <w:rPr>
                <w:rFonts w:ascii="Times New Roman"/>
                <w:b/>
                <w:spacing w:val="-1"/>
                <w:sz w:val="24"/>
                <w:lang w:val="en-GB"/>
              </w:rPr>
              <w:t>date</w:t>
            </w:r>
          </w:p>
        </w:tc>
        <w:tc>
          <w:tcPr>
            <w:tcW w:w="1775" w:type="pct"/>
            <w:tcBorders>
              <w:top w:val="single" w:sz="5" w:space="0" w:color="000000"/>
              <w:left w:val="single" w:sz="5" w:space="0" w:color="000000"/>
              <w:bottom w:val="single" w:sz="5" w:space="0" w:color="000000"/>
              <w:right w:val="single" w:sz="5" w:space="0" w:color="000000"/>
            </w:tcBorders>
          </w:tcPr>
          <w:p w14:paraId="4B616436" w14:textId="3BEACA14" w:rsidR="003C7512" w:rsidRPr="00A003C1" w:rsidRDefault="003C7512" w:rsidP="003C7512">
            <w:pPr>
              <w:pStyle w:val="TableParagraph"/>
              <w:ind w:left="205" w:right="203"/>
              <w:rPr>
                <w:rFonts w:ascii="Times New Roman"/>
                <w:spacing w:val="-1"/>
                <w:sz w:val="24"/>
                <w:lang w:val="en-GB"/>
              </w:rPr>
            </w:pPr>
            <w:r w:rsidRPr="00043CE4">
              <w:rPr>
                <w:rFonts w:ascii="Times New Roman"/>
                <w:b/>
                <w:spacing w:val="-1"/>
                <w:sz w:val="24"/>
                <w:lang w:val="en-GB"/>
              </w:rPr>
              <w:t>Deliverable</w:t>
            </w:r>
          </w:p>
        </w:tc>
        <w:tc>
          <w:tcPr>
            <w:tcW w:w="1998" w:type="pct"/>
            <w:tcBorders>
              <w:top w:val="single" w:sz="5" w:space="0" w:color="000000"/>
              <w:left w:val="single" w:sz="5" w:space="0" w:color="000000"/>
              <w:bottom w:val="single" w:sz="5" w:space="0" w:color="000000"/>
              <w:right w:val="single" w:sz="5" w:space="0" w:color="000000"/>
            </w:tcBorders>
          </w:tcPr>
          <w:p w14:paraId="724E52A4" w14:textId="39573EA1" w:rsidR="003C7512" w:rsidRPr="00A003C1" w:rsidRDefault="003C7512" w:rsidP="003C7512">
            <w:pPr>
              <w:pStyle w:val="TableParagraph"/>
              <w:spacing w:line="272" w:lineRule="exact"/>
              <w:ind w:left="205"/>
              <w:rPr>
                <w:rFonts w:ascii="Times New Roman"/>
                <w:spacing w:val="-1"/>
                <w:sz w:val="24"/>
                <w:lang w:val="en-GB"/>
              </w:rPr>
            </w:pPr>
            <w:r w:rsidRPr="00043CE4">
              <w:rPr>
                <w:rFonts w:ascii="Times New Roman"/>
                <w:b/>
                <w:spacing w:val="-1"/>
                <w:sz w:val="24"/>
                <w:lang w:val="en-GB"/>
              </w:rPr>
              <w:t>Subject</w:t>
            </w:r>
          </w:p>
        </w:tc>
      </w:tr>
      <w:tr w:rsidR="003C7512" w:rsidRPr="00043CE4" w14:paraId="71DF9D9D" w14:textId="77777777" w:rsidTr="00F97512">
        <w:trPr>
          <w:trHeight w:hRule="exact" w:val="709"/>
        </w:trPr>
        <w:tc>
          <w:tcPr>
            <w:tcW w:w="1227" w:type="pct"/>
            <w:tcBorders>
              <w:top w:val="single" w:sz="5" w:space="0" w:color="000000"/>
              <w:left w:val="single" w:sz="5" w:space="0" w:color="000000"/>
              <w:bottom w:val="single" w:sz="5" w:space="0" w:color="000000"/>
              <w:right w:val="single" w:sz="5" w:space="0" w:color="000000"/>
            </w:tcBorders>
          </w:tcPr>
          <w:p w14:paraId="019CA3E9" w14:textId="77777777" w:rsidR="003C7512" w:rsidRPr="00043CE4" w:rsidRDefault="003C7512" w:rsidP="003C7512">
            <w:pPr>
              <w:pStyle w:val="TableParagraph"/>
              <w:spacing w:line="272" w:lineRule="exact"/>
              <w:ind w:left="205"/>
              <w:rPr>
                <w:rFonts w:ascii="Times New Roman"/>
                <w:spacing w:val="-1"/>
                <w:sz w:val="24"/>
                <w:lang w:val="en-GB"/>
              </w:rPr>
            </w:pPr>
            <w:r>
              <w:rPr>
                <w:rFonts w:ascii="Times New Roman"/>
                <w:spacing w:val="-1"/>
                <w:sz w:val="24"/>
                <w:lang w:val="en-GB"/>
              </w:rPr>
              <w:t>July 2028</w:t>
            </w:r>
          </w:p>
        </w:tc>
        <w:tc>
          <w:tcPr>
            <w:tcW w:w="1775" w:type="pct"/>
            <w:tcBorders>
              <w:top w:val="single" w:sz="5" w:space="0" w:color="000000"/>
              <w:left w:val="single" w:sz="5" w:space="0" w:color="000000"/>
              <w:bottom w:val="single" w:sz="5" w:space="0" w:color="000000"/>
              <w:right w:val="single" w:sz="5" w:space="0" w:color="000000"/>
            </w:tcBorders>
          </w:tcPr>
          <w:p w14:paraId="7148C156" w14:textId="77777777" w:rsidR="003C7512" w:rsidRPr="00043CE4" w:rsidRDefault="003C7512" w:rsidP="003C7512">
            <w:pPr>
              <w:pStyle w:val="TableParagraph"/>
              <w:ind w:left="205" w:right="203"/>
              <w:rPr>
                <w:rFonts w:ascii="Times New Roman"/>
                <w:spacing w:val="-1"/>
                <w:sz w:val="24"/>
                <w:lang w:val="en-GB"/>
              </w:rPr>
            </w:pPr>
            <w:r w:rsidRPr="00A003C1">
              <w:rPr>
                <w:rFonts w:ascii="Times New Roman"/>
                <w:spacing w:val="-1"/>
                <w:sz w:val="24"/>
                <w:lang w:val="en-GB"/>
              </w:rPr>
              <w:t>Draft Report C15 from the CEPT to the Commission</w:t>
            </w:r>
          </w:p>
        </w:tc>
        <w:tc>
          <w:tcPr>
            <w:tcW w:w="1998" w:type="pct"/>
            <w:tcBorders>
              <w:top w:val="single" w:sz="5" w:space="0" w:color="000000"/>
              <w:left w:val="single" w:sz="5" w:space="0" w:color="000000"/>
              <w:bottom w:val="single" w:sz="5" w:space="0" w:color="000000"/>
              <w:right w:val="single" w:sz="5" w:space="0" w:color="000000"/>
            </w:tcBorders>
          </w:tcPr>
          <w:p w14:paraId="0F2DFA14" w14:textId="77777777" w:rsidR="003C7512" w:rsidRPr="00043CE4" w:rsidRDefault="003C7512" w:rsidP="003C7512">
            <w:pPr>
              <w:pStyle w:val="TableParagraph"/>
              <w:spacing w:line="272" w:lineRule="exact"/>
              <w:ind w:left="205"/>
              <w:rPr>
                <w:rFonts w:ascii="Times New Roman"/>
                <w:spacing w:val="-1"/>
                <w:sz w:val="24"/>
                <w:lang w:val="en-GB"/>
              </w:rPr>
            </w:pPr>
            <w:r w:rsidRPr="00A003C1">
              <w:rPr>
                <w:rFonts w:ascii="Times New Roman"/>
                <w:spacing w:val="-1"/>
                <w:sz w:val="24"/>
                <w:lang w:val="en-GB"/>
              </w:rPr>
              <w:t>Draft results under Task (3) of this Mandate.</w:t>
            </w:r>
          </w:p>
        </w:tc>
      </w:tr>
      <w:tr w:rsidR="003C7512" w:rsidRPr="00043CE4" w14:paraId="421C421A" w14:textId="77777777" w:rsidTr="00F97512">
        <w:trPr>
          <w:trHeight w:hRule="exact" w:val="1285"/>
        </w:trPr>
        <w:tc>
          <w:tcPr>
            <w:tcW w:w="1227" w:type="pct"/>
            <w:tcBorders>
              <w:top w:val="single" w:sz="5" w:space="0" w:color="000000"/>
              <w:left w:val="single" w:sz="5" w:space="0" w:color="000000"/>
              <w:bottom w:val="single" w:sz="5" w:space="0" w:color="000000"/>
              <w:right w:val="single" w:sz="5" w:space="0" w:color="000000"/>
            </w:tcBorders>
          </w:tcPr>
          <w:p w14:paraId="2AAE93C3" w14:textId="77777777" w:rsidR="003C7512" w:rsidRDefault="003C7512" w:rsidP="003C7512">
            <w:pPr>
              <w:pStyle w:val="TableParagraph"/>
              <w:spacing w:line="272" w:lineRule="exact"/>
              <w:ind w:left="205"/>
              <w:rPr>
                <w:rFonts w:ascii="Times New Roman"/>
                <w:spacing w:val="-1"/>
                <w:sz w:val="24"/>
                <w:lang w:val="en-GB"/>
              </w:rPr>
            </w:pPr>
            <w:r>
              <w:rPr>
                <w:rFonts w:ascii="Times New Roman"/>
                <w:spacing w:val="-1"/>
                <w:sz w:val="24"/>
                <w:lang w:val="en-GB"/>
              </w:rPr>
              <w:t>November 2028</w:t>
            </w:r>
          </w:p>
        </w:tc>
        <w:tc>
          <w:tcPr>
            <w:tcW w:w="1775" w:type="pct"/>
            <w:tcBorders>
              <w:top w:val="single" w:sz="5" w:space="0" w:color="000000"/>
              <w:left w:val="single" w:sz="5" w:space="0" w:color="000000"/>
              <w:bottom w:val="single" w:sz="5" w:space="0" w:color="000000"/>
              <w:right w:val="single" w:sz="5" w:space="0" w:color="000000"/>
            </w:tcBorders>
          </w:tcPr>
          <w:p w14:paraId="06675FE8" w14:textId="77777777" w:rsidR="003C7512" w:rsidRPr="00A003C1" w:rsidRDefault="003C7512" w:rsidP="003C7512">
            <w:pPr>
              <w:pStyle w:val="TableParagraph"/>
              <w:ind w:left="205" w:right="203"/>
              <w:rPr>
                <w:rFonts w:ascii="Times New Roman"/>
                <w:spacing w:val="-1"/>
                <w:sz w:val="24"/>
                <w:lang w:val="en-GB"/>
              </w:rPr>
            </w:pPr>
            <w:r w:rsidRPr="00A003C1">
              <w:rPr>
                <w:rFonts w:ascii="Times New Roman"/>
                <w:spacing w:val="-1"/>
                <w:sz w:val="24"/>
                <w:lang w:val="en-GB"/>
              </w:rPr>
              <w:t>Final Report C from the CEPT to the Commission taking into account the outcome of the public consultation</w:t>
            </w:r>
          </w:p>
        </w:tc>
        <w:tc>
          <w:tcPr>
            <w:tcW w:w="1998" w:type="pct"/>
            <w:tcBorders>
              <w:top w:val="single" w:sz="5" w:space="0" w:color="000000"/>
              <w:left w:val="single" w:sz="5" w:space="0" w:color="000000"/>
              <w:bottom w:val="single" w:sz="5" w:space="0" w:color="000000"/>
              <w:right w:val="single" w:sz="5" w:space="0" w:color="000000"/>
            </w:tcBorders>
          </w:tcPr>
          <w:p w14:paraId="46D7065F" w14:textId="77777777" w:rsidR="003C7512" w:rsidRPr="00A003C1" w:rsidRDefault="003C7512" w:rsidP="003C7512">
            <w:pPr>
              <w:pStyle w:val="TableParagraph"/>
              <w:spacing w:line="272" w:lineRule="exact"/>
              <w:ind w:left="205"/>
              <w:rPr>
                <w:rFonts w:ascii="Times New Roman"/>
                <w:spacing w:val="-1"/>
                <w:sz w:val="24"/>
                <w:lang w:val="en-GB"/>
              </w:rPr>
            </w:pPr>
            <w:r w:rsidRPr="00194C22">
              <w:rPr>
                <w:rFonts w:ascii="Times New Roman"/>
                <w:spacing w:val="-1"/>
                <w:sz w:val="24"/>
                <w:lang w:val="en-GB"/>
              </w:rPr>
              <w:t>Final results under Task (3) of this Mandate.</w:t>
            </w:r>
          </w:p>
        </w:tc>
      </w:tr>
    </w:tbl>
    <w:p w14:paraId="5120C63F" w14:textId="77777777" w:rsidR="00C240D3" w:rsidRPr="00043CE4" w:rsidRDefault="00C240D3" w:rsidP="00C240D3">
      <w:pPr>
        <w:rPr>
          <w:rFonts w:ascii="Times New Roman" w:hAnsi="Times New Roman"/>
          <w:szCs w:val="20"/>
          <w:lang w:val="en-GB"/>
        </w:rPr>
      </w:pPr>
    </w:p>
    <w:p w14:paraId="716240D1" w14:textId="77777777" w:rsidR="00C240D3" w:rsidRPr="00043CE4" w:rsidRDefault="00C240D3" w:rsidP="00C240D3">
      <w:pPr>
        <w:spacing w:before="6"/>
        <w:rPr>
          <w:rFonts w:ascii="Times New Roman" w:hAnsi="Times New Roman"/>
          <w:sz w:val="18"/>
          <w:szCs w:val="18"/>
          <w:lang w:val="en-GB"/>
        </w:rPr>
      </w:pPr>
    </w:p>
    <w:p w14:paraId="615D7B46" w14:textId="77777777" w:rsidR="00C240D3" w:rsidRPr="00043CE4" w:rsidRDefault="00C240D3" w:rsidP="00F97512">
      <w:pPr>
        <w:pStyle w:val="BodyText"/>
        <w:spacing w:before="69"/>
        <w:ind w:right="415"/>
        <w:jc w:val="both"/>
      </w:pPr>
      <w:r w:rsidRPr="00043CE4">
        <w:t>In</w:t>
      </w:r>
      <w:r w:rsidRPr="00043CE4">
        <w:rPr>
          <w:spacing w:val="36"/>
        </w:rPr>
        <w:t xml:space="preserve"> </w:t>
      </w:r>
      <w:r w:rsidRPr="00043CE4">
        <w:t>addition,</w:t>
      </w:r>
      <w:r w:rsidRPr="00043CE4">
        <w:rPr>
          <w:spacing w:val="37"/>
        </w:rPr>
        <w:t xml:space="preserve"> </w:t>
      </w:r>
      <w:r w:rsidRPr="00043CE4">
        <w:t>CEPT</w:t>
      </w:r>
      <w:r w:rsidRPr="00043CE4">
        <w:rPr>
          <w:spacing w:val="37"/>
        </w:rPr>
        <w:t xml:space="preserve"> </w:t>
      </w:r>
      <w:r w:rsidRPr="00043CE4">
        <w:t>is</w:t>
      </w:r>
      <w:r w:rsidRPr="00043CE4">
        <w:rPr>
          <w:spacing w:val="36"/>
        </w:rPr>
        <w:t xml:space="preserve"> </w:t>
      </w:r>
      <w:r w:rsidRPr="00043CE4">
        <w:t>requested</w:t>
      </w:r>
      <w:r w:rsidRPr="00043CE4">
        <w:rPr>
          <w:spacing w:val="38"/>
        </w:rPr>
        <w:t xml:space="preserve"> </w:t>
      </w:r>
      <w:r w:rsidRPr="00043CE4">
        <w:t>to</w:t>
      </w:r>
      <w:r w:rsidRPr="00043CE4">
        <w:rPr>
          <w:spacing w:val="37"/>
        </w:rPr>
        <w:t xml:space="preserve"> </w:t>
      </w:r>
      <w:r w:rsidRPr="00043CE4">
        <w:t>report</w:t>
      </w:r>
      <w:r w:rsidRPr="00043CE4">
        <w:rPr>
          <w:spacing w:val="38"/>
        </w:rPr>
        <w:t xml:space="preserve"> </w:t>
      </w:r>
      <w:r w:rsidRPr="00043CE4">
        <w:t>on</w:t>
      </w:r>
      <w:r w:rsidRPr="00043CE4">
        <w:rPr>
          <w:spacing w:val="35"/>
        </w:rPr>
        <w:t xml:space="preserve"> </w:t>
      </w:r>
      <w:r w:rsidRPr="00043CE4">
        <w:t>the</w:t>
      </w:r>
      <w:r w:rsidRPr="00043CE4">
        <w:rPr>
          <w:spacing w:val="37"/>
        </w:rPr>
        <w:t xml:space="preserve"> </w:t>
      </w:r>
      <w:r w:rsidRPr="00043CE4">
        <w:t>progress</w:t>
      </w:r>
      <w:r w:rsidRPr="00043CE4">
        <w:rPr>
          <w:spacing w:val="36"/>
        </w:rPr>
        <w:t xml:space="preserve"> </w:t>
      </w:r>
      <w:r w:rsidRPr="00043CE4">
        <w:t>of</w:t>
      </w:r>
      <w:r w:rsidRPr="00043CE4">
        <w:rPr>
          <w:spacing w:val="36"/>
        </w:rPr>
        <w:t xml:space="preserve"> </w:t>
      </w:r>
      <w:r w:rsidRPr="00043CE4">
        <w:t>its</w:t>
      </w:r>
      <w:r w:rsidRPr="00043CE4">
        <w:rPr>
          <w:spacing w:val="37"/>
        </w:rPr>
        <w:t xml:space="preserve"> </w:t>
      </w:r>
      <w:r w:rsidRPr="00043CE4">
        <w:t>work</w:t>
      </w:r>
      <w:r w:rsidRPr="00043CE4">
        <w:rPr>
          <w:spacing w:val="38"/>
        </w:rPr>
        <w:t xml:space="preserve"> </w:t>
      </w:r>
      <w:r w:rsidRPr="00043CE4">
        <w:t>pursuant</w:t>
      </w:r>
      <w:r w:rsidRPr="00043CE4">
        <w:rPr>
          <w:spacing w:val="38"/>
        </w:rPr>
        <w:t xml:space="preserve"> </w:t>
      </w:r>
      <w:r w:rsidRPr="00043CE4">
        <w:t>to</w:t>
      </w:r>
      <w:r w:rsidRPr="00043CE4">
        <w:rPr>
          <w:spacing w:val="35"/>
        </w:rPr>
        <w:t xml:space="preserve"> </w:t>
      </w:r>
      <w:r w:rsidRPr="00043CE4">
        <w:t>this</w:t>
      </w:r>
      <w:r w:rsidRPr="00043CE4">
        <w:rPr>
          <w:w w:val="99"/>
        </w:rPr>
        <w:t xml:space="preserve"> </w:t>
      </w:r>
      <w:r w:rsidRPr="00043CE4">
        <w:t>Mandate</w:t>
      </w:r>
      <w:r w:rsidRPr="00043CE4">
        <w:rPr>
          <w:spacing w:val="-5"/>
        </w:rPr>
        <w:t xml:space="preserve"> </w:t>
      </w:r>
      <w:r w:rsidRPr="00043CE4">
        <w:t>to</w:t>
      </w:r>
      <w:r w:rsidRPr="00043CE4">
        <w:rPr>
          <w:spacing w:val="-6"/>
        </w:rPr>
        <w:t xml:space="preserve"> </w:t>
      </w:r>
      <w:r w:rsidRPr="00043CE4">
        <w:t>all</w:t>
      </w:r>
      <w:r w:rsidRPr="00043CE4">
        <w:rPr>
          <w:spacing w:val="-5"/>
        </w:rPr>
        <w:t xml:space="preserve"> </w:t>
      </w:r>
      <w:r w:rsidRPr="00043CE4">
        <w:rPr>
          <w:spacing w:val="-1"/>
        </w:rPr>
        <w:t>meetings</w:t>
      </w:r>
      <w:r w:rsidRPr="00043CE4">
        <w:rPr>
          <w:spacing w:val="-6"/>
        </w:rPr>
        <w:t xml:space="preserve"> </w:t>
      </w:r>
      <w:r w:rsidRPr="00043CE4">
        <w:t>of</w:t>
      </w:r>
      <w:r w:rsidRPr="00043CE4">
        <w:rPr>
          <w:spacing w:val="-6"/>
        </w:rPr>
        <w:t xml:space="preserve"> </w:t>
      </w:r>
      <w:r w:rsidRPr="00043CE4">
        <w:t>the</w:t>
      </w:r>
      <w:r w:rsidRPr="00043CE4">
        <w:rPr>
          <w:spacing w:val="-6"/>
        </w:rPr>
        <w:t xml:space="preserve"> </w:t>
      </w:r>
      <w:r w:rsidRPr="00043CE4">
        <w:t>Radio</w:t>
      </w:r>
      <w:r w:rsidRPr="00043CE4">
        <w:rPr>
          <w:spacing w:val="-5"/>
        </w:rPr>
        <w:t xml:space="preserve"> </w:t>
      </w:r>
      <w:r w:rsidRPr="00043CE4">
        <w:rPr>
          <w:spacing w:val="-1"/>
        </w:rPr>
        <w:t>Spectrum</w:t>
      </w:r>
      <w:r w:rsidRPr="00043CE4">
        <w:rPr>
          <w:spacing w:val="-7"/>
        </w:rPr>
        <w:t xml:space="preserve"> </w:t>
      </w:r>
      <w:r w:rsidRPr="00043CE4">
        <w:rPr>
          <w:spacing w:val="-1"/>
        </w:rPr>
        <w:t>Committee</w:t>
      </w:r>
      <w:r w:rsidRPr="00043CE4">
        <w:rPr>
          <w:spacing w:val="-5"/>
        </w:rPr>
        <w:t xml:space="preserve"> </w:t>
      </w:r>
      <w:r w:rsidRPr="00043CE4">
        <w:rPr>
          <w:spacing w:val="-1"/>
        </w:rPr>
        <w:t>taking</w:t>
      </w:r>
      <w:r w:rsidRPr="00043CE4">
        <w:rPr>
          <w:spacing w:val="-4"/>
        </w:rPr>
        <w:t xml:space="preserve"> </w:t>
      </w:r>
      <w:r w:rsidRPr="00043CE4">
        <w:rPr>
          <w:spacing w:val="-1"/>
        </w:rPr>
        <w:t>place</w:t>
      </w:r>
      <w:r w:rsidRPr="00043CE4">
        <w:rPr>
          <w:spacing w:val="-5"/>
        </w:rPr>
        <w:t xml:space="preserve"> </w:t>
      </w:r>
      <w:r w:rsidRPr="00043CE4">
        <w:rPr>
          <w:spacing w:val="-1"/>
        </w:rPr>
        <w:t>during</w:t>
      </w:r>
      <w:r w:rsidRPr="00043CE4">
        <w:rPr>
          <w:spacing w:val="-5"/>
        </w:rPr>
        <w:t xml:space="preserve"> </w:t>
      </w:r>
      <w:r w:rsidRPr="00043CE4">
        <w:rPr>
          <w:spacing w:val="-1"/>
        </w:rPr>
        <w:t>the</w:t>
      </w:r>
      <w:r w:rsidRPr="00043CE4">
        <w:rPr>
          <w:spacing w:val="-4"/>
        </w:rPr>
        <w:t xml:space="preserve"> </w:t>
      </w:r>
      <w:r w:rsidRPr="00043CE4">
        <w:rPr>
          <w:spacing w:val="-1"/>
        </w:rPr>
        <w:t>course</w:t>
      </w:r>
      <w:r w:rsidRPr="00043CE4">
        <w:rPr>
          <w:spacing w:val="77"/>
        </w:rPr>
        <w:t xml:space="preserve"> </w:t>
      </w:r>
      <w:r w:rsidRPr="00043CE4">
        <w:t>of</w:t>
      </w:r>
      <w:r w:rsidRPr="00043CE4">
        <w:rPr>
          <w:spacing w:val="-7"/>
        </w:rPr>
        <w:t xml:space="preserve"> </w:t>
      </w:r>
      <w:r w:rsidRPr="00043CE4">
        <w:t>the</w:t>
      </w:r>
      <w:r w:rsidRPr="00043CE4">
        <w:rPr>
          <w:spacing w:val="-7"/>
        </w:rPr>
        <w:t xml:space="preserve"> </w:t>
      </w:r>
      <w:r w:rsidRPr="00043CE4">
        <w:t>Mandate.</w:t>
      </w:r>
    </w:p>
    <w:p w14:paraId="5A4F1541" w14:textId="77777777" w:rsidR="00C240D3" w:rsidRPr="00043CE4" w:rsidRDefault="00C240D3" w:rsidP="00C240D3">
      <w:pPr>
        <w:spacing w:before="10"/>
        <w:ind w:left="709"/>
        <w:rPr>
          <w:rFonts w:ascii="Times New Roman" w:hAnsi="Times New Roman"/>
          <w:szCs w:val="20"/>
          <w:lang w:val="en-GB"/>
        </w:rPr>
      </w:pPr>
    </w:p>
    <w:p w14:paraId="26EF3CE0" w14:textId="77777777" w:rsidR="00C240D3" w:rsidRPr="00043CE4" w:rsidRDefault="00C240D3" w:rsidP="00F97512">
      <w:pPr>
        <w:pStyle w:val="BodyText"/>
        <w:ind w:left="709" w:right="416"/>
        <w:jc w:val="both"/>
      </w:pPr>
      <w:r w:rsidRPr="00043CE4">
        <w:t>The</w:t>
      </w:r>
      <w:r w:rsidRPr="00043CE4">
        <w:rPr>
          <w:spacing w:val="7"/>
        </w:rPr>
        <w:t xml:space="preserve"> </w:t>
      </w:r>
      <w:r w:rsidRPr="00043CE4">
        <w:rPr>
          <w:spacing w:val="-1"/>
        </w:rPr>
        <w:t>Commission,</w:t>
      </w:r>
      <w:r w:rsidRPr="00043CE4">
        <w:rPr>
          <w:spacing w:val="9"/>
        </w:rPr>
        <w:t xml:space="preserve"> </w:t>
      </w:r>
      <w:r w:rsidRPr="00043CE4">
        <w:t>with</w:t>
      </w:r>
      <w:r w:rsidRPr="00043CE4">
        <w:rPr>
          <w:spacing w:val="9"/>
        </w:rPr>
        <w:t xml:space="preserve"> </w:t>
      </w:r>
      <w:r w:rsidRPr="00043CE4">
        <w:t>the</w:t>
      </w:r>
      <w:r w:rsidRPr="00043CE4">
        <w:rPr>
          <w:spacing w:val="7"/>
        </w:rPr>
        <w:t xml:space="preserve"> </w:t>
      </w:r>
      <w:r w:rsidRPr="00043CE4">
        <w:rPr>
          <w:spacing w:val="-1"/>
        </w:rPr>
        <w:t>assistance</w:t>
      </w:r>
      <w:r w:rsidRPr="00043CE4">
        <w:rPr>
          <w:spacing w:val="8"/>
        </w:rPr>
        <w:t xml:space="preserve"> </w:t>
      </w:r>
      <w:r w:rsidRPr="00043CE4">
        <w:t>of</w:t>
      </w:r>
      <w:r w:rsidRPr="00043CE4">
        <w:rPr>
          <w:spacing w:val="9"/>
        </w:rPr>
        <w:t xml:space="preserve"> </w:t>
      </w:r>
      <w:r w:rsidRPr="00043CE4">
        <w:rPr>
          <w:spacing w:val="-1"/>
        </w:rPr>
        <w:t>the</w:t>
      </w:r>
      <w:r w:rsidRPr="00043CE4">
        <w:rPr>
          <w:spacing w:val="9"/>
        </w:rPr>
        <w:t xml:space="preserve"> </w:t>
      </w:r>
      <w:r w:rsidRPr="00043CE4">
        <w:t>Radio</w:t>
      </w:r>
      <w:r w:rsidRPr="00043CE4">
        <w:rPr>
          <w:spacing w:val="8"/>
        </w:rPr>
        <w:t xml:space="preserve"> </w:t>
      </w:r>
      <w:r w:rsidRPr="00043CE4">
        <w:t>Spectrum</w:t>
      </w:r>
      <w:r w:rsidRPr="00043CE4">
        <w:rPr>
          <w:spacing w:val="7"/>
        </w:rPr>
        <w:t xml:space="preserve"> </w:t>
      </w:r>
      <w:r w:rsidRPr="00043CE4">
        <w:rPr>
          <w:spacing w:val="-1"/>
        </w:rPr>
        <w:t>Committee</w:t>
      </w:r>
      <w:r w:rsidRPr="00043CE4">
        <w:rPr>
          <w:spacing w:val="9"/>
        </w:rPr>
        <w:t xml:space="preserve"> </w:t>
      </w:r>
      <w:r w:rsidRPr="00043CE4">
        <w:t>and</w:t>
      </w:r>
      <w:r w:rsidRPr="00043CE4">
        <w:rPr>
          <w:spacing w:val="8"/>
        </w:rPr>
        <w:t xml:space="preserve"> </w:t>
      </w:r>
      <w:r w:rsidRPr="00043CE4">
        <w:rPr>
          <w:spacing w:val="-1"/>
        </w:rPr>
        <w:t>pursuant</w:t>
      </w:r>
      <w:r w:rsidRPr="00043CE4">
        <w:rPr>
          <w:spacing w:val="9"/>
        </w:rPr>
        <w:t xml:space="preserve"> </w:t>
      </w:r>
      <w:r w:rsidRPr="00043CE4">
        <w:t>to</w:t>
      </w:r>
      <w:r w:rsidRPr="00043CE4">
        <w:rPr>
          <w:spacing w:val="67"/>
          <w:w w:val="99"/>
        </w:rPr>
        <w:t xml:space="preserve"> </w:t>
      </w:r>
      <w:r w:rsidRPr="00043CE4">
        <w:t>the</w:t>
      </w:r>
      <w:r w:rsidRPr="00043CE4">
        <w:rPr>
          <w:spacing w:val="18"/>
        </w:rPr>
        <w:t xml:space="preserve"> </w:t>
      </w:r>
      <w:r w:rsidRPr="00043CE4">
        <w:t>Radio</w:t>
      </w:r>
      <w:r w:rsidRPr="00043CE4">
        <w:rPr>
          <w:spacing w:val="18"/>
        </w:rPr>
        <w:t xml:space="preserve"> </w:t>
      </w:r>
      <w:r w:rsidRPr="00043CE4">
        <w:rPr>
          <w:spacing w:val="-1"/>
        </w:rPr>
        <w:t>Spectrum</w:t>
      </w:r>
      <w:r w:rsidRPr="00043CE4">
        <w:rPr>
          <w:spacing w:val="17"/>
        </w:rPr>
        <w:t xml:space="preserve"> </w:t>
      </w:r>
      <w:r w:rsidRPr="00043CE4">
        <w:t>Decision,</w:t>
      </w:r>
      <w:r w:rsidRPr="00043CE4">
        <w:rPr>
          <w:spacing w:val="18"/>
        </w:rPr>
        <w:t xml:space="preserve"> </w:t>
      </w:r>
      <w:r w:rsidRPr="00043CE4">
        <w:rPr>
          <w:spacing w:val="-1"/>
        </w:rPr>
        <w:t>may</w:t>
      </w:r>
      <w:r w:rsidRPr="00043CE4">
        <w:rPr>
          <w:spacing w:val="18"/>
        </w:rPr>
        <w:t xml:space="preserve"> </w:t>
      </w:r>
      <w:r w:rsidRPr="00043CE4">
        <w:t>consider</w:t>
      </w:r>
      <w:r w:rsidRPr="00043CE4">
        <w:rPr>
          <w:spacing w:val="18"/>
        </w:rPr>
        <w:t xml:space="preserve"> </w:t>
      </w:r>
      <w:r w:rsidRPr="00043CE4">
        <w:t>applying</w:t>
      </w:r>
      <w:r w:rsidRPr="00043CE4">
        <w:rPr>
          <w:spacing w:val="19"/>
        </w:rPr>
        <w:t xml:space="preserve"> </w:t>
      </w:r>
      <w:r w:rsidRPr="00043CE4">
        <w:t>the</w:t>
      </w:r>
      <w:r w:rsidRPr="00043CE4">
        <w:rPr>
          <w:spacing w:val="18"/>
        </w:rPr>
        <w:t xml:space="preserve"> </w:t>
      </w:r>
      <w:r w:rsidRPr="00043CE4">
        <w:t>results</w:t>
      </w:r>
      <w:r w:rsidRPr="00043CE4">
        <w:rPr>
          <w:spacing w:val="18"/>
        </w:rPr>
        <w:t xml:space="preserve"> </w:t>
      </w:r>
      <w:r w:rsidRPr="00043CE4">
        <w:t>of</w:t>
      </w:r>
      <w:r w:rsidRPr="00043CE4">
        <w:rPr>
          <w:spacing w:val="19"/>
        </w:rPr>
        <w:t xml:space="preserve"> </w:t>
      </w:r>
      <w:r w:rsidRPr="00043CE4">
        <w:t>this</w:t>
      </w:r>
      <w:r w:rsidRPr="00043CE4">
        <w:rPr>
          <w:spacing w:val="18"/>
        </w:rPr>
        <w:t xml:space="preserve"> </w:t>
      </w:r>
      <w:r w:rsidRPr="00043CE4">
        <w:rPr>
          <w:spacing w:val="-1"/>
        </w:rPr>
        <w:t>mandate</w:t>
      </w:r>
      <w:r w:rsidRPr="00043CE4">
        <w:rPr>
          <w:spacing w:val="19"/>
        </w:rPr>
        <w:t xml:space="preserve"> </w:t>
      </w:r>
      <w:r w:rsidRPr="00043CE4">
        <w:t>in</w:t>
      </w:r>
      <w:r w:rsidRPr="00043CE4">
        <w:rPr>
          <w:spacing w:val="18"/>
        </w:rPr>
        <w:t xml:space="preserve"> </w:t>
      </w:r>
      <w:r w:rsidRPr="00043CE4">
        <w:t>the</w:t>
      </w:r>
      <w:r w:rsidRPr="00043CE4">
        <w:rPr>
          <w:spacing w:val="27"/>
          <w:w w:val="99"/>
        </w:rPr>
        <w:t xml:space="preserve"> </w:t>
      </w:r>
      <w:r w:rsidRPr="00043CE4">
        <w:t>EU,</w:t>
      </w:r>
      <w:r w:rsidRPr="00043CE4">
        <w:rPr>
          <w:spacing w:val="-6"/>
        </w:rPr>
        <w:t xml:space="preserve"> </w:t>
      </w:r>
      <w:r w:rsidRPr="00043CE4">
        <w:t>pursuant</w:t>
      </w:r>
      <w:r w:rsidRPr="00043CE4">
        <w:rPr>
          <w:spacing w:val="-5"/>
        </w:rPr>
        <w:t xml:space="preserve"> </w:t>
      </w:r>
      <w:r w:rsidRPr="00043CE4">
        <w:t>to</w:t>
      </w:r>
      <w:r w:rsidRPr="00043CE4">
        <w:rPr>
          <w:spacing w:val="-5"/>
        </w:rPr>
        <w:t xml:space="preserve"> </w:t>
      </w:r>
      <w:r w:rsidRPr="00043CE4">
        <w:rPr>
          <w:spacing w:val="-1"/>
        </w:rPr>
        <w:t>Article</w:t>
      </w:r>
      <w:r w:rsidRPr="00043CE4">
        <w:rPr>
          <w:spacing w:val="-5"/>
        </w:rPr>
        <w:t xml:space="preserve"> </w:t>
      </w:r>
      <w:r w:rsidRPr="00043CE4">
        <w:t>4</w:t>
      </w:r>
      <w:r w:rsidRPr="00043CE4">
        <w:rPr>
          <w:spacing w:val="-5"/>
        </w:rPr>
        <w:t xml:space="preserve"> </w:t>
      </w:r>
      <w:r w:rsidRPr="00043CE4">
        <w:t>of</w:t>
      </w:r>
      <w:r w:rsidRPr="00043CE4">
        <w:rPr>
          <w:spacing w:val="-5"/>
        </w:rPr>
        <w:t xml:space="preserve"> </w:t>
      </w:r>
      <w:r w:rsidRPr="00043CE4">
        <w:t>the</w:t>
      </w:r>
      <w:r w:rsidRPr="00043CE4">
        <w:rPr>
          <w:spacing w:val="-6"/>
        </w:rPr>
        <w:t xml:space="preserve"> </w:t>
      </w:r>
      <w:r w:rsidRPr="00043CE4">
        <w:t>Radio</w:t>
      </w:r>
      <w:r w:rsidRPr="00043CE4">
        <w:rPr>
          <w:spacing w:val="-5"/>
        </w:rPr>
        <w:t xml:space="preserve"> </w:t>
      </w:r>
      <w:r w:rsidRPr="00043CE4">
        <w:t>Spectrum</w:t>
      </w:r>
      <w:r w:rsidRPr="00043CE4">
        <w:rPr>
          <w:spacing w:val="-6"/>
        </w:rPr>
        <w:t xml:space="preserve"> </w:t>
      </w:r>
      <w:r w:rsidRPr="00043CE4">
        <w:rPr>
          <w:spacing w:val="-1"/>
        </w:rPr>
        <w:t>Decision.</w:t>
      </w:r>
    </w:p>
    <w:p w14:paraId="42FF242F" w14:textId="77777777" w:rsidR="00C240D3" w:rsidRPr="00043CE4" w:rsidRDefault="00C240D3" w:rsidP="00C240D3">
      <w:pPr>
        <w:rPr>
          <w:rFonts w:ascii="Times New Roman" w:hAnsi="Times New Roman"/>
          <w:szCs w:val="20"/>
          <w:lang w:val="en-GB"/>
        </w:rPr>
      </w:pPr>
    </w:p>
    <w:p w14:paraId="44DA5151" w14:textId="77777777" w:rsidR="00D33632" w:rsidRDefault="00D33632" w:rsidP="00C240D3">
      <w:pPr>
        <w:spacing w:before="52"/>
        <w:ind w:left="100"/>
        <w:rPr>
          <w:rFonts w:ascii="Times New Roman"/>
          <w:lang w:val="en-GB"/>
        </w:rPr>
      </w:pPr>
    </w:p>
    <w:p w14:paraId="01D51A8A" w14:textId="77777777" w:rsidR="00D33632" w:rsidRDefault="00D33632" w:rsidP="00C240D3">
      <w:pPr>
        <w:spacing w:before="52"/>
        <w:ind w:left="100"/>
        <w:rPr>
          <w:rFonts w:ascii="Times New Roman"/>
          <w:lang w:val="en-GB"/>
        </w:rPr>
      </w:pPr>
    </w:p>
    <w:p w14:paraId="724CC051" w14:textId="77777777" w:rsidR="00F97512" w:rsidRDefault="00F97512" w:rsidP="00C240D3">
      <w:pPr>
        <w:spacing w:before="52"/>
        <w:ind w:left="100"/>
        <w:rPr>
          <w:rFonts w:ascii="Times New Roman"/>
          <w:lang w:val="en-GB"/>
        </w:rPr>
      </w:pPr>
    </w:p>
    <w:p w14:paraId="5AF78101" w14:textId="77777777" w:rsidR="00D33632" w:rsidRDefault="00D33632" w:rsidP="00C240D3">
      <w:pPr>
        <w:spacing w:before="52"/>
        <w:ind w:left="100"/>
        <w:rPr>
          <w:rFonts w:ascii="Times New Roman"/>
          <w:lang w:val="en-GB"/>
        </w:rPr>
      </w:pPr>
    </w:p>
    <w:p w14:paraId="238D4C6A" w14:textId="77777777" w:rsidR="00D33632" w:rsidRDefault="00D33632" w:rsidP="00C240D3">
      <w:pPr>
        <w:spacing w:before="52"/>
        <w:ind w:left="100"/>
        <w:rPr>
          <w:rFonts w:ascii="Times New Roman"/>
          <w:lang w:val="en-GB"/>
        </w:rPr>
      </w:pPr>
    </w:p>
    <w:p w14:paraId="58A75992" w14:textId="77777777" w:rsidR="00D33632" w:rsidRDefault="00D33632" w:rsidP="00C240D3">
      <w:pPr>
        <w:spacing w:before="52"/>
        <w:ind w:left="100"/>
        <w:rPr>
          <w:rFonts w:ascii="Times New Roman"/>
          <w:lang w:val="en-GB"/>
        </w:rPr>
      </w:pPr>
    </w:p>
    <w:p w14:paraId="150259B9" w14:textId="77777777" w:rsidR="00D33632" w:rsidRDefault="00D33632" w:rsidP="00C240D3">
      <w:pPr>
        <w:spacing w:before="52"/>
        <w:ind w:left="100"/>
        <w:rPr>
          <w:rFonts w:ascii="Times New Roman"/>
          <w:lang w:val="en-GB"/>
        </w:rPr>
      </w:pPr>
    </w:p>
    <w:p w14:paraId="19FA7CAD" w14:textId="77777777" w:rsidR="00D33632" w:rsidRDefault="00D33632" w:rsidP="00C240D3">
      <w:pPr>
        <w:spacing w:before="52"/>
        <w:ind w:left="100"/>
        <w:rPr>
          <w:rFonts w:ascii="Times New Roman"/>
          <w:lang w:val="en-GB"/>
        </w:rPr>
      </w:pPr>
    </w:p>
    <w:p w14:paraId="0835E5EC" w14:textId="77777777" w:rsidR="00D33632" w:rsidRDefault="00D33632" w:rsidP="00C240D3">
      <w:pPr>
        <w:spacing w:before="52"/>
        <w:ind w:left="100"/>
        <w:rPr>
          <w:rFonts w:ascii="Times New Roman"/>
          <w:lang w:val="en-GB"/>
        </w:rPr>
      </w:pPr>
    </w:p>
    <w:p w14:paraId="36758125" w14:textId="77777777" w:rsidR="00D33632" w:rsidRDefault="00D33632" w:rsidP="00C240D3">
      <w:pPr>
        <w:spacing w:before="52"/>
        <w:ind w:left="100"/>
        <w:rPr>
          <w:rFonts w:ascii="Times New Roman"/>
          <w:lang w:val="en-GB"/>
        </w:rPr>
      </w:pPr>
    </w:p>
    <w:p w14:paraId="07D77CD4" w14:textId="77777777" w:rsidR="00D33632" w:rsidRDefault="00D33632" w:rsidP="00C240D3">
      <w:pPr>
        <w:spacing w:before="52"/>
        <w:ind w:left="100"/>
        <w:rPr>
          <w:rFonts w:ascii="Times New Roman"/>
          <w:lang w:val="en-GB"/>
        </w:rPr>
      </w:pPr>
    </w:p>
    <w:p w14:paraId="3C2F91B5" w14:textId="77777777" w:rsidR="00D33632" w:rsidRDefault="00D33632" w:rsidP="00C240D3">
      <w:pPr>
        <w:spacing w:before="52"/>
        <w:ind w:left="100"/>
        <w:rPr>
          <w:rFonts w:ascii="Times New Roman"/>
          <w:lang w:val="en-GB"/>
        </w:rPr>
      </w:pPr>
    </w:p>
    <w:p w14:paraId="1FACD800" w14:textId="77777777" w:rsidR="00D33632" w:rsidRDefault="00D33632" w:rsidP="00C240D3">
      <w:pPr>
        <w:spacing w:before="52"/>
        <w:ind w:left="100"/>
        <w:rPr>
          <w:rFonts w:ascii="Times New Roman"/>
          <w:lang w:val="en-GB"/>
        </w:rPr>
      </w:pPr>
    </w:p>
    <w:p w14:paraId="2BF9F221" w14:textId="77777777" w:rsidR="00D33632" w:rsidRDefault="00D33632" w:rsidP="00C240D3">
      <w:pPr>
        <w:spacing w:before="52"/>
        <w:ind w:left="100"/>
        <w:rPr>
          <w:rFonts w:ascii="Times New Roman"/>
          <w:lang w:val="en-GB"/>
        </w:rPr>
      </w:pPr>
    </w:p>
    <w:p w14:paraId="400E7772" w14:textId="77777777" w:rsidR="00D33632" w:rsidRDefault="00D33632" w:rsidP="00C240D3">
      <w:pPr>
        <w:spacing w:before="52"/>
        <w:ind w:left="100"/>
        <w:rPr>
          <w:rFonts w:ascii="Times New Roman"/>
          <w:lang w:val="en-GB"/>
        </w:rPr>
      </w:pPr>
    </w:p>
    <w:p w14:paraId="6D6939DD" w14:textId="77777777" w:rsidR="00D33632" w:rsidRDefault="00D33632" w:rsidP="00C240D3">
      <w:pPr>
        <w:spacing w:before="52"/>
        <w:ind w:left="100"/>
        <w:rPr>
          <w:rFonts w:ascii="Times New Roman"/>
          <w:lang w:val="en-GB"/>
        </w:rPr>
      </w:pPr>
    </w:p>
    <w:p w14:paraId="6B1E019D" w14:textId="77777777" w:rsidR="00D33632" w:rsidRDefault="00D33632" w:rsidP="00C240D3">
      <w:pPr>
        <w:spacing w:before="52"/>
        <w:ind w:left="100"/>
        <w:rPr>
          <w:rFonts w:ascii="Times New Roman"/>
          <w:lang w:val="en-GB"/>
        </w:rPr>
      </w:pPr>
    </w:p>
    <w:p w14:paraId="441432C5" w14:textId="77777777" w:rsidR="00D33632" w:rsidRDefault="00D33632" w:rsidP="00C240D3">
      <w:pPr>
        <w:spacing w:before="52"/>
        <w:ind w:left="100"/>
        <w:rPr>
          <w:rFonts w:ascii="Times New Roman"/>
          <w:lang w:val="en-GB"/>
        </w:rPr>
      </w:pPr>
    </w:p>
    <w:p w14:paraId="185FF881" w14:textId="77777777" w:rsidR="00D33632" w:rsidRDefault="00D33632" w:rsidP="00C240D3">
      <w:pPr>
        <w:spacing w:before="52"/>
        <w:ind w:left="100"/>
        <w:rPr>
          <w:rFonts w:ascii="Times New Roman"/>
          <w:lang w:val="en-GB"/>
        </w:rPr>
      </w:pPr>
    </w:p>
    <w:p w14:paraId="0DDA465C" w14:textId="77777777" w:rsidR="00D33632" w:rsidRDefault="00D33632" w:rsidP="00C240D3">
      <w:pPr>
        <w:spacing w:before="52"/>
        <w:ind w:left="100"/>
        <w:rPr>
          <w:rFonts w:ascii="Times New Roman"/>
          <w:lang w:val="en-GB"/>
        </w:rPr>
      </w:pPr>
    </w:p>
    <w:p w14:paraId="18B1D3E1" w14:textId="77777777" w:rsidR="00C240D3" w:rsidRDefault="00C240D3" w:rsidP="00C240D3">
      <w:pPr>
        <w:spacing w:before="52"/>
        <w:ind w:left="100"/>
        <w:rPr>
          <w:rFonts w:ascii="Times New Roman"/>
          <w:lang w:val="en-GB"/>
        </w:rPr>
      </w:pPr>
    </w:p>
    <w:p w14:paraId="791A14AF" w14:textId="77777777" w:rsidR="00C240D3" w:rsidRDefault="00C240D3" w:rsidP="00C240D3">
      <w:pPr>
        <w:spacing w:before="52"/>
        <w:ind w:left="100"/>
        <w:rPr>
          <w:rFonts w:ascii="Times New Roman"/>
          <w:lang w:val="en-GB"/>
        </w:rPr>
      </w:pPr>
    </w:p>
    <w:p w14:paraId="78987562" w14:textId="77777777" w:rsidR="00C240D3" w:rsidRDefault="00C240D3" w:rsidP="00C240D3">
      <w:pPr>
        <w:spacing w:before="52"/>
        <w:ind w:left="100"/>
        <w:rPr>
          <w:rFonts w:ascii="Times New Roman"/>
          <w:lang w:val="en-GB"/>
        </w:rPr>
      </w:pPr>
    </w:p>
    <w:p w14:paraId="7F84D7FD" w14:textId="77777777" w:rsidR="00D33632" w:rsidRDefault="00D33632" w:rsidP="00C240D3">
      <w:pPr>
        <w:spacing w:before="52"/>
        <w:ind w:left="100"/>
        <w:rPr>
          <w:rFonts w:ascii="Times New Roman"/>
          <w:lang w:val="en-GB"/>
        </w:rPr>
      </w:pPr>
    </w:p>
    <w:p w14:paraId="0E726FA0" w14:textId="77777777" w:rsidR="00D33632" w:rsidRDefault="00D33632" w:rsidP="00C240D3">
      <w:pPr>
        <w:spacing w:before="52"/>
        <w:ind w:left="100"/>
        <w:rPr>
          <w:rFonts w:ascii="Times New Roman"/>
          <w:lang w:val="en-GB"/>
        </w:rPr>
      </w:pPr>
    </w:p>
    <w:p w14:paraId="3D2A8550" w14:textId="77777777" w:rsidR="00D33632" w:rsidRDefault="00D33632" w:rsidP="00C240D3">
      <w:pPr>
        <w:spacing w:before="52"/>
        <w:ind w:left="100"/>
        <w:rPr>
          <w:rFonts w:ascii="Times New Roman"/>
          <w:lang w:val="en-GB"/>
        </w:rPr>
      </w:pPr>
    </w:p>
    <w:p w14:paraId="453909B2" w14:textId="77777777" w:rsidR="00D33632" w:rsidRDefault="00D33632" w:rsidP="00C240D3">
      <w:pPr>
        <w:spacing w:before="52"/>
        <w:ind w:left="100"/>
        <w:rPr>
          <w:rFonts w:ascii="Times New Roman"/>
          <w:lang w:val="en-GB"/>
        </w:rPr>
      </w:pPr>
    </w:p>
    <w:p w14:paraId="4A6AE2B5" w14:textId="77777777" w:rsidR="00D33632" w:rsidRDefault="00D33632" w:rsidP="00C240D3">
      <w:pPr>
        <w:spacing w:before="52"/>
        <w:ind w:left="100"/>
        <w:rPr>
          <w:rFonts w:ascii="Times New Roman"/>
          <w:lang w:val="en-GB"/>
        </w:rPr>
      </w:pPr>
    </w:p>
    <w:p w14:paraId="0BDC1B87" w14:textId="77777777" w:rsidR="00C240D3" w:rsidRDefault="00C240D3" w:rsidP="00C240D3">
      <w:pPr>
        <w:spacing w:before="52"/>
        <w:ind w:left="100"/>
        <w:rPr>
          <w:rFonts w:ascii="Times New Roman"/>
          <w:lang w:val="en-GB"/>
        </w:rPr>
      </w:pPr>
    </w:p>
    <w:p w14:paraId="1618C550" w14:textId="77777777" w:rsidR="00C240D3" w:rsidRPr="00F97512" w:rsidRDefault="00C240D3" w:rsidP="00C240D3">
      <w:pPr>
        <w:pStyle w:val="reference"/>
        <w:numPr>
          <w:ilvl w:val="0"/>
          <w:numId w:val="0"/>
        </w:numPr>
        <w:ind w:left="397" w:hanging="397"/>
        <w:rPr>
          <w:sz w:val="18"/>
          <w:szCs w:val="18"/>
        </w:rPr>
      </w:pPr>
      <w:r w:rsidRPr="00F97512">
        <w:rPr>
          <w:noProof/>
          <w:position w:val="-3"/>
          <w:sz w:val="18"/>
          <w:szCs w:val="18"/>
          <w:lang w:val="fr-FR" w:eastAsia="fr-FR"/>
        </w:rPr>
        <w:drawing>
          <wp:inline distT="0" distB="0" distL="0" distR="0" wp14:anchorId="5A520464" wp14:editId="177F67EB">
            <wp:extent cx="165100" cy="114300"/>
            <wp:effectExtent l="0" t="0" r="0" b="0"/>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165100" cy="114300"/>
                    </a:xfrm>
                    <a:prstGeom prst="rect">
                      <a:avLst/>
                    </a:prstGeom>
                  </pic:spPr>
                </pic:pic>
              </a:graphicData>
            </a:graphic>
          </wp:inline>
        </w:drawing>
      </w:r>
      <w:r w:rsidRPr="00F97512">
        <w:rPr>
          <w:rFonts w:ascii="Times New Roman"/>
          <w:sz w:val="18"/>
          <w:szCs w:val="18"/>
          <w:lang w:val="en-GB"/>
        </w:rPr>
        <w:t xml:space="preserve">  Electronically</w:t>
      </w:r>
      <w:r w:rsidRPr="00F97512">
        <w:rPr>
          <w:rFonts w:ascii="Times New Roman"/>
          <w:spacing w:val="-7"/>
          <w:sz w:val="18"/>
          <w:szCs w:val="18"/>
          <w:lang w:val="en-GB"/>
        </w:rPr>
        <w:t xml:space="preserve"> </w:t>
      </w:r>
      <w:r w:rsidRPr="00F97512">
        <w:rPr>
          <w:rFonts w:ascii="Times New Roman"/>
          <w:sz w:val="18"/>
          <w:szCs w:val="18"/>
          <w:lang w:val="en-GB"/>
        </w:rPr>
        <w:t>signed</w:t>
      </w:r>
      <w:r w:rsidRPr="00F97512">
        <w:rPr>
          <w:rFonts w:ascii="Times New Roman"/>
          <w:spacing w:val="-7"/>
          <w:sz w:val="18"/>
          <w:szCs w:val="18"/>
          <w:lang w:val="en-GB"/>
        </w:rPr>
        <w:t xml:space="preserve"> </w:t>
      </w:r>
      <w:r w:rsidRPr="00F97512">
        <w:rPr>
          <w:rFonts w:ascii="Times New Roman"/>
          <w:sz w:val="18"/>
          <w:szCs w:val="18"/>
          <w:lang w:val="en-GB"/>
        </w:rPr>
        <w:t>on</w:t>
      </w:r>
      <w:r w:rsidRPr="00F97512">
        <w:rPr>
          <w:rFonts w:ascii="Times New Roman"/>
          <w:spacing w:val="-7"/>
          <w:sz w:val="18"/>
          <w:szCs w:val="18"/>
          <w:lang w:val="en-GB"/>
        </w:rPr>
        <w:t xml:space="preserve"> </w:t>
      </w:r>
      <w:r w:rsidRPr="00F97512">
        <w:rPr>
          <w:rFonts w:ascii="Times New Roman"/>
          <w:sz w:val="18"/>
          <w:szCs w:val="18"/>
          <w:lang w:val="en-GB"/>
        </w:rPr>
        <w:t>27/10/2017</w:t>
      </w:r>
      <w:r w:rsidRPr="00F97512">
        <w:rPr>
          <w:rFonts w:ascii="Times New Roman"/>
          <w:spacing w:val="-7"/>
          <w:sz w:val="18"/>
          <w:szCs w:val="18"/>
          <w:lang w:val="en-GB"/>
        </w:rPr>
        <w:t xml:space="preserve"> </w:t>
      </w:r>
      <w:r w:rsidRPr="00F97512">
        <w:rPr>
          <w:rFonts w:ascii="Times New Roman"/>
          <w:sz w:val="18"/>
          <w:szCs w:val="18"/>
          <w:lang w:val="en-GB"/>
        </w:rPr>
        <w:t>09:56</w:t>
      </w:r>
      <w:r w:rsidRPr="00F97512">
        <w:rPr>
          <w:rFonts w:ascii="Times New Roman"/>
          <w:spacing w:val="-7"/>
          <w:sz w:val="18"/>
          <w:szCs w:val="18"/>
          <w:lang w:val="en-GB"/>
        </w:rPr>
        <w:t xml:space="preserve"> </w:t>
      </w:r>
      <w:r w:rsidRPr="00F97512">
        <w:rPr>
          <w:rFonts w:ascii="Times New Roman"/>
          <w:sz w:val="18"/>
          <w:szCs w:val="18"/>
          <w:lang w:val="en-GB"/>
        </w:rPr>
        <w:t>(UTC+01)</w:t>
      </w:r>
      <w:r w:rsidRPr="00F97512">
        <w:rPr>
          <w:rFonts w:ascii="Times New Roman"/>
          <w:spacing w:val="-7"/>
          <w:sz w:val="18"/>
          <w:szCs w:val="18"/>
          <w:lang w:val="en-GB"/>
        </w:rPr>
        <w:t xml:space="preserve"> </w:t>
      </w:r>
      <w:r w:rsidRPr="00F97512">
        <w:rPr>
          <w:rFonts w:ascii="Times New Roman"/>
          <w:sz w:val="18"/>
          <w:szCs w:val="18"/>
          <w:lang w:val="en-GB"/>
        </w:rPr>
        <w:t>in</w:t>
      </w:r>
      <w:r w:rsidRPr="00F97512">
        <w:rPr>
          <w:rFonts w:ascii="Times New Roman"/>
          <w:spacing w:val="-7"/>
          <w:sz w:val="18"/>
          <w:szCs w:val="18"/>
          <w:lang w:val="en-GB"/>
        </w:rPr>
        <w:t xml:space="preserve"> </w:t>
      </w:r>
      <w:r w:rsidRPr="00F97512">
        <w:rPr>
          <w:rFonts w:ascii="Times New Roman"/>
          <w:sz w:val="18"/>
          <w:szCs w:val="18"/>
          <w:lang w:val="en-GB"/>
        </w:rPr>
        <w:t>accordance</w:t>
      </w:r>
      <w:r w:rsidRPr="00F97512">
        <w:rPr>
          <w:rFonts w:ascii="Times New Roman"/>
          <w:spacing w:val="-7"/>
          <w:sz w:val="18"/>
          <w:szCs w:val="18"/>
          <w:lang w:val="en-GB"/>
        </w:rPr>
        <w:t xml:space="preserve"> </w:t>
      </w:r>
      <w:r w:rsidRPr="00F97512">
        <w:rPr>
          <w:rFonts w:ascii="Times New Roman"/>
          <w:sz w:val="18"/>
          <w:szCs w:val="18"/>
          <w:lang w:val="en-GB"/>
        </w:rPr>
        <w:t>with</w:t>
      </w:r>
      <w:r w:rsidRPr="00F97512">
        <w:rPr>
          <w:rFonts w:ascii="Times New Roman"/>
          <w:spacing w:val="-7"/>
          <w:sz w:val="18"/>
          <w:szCs w:val="18"/>
          <w:lang w:val="en-GB"/>
        </w:rPr>
        <w:t xml:space="preserve"> </w:t>
      </w:r>
      <w:r w:rsidRPr="00F97512">
        <w:rPr>
          <w:rFonts w:ascii="Times New Roman"/>
          <w:sz w:val="18"/>
          <w:szCs w:val="18"/>
          <w:lang w:val="en-GB"/>
        </w:rPr>
        <w:t>article</w:t>
      </w:r>
      <w:r w:rsidRPr="00F97512">
        <w:rPr>
          <w:rFonts w:ascii="Times New Roman"/>
          <w:spacing w:val="-7"/>
          <w:sz w:val="18"/>
          <w:szCs w:val="18"/>
          <w:lang w:val="en-GB"/>
        </w:rPr>
        <w:t xml:space="preserve"> </w:t>
      </w:r>
      <w:r w:rsidRPr="00F97512">
        <w:rPr>
          <w:rFonts w:ascii="Times New Roman"/>
          <w:sz w:val="18"/>
          <w:szCs w:val="18"/>
          <w:lang w:val="en-GB"/>
        </w:rPr>
        <w:t>11 of Commission Decision (EU) 2021/2121</w:t>
      </w:r>
    </w:p>
    <w:p w14:paraId="70EC948E" w14:textId="79AAB6E8" w:rsidR="00231B29" w:rsidRDefault="00472C45" w:rsidP="00472C45">
      <w:pPr>
        <w:pStyle w:val="ECCAnnexheading1"/>
        <w:spacing w:before="240" w:after="60"/>
        <w:jc w:val="both"/>
        <w:rPr>
          <w:lang w:val="en-IE"/>
        </w:rPr>
      </w:pPr>
      <w:bookmarkStart w:id="55" w:name="_Toc230360708"/>
      <w:r w:rsidRPr="00472C45">
        <w:rPr>
          <w:lang w:val="en-IE"/>
        </w:rPr>
        <w:lastRenderedPageBreak/>
        <w:t>List of Reference</w:t>
      </w:r>
      <w:bookmarkEnd w:id="18"/>
      <w:bookmarkEnd w:id="19"/>
      <w:bookmarkEnd w:id="20"/>
      <w:bookmarkEnd w:id="21"/>
      <w:bookmarkEnd w:id="22"/>
      <w:bookmarkEnd w:id="23"/>
      <w:bookmarkEnd w:id="24"/>
      <w:bookmarkEnd w:id="25"/>
      <w:r w:rsidRPr="00472C45">
        <w:rPr>
          <w:lang w:val="en-IE"/>
        </w:rPr>
        <w:t>s</w:t>
      </w:r>
      <w:bookmarkEnd w:id="26"/>
      <w:bookmarkEnd w:id="55"/>
    </w:p>
    <w:p w14:paraId="110D370E" w14:textId="77777777" w:rsidR="0059034C" w:rsidRPr="0059034C" w:rsidRDefault="0059034C" w:rsidP="0059034C">
      <w:pPr>
        <w:pStyle w:val="ECCParagraph"/>
        <w:rPr>
          <w:lang w:val="en-IE"/>
        </w:rPr>
      </w:pPr>
    </w:p>
    <w:p w14:paraId="23DABB63" w14:textId="04C43BD0" w:rsidR="003B0834" w:rsidRDefault="00DA25CF" w:rsidP="005E30F7">
      <w:pPr>
        <w:pStyle w:val="ECCReference"/>
        <w:numPr>
          <w:ilvl w:val="0"/>
          <w:numId w:val="5"/>
        </w:numPr>
      </w:pPr>
      <w:bookmarkStart w:id="56" w:name="_Ref230359403"/>
      <w:r>
        <w:t>Draft ECC Report</w:t>
      </w:r>
      <w:r w:rsidR="0063200B">
        <w:t>:</w:t>
      </w:r>
      <w:r>
        <w:t xml:space="preserve"> “</w:t>
      </w:r>
      <w:r w:rsidR="0063200B" w:rsidRPr="0063200B">
        <w:t>Feasibility, coexistence and compatibility scenarios for the use MFCN frequency bands by satellite systems providing direct-to-device-IMT connectivity</w:t>
      </w:r>
      <w:r>
        <w:t>”</w:t>
      </w:r>
      <w:r w:rsidR="0063200B">
        <w:t>, latest draft from April 2026</w:t>
      </w:r>
      <w:r>
        <w:t xml:space="preserve"> </w:t>
      </w:r>
      <w:r w:rsidR="003B0834">
        <w:t xml:space="preserve">available online: </w:t>
      </w:r>
      <w:bookmarkStart w:id="57" w:name="_Ref230359475"/>
      <w:bookmarkEnd w:id="56"/>
      <w:r w:rsidR="00AA098E">
        <w:fldChar w:fldCharType="begin"/>
      </w:r>
      <w:r w:rsidR="00AA098E">
        <w:instrText>HYPERLINK "</w:instrText>
      </w:r>
      <w:r w:rsidR="00AA098E" w:rsidRPr="00AA098E">
        <w:instrText>https://cept.org/documents/se-40/94610/se40-26-042a05_wi49_draft-ecc-report</w:instrText>
      </w:r>
      <w:r w:rsidR="00AA098E">
        <w:instrText>"</w:instrText>
      </w:r>
      <w:r w:rsidR="00AA098E">
        <w:fldChar w:fldCharType="separate"/>
      </w:r>
      <w:r w:rsidR="00AA098E" w:rsidRPr="00E70091">
        <w:rPr>
          <w:rStyle w:val="Hyperlink"/>
        </w:rPr>
        <w:t>https://cept.org/documents/se-40/94610/se40-26-042a05_wi49_draft-ecc-report</w:t>
      </w:r>
      <w:r w:rsidR="00AA098E">
        <w:fldChar w:fldCharType="end"/>
      </w:r>
      <w:r w:rsidR="00AA098E">
        <w:t xml:space="preserve"> </w:t>
      </w:r>
    </w:p>
    <w:p w14:paraId="3D73F55D" w14:textId="299DF2FF" w:rsidR="0059034C" w:rsidRDefault="00D26CC9" w:rsidP="005E30F7">
      <w:pPr>
        <w:pStyle w:val="ECCReference"/>
        <w:numPr>
          <w:ilvl w:val="0"/>
          <w:numId w:val="5"/>
        </w:numPr>
      </w:pPr>
      <w:hyperlink r:id="rId20" w:history="1">
        <w:r w:rsidRPr="003E1AD6">
          <w:rPr>
            <w:rStyle w:val="Hyperlink"/>
          </w:rPr>
          <w:t>ECO Report 03</w:t>
        </w:r>
        <w:bookmarkEnd w:id="57"/>
      </w:hyperlink>
      <w:r w:rsidR="003E1AD6">
        <w:t>: “</w:t>
      </w:r>
      <w:r w:rsidR="00814B45" w:rsidRPr="003B0834">
        <w:rPr>
          <w:lang w:val="en-US"/>
        </w:rPr>
        <w:t>The Licensing of "Mobile Bands" in CEPT</w:t>
      </w:r>
      <w:r w:rsidR="003E1AD6">
        <w:t>”</w:t>
      </w:r>
      <w:r w:rsidR="00814B45">
        <w:t xml:space="preserve">, </w:t>
      </w:r>
      <w:r w:rsidR="00DA25CF">
        <w:t xml:space="preserve">latest amendment </w:t>
      </w:r>
      <w:r w:rsidR="00DA25CF" w:rsidRPr="00DA25CF">
        <w:t>April 2026</w:t>
      </w:r>
    </w:p>
    <w:p w14:paraId="3F28AE70" w14:textId="16B8D8AE" w:rsidR="00E97BBF" w:rsidRDefault="00E97BBF" w:rsidP="00E97BBF">
      <w:pPr>
        <w:pStyle w:val="ECCParagraph"/>
        <w:rPr>
          <w:lang w:val="en-IE"/>
        </w:rPr>
      </w:pPr>
    </w:p>
    <w:bookmarkEnd w:id="27"/>
    <w:p w14:paraId="4C5D4475" w14:textId="77777777" w:rsidR="00E97BBF" w:rsidRPr="0059034C" w:rsidRDefault="00E97BBF" w:rsidP="0059034C">
      <w:pPr>
        <w:pStyle w:val="reference"/>
        <w:numPr>
          <w:ilvl w:val="0"/>
          <w:numId w:val="0"/>
        </w:numPr>
        <w:ind w:left="397" w:hanging="397"/>
      </w:pPr>
    </w:p>
    <w:sectPr w:rsidR="00E97BBF" w:rsidRPr="0059034C" w:rsidSect="00AB46DF">
      <w:pgSz w:w="11907" w:h="16840"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ECO" w:date="2026-06-25T08:54:00Z" w:initials="ECO">
    <w:p w14:paraId="7A38CBA9" w14:textId="2F528618" w:rsidR="0016236B" w:rsidRDefault="0016236B" w:rsidP="0016236B">
      <w:pPr>
        <w:pStyle w:val="CommentText"/>
      </w:pPr>
      <w:r>
        <w:rPr>
          <w:rStyle w:val="CommentReference"/>
        </w:rPr>
        <w:annotationRef/>
      </w:r>
      <w:r>
        <w:fldChar w:fldCharType="begin"/>
      </w:r>
      <w:r>
        <w:instrText>HYPERLINK "mailto:miia.mustonen@eco.cept.org"</w:instrText>
      </w:r>
      <w:bookmarkStart w:id="13" w:name="_@_974DF7F50BA44D85A9B8CF9E2538220DZ"/>
      <w:r>
        <w:fldChar w:fldCharType="separate"/>
      </w:r>
      <w:bookmarkEnd w:id="13"/>
      <w:r w:rsidRPr="0016236B">
        <w:rPr>
          <w:rStyle w:val="Mention"/>
          <w:noProof/>
        </w:rPr>
        <w:t>@Miia Mustonen</w:t>
      </w:r>
      <w:r>
        <w:fldChar w:fldCharType="end"/>
      </w:r>
      <w:r>
        <w:t xml:space="preserve"> </w:t>
      </w:r>
    </w:p>
    <w:p w14:paraId="359FBBFA" w14:textId="77777777" w:rsidR="0016236B" w:rsidRDefault="0016236B" w:rsidP="0016236B">
      <w:pPr>
        <w:pStyle w:val="CommentText"/>
      </w:pPr>
      <w:r>
        <w:t>To start at d) or to restart at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9FBB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0CF73C" w16cex:dateUtc="2026-06-25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9FBBFA" w16cid:durableId="490CF7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74BF" w14:textId="77777777" w:rsidR="00113248" w:rsidRDefault="00113248" w:rsidP="00AB46DF">
      <w:r>
        <w:separator/>
      </w:r>
    </w:p>
  </w:endnote>
  <w:endnote w:type="continuationSeparator" w:id="0">
    <w:p w14:paraId="1348CAEA" w14:textId="77777777" w:rsidR="00113248" w:rsidRDefault="00113248" w:rsidP="00A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59"/>
    <w:family w:val="auto"/>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B76B" w14:textId="77777777" w:rsidR="00113248" w:rsidRDefault="00113248" w:rsidP="00AB46DF">
      <w:r>
        <w:separator/>
      </w:r>
    </w:p>
  </w:footnote>
  <w:footnote w:type="continuationSeparator" w:id="0">
    <w:p w14:paraId="3BF8A6AF" w14:textId="77777777" w:rsidR="00113248" w:rsidRDefault="00113248" w:rsidP="00AB46DF">
      <w:r>
        <w:continuationSeparator/>
      </w:r>
    </w:p>
  </w:footnote>
  <w:footnote w:id="1">
    <w:p w14:paraId="01AABD7D" w14:textId="77777777" w:rsidR="005C2BB6" w:rsidRPr="00913EF1" w:rsidRDefault="005C2BB6" w:rsidP="005C2BB6">
      <w:pPr>
        <w:pStyle w:val="FootnoteText"/>
        <w:rPr>
          <w:lang w:val="en-GB"/>
        </w:rPr>
      </w:pPr>
      <w:r>
        <w:rPr>
          <w:rStyle w:val="FootnoteReference"/>
        </w:rPr>
        <w:footnoteRef/>
      </w:r>
      <w:r>
        <w:t xml:space="preserve"> </w:t>
      </w:r>
      <w:r w:rsidRPr="000F6FC9">
        <w:rPr>
          <w:sz w:val="16"/>
          <w:szCs w:val="16"/>
        </w:rPr>
        <w:t>These relevant users are to be determined by CEPT.</w:t>
      </w:r>
    </w:p>
  </w:footnote>
  <w:footnote w:id="2">
    <w:p w14:paraId="0DC251F4" w14:textId="77777777" w:rsidR="00C240D3" w:rsidRDefault="00C240D3" w:rsidP="00C240D3">
      <w:pPr>
        <w:pStyle w:val="FootnoteText"/>
      </w:pPr>
      <w:r>
        <w:rPr>
          <w:rStyle w:val="FootnoteReference"/>
        </w:rPr>
        <w:footnoteRef/>
      </w:r>
      <w:r>
        <w:t xml:space="preserve"> </w:t>
      </w:r>
      <w:r w:rsidRPr="000F0735">
        <w:t>IMT stands for ‘International Mobile Telecommunications’, including 5G and beyond.</w:t>
      </w:r>
    </w:p>
    <w:p w14:paraId="72CEBE3A" w14:textId="77777777" w:rsidR="00C240D3" w:rsidRPr="00BE620A" w:rsidRDefault="00C240D3" w:rsidP="00C240D3">
      <w:pPr>
        <w:pStyle w:val="FootnoteText"/>
        <w:rPr>
          <w:sz w:val="14"/>
          <w:szCs w:val="14"/>
        </w:rPr>
      </w:pPr>
    </w:p>
  </w:footnote>
  <w:footnote w:id="3">
    <w:p w14:paraId="0064A6F1" w14:textId="77777777" w:rsidR="00C240D3" w:rsidRDefault="00C240D3" w:rsidP="00C240D3">
      <w:pPr>
        <w:pStyle w:val="FootnoteText"/>
      </w:pPr>
      <w:r>
        <w:rPr>
          <w:rStyle w:val="FootnoteReference"/>
        </w:rPr>
        <w:footnoteRef/>
      </w:r>
      <w:r>
        <w:t xml:space="preserve"> I</w:t>
      </w:r>
      <w:r w:rsidRPr="00194C22">
        <w:t>n line with the “RSPG opinion on the EU-level policy approach to satellite Direct-to-Device connectivity and related Single Market issues” (RSPG25-020), satellite D2D-IMT is defined as “services direct to device in bands mostly used for the provision of terrestrial IMT-based services that have been harmonised within the EU for electronic communications services (ECS)”. This implies that satellite D2D-IMT connectivity is provided directly to off-the-shelf terminal stations (e.g. end-user devices such as smart phones) used with terrestrial wireless systems providing ECS in EU-harmonised bands for ECS, on the basis of IMT (e.g. 3GPP) standards.</w:t>
      </w:r>
    </w:p>
    <w:p w14:paraId="3065265F" w14:textId="77777777" w:rsidR="00C240D3" w:rsidRPr="00BE620A" w:rsidRDefault="00C240D3" w:rsidP="00C240D3">
      <w:pPr>
        <w:pStyle w:val="FootnoteText"/>
        <w:rPr>
          <w:sz w:val="14"/>
          <w:szCs w:val="14"/>
          <w:lang w:val="en-GB"/>
        </w:rPr>
      </w:pPr>
    </w:p>
  </w:footnote>
  <w:footnote w:id="4">
    <w:p w14:paraId="337DD48B" w14:textId="77777777" w:rsidR="00C240D3" w:rsidRDefault="00C240D3" w:rsidP="00C240D3">
      <w:pPr>
        <w:pStyle w:val="FootnoteText"/>
      </w:pPr>
      <w:r>
        <w:rPr>
          <w:rStyle w:val="FootnoteReference"/>
        </w:rPr>
        <w:footnoteRef/>
      </w:r>
      <w:r>
        <w:t xml:space="preserve"> </w:t>
      </w:r>
      <w:r w:rsidRPr="00194C22">
        <w:t>Spectrum allocations for MSS are available in the ITU Radio Regulations.</w:t>
      </w:r>
    </w:p>
    <w:p w14:paraId="7D4FAC0A" w14:textId="77777777" w:rsidR="00C240D3" w:rsidRPr="00BE620A" w:rsidRDefault="00C240D3" w:rsidP="00C240D3">
      <w:pPr>
        <w:pStyle w:val="FootnoteText"/>
        <w:rPr>
          <w:sz w:val="14"/>
          <w:szCs w:val="14"/>
          <w:lang w:val="en-GB"/>
        </w:rPr>
      </w:pPr>
    </w:p>
  </w:footnote>
  <w:footnote w:id="5">
    <w:p w14:paraId="7487E9C6" w14:textId="77777777" w:rsidR="00C240D3" w:rsidRPr="00194C22" w:rsidRDefault="00C240D3" w:rsidP="00C240D3">
      <w:pPr>
        <w:pStyle w:val="FootnoteText"/>
        <w:rPr>
          <w:lang w:val="en-GB"/>
        </w:rPr>
      </w:pPr>
      <w:r>
        <w:rPr>
          <w:rStyle w:val="FootnoteReference"/>
        </w:rPr>
        <w:footnoteRef/>
      </w:r>
      <w:r>
        <w:t xml:space="preserve"> </w:t>
      </w:r>
      <w:r w:rsidRPr="00194C22">
        <w:t>In particular, providing complementary coverage, wherever terrestrial mobile networks are not available.</w:t>
      </w:r>
    </w:p>
  </w:footnote>
  <w:footnote w:id="6">
    <w:p w14:paraId="1D2051BC" w14:textId="77777777" w:rsidR="00C240D3" w:rsidRDefault="00C240D3" w:rsidP="00C240D3">
      <w:pPr>
        <w:pStyle w:val="FootnoteText"/>
      </w:pPr>
      <w:r>
        <w:rPr>
          <w:rStyle w:val="FootnoteReference"/>
        </w:rPr>
        <w:footnoteRef/>
      </w:r>
      <w:r>
        <w:t xml:space="preserve"> </w:t>
      </w:r>
      <w:r w:rsidRPr="00194C22">
        <w:t>WRC-27 Agenda Item 1.13 reads: ”to consider studies on possible new allocations to the mobile-satellite service for direct connectivity between space stations and International Mobile Telecommunications (IMT) user equipment to complement terrestrial IMT network coverage, in accordance with Resolution 253 (WRC-23)”.</w:t>
      </w:r>
    </w:p>
    <w:p w14:paraId="7BEC560F" w14:textId="77777777" w:rsidR="00C240D3" w:rsidRPr="00194C22" w:rsidRDefault="00C240D3" w:rsidP="00C240D3">
      <w:pPr>
        <w:pStyle w:val="FootnoteText"/>
        <w:rPr>
          <w:lang w:val="en-GB"/>
        </w:rPr>
      </w:pPr>
    </w:p>
  </w:footnote>
  <w:footnote w:id="7">
    <w:p w14:paraId="34AE8991" w14:textId="77777777" w:rsidR="00C240D3" w:rsidRDefault="00C240D3" w:rsidP="00C240D3">
      <w:pPr>
        <w:pStyle w:val="FootnoteText"/>
      </w:pPr>
      <w:r>
        <w:rPr>
          <w:rStyle w:val="FootnoteReference"/>
        </w:rPr>
        <w:footnoteRef/>
      </w:r>
      <w:r>
        <w:t xml:space="preserve"> </w:t>
      </w:r>
      <w:r w:rsidRPr="00194C22">
        <w:t xml:space="preserve">Link: </w:t>
      </w:r>
      <w:hyperlink r:id="rId1" w:history="1">
        <w:r w:rsidRPr="00F41BEA">
          <w:rPr>
            <w:rStyle w:val="Hyperlink"/>
          </w:rPr>
          <w:t>https://radio-spectrum-policy-group.ec.europa.eu/document/download/d4e46670-313b-4bac-8d8d-760d92f4649b_en?filename=RSPG24-008final-RSPG_WP24_and_beyond_0.pdf</w:t>
        </w:r>
      </w:hyperlink>
    </w:p>
    <w:p w14:paraId="26E04CEE" w14:textId="77777777" w:rsidR="00C240D3" w:rsidRPr="00194C22" w:rsidRDefault="00C240D3" w:rsidP="00C240D3">
      <w:pPr>
        <w:pStyle w:val="FootnoteText"/>
        <w:rPr>
          <w:lang w:val="en-GB"/>
        </w:rPr>
      </w:pPr>
    </w:p>
  </w:footnote>
  <w:footnote w:id="8">
    <w:p w14:paraId="05F4045B" w14:textId="77777777" w:rsidR="00C240D3" w:rsidRPr="00194C22" w:rsidRDefault="00C240D3" w:rsidP="00C240D3">
      <w:pPr>
        <w:pStyle w:val="FootnoteText"/>
      </w:pPr>
      <w:r>
        <w:rPr>
          <w:rStyle w:val="FootnoteReference"/>
        </w:rPr>
        <w:footnoteRef/>
      </w:r>
      <w:r>
        <w:t xml:space="preserve"> </w:t>
      </w:r>
      <w:r w:rsidRPr="00194C22">
        <w:t xml:space="preserve">Link: </w:t>
      </w:r>
      <w:hyperlink r:id="rId2" w:history="1">
        <w:r w:rsidRPr="00F41BEA">
          <w:rPr>
            <w:rStyle w:val="Hyperlink"/>
          </w:rPr>
          <w:t>https://radio-spectrum-policy-group.ec.europa.eu/document/download/72e52901-fa1a-474a-9480-a222c5b36545_en?filename=RSPG25-020final-RSPG_Opinion_on_D2D_and_Single_Market_Issues.pdf</w:t>
        </w:r>
      </w:hyperlink>
      <w:r>
        <w:t xml:space="preserve"> </w:t>
      </w:r>
    </w:p>
  </w:footnote>
  <w:footnote w:id="9">
    <w:p w14:paraId="7D57CBE1" w14:textId="77777777" w:rsidR="00C240D3" w:rsidRDefault="00C240D3" w:rsidP="00C240D3">
      <w:pPr>
        <w:pStyle w:val="FootnoteText"/>
      </w:pPr>
      <w:r>
        <w:rPr>
          <w:rStyle w:val="FootnoteReference"/>
        </w:rPr>
        <w:footnoteRef/>
      </w:r>
      <w:r>
        <w:t xml:space="preserve"> </w:t>
      </w:r>
      <w:r w:rsidRPr="00194C22">
        <w:t>Decision No 676/2002/EC of the European Parliament and of the Council of 7 March 2002 on a regulatory framework for radio spectrum policy in the European Community (Radio Spectrum Decision) (OJ L 108, 24.4.2002, p. 1).</w:t>
      </w:r>
    </w:p>
    <w:p w14:paraId="2C35791D" w14:textId="77777777" w:rsidR="00C240D3" w:rsidRPr="00194C22" w:rsidRDefault="00C240D3" w:rsidP="00C240D3">
      <w:pPr>
        <w:pStyle w:val="FootnoteText"/>
        <w:rPr>
          <w:lang w:val="en-GB"/>
        </w:rPr>
      </w:pPr>
    </w:p>
  </w:footnote>
  <w:footnote w:id="10">
    <w:p w14:paraId="1A74297A" w14:textId="77777777" w:rsidR="00C240D3" w:rsidRDefault="00C240D3" w:rsidP="00C240D3">
      <w:pPr>
        <w:pStyle w:val="FootnoteText"/>
      </w:pPr>
      <w:r>
        <w:rPr>
          <w:rStyle w:val="FootnoteReference"/>
        </w:rPr>
        <w:footnoteRef/>
      </w:r>
      <w:r>
        <w:t xml:space="preserve"> </w:t>
      </w:r>
      <w:r w:rsidRPr="00194C22">
        <w:t>Decision No 243/2012/EU of the European Parliament and of the Council of 14 March 2012 establishing a multiannual radio spectrum policy programme (OJ L 81, 21.3.2012, p. 7).</w:t>
      </w:r>
    </w:p>
    <w:p w14:paraId="7567DBEC" w14:textId="77777777" w:rsidR="00C240D3" w:rsidRPr="00194C22" w:rsidRDefault="00C240D3" w:rsidP="00C240D3">
      <w:pPr>
        <w:pStyle w:val="FootnoteText"/>
        <w:rPr>
          <w:lang w:val="en-GB"/>
        </w:rPr>
      </w:pPr>
    </w:p>
  </w:footnote>
  <w:footnote w:id="11">
    <w:p w14:paraId="2C6CEC30" w14:textId="77777777" w:rsidR="00C240D3" w:rsidRPr="00194C22" w:rsidRDefault="00C240D3" w:rsidP="00C240D3">
      <w:pPr>
        <w:pStyle w:val="FootnoteText"/>
        <w:rPr>
          <w:lang w:val="en-GB"/>
        </w:rPr>
      </w:pPr>
      <w:r>
        <w:rPr>
          <w:rStyle w:val="FootnoteReference"/>
        </w:rPr>
        <w:footnoteRef/>
      </w:r>
      <w:r>
        <w:t xml:space="preserve"> </w:t>
      </w:r>
      <w:r w:rsidRPr="00194C22">
        <w:t>Decision (EU) 2022/2481 of the European Parliament and of the Council of 14 December 2022 establishing the Digital Decade Policy Programme 2030(OJ L 323, 19.12.2022, p. 4).</w:t>
      </w:r>
    </w:p>
  </w:footnote>
  <w:footnote w:id="12">
    <w:p w14:paraId="69ADC63A" w14:textId="77777777" w:rsidR="00C240D3" w:rsidRPr="00913EF1" w:rsidRDefault="00C240D3" w:rsidP="00C240D3">
      <w:pPr>
        <w:pStyle w:val="FootnoteText"/>
        <w:rPr>
          <w:lang w:val="en-GB"/>
        </w:rPr>
      </w:pPr>
      <w:r>
        <w:rPr>
          <w:rStyle w:val="FootnoteReference"/>
        </w:rPr>
        <w:footnoteRef/>
      </w:r>
      <w:r>
        <w:t xml:space="preserve"> </w:t>
      </w:r>
      <w:r w:rsidRPr="00913EF1">
        <w:t>These relevant users are to be determined by CEPT.</w:t>
      </w:r>
    </w:p>
  </w:footnote>
  <w:footnote w:id="13">
    <w:p w14:paraId="4A9A8246" w14:textId="77777777" w:rsidR="00C240D3" w:rsidRDefault="00C240D3" w:rsidP="00C240D3">
      <w:pPr>
        <w:pStyle w:val="FootnoteText"/>
      </w:pPr>
      <w:r>
        <w:rPr>
          <w:rStyle w:val="FootnoteReference"/>
        </w:rPr>
        <w:footnoteRef/>
      </w:r>
      <w:r>
        <w:t xml:space="preserve"> </w:t>
      </w:r>
      <w:r w:rsidRPr="00913EF1">
        <w:t>Directive 2014/53/EU of the European Parliament and of the Council of 16 April 2014 on the harmonisation of the laws of the Member States relating to the making available on the market of radio equipment and repealing Directive 1999/5/EC (OJ L 153, 22.5.2014, p. 62).</w:t>
      </w:r>
    </w:p>
    <w:p w14:paraId="2484A427" w14:textId="77777777" w:rsidR="00C240D3" w:rsidRPr="00913EF1" w:rsidRDefault="00C240D3" w:rsidP="00C240D3">
      <w:pPr>
        <w:pStyle w:val="FootnoteText"/>
        <w:rPr>
          <w:lang w:val="en-GB"/>
        </w:rPr>
      </w:pPr>
    </w:p>
  </w:footnote>
  <w:footnote w:id="14">
    <w:p w14:paraId="0F9A3527" w14:textId="77777777" w:rsidR="00C240D3" w:rsidRPr="00913EF1" w:rsidRDefault="00C240D3" w:rsidP="00C240D3">
      <w:pPr>
        <w:pStyle w:val="FootnoteText"/>
        <w:rPr>
          <w:lang w:val="en-GB"/>
        </w:rPr>
      </w:pPr>
      <w:r>
        <w:rPr>
          <w:rStyle w:val="FootnoteReference"/>
        </w:rPr>
        <w:footnoteRef/>
      </w:r>
      <w:r>
        <w:t xml:space="preserve"> </w:t>
      </w:r>
      <w:r w:rsidRPr="00913EF1">
        <w:t>Subject to a public consultation.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7E14" w14:textId="7C60F204" w:rsidR="00216BE1" w:rsidRPr="007C5F95" w:rsidRDefault="00113248">
    <w:pPr>
      <w:pStyle w:val="Header"/>
      <w:rPr>
        <w:b w:val="0"/>
        <w:lang w:val="da-DK"/>
      </w:rPr>
    </w:pPr>
    <w:r>
      <w:rPr>
        <w:noProof/>
      </w:rPr>
      <w:pict w14:anchorId="3FBE2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1" o:spid="_x0000_s1026" type="#_x0000_t136" style="position:absolute;margin-left:0;margin-top:0;width:486.95pt;height:192.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sidRPr="007C5F95">
      <w:rPr>
        <w:b w:val="0"/>
        <w:lang w:val="da-DK"/>
      </w:rPr>
      <w:t>Draft ECC REPORT XXX</w:t>
    </w:r>
  </w:p>
  <w:p w14:paraId="6652A074" w14:textId="77777777" w:rsidR="00216BE1" w:rsidRPr="007C5F95" w:rsidRDefault="00216BE1">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DA1B" w14:textId="7F45F037" w:rsidR="00216BE1" w:rsidRPr="007C5F95" w:rsidRDefault="00113248" w:rsidP="00AB46DF">
    <w:pPr>
      <w:pStyle w:val="Header"/>
      <w:jc w:val="right"/>
      <w:rPr>
        <w:b w:val="0"/>
        <w:lang w:val="da-DK"/>
      </w:rPr>
    </w:pPr>
    <w:r>
      <w:rPr>
        <w:noProof/>
      </w:rPr>
      <w:pict w14:anchorId="7A573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2" o:spid="_x0000_s1027" type="#_x0000_t136" style="position:absolute;left:0;text-align:left;margin-left:0;margin-top:0;width:486.95pt;height:19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sidRPr="007C5F95">
      <w:rPr>
        <w:b w:val="0"/>
        <w:lang w:val="da-DK"/>
      </w:rPr>
      <w:t>Draft ECC REPORT XXX</w:t>
    </w:r>
  </w:p>
  <w:p w14:paraId="04B612C8" w14:textId="77777777" w:rsidR="00216BE1" w:rsidRPr="007C5F95" w:rsidRDefault="00216BE1" w:rsidP="00AB46DF">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C951" w14:textId="7E4CBB2B" w:rsidR="00216BE1" w:rsidRDefault="00113248">
    <w:pPr>
      <w:pStyle w:val="Header"/>
    </w:pPr>
    <w:r>
      <w:rPr>
        <w:noProof/>
      </w:rPr>
      <w:pict w14:anchorId="71CA7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0" o:spid="_x0000_s1025" type="#_x0000_t136" style="position:absolute;margin-left:0;margin-top:0;width:486.95pt;height:192.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216BE1">
      <w:rPr>
        <w:noProof/>
        <w:szCs w:val="20"/>
        <w:lang w:val="da-DK" w:eastAsia="da-DK"/>
      </w:rPr>
      <w:drawing>
        <wp:anchor distT="0" distB="0" distL="114300" distR="114300" simplePos="0" relativeHeight="251658241" behindDoc="0" locked="0" layoutInCell="1" allowOverlap="1" wp14:anchorId="513D4AB8" wp14:editId="37685F18">
          <wp:simplePos x="0" y="0"/>
          <wp:positionH relativeFrom="page">
            <wp:posOffset>5717540</wp:posOffset>
          </wp:positionH>
          <wp:positionV relativeFrom="page">
            <wp:posOffset>648335</wp:posOffset>
          </wp:positionV>
          <wp:extent cx="1461770" cy="546100"/>
          <wp:effectExtent l="25400" t="0" r="11430" b="0"/>
          <wp:wrapNone/>
          <wp:docPr id="1903022292" name="Picture 190302229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216BE1">
      <w:rPr>
        <w:noProof/>
        <w:szCs w:val="20"/>
        <w:lang w:val="da-DK" w:eastAsia="da-DK"/>
      </w:rPr>
      <w:drawing>
        <wp:anchor distT="0" distB="0" distL="114300" distR="114300" simplePos="0" relativeHeight="251658240" behindDoc="0" locked="0" layoutInCell="1" allowOverlap="1" wp14:anchorId="3A14E4ED" wp14:editId="4E9F1D55">
          <wp:simplePos x="0" y="0"/>
          <wp:positionH relativeFrom="page">
            <wp:posOffset>572770</wp:posOffset>
          </wp:positionH>
          <wp:positionV relativeFrom="page">
            <wp:posOffset>457200</wp:posOffset>
          </wp:positionV>
          <wp:extent cx="889000" cy="889000"/>
          <wp:effectExtent l="25400" t="0" r="0" b="0"/>
          <wp:wrapNone/>
          <wp:docPr id="877372393" name="Picture 87737239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B83C" w14:textId="44BA6543" w:rsidR="00216BE1" w:rsidRPr="007C5F95" w:rsidRDefault="00113248">
    <w:pPr>
      <w:pStyle w:val="Header"/>
      <w:rPr>
        <w:szCs w:val="16"/>
        <w:lang w:val="da-DK"/>
      </w:rPr>
    </w:pPr>
    <w:r>
      <w:rPr>
        <w:noProof/>
      </w:rPr>
      <w:pict w14:anchorId="21E82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4" o:spid="_x0000_s1029" type="#_x0000_t136" style="position:absolute;margin-left:0;margin-top:0;width:486.95pt;height:19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2D3">
      <w:rPr>
        <w:lang w:val="da-DK"/>
      </w:rPr>
      <w:t xml:space="preserve">Draft </w:t>
    </w:r>
    <w:r w:rsidR="00216BE1">
      <w:rPr>
        <w:lang w:val="da-DK"/>
      </w:rPr>
      <w:t xml:space="preserve">CEPT REPORT </w:t>
    </w:r>
    <w:r w:rsidR="00460942">
      <w:rPr>
        <w:lang w:val="da-DK"/>
      </w:rPr>
      <w:t>93</w:t>
    </w:r>
    <w:r w:rsidR="00216BE1">
      <w:rPr>
        <w:lang w:val="da-DK"/>
      </w:rPr>
      <w:t xml:space="preserve"> -</w:t>
    </w:r>
    <w:r w:rsidR="00216BE1" w:rsidRPr="007C5F95">
      <w:rPr>
        <w:lang w:val="da-DK"/>
      </w:rPr>
      <w:t xml:space="preserve"> </w:t>
    </w:r>
    <w:r w:rsidR="00216BE1">
      <w:rPr>
        <w:szCs w:val="16"/>
        <w:lang w:val="da-DK"/>
      </w:rPr>
      <w:t xml:space="preserve">Page </w:t>
    </w:r>
    <w:r w:rsidR="00216BE1">
      <w:fldChar w:fldCharType="begin"/>
    </w:r>
    <w:r w:rsidR="00216BE1">
      <w:instrText xml:space="preserve"> PAGE  \* Arabic  \* MERGEFORMAT </w:instrText>
    </w:r>
    <w:r w:rsidR="00216BE1">
      <w:fldChar w:fldCharType="separate"/>
    </w:r>
    <w:r w:rsidR="00CB04DE" w:rsidRPr="00CB04DE">
      <w:rPr>
        <w:noProof/>
        <w:szCs w:val="16"/>
        <w:lang w:val="da-DK"/>
      </w:rPr>
      <w:t>2</w:t>
    </w:r>
    <w:r w:rsidR="00216BE1">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6D6A" w14:textId="3256F23A" w:rsidR="00216BE1" w:rsidRPr="007C5F95" w:rsidRDefault="00113248" w:rsidP="00AB46DF">
    <w:pPr>
      <w:pStyle w:val="Header"/>
      <w:jc w:val="right"/>
      <w:rPr>
        <w:szCs w:val="16"/>
        <w:lang w:val="da-DK"/>
      </w:rPr>
    </w:pPr>
    <w:r>
      <w:rPr>
        <w:noProof/>
      </w:rPr>
      <w:pict w14:anchorId="0B654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5" o:spid="_x0000_s1030" type="#_x0000_t136" style="position:absolute;left:0;text-align:left;margin-left:0;margin-top:0;width:486.95pt;height:192.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2D3">
      <w:rPr>
        <w:lang w:val="da-DK"/>
      </w:rPr>
      <w:t xml:space="preserve">Draft </w:t>
    </w:r>
    <w:r w:rsidR="00216BE1">
      <w:rPr>
        <w:lang w:val="da-DK"/>
      </w:rPr>
      <w:t xml:space="preserve">CEPT REPORT </w:t>
    </w:r>
    <w:r w:rsidR="00460942">
      <w:rPr>
        <w:lang w:val="da-DK"/>
      </w:rPr>
      <w:t>93</w:t>
    </w:r>
    <w:r w:rsidR="00216BE1">
      <w:rPr>
        <w:lang w:val="da-DK"/>
      </w:rPr>
      <w:t xml:space="preserve"> -</w:t>
    </w:r>
    <w:r w:rsidR="00216BE1" w:rsidRPr="007C5F95">
      <w:rPr>
        <w:lang w:val="da-DK"/>
      </w:rPr>
      <w:t xml:space="preserve"> </w:t>
    </w:r>
    <w:r w:rsidR="00216BE1">
      <w:rPr>
        <w:szCs w:val="16"/>
        <w:lang w:val="da-DK"/>
      </w:rPr>
      <w:t xml:space="preserve">Page </w:t>
    </w:r>
    <w:r w:rsidR="00216BE1">
      <w:fldChar w:fldCharType="begin"/>
    </w:r>
    <w:r w:rsidR="00216BE1">
      <w:instrText xml:space="preserve"> PAGE  \* Arabic  \* MERGEFORMAT </w:instrText>
    </w:r>
    <w:r w:rsidR="00216BE1">
      <w:fldChar w:fldCharType="separate"/>
    </w:r>
    <w:r w:rsidR="00CB04DE" w:rsidRPr="00CB04DE">
      <w:rPr>
        <w:noProof/>
        <w:szCs w:val="16"/>
        <w:lang w:val="da-DK"/>
      </w:rPr>
      <w:t>11</w:t>
    </w:r>
    <w:r w:rsidR="00216BE1">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5AF7" w14:textId="153D8D57" w:rsidR="00216BE1" w:rsidRPr="001223D0" w:rsidRDefault="00113248" w:rsidP="00AB46DF">
    <w:pPr>
      <w:pStyle w:val="Header"/>
      <w:rPr>
        <w:szCs w:val="16"/>
      </w:rPr>
    </w:pPr>
    <w:r>
      <w:rPr>
        <w:noProof/>
      </w:rPr>
      <w:pict w14:anchorId="5E87A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572753" o:spid="_x0000_s1028" type="#_x0000_t136" style="position:absolute;margin-left:0;margin-top:0;width:486.95pt;height:19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2667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78A78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4" w15:restartNumberingAfterBreak="0">
    <w:nsid w:val="20A87A02"/>
    <w:multiLevelType w:val="hybridMultilevel"/>
    <w:tmpl w:val="A7A0144C"/>
    <w:lvl w:ilvl="0" w:tplc="AD46037E">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15:restartNumberingAfterBreak="0">
    <w:nsid w:val="27897508"/>
    <w:multiLevelType w:val="hybridMultilevel"/>
    <w:tmpl w:val="FF54ECB0"/>
    <w:lvl w:ilvl="0" w:tplc="D76AB278">
      <w:start w:val="1"/>
      <w:numFmt w:val="decimal"/>
      <w:lvlText w:val="%1."/>
      <w:lvlJc w:val="left"/>
      <w:pPr>
        <w:ind w:left="587" w:hanging="480"/>
      </w:pPr>
      <w:rPr>
        <w:rFonts w:ascii="Times New Roman" w:eastAsia="Times New Roman" w:hAnsi="Times New Roman" w:hint="default"/>
        <w:b/>
        <w:bCs/>
        <w:sz w:val="24"/>
        <w:szCs w:val="24"/>
      </w:rPr>
    </w:lvl>
    <w:lvl w:ilvl="1" w:tplc="53EE3CFE">
      <w:start w:val="1"/>
      <w:numFmt w:val="bullet"/>
      <w:lvlText w:val="•"/>
      <w:lvlJc w:val="left"/>
      <w:pPr>
        <w:ind w:left="1519" w:hanging="480"/>
      </w:pPr>
      <w:rPr>
        <w:rFonts w:hint="default"/>
      </w:rPr>
    </w:lvl>
    <w:lvl w:ilvl="2" w:tplc="2CB0BD4C">
      <w:start w:val="1"/>
      <w:numFmt w:val="bullet"/>
      <w:lvlText w:val="•"/>
      <w:lvlJc w:val="left"/>
      <w:pPr>
        <w:ind w:left="2450" w:hanging="480"/>
      </w:pPr>
      <w:rPr>
        <w:rFonts w:hint="default"/>
      </w:rPr>
    </w:lvl>
    <w:lvl w:ilvl="3" w:tplc="A1A494A4">
      <w:start w:val="1"/>
      <w:numFmt w:val="bullet"/>
      <w:lvlText w:val="•"/>
      <w:lvlJc w:val="left"/>
      <w:pPr>
        <w:ind w:left="3382" w:hanging="480"/>
      </w:pPr>
      <w:rPr>
        <w:rFonts w:hint="default"/>
      </w:rPr>
    </w:lvl>
    <w:lvl w:ilvl="4" w:tplc="CA469572">
      <w:start w:val="1"/>
      <w:numFmt w:val="bullet"/>
      <w:lvlText w:val="•"/>
      <w:lvlJc w:val="left"/>
      <w:pPr>
        <w:ind w:left="4314" w:hanging="480"/>
      </w:pPr>
      <w:rPr>
        <w:rFonts w:hint="default"/>
      </w:rPr>
    </w:lvl>
    <w:lvl w:ilvl="5" w:tplc="C5EEF832">
      <w:start w:val="1"/>
      <w:numFmt w:val="bullet"/>
      <w:lvlText w:val="•"/>
      <w:lvlJc w:val="left"/>
      <w:pPr>
        <w:ind w:left="5246" w:hanging="480"/>
      </w:pPr>
      <w:rPr>
        <w:rFonts w:hint="default"/>
      </w:rPr>
    </w:lvl>
    <w:lvl w:ilvl="6" w:tplc="448ABB22">
      <w:start w:val="1"/>
      <w:numFmt w:val="bullet"/>
      <w:lvlText w:val="•"/>
      <w:lvlJc w:val="left"/>
      <w:pPr>
        <w:ind w:left="6177" w:hanging="480"/>
      </w:pPr>
      <w:rPr>
        <w:rFonts w:hint="default"/>
      </w:rPr>
    </w:lvl>
    <w:lvl w:ilvl="7" w:tplc="80F845AE">
      <w:start w:val="1"/>
      <w:numFmt w:val="bullet"/>
      <w:lvlText w:val="•"/>
      <w:lvlJc w:val="left"/>
      <w:pPr>
        <w:ind w:left="7109" w:hanging="480"/>
      </w:pPr>
      <w:rPr>
        <w:rFonts w:hint="default"/>
      </w:rPr>
    </w:lvl>
    <w:lvl w:ilvl="8" w:tplc="B2CA6DDA">
      <w:start w:val="1"/>
      <w:numFmt w:val="bullet"/>
      <w:lvlText w:val="•"/>
      <w:lvlJc w:val="left"/>
      <w:pPr>
        <w:ind w:left="8041" w:hanging="480"/>
      </w:pPr>
      <w:rPr>
        <w:rFonts w:hint="default"/>
      </w:rPr>
    </w:lvl>
  </w:abstractNum>
  <w:abstractNum w:abstractNumId="8" w15:restartNumberingAfterBreak="0">
    <w:nsid w:val="2826660E"/>
    <w:multiLevelType w:val="hybridMultilevel"/>
    <w:tmpl w:val="0B5412F6"/>
    <w:lvl w:ilvl="0" w:tplc="FFFFFFFF">
      <w:start w:val="1"/>
      <w:numFmt w:val="lowerLetter"/>
      <w:lvlText w:val="%1."/>
      <w:lvlJc w:val="left"/>
      <w:pPr>
        <w:ind w:left="360" w:hanging="360"/>
      </w:pPr>
      <w:rPr>
        <w:rFonts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0A7C33"/>
    <w:multiLevelType w:val="hybridMultilevel"/>
    <w:tmpl w:val="962210A0"/>
    <w:lvl w:ilvl="0" w:tplc="2718434E">
      <w:start w:val="1"/>
      <w:numFmt w:val="decimal"/>
      <w:pStyle w:val="ECCEditorsNote"/>
      <w:lvlText w:val="Editor's Note %1:"/>
      <w:lvlJc w:val="left"/>
      <w:pPr>
        <w:tabs>
          <w:tab w:val="num" w:pos="2836"/>
        </w:tabs>
        <w:ind w:left="283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2576" w:hanging="360"/>
      </w:pPr>
    </w:lvl>
    <w:lvl w:ilvl="2" w:tplc="0407001B" w:tentative="1">
      <w:start w:val="1"/>
      <w:numFmt w:val="lowerRoman"/>
      <w:lvlText w:val="%3."/>
      <w:lvlJc w:val="right"/>
      <w:pPr>
        <w:ind w:left="3296" w:hanging="180"/>
      </w:pPr>
    </w:lvl>
    <w:lvl w:ilvl="3" w:tplc="0407000F" w:tentative="1">
      <w:start w:val="1"/>
      <w:numFmt w:val="decimal"/>
      <w:lvlText w:val="%4."/>
      <w:lvlJc w:val="left"/>
      <w:pPr>
        <w:ind w:left="4016" w:hanging="360"/>
      </w:pPr>
    </w:lvl>
    <w:lvl w:ilvl="4" w:tplc="04070019" w:tentative="1">
      <w:start w:val="1"/>
      <w:numFmt w:val="lowerLetter"/>
      <w:lvlText w:val="%5."/>
      <w:lvlJc w:val="left"/>
      <w:pPr>
        <w:ind w:left="4736" w:hanging="360"/>
      </w:pPr>
    </w:lvl>
    <w:lvl w:ilvl="5" w:tplc="0407001B" w:tentative="1">
      <w:start w:val="1"/>
      <w:numFmt w:val="lowerRoman"/>
      <w:lvlText w:val="%6."/>
      <w:lvlJc w:val="right"/>
      <w:pPr>
        <w:ind w:left="5456" w:hanging="180"/>
      </w:pPr>
    </w:lvl>
    <w:lvl w:ilvl="6" w:tplc="0407000F" w:tentative="1">
      <w:start w:val="1"/>
      <w:numFmt w:val="decimal"/>
      <w:lvlText w:val="%7."/>
      <w:lvlJc w:val="left"/>
      <w:pPr>
        <w:ind w:left="6176" w:hanging="360"/>
      </w:pPr>
    </w:lvl>
    <w:lvl w:ilvl="7" w:tplc="04070019" w:tentative="1">
      <w:start w:val="1"/>
      <w:numFmt w:val="lowerLetter"/>
      <w:lvlText w:val="%8."/>
      <w:lvlJc w:val="left"/>
      <w:pPr>
        <w:ind w:left="6896" w:hanging="360"/>
      </w:pPr>
    </w:lvl>
    <w:lvl w:ilvl="8" w:tplc="0407001B" w:tentative="1">
      <w:start w:val="1"/>
      <w:numFmt w:val="lowerRoman"/>
      <w:lvlText w:val="%9."/>
      <w:lvlJc w:val="right"/>
      <w:pPr>
        <w:ind w:left="7616" w:hanging="180"/>
      </w:pPr>
    </w:lvl>
  </w:abstractNum>
  <w:abstractNum w:abstractNumId="10"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1" w15:restartNumberingAfterBreak="0">
    <w:nsid w:val="3A417C9A"/>
    <w:multiLevelType w:val="hybridMultilevel"/>
    <w:tmpl w:val="D602A82E"/>
    <w:lvl w:ilvl="0" w:tplc="08090001">
      <w:start w:val="1"/>
      <w:numFmt w:val="bullet"/>
      <w:lvlText w:val=""/>
      <w:lvlJc w:val="left"/>
      <w:pPr>
        <w:ind w:left="360" w:hanging="360"/>
      </w:pPr>
      <w:rPr>
        <w:rFonts w:ascii="Symbol" w:hAnsi="Symbol"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163F7A"/>
    <w:multiLevelType w:val="multilevel"/>
    <w:tmpl w:val="02CEEBD6"/>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46E6242A"/>
    <w:multiLevelType w:val="hybridMultilevel"/>
    <w:tmpl w:val="C9F08960"/>
    <w:lvl w:ilvl="0" w:tplc="A95E1A82">
      <w:start w:val="1"/>
      <w:numFmt w:val="decimal"/>
      <w:pStyle w:val="reference"/>
      <w:lvlText w:val="[%1]"/>
      <w:lvlJc w:val="left"/>
      <w:pPr>
        <w:tabs>
          <w:tab w:val="num" w:pos="397"/>
        </w:tabs>
        <w:ind w:left="397" w:hanging="397"/>
      </w:pPr>
      <w:rPr>
        <w:b w:val="0"/>
        <w:bCs w:val="0"/>
        <w:i w:val="0"/>
        <w:iCs w:val="0"/>
        <w:caps w:val="0"/>
        <w:smallCaps w:val="0"/>
        <w:strike w:val="0"/>
        <w:dstrike w:val="0"/>
        <w:noProof w:val="0"/>
        <w:vanish w:val="0"/>
        <w:color w:val="D2232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7" w15:restartNumberingAfterBreak="0">
    <w:nsid w:val="55B65DAD"/>
    <w:multiLevelType w:val="hybridMultilevel"/>
    <w:tmpl w:val="586482B4"/>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3FA49BE"/>
    <w:multiLevelType w:val="hybridMultilevel"/>
    <w:tmpl w:val="0B5412F6"/>
    <w:lvl w:ilvl="0" w:tplc="FFFFFFFF">
      <w:start w:val="1"/>
      <w:numFmt w:val="lowerLetter"/>
      <w:lvlText w:val="%1."/>
      <w:lvlJc w:val="left"/>
      <w:pPr>
        <w:ind w:left="360" w:hanging="360"/>
      </w:pPr>
      <w:rPr>
        <w:rFonts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5F801B9"/>
    <w:multiLevelType w:val="hybridMultilevel"/>
    <w:tmpl w:val="0B5412F6"/>
    <w:lvl w:ilvl="0" w:tplc="20000019">
      <w:start w:val="1"/>
      <w:numFmt w:val="lowerLetter"/>
      <w:lvlText w:val="%1."/>
      <w:lvlJc w:val="left"/>
      <w:pPr>
        <w:ind w:left="360" w:hanging="360"/>
      </w:pPr>
      <w:rPr>
        <w:rFonts w:hint="default"/>
        <w:color w:val="D223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17940752">
    <w:abstractNumId w:val="4"/>
  </w:num>
  <w:num w:numId="2" w16cid:durableId="1280255382">
    <w:abstractNumId w:val="12"/>
  </w:num>
  <w:num w:numId="3" w16cid:durableId="1588924890">
    <w:abstractNumId w:val="20"/>
  </w:num>
  <w:num w:numId="4" w16cid:durableId="899363382">
    <w:abstractNumId w:val="15"/>
  </w:num>
  <w:num w:numId="5" w16cid:durableId="1429737022">
    <w:abstractNumId w:val="14"/>
  </w:num>
  <w:num w:numId="6" w16cid:durableId="1488784224">
    <w:abstractNumId w:val="5"/>
  </w:num>
  <w:num w:numId="7" w16cid:durableId="2099324178">
    <w:abstractNumId w:val="3"/>
  </w:num>
  <w:num w:numId="8" w16cid:durableId="194469260">
    <w:abstractNumId w:val="13"/>
  </w:num>
  <w:num w:numId="9" w16cid:durableId="630095545">
    <w:abstractNumId w:val="6"/>
  </w:num>
  <w:num w:numId="10" w16cid:durableId="896356117">
    <w:abstractNumId w:val="9"/>
  </w:num>
  <w:num w:numId="11" w16cid:durableId="1534079938">
    <w:abstractNumId w:val="2"/>
  </w:num>
  <w:num w:numId="12" w16cid:durableId="1804690018">
    <w:abstractNumId w:val="16"/>
  </w:num>
  <w:num w:numId="13" w16cid:durableId="1350447817">
    <w:abstractNumId w:val="10"/>
  </w:num>
  <w:num w:numId="14" w16cid:durableId="1331061092">
    <w:abstractNumId w:val="19"/>
  </w:num>
  <w:num w:numId="15" w16cid:durableId="1193497595">
    <w:abstractNumId w:val="18"/>
  </w:num>
  <w:num w:numId="16" w16cid:durableId="353969930">
    <w:abstractNumId w:val="7"/>
  </w:num>
  <w:num w:numId="17" w16cid:durableId="1072629767">
    <w:abstractNumId w:val="0"/>
  </w:num>
  <w:num w:numId="18" w16cid:durableId="524055801">
    <w:abstractNumId w:val="1"/>
  </w:num>
  <w:num w:numId="19" w16cid:durableId="2058897569">
    <w:abstractNumId w:val="17"/>
  </w:num>
  <w:num w:numId="20" w16cid:durableId="84570680">
    <w:abstractNumId w:val="8"/>
  </w:num>
  <w:num w:numId="21" w16cid:durableId="1841384849">
    <w:abstractNumId w:val="1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O">
    <w15:presenceInfo w15:providerId="None" w15:userId="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b0a696,#828282"/>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8F1"/>
    <w:rsid w:val="0000250A"/>
    <w:rsid w:val="00004BD3"/>
    <w:rsid w:val="0000673C"/>
    <w:rsid w:val="00006A9D"/>
    <w:rsid w:val="00010604"/>
    <w:rsid w:val="0001325C"/>
    <w:rsid w:val="00025CB4"/>
    <w:rsid w:val="000422FE"/>
    <w:rsid w:val="0007715D"/>
    <w:rsid w:val="00080AF2"/>
    <w:rsid w:val="00091EF8"/>
    <w:rsid w:val="000A3521"/>
    <w:rsid w:val="000A4AAC"/>
    <w:rsid w:val="000C30BC"/>
    <w:rsid w:val="000C6F12"/>
    <w:rsid w:val="000D5A3E"/>
    <w:rsid w:val="000D6752"/>
    <w:rsid w:val="000E2676"/>
    <w:rsid w:val="000E705C"/>
    <w:rsid w:val="000F14F0"/>
    <w:rsid w:val="000F3BA2"/>
    <w:rsid w:val="000F6CFC"/>
    <w:rsid w:val="000F6FC9"/>
    <w:rsid w:val="00100DE4"/>
    <w:rsid w:val="00111768"/>
    <w:rsid w:val="00113248"/>
    <w:rsid w:val="0011547E"/>
    <w:rsid w:val="0011728E"/>
    <w:rsid w:val="00122954"/>
    <w:rsid w:val="00141D45"/>
    <w:rsid w:val="00143BED"/>
    <w:rsid w:val="0015398F"/>
    <w:rsid w:val="001572A4"/>
    <w:rsid w:val="0016236B"/>
    <w:rsid w:val="00163D0F"/>
    <w:rsid w:val="00182E59"/>
    <w:rsid w:val="0018314E"/>
    <w:rsid w:val="001A5C2B"/>
    <w:rsid w:val="001D3FF6"/>
    <w:rsid w:val="0020516D"/>
    <w:rsid w:val="00211302"/>
    <w:rsid w:val="002137F0"/>
    <w:rsid w:val="00214273"/>
    <w:rsid w:val="002148BC"/>
    <w:rsid w:val="00216BE1"/>
    <w:rsid w:val="002209A7"/>
    <w:rsid w:val="00223AD1"/>
    <w:rsid w:val="00231B29"/>
    <w:rsid w:val="00235784"/>
    <w:rsid w:val="00236CD6"/>
    <w:rsid w:val="002379ED"/>
    <w:rsid w:val="00237A2A"/>
    <w:rsid w:val="002426D3"/>
    <w:rsid w:val="002478F1"/>
    <w:rsid w:val="00265877"/>
    <w:rsid w:val="00270DD1"/>
    <w:rsid w:val="00273C37"/>
    <w:rsid w:val="00275D90"/>
    <w:rsid w:val="00284768"/>
    <w:rsid w:val="00296730"/>
    <w:rsid w:val="002C1517"/>
    <w:rsid w:val="002D55F9"/>
    <w:rsid w:val="002E0F10"/>
    <w:rsid w:val="002F4ED7"/>
    <w:rsid w:val="002F63B1"/>
    <w:rsid w:val="0033451C"/>
    <w:rsid w:val="00340280"/>
    <w:rsid w:val="00351E5E"/>
    <w:rsid w:val="00351EA2"/>
    <w:rsid w:val="0037070F"/>
    <w:rsid w:val="0037172E"/>
    <w:rsid w:val="0038569F"/>
    <w:rsid w:val="00390883"/>
    <w:rsid w:val="00396EE0"/>
    <w:rsid w:val="003B0834"/>
    <w:rsid w:val="003C3EE4"/>
    <w:rsid w:val="003C4329"/>
    <w:rsid w:val="003C7512"/>
    <w:rsid w:val="003D4A9D"/>
    <w:rsid w:val="003E0414"/>
    <w:rsid w:val="003E1AD6"/>
    <w:rsid w:val="003F0265"/>
    <w:rsid w:val="003F1729"/>
    <w:rsid w:val="003F5972"/>
    <w:rsid w:val="003F76FA"/>
    <w:rsid w:val="00404E79"/>
    <w:rsid w:val="00405568"/>
    <w:rsid w:val="00415C77"/>
    <w:rsid w:val="004322CF"/>
    <w:rsid w:val="004453CF"/>
    <w:rsid w:val="0045632B"/>
    <w:rsid w:val="00457B9F"/>
    <w:rsid w:val="004602BD"/>
    <w:rsid w:val="00460942"/>
    <w:rsid w:val="0046339B"/>
    <w:rsid w:val="0046658E"/>
    <w:rsid w:val="00467770"/>
    <w:rsid w:val="00472C45"/>
    <w:rsid w:val="0048403A"/>
    <w:rsid w:val="004F1990"/>
    <w:rsid w:val="004F258B"/>
    <w:rsid w:val="00512677"/>
    <w:rsid w:val="0052443F"/>
    <w:rsid w:val="005342AA"/>
    <w:rsid w:val="00550DA5"/>
    <w:rsid w:val="005658A9"/>
    <w:rsid w:val="005723E3"/>
    <w:rsid w:val="005738EB"/>
    <w:rsid w:val="00583B3A"/>
    <w:rsid w:val="0058729D"/>
    <w:rsid w:val="0059034C"/>
    <w:rsid w:val="005A12B6"/>
    <w:rsid w:val="005B0294"/>
    <w:rsid w:val="005B2F4B"/>
    <w:rsid w:val="005B315C"/>
    <w:rsid w:val="005C2BB6"/>
    <w:rsid w:val="005C3DED"/>
    <w:rsid w:val="005C5022"/>
    <w:rsid w:val="005E2EDC"/>
    <w:rsid w:val="005E30F7"/>
    <w:rsid w:val="005E4512"/>
    <w:rsid w:val="006070D8"/>
    <w:rsid w:val="00611BCC"/>
    <w:rsid w:val="00613925"/>
    <w:rsid w:val="00621BCE"/>
    <w:rsid w:val="0063200B"/>
    <w:rsid w:val="00642F45"/>
    <w:rsid w:val="00643C6C"/>
    <w:rsid w:val="00656111"/>
    <w:rsid w:val="00657D99"/>
    <w:rsid w:val="0066071E"/>
    <w:rsid w:val="006741C2"/>
    <w:rsid w:val="006840B4"/>
    <w:rsid w:val="006869DF"/>
    <w:rsid w:val="00690B73"/>
    <w:rsid w:val="0069138A"/>
    <w:rsid w:val="00696FA0"/>
    <w:rsid w:val="00697947"/>
    <w:rsid w:val="006A2208"/>
    <w:rsid w:val="006A6E10"/>
    <w:rsid w:val="006D0D17"/>
    <w:rsid w:val="006E6DA9"/>
    <w:rsid w:val="006F4CF0"/>
    <w:rsid w:val="006F5883"/>
    <w:rsid w:val="00704592"/>
    <w:rsid w:val="00707B40"/>
    <w:rsid w:val="00717A28"/>
    <w:rsid w:val="00726B70"/>
    <w:rsid w:val="007300DD"/>
    <w:rsid w:val="00735F4C"/>
    <w:rsid w:val="00737D5F"/>
    <w:rsid w:val="00744690"/>
    <w:rsid w:val="00754742"/>
    <w:rsid w:val="007623D9"/>
    <w:rsid w:val="00766E2A"/>
    <w:rsid w:val="007729C7"/>
    <w:rsid w:val="00785F5B"/>
    <w:rsid w:val="007A4EA5"/>
    <w:rsid w:val="007C08F5"/>
    <w:rsid w:val="007C099D"/>
    <w:rsid w:val="007D1EF7"/>
    <w:rsid w:val="007D3AC1"/>
    <w:rsid w:val="00802575"/>
    <w:rsid w:val="00810EB4"/>
    <w:rsid w:val="00814B45"/>
    <w:rsid w:val="00826FDB"/>
    <w:rsid w:val="008372D2"/>
    <w:rsid w:val="00853EA5"/>
    <w:rsid w:val="00860A3A"/>
    <w:rsid w:val="008657D5"/>
    <w:rsid w:val="00866903"/>
    <w:rsid w:val="008776DA"/>
    <w:rsid w:val="00880D21"/>
    <w:rsid w:val="00885BCB"/>
    <w:rsid w:val="008923E1"/>
    <w:rsid w:val="008927BC"/>
    <w:rsid w:val="00896F5D"/>
    <w:rsid w:val="008B1DC8"/>
    <w:rsid w:val="008D11DC"/>
    <w:rsid w:val="008D5227"/>
    <w:rsid w:val="008D791D"/>
    <w:rsid w:val="008E541B"/>
    <w:rsid w:val="008F0ED8"/>
    <w:rsid w:val="008F64AD"/>
    <w:rsid w:val="00902117"/>
    <w:rsid w:val="00903A51"/>
    <w:rsid w:val="00903D26"/>
    <w:rsid w:val="00906344"/>
    <w:rsid w:val="00907CEA"/>
    <w:rsid w:val="00934BED"/>
    <w:rsid w:val="0094573B"/>
    <w:rsid w:val="00953814"/>
    <w:rsid w:val="00974D7F"/>
    <w:rsid w:val="0098046D"/>
    <w:rsid w:val="009B3F82"/>
    <w:rsid w:val="009B65DD"/>
    <w:rsid w:val="009C1D4B"/>
    <w:rsid w:val="009C7793"/>
    <w:rsid w:val="009D3D6D"/>
    <w:rsid w:val="009D4F67"/>
    <w:rsid w:val="009D5DED"/>
    <w:rsid w:val="009D7DAF"/>
    <w:rsid w:val="009F35E1"/>
    <w:rsid w:val="009F62D3"/>
    <w:rsid w:val="00A10B0F"/>
    <w:rsid w:val="00A13F8F"/>
    <w:rsid w:val="00A21915"/>
    <w:rsid w:val="00A40723"/>
    <w:rsid w:val="00A4491C"/>
    <w:rsid w:val="00A465F7"/>
    <w:rsid w:val="00A51F89"/>
    <w:rsid w:val="00A6351A"/>
    <w:rsid w:val="00A674BB"/>
    <w:rsid w:val="00A72048"/>
    <w:rsid w:val="00A7793C"/>
    <w:rsid w:val="00A86B15"/>
    <w:rsid w:val="00A87880"/>
    <w:rsid w:val="00A902D3"/>
    <w:rsid w:val="00A925B1"/>
    <w:rsid w:val="00A93122"/>
    <w:rsid w:val="00AA098E"/>
    <w:rsid w:val="00AA2749"/>
    <w:rsid w:val="00AB46DF"/>
    <w:rsid w:val="00AB53F3"/>
    <w:rsid w:val="00AC12D3"/>
    <w:rsid w:val="00AC48DE"/>
    <w:rsid w:val="00AD0BE2"/>
    <w:rsid w:val="00AE7596"/>
    <w:rsid w:val="00AF6411"/>
    <w:rsid w:val="00B064AA"/>
    <w:rsid w:val="00B10A11"/>
    <w:rsid w:val="00B24535"/>
    <w:rsid w:val="00B33F06"/>
    <w:rsid w:val="00B35883"/>
    <w:rsid w:val="00B35A92"/>
    <w:rsid w:val="00B35E1E"/>
    <w:rsid w:val="00B40457"/>
    <w:rsid w:val="00B44932"/>
    <w:rsid w:val="00B5307A"/>
    <w:rsid w:val="00B865B5"/>
    <w:rsid w:val="00B93185"/>
    <w:rsid w:val="00B9379F"/>
    <w:rsid w:val="00B94DC1"/>
    <w:rsid w:val="00BA1E36"/>
    <w:rsid w:val="00BA50CB"/>
    <w:rsid w:val="00BC0822"/>
    <w:rsid w:val="00BC0AF1"/>
    <w:rsid w:val="00BC1930"/>
    <w:rsid w:val="00BC5039"/>
    <w:rsid w:val="00BC73E1"/>
    <w:rsid w:val="00BE620A"/>
    <w:rsid w:val="00C079CF"/>
    <w:rsid w:val="00C11F90"/>
    <w:rsid w:val="00C240D3"/>
    <w:rsid w:val="00C340D6"/>
    <w:rsid w:val="00C52ED1"/>
    <w:rsid w:val="00C66630"/>
    <w:rsid w:val="00C81566"/>
    <w:rsid w:val="00CA050A"/>
    <w:rsid w:val="00CB04DE"/>
    <w:rsid w:val="00CB547C"/>
    <w:rsid w:val="00CD402F"/>
    <w:rsid w:val="00CD6677"/>
    <w:rsid w:val="00CE6518"/>
    <w:rsid w:val="00D00C3B"/>
    <w:rsid w:val="00D04198"/>
    <w:rsid w:val="00D20E3B"/>
    <w:rsid w:val="00D26CC9"/>
    <w:rsid w:val="00D33632"/>
    <w:rsid w:val="00D400D5"/>
    <w:rsid w:val="00D41187"/>
    <w:rsid w:val="00D45CD5"/>
    <w:rsid w:val="00D54347"/>
    <w:rsid w:val="00D67D96"/>
    <w:rsid w:val="00D72F76"/>
    <w:rsid w:val="00D76E8F"/>
    <w:rsid w:val="00D85B82"/>
    <w:rsid w:val="00D870AE"/>
    <w:rsid w:val="00DA25CF"/>
    <w:rsid w:val="00DA3D83"/>
    <w:rsid w:val="00DA6AA9"/>
    <w:rsid w:val="00DB0551"/>
    <w:rsid w:val="00DB0CCF"/>
    <w:rsid w:val="00DB1262"/>
    <w:rsid w:val="00DC77B0"/>
    <w:rsid w:val="00E07839"/>
    <w:rsid w:val="00E10971"/>
    <w:rsid w:val="00E1474E"/>
    <w:rsid w:val="00E17B1E"/>
    <w:rsid w:val="00E2762B"/>
    <w:rsid w:val="00E32DD0"/>
    <w:rsid w:val="00E52041"/>
    <w:rsid w:val="00E6362F"/>
    <w:rsid w:val="00E85EF2"/>
    <w:rsid w:val="00E97BBF"/>
    <w:rsid w:val="00EA0FFA"/>
    <w:rsid w:val="00EA39A4"/>
    <w:rsid w:val="00EB61B0"/>
    <w:rsid w:val="00ED080F"/>
    <w:rsid w:val="00EE206A"/>
    <w:rsid w:val="00EE4259"/>
    <w:rsid w:val="00EE6086"/>
    <w:rsid w:val="00EF5EC5"/>
    <w:rsid w:val="00EF7964"/>
    <w:rsid w:val="00EF7C39"/>
    <w:rsid w:val="00F0076F"/>
    <w:rsid w:val="00F05BA5"/>
    <w:rsid w:val="00F0623F"/>
    <w:rsid w:val="00F21E94"/>
    <w:rsid w:val="00F328AB"/>
    <w:rsid w:val="00F4239C"/>
    <w:rsid w:val="00F42996"/>
    <w:rsid w:val="00F440D8"/>
    <w:rsid w:val="00F5375E"/>
    <w:rsid w:val="00F547BE"/>
    <w:rsid w:val="00F60FD2"/>
    <w:rsid w:val="00F728A2"/>
    <w:rsid w:val="00F80244"/>
    <w:rsid w:val="00F83285"/>
    <w:rsid w:val="00F83666"/>
    <w:rsid w:val="00F91A95"/>
    <w:rsid w:val="00F97512"/>
    <w:rsid w:val="00FA061F"/>
    <w:rsid w:val="00FB7767"/>
    <w:rsid w:val="00FC326E"/>
    <w:rsid w:val="00FC601B"/>
    <w:rsid w:val="00FD7F48"/>
    <w:rsid w:val="00FE3CED"/>
    <w:rsid w:val="7D98089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828282"/>
    </o:shapedefaults>
    <o:shapelayout v:ext="edit">
      <o:idmap v:ext="edit" data="2"/>
    </o:shapelayout>
  </w:shapeDefaults>
  <w:decimalSymbol w:val=","/>
  <w:listSeparator w:val=","/>
  <w14:docId w14:val="594DD0F4"/>
  <w15:docId w15:val="{6CF08A09-3A3D-4424-9DB4-2EE44497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qFormat/>
    <w:rsid w:val="00D20E3B"/>
    <w:pPr>
      <w:keepNext/>
      <w:pageBreakBefore/>
      <w:numPr>
        <w:numId w:val="2"/>
      </w:numPr>
      <w:spacing w:before="6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20E3B"/>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D20E3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D20E3B"/>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D20E3B"/>
    <w:pPr>
      <w:numPr>
        <w:ilvl w:val="4"/>
        <w:numId w:val="2"/>
      </w:numPr>
      <w:spacing w:before="240" w:after="60"/>
      <w:outlineLvl w:val="4"/>
    </w:pPr>
    <w:rPr>
      <w:b/>
      <w:bCs/>
      <w:i/>
      <w:iCs/>
      <w:sz w:val="26"/>
      <w:szCs w:val="26"/>
    </w:rPr>
  </w:style>
  <w:style w:type="paragraph" w:styleId="Heading6">
    <w:name w:val="heading 6"/>
    <w:basedOn w:val="Normal"/>
    <w:next w:val="Normal"/>
    <w:qFormat/>
    <w:rsid w:val="00D20E3B"/>
    <w:pPr>
      <w:numPr>
        <w:ilvl w:val="5"/>
        <w:numId w:val="2"/>
      </w:numPr>
      <w:spacing w:before="240" w:after="60"/>
      <w:outlineLvl w:val="5"/>
    </w:pPr>
    <w:rPr>
      <w:b/>
      <w:bCs/>
      <w:sz w:val="22"/>
      <w:szCs w:val="22"/>
    </w:rPr>
  </w:style>
  <w:style w:type="paragraph" w:styleId="Heading7">
    <w:name w:val="heading 7"/>
    <w:basedOn w:val="Normal"/>
    <w:next w:val="Normal"/>
    <w:qFormat/>
    <w:rsid w:val="00D20E3B"/>
    <w:pPr>
      <w:numPr>
        <w:ilvl w:val="6"/>
        <w:numId w:val="2"/>
      </w:numPr>
      <w:spacing w:before="240" w:after="60"/>
      <w:outlineLvl w:val="6"/>
    </w:pPr>
    <w:rPr>
      <w:sz w:val="24"/>
    </w:rPr>
  </w:style>
  <w:style w:type="paragraph" w:styleId="Heading8">
    <w:name w:val="heading 8"/>
    <w:basedOn w:val="Normal"/>
    <w:next w:val="Normal"/>
    <w:qFormat/>
    <w:rsid w:val="00D20E3B"/>
    <w:pPr>
      <w:numPr>
        <w:ilvl w:val="7"/>
        <w:numId w:val="2"/>
      </w:numPr>
      <w:spacing w:before="240" w:after="60"/>
      <w:outlineLvl w:val="7"/>
    </w:pPr>
    <w:rPr>
      <w:i/>
      <w:iCs/>
      <w:sz w:val="24"/>
    </w:rPr>
  </w:style>
  <w:style w:type="paragraph" w:styleId="Heading9">
    <w:name w:val="heading 9"/>
    <w:basedOn w:val="Normal"/>
    <w:next w:val="Normal"/>
    <w:qFormat/>
    <w:rsid w:val="00D20E3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qFormat/>
    <w:rsid w:val="0016236B"/>
    <w:pPr>
      <w:spacing w:before="240" w:after="60"/>
      <w:jc w:val="both"/>
    </w:pPr>
    <w:rPr>
      <w:lang w:val="en-GB"/>
    </w:r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qFormat/>
    <w:rsid w:val="002209A7"/>
    <w:pPr>
      <w:numPr>
        <w:numId w:val="6"/>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aliases w:val="ECC Hyperlink,CEO_Hyperlink,超级链接"/>
    <w:basedOn w:val="DefaultParagraphFont"/>
    <w:uiPriority w:val="99"/>
    <w:qFormat/>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AA2749"/>
    <w:pPr>
      <w:ind w:left="454" w:hanging="454"/>
    </w:pPr>
    <w:rPr>
      <w:sz w:val="16"/>
    </w:rPr>
  </w:style>
  <w:style w:type="paragraph" w:styleId="FootnoteText">
    <w:name w:val="footnote text"/>
    <w:aliases w:val="footnote text,ALTS FOOTNOTE,Footnote Text Char1,Footnote Text Char Char1,Footnote Text Char4 Char Char,Footnote Text Char1 Char1 Char1 Char,Footnote Text Char Char1 Char1 Char Char"/>
    <w:basedOn w:val="Normal"/>
    <w:link w:val="FootnoteTextChar"/>
    <w:uiPriority w:val="99"/>
    <w:qFormat/>
    <w:rsid w:val="008935B9"/>
    <w:rPr>
      <w:szCs w:val="20"/>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Style 12,fr"/>
    <w:basedOn w:val="DefaultParagraphFont"/>
    <w:uiPriority w:val="99"/>
    <w:qForma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A10B0F"/>
    <w:pPr>
      <w:spacing w:after="0"/>
      <w:ind w:left="567" w:hanging="567"/>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customStyle="1" w:styleId="Default">
    <w:name w:val="Default"/>
    <w:rsid w:val="00080D86"/>
    <w:pPr>
      <w:autoSpaceDE w:val="0"/>
      <w:autoSpaceDN w:val="0"/>
      <w:adjustRightInd w:val="0"/>
    </w:pPr>
    <w:rPr>
      <w:color w:val="000000"/>
      <w:sz w:val="24"/>
      <w:szCs w:val="24"/>
      <w:lang w:val="en-US"/>
    </w:rPr>
  </w:style>
  <w:style w:type="numbering" w:customStyle="1" w:styleId="ECCBullets">
    <w:name w:val="ECC Bullets"/>
    <w:basedOn w:val="NoList"/>
    <w:rsid w:val="003C3EE4"/>
    <w:pPr>
      <w:numPr>
        <w:numId w:val="7"/>
      </w:numPr>
    </w:pPr>
  </w:style>
  <w:style w:type="paragraph" w:customStyle="1" w:styleId="ECCNumbered-LetteredList">
    <w:name w:val="ECC Numbered-Lettered List"/>
    <w:basedOn w:val="Normal"/>
    <w:qFormat/>
    <w:rsid w:val="00D20E3B"/>
    <w:pPr>
      <w:numPr>
        <w:numId w:val="9"/>
      </w:numPr>
    </w:pPr>
  </w:style>
  <w:style w:type="paragraph" w:customStyle="1" w:styleId="ECCNumberedBullets">
    <w:name w:val="ECC Numbered Bullets"/>
    <w:basedOn w:val="Normal"/>
    <w:rsid w:val="00D20E3B"/>
    <w:pPr>
      <w:numPr>
        <w:numId w:val="8"/>
      </w:numPr>
    </w:pPr>
  </w:style>
  <w:style w:type="paragraph" w:styleId="BalloonText">
    <w:name w:val="Balloon Text"/>
    <w:basedOn w:val="Normal"/>
    <w:link w:val="BalloonTextChar"/>
    <w:uiPriority w:val="99"/>
    <w:semiHidden/>
    <w:unhideWhenUsed/>
    <w:rsid w:val="00D20E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E3B"/>
    <w:rPr>
      <w:rFonts w:ascii="Lucida Grande" w:hAnsi="Lucida Grande" w:cs="Lucida Grande"/>
      <w:sz w:val="18"/>
      <w:szCs w:val="18"/>
      <w:lang w:val="en-US"/>
    </w:rPr>
  </w:style>
  <w:style w:type="numbering" w:customStyle="1" w:styleId="ECCNumbers-Bullets">
    <w:name w:val="ECC Numbers-Bullets"/>
    <w:uiPriority w:val="99"/>
    <w:rsid w:val="00D20E3B"/>
    <w:pPr>
      <w:numPr>
        <w:numId w:val="8"/>
      </w:numPr>
    </w:pPr>
  </w:style>
  <w:style w:type="numbering" w:customStyle="1" w:styleId="ECCNumbers-Letters">
    <w:name w:val="ECC Numbers-Letters"/>
    <w:uiPriority w:val="99"/>
    <w:rsid w:val="00D20E3B"/>
    <w:pPr>
      <w:numPr>
        <w:numId w:val="9"/>
      </w:numPr>
    </w:pPr>
  </w:style>
  <w:style w:type="paragraph" w:customStyle="1" w:styleId="ECCEditorsNote">
    <w:name w:val="ECC Editor's Note"/>
    <w:next w:val="Normal"/>
    <w:qFormat/>
    <w:rsid w:val="000F6CFC"/>
    <w:pPr>
      <w:numPr>
        <w:numId w:val="10"/>
      </w:numPr>
      <w:shd w:val="solid" w:color="FFFF00" w:fill="auto"/>
      <w:spacing w:before="120" w:after="120" w:line="360" w:lineRule="auto"/>
      <w:jc w:val="both"/>
    </w:pPr>
    <w:rPr>
      <w:rFonts w:ascii="Arial" w:eastAsia="Calibri" w:hAnsi="Arial"/>
      <w:szCs w:val="22"/>
      <w:lang w:val="da-DK" w:eastAsia="de-DE"/>
    </w:rPr>
  </w:style>
  <w:style w:type="character" w:customStyle="1" w:styleId="ECCHLbold">
    <w:name w:val="ECC HL bold"/>
    <w:uiPriority w:val="1"/>
    <w:qFormat/>
    <w:rsid w:val="000F6CFC"/>
    <w:rPr>
      <w:b/>
      <w:bCs w:val="0"/>
    </w:rPr>
  </w:style>
  <w:style w:type="character" w:styleId="CommentReference">
    <w:name w:val="annotation reference"/>
    <w:basedOn w:val="DefaultParagraphFont"/>
    <w:uiPriority w:val="99"/>
    <w:semiHidden/>
    <w:unhideWhenUsed/>
    <w:rsid w:val="00E10971"/>
    <w:rPr>
      <w:sz w:val="16"/>
      <w:szCs w:val="16"/>
    </w:rPr>
  </w:style>
  <w:style w:type="paragraph" w:styleId="CommentText">
    <w:name w:val="annotation text"/>
    <w:basedOn w:val="Normal"/>
    <w:link w:val="CommentTextChar"/>
    <w:uiPriority w:val="99"/>
    <w:unhideWhenUsed/>
    <w:rsid w:val="00E10971"/>
    <w:rPr>
      <w:szCs w:val="20"/>
    </w:rPr>
  </w:style>
  <w:style w:type="character" w:customStyle="1" w:styleId="CommentTextChar">
    <w:name w:val="Comment Text Char"/>
    <w:basedOn w:val="DefaultParagraphFont"/>
    <w:link w:val="CommentText"/>
    <w:uiPriority w:val="99"/>
    <w:rsid w:val="00E10971"/>
    <w:rPr>
      <w:rFonts w:ascii="Arial" w:hAnsi="Arial"/>
      <w:lang w:val="en-US"/>
    </w:rPr>
  </w:style>
  <w:style w:type="paragraph" w:styleId="CommentSubject">
    <w:name w:val="annotation subject"/>
    <w:basedOn w:val="CommentText"/>
    <w:next w:val="CommentText"/>
    <w:link w:val="CommentSubjectChar"/>
    <w:uiPriority w:val="99"/>
    <w:semiHidden/>
    <w:unhideWhenUsed/>
    <w:rsid w:val="00E10971"/>
    <w:rPr>
      <w:b/>
      <w:bCs/>
    </w:rPr>
  </w:style>
  <w:style w:type="character" w:customStyle="1" w:styleId="CommentSubjectChar">
    <w:name w:val="Comment Subject Char"/>
    <w:basedOn w:val="CommentTextChar"/>
    <w:link w:val="CommentSubject"/>
    <w:uiPriority w:val="99"/>
    <w:semiHidden/>
    <w:rsid w:val="00E10971"/>
    <w:rPr>
      <w:rFonts w:ascii="Arial" w:hAnsi="Arial"/>
      <w:b/>
      <w:bCs/>
      <w:lang w:val="en-US"/>
    </w:rPr>
  </w:style>
  <w:style w:type="paragraph" w:styleId="BodyText">
    <w:name w:val="Body Text"/>
    <w:basedOn w:val="Normal"/>
    <w:link w:val="BodyTextChar"/>
    <w:uiPriority w:val="1"/>
    <w:qFormat/>
    <w:rsid w:val="00B865B5"/>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uiPriority w:val="1"/>
    <w:rsid w:val="00B865B5"/>
    <w:rPr>
      <w:sz w:val="24"/>
      <w:szCs w:val="24"/>
      <w:lang w:eastAsia="nl-NL"/>
    </w:rPr>
  </w:style>
  <w:style w:type="paragraph" w:customStyle="1" w:styleId="ECCHLboldanditalics">
    <w:name w:val="ECC HL bold and italics"/>
    <w:basedOn w:val="Normal"/>
    <w:qFormat/>
    <w:rsid w:val="00B865B5"/>
    <w:pPr>
      <w:spacing w:before="240" w:after="60"/>
      <w:jc w:val="both"/>
    </w:pPr>
    <w:rPr>
      <w:rFonts w:eastAsia="Calibri"/>
      <w:b/>
      <w:bCs/>
      <w:i/>
      <w:szCs w:val="30"/>
      <w:lang w:val="en-GB"/>
    </w:rPr>
  </w:style>
  <w:style w:type="paragraph" w:customStyle="1" w:styleId="ECCBulletsLv1">
    <w:name w:val="ECC Bullets Lv1"/>
    <w:basedOn w:val="Normal"/>
    <w:qFormat/>
    <w:rsid w:val="00DC77B0"/>
    <w:pPr>
      <w:numPr>
        <w:numId w:val="11"/>
      </w:numPr>
      <w:tabs>
        <w:tab w:val="left" w:pos="340"/>
      </w:tabs>
      <w:spacing w:before="60"/>
      <w:ind w:left="340" w:hanging="340"/>
      <w:jc w:val="both"/>
    </w:pPr>
    <w:rPr>
      <w:rFonts w:eastAsia="Calibri"/>
      <w:szCs w:val="22"/>
      <w:lang w:val="en-GB"/>
    </w:rPr>
  </w:style>
  <w:style w:type="paragraph" w:styleId="Caption">
    <w:name w:val="caption"/>
    <w:aliases w:val="ECC Figure Caption,ECC Caption,Caption Char1 Char,Caption Char Char Char,cap Char Char Char,cap Char,cap,Ca,Figure Lable,cap1,cap2,cap11,cap Char Char1,Caption Char Char1 Char,cap Char2 Char,RptCaption,Caption Char Cha"/>
    <w:next w:val="Normal"/>
    <w:link w:val="CaptionChar"/>
    <w:uiPriority w:val="35"/>
    <w:qFormat/>
    <w:rsid w:val="00DC77B0"/>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link w:val="ECCBulletsLv2Zchn"/>
    <w:qFormat/>
    <w:rsid w:val="00DC77B0"/>
    <w:pPr>
      <w:tabs>
        <w:tab w:val="clear" w:pos="340"/>
        <w:tab w:val="left" w:pos="680"/>
      </w:tabs>
      <w:ind w:left="680"/>
    </w:pPr>
  </w:style>
  <w:style w:type="paragraph" w:customStyle="1" w:styleId="ECCBulletsLv3">
    <w:name w:val="ECC Bullets Lv3"/>
    <w:basedOn w:val="ECCBulletsLv1"/>
    <w:rsid w:val="00DC77B0"/>
    <w:pPr>
      <w:tabs>
        <w:tab w:val="clear" w:pos="340"/>
        <w:tab w:val="left" w:pos="1021"/>
      </w:tabs>
      <w:ind w:left="1020"/>
    </w:pPr>
  </w:style>
  <w:style w:type="paragraph" w:customStyle="1" w:styleId="ECCLetteredList">
    <w:name w:val="ECC Lettered List"/>
    <w:qFormat/>
    <w:rsid w:val="00DC77B0"/>
    <w:pPr>
      <w:numPr>
        <w:numId w:val="12"/>
      </w:numPr>
      <w:spacing w:before="240"/>
      <w:jc w:val="both"/>
    </w:pPr>
    <w:rPr>
      <w:rFonts w:ascii="Arial" w:hAnsi="Arial"/>
    </w:rPr>
  </w:style>
  <w:style w:type="paragraph" w:customStyle="1" w:styleId="ECCNumberedList0">
    <w:name w:val="ECC Numbered List"/>
    <w:basedOn w:val="Normal"/>
    <w:qFormat/>
    <w:rsid w:val="00DC77B0"/>
    <w:pPr>
      <w:numPr>
        <w:numId w:val="13"/>
      </w:numPr>
      <w:spacing w:before="240"/>
      <w:jc w:val="both"/>
    </w:pPr>
    <w:rPr>
      <w:rFonts w:eastAsia="Calibri"/>
      <w:szCs w:val="20"/>
      <w:lang w:val="en-GB"/>
    </w:rPr>
  </w:style>
  <w:style w:type="paragraph" w:customStyle="1" w:styleId="ECCReference">
    <w:name w:val="ECC Reference"/>
    <w:basedOn w:val="Normal"/>
    <w:qFormat/>
    <w:rsid w:val="00DC77B0"/>
    <w:pPr>
      <w:tabs>
        <w:tab w:val="num" w:pos="397"/>
      </w:tabs>
      <w:spacing w:after="120"/>
      <w:ind w:left="397" w:hanging="397"/>
      <w:jc w:val="both"/>
    </w:pPr>
    <w:rPr>
      <w:rFonts w:eastAsia="Calibri"/>
      <w:szCs w:val="22"/>
      <w:lang w:val="en-GB" w:eastAsia="ja-JP"/>
    </w:rPr>
  </w:style>
  <w:style w:type="paragraph" w:customStyle="1" w:styleId="ECCFiguregraphcentred">
    <w:name w:val="ECC Figure/graph centred"/>
    <w:next w:val="Normal"/>
    <w:qFormat/>
    <w:rsid w:val="00DC77B0"/>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754742"/>
    <w:pPr>
      <w:keepNext/>
      <w:spacing w:before="120" w:after="120"/>
      <w:jc w:val="center"/>
    </w:pPr>
    <w:rPr>
      <w:rFonts w:ascii="Arial" w:eastAsia="Calibri" w:hAnsi="Arial"/>
      <w:bCs/>
      <w:color w:val="FFFFFF" w:themeColor="background1"/>
      <w:lang w:eastAsia="de-DE"/>
    </w:rPr>
  </w:style>
  <w:style w:type="paragraph" w:customStyle="1" w:styleId="ECCTabletext">
    <w:name w:val="ECC Table text"/>
    <w:basedOn w:val="Normal"/>
    <w:qFormat/>
    <w:rsid w:val="00DC77B0"/>
    <w:pPr>
      <w:keepNext/>
      <w:spacing w:after="60"/>
    </w:pPr>
    <w:rPr>
      <w:rFonts w:eastAsia="Calibri"/>
      <w:szCs w:val="22"/>
      <w:lang w:val="en-GB"/>
    </w:rPr>
  </w:style>
  <w:style w:type="paragraph" w:styleId="ListParagraph">
    <w:name w:val="List Paragraph"/>
    <w:basedOn w:val="Normal"/>
    <w:uiPriority w:val="34"/>
    <w:qFormat/>
    <w:rsid w:val="00DC77B0"/>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DC77B0"/>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DC77B0"/>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ECC Caption Char,Caption Char1 Char Char,Caption Char Char Char Char,cap Char Char Char Char,cap Char Char,cap Char1,Ca Char,Figure Lable Char,cap1 Char,cap2 Char,cap11 Char,cap Char Char1 Char,cap Char2 Char Char"/>
    <w:link w:val="Caption"/>
    <w:qFormat/>
    <w:rsid w:val="00DC77B0"/>
    <w:rPr>
      <w:rFonts w:ascii="Arial" w:hAnsi="Arial"/>
      <w:b/>
      <w:bCs/>
      <w:color w:val="D2232A"/>
      <w:lang w:val="da-DK"/>
    </w:rPr>
  </w:style>
  <w:style w:type="paragraph" w:styleId="NormalWeb">
    <w:name w:val="Normal (Web)"/>
    <w:basedOn w:val="Normal"/>
    <w:uiPriority w:val="99"/>
    <w:semiHidden/>
    <w:unhideWhenUsed/>
    <w:rsid w:val="00DC77B0"/>
    <w:pPr>
      <w:spacing w:before="240" w:after="60"/>
      <w:jc w:val="both"/>
    </w:pPr>
    <w:rPr>
      <w:rFonts w:ascii="Times New Roman" w:eastAsia="Calibri" w:hAnsi="Times New Roman"/>
      <w:sz w:val="24"/>
      <w:lang w:val="en-GB"/>
    </w:rPr>
  </w:style>
  <w:style w:type="paragraph" w:styleId="Subtitle">
    <w:name w:val="Subtitle"/>
    <w:basedOn w:val="Normal"/>
    <w:next w:val="Normal"/>
    <w:link w:val="SubtitleChar"/>
    <w:uiPriority w:val="11"/>
    <w:qFormat/>
    <w:rsid w:val="00DC77B0"/>
    <w:pPr>
      <w:numPr>
        <w:ilvl w:val="1"/>
      </w:numPr>
      <w:spacing w:before="240" w:after="160"/>
      <w:jc w:val="both"/>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DC77B0"/>
    <w:rPr>
      <w:rFonts w:asciiTheme="minorHAnsi" w:eastAsiaTheme="minorEastAsia" w:hAnsiTheme="minorHAnsi" w:cstheme="minorBidi"/>
      <w:color w:val="5A5A5A" w:themeColor="text1" w:themeTint="A5"/>
      <w:spacing w:val="15"/>
      <w:sz w:val="22"/>
      <w:szCs w:val="22"/>
    </w:rPr>
  </w:style>
  <w:style w:type="paragraph" w:customStyle="1" w:styleId="ECCNumberedlist">
    <w:name w:val="ECC Numbered list"/>
    <w:aliases w:val="level 2"/>
    <w:basedOn w:val="ECCAnnexheading3"/>
    <w:qFormat/>
    <w:rsid w:val="00DC77B0"/>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DC77B0"/>
    <w:pPr>
      <w:numPr>
        <w:ilvl w:val="1"/>
      </w:numPr>
    </w:pPr>
  </w:style>
  <w:style w:type="paragraph" w:customStyle="1" w:styleId="ECCLetteredListLevel2">
    <w:name w:val="ECC Lettered List Level 2"/>
    <w:basedOn w:val="ECCLetteredList"/>
    <w:qFormat/>
    <w:rsid w:val="00DC77B0"/>
    <w:pPr>
      <w:numPr>
        <w:ilvl w:val="1"/>
      </w:numPr>
    </w:pPr>
  </w:style>
  <w:style w:type="paragraph" w:styleId="Revision">
    <w:name w:val="Revision"/>
    <w:hidden/>
    <w:uiPriority w:val="99"/>
    <w:semiHidden/>
    <w:rsid w:val="00163D0F"/>
    <w:rPr>
      <w:rFonts w:ascii="Arial" w:hAnsi="Arial"/>
      <w:szCs w:val="24"/>
      <w:lang w:val="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uiPriority w:val="99"/>
    <w:qFormat/>
    <w:rsid w:val="00B064AA"/>
    <w:rPr>
      <w:rFonts w:ascii="Arial" w:hAnsi="Arial"/>
      <w:lang w:val="en-US"/>
    </w:rPr>
  </w:style>
  <w:style w:type="character" w:customStyle="1" w:styleId="ECCBulletsLv2Zchn">
    <w:name w:val="ECC Bullets Lv2 Zchn"/>
    <w:basedOn w:val="DefaultParagraphFont"/>
    <w:link w:val="ECCBulletsLv2"/>
    <w:rsid w:val="005C2BB6"/>
    <w:rPr>
      <w:rFonts w:ascii="Arial" w:eastAsia="Calibri" w:hAnsi="Arial"/>
      <w:szCs w:val="22"/>
    </w:rPr>
  </w:style>
  <w:style w:type="character" w:customStyle="1" w:styleId="Heading1Char">
    <w:name w:val="Heading 1 Char"/>
    <w:aliases w:val="ECC Heading 1 Char"/>
    <w:basedOn w:val="DefaultParagraphFont"/>
    <w:link w:val="Heading1"/>
    <w:rsid w:val="00EF7964"/>
    <w:rPr>
      <w:rFonts w:ascii="Arial" w:hAnsi="Arial" w:cs="Arial"/>
      <w:b/>
      <w:bCs/>
      <w:caps/>
      <w:color w:val="D2232A"/>
      <w:kern w:val="32"/>
      <w:szCs w:val="32"/>
    </w:rPr>
  </w:style>
  <w:style w:type="character" w:customStyle="1" w:styleId="ECCHLyellow">
    <w:name w:val="ECC HL yellow"/>
    <w:basedOn w:val="DefaultParagraphFont"/>
    <w:uiPriority w:val="1"/>
    <w:qFormat/>
    <w:rsid w:val="00D400D5"/>
    <w:rPr>
      <w:rFonts w:eastAsia="Calibri"/>
      <w:i w:val="0"/>
      <w:szCs w:val="22"/>
      <w:bdr w:val="none" w:sz="0" w:space="0" w:color="auto"/>
      <w:shd w:val="solid" w:color="FFFF00" w:fill="auto"/>
      <w:lang w:val="en-GB"/>
    </w:rPr>
  </w:style>
  <w:style w:type="paragraph" w:customStyle="1" w:styleId="TableParagraph">
    <w:name w:val="Table Paragraph"/>
    <w:basedOn w:val="Normal"/>
    <w:uiPriority w:val="1"/>
    <w:qFormat/>
    <w:rsid w:val="00C240D3"/>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E1AD6"/>
    <w:rPr>
      <w:color w:val="605E5C"/>
      <w:shd w:val="clear" w:color="auto" w:fill="E1DFDD"/>
    </w:rPr>
  </w:style>
  <w:style w:type="character" w:styleId="Mention">
    <w:name w:val="Mention"/>
    <w:basedOn w:val="DefaultParagraphFont"/>
    <w:uiPriority w:val="99"/>
    <w:unhideWhenUsed/>
    <w:rsid w:val="001623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9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cdb.cept.org/document/9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radio-spectrum-policy-group.ec.europa.eu/document/download/72e52901-fa1a-474a-9480-a222c5b36545_en?filename=RSPG25-020final-RSPG_Opinion_on_D2D_and_Single_Market_Issues.pdf" TargetMode="External"/><Relationship Id="rId1" Type="http://schemas.openxmlformats.org/officeDocument/2006/relationships/hyperlink" Target="https://radio-spectrum-policy-group.ec.europa.eu/document/download/d4e46670-313b-4bac-8d8d-760d92f4649b_en?filename=RSPG24-008final-RSPG_WP24_and_beyond_0.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documenttasks/documenttasks1.xml><?xml version="1.0" encoding="utf-8"?>
<t:Tasks xmlns:t="http://schemas.microsoft.com/office/tasks/2019/documenttasks" xmlns:oel="http://schemas.microsoft.com/office/2019/extlst">
  <t:Task id="{65FB4DF2-0D84-4D57-A700-9E8DA94277CB}">
    <t:Anchor>
      <t:Comment id="1225586492"/>
    </t:Anchor>
    <t:History>
      <t:Event id="{D0FEB84C-F3D1-4F3C-AC90-3B49CADDE2C3}" time="2026-06-25T06:54:20.812Z">
        <t:Attribution userId="S::anne-dorthe.hjelm.christensen@eco.cept.org::464d283a-775a-4da2-a229-cc49a8b2699a" userProvider="AD" userName="Anne-Dorthe Hjelm Christensen"/>
        <t:Anchor>
          <t:Comment id="1225586492"/>
        </t:Anchor>
        <t:Create/>
      </t:Event>
      <t:Event id="{8117188A-4AC0-4A1E-91A8-4CD6CE2B7C33}" time="2026-06-25T06:54:20.812Z">
        <t:Attribution userId="S::anne-dorthe.hjelm.christensen@eco.cept.org::464d283a-775a-4da2-a229-cc49a8b2699a" userProvider="AD" userName="Anne-Dorthe Hjelm Christensen"/>
        <t:Anchor>
          <t:Comment id="1225586492"/>
        </t:Anchor>
        <t:Assign userId="S::miia.mustonen@eco.cept.org::60f01795-6cef-4e56-9173-3179bd566223" userProvider="AD" userName="Miia Mustonen"/>
      </t:Event>
      <t:Event id="{C5503515-3A44-490A-A4C5-B6ACFC95423B}" time="2026-06-25T06:54:20.812Z">
        <t:Attribution userId="S::anne-dorthe.hjelm.christensen@eco.cept.org::464d283a-775a-4da2-a229-cc49a8b2699a" userProvider="AD" userName="Anne-Dorthe Hjelm Christensen"/>
        <t:Anchor>
          <t:Comment id="1225586492"/>
        </t:Anchor>
        <t:SetTitle title="@Miia Mustonen To start at d) or to restart at a)??"/>
      </t:Event>
      <t:Event id="{657FDA06-7990-462D-8BC5-09B9A7593464}" time="2026-06-25T07:41:10.443Z">
        <t:Attribution userId="S::miia.mustonen@eco.cept.org::60f01795-6cef-4e56-9173-3179bd566223" userProvider="AD" userName="Miia Muston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99761-BFD0-47BF-A255-41107F0FF253}">
  <ds:schemaRefs>
    <ds:schemaRef ds:uri="http://schemas.openxmlformats.org/officeDocument/2006/bibliography"/>
  </ds:schemaRefs>
</ds:datastoreItem>
</file>

<file path=docMetadata/LabelInfo.xml><?xml version="1.0" encoding="utf-8"?>
<clbl:labelList xmlns:clbl="http://schemas.microsoft.com/office/2020/mipLabelMetadata">
  <clbl:label id="{c377c913-9174-4e24-bb49-d479a9f5dee4}" enabled="1" method="Privileged" siteId="{ad83e65c-03f6-4cfd-b799-47a2fafd7bce}" removed="0"/>
</clbl:labelList>
</file>

<file path=docProps/app.xml><?xml version="1.0" encoding="utf-8"?>
<Properties xmlns="http://schemas.openxmlformats.org/officeDocument/2006/extended-properties" xmlns:vt="http://schemas.openxmlformats.org/officeDocument/2006/docPropsVTypes">
  <Template>Standard format - CEPT Report_June_2012</Template>
  <TotalTime>6</TotalTime>
  <Pages>23</Pages>
  <Words>5828</Words>
  <Characters>31300</Characters>
  <Application>Microsoft Office Word</Application>
  <DocSecurity>0</DocSecurity>
  <Lines>1117</Lines>
  <Paragraphs>589</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36539</CharactersWithSpaces>
  <SharedDoc>false</SharedDoc>
  <HLinks>
    <vt:vector size="114" baseType="variant">
      <vt:variant>
        <vt:i4>3473527</vt:i4>
      </vt:variant>
      <vt:variant>
        <vt:i4>165</vt:i4>
      </vt:variant>
      <vt:variant>
        <vt:i4>0</vt:i4>
      </vt:variant>
      <vt:variant>
        <vt:i4>5</vt:i4>
      </vt:variant>
      <vt:variant>
        <vt:lpwstr>https://docdb.cept.org/document/939</vt:lpwstr>
      </vt:variant>
      <vt:variant>
        <vt:lpwstr/>
      </vt:variant>
      <vt:variant>
        <vt:i4>4718619</vt:i4>
      </vt:variant>
      <vt:variant>
        <vt:i4>162</vt:i4>
      </vt:variant>
      <vt:variant>
        <vt:i4>0</vt:i4>
      </vt:variant>
      <vt:variant>
        <vt:i4>5</vt:i4>
      </vt:variant>
      <vt:variant>
        <vt:lpwstr>https://cept.org/documents/se-40/94610/se40-26-042a05_wi49_draft-ecc-report</vt:lpwstr>
      </vt:variant>
      <vt:variant>
        <vt:lpwstr/>
      </vt:variant>
      <vt:variant>
        <vt:i4>1507379</vt:i4>
      </vt:variant>
      <vt:variant>
        <vt:i4>56</vt:i4>
      </vt:variant>
      <vt:variant>
        <vt:i4>0</vt:i4>
      </vt:variant>
      <vt:variant>
        <vt:i4>5</vt:i4>
      </vt:variant>
      <vt:variant>
        <vt:lpwstr/>
      </vt:variant>
      <vt:variant>
        <vt:lpwstr>_Toc230360708</vt:lpwstr>
      </vt:variant>
      <vt:variant>
        <vt:i4>1507379</vt:i4>
      </vt:variant>
      <vt:variant>
        <vt:i4>50</vt:i4>
      </vt:variant>
      <vt:variant>
        <vt:i4>0</vt:i4>
      </vt:variant>
      <vt:variant>
        <vt:i4>5</vt:i4>
      </vt:variant>
      <vt:variant>
        <vt:lpwstr/>
      </vt:variant>
      <vt:variant>
        <vt:lpwstr>_Toc230360707</vt:lpwstr>
      </vt:variant>
      <vt:variant>
        <vt:i4>1507379</vt:i4>
      </vt:variant>
      <vt:variant>
        <vt:i4>44</vt:i4>
      </vt:variant>
      <vt:variant>
        <vt:i4>0</vt:i4>
      </vt:variant>
      <vt:variant>
        <vt:i4>5</vt:i4>
      </vt:variant>
      <vt:variant>
        <vt:lpwstr/>
      </vt:variant>
      <vt:variant>
        <vt:lpwstr>_Toc230360706</vt:lpwstr>
      </vt:variant>
      <vt:variant>
        <vt:i4>1507379</vt:i4>
      </vt:variant>
      <vt:variant>
        <vt:i4>38</vt:i4>
      </vt:variant>
      <vt:variant>
        <vt:i4>0</vt:i4>
      </vt:variant>
      <vt:variant>
        <vt:i4>5</vt:i4>
      </vt:variant>
      <vt:variant>
        <vt:lpwstr/>
      </vt:variant>
      <vt:variant>
        <vt:lpwstr>_Toc230360705</vt:lpwstr>
      </vt:variant>
      <vt:variant>
        <vt:i4>1507379</vt:i4>
      </vt:variant>
      <vt:variant>
        <vt:i4>32</vt:i4>
      </vt:variant>
      <vt:variant>
        <vt:i4>0</vt:i4>
      </vt:variant>
      <vt:variant>
        <vt:i4>5</vt:i4>
      </vt:variant>
      <vt:variant>
        <vt:lpwstr/>
      </vt:variant>
      <vt:variant>
        <vt:lpwstr>_Toc230360704</vt:lpwstr>
      </vt:variant>
      <vt:variant>
        <vt:i4>1507379</vt:i4>
      </vt:variant>
      <vt:variant>
        <vt:i4>26</vt:i4>
      </vt:variant>
      <vt:variant>
        <vt:i4>0</vt:i4>
      </vt:variant>
      <vt:variant>
        <vt:i4>5</vt:i4>
      </vt:variant>
      <vt:variant>
        <vt:lpwstr/>
      </vt:variant>
      <vt:variant>
        <vt:lpwstr>_Toc230360703</vt:lpwstr>
      </vt:variant>
      <vt:variant>
        <vt:i4>1507379</vt:i4>
      </vt:variant>
      <vt:variant>
        <vt:i4>20</vt:i4>
      </vt:variant>
      <vt:variant>
        <vt:i4>0</vt:i4>
      </vt:variant>
      <vt:variant>
        <vt:i4>5</vt:i4>
      </vt:variant>
      <vt:variant>
        <vt:lpwstr/>
      </vt:variant>
      <vt:variant>
        <vt:lpwstr>_Toc230360702</vt:lpwstr>
      </vt:variant>
      <vt:variant>
        <vt:i4>1507379</vt:i4>
      </vt:variant>
      <vt:variant>
        <vt:i4>14</vt:i4>
      </vt:variant>
      <vt:variant>
        <vt:i4>0</vt:i4>
      </vt:variant>
      <vt:variant>
        <vt:i4>5</vt:i4>
      </vt:variant>
      <vt:variant>
        <vt:lpwstr/>
      </vt:variant>
      <vt:variant>
        <vt:lpwstr>_Toc230360701</vt:lpwstr>
      </vt:variant>
      <vt:variant>
        <vt:i4>1507379</vt:i4>
      </vt:variant>
      <vt:variant>
        <vt:i4>8</vt:i4>
      </vt:variant>
      <vt:variant>
        <vt:i4>0</vt:i4>
      </vt:variant>
      <vt:variant>
        <vt:i4>5</vt:i4>
      </vt:variant>
      <vt:variant>
        <vt:lpwstr/>
      </vt:variant>
      <vt:variant>
        <vt:lpwstr>_Toc230360700</vt:lpwstr>
      </vt:variant>
      <vt:variant>
        <vt:i4>7077929</vt:i4>
      </vt:variant>
      <vt:variant>
        <vt:i4>3</vt:i4>
      </vt:variant>
      <vt:variant>
        <vt:i4>0</vt:i4>
      </vt:variant>
      <vt:variant>
        <vt:i4>5</vt:i4>
      </vt:variant>
      <vt:variant>
        <vt:lpwstr>https://radio-spectrum-policy-group.ec.europa.eu/document/download/72e52901-fa1a-474a-9480-a222c5b36545_en?filename=RSPG25-020final-RSPG_Opinion_on_D2D_and_Single_Market_Issues.pdf</vt:lpwstr>
      </vt:variant>
      <vt:variant>
        <vt:lpwstr/>
      </vt:variant>
      <vt:variant>
        <vt:i4>1245222</vt:i4>
      </vt:variant>
      <vt:variant>
        <vt:i4>0</vt:i4>
      </vt:variant>
      <vt:variant>
        <vt:i4>0</vt:i4>
      </vt:variant>
      <vt:variant>
        <vt:i4>5</vt:i4>
      </vt:variant>
      <vt:variant>
        <vt:lpwstr>https://radio-spectrum-policy-group.ec.europa.eu/document/download/d4e46670-313b-4bac-8d8d-760d92f4649b_en?filename=RSPG24-008final-RSPG_WP24_and_beyond_0.pdf</vt:lpwstr>
      </vt:variant>
      <vt:variant>
        <vt:lpwstr/>
      </vt:variant>
      <vt:variant>
        <vt:i4>196690</vt:i4>
      </vt:variant>
      <vt:variant>
        <vt:i4>15</vt:i4>
      </vt:variant>
      <vt:variant>
        <vt:i4>0</vt:i4>
      </vt:variant>
      <vt:variant>
        <vt:i4>5</vt:i4>
      </vt:variant>
      <vt:variant>
        <vt:lpwstr>https://digital-strategy.ec.europa.eu/en/library/radio-spectrum-cept-mandates</vt:lpwstr>
      </vt:variant>
      <vt:variant>
        <vt:lpwstr/>
      </vt:variant>
      <vt:variant>
        <vt:i4>786469</vt:i4>
      </vt:variant>
      <vt:variant>
        <vt:i4>12</vt:i4>
      </vt:variant>
      <vt:variant>
        <vt:i4>0</vt:i4>
      </vt:variant>
      <vt:variant>
        <vt:i4>5</vt:i4>
      </vt:variant>
      <vt:variant>
        <vt:lpwstr>mailto:miia.mustonen@eco.cept.org</vt:lpwstr>
      </vt:variant>
      <vt:variant>
        <vt:lpwstr/>
      </vt:variant>
      <vt:variant>
        <vt:i4>2359423</vt:i4>
      </vt:variant>
      <vt:variant>
        <vt:i4>9</vt:i4>
      </vt:variant>
      <vt:variant>
        <vt:i4>0</vt:i4>
      </vt:variant>
      <vt:variant>
        <vt:i4>5</vt:i4>
      </vt:variant>
      <vt:variant>
        <vt:lpwstr>https://cept.org/documents/ecc/91929/ecc-25-059_annex1_mandate-to-the-cept-on-d2d-imt-in-eu-harmonised-ecs-bands</vt:lpwstr>
      </vt:variant>
      <vt:variant>
        <vt:lpwstr/>
      </vt:variant>
      <vt:variant>
        <vt:i4>4915215</vt:i4>
      </vt:variant>
      <vt:variant>
        <vt:i4>6</vt:i4>
      </vt:variant>
      <vt:variant>
        <vt:i4>0</vt:i4>
      </vt:variant>
      <vt:variant>
        <vt:i4>5</vt:i4>
      </vt:variant>
      <vt:variant>
        <vt:lpwstr>https://ec.europa.eu/newsroom/dae/redirection/document/120970</vt:lpwstr>
      </vt:variant>
      <vt:variant>
        <vt:lpwstr/>
      </vt:variant>
      <vt:variant>
        <vt:i4>786469</vt:i4>
      </vt:variant>
      <vt:variant>
        <vt:i4>3</vt:i4>
      </vt:variant>
      <vt:variant>
        <vt:i4>0</vt:i4>
      </vt:variant>
      <vt:variant>
        <vt:i4>5</vt:i4>
      </vt:variant>
      <vt:variant>
        <vt:lpwstr>mailto:miia.mustonen@eco.cept.org</vt:lpwstr>
      </vt:variant>
      <vt:variant>
        <vt:lpwstr/>
      </vt:variant>
      <vt:variant>
        <vt:i4>786469</vt:i4>
      </vt:variant>
      <vt:variant>
        <vt:i4>0</vt:i4>
      </vt:variant>
      <vt:variant>
        <vt:i4>0</vt:i4>
      </vt:variant>
      <vt:variant>
        <vt:i4>5</vt:i4>
      </vt:variant>
      <vt:variant>
        <vt:lpwstr>mailto:miia.mustonen@eco.cept.org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CEPT Report 93</dc:title>
  <dc:subject/>
  <dc:creator>ECC</dc:creator>
  <cp:keywords>Draft CEPT Report 93</cp:keywords>
  <dc:description>This template is used as guidance to draft ECC Reports.</dc:description>
  <cp:lastModifiedBy>ECO</cp:lastModifiedBy>
  <cp:revision>9</cp:revision>
  <cp:lastPrinted>2011-06-07T09:43:00Z</cp:lastPrinted>
  <dcterms:created xsi:type="dcterms:W3CDTF">2026-06-26T10:43:00Z</dcterms:created>
  <dcterms:modified xsi:type="dcterms:W3CDTF">2026-06-29T09:29:00Z</dcterms:modified>
</cp:coreProperties>
</file>