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689C7" w14:textId="77777777" w:rsidR="006C03D0" w:rsidRPr="00A41902" w:rsidRDefault="006C03D0">
      <w:pPr>
        <w:rPr>
          <w:lang w:val="en-GB"/>
        </w:rPr>
      </w:pPr>
    </w:p>
    <w:p w14:paraId="7BB04CDD" w14:textId="77777777" w:rsidR="006C03D0" w:rsidRDefault="006C03D0" w:rsidP="006C03D0">
      <w:pPr>
        <w:jc w:val="center"/>
        <w:rPr>
          <w:lang w:val="en-GB"/>
        </w:rPr>
      </w:pPr>
    </w:p>
    <w:p w14:paraId="4E6E5A66" w14:textId="77777777" w:rsidR="00CC38A5" w:rsidRDefault="00CC38A5" w:rsidP="006C03D0">
      <w:pPr>
        <w:jc w:val="center"/>
        <w:rPr>
          <w:lang w:val="en-GB"/>
        </w:rPr>
      </w:pPr>
    </w:p>
    <w:p w14:paraId="4438A9AC" w14:textId="77777777" w:rsidR="00CC38A5" w:rsidRDefault="00CC38A5" w:rsidP="006C03D0">
      <w:pPr>
        <w:jc w:val="center"/>
        <w:rPr>
          <w:lang w:val="en-GB"/>
        </w:rPr>
      </w:pPr>
    </w:p>
    <w:p w14:paraId="2A606E83" w14:textId="77777777" w:rsidR="006952EC" w:rsidRDefault="006952EC" w:rsidP="006952EC">
      <w:pPr>
        <w:rPr>
          <w:rFonts w:ascii="Verdana" w:hAnsi="Verdana"/>
          <w:sz w:val="24"/>
          <w:szCs w:val="28"/>
        </w:rPr>
      </w:pPr>
    </w:p>
    <w:p w14:paraId="3AED192D" w14:textId="4745D4B8" w:rsidR="006952EC" w:rsidRPr="00C1215A" w:rsidRDefault="006952EC" w:rsidP="00C1215A">
      <w:pPr>
        <w:pStyle w:val="Heading7"/>
        <w:numPr>
          <w:ilvl w:val="0"/>
          <w:numId w:val="0"/>
        </w:numPr>
        <w:jc w:val="center"/>
        <w:rPr>
          <w:rFonts w:cs="Arial"/>
          <w:b/>
          <w:bCs/>
          <w:sz w:val="40"/>
          <w:szCs w:val="40"/>
        </w:rPr>
      </w:pPr>
      <w:r w:rsidRPr="00C1215A">
        <w:rPr>
          <w:rFonts w:cs="Arial"/>
          <w:b/>
          <w:bCs/>
          <w:sz w:val="40"/>
          <w:szCs w:val="40"/>
        </w:rPr>
        <w:t>Cover letter to draft new ECC Decision (25)02</w:t>
      </w:r>
      <w:r w:rsidR="00D2620F" w:rsidRPr="00C1215A">
        <w:rPr>
          <w:rFonts w:cs="Arial"/>
          <w:b/>
          <w:bCs/>
          <w:sz w:val="40"/>
          <w:szCs w:val="40"/>
        </w:rPr>
        <w:t>:</w:t>
      </w:r>
      <w:r w:rsidRPr="00C1215A">
        <w:rPr>
          <w:rFonts w:cs="Arial"/>
          <w:b/>
          <w:bCs/>
          <w:sz w:val="40"/>
          <w:szCs w:val="40"/>
        </w:rPr>
        <w:t xml:space="preserve"> “</w:t>
      </w:r>
      <w:r w:rsidR="00D2620F" w:rsidRPr="00C1215A">
        <w:rPr>
          <w:rFonts w:cs="Arial"/>
          <w:b/>
          <w:bCs/>
          <w:sz w:val="40"/>
          <w:szCs w:val="40"/>
        </w:rPr>
        <w:t>Low power devices communicating with satellites within the frequency range 862-870 MHz”</w:t>
      </w:r>
    </w:p>
    <w:p w14:paraId="761310AF" w14:textId="77777777" w:rsidR="006952EC" w:rsidRDefault="006952EC" w:rsidP="006952EC">
      <w:pPr>
        <w:rPr>
          <w:rFonts w:ascii="Verdana" w:hAnsi="Verdana"/>
          <w:sz w:val="24"/>
          <w:szCs w:val="28"/>
        </w:rPr>
      </w:pPr>
    </w:p>
    <w:p w14:paraId="35FEA6A6" w14:textId="77777777" w:rsidR="006952EC" w:rsidRPr="00B34058" w:rsidRDefault="006952EC" w:rsidP="006952EC">
      <w:pPr>
        <w:rPr>
          <w:rFonts w:ascii="Verdana" w:hAnsi="Verdana"/>
          <w:sz w:val="24"/>
          <w:szCs w:val="28"/>
        </w:rPr>
      </w:pPr>
    </w:p>
    <w:p w14:paraId="4D7224AA" w14:textId="77777777" w:rsidR="006952EC" w:rsidRDefault="006952EC" w:rsidP="006952EC">
      <w:pPr>
        <w:spacing w:after="240"/>
        <w:jc w:val="both"/>
        <w:rPr>
          <w:rFonts w:cs="Arial"/>
        </w:rPr>
      </w:pPr>
      <w:r>
        <w:rPr>
          <w:rFonts w:cs="Arial"/>
        </w:rPr>
        <w:t xml:space="preserve">This Decision </w:t>
      </w:r>
      <w:r w:rsidRPr="00C5016E">
        <w:rPr>
          <w:rFonts w:cs="Arial"/>
        </w:rPr>
        <w:t xml:space="preserve">defines the conditions that </w:t>
      </w:r>
      <w:r>
        <w:rPr>
          <w:rFonts w:cs="Arial"/>
        </w:rPr>
        <w:t xml:space="preserve">low power </w:t>
      </w:r>
      <w:r w:rsidRPr="00C5016E">
        <w:rPr>
          <w:rFonts w:cs="Arial"/>
        </w:rPr>
        <w:t xml:space="preserve">devices communicating with satellites </w:t>
      </w:r>
      <w:r>
        <w:rPr>
          <w:rFonts w:cs="Arial"/>
        </w:rPr>
        <w:t>in</w:t>
      </w:r>
      <w:r w:rsidRPr="00C5016E">
        <w:rPr>
          <w:rFonts w:cs="Arial"/>
        </w:rPr>
        <w:t xml:space="preserve"> the band 862-870 MHz need to fulfil</w:t>
      </w:r>
      <w:r>
        <w:rPr>
          <w:rFonts w:cs="Arial"/>
        </w:rPr>
        <w:t xml:space="preserve">, </w:t>
      </w:r>
      <w:proofErr w:type="spellStart"/>
      <w:r>
        <w:rPr>
          <w:rFonts w:cs="Arial"/>
        </w:rPr>
        <w:t>interalia</w:t>
      </w:r>
      <w:proofErr w:type="spellEnd"/>
      <w:r w:rsidRPr="00C5016E">
        <w:rPr>
          <w:rFonts w:cs="Arial"/>
        </w:rPr>
        <w:t xml:space="preserve"> </w:t>
      </w:r>
      <w:proofErr w:type="gramStart"/>
      <w:r w:rsidRPr="00C5016E">
        <w:rPr>
          <w:rFonts w:cs="Arial"/>
        </w:rPr>
        <w:t>in order to</w:t>
      </w:r>
      <w:proofErr w:type="gramEnd"/>
      <w:r w:rsidRPr="00C5016E">
        <w:rPr>
          <w:rFonts w:cs="Arial"/>
        </w:rPr>
        <w:t xml:space="preserve"> protect the regulatory framework on terrestrial SRD</w:t>
      </w:r>
      <w:r>
        <w:rPr>
          <w:rFonts w:cs="Arial"/>
        </w:rPr>
        <w:t>.</w:t>
      </w:r>
    </w:p>
    <w:p w14:paraId="2EF563C7" w14:textId="515901C1" w:rsidR="006952EC" w:rsidRDefault="006952EC" w:rsidP="006952EC">
      <w:pPr>
        <w:spacing w:after="240"/>
        <w:jc w:val="both"/>
        <w:rPr>
          <w:rFonts w:cs="Arial"/>
        </w:rPr>
      </w:pPr>
      <w:r>
        <w:rPr>
          <w:rFonts w:cs="Arial"/>
        </w:rPr>
        <w:t xml:space="preserve">These low power devices </w:t>
      </w:r>
      <w:r w:rsidRPr="000351FC">
        <w:rPr>
          <w:rFonts w:cs="Arial"/>
        </w:rPr>
        <w:t xml:space="preserve">communicating with satellites shall use the same technical characteristics as non-specific SRD devices as </w:t>
      </w:r>
      <w:r>
        <w:rPr>
          <w:rFonts w:cs="Arial"/>
        </w:rPr>
        <w:t>specified</w:t>
      </w:r>
      <w:r w:rsidRPr="000351FC">
        <w:rPr>
          <w:rFonts w:cs="Arial"/>
        </w:rPr>
        <w:t xml:space="preserve"> in ERC Recommendation 70-03</w:t>
      </w:r>
      <w:r w:rsidR="007E11A0">
        <w:rPr>
          <w:rFonts w:cs="Arial"/>
        </w:rPr>
        <w:t>, a</w:t>
      </w:r>
      <w:r>
        <w:rPr>
          <w:rFonts w:cs="Arial"/>
        </w:rPr>
        <w:t>nnex 1 bands in 862-870 MHz.</w:t>
      </w:r>
    </w:p>
    <w:p w14:paraId="170190DA" w14:textId="68396DC4" w:rsidR="006952EC" w:rsidRDefault="006952EC" w:rsidP="006952EC">
      <w:pPr>
        <w:spacing w:after="240"/>
        <w:jc w:val="both"/>
        <w:rPr>
          <w:rFonts w:cs="Arial"/>
        </w:rPr>
      </w:pPr>
      <w:r>
        <w:rPr>
          <w:rFonts w:cs="Arial"/>
        </w:rPr>
        <w:t>When approving the draft ECC Decision for public consultation, WG FM discussed the relationship between this new ECC Decision and ERC</w:t>
      </w:r>
      <w:r w:rsidR="00BC47AF">
        <w:rPr>
          <w:rFonts w:cs="Arial"/>
        </w:rPr>
        <w:t xml:space="preserve"> Recommendation </w:t>
      </w:r>
      <w:r>
        <w:rPr>
          <w:rFonts w:cs="Arial"/>
        </w:rPr>
        <w:t>70-03</w:t>
      </w:r>
      <w:r w:rsidR="00BC47AF">
        <w:rPr>
          <w:rFonts w:cs="Arial"/>
        </w:rPr>
        <w:t>,</w:t>
      </w:r>
      <w:r>
        <w:rPr>
          <w:rFonts w:cs="Arial"/>
        </w:rPr>
        <w:t xml:space="preserve"> </w:t>
      </w:r>
      <w:r w:rsidR="00BC47AF">
        <w:rPr>
          <w:rFonts w:cs="Arial"/>
        </w:rPr>
        <w:t>a</w:t>
      </w:r>
      <w:r>
        <w:rPr>
          <w:rFonts w:cs="Arial"/>
        </w:rPr>
        <w:t xml:space="preserve">nnex 1 entries for non-specific SRD in 862-870 MHz. The meeting </w:t>
      </w:r>
      <w:r w:rsidR="00BC47AF">
        <w:rPr>
          <w:rFonts w:cs="Arial"/>
        </w:rPr>
        <w:t>agreed</w:t>
      </w:r>
      <w:r>
        <w:rPr>
          <w:rFonts w:cs="Arial"/>
        </w:rPr>
        <w:t xml:space="preserve"> that a revision of ERC</w:t>
      </w:r>
      <w:r w:rsidR="00BC47AF" w:rsidRPr="00BC47AF">
        <w:rPr>
          <w:rFonts w:cs="Arial"/>
        </w:rPr>
        <w:t xml:space="preserve"> </w:t>
      </w:r>
      <w:r w:rsidR="00BC47AF">
        <w:rPr>
          <w:rFonts w:cs="Arial"/>
        </w:rPr>
        <w:t xml:space="preserve">Recommendation </w:t>
      </w:r>
      <w:r>
        <w:rPr>
          <w:rFonts w:cs="Arial"/>
        </w:rPr>
        <w:t>70-03 is needed to reflect this new use in the band. Therefore, work on the revision of ERC</w:t>
      </w:r>
      <w:r w:rsidR="00BC47AF">
        <w:rPr>
          <w:rFonts w:cs="Arial"/>
        </w:rPr>
        <w:t xml:space="preserve"> Recommendation </w:t>
      </w:r>
      <w:r>
        <w:rPr>
          <w:rFonts w:cs="Arial"/>
        </w:rPr>
        <w:t>70-03</w:t>
      </w:r>
      <w:r w:rsidR="0025125A">
        <w:rPr>
          <w:rFonts w:cs="Arial"/>
        </w:rPr>
        <w:t>, a</w:t>
      </w:r>
      <w:r>
        <w:rPr>
          <w:rFonts w:cs="Arial"/>
        </w:rPr>
        <w:t>nnex 1 will undergo a separate public consultation planned in June 2025.</w:t>
      </w:r>
    </w:p>
    <w:p w14:paraId="321EC095" w14:textId="78EB1691" w:rsidR="006952EC" w:rsidRDefault="006952EC" w:rsidP="006952EC">
      <w:pPr>
        <w:spacing w:after="240"/>
        <w:jc w:val="both"/>
        <w:rPr>
          <w:rFonts w:cs="Arial"/>
        </w:rPr>
      </w:pPr>
      <w:r>
        <w:rPr>
          <w:rFonts w:cs="Arial"/>
        </w:rPr>
        <w:t>The initial proposal is to add an entry in ERC</w:t>
      </w:r>
      <w:r w:rsidR="00D60A6C">
        <w:rPr>
          <w:rFonts w:cs="Arial"/>
        </w:rPr>
        <w:t xml:space="preserve"> Recommendation</w:t>
      </w:r>
      <w:r>
        <w:rPr>
          <w:rFonts w:cs="Arial"/>
        </w:rPr>
        <w:t xml:space="preserve"> 70-03</w:t>
      </w:r>
      <w:r w:rsidR="00D60A6C">
        <w:rPr>
          <w:rFonts w:cs="Arial"/>
        </w:rPr>
        <w:t>, annex 1</w:t>
      </w:r>
      <w:r>
        <w:rPr>
          <w:rFonts w:cs="Arial"/>
        </w:rPr>
        <w:t xml:space="preserve"> and </w:t>
      </w:r>
      <w:r w:rsidRPr="00C1215A">
        <w:rPr>
          <w:rFonts w:cs="Arial"/>
        </w:rPr>
        <w:t xml:space="preserve">introduce an exclusion of communication with satellites for all other entries in </w:t>
      </w:r>
      <w:r w:rsidR="001B18C0" w:rsidRPr="00686F6D">
        <w:rPr>
          <w:rFonts w:cs="Arial"/>
        </w:rPr>
        <w:t>a</w:t>
      </w:r>
      <w:r w:rsidRPr="00C1215A">
        <w:rPr>
          <w:rFonts w:cs="Arial"/>
        </w:rPr>
        <w:t>nnex 1</w:t>
      </w:r>
      <w:r>
        <w:rPr>
          <w:rFonts w:cs="Arial"/>
        </w:rPr>
        <w:t xml:space="preserve">, </w:t>
      </w:r>
      <w:proofErr w:type="gramStart"/>
      <w:r>
        <w:rPr>
          <w:rFonts w:cs="Arial"/>
        </w:rPr>
        <w:t>and also</w:t>
      </w:r>
      <w:proofErr w:type="gramEnd"/>
      <w:r>
        <w:rPr>
          <w:rFonts w:cs="Arial"/>
        </w:rPr>
        <w:t xml:space="preserve"> to consider the need for a change to the main body of ERC</w:t>
      </w:r>
      <w:r w:rsidR="001B18C0" w:rsidRPr="001B18C0">
        <w:rPr>
          <w:rFonts w:cs="Arial"/>
        </w:rPr>
        <w:t xml:space="preserve"> </w:t>
      </w:r>
      <w:r w:rsidR="001B18C0">
        <w:rPr>
          <w:rFonts w:cs="Arial"/>
        </w:rPr>
        <w:t>Recommendation</w:t>
      </w:r>
      <w:r>
        <w:rPr>
          <w:rFonts w:cs="Arial"/>
        </w:rPr>
        <w:t xml:space="preserve"> 70-03 to exclude communication with satellites for all entries that do not explicitly allow for it.</w:t>
      </w:r>
    </w:p>
    <w:p w14:paraId="60CECF3F" w14:textId="77777777" w:rsidR="006952EC" w:rsidRDefault="006952EC" w:rsidP="006952EC">
      <w:pPr>
        <w:spacing w:after="240"/>
        <w:jc w:val="both"/>
        <w:rPr>
          <w:rFonts w:cs="Arial"/>
        </w:rPr>
      </w:pPr>
      <w:r>
        <w:rPr>
          <w:rFonts w:cs="Arial"/>
        </w:rPr>
        <w:t>This cover note is meant for information.</w:t>
      </w:r>
    </w:p>
    <w:p w14:paraId="7E3A3FB9" w14:textId="77777777" w:rsidR="00CC38A5" w:rsidRDefault="00CC38A5" w:rsidP="006C03D0">
      <w:pPr>
        <w:jc w:val="center"/>
        <w:rPr>
          <w:lang w:val="en-GB"/>
        </w:rPr>
      </w:pPr>
    </w:p>
    <w:p w14:paraId="1737DEE2" w14:textId="77777777" w:rsidR="00CC38A5" w:rsidRDefault="00CC38A5" w:rsidP="006C03D0">
      <w:pPr>
        <w:jc w:val="center"/>
        <w:rPr>
          <w:lang w:val="en-GB"/>
        </w:rPr>
      </w:pPr>
    </w:p>
    <w:p w14:paraId="59D4D415" w14:textId="77777777" w:rsidR="00CC38A5" w:rsidRDefault="00CC38A5" w:rsidP="006C03D0">
      <w:pPr>
        <w:jc w:val="center"/>
        <w:rPr>
          <w:lang w:val="en-GB"/>
        </w:rPr>
      </w:pPr>
    </w:p>
    <w:p w14:paraId="44FA872A" w14:textId="77777777" w:rsidR="00CC38A5" w:rsidRDefault="00CC38A5" w:rsidP="006C03D0">
      <w:pPr>
        <w:jc w:val="center"/>
        <w:rPr>
          <w:lang w:val="en-GB"/>
        </w:rPr>
      </w:pPr>
    </w:p>
    <w:p w14:paraId="6D470898" w14:textId="77777777" w:rsidR="00CC38A5" w:rsidRDefault="00CC38A5" w:rsidP="006C03D0">
      <w:pPr>
        <w:jc w:val="center"/>
        <w:rPr>
          <w:lang w:val="en-GB"/>
        </w:rPr>
      </w:pPr>
    </w:p>
    <w:p w14:paraId="7C760599" w14:textId="77777777" w:rsidR="00CC38A5" w:rsidRDefault="00CC38A5" w:rsidP="006C03D0">
      <w:pPr>
        <w:jc w:val="center"/>
        <w:rPr>
          <w:lang w:val="en-GB"/>
        </w:rPr>
      </w:pPr>
    </w:p>
    <w:p w14:paraId="6FC0B968" w14:textId="77777777" w:rsidR="00CC38A5" w:rsidRPr="00A41902" w:rsidRDefault="00CC38A5" w:rsidP="006C03D0">
      <w:pPr>
        <w:jc w:val="center"/>
        <w:rPr>
          <w:lang w:val="en-GB"/>
        </w:rPr>
      </w:pPr>
    </w:p>
    <w:p w14:paraId="3581B59F" w14:textId="77777777" w:rsidR="006C03D0" w:rsidRPr="00A41902" w:rsidRDefault="006C03D0" w:rsidP="006C03D0">
      <w:pPr>
        <w:jc w:val="center"/>
        <w:rPr>
          <w:lang w:val="en-GB"/>
        </w:rPr>
      </w:pPr>
    </w:p>
    <w:p w14:paraId="74BB4C42" w14:textId="77777777" w:rsidR="00CC38A5" w:rsidRDefault="00CC38A5" w:rsidP="006C03D0">
      <w:pPr>
        <w:rPr>
          <w:lang w:val="en-GB"/>
        </w:rPr>
        <w:sectPr w:rsidR="00CC38A5" w:rsidSect="00F26C2E">
          <w:headerReference w:type="even" r:id="rId8"/>
          <w:headerReference w:type="default" r:id="rId9"/>
          <w:headerReference w:type="first" r:id="rId10"/>
          <w:pgSz w:w="11907" w:h="16840" w:code="9"/>
          <w:pgMar w:top="1440" w:right="1134" w:bottom="1440" w:left="1134" w:header="709" w:footer="709" w:gutter="0"/>
          <w:cols w:space="708"/>
          <w:titlePg/>
          <w:docGrid w:linePitch="360"/>
        </w:sectPr>
      </w:pPr>
    </w:p>
    <w:p w14:paraId="4C215546" w14:textId="4112DCDB" w:rsidR="006C03D0" w:rsidRPr="00A41902" w:rsidRDefault="006C03D0" w:rsidP="006C03D0">
      <w:pPr>
        <w:rPr>
          <w:lang w:val="en-GB"/>
        </w:rPr>
      </w:pPr>
    </w:p>
    <w:p w14:paraId="35D14755" w14:textId="77777777" w:rsidR="006C03D0" w:rsidRPr="00A41902" w:rsidRDefault="006C03D0" w:rsidP="006C03D0">
      <w:pPr>
        <w:rPr>
          <w:lang w:val="en-GB"/>
        </w:rPr>
      </w:pPr>
    </w:p>
    <w:p w14:paraId="38AA46BF" w14:textId="77777777" w:rsidR="006C03D0" w:rsidRPr="00A41902" w:rsidRDefault="007C6571" w:rsidP="006C03D0">
      <w:pPr>
        <w:jc w:val="center"/>
        <w:rPr>
          <w:b/>
          <w:sz w:val="24"/>
          <w:lang w:val="en-GB"/>
        </w:rPr>
      </w:pPr>
      <w:r w:rsidRPr="00A41902">
        <w:rPr>
          <w:b/>
          <w:noProof/>
          <w:sz w:val="24"/>
          <w:szCs w:val="20"/>
          <w:lang w:val="en-GB" w:eastAsia="de-DE"/>
        </w:rPr>
        <mc:AlternateContent>
          <mc:Choice Requires="wpg">
            <w:drawing>
              <wp:anchor distT="0" distB="0" distL="114300" distR="114300" simplePos="0" relativeHeight="251658240" behindDoc="0" locked="0" layoutInCell="1" allowOverlap="1" wp14:anchorId="231548EA" wp14:editId="029B067D">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014D5" w14:textId="2ECCB8A5"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3C3BE3">
                                <w:rPr>
                                  <w:color w:val="887E6E"/>
                                  <w:sz w:val="68"/>
                                </w:rPr>
                                <w:t>25</w:t>
                              </w:r>
                              <w:r w:rsidRPr="001E2FAA">
                                <w:rPr>
                                  <w:color w:val="887E6E"/>
                                  <w:sz w:val="68"/>
                                </w:rPr>
                                <w:t>)</w:t>
                              </w:r>
                              <w:r w:rsidR="00D2620F">
                                <w:rPr>
                                  <w:color w:val="887E6E"/>
                                  <w:sz w:val="68"/>
                                </w:rPr>
                                <w:t>02</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1548EA" id="Group 28"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Al5158&#10;YgMAAGYNAAAOAAAAAAAAAAAAAAAAAC4CAABkcnMvZTJvRG9jLnhtbFBLAQItABQABgAIAAAAIQBY&#10;WjD64gAAAA0BAAAPAAAAAAAAAAAAAAAAALwFAABkcnMvZG93bnJldi54bWxQSwUGAAAAAAQABADz&#10;AAAAyw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74A014D5" w14:textId="2ECCB8A5"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3C3BE3">
                          <w:rPr>
                            <w:color w:val="887E6E"/>
                            <w:sz w:val="68"/>
                          </w:rPr>
                          <w:t>25</w:t>
                        </w:r>
                        <w:r w:rsidRPr="001E2FAA">
                          <w:rPr>
                            <w:color w:val="887E6E"/>
                            <w:sz w:val="68"/>
                          </w:rPr>
                          <w:t>)</w:t>
                        </w:r>
                        <w:r w:rsidR="00D2620F">
                          <w:rPr>
                            <w:color w:val="887E6E"/>
                            <w:sz w:val="68"/>
                          </w:rPr>
                          <w:t>02</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7768D012" w14:textId="77777777" w:rsidR="006C03D0" w:rsidRPr="00A41902" w:rsidRDefault="006C03D0" w:rsidP="006C03D0">
      <w:pPr>
        <w:jc w:val="center"/>
        <w:rPr>
          <w:b/>
          <w:sz w:val="24"/>
          <w:lang w:val="en-GB"/>
        </w:rPr>
      </w:pPr>
    </w:p>
    <w:p w14:paraId="0B0335B5" w14:textId="77777777" w:rsidR="006C03D0" w:rsidRPr="00A41902" w:rsidRDefault="006C03D0" w:rsidP="006C03D0">
      <w:pPr>
        <w:jc w:val="center"/>
        <w:rPr>
          <w:b/>
          <w:sz w:val="24"/>
          <w:lang w:val="en-GB"/>
        </w:rPr>
      </w:pPr>
    </w:p>
    <w:p w14:paraId="15301B47" w14:textId="77777777" w:rsidR="006C03D0" w:rsidRPr="00A41902" w:rsidRDefault="006C03D0" w:rsidP="006C03D0">
      <w:pPr>
        <w:jc w:val="center"/>
        <w:rPr>
          <w:b/>
          <w:sz w:val="24"/>
          <w:lang w:val="en-GB"/>
        </w:rPr>
      </w:pPr>
    </w:p>
    <w:p w14:paraId="719320F2" w14:textId="77777777" w:rsidR="006C03D0" w:rsidRPr="00A41902" w:rsidRDefault="006C03D0" w:rsidP="006C03D0">
      <w:pPr>
        <w:jc w:val="center"/>
        <w:rPr>
          <w:b/>
          <w:sz w:val="24"/>
          <w:lang w:val="en-GB"/>
        </w:rPr>
      </w:pPr>
    </w:p>
    <w:p w14:paraId="3463DFEC" w14:textId="77777777" w:rsidR="006C03D0" w:rsidRPr="00A41902" w:rsidRDefault="006C03D0" w:rsidP="006C03D0">
      <w:pPr>
        <w:jc w:val="center"/>
        <w:rPr>
          <w:b/>
          <w:sz w:val="24"/>
          <w:lang w:val="en-GB"/>
        </w:rPr>
      </w:pPr>
    </w:p>
    <w:p w14:paraId="76922BE2" w14:textId="77777777" w:rsidR="006C03D0" w:rsidRPr="00A41902" w:rsidRDefault="006C03D0" w:rsidP="006C03D0">
      <w:pPr>
        <w:jc w:val="center"/>
        <w:rPr>
          <w:b/>
          <w:sz w:val="24"/>
          <w:lang w:val="en-GB"/>
        </w:rPr>
      </w:pPr>
    </w:p>
    <w:p w14:paraId="60AA846C" w14:textId="77777777" w:rsidR="006C03D0" w:rsidRPr="00A41902" w:rsidRDefault="006C03D0" w:rsidP="006C03D0">
      <w:pPr>
        <w:jc w:val="center"/>
        <w:rPr>
          <w:b/>
          <w:sz w:val="24"/>
          <w:lang w:val="en-GB"/>
        </w:rPr>
      </w:pPr>
    </w:p>
    <w:p w14:paraId="08A6FEE0" w14:textId="77777777" w:rsidR="006C03D0" w:rsidRPr="00A41902" w:rsidRDefault="006C03D0" w:rsidP="006C03D0">
      <w:pPr>
        <w:jc w:val="center"/>
        <w:rPr>
          <w:b/>
          <w:sz w:val="24"/>
          <w:lang w:val="en-GB"/>
        </w:rPr>
      </w:pPr>
    </w:p>
    <w:p w14:paraId="098C9079" w14:textId="77777777" w:rsidR="006C03D0" w:rsidRPr="00A41902" w:rsidRDefault="006C03D0" w:rsidP="006C03D0">
      <w:pPr>
        <w:jc w:val="center"/>
        <w:rPr>
          <w:b/>
          <w:sz w:val="24"/>
          <w:lang w:val="en-GB"/>
        </w:rPr>
      </w:pPr>
    </w:p>
    <w:p w14:paraId="708F352A" w14:textId="77777777" w:rsidR="006C03D0" w:rsidRPr="00A41902" w:rsidRDefault="006C03D0" w:rsidP="006C03D0">
      <w:pPr>
        <w:jc w:val="center"/>
        <w:rPr>
          <w:b/>
          <w:sz w:val="24"/>
          <w:lang w:val="en-GB"/>
        </w:rPr>
      </w:pPr>
    </w:p>
    <w:p w14:paraId="40F789D7" w14:textId="77777777" w:rsidR="006C03D0" w:rsidRPr="00A41902" w:rsidRDefault="006C03D0" w:rsidP="006C03D0">
      <w:pPr>
        <w:rPr>
          <w:b/>
          <w:sz w:val="24"/>
          <w:lang w:val="en-GB"/>
        </w:rPr>
      </w:pPr>
    </w:p>
    <w:p w14:paraId="736FC110" w14:textId="77777777" w:rsidR="006C03D0" w:rsidRPr="00A41902" w:rsidRDefault="006C03D0" w:rsidP="006C03D0">
      <w:pPr>
        <w:jc w:val="center"/>
        <w:rPr>
          <w:b/>
          <w:sz w:val="24"/>
          <w:lang w:val="en-GB"/>
        </w:rPr>
      </w:pPr>
    </w:p>
    <w:p w14:paraId="3A0E37A9" w14:textId="66CDBB75" w:rsidR="00423566" w:rsidRPr="00A41902" w:rsidRDefault="00B3778F" w:rsidP="00423566">
      <w:pPr>
        <w:pStyle w:val="Reporttitledescription"/>
        <w:rPr>
          <w:color w:val="auto"/>
          <w:lang w:val="en-GB"/>
        </w:rPr>
      </w:pPr>
      <w:r w:rsidRPr="00A41902">
        <w:rPr>
          <w:color w:val="auto"/>
          <w:lang w:val="en-GB"/>
        </w:rPr>
        <w:fldChar w:fldCharType="begin">
          <w:ffData>
            <w:name w:val="Text7"/>
            <w:enabled/>
            <w:calcOnExit w:val="0"/>
            <w:textInput>
              <w:default w:val="Low power devices communicating with satellites within the frequency range 862-870 MHz"/>
            </w:textInput>
          </w:ffData>
        </w:fldChar>
      </w:r>
      <w:r w:rsidRPr="00A41902">
        <w:rPr>
          <w:color w:val="auto"/>
          <w:lang w:val="en-GB"/>
        </w:rPr>
        <w:instrText xml:space="preserve"> </w:instrText>
      </w:r>
      <w:bookmarkStart w:id="0" w:name="Text7"/>
      <w:r w:rsidRPr="00A41902">
        <w:rPr>
          <w:color w:val="auto"/>
          <w:lang w:val="en-GB"/>
        </w:rPr>
        <w:instrText xml:space="preserve">FORMTEXT </w:instrText>
      </w:r>
      <w:r w:rsidRPr="00A41902">
        <w:rPr>
          <w:color w:val="auto"/>
          <w:lang w:val="en-GB"/>
        </w:rPr>
      </w:r>
      <w:r w:rsidRPr="00A41902">
        <w:rPr>
          <w:color w:val="auto"/>
          <w:lang w:val="en-GB"/>
        </w:rPr>
        <w:fldChar w:fldCharType="separate"/>
      </w:r>
      <w:r w:rsidRPr="00A41902">
        <w:rPr>
          <w:noProof/>
          <w:color w:val="auto"/>
          <w:lang w:val="en-GB"/>
        </w:rPr>
        <w:t>Low power devices communicating with satellites within the frequency range 862-870 MHz</w:t>
      </w:r>
      <w:r w:rsidRPr="00A41902">
        <w:rPr>
          <w:color w:val="auto"/>
          <w:lang w:val="en-GB"/>
        </w:rPr>
        <w:fldChar w:fldCharType="end"/>
      </w:r>
      <w:bookmarkEnd w:id="0"/>
      <w:r w:rsidR="00423566" w:rsidRPr="00A41902">
        <w:rPr>
          <w:color w:val="auto"/>
          <w:lang w:val="en-GB"/>
        </w:rPr>
        <w:t xml:space="preserve"> </w:t>
      </w:r>
    </w:p>
    <w:p w14:paraId="4E7A2E61" w14:textId="6166C153" w:rsidR="00423566" w:rsidRPr="00A41902" w:rsidRDefault="00423566" w:rsidP="00423566">
      <w:pPr>
        <w:pStyle w:val="Reporttitledescription"/>
        <w:rPr>
          <w:b/>
          <w:color w:val="auto"/>
          <w:sz w:val="18"/>
          <w:lang w:val="en-GB"/>
        </w:rPr>
      </w:pPr>
      <w:r w:rsidRPr="00A41902">
        <w:rPr>
          <w:b/>
          <w:color w:val="auto"/>
          <w:sz w:val="18"/>
          <w:lang w:val="en-GB"/>
        </w:rPr>
        <w:fldChar w:fldCharType="begin">
          <w:ffData>
            <w:name w:val="Text8"/>
            <w:enabled/>
            <w:calcOnExit w:val="0"/>
            <w:textInput>
              <w:default w:val="approved DD Month YYYY"/>
            </w:textInput>
          </w:ffData>
        </w:fldChar>
      </w:r>
      <w:bookmarkStart w:id="1" w:name="Text8"/>
      <w:r w:rsidRPr="00A41902">
        <w:rPr>
          <w:b/>
          <w:color w:val="auto"/>
          <w:sz w:val="18"/>
          <w:lang w:val="en-GB"/>
        </w:rPr>
        <w:instrText xml:space="preserve"> FORMTEXT </w:instrText>
      </w:r>
      <w:r w:rsidRPr="00A41902">
        <w:rPr>
          <w:b/>
          <w:color w:val="auto"/>
          <w:sz w:val="18"/>
          <w:lang w:val="en-GB"/>
        </w:rPr>
      </w:r>
      <w:r w:rsidRPr="00A41902">
        <w:rPr>
          <w:b/>
          <w:color w:val="auto"/>
          <w:sz w:val="18"/>
          <w:lang w:val="en-GB"/>
        </w:rPr>
        <w:fldChar w:fldCharType="separate"/>
      </w:r>
      <w:r w:rsidRPr="00A41902">
        <w:rPr>
          <w:b/>
          <w:noProof/>
          <w:color w:val="auto"/>
          <w:sz w:val="18"/>
          <w:lang w:val="en-GB"/>
        </w:rPr>
        <w:t>approved DD Month YYYY</w:t>
      </w:r>
      <w:r w:rsidRPr="00A41902">
        <w:rPr>
          <w:b/>
          <w:color w:val="auto"/>
          <w:sz w:val="18"/>
          <w:lang w:val="en-GB"/>
        </w:rPr>
        <w:fldChar w:fldCharType="end"/>
      </w:r>
      <w:bookmarkEnd w:id="1"/>
    </w:p>
    <w:p w14:paraId="40520CDD" w14:textId="3A1B40E2" w:rsidR="00423566" w:rsidRPr="00A41902" w:rsidRDefault="00423566" w:rsidP="00423566">
      <w:pPr>
        <w:pStyle w:val="Lastupdated"/>
        <w:rPr>
          <w:b/>
          <w:lang w:val="en-GB"/>
        </w:rPr>
      </w:pPr>
      <w:r w:rsidRPr="00A41902">
        <w:rPr>
          <w:b/>
          <w:lang w:val="en-GB"/>
        </w:rPr>
        <w:fldChar w:fldCharType="begin">
          <w:ffData>
            <w:name w:val="Text3"/>
            <w:enabled/>
            <w:calcOnExit w:val="0"/>
            <w:textInput/>
          </w:ffData>
        </w:fldChar>
      </w:r>
      <w:bookmarkStart w:id="2" w:name="Text3"/>
      <w:r w:rsidRPr="00A41902">
        <w:rPr>
          <w:b/>
          <w:lang w:val="en-GB"/>
        </w:rPr>
        <w:instrText xml:space="preserve"> FORMTEXT </w:instrText>
      </w:r>
      <w:r w:rsidRPr="00A41902">
        <w:rPr>
          <w:b/>
          <w:lang w:val="en-GB"/>
        </w:rPr>
      </w:r>
      <w:r w:rsidRPr="00A41902">
        <w:rPr>
          <w:b/>
          <w:lang w:val="en-GB"/>
        </w:rPr>
        <w:fldChar w:fldCharType="separate"/>
      </w:r>
      <w:r w:rsidRPr="00A41902">
        <w:rPr>
          <w:b/>
          <w:noProof/>
          <w:lang w:val="en-GB"/>
        </w:rPr>
        <w:t> </w:t>
      </w:r>
      <w:r w:rsidRPr="00A41902">
        <w:rPr>
          <w:b/>
          <w:noProof/>
          <w:lang w:val="en-GB"/>
        </w:rPr>
        <w:t> </w:t>
      </w:r>
      <w:r w:rsidRPr="00A41902">
        <w:rPr>
          <w:b/>
          <w:noProof/>
          <w:lang w:val="en-GB"/>
        </w:rPr>
        <w:t> </w:t>
      </w:r>
      <w:r w:rsidRPr="00A41902">
        <w:rPr>
          <w:b/>
          <w:noProof/>
          <w:lang w:val="en-GB"/>
        </w:rPr>
        <w:t> </w:t>
      </w:r>
      <w:r w:rsidRPr="00A41902">
        <w:rPr>
          <w:b/>
          <w:noProof/>
          <w:lang w:val="en-GB"/>
        </w:rPr>
        <w:t> </w:t>
      </w:r>
      <w:r w:rsidRPr="00A41902">
        <w:rPr>
          <w:b/>
          <w:lang w:val="en-GB"/>
        </w:rPr>
        <w:fldChar w:fldCharType="end"/>
      </w:r>
      <w:bookmarkEnd w:id="2"/>
    </w:p>
    <w:p w14:paraId="3446FB77" w14:textId="77777777" w:rsidR="00423566" w:rsidRPr="00A41902" w:rsidRDefault="00423566" w:rsidP="006C03D0">
      <w:pPr>
        <w:jc w:val="center"/>
        <w:rPr>
          <w:b/>
          <w:sz w:val="24"/>
          <w:lang w:val="en-GB"/>
        </w:rPr>
      </w:pPr>
    </w:p>
    <w:p w14:paraId="35B9C2DC" w14:textId="77777777" w:rsidR="006C03D0" w:rsidRPr="00A41902" w:rsidRDefault="005F7AD5" w:rsidP="00F0592A">
      <w:pPr>
        <w:pStyle w:val="Heading1"/>
      </w:pPr>
      <w:r w:rsidRPr="00A41902">
        <w:lastRenderedPageBreak/>
        <w:t>explanatory memorandum</w:t>
      </w:r>
    </w:p>
    <w:p w14:paraId="3275544E" w14:textId="77777777" w:rsidR="006C03D0" w:rsidRPr="00A41902" w:rsidRDefault="005F7AD5" w:rsidP="005D2C3B">
      <w:pPr>
        <w:pStyle w:val="Heading2"/>
        <w:rPr>
          <w:lang w:val="en-GB"/>
        </w:rPr>
      </w:pPr>
      <w:r w:rsidRPr="00A41902">
        <w:rPr>
          <w:lang w:val="en-GB"/>
        </w:rPr>
        <w:t>INTRODUCTION</w:t>
      </w:r>
    </w:p>
    <w:p w14:paraId="5A2FFAC4" w14:textId="43204F1E" w:rsidR="0096307C" w:rsidRPr="00A41902" w:rsidRDefault="0096307C" w:rsidP="00303E3E">
      <w:pPr>
        <w:pStyle w:val="ECCParagraph"/>
      </w:pPr>
      <w:r w:rsidRPr="00A41902">
        <w:t xml:space="preserve">CEPT </w:t>
      </w:r>
      <w:r w:rsidR="003C3BE3" w:rsidRPr="00A41902">
        <w:t xml:space="preserve">has explored the European regulatory framework for </w:t>
      </w:r>
      <w:r w:rsidR="00C536CB" w:rsidRPr="00A41902">
        <w:t>low power devices</w:t>
      </w:r>
      <w:r w:rsidR="003C3BE3" w:rsidRPr="00A41902">
        <w:t xml:space="preserve"> communicating with satellites in the band 862-870 MHz and whether this fits within current SRD regulations</w:t>
      </w:r>
      <w:r w:rsidR="000378B4" w:rsidRPr="00A41902">
        <w:t xml:space="preserve">. </w:t>
      </w:r>
      <w:r w:rsidRPr="00A41902">
        <w:t xml:space="preserve">It was </w:t>
      </w:r>
      <w:r w:rsidR="00BD7E8E" w:rsidRPr="00A41902">
        <w:t>recognised that</w:t>
      </w:r>
      <w:r w:rsidR="00174559" w:rsidRPr="00A41902" w:rsidDel="00174559">
        <w:t xml:space="preserve"> </w:t>
      </w:r>
      <w:r w:rsidR="00C536CB" w:rsidRPr="00A41902">
        <w:t xml:space="preserve">low power devices </w:t>
      </w:r>
      <w:r w:rsidRPr="00A41902">
        <w:t>could communicate from CEPT countries only with satellites that fulfil certain conditions covered by this Decision.</w:t>
      </w:r>
      <w:r w:rsidR="00303E3E" w:rsidRPr="00A41902">
        <w:t xml:space="preserve"> </w:t>
      </w:r>
    </w:p>
    <w:p w14:paraId="7DB42783" w14:textId="748BD971" w:rsidR="0096307C" w:rsidRPr="00A41902" w:rsidRDefault="0096307C" w:rsidP="0096307C">
      <w:pPr>
        <w:pStyle w:val="ECCParagraph"/>
      </w:pPr>
      <w:r w:rsidRPr="00A41902">
        <w:t>Maintaining a list of satellite systems committing to adhere to certain operational parameters (e.g. PFD limit</w:t>
      </w:r>
      <w:r w:rsidR="006D63D0" w:rsidRPr="00A41902">
        <w:t>s</w:t>
      </w:r>
      <w:r w:rsidRPr="00A41902">
        <w:t xml:space="preserve">) in this frequency band may assist CEPT administrations in securing the efficient use of spectrum, assessing applications, granting licences, or resolving harmful interference, etc. Such a list </w:t>
      </w:r>
      <w:r w:rsidR="00B105FA" w:rsidRPr="00A41902">
        <w:t>may exist in</w:t>
      </w:r>
      <w:r w:rsidR="00C536CB" w:rsidRPr="00A41902">
        <w:t xml:space="preserve"> each CEPT country and one list </w:t>
      </w:r>
      <w:r w:rsidRPr="00A41902">
        <w:t xml:space="preserve">is included in this ECC Decision </w:t>
      </w:r>
      <w:r w:rsidR="00C536CB" w:rsidRPr="00A41902">
        <w:t xml:space="preserve">to assist administrations </w:t>
      </w:r>
      <w:r w:rsidR="00B105FA" w:rsidRPr="00A41902">
        <w:t>referring</w:t>
      </w:r>
      <w:r w:rsidR="00C536CB" w:rsidRPr="00A41902">
        <w:t xml:space="preserve"> to rely on </w:t>
      </w:r>
      <w:r w:rsidR="00B105FA" w:rsidRPr="00A41902">
        <w:t xml:space="preserve">a </w:t>
      </w:r>
      <w:r w:rsidR="00C536CB" w:rsidRPr="00A41902">
        <w:t xml:space="preserve">CEPT examination. </w:t>
      </w:r>
      <w:r w:rsidR="00B105FA" w:rsidRPr="00A41902">
        <w:t xml:space="preserve">It </w:t>
      </w:r>
      <w:r w:rsidRPr="00A41902">
        <w:t>requires updates whenever new satellite systems are requested to be added</w:t>
      </w:r>
      <w:r w:rsidR="00672DB2" w:rsidRPr="00A41902">
        <w:t xml:space="preserve">. </w:t>
      </w:r>
    </w:p>
    <w:p w14:paraId="035CC587" w14:textId="0D519EE6" w:rsidR="00672DB2" w:rsidRPr="00A41902" w:rsidRDefault="003C3BE3" w:rsidP="003C3BE3">
      <w:pPr>
        <w:pStyle w:val="ECCParagraph"/>
      </w:pPr>
      <w:r w:rsidRPr="00A41902">
        <w:t xml:space="preserve">It is highlighted that receivers of </w:t>
      </w:r>
      <w:r w:rsidR="00B105FA" w:rsidRPr="00A41902">
        <w:t xml:space="preserve">low power devices </w:t>
      </w:r>
      <w:r w:rsidRPr="00A41902">
        <w:t xml:space="preserve">communicating with satellites cannot claim protection from other applications or services. Any future ECC regulatory provision to manage conforming satellite systems does not require </w:t>
      </w:r>
      <w:r w:rsidR="00074FBA" w:rsidRPr="00A41902">
        <w:t>implement</w:t>
      </w:r>
      <w:r w:rsidR="00814550" w:rsidRPr="00A41902">
        <w:t>ation</w:t>
      </w:r>
      <w:r w:rsidRPr="00A41902">
        <w:t xml:space="preserve"> </w:t>
      </w:r>
      <w:r w:rsidR="00814550" w:rsidRPr="00A41902">
        <w:t xml:space="preserve">of </w:t>
      </w:r>
      <w:r w:rsidRPr="00A41902">
        <w:t xml:space="preserve">any form of specific protection of such systems (both satellites and </w:t>
      </w:r>
      <w:r w:rsidR="00814550" w:rsidRPr="00A41902">
        <w:t xml:space="preserve">associated </w:t>
      </w:r>
      <w:r w:rsidR="00B105FA" w:rsidRPr="00A41902">
        <w:t>low power devices</w:t>
      </w:r>
      <w:r w:rsidRPr="00A41902">
        <w:t>).</w:t>
      </w:r>
    </w:p>
    <w:p w14:paraId="1912861D" w14:textId="6E2C4CAA" w:rsidR="003C3BE3" w:rsidRPr="00A41902" w:rsidRDefault="00672DB2" w:rsidP="003C3BE3">
      <w:pPr>
        <w:pStyle w:val="ECCParagraph"/>
      </w:pPr>
      <w:r w:rsidRPr="00A41902">
        <w:t xml:space="preserve">A reference to </w:t>
      </w:r>
      <w:r w:rsidR="007540D6" w:rsidRPr="00A41902">
        <w:t>this Decision</w:t>
      </w:r>
      <w:r w:rsidRPr="00A41902">
        <w:t xml:space="preserve"> in </w:t>
      </w:r>
      <w:r w:rsidR="00091479" w:rsidRPr="00A90412">
        <w:t>[</w:t>
      </w:r>
      <w:r w:rsidR="00181F89" w:rsidRPr="00A90412">
        <w:t xml:space="preserve">Annex </w:t>
      </w:r>
      <w:r w:rsidR="00792D16" w:rsidRPr="00A90412">
        <w:t>1</w:t>
      </w:r>
      <w:r w:rsidR="00091479" w:rsidRPr="00A90412">
        <w:t>]</w:t>
      </w:r>
      <w:r w:rsidR="00181F89" w:rsidRPr="00A41902">
        <w:t xml:space="preserve"> of </w:t>
      </w:r>
      <w:r w:rsidRPr="00A41902">
        <w:t xml:space="preserve">ERC Recommendation 70-03 </w:t>
      </w:r>
      <w:r w:rsidR="00C271A6" w:rsidRPr="00A41902">
        <w:fldChar w:fldCharType="begin"/>
      </w:r>
      <w:r w:rsidR="00C271A6" w:rsidRPr="00A41902">
        <w:instrText xml:space="preserve"> REF _Ref189470974 \r \h </w:instrText>
      </w:r>
      <w:r w:rsidR="00C271A6" w:rsidRPr="00A41902">
        <w:fldChar w:fldCharType="separate"/>
      </w:r>
      <w:r w:rsidR="00C271A6" w:rsidRPr="00A41902">
        <w:t>[1]</w:t>
      </w:r>
      <w:r w:rsidR="00C271A6" w:rsidRPr="00A41902">
        <w:fldChar w:fldCharType="end"/>
      </w:r>
      <w:r w:rsidR="00C271A6" w:rsidRPr="00A41902">
        <w:t xml:space="preserve"> </w:t>
      </w:r>
      <w:r w:rsidR="00B105FA" w:rsidRPr="00A41902">
        <w:t>will be made</w:t>
      </w:r>
      <w:r w:rsidRPr="00A41902">
        <w:t xml:space="preserve"> </w:t>
      </w:r>
      <w:r w:rsidR="00B105FA" w:rsidRPr="00A41902">
        <w:t>for low power devices communicating with satellites</w:t>
      </w:r>
      <w:r w:rsidRPr="00A41902">
        <w:t>.</w:t>
      </w:r>
    </w:p>
    <w:p w14:paraId="76AFD79B" w14:textId="77777777" w:rsidR="006C03D0" w:rsidRPr="00A41902" w:rsidRDefault="005F7AD5" w:rsidP="002459D9">
      <w:pPr>
        <w:pStyle w:val="Heading2"/>
        <w:rPr>
          <w:lang w:val="en-GB"/>
        </w:rPr>
      </w:pPr>
      <w:r w:rsidRPr="00A41902">
        <w:rPr>
          <w:lang w:val="en-GB"/>
        </w:rPr>
        <w:t xml:space="preserve">BACKGROUND </w:t>
      </w:r>
    </w:p>
    <w:p w14:paraId="2C6EAC28" w14:textId="14D47764" w:rsidR="006D63D0" w:rsidRPr="00A41902" w:rsidRDefault="006D63D0" w:rsidP="000176EA">
      <w:pPr>
        <w:pStyle w:val="ECCParBulleted"/>
        <w:numPr>
          <w:ilvl w:val="0"/>
          <w:numId w:val="0"/>
        </w:numPr>
      </w:pPr>
      <w:r w:rsidRPr="00A41902">
        <w:t>Relevant considerations include:</w:t>
      </w:r>
    </w:p>
    <w:p w14:paraId="52EF43AD" w14:textId="66A7AD6C" w:rsidR="00920644" w:rsidRPr="00A41902" w:rsidRDefault="00920644" w:rsidP="006C03D0">
      <w:pPr>
        <w:pStyle w:val="ECCParBulleted"/>
      </w:pPr>
      <w:r w:rsidRPr="00A41902">
        <w:t xml:space="preserve">Satellites communicating with </w:t>
      </w:r>
      <w:r w:rsidR="00B105FA" w:rsidRPr="00A41902">
        <w:t xml:space="preserve">low power devices </w:t>
      </w:r>
      <w:r w:rsidRPr="00A41902">
        <w:t xml:space="preserve">are more and more used inside and outside </w:t>
      </w:r>
      <w:r w:rsidR="00F33167" w:rsidRPr="00A41902">
        <w:t>Europe</w:t>
      </w:r>
      <w:r w:rsidR="07143977">
        <w:t>;</w:t>
      </w:r>
    </w:p>
    <w:p w14:paraId="4004331E" w14:textId="4FF680DE" w:rsidR="00174559" w:rsidRPr="00A41902" w:rsidRDefault="00B105FA" w:rsidP="00174559">
      <w:pPr>
        <w:pStyle w:val="ECCParBulleted"/>
      </w:pPr>
      <w:r w:rsidRPr="00A41902">
        <w:t xml:space="preserve">Low power devices </w:t>
      </w:r>
      <w:r w:rsidR="00174559" w:rsidRPr="00A41902">
        <w:t xml:space="preserve">transmissions </w:t>
      </w:r>
      <w:r w:rsidRPr="00A41902">
        <w:t xml:space="preserve">to satellites </w:t>
      </w:r>
      <w:r w:rsidR="00174559" w:rsidRPr="00A41902">
        <w:t xml:space="preserve">are already possible for </w:t>
      </w:r>
      <w:r w:rsidR="00DC592E" w:rsidRPr="00A41902">
        <w:t xml:space="preserve">devices </w:t>
      </w:r>
      <w:r w:rsidR="00174559" w:rsidRPr="00A41902">
        <w:t xml:space="preserve">fulfilling technical criteria recommended in the ERC </w:t>
      </w:r>
      <w:r w:rsidR="005F1E65" w:rsidRPr="00A41902">
        <w:t>Recommendation</w:t>
      </w:r>
      <w:r w:rsidR="00174559" w:rsidRPr="00A41902">
        <w:t xml:space="preserve"> 70-03</w:t>
      </w:r>
      <w:r w:rsidR="6905F9D8">
        <w:t>;</w:t>
      </w:r>
    </w:p>
    <w:p w14:paraId="6BF518CA" w14:textId="3EBA932C" w:rsidR="00F33167" w:rsidRPr="00A41902" w:rsidRDefault="00F85A08" w:rsidP="006C03D0">
      <w:pPr>
        <w:pStyle w:val="ECCParBulleted"/>
      </w:pPr>
      <w:r w:rsidRPr="00A41902">
        <w:t xml:space="preserve">There is a </w:t>
      </w:r>
      <w:r w:rsidR="00EC2917" w:rsidRPr="00A41902">
        <w:t>risk</w:t>
      </w:r>
      <w:r w:rsidRPr="00A41902">
        <w:t xml:space="preserve"> of unacceptable interference to SRD unless satellite-to-</w:t>
      </w:r>
      <w:r w:rsidR="00DC592E" w:rsidRPr="00A41902">
        <w:t xml:space="preserve">low power device </w:t>
      </w:r>
      <w:r w:rsidRPr="00A41902">
        <w:t xml:space="preserve">transmissions are </w:t>
      </w:r>
      <w:r w:rsidR="00F33167" w:rsidRPr="00A41902">
        <w:t>regulated</w:t>
      </w:r>
      <w:r w:rsidR="294496D4">
        <w:t>;</w:t>
      </w:r>
      <w:r w:rsidRPr="00A41902">
        <w:t xml:space="preserve"> </w:t>
      </w:r>
    </w:p>
    <w:p w14:paraId="34C4EA1B" w14:textId="16ACE69D" w:rsidR="00920644" w:rsidRPr="00A41902" w:rsidRDefault="00920644" w:rsidP="006C03D0">
      <w:pPr>
        <w:pStyle w:val="ECCParBulleted"/>
      </w:pPr>
      <w:r w:rsidRPr="00A41902">
        <w:t xml:space="preserve">ECC has developed ECC </w:t>
      </w:r>
      <w:r w:rsidR="005D2C3B" w:rsidRPr="00A41902">
        <w:t>Report 357</w:t>
      </w:r>
      <w:r w:rsidR="00C271A6" w:rsidRPr="00A41902">
        <w:t xml:space="preserve"> </w:t>
      </w:r>
      <w:r w:rsidR="00C271A6" w:rsidRPr="00A41902">
        <w:fldChar w:fldCharType="begin"/>
      </w:r>
      <w:r w:rsidR="00C271A6" w:rsidRPr="00A41902">
        <w:instrText xml:space="preserve"> REF _Ref189471008 \r \h </w:instrText>
      </w:r>
      <w:r w:rsidR="00C271A6" w:rsidRPr="00A41902">
        <w:fldChar w:fldCharType="separate"/>
      </w:r>
      <w:r w:rsidR="00C271A6" w:rsidRPr="00A41902">
        <w:t>[2]</w:t>
      </w:r>
      <w:r w:rsidR="00C271A6" w:rsidRPr="00A41902">
        <w:fldChar w:fldCharType="end"/>
      </w:r>
      <w:r w:rsidR="00C271A6" w:rsidRPr="00A41902">
        <w:t xml:space="preserve"> </w:t>
      </w:r>
      <w:r w:rsidRPr="00A41902">
        <w:t xml:space="preserve">concluding on the need for </w:t>
      </w:r>
      <w:r w:rsidR="0065543A" w:rsidRPr="00A41902">
        <w:t>regulatory provisions</w:t>
      </w:r>
      <w:r w:rsidR="00F85A08" w:rsidRPr="00A41902">
        <w:t xml:space="preserve"> to address satellite-to-</w:t>
      </w:r>
      <w:r w:rsidR="00DC592E" w:rsidRPr="00A41902">
        <w:t xml:space="preserve">low power device </w:t>
      </w:r>
      <w:r w:rsidR="00F33167" w:rsidRPr="00A41902">
        <w:t>transmissions</w:t>
      </w:r>
      <w:r w:rsidR="0ABEA561">
        <w:t>;</w:t>
      </w:r>
    </w:p>
    <w:p w14:paraId="42DE99E4" w14:textId="0217D088" w:rsidR="0003608D" w:rsidRPr="00A41902" w:rsidRDefault="00F44F17">
      <w:pPr>
        <w:pStyle w:val="ECCParBulleted"/>
      </w:pPr>
      <w:r w:rsidRPr="00A41902">
        <w:t>Satellite-to-</w:t>
      </w:r>
      <w:r w:rsidR="00DC592E" w:rsidRPr="00A41902">
        <w:t xml:space="preserve">low power device </w:t>
      </w:r>
      <w:r w:rsidRPr="00A41902">
        <w:t xml:space="preserve">transmissions have been measured and proven technically feasible using </w:t>
      </w:r>
      <w:r w:rsidR="00687A9D" w:rsidRPr="00A41902">
        <w:t>PFD</w:t>
      </w:r>
      <w:r w:rsidRPr="00A41902">
        <w:t xml:space="preserve"> levels of -142 dB</w:t>
      </w:r>
      <w:r w:rsidR="006D63D0" w:rsidRPr="00A41902">
        <w:t>(</w:t>
      </w:r>
      <w:r w:rsidRPr="00A41902">
        <w:t>W/(m</w:t>
      </w:r>
      <w:r w:rsidRPr="00A41902">
        <w:rPr>
          <w:vertAlign w:val="superscript"/>
        </w:rPr>
        <w:t>2</w:t>
      </w:r>
      <w:r w:rsidRPr="00A41902">
        <w:t>.4 kHz)</w:t>
      </w:r>
      <w:r w:rsidR="006D63D0" w:rsidRPr="00A41902">
        <w:t>)</w:t>
      </w:r>
      <w:r w:rsidRPr="00A41902">
        <w:t xml:space="preserve"> or even lower in coordination with recognised regulators</w:t>
      </w:r>
      <w:r w:rsidR="7338C9C7">
        <w:t>;</w:t>
      </w:r>
    </w:p>
    <w:p w14:paraId="638A54B3" w14:textId="5970061A" w:rsidR="005D2C3B" w:rsidRPr="00A41902" w:rsidRDefault="005D2C3B" w:rsidP="006C03D0">
      <w:pPr>
        <w:pStyle w:val="ECCParBulleted"/>
      </w:pPr>
      <w:r w:rsidRPr="00A41902">
        <w:t>Analyses</w:t>
      </w:r>
      <w:r w:rsidR="00EC2917" w:rsidRPr="00A41902">
        <w:t xml:space="preserve"> in ECC Report 357</w:t>
      </w:r>
      <w:r w:rsidRPr="00A41902">
        <w:t xml:space="preserve"> have shown that satellite-to-</w:t>
      </w:r>
      <w:r w:rsidR="00DC592E" w:rsidRPr="00A41902">
        <w:t xml:space="preserve">low power device </w:t>
      </w:r>
      <w:r w:rsidRPr="00A41902">
        <w:t xml:space="preserve">transmissions </w:t>
      </w:r>
      <w:r w:rsidR="00E008C8" w:rsidRPr="00A41902">
        <w:t xml:space="preserve">should </w:t>
      </w:r>
      <w:r w:rsidR="00EC2917" w:rsidRPr="00A41902">
        <w:t>not create any unacceptable interference to</w:t>
      </w:r>
      <w:r w:rsidRPr="00A41902">
        <w:t xml:space="preserve"> SRD</w:t>
      </w:r>
      <w:r w:rsidR="00EC2917" w:rsidRPr="00A41902">
        <w:t xml:space="preserve"> application</w:t>
      </w:r>
      <w:r w:rsidRPr="00A41902">
        <w:t xml:space="preserve">s if </w:t>
      </w:r>
      <w:r w:rsidR="004036AB" w:rsidRPr="00A41902">
        <w:t xml:space="preserve">a </w:t>
      </w:r>
      <w:r w:rsidR="008A39FF" w:rsidRPr="00A41902">
        <w:t xml:space="preserve">PFD </w:t>
      </w:r>
      <w:r w:rsidRPr="00A41902">
        <w:t>limit</w:t>
      </w:r>
      <w:r w:rsidR="008A39FF" w:rsidRPr="00A41902">
        <w:t xml:space="preserve"> of -142 dB</w:t>
      </w:r>
      <w:r w:rsidR="006D63D0" w:rsidRPr="00A41902">
        <w:t>(</w:t>
      </w:r>
      <w:r w:rsidR="008A39FF" w:rsidRPr="00A41902">
        <w:t>W/(</w:t>
      </w:r>
      <w:r w:rsidR="00174559" w:rsidRPr="00A41902">
        <w:t>m</w:t>
      </w:r>
      <w:r w:rsidR="00174559" w:rsidRPr="00A41902">
        <w:rPr>
          <w:vertAlign w:val="superscript"/>
        </w:rPr>
        <w:t>2</w:t>
      </w:r>
      <w:r w:rsidR="00174559" w:rsidRPr="00A41902">
        <w:t>.</w:t>
      </w:r>
      <w:r w:rsidR="008A39FF" w:rsidRPr="00A41902">
        <w:t>4kHz)</w:t>
      </w:r>
      <w:r w:rsidR="006D63D0" w:rsidRPr="00A41902">
        <w:t>)</w:t>
      </w:r>
      <w:r w:rsidR="008A39FF" w:rsidRPr="00A41902">
        <w:t xml:space="preserve"> </w:t>
      </w:r>
      <w:r w:rsidR="00174559" w:rsidRPr="00A41902">
        <w:t xml:space="preserve">in </w:t>
      </w:r>
      <w:r w:rsidR="004036AB" w:rsidRPr="00A41902">
        <w:t xml:space="preserve">the </w:t>
      </w:r>
      <w:r w:rsidR="00174559" w:rsidRPr="00A41902">
        <w:t xml:space="preserve">862-870 MHz </w:t>
      </w:r>
      <w:r w:rsidR="004036AB" w:rsidRPr="00A41902">
        <w:t xml:space="preserve">frequency band </w:t>
      </w:r>
      <w:r w:rsidR="008A39FF" w:rsidRPr="00A41902">
        <w:t xml:space="preserve">is </w:t>
      </w:r>
      <w:r w:rsidRPr="00A41902">
        <w:t>not exceeded</w:t>
      </w:r>
      <w:r w:rsidR="008A39FF" w:rsidRPr="00A41902">
        <w:t xml:space="preserve"> on </w:t>
      </w:r>
      <w:r w:rsidR="00174559" w:rsidRPr="00A41902">
        <w:t xml:space="preserve">the </w:t>
      </w:r>
      <w:r w:rsidR="008A39FF" w:rsidRPr="00A41902">
        <w:t>Earth</w:t>
      </w:r>
      <w:r w:rsidR="00174559" w:rsidRPr="00A41902">
        <w:t>’s</w:t>
      </w:r>
      <w:r w:rsidR="008A39FF" w:rsidRPr="00A41902">
        <w:t xml:space="preserve"> surface</w:t>
      </w:r>
      <w:r w:rsidRPr="00A41902">
        <w:t>.</w:t>
      </w:r>
    </w:p>
    <w:p w14:paraId="4CE04FE3" w14:textId="77777777" w:rsidR="006C03D0" w:rsidRPr="00A41902" w:rsidRDefault="005F7AD5" w:rsidP="005D2C3B">
      <w:pPr>
        <w:pStyle w:val="Heading2"/>
        <w:rPr>
          <w:lang w:val="en-GB"/>
        </w:rPr>
      </w:pPr>
      <w:r w:rsidRPr="00A41902">
        <w:rPr>
          <w:lang w:val="en-GB"/>
        </w:rPr>
        <w:t>REQUIREMENT FOR AN ECC DECISION</w:t>
      </w:r>
    </w:p>
    <w:p w14:paraId="546590C7" w14:textId="3F256A14" w:rsidR="00D97E0C" w:rsidRPr="00A41902" w:rsidRDefault="00D97E0C" w:rsidP="00920644">
      <w:pPr>
        <w:pStyle w:val="ECCParagraph"/>
      </w:pPr>
      <w:r w:rsidRPr="00A41902">
        <w:t xml:space="preserve">CEPT administrations intend to </w:t>
      </w:r>
      <w:r w:rsidR="00174559" w:rsidRPr="00A41902">
        <w:t xml:space="preserve">allow </w:t>
      </w:r>
      <w:r w:rsidR="00DC592E" w:rsidRPr="00A41902">
        <w:t xml:space="preserve">low power devices </w:t>
      </w:r>
      <w:r w:rsidR="00064290" w:rsidRPr="00A41902">
        <w:t xml:space="preserve">within their territories communicating with </w:t>
      </w:r>
      <w:r w:rsidR="00174559" w:rsidRPr="00A41902">
        <w:t>satellites in the frequency band 862-870 MHz</w:t>
      </w:r>
      <w:r w:rsidR="00E05484" w:rsidRPr="00A41902">
        <w:t>.</w:t>
      </w:r>
      <w:r w:rsidR="00174559" w:rsidRPr="00A41902">
        <w:t xml:space="preserve"> These administrations </w:t>
      </w:r>
      <w:r w:rsidRPr="00A41902">
        <w:t xml:space="preserve">might benefit from a </w:t>
      </w:r>
      <w:r w:rsidR="001B76CC" w:rsidRPr="00A41902">
        <w:t>list</w:t>
      </w:r>
      <w:r w:rsidR="00174559" w:rsidRPr="00A41902">
        <w:t xml:space="preserve"> of satellite systems</w:t>
      </w:r>
      <w:r w:rsidR="001B76CC" w:rsidRPr="00A41902">
        <w:t xml:space="preserve"> </w:t>
      </w:r>
      <w:r w:rsidRPr="00A41902">
        <w:t>wherein operators</w:t>
      </w:r>
      <w:r w:rsidR="00684EB9" w:rsidRPr="00A41902">
        <w:t xml:space="preserve"> and their notifying administration</w:t>
      </w:r>
      <w:r w:rsidRPr="00A41902">
        <w:t xml:space="preserve"> have committed to adhere to defined operational parameters (</w:t>
      </w:r>
      <w:r w:rsidR="007863DC" w:rsidRPr="00A41902">
        <w:t>i.e.</w:t>
      </w:r>
      <w:r w:rsidRPr="00A41902">
        <w:t xml:space="preserve"> </w:t>
      </w:r>
      <w:r w:rsidR="004036AB" w:rsidRPr="00A41902">
        <w:t xml:space="preserve">the </w:t>
      </w:r>
      <w:r w:rsidRPr="00A41902">
        <w:t>above-mentioned PFD limit)</w:t>
      </w:r>
      <w:r w:rsidR="00684EB9" w:rsidRPr="00A41902">
        <w:t>, considering that</w:t>
      </w:r>
      <w:r w:rsidRPr="00A41902">
        <w:t xml:space="preserve"> </w:t>
      </w:r>
      <w:r w:rsidR="00684EB9" w:rsidRPr="00A41902">
        <w:t>h</w:t>
      </w:r>
      <w:r w:rsidRPr="00A41902">
        <w:t xml:space="preserve">igher PFD values could be detrimental to </w:t>
      </w:r>
      <w:r w:rsidR="00684EB9" w:rsidRPr="00A41902">
        <w:t xml:space="preserve">other </w:t>
      </w:r>
      <w:r w:rsidRPr="00A41902">
        <w:t>SRD applications, presenting unpredictable challenges within this band.</w:t>
      </w:r>
      <w:r w:rsidR="00174559" w:rsidRPr="00A41902">
        <w:t xml:space="preserve"> The 862-870 MHz frequency band is crucial for SRD applications</w:t>
      </w:r>
      <w:r w:rsidR="00064290" w:rsidRPr="00A41902">
        <w:t xml:space="preserve"> in Europe</w:t>
      </w:r>
      <w:r w:rsidR="00174559" w:rsidRPr="00A41902">
        <w:t>.</w:t>
      </w:r>
      <w:r w:rsidR="005A28A5" w:rsidRPr="00A41902">
        <w:t xml:space="preserve"> </w:t>
      </w:r>
      <w:r w:rsidRPr="00A41902">
        <w:t xml:space="preserve">This situation underscores the necessity of establishing harmonised spectrum </w:t>
      </w:r>
      <w:r w:rsidR="001A55FE" w:rsidRPr="00A41902">
        <w:t xml:space="preserve">utilisation </w:t>
      </w:r>
      <w:r w:rsidRPr="00A41902">
        <w:t>rules to ensure the efficient use of the spectrum.</w:t>
      </w:r>
    </w:p>
    <w:p w14:paraId="57700FE9" w14:textId="3E91972A" w:rsidR="003C2512" w:rsidRPr="00A41902" w:rsidRDefault="003C2512" w:rsidP="00920644">
      <w:pPr>
        <w:pStyle w:val="ECCParagraph"/>
      </w:pPr>
      <w:r w:rsidRPr="00A41902">
        <w:t xml:space="preserve">Each administration may elaborate its own list of </w:t>
      </w:r>
      <w:r w:rsidR="0086206F" w:rsidRPr="00A41902">
        <w:t>compliant satellite</w:t>
      </w:r>
      <w:r w:rsidR="005F1E65" w:rsidRPr="00A41902">
        <w:t xml:space="preserve"> networks</w:t>
      </w:r>
      <w:r w:rsidR="0086206F" w:rsidRPr="00A41902">
        <w:t xml:space="preserve">. </w:t>
      </w:r>
      <w:r w:rsidR="00AC21BF" w:rsidRPr="00A41902">
        <w:t>Nevertheless,</w:t>
      </w:r>
      <w:r w:rsidR="0086206F" w:rsidRPr="00A41902">
        <w:t xml:space="preserve"> a</w:t>
      </w:r>
      <w:r w:rsidRPr="00A41902">
        <w:t xml:space="preserve"> </w:t>
      </w:r>
      <w:r w:rsidR="0086206F" w:rsidRPr="00A41902">
        <w:t>list</w:t>
      </w:r>
      <w:r w:rsidRPr="00A41902">
        <w:t xml:space="preserve"> </w:t>
      </w:r>
      <w:r w:rsidR="0086206F" w:rsidRPr="00A41902">
        <w:t xml:space="preserve">is </w:t>
      </w:r>
      <w:r w:rsidR="004036AB" w:rsidRPr="00A41902">
        <w:t xml:space="preserve">included </w:t>
      </w:r>
      <w:r w:rsidRPr="00A41902">
        <w:t xml:space="preserve">in this Decision </w:t>
      </w:r>
      <w:r w:rsidR="0086206F" w:rsidRPr="00A41902">
        <w:t>to</w:t>
      </w:r>
      <w:r w:rsidRPr="00A41902">
        <w:t xml:space="preserve"> </w:t>
      </w:r>
      <w:r w:rsidR="00064290" w:rsidRPr="00A41902">
        <w:t>assist</w:t>
      </w:r>
      <w:r w:rsidRPr="00A41902">
        <w:t xml:space="preserve"> administrations </w:t>
      </w:r>
      <w:r w:rsidR="0086206F" w:rsidRPr="00A41902">
        <w:t>which want to benefit from th</w:t>
      </w:r>
      <w:r w:rsidR="00064290" w:rsidRPr="00A41902">
        <w:t>is Decision</w:t>
      </w:r>
      <w:r w:rsidR="0086206F" w:rsidRPr="00A41902">
        <w:t xml:space="preserve"> </w:t>
      </w:r>
      <w:r w:rsidR="00064290" w:rsidRPr="00A41902">
        <w:t>when</w:t>
      </w:r>
      <w:r w:rsidR="0086206F" w:rsidRPr="00A41902">
        <w:t xml:space="preserve"> identifying compliant satellite</w:t>
      </w:r>
      <w:r w:rsidR="004036AB" w:rsidRPr="00A41902">
        <w:t xml:space="preserve"> network</w:t>
      </w:r>
      <w:r w:rsidR="0086206F" w:rsidRPr="00A41902">
        <w:t>s.</w:t>
      </w:r>
    </w:p>
    <w:p w14:paraId="57106DCB" w14:textId="0A90C099" w:rsidR="006C03D0" w:rsidRPr="00A41902" w:rsidRDefault="005F7AD5" w:rsidP="00F0592A">
      <w:pPr>
        <w:pStyle w:val="Heading1"/>
      </w:pPr>
      <w:r w:rsidRPr="00A41902">
        <w:lastRenderedPageBreak/>
        <w:t xml:space="preserve">ECC Decision </w:t>
      </w:r>
      <w:r w:rsidR="00F0592A" w:rsidRPr="00A41902">
        <w:t>(</w:t>
      </w:r>
      <w:r w:rsidR="009D63D9">
        <w:t>25</w:t>
      </w:r>
      <w:r w:rsidR="00F0592A" w:rsidRPr="00A41902">
        <w:t>)</w:t>
      </w:r>
      <w:r w:rsidR="009D63D9">
        <w:t>02</w:t>
      </w:r>
      <w:r w:rsidR="00F0592A" w:rsidRPr="00A41902">
        <w:t xml:space="preserve"> </w:t>
      </w:r>
      <w:r w:rsidRPr="00A41902">
        <w:t>of</w:t>
      </w:r>
      <w:r w:rsidR="00A8085A" w:rsidRPr="00A41902">
        <w:t xml:space="preserve"> dd month </w:t>
      </w:r>
      <w:r w:rsidR="00AB0A55" w:rsidRPr="00A41902">
        <w:t>2025</w:t>
      </w:r>
      <w:r w:rsidR="00A8085A" w:rsidRPr="00A41902">
        <w:t xml:space="preserve"> </w:t>
      </w:r>
      <w:r w:rsidRPr="00A41902">
        <w:t>on</w:t>
      </w:r>
      <w:r w:rsidR="00A8085A" w:rsidRPr="00A41902">
        <w:t xml:space="preserve"> </w:t>
      </w:r>
      <w:r w:rsidR="00DC592E" w:rsidRPr="00A41902">
        <w:t>low power devices</w:t>
      </w:r>
      <w:r w:rsidR="00A17787" w:rsidRPr="00A41902">
        <w:t xml:space="preserve"> communicating with Satellites within the frequency range 862-870 MHz</w:t>
      </w:r>
    </w:p>
    <w:p w14:paraId="2C50F960" w14:textId="55270C44" w:rsidR="006C03D0" w:rsidRPr="00A41902" w:rsidRDefault="005F7AD5" w:rsidP="006C03D0">
      <w:pPr>
        <w:pStyle w:val="ECCParagraph"/>
      </w:pPr>
      <w:r w:rsidRPr="00A41902">
        <w:t>“The European Conference of Postal and Telecommunications Administrations,</w:t>
      </w:r>
    </w:p>
    <w:p w14:paraId="397B93F8" w14:textId="77777777" w:rsidR="006C03D0" w:rsidRPr="00A41902" w:rsidRDefault="005F7AD5" w:rsidP="006C03D0">
      <w:pPr>
        <w:pStyle w:val="ECCParagraph"/>
        <w:rPr>
          <w:i/>
          <w:color w:val="D2232A"/>
        </w:rPr>
      </w:pPr>
      <w:r w:rsidRPr="00A41902">
        <w:rPr>
          <w:i/>
          <w:color w:val="D2232A"/>
        </w:rPr>
        <w:t>considering</w:t>
      </w:r>
    </w:p>
    <w:p w14:paraId="08EB4BAE" w14:textId="59D159CF" w:rsidR="002459D9" w:rsidRPr="00A41902" w:rsidRDefault="002459D9" w:rsidP="002459D9">
      <w:pPr>
        <w:pStyle w:val="ECCParagraph"/>
        <w:numPr>
          <w:ilvl w:val="0"/>
          <w:numId w:val="17"/>
        </w:numPr>
      </w:pPr>
      <w:r w:rsidRPr="00A41902">
        <w:t xml:space="preserve">that CEPT administrations require </w:t>
      </w:r>
      <w:r w:rsidR="00AA1E85" w:rsidRPr="00A41902">
        <w:t xml:space="preserve">regulatory </w:t>
      </w:r>
      <w:r w:rsidR="00360521" w:rsidRPr="00A41902">
        <w:t>provision</w:t>
      </w:r>
      <w:r w:rsidR="00AA1E85" w:rsidRPr="00A41902">
        <w:t>s</w:t>
      </w:r>
      <w:r w:rsidRPr="00A41902">
        <w:t xml:space="preserve"> to mitigate interference </w:t>
      </w:r>
      <w:r w:rsidR="00DC2C1E" w:rsidRPr="00A41902">
        <w:t xml:space="preserve">to </w:t>
      </w:r>
      <w:r w:rsidRPr="00A41902">
        <w:t>existing SRD applications</w:t>
      </w:r>
      <w:r w:rsidR="00B54BC4" w:rsidRPr="00A41902">
        <w:t>;</w:t>
      </w:r>
    </w:p>
    <w:p w14:paraId="45C308AF" w14:textId="2EE6CEA4" w:rsidR="007509A1" w:rsidRPr="00A41902" w:rsidRDefault="00014EC7">
      <w:pPr>
        <w:pStyle w:val="ECCParagraph"/>
        <w:numPr>
          <w:ilvl w:val="0"/>
          <w:numId w:val="17"/>
        </w:numPr>
      </w:pPr>
      <w:r w:rsidRPr="00A41902">
        <w:t>t</w:t>
      </w:r>
      <w:r w:rsidR="007509A1" w:rsidRPr="00A41902">
        <w:t xml:space="preserve">hat ECC Report 357 </w:t>
      </w:r>
      <w:r w:rsidR="005B7EDD" w:rsidRPr="00A41902">
        <w:fldChar w:fldCharType="begin"/>
      </w:r>
      <w:r w:rsidR="005B7EDD" w:rsidRPr="00A41902">
        <w:instrText xml:space="preserve"> REF _Ref189471008 \r \h </w:instrText>
      </w:r>
      <w:r w:rsidR="005B7EDD" w:rsidRPr="00A41902">
        <w:fldChar w:fldCharType="separate"/>
      </w:r>
      <w:r w:rsidR="005B7EDD" w:rsidRPr="00A41902">
        <w:t>[2]</w:t>
      </w:r>
      <w:r w:rsidR="005B7EDD" w:rsidRPr="00A41902">
        <w:fldChar w:fldCharType="end"/>
      </w:r>
      <w:r w:rsidR="005B7EDD" w:rsidRPr="00A41902">
        <w:t xml:space="preserve"> </w:t>
      </w:r>
      <w:r w:rsidR="007509A1" w:rsidRPr="00A41902">
        <w:t xml:space="preserve">describes </w:t>
      </w:r>
      <w:r w:rsidR="00DC2C1E" w:rsidRPr="00A41902">
        <w:t xml:space="preserve">satellites </w:t>
      </w:r>
      <w:r w:rsidR="007509A1" w:rsidRPr="00A41902">
        <w:t xml:space="preserve">communicating </w:t>
      </w:r>
      <w:r w:rsidR="00DC2C1E" w:rsidRPr="00A41902">
        <w:t xml:space="preserve">to </w:t>
      </w:r>
      <w:r w:rsidR="000423E5" w:rsidRPr="00A41902">
        <w:t xml:space="preserve">low power devices </w:t>
      </w:r>
      <w:r w:rsidR="007509A1" w:rsidRPr="00A41902">
        <w:t>for the space-to-Earth transmissions to mainly contain multicast messages, either for wake-up beaconing or for device control</w:t>
      </w:r>
      <w:r w:rsidRPr="00A41902">
        <w:t xml:space="preserve"> while typically not using dedicated unicast transmissions from satellites to individual devices;</w:t>
      </w:r>
    </w:p>
    <w:p w14:paraId="00777FB1" w14:textId="56BEEB9F" w:rsidR="00F542B3" w:rsidRPr="00A41902" w:rsidRDefault="00F542B3" w:rsidP="00F542B3">
      <w:pPr>
        <w:pStyle w:val="ECCParagraph"/>
        <w:numPr>
          <w:ilvl w:val="0"/>
          <w:numId w:val="17"/>
        </w:numPr>
      </w:pPr>
      <w:r w:rsidRPr="00A41902">
        <w:t xml:space="preserve">that </w:t>
      </w:r>
      <w:r w:rsidR="00DC2C1E" w:rsidRPr="00A41902">
        <w:t xml:space="preserve">some </w:t>
      </w:r>
      <w:r w:rsidR="000423E5" w:rsidRPr="00A41902">
        <w:t xml:space="preserve">low power devices </w:t>
      </w:r>
      <w:r w:rsidRPr="00A41902">
        <w:t>transmissions can regularly be received by satellites. As for any other earth station, the satellites communicating with it and its associated ITU frequency assignments need to be known by administrations;</w:t>
      </w:r>
    </w:p>
    <w:p w14:paraId="036A6027" w14:textId="3B2BB2E0" w:rsidR="0056503B" w:rsidRPr="00A41902" w:rsidRDefault="0056503B" w:rsidP="00F542B3">
      <w:pPr>
        <w:pStyle w:val="ECCParagraph"/>
        <w:numPr>
          <w:ilvl w:val="0"/>
          <w:numId w:val="17"/>
        </w:numPr>
      </w:pPr>
      <w:r w:rsidRPr="00A41902">
        <w:t xml:space="preserve">that satellites intending to communicate with </w:t>
      </w:r>
      <w:r w:rsidR="000423E5" w:rsidRPr="00A41902">
        <w:t xml:space="preserve">low power devices </w:t>
      </w:r>
      <w:r w:rsidRPr="00A41902">
        <w:t xml:space="preserve">in the band 862-870 MHz operate under space frequency assignments notified under No 4.4 </w:t>
      </w:r>
      <w:r w:rsidR="0073540E" w:rsidRPr="00A41902">
        <w:t xml:space="preserve">of the Radio Regulations </w:t>
      </w:r>
      <w:r w:rsidRPr="00A41902">
        <w:t>on a non-in</w:t>
      </w:r>
      <w:r w:rsidR="00DC2C1E" w:rsidRPr="00A41902">
        <w:t>ter</w:t>
      </w:r>
      <w:r w:rsidRPr="00A41902">
        <w:t xml:space="preserve">ference </w:t>
      </w:r>
      <w:r w:rsidR="00DC2C1E" w:rsidRPr="00A41902">
        <w:t xml:space="preserve">and </w:t>
      </w:r>
      <w:r w:rsidRPr="00A41902">
        <w:t>non-protection basis;</w:t>
      </w:r>
    </w:p>
    <w:p w14:paraId="22F76A26" w14:textId="7BBFC242" w:rsidR="00F542B3" w:rsidRPr="00A41902" w:rsidRDefault="00F542B3" w:rsidP="00F542B3">
      <w:pPr>
        <w:pStyle w:val="ECCParagraph"/>
        <w:numPr>
          <w:ilvl w:val="0"/>
          <w:numId w:val="17"/>
        </w:numPr>
      </w:pPr>
      <w:r w:rsidRPr="00A41902">
        <w:t>that there are no dedicated protection criteria but clear transmit power limitations and channel occupation rules in the SRD regulation, which are confirmed to fulfil the intended purpose and performance of</w:t>
      </w:r>
      <w:r w:rsidR="000423E5" w:rsidRPr="00A41902">
        <w:t xml:space="preserve"> transmissions from low power device </w:t>
      </w:r>
      <w:r w:rsidRPr="00A41902">
        <w:t>to</w:t>
      </w:r>
      <w:r w:rsidR="000423E5" w:rsidRPr="00A41902">
        <w:t xml:space="preserve"> </w:t>
      </w:r>
      <w:r w:rsidRPr="00A41902">
        <w:t>satellite</w:t>
      </w:r>
      <w:r w:rsidR="000423E5" w:rsidRPr="00A41902">
        <w:t>s</w:t>
      </w:r>
      <w:r w:rsidRPr="00A41902">
        <w:t xml:space="preserve">. </w:t>
      </w:r>
      <w:r w:rsidR="000423E5" w:rsidRPr="00A41902">
        <w:t>These</w:t>
      </w:r>
      <w:r w:rsidRPr="00A41902">
        <w:t xml:space="preserve"> transmissions have to respect these limitations, including the duty cycle limitations in the various sub-bands within 862-870 MHz</w:t>
      </w:r>
      <w:r w:rsidR="00B54BC4" w:rsidRPr="00A41902">
        <w:t>;</w:t>
      </w:r>
    </w:p>
    <w:p w14:paraId="1C778765" w14:textId="0FADB229" w:rsidR="002459D9" w:rsidRPr="00A41902" w:rsidRDefault="002459D9" w:rsidP="002459D9">
      <w:pPr>
        <w:pStyle w:val="ECCParagraph"/>
        <w:numPr>
          <w:ilvl w:val="0"/>
          <w:numId w:val="17"/>
        </w:numPr>
      </w:pPr>
      <w:r w:rsidRPr="00A41902">
        <w:t>that s</w:t>
      </w:r>
      <w:r w:rsidR="0065543A" w:rsidRPr="00A41902">
        <w:t>pace-to-Earth transmissions with no PFD limit</w:t>
      </w:r>
      <w:r w:rsidRPr="00A41902">
        <w:t xml:space="preserve"> may lead to interference </w:t>
      </w:r>
      <w:r w:rsidR="000D7EF4" w:rsidRPr="00A41902">
        <w:t>to</w:t>
      </w:r>
      <w:r w:rsidRPr="00A41902">
        <w:t xml:space="preserve"> terrestrial SRD applications</w:t>
      </w:r>
      <w:r w:rsidR="004B2E89" w:rsidRPr="00A41902">
        <w:t xml:space="preserve"> as well as radio services in adjacent bands</w:t>
      </w:r>
      <w:r w:rsidR="00B54BC4" w:rsidRPr="00A41902">
        <w:t>;</w:t>
      </w:r>
    </w:p>
    <w:p w14:paraId="5AC10188" w14:textId="20C6DD2F" w:rsidR="00B51CA9" w:rsidRPr="00A41902" w:rsidRDefault="004F2DBE">
      <w:pPr>
        <w:pStyle w:val="ECCParagraph"/>
        <w:numPr>
          <w:ilvl w:val="0"/>
          <w:numId w:val="17"/>
        </w:numPr>
        <w:ind w:left="378" w:hanging="378"/>
      </w:pPr>
      <w:r w:rsidRPr="00A41902">
        <w:t xml:space="preserve">that </w:t>
      </w:r>
      <w:r w:rsidR="00B51CA9" w:rsidRPr="00A41902">
        <w:t xml:space="preserve">CEPT administrations need </w:t>
      </w:r>
      <w:r w:rsidRPr="00A41902">
        <w:t xml:space="preserve">to secure </w:t>
      </w:r>
      <w:r w:rsidR="00B51CA9" w:rsidRPr="00A41902">
        <w:t xml:space="preserve">an efficient use of spectrum, avoiding </w:t>
      </w:r>
      <w:r w:rsidRPr="00A41902">
        <w:t xml:space="preserve">unacceptable </w:t>
      </w:r>
      <w:r w:rsidR="00B51CA9" w:rsidRPr="00A41902">
        <w:t xml:space="preserve">interference </w:t>
      </w:r>
      <w:r w:rsidR="004B2E89" w:rsidRPr="00A41902">
        <w:t xml:space="preserve">to </w:t>
      </w:r>
      <w:r w:rsidRPr="00A41902">
        <w:t xml:space="preserve">current </w:t>
      </w:r>
      <w:r w:rsidR="00B51CA9" w:rsidRPr="00A41902">
        <w:t>SRD applications</w:t>
      </w:r>
      <w:r w:rsidR="00B54BC4" w:rsidRPr="00A41902">
        <w:t>;</w:t>
      </w:r>
    </w:p>
    <w:p w14:paraId="3964A06A" w14:textId="1F6408BE" w:rsidR="00490CF2" w:rsidRPr="00A41902" w:rsidRDefault="00490CF2" w:rsidP="00490CF2">
      <w:pPr>
        <w:pStyle w:val="ECCParagraph"/>
        <w:numPr>
          <w:ilvl w:val="0"/>
          <w:numId w:val="17"/>
        </w:numPr>
      </w:pPr>
      <w:r w:rsidRPr="00A41902">
        <w:t>that some CEPT administrations may require that operators of such satellite networks operating within 862-870 MHz to obtain an individual authorisation for their network due to national regulat</w:t>
      </w:r>
      <w:r w:rsidR="004B2E89" w:rsidRPr="00A41902">
        <w:t>ions</w:t>
      </w:r>
      <w:r w:rsidRPr="00A41902">
        <w:t>;</w:t>
      </w:r>
    </w:p>
    <w:p w14:paraId="646ACC76" w14:textId="4AD61B85" w:rsidR="004F2DBE" w:rsidRPr="00A41902" w:rsidRDefault="004F2DBE" w:rsidP="004F2DBE">
      <w:pPr>
        <w:pStyle w:val="ECCParagraph"/>
        <w:numPr>
          <w:ilvl w:val="0"/>
          <w:numId w:val="17"/>
        </w:numPr>
        <w:ind w:left="378" w:hanging="378"/>
      </w:pPr>
      <w:r w:rsidRPr="00A41902">
        <w:t>that ECC Report 357 concludes</w:t>
      </w:r>
      <w:r w:rsidR="004B2E89" w:rsidRPr="00A41902">
        <w:t xml:space="preserve"> that there is a</w:t>
      </w:r>
      <w:r w:rsidRPr="00A41902">
        <w:t xml:space="preserve"> need for regulatory provisions to address </w:t>
      </w:r>
      <w:r w:rsidR="000423E5" w:rsidRPr="00A41902">
        <w:t xml:space="preserve">transmissions from </w:t>
      </w:r>
      <w:r w:rsidRPr="00A41902">
        <w:t>satellite</w:t>
      </w:r>
      <w:r w:rsidR="000423E5" w:rsidRPr="00A41902">
        <w:t xml:space="preserve">s </w:t>
      </w:r>
      <w:r w:rsidRPr="00A41902">
        <w:t>to</w:t>
      </w:r>
      <w:r w:rsidR="000423E5" w:rsidRPr="00A41902">
        <w:t xml:space="preserve"> low power devices</w:t>
      </w:r>
      <w:r w:rsidR="007B3768" w:rsidRPr="00A41902">
        <w:t>;</w:t>
      </w:r>
    </w:p>
    <w:p w14:paraId="7032AF6B" w14:textId="12BD889F" w:rsidR="00DB08EB" w:rsidRPr="00A41902" w:rsidRDefault="007B3768" w:rsidP="00DB08EB">
      <w:pPr>
        <w:pStyle w:val="ECCParagraph"/>
        <w:numPr>
          <w:ilvl w:val="0"/>
          <w:numId w:val="17"/>
        </w:numPr>
      </w:pPr>
      <w:r w:rsidRPr="00A41902">
        <w:t>t</w:t>
      </w:r>
      <w:r w:rsidR="00DB08EB" w:rsidRPr="00A41902">
        <w:t xml:space="preserve">hat this ECC Decision does not </w:t>
      </w:r>
      <w:r w:rsidR="004B2E89" w:rsidRPr="00A41902">
        <w:t xml:space="preserve">provide </w:t>
      </w:r>
      <w:r w:rsidR="00DB08EB" w:rsidRPr="00A41902">
        <w:t xml:space="preserve">any form of protection of such </w:t>
      </w:r>
      <w:r w:rsidR="00814550" w:rsidRPr="00A41902">
        <w:t xml:space="preserve">satellite </w:t>
      </w:r>
      <w:r w:rsidR="00DB08EB" w:rsidRPr="00A41902">
        <w:t xml:space="preserve">systems (both satellites and their </w:t>
      </w:r>
      <w:r w:rsidR="00814550" w:rsidRPr="00A41902">
        <w:t>associated SRD</w:t>
      </w:r>
      <w:r w:rsidR="00DB08EB" w:rsidRPr="00A41902">
        <w:t>)</w:t>
      </w:r>
      <w:r w:rsidR="00145F60" w:rsidRPr="00A41902">
        <w:t>;</w:t>
      </w:r>
    </w:p>
    <w:p w14:paraId="638092EE" w14:textId="7290D905" w:rsidR="007802CA" w:rsidRPr="00A41902" w:rsidRDefault="00BF1DF7" w:rsidP="00360521">
      <w:pPr>
        <w:pStyle w:val="ECCParagraph"/>
        <w:numPr>
          <w:ilvl w:val="0"/>
          <w:numId w:val="17"/>
        </w:numPr>
        <w:ind w:left="378" w:hanging="378"/>
      </w:pPr>
      <w:r w:rsidRPr="00A41902">
        <w:t>t</w:t>
      </w:r>
      <w:r w:rsidR="007802CA" w:rsidRPr="00A41902">
        <w:t>hat ECC Report 357 concludes that the PFD limit of -142 dB</w:t>
      </w:r>
      <w:r w:rsidR="004B2E89" w:rsidRPr="00A41902">
        <w:t>(</w:t>
      </w:r>
      <w:r w:rsidR="007802CA" w:rsidRPr="00A41902">
        <w:t>W/(m²</w:t>
      </w:r>
      <w:r w:rsidR="009E22A6" w:rsidRPr="00A41902">
        <w:t>.</w:t>
      </w:r>
      <w:r w:rsidR="007802CA" w:rsidRPr="00A41902">
        <w:t>4kHz)</w:t>
      </w:r>
      <w:r w:rsidR="004B2E89" w:rsidRPr="00A41902">
        <w:t>)</w:t>
      </w:r>
      <w:r w:rsidR="007802CA" w:rsidRPr="00A41902">
        <w:t xml:space="preserve"> on the Earth's surface satisfies the requirements for the feasibility of satellite</w:t>
      </w:r>
      <w:r w:rsidR="000423E5" w:rsidRPr="00A41902">
        <w:t xml:space="preserve"> to low power device</w:t>
      </w:r>
      <w:r w:rsidR="007802CA" w:rsidRPr="00A41902">
        <w:t xml:space="preserve"> links and ensures that these transmissions do not create any unacceptable interference to current SRD applications</w:t>
      </w:r>
      <w:r w:rsidR="00145F60" w:rsidRPr="00A41902">
        <w:t>;</w:t>
      </w:r>
    </w:p>
    <w:p w14:paraId="2CAA8801" w14:textId="499F4622" w:rsidR="0014029B" w:rsidRPr="00A41902" w:rsidRDefault="0014029B" w:rsidP="00E5312C">
      <w:pPr>
        <w:pStyle w:val="ECCParagraph"/>
        <w:numPr>
          <w:ilvl w:val="0"/>
          <w:numId w:val="17"/>
        </w:numPr>
        <w:ind w:left="378" w:hanging="378"/>
      </w:pPr>
      <w:r w:rsidRPr="00A41902">
        <w:t xml:space="preserve">that the Decides 1 to </w:t>
      </w:r>
      <w:r w:rsidR="000423E5" w:rsidRPr="00A41902">
        <w:t xml:space="preserve">10 </w:t>
      </w:r>
      <w:r w:rsidRPr="00A41902">
        <w:t xml:space="preserve">below are developed due to the </w:t>
      </w:r>
      <w:r w:rsidR="00A3471F" w:rsidRPr="00A41902">
        <w:t>unique</w:t>
      </w:r>
      <w:r w:rsidRPr="00A41902">
        <w:t xml:space="preserve"> regulatory situation of the </w:t>
      </w:r>
      <w:r w:rsidR="000423E5" w:rsidRPr="00A41902">
        <w:t xml:space="preserve">low power device communicating with </w:t>
      </w:r>
      <w:r w:rsidRPr="00A41902">
        <w:t>satellite in the band 862-870 MHz</w:t>
      </w:r>
      <w:r w:rsidR="009F7358" w:rsidRPr="00A41902">
        <w:t xml:space="preserve"> </w:t>
      </w:r>
      <w:r w:rsidR="006A3037" w:rsidRPr="00A41902">
        <w:t>because there is no</w:t>
      </w:r>
      <w:r w:rsidR="009F7358" w:rsidRPr="00A41902">
        <w:t xml:space="preserve"> allocation</w:t>
      </w:r>
      <w:r w:rsidR="006A3037" w:rsidRPr="00A41902">
        <w:t xml:space="preserve"> </w:t>
      </w:r>
      <w:r w:rsidR="00C7356B" w:rsidRPr="00A41902">
        <w:t xml:space="preserve">to satellite services </w:t>
      </w:r>
      <w:r w:rsidR="006A3037" w:rsidRPr="00A41902">
        <w:t>in this band</w:t>
      </w:r>
      <w:r w:rsidR="000423E5" w:rsidRPr="00A41902">
        <w:t xml:space="preserve"> for CEPT countries</w:t>
      </w:r>
      <w:r w:rsidR="00145F60" w:rsidRPr="00A41902">
        <w:t>;</w:t>
      </w:r>
    </w:p>
    <w:p w14:paraId="49A50C65" w14:textId="3A7651FE" w:rsidR="004F2DBE" w:rsidRPr="00A41902" w:rsidRDefault="0039384E" w:rsidP="00C74919">
      <w:pPr>
        <w:pStyle w:val="ECCParagraph"/>
        <w:numPr>
          <w:ilvl w:val="0"/>
          <w:numId w:val="17"/>
        </w:numPr>
      </w:pPr>
      <w:r w:rsidRPr="00A41902">
        <w:t>that a general authorisation</w:t>
      </w:r>
      <w:r w:rsidR="005C3326" w:rsidRPr="00A41902">
        <w:t xml:space="preserve"> set out in ERC Recommendation 70-03 </w:t>
      </w:r>
      <w:r w:rsidR="005B7EDD" w:rsidRPr="00A41902">
        <w:fldChar w:fldCharType="begin"/>
      </w:r>
      <w:r w:rsidR="005B7EDD" w:rsidRPr="00A41902">
        <w:instrText xml:space="preserve"> REF _Ref189470974 \r \h </w:instrText>
      </w:r>
      <w:r w:rsidR="005B7EDD" w:rsidRPr="00A41902">
        <w:fldChar w:fldCharType="separate"/>
      </w:r>
      <w:r w:rsidR="005B7EDD" w:rsidRPr="00A41902">
        <w:t>[1]</w:t>
      </w:r>
      <w:r w:rsidR="005B7EDD" w:rsidRPr="00A41902">
        <w:fldChar w:fldCharType="end"/>
      </w:r>
      <w:r w:rsidR="005B7EDD" w:rsidRPr="00A41902">
        <w:t xml:space="preserve"> </w:t>
      </w:r>
      <w:r w:rsidR="005C3326" w:rsidRPr="00A41902">
        <w:t>and Commission Decision 2006/771/EC (as amended)</w:t>
      </w:r>
      <w:r w:rsidRPr="00A41902">
        <w:t xml:space="preserve"> </w:t>
      </w:r>
      <w:r w:rsidR="001F1C31" w:rsidRPr="00A41902">
        <w:fldChar w:fldCharType="begin"/>
      </w:r>
      <w:r w:rsidR="001F1C31" w:rsidRPr="00A41902">
        <w:instrText xml:space="preserve"> REF _Ref189477406 \r \h </w:instrText>
      </w:r>
      <w:r w:rsidR="001F1C31" w:rsidRPr="00A41902">
        <w:fldChar w:fldCharType="separate"/>
      </w:r>
      <w:r w:rsidR="001F1C31" w:rsidRPr="00A41902">
        <w:t>[3]</w:t>
      </w:r>
      <w:r w:rsidR="001F1C31" w:rsidRPr="00A41902">
        <w:fldChar w:fldCharType="end"/>
      </w:r>
      <w:r w:rsidR="001F1C31" w:rsidRPr="00A41902">
        <w:t xml:space="preserve"> </w:t>
      </w:r>
      <w:r w:rsidRPr="00A41902">
        <w:t xml:space="preserve">exempts </w:t>
      </w:r>
      <w:r w:rsidR="004C01E9" w:rsidRPr="00A41902">
        <w:t xml:space="preserve">SRD </w:t>
      </w:r>
      <w:r w:rsidRPr="00A41902">
        <w:t xml:space="preserve">terminals from individual </w:t>
      </w:r>
      <w:r w:rsidR="004C01E9" w:rsidRPr="00A41902">
        <w:t>authorisation</w:t>
      </w:r>
      <w:r w:rsidR="00F0592A" w:rsidRPr="00A41902">
        <w:t>;</w:t>
      </w:r>
    </w:p>
    <w:p w14:paraId="5BD95B60" w14:textId="5F25C424" w:rsidR="006C03D0" w:rsidRPr="00A41902" w:rsidRDefault="005F7AD5" w:rsidP="00DD5042">
      <w:pPr>
        <w:pStyle w:val="ECCParagraph"/>
        <w:keepNext/>
        <w:rPr>
          <w:color w:val="D2232A"/>
        </w:rPr>
      </w:pPr>
      <w:r w:rsidRPr="00A41902">
        <w:rPr>
          <w:i/>
          <w:color w:val="D2232A"/>
        </w:rPr>
        <w:t>DECIDES</w:t>
      </w:r>
    </w:p>
    <w:p w14:paraId="529CEF45" w14:textId="7D0E62EA" w:rsidR="00BE0479" w:rsidRPr="00A41902" w:rsidRDefault="00BE0479" w:rsidP="00DD5042">
      <w:pPr>
        <w:pStyle w:val="NumberedList"/>
      </w:pPr>
      <w:r w:rsidRPr="00A41902">
        <w:t>that this Decision</w:t>
      </w:r>
      <w:r w:rsidR="00246BD6" w:rsidRPr="00A41902">
        <w:t xml:space="preserve"> defines </w:t>
      </w:r>
      <w:r w:rsidR="00C536CB" w:rsidRPr="00A41902">
        <w:t xml:space="preserve">the conditions that </w:t>
      </w:r>
      <w:r w:rsidR="005665FA" w:rsidRPr="00A41902">
        <w:t xml:space="preserve">low power </w:t>
      </w:r>
      <w:r w:rsidR="00C536CB" w:rsidRPr="00A41902">
        <w:t>devices of the band 862-870</w:t>
      </w:r>
      <w:r w:rsidR="00475EEB" w:rsidRPr="00A41902">
        <w:t xml:space="preserve"> </w:t>
      </w:r>
      <w:r w:rsidR="00C536CB" w:rsidRPr="00A41902">
        <w:t xml:space="preserve">MHz communicating with satellites need </w:t>
      </w:r>
      <w:r w:rsidR="00181F89" w:rsidRPr="00A41902">
        <w:t xml:space="preserve">to </w:t>
      </w:r>
      <w:r w:rsidR="00C536CB" w:rsidRPr="00A41902">
        <w:t xml:space="preserve">fulfil in order to protect the regulatory framework on terrestrial SRD that is critical for CEPT; </w:t>
      </w:r>
    </w:p>
    <w:p w14:paraId="39D89475" w14:textId="74E04AFF" w:rsidR="00C536CB" w:rsidRPr="00A41902" w:rsidRDefault="00C536CB" w:rsidP="00DD5042">
      <w:pPr>
        <w:pStyle w:val="NumberedList"/>
      </w:pPr>
      <w:r w:rsidRPr="00A41902">
        <w:lastRenderedPageBreak/>
        <w:t xml:space="preserve">that low power devices communicating with satellites shall use the same technical characteristics as non-specific SRD devices as </w:t>
      </w:r>
      <w:r w:rsidR="002F7EFE" w:rsidRPr="00A41902">
        <w:t>specified</w:t>
      </w:r>
      <w:r w:rsidRPr="00A41902">
        <w:t xml:space="preserve"> in ERC Recommendation 70-03 </w:t>
      </w:r>
      <w:r w:rsidRPr="00A41902">
        <w:fldChar w:fldCharType="begin"/>
      </w:r>
      <w:r w:rsidRPr="00A41902">
        <w:instrText xml:space="preserve"> REF _Ref189470974 \r \h </w:instrText>
      </w:r>
      <w:r w:rsidRPr="00A41902">
        <w:fldChar w:fldCharType="separate"/>
      </w:r>
      <w:r w:rsidR="00440F99">
        <w:t>[1]</w:t>
      </w:r>
      <w:r w:rsidRPr="00A41902">
        <w:fldChar w:fldCharType="end"/>
      </w:r>
      <w:r w:rsidR="00AD1DB7">
        <w:t>,</w:t>
      </w:r>
      <w:r w:rsidRPr="00A41902">
        <w:t xml:space="preserve"> </w:t>
      </w:r>
      <w:r w:rsidR="00E52B7E">
        <w:t>a</w:t>
      </w:r>
      <w:r w:rsidRPr="00A41902">
        <w:t>nnex 1</w:t>
      </w:r>
      <w:r w:rsidR="00F37870" w:rsidRPr="00A41902">
        <w:t>, frequency bands within the frequency range 862-870 MHz</w:t>
      </w:r>
      <w:r w:rsidR="00BC36D3" w:rsidRPr="00A41902">
        <w:rPr>
          <w:rStyle w:val="FootnoteReference"/>
        </w:rPr>
        <w:footnoteReference w:id="2"/>
      </w:r>
      <w:r w:rsidRPr="00A41902">
        <w:t>;</w:t>
      </w:r>
    </w:p>
    <w:p w14:paraId="406587D7" w14:textId="11354D1F" w:rsidR="00C536CB" w:rsidRPr="00A41902" w:rsidRDefault="00C536CB" w:rsidP="00C536CB">
      <w:pPr>
        <w:pStyle w:val="NumberedList"/>
      </w:pPr>
      <w:r w:rsidRPr="00A41902">
        <w:t xml:space="preserve">that low power devices communicating with satellites cannot claim protection from other applications or services. Any future ECC regulatory provision to manage conforming satellite systems does not require implementation of any form of protection of such systems (both satellites and their associated </w:t>
      </w:r>
      <w:r w:rsidR="00181F89" w:rsidRPr="00A41902">
        <w:t>low power devices</w:t>
      </w:r>
      <w:r w:rsidRPr="00A41902">
        <w:t>).</w:t>
      </w:r>
    </w:p>
    <w:p w14:paraId="7DC32F7F" w14:textId="559E5856" w:rsidR="002459D9" w:rsidRPr="00A41902" w:rsidRDefault="00BF1DF7" w:rsidP="00DD5042">
      <w:pPr>
        <w:pStyle w:val="NumberedList"/>
      </w:pPr>
      <w:r w:rsidRPr="00A41902">
        <w:t xml:space="preserve">that </w:t>
      </w:r>
      <w:r w:rsidR="00AA3A3C" w:rsidRPr="00A41902">
        <w:t>a</w:t>
      </w:r>
      <w:r w:rsidR="002459D9" w:rsidRPr="00A41902">
        <w:t xml:space="preserve">dministrations shall </w:t>
      </w:r>
      <w:r w:rsidR="002F2718" w:rsidRPr="00A41902">
        <w:t xml:space="preserve">exempt </w:t>
      </w:r>
      <w:r w:rsidR="00056634" w:rsidRPr="00A41902">
        <w:t>from</w:t>
      </w:r>
      <w:r w:rsidR="002F2718" w:rsidRPr="00A41902">
        <w:t xml:space="preserve"> individual </w:t>
      </w:r>
      <w:r w:rsidR="00684EB9" w:rsidRPr="00A41902">
        <w:t>authoris</w:t>
      </w:r>
      <w:r w:rsidR="0039384E" w:rsidRPr="00A41902">
        <w:t>ation</w:t>
      </w:r>
      <w:r w:rsidR="00684EB9" w:rsidRPr="00A41902">
        <w:t xml:space="preserve"> </w:t>
      </w:r>
      <w:r w:rsidR="00181D42" w:rsidRPr="00A41902">
        <w:t xml:space="preserve">low power devices </w:t>
      </w:r>
      <w:r w:rsidR="000022C8" w:rsidRPr="00A41902">
        <w:t xml:space="preserve">communicating with </w:t>
      </w:r>
      <w:r w:rsidR="002C2BA5" w:rsidRPr="00A41902">
        <w:t>s</w:t>
      </w:r>
      <w:r w:rsidR="000022C8" w:rsidRPr="00A41902">
        <w:t>atellite</w:t>
      </w:r>
      <w:r w:rsidR="00D17CF0" w:rsidRPr="00A41902">
        <w:t xml:space="preserve"> system</w:t>
      </w:r>
      <w:r w:rsidR="000022C8" w:rsidRPr="00A41902">
        <w:t>s within the frequency range 862-870 MHz</w:t>
      </w:r>
      <w:r w:rsidR="00BE0479" w:rsidRPr="00A41902">
        <w:t>, and</w:t>
      </w:r>
      <w:r w:rsidR="000022C8" w:rsidRPr="00A41902" w:rsidDel="000022C8">
        <w:t xml:space="preserve"> </w:t>
      </w:r>
      <w:r w:rsidR="00684EB9" w:rsidRPr="00A41902">
        <w:t xml:space="preserve">that </w:t>
      </w:r>
      <w:r w:rsidR="002459D9" w:rsidRPr="00A41902">
        <w:t>fulfil</w:t>
      </w:r>
      <w:r w:rsidR="00F47CE4" w:rsidRPr="00A41902">
        <w:t xml:space="preserve"> </w:t>
      </w:r>
      <w:r w:rsidR="009E725F" w:rsidRPr="00A41902">
        <w:t>the</w:t>
      </w:r>
      <w:r w:rsidR="002459D9" w:rsidRPr="00A41902">
        <w:t xml:space="preserve"> requirements listed in </w:t>
      </w:r>
      <w:r w:rsidR="00017FA1" w:rsidRPr="00A41902">
        <w:fldChar w:fldCharType="begin"/>
      </w:r>
      <w:r w:rsidR="00017FA1" w:rsidRPr="00A41902">
        <w:instrText xml:space="preserve"> REF _Ref189472444 \r \h </w:instrText>
      </w:r>
      <w:r w:rsidR="00017FA1" w:rsidRPr="00A41902">
        <w:fldChar w:fldCharType="separate"/>
      </w:r>
      <w:r w:rsidR="00017FA1" w:rsidRPr="00A41902">
        <w:t>Annex 1</w:t>
      </w:r>
      <w:r w:rsidR="00017FA1" w:rsidRPr="00A41902">
        <w:fldChar w:fldCharType="end"/>
      </w:r>
      <w:r w:rsidR="002C2BA5" w:rsidRPr="00A41902">
        <w:t>;</w:t>
      </w:r>
    </w:p>
    <w:p w14:paraId="10D16729" w14:textId="77777777" w:rsidR="00F42FE9" w:rsidRPr="00A41902" w:rsidRDefault="00F42FE9" w:rsidP="00F42FE9">
      <w:pPr>
        <w:pStyle w:val="NumberedList"/>
      </w:pPr>
      <w:r w:rsidRPr="00A41902">
        <w:t xml:space="preserve">that administrations shall not allow communications of low power devices </w:t>
      </w:r>
      <w:r w:rsidR="00F45E46" w:rsidRPr="00A41902">
        <w:t xml:space="preserve">communicating </w:t>
      </w:r>
      <w:r w:rsidRPr="00A41902">
        <w:t>with satellite</w:t>
      </w:r>
      <w:r w:rsidR="00E30186" w:rsidRPr="00A41902">
        <w:t xml:space="preserve"> system</w:t>
      </w:r>
      <w:r w:rsidRPr="00A41902">
        <w:t xml:space="preserve">s </w:t>
      </w:r>
      <w:r w:rsidR="00F45E46" w:rsidRPr="00A41902">
        <w:t xml:space="preserve">in the band 862-870 MHz </w:t>
      </w:r>
      <w:r w:rsidRPr="00A41902">
        <w:t xml:space="preserve">that are not compliant with the conditions in </w:t>
      </w:r>
      <w:r w:rsidRPr="00A41902">
        <w:fldChar w:fldCharType="begin"/>
      </w:r>
      <w:r w:rsidRPr="00A41902">
        <w:instrText xml:space="preserve"> REF _Ref189472444 \r \h </w:instrText>
      </w:r>
      <w:r w:rsidRPr="00A41902">
        <w:fldChar w:fldCharType="separate"/>
      </w:r>
      <w:r w:rsidRPr="00A41902">
        <w:t>Annex 1</w:t>
      </w:r>
      <w:r w:rsidRPr="00A41902">
        <w:fldChar w:fldCharType="end"/>
      </w:r>
      <w:r w:rsidRPr="00A41902">
        <w:t>;</w:t>
      </w:r>
    </w:p>
    <w:p w14:paraId="44021DF6" w14:textId="7B2947A3" w:rsidR="002459D9" w:rsidRPr="00A41902" w:rsidRDefault="0021606C" w:rsidP="00AF3DBC">
      <w:pPr>
        <w:pStyle w:val="NumberedList"/>
      </w:pPr>
      <w:r w:rsidRPr="00A41902">
        <w:t xml:space="preserve">that </w:t>
      </w:r>
      <w:r w:rsidR="00AF086B" w:rsidRPr="00A41902">
        <w:t xml:space="preserve">satellite systems </w:t>
      </w:r>
      <w:r w:rsidR="00C7356B" w:rsidRPr="00A41902">
        <w:t>given in</w:t>
      </w:r>
      <w:r w:rsidR="00AF086B" w:rsidRPr="00A41902">
        <w:t xml:space="preserve"> </w:t>
      </w:r>
      <w:r w:rsidR="00017FA1" w:rsidRPr="00A41902">
        <w:fldChar w:fldCharType="begin"/>
      </w:r>
      <w:r w:rsidR="00017FA1" w:rsidRPr="00A41902">
        <w:instrText xml:space="preserve"> REF _Ref189476138 \r \h </w:instrText>
      </w:r>
      <w:r w:rsidR="00017FA1" w:rsidRPr="00A41902">
        <w:fldChar w:fldCharType="separate"/>
      </w:r>
      <w:r w:rsidR="00017FA1" w:rsidRPr="00A41902">
        <w:t>Annex 2</w:t>
      </w:r>
      <w:r w:rsidR="00017FA1" w:rsidRPr="00A41902">
        <w:fldChar w:fldCharType="end"/>
      </w:r>
      <w:r w:rsidR="00AF086B" w:rsidRPr="00A41902">
        <w:t xml:space="preserve"> are considered to be compliant with the technical and operational conditions of the </w:t>
      </w:r>
      <w:r w:rsidR="00017FA1" w:rsidRPr="00A41902">
        <w:fldChar w:fldCharType="begin"/>
      </w:r>
      <w:r w:rsidR="00017FA1" w:rsidRPr="00A41902">
        <w:instrText xml:space="preserve"> REF _Ref189472444 \r \h </w:instrText>
      </w:r>
      <w:r w:rsidR="00017FA1" w:rsidRPr="00A41902">
        <w:fldChar w:fldCharType="separate"/>
      </w:r>
      <w:r w:rsidR="00017FA1" w:rsidRPr="00A41902">
        <w:t>Annex 1</w:t>
      </w:r>
      <w:r w:rsidR="00017FA1" w:rsidRPr="00A41902">
        <w:fldChar w:fldCharType="end"/>
      </w:r>
      <w:r w:rsidR="00AF086B" w:rsidRPr="00A41902">
        <w:t xml:space="preserve">, as per </w:t>
      </w:r>
      <w:r w:rsidR="007509A1" w:rsidRPr="00A41902">
        <w:t xml:space="preserve">a </w:t>
      </w:r>
      <w:r w:rsidR="00AF086B" w:rsidRPr="00A41902">
        <w:t xml:space="preserve">commitment provided by the respective notifying </w:t>
      </w:r>
      <w:r w:rsidR="00AA3A3C" w:rsidRPr="00A41902">
        <w:t>a</w:t>
      </w:r>
      <w:r w:rsidRPr="00A41902">
        <w:t>dministration</w:t>
      </w:r>
      <w:r w:rsidR="002C2BA5" w:rsidRPr="00A41902">
        <w:t>;</w:t>
      </w:r>
    </w:p>
    <w:p w14:paraId="204445E7" w14:textId="40E45CB5" w:rsidR="005166D6" w:rsidRPr="00A41902" w:rsidRDefault="005166D6" w:rsidP="00F542B3">
      <w:pPr>
        <w:pStyle w:val="NumberedList"/>
      </w:pPr>
      <w:r w:rsidRPr="00A41902">
        <w:t xml:space="preserve">that </w:t>
      </w:r>
      <w:r w:rsidR="00017FA1" w:rsidRPr="00A41902">
        <w:fldChar w:fldCharType="begin"/>
      </w:r>
      <w:r w:rsidR="00017FA1" w:rsidRPr="00A41902">
        <w:instrText xml:space="preserve"> REF _Ref189476138 \r \h </w:instrText>
      </w:r>
      <w:r w:rsidR="00017FA1" w:rsidRPr="00A41902">
        <w:fldChar w:fldCharType="separate"/>
      </w:r>
      <w:r w:rsidR="00017FA1" w:rsidRPr="00A41902">
        <w:t>Annex 2</w:t>
      </w:r>
      <w:r w:rsidR="00017FA1" w:rsidRPr="00A41902">
        <w:fldChar w:fldCharType="end"/>
      </w:r>
      <w:r w:rsidRPr="00A41902">
        <w:t xml:space="preserve"> </w:t>
      </w:r>
      <w:r w:rsidR="00C7356B" w:rsidRPr="00A41902">
        <w:t xml:space="preserve">shall be reviewed and updated </w:t>
      </w:r>
      <w:r w:rsidRPr="00A41902">
        <w:t>upon the request of a</w:t>
      </w:r>
      <w:r w:rsidR="00AD28CC" w:rsidRPr="00A41902">
        <w:t>t least one</w:t>
      </w:r>
      <w:r w:rsidR="004036AB" w:rsidRPr="00A41902">
        <w:t xml:space="preserve"> CEPT</w:t>
      </w:r>
      <w:r w:rsidRPr="00A41902">
        <w:t xml:space="preserve"> administration for deletion, addition or amendment of a satellite system</w:t>
      </w:r>
      <w:r w:rsidR="002C2BA5" w:rsidRPr="00A41902">
        <w:t>;</w:t>
      </w:r>
    </w:p>
    <w:p w14:paraId="11A7D4E3" w14:textId="77777777" w:rsidR="004D6217" w:rsidRPr="00A41902" w:rsidRDefault="004D6217" w:rsidP="004D6217">
      <w:pPr>
        <w:pStyle w:val="NumberedList"/>
      </w:pPr>
      <w:r w:rsidRPr="00A41902">
        <w:t xml:space="preserve">that the compliance with the conditions in </w:t>
      </w:r>
      <w:r w:rsidRPr="00A41902">
        <w:fldChar w:fldCharType="begin"/>
      </w:r>
      <w:r w:rsidRPr="00A41902">
        <w:instrText xml:space="preserve"> REF _Ref189472444 \r \h </w:instrText>
      </w:r>
      <w:r w:rsidRPr="00A41902">
        <w:fldChar w:fldCharType="separate"/>
      </w:r>
      <w:r w:rsidRPr="00A41902">
        <w:t>Annex 1</w:t>
      </w:r>
      <w:r w:rsidRPr="00A41902">
        <w:fldChar w:fldCharType="end"/>
      </w:r>
      <w:r w:rsidRPr="00A41902">
        <w:t xml:space="preserve"> for use of radio frequencies by current and future satellite systems shall be monitored regularly (e.g. once a year) by a competent body and the results shall be reported to the ECC;</w:t>
      </w:r>
    </w:p>
    <w:p w14:paraId="615A98D9" w14:textId="07342955" w:rsidR="007509A1" w:rsidRPr="00A41902" w:rsidRDefault="007509A1" w:rsidP="007509A1">
      <w:pPr>
        <w:pStyle w:val="NumberedList"/>
      </w:pPr>
      <w:r w:rsidRPr="00A41902">
        <w:t>that in the case the conditions described in Annex 1 are not met, ECC may decide on the removal of the satellite system from Annex 2 of this ECC Decision;</w:t>
      </w:r>
    </w:p>
    <w:p w14:paraId="6BA6B96F" w14:textId="1BFAE713" w:rsidR="00F542B3" w:rsidRPr="00A41902" w:rsidRDefault="00F542B3" w:rsidP="00F542B3">
      <w:pPr>
        <w:pStyle w:val="NumberedList"/>
      </w:pPr>
      <w:r w:rsidRPr="00A41902">
        <w:t xml:space="preserve">that this Decision enters into force on </w:t>
      </w:r>
      <w:r w:rsidR="00423566" w:rsidRPr="00A41902">
        <w:t>XX Month YYYY</w:t>
      </w:r>
      <w:r w:rsidR="00CE585A" w:rsidRPr="00A41902">
        <w:t>;</w:t>
      </w:r>
    </w:p>
    <w:p w14:paraId="7624DA25" w14:textId="05A20A99" w:rsidR="00F542B3" w:rsidRPr="00A41902" w:rsidRDefault="00F542B3" w:rsidP="00F542B3">
      <w:pPr>
        <w:pStyle w:val="NumberedList"/>
      </w:pPr>
      <w:r w:rsidRPr="00A41902">
        <w:t xml:space="preserve">that the preferred date for implementation of this Decision shall be </w:t>
      </w:r>
      <w:r w:rsidR="005F71D5" w:rsidRPr="00A41902">
        <w:t>XX Month YYYY</w:t>
      </w:r>
      <w:r w:rsidRPr="00A41902">
        <w:t>;</w:t>
      </w:r>
    </w:p>
    <w:p w14:paraId="7ED1C356" w14:textId="3331CDEA" w:rsidR="00AD28CC" w:rsidRPr="00A41902" w:rsidRDefault="00AD28CC" w:rsidP="00AD28CC">
      <w:pPr>
        <w:pStyle w:val="NumberedList"/>
      </w:pPr>
      <w:r w:rsidRPr="00A41902">
        <w:t xml:space="preserve">that requests </w:t>
      </w:r>
      <w:r w:rsidR="00D06801" w:rsidRPr="00A41902">
        <w:t xml:space="preserve">provided by </w:t>
      </w:r>
      <w:r w:rsidRPr="00A41902">
        <w:t xml:space="preserve">CEPT administrations for review of </w:t>
      </w:r>
      <w:r w:rsidR="007540D6" w:rsidRPr="00A41902">
        <w:t xml:space="preserve">the </w:t>
      </w:r>
      <w:r w:rsidR="00017FA1" w:rsidRPr="00A41902">
        <w:fldChar w:fldCharType="begin"/>
      </w:r>
      <w:r w:rsidR="00017FA1" w:rsidRPr="00A41902">
        <w:instrText xml:space="preserve"> REF _Ref189476138 \r \h </w:instrText>
      </w:r>
      <w:r w:rsidR="00017FA1" w:rsidRPr="00A41902">
        <w:fldChar w:fldCharType="separate"/>
      </w:r>
      <w:r w:rsidR="00017FA1" w:rsidRPr="00A41902">
        <w:t>Annex 2</w:t>
      </w:r>
      <w:r w:rsidR="00017FA1" w:rsidRPr="00A41902">
        <w:fldChar w:fldCharType="end"/>
      </w:r>
      <w:r w:rsidRPr="00A41902">
        <w:t xml:space="preserve"> </w:t>
      </w:r>
      <w:r w:rsidR="00235BD9" w:rsidRPr="00A41902">
        <w:t>and</w:t>
      </w:r>
      <w:r w:rsidRPr="00A41902">
        <w:t xml:space="preserve"> commitment letters provided by the respective notifying </w:t>
      </w:r>
      <w:r w:rsidR="004F34D6" w:rsidRPr="00A41902">
        <w:t>a</w:t>
      </w:r>
      <w:r w:rsidRPr="00A41902">
        <w:t>dministration shall be communicated to the ECC Chairman and the Office;</w:t>
      </w:r>
    </w:p>
    <w:p w14:paraId="503FAADC" w14:textId="55D965B0" w:rsidR="00F542B3" w:rsidRPr="00A41902" w:rsidRDefault="00F542B3" w:rsidP="00F542B3">
      <w:pPr>
        <w:pStyle w:val="NumberedList"/>
      </w:pPr>
      <w:r w:rsidRPr="00A41902">
        <w:t>that CEPT administrations shall communicate the national measures implementing this Decision to the ECC Chairman and the Office when this ECC Decision is nationally implemented.”</w:t>
      </w:r>
    </w:p>
    <w:p w14:paraId="358A9410" w14:textId="77777777" w:rsidR="001C46EA" w:rsidRPr="00A41902" w:rsidRDefault="001C46EA" w:rsidP="00D90B0A">
      <w:pPr>
        <w:pStyle w:val="ECCParagraph"/>
        <w:keepNext/>
        <w:rPr>
          <w:i/>
          <w:color w:val="D2232A"/>
        </w:rPr>
      </w:pPr>
      <w:r w:rsidRPr="00A41902">
        <w:rPr>
          <w:i/>
          <w:color w:val="D2232A"/>
        </w:rPr>
        <w:t xml:space="preserve">Note: </w:t>
      </w:r>
    </w:p>
    <w:p w14:paraId="205EF0FF" w14:textId="77777777" w:rsidR="001C46EA" w:rsidRPr="00A41902" w:rsidRDefault="001C46EA" w:rsidP="00D90B0A">
      <w:pPr>
        <w:pStyle w:val="ECCParagraph"/>
        <w:keepNext/>
      </w:pPr>
      <w:r w:rsidRPr="00A41902">
        <w:rPr>
          <w:i/>
          <w:szCs w:val="20"/>
        </w:rPr>
        <w:t>Please check the Office documentation database</w:t>
      </w:r>
      <w:r w:rsidR="003F3883" w:rsidRPr="00A41902">
        <w:rPr>
          <w:i/>
          <w:szCs w:val="20"/>
        </w:rPr>
        <w:t xml:space="preserve"> </w:t>
      </w:r>
      <w:hyperlink r:id="rId11" w:history="1">
        <w:r w:rsidR="008C570F" w:rsidRPr="00A41902">
          <w:rPr>
            <w:rStyle w:val="Hyperlink"/>
            <w:i/>
            <w:szCs w:val="20"/>
          </w:rPr>
          <w:t>https://docdb.cept.org/</w:t>
        </w:r>
      </w:hyperlink>
      <w:r w:rsidRPr="00A41902">
        <w:rPr>
          <w:i/>
          <w:szCs w:val="20"/>
        </w:rPr>
        <w:t xml:space="preserve"> for the </w:t>
      </w:r>
      <w:proofErr w:type="gramStart"/>
      <w:r w:rsidRPr="00A41902">
        <w:rPr>
          <w:i/>
          <w:szCs w:val="20"/>
        </w:rPr>
        <w:t>up to date</w:t>
      </w:r>
      <w:proofErr w:type="gramEnd"/>
      <w:r w:rsidRPr="00A41902">
        <w:rPr>
          <w:i/>
          <w:szCs w:val="20"/>
        </w:rPr>
        <w:t xml:space="preserve"> position on the implementation of this and other ECC Decisions.</w:t>
      </w:r>
    </w:p>
    <w:p w14:paraId="203CB739" w14:textId="77777777" w:rsidR="006C03D0" w:rsidRPr="00A41902" w:rsidRDefault="006C03D0" w:rsidP="006C03D0">
      <w:pPr>
        <w:pStyle w:val="ECCParagraph"/>
      </w:pPr>
    </w:p>
    <w:p w14:paraId="641CD140" w14:textId="06046FD3" w:rsidR="00302A3B" w:rsidRPr="00A41902" w:rsidRDefault="007509A1" w:rsidP="00F0592A">
      <w:pPr>
        <w:pStyle w:val="ECCAnnex-heading1"/>
      </w:pPr>
      <w:bookmarkStart w:id="3" w:name="_Ref189472444"/>
      <w:bookmarkStart w:id="4" w:name="_Toc280099660"/>
      <w:r w:rsidRPr="00A41902">
        <w:lastRenderedPageBreak/>
        <w:t xml:space="preserve">Technical and operational </w:t>
      </w:r>
      <w:r w:rsidR="0042369C" w:rsidRPr="00A41902">
        <w:t>conditions</w:t>
      </w:r>
      <w:r w:rsidRPr="00A41902">
        <w:t xml:space="preserve"> for communications between satellites and </w:t>
      </w:r>
      <w:r w:rsidR="00181F89" w:rsidRPr="00A41902">
        <w:t xml:space="preserve">low power devices </w:t>
      </w:r>
      <w:r w:rsidRPr="00A41902">
        <w:t>in a CEPT country</w:t>
      </w:r>
      <w:bookmarkEnd w:id="3"/>
      <w:r w:rsidRPr="00A41902" w:rsidDel="007509A1">
        <w:t xml:space="preserve"> </w:t>
      </w:r>
    </w:p>
    <w:p w14:paraId="1A5162D8" w14:textId="49B5BEBD" w:rsidR="00684EB9" w:rsidRPr="00A41902" w:rsidRDefault="00684EB9" w:rsidP="00E60576">
      <w:pPr>
        <w:pStyle w:val="ECCBulletsLv1"/>
      </w:pPr>
      <w:r w:rsidRPr="00A41902">
        <w:t>The satellites operate under frequency assignments of</w:t>
      </w:r>
      <w:r w:rsidR="0039384E" w:rsidRPr="00A41902">
        <w:t xml:space="preserve"> a known</w:t>
      </w:r>
      <w:r w:rsidR="002E3522" w:rsidRPr="00A41902">
        <w:t xml:space="preserve"> </w:t>
      </w:r>
      <w:r w:rsidRPr="00A41902">
        <w:t>ITU filing which includes a space-to-Earth beam and/or Earth</w:t>
      </w:r>
      <w:r w:rsidR="009E22A6" w:rsidRPr="00A41902">
        <w:t>-</w:t>
      </w:r>
      <w:r w:rsidRPr="00A41902">
        <w:t>to</w:t>
      </w:r>
      <w:r w:rsidR="009E22A6" w:rsidRPr="00A41902">
        <w:t>-</w:t>
      </w:r>
      <w:r w:rsidRPr="00A41902">
        <w:t xml:space="preserve">space beam in the frequency range 862-870 </w:t>
      </w:r>
      <w:r w:rsidR="003F18CE" w:rsidRPr="00A41902">
        <w:t>MHz</w:t>
      </w:r>
      <w:r w:rsidR="001F1C31" w:rsidRPr="00A41902">
        <w:t>.</w:t>
      </w:r>
    </w:p>
    <w:p w14:paraId="3F49BCCE" w14:textId="67BA05F5" w:rsidR="00684EB9" w:rsidRPr="00A41902" w:rsidRDefault="00684EB9" w:rsidP="00E60576">
      <w:pPr>
        <w:pStyle w:val="ECCBulletsLv1"/>
      </w:pPr>
      <w:r w:rsidRPr="00A41902">
        <w:t>The satellites operate under assignments of a</w:t>
      </w:r>
      <w:r w:rsidR="009E22A6" w:rsidRPr="00A41902">
        <w:t>n</w:t>
      </w:r>
      <w:r w:rsidRPr="00A41902">
        <w:t xml:space="preserve"> ITU filing which includes </w:t>
      </w:r>
      <w:r w:rsidR="000C7E1F" w:rsidRPr="00A41902">
        <w:t>relevant</w:t>
      </w:r>
      <w:r w:rsidRPr="00A41902">
        <w:t xml:space="preserve"> class of stations in the frequency range 862-870 </w:t>
      </w:r>
      <w:r w:rsidR="003F18CE" w:rsidRPr="00A41902">
        <w:t>MHz</w:t>
      </w:r>
      <w:r w:rsidR="001F1C31" w:rsidRPr="00A41902">
        <w:t>.</w:t>
      </w:r>
    </w:p>
    <w:p w14:paraId="5A0F4948" w14:textId="1DB84673" w:rsidR="00C05199" w:rsidRPr="00A41902" w:rsidRDefault="00C05199" w:rsidP="00E60576">
      <w:pPr>
        <w:pStyle w:val="ECCBulletsLv1"/>
      </w:pPr>
      <w:r w:rsidRPr="00A41902">
        <w:t>The PFD of space-to-Earth transmissions does</w:t>
      </w:r>
      <w:r w:rsidR="0065543A" w:rsidRPr="00A41902">
        <w:t xml:space="preserve"> </w:t>
      </w:r>
      <w:r w:rsidRPr="00A41902">
        <w:t>not exceed -142 dB</w:t>
      </w:r>
      <w:r w:rsidR="00CB6466" w:rsidRPr="00A41902">
        <w:t>(</w:t>
      </w:r>
      <w:r w:rsidRPr="00A41902">
        <w:t>W/(m².4kHz)</w:t>
      </w:r>
      <w:r w:rsidR="00CB6466" w:rsidRPr="00A41902">
        <w:t>)</w:t>
      </w:r>
      <w:r w:rsidRPr="00A41902">
        <w:t xml:space="preserve"> on the surface of the Earth</w:t>
      </w:r>
      <w:r w:rsidR="002D589A" w:rsidRPr="00A41902">
        <w:t xml:space="preserve"> within 862-870 </w:t>
      </w:r>
      <w:r w:rsidR="003F18CE" w:rsidRPr="00A41902">
        <w:t>MHz</w:t>
      </w:r>
      <w:r w:rsidR="009E22A6" w:rsidRPr="00A41902">
        <w:t>.</w:t>
      </w:r>
      <w:r w:rsidR="004C0277" w:rsidRPr="00A41902">
        <w:t xml:space="preserve"> The unwanted emissions of space-to-Earth transmissions do not result in a PFD value higher than -146</w:t>
      </w:r>
      <w:r w:rsidR="00176F13" w:rsidRPr="00A41902">
        <w:t xml:space="preserve"> </w:t>
      </w:r>
      <w:r w:rsidR="004C0277" w:rsidRPr="00A41902">
        <w:t>dB</w:t>
      </w:r>
      <w:r w:rsidR="00CB6466" w:rsidRPr="00A41902">
        <w:t>(</w:t>
      </w:r>
      <w:r w:rsidR="004C0277" w:rsidRPr="00A41902">
        <w:t>W/(m</w:t>
      </w:r>
      <w:r w:rsidR="004C0277" w:rsidRPr="00A41902">
        <w:rPr>
          <w:vertAlign w:val="superscript"/>
        </w:rPr>
        <w:t>2</w:t>
      </w:r>
      <w:r w:rsidR="004C0277" w:rsidRPr="00A41902">
        <w:t>.1MHz)</w:t>
      </w:r>
      <w:r w:rsidR="00CB6466" w:rsidRPr="00A41902">
        <w:t>)</w:t>
      </w:r>
      <w:r w:rsidR="004C0277" w:rsidRPr="00A41902">
        <w:t xml:space="preserve"> on the surface of the Earth outside the frequency range 862-870 MHz. </w:t>
      </w:r>
      <w:r w:rsidR="00684EB9" w:rsidRPr="00A41902">
        <w:t xml:space="preserve">A letter </w:t>
      </w:r>
      <w:r w:rsidR="00AB2AFD" w:rsidRPr="00A41902">
        <w:t>is obtained by the CEPT country from</w:t>
      </w:r>
      <w:r w:rsidR="00684EB9" w:rsidRPr="00A41902">
        <w:t xml:space="preserve"> the notifying administration of the space system </w:t>
      </w:r>
      <w:r w:rsidR="00AB2AFD" w:rsidRPr="00A41902">
        <w:t>where it commit</w:t>
      </w:r>
      <w:r w:rsidR="00F77CA2" w:rsidRPr="00A41902">
        <w:t>s</w:t>
      </w:r>
      <w:r w:rsidR="00684EB9" w:rsidRPr="00A41902">
        <w:t xml:space="preserve"> to comply with </w:t>
      </w:r>
      <w:r w:rsidR="004C0277" w:rsidRPr="00A41902">
        <w:t>both</w:t>
      </w:r>
      <w:r w:rsidR="00FE5450" w:rsidRPr="00A41902">
        <w:t xml:space="preserve"> PFD</w:t>
      </w:r>
      <w:r w:rsidR="00684EB9" w:rsidRPr="00A41902">
        <w:t xml:space="preserve"> limit</w:t>
      </w:r>
      <w:r w:rsidR="004C0277" w:rsidRPr="00A41902">
        <w:t>s</w:t>
      </w:r>
      <w:r w:rsidR="001F1C31" w:rsidRPr="00A41902">
        <w:t>.</w:t>
      </w:r>
    </w:p>
    <w:p w14:paraId="6A45574A" w14:textId="02D79FEB" w:rsidR="00C05199" w:rsidRPr="00A41902" w:rsidRDefault="00684EB9" w:rsidP="00E60576">
      <w:pPr>
        <w:pStyle w:val="ECCBulletsLv1"/>
      </w:pPr>
      <w:r w:rsidRPr="00A41902">
        <w:t xml:space="preserve">The </w:t>
      </w:r>
      <w:r w:rsidR="00AB2AFD" w:rsidRPr="00A41902">
        <w:t>Earth</w:t>
      </w:r>
      <w:r w:rsidR="009624D9" w:rsidRPr="00A41902">
        <w:t>-</w:t>
      </w:r>
      <w:r w:rsidR="00AB2AFD" w:rsidRPr="00A41902">
        <w:t>to</w:t>
      </w:r>
      <w:r w:rsidR="002A0A97" w:rsidRPr="00A41902">
        <w:t>-</w:t>
      </w:r>
      <w:r w:rsidR="00AB2AFD" w:rsidRPr="00A41902">
        <w:t xml:space="preserve">space </w:t>
      </w:r>
      <w:r w:rsidR="000E2955" w:rsidRPr="00A41902">
        <w:t>receivers</w:t>
      </w:r>
      <w:r w:rsidR="00AB2AFD" w:rsidRPr="00A41902">
        <w:t xml:space="preserve"> of the </w:t>
      </w:r>
      <w:r w:rsidRPr="00A41902">
        <w:t>s</w:t>
      </w:r>
      <w:r w:rsidR="00C05199" w:rsidRPr="00A41902">
        <w:t xml:space="preserve">pace stations operate under the licence of a notifying administration </w:t>
      </w:r>
      <w:r w:rsidR="00AB2AFD" w:rsidRPr="00A41902">
        <w:t>with an</w:t>
      </w:r>
      <w:r w:rsidRPr="00A41902">
        <w:t xml:space="preserve"> </w:t>
      </w:r>
      <w:r w:rsidR="00C05199" w:rsidRPr="00A41902">
        <w:t xml:space="preserve">explicit </w:t>
      </w:r>
      <w:r w:rsidR="00A41902" w:rsidRPr="00A41902">
        <w:t>text</w:t>
      </w:r>
      <w:r w:rsidR="00C05199" w:rsidRPr="00A41902">
        <w:t xml:space="preserve"> </w:t>
      </w:r>
      <w:r w:rsidR="00A41902" w:rsidRPr="00A41902">
        <w:t>“</w:t>
      </w:r>
      <w:r w:rsidR="00B97ECF" w:rsidRPr="00A41902">
        <w:rPr>
          <w:iCs/>
        </w:rPr>
        <w:t>that if the space station includes a receiver, the interception of radiocommunication correspondence, other than that which the station is authori</w:t>
      </w:r>
      <w:r w:rsidR="000E2955" w:rsidRPr="00A41902">
        <w:rPr>
          <w:iCs/>
        </w:rPr>
        <w:t>s</w:t>
      </w:r>
      <w:r w:rsidR="00B97ECF" w:rsidRPr="00A41902">
        <w:rPr>
          <w:iCs/>
        </w:rPr>
        <w:t>ed to receive, is forbidden, and that in cases where such correspondence is involuntarily received, it shall not be reproduced, nor communicated to third parties, nor used for any purpose, and even its existence shall not be disclosed</w:t>
      </w:r>
      <w:r w:rsidR="00A41902" w:rsidRPr="00A41902">
        <w:rPr>
          <w:iCs/>
        </w:rPr>
        <w:t>”</w:t>
      </w:r>
      <w:r w:rsidR="00E5778A">
        <w:rPr>
          <w:iCs/>
        </w:rPr>
        <w:t xml:space="preserve"> (see Articles</w:t>
      </w:r>
      <w:r w:rsidR="00917E04" w:rsidRPr="00A41902">
        <w:t xml:space="preserve"> 17 and</w:t>
      </w:r>
      <w:r w:rsidR="009E22A6" w:rsidRPr="00A41902">
        <w:t xml:space="preserve"> </w:t>
      </w:r>
      <w:r w:rsidR="00C05199" w:rsidRPr="00A41902">
        <w:t>18.4 of the R</w:t>
      </w:r>
      <w:r w:rsidR="009624D9" w:rsidRPr="00A41902">
        <w:t xml:space="preserve">adio </w:t>
      </w:r>
      <w:r w:rsidR="002A0A97" w:rsidRPr="00A41902">
        <w:t>R</w:t>
      </w:r>
      <w:r w:rsidR="009624D9" w:rsidRPr="00A41902">
        <w:t>egulations</w:t>
      </w:r>
      <w:r w:rsidR="00E5778A">
        <w:t>)</w:t>
      </w:r>
      <w:r w:rsidR="0065543A" w:rsidRPr="00A41902">
        <w:t>.</w:t>
      </w:r>
      <w:r w:rsidR="00983754" w:rsidRPr="00A41902">
        <w:t xml:space="preserve"> Th</w:t>
      </w:r>
      <w:r w:rsidR="00B97ECF" w:rsidRPr="00A41902">
        <w:t>is</w:t>
      </w:r>
      <w:r w:rsidR="00983754" w:rsidRPr="00A41902">
        <w:t xml:space="preserve"> licence or a letter from the notifying administration is provided to j</w:t>
      </w:r>
      <w:r w:rsidR="00682385" w:rsidRPr="00A41902">
        <w:t>ustify the commitment of compliance</w:t>
      </w:r>
      <w:r w:rsidR="00983754" w:rsidRPr="00A41902">
        <w:t>.</w:t>
      </w:r>
    </w:p>
    <w:p w14:paraId="0132A9FF" w14:textId="77777777" w:rsidR="00AD76E0" w:rsidRPr="00A41902" w:rsidRDefault="00AD76E0" w:rsidP="00AD76E0">
      <w:pPr>
        <w:jc w:val="both"/>
        <w:rPr>
          <w:lang w:val="en-GB"/>
        </w:rPr>
      </w:pPr>
    </w:p>
    <w:p w14:paraId="0FB055A2" w14:textId="109ED5CE" w:rsidR="00AD76E0" w:rsidRPr="00A41902" w:rsidRDefault="00AD76E0" w:rsidP="00AD76E0">
      <w:pPr>
        <w:rPr>
          <w:lang w:val="en-GB"/>
        </w:rPr>
      </w:pPr>
      <w:r w:rsidRPr="00A41902">
        <w:rPr>
          <w:lang w:val="en-GB"/>
        </w:rPr>
        <w:t xml:space="preserve">In </w:t>
      </w:r>
      <w:r w:rsidR="00AF4388" w:rsidRPr="00A41902">
        <w:rPr>
          <w:lang w:val="en-GB"/>
        </w:rPr>
        <w:t>case</w:t>
      </w:r>
      <w:r w:rsidRPr="00A41902">
        <w:rPr>
          <w:lang w:val="en-GB"/>
        </w:rPr>
        <w:t xml:space="preserve"> the conditions described in this Annex are not met, the following procedures should apply</w:t>
      </w:r>
      <w:r w:rsidR="00AF4388" w:rsidRPr="00A41902">
        <w:rPr>
          <w:lang w:val="en-GB"/>
        </w:rPr>
        <w:t>:</w:t>
      </w:r>
    </w:p>
    <w:p w14:paraId="7AD1F1F4" w14:textId="49210D42" w:rsidR="00AD76E0" w:rsidRPr="00A41902" w:rsidRDefault="00AD76E0" w:rsidP="00E60576">
      <w:pPr>
        <w:pStyle w:val="ECCBulletsLv1"/>
      </w:pPr>
      <w:r w:rsidRPr="00A41902">
        <w:t xml:space="preserve">In the event of reported interference </w:t>
      </w:r>
      <w:r w:rsidR="00DF3C20" w:rsidRPr="00A41902">
        <w:t xml:space="preserve">to other applications including IMT </w:t>
      </w:r>
      <w:r w:rsidRPr="00A41902">
        <w:t>that remains unresolved, th</w:t>
      </w:r>
      <w:r w:rsidR="00340A62" w:rsidRPr="00A41902">
        <w:t>e</w:t>
      </w:r>
      <w:r w:rsidRPr="00A41902">
        <w:t xml:space="preserve"> </w:t>
      </w:r>
      <w:r w:rsidR="009E22A6" w:rsidRPr="00A41902">
        <w:t xml:space="preserve">interfering </w:t>
      </w:r>
      <w:r w:rsidRPr="00A41902">
        <w:t xml:space="preserve">satellite system </w:t>
      </w:r>
      <w:r w:rsidR="009E22A6" w:rsidRPr="00A41902">
        <w:t xml:space="preserve">is </w:t>
      </w:r>
      <w:r w:rsidRPr="00A41902">
        <w:t xml:space="preserve">obliged to immediately cease </w:t>
      </w:r>
      <w:r w:rsidR="00217B57" w:rsidRPr="00A41902">
        <w:t>communications</w:t>
      </w:r>
      <w:r w:rsidR="00F62FB5" w:rsidRPr="00A41902">
        <w:t xml:space="preserve"> (Em</w:t>
      </w:r>
      <w:r w:rsidR="00181F89" w:rsidRPr="00A41902">
        <w:t>ission</w:t>
      </w:r>
      <w:r w:rsidR="00F62FB5" w:rsidRPr="00A41902">
        <w:t>/Re</w:t>
      </w:r>
      <w:r w:rsidR="00181F89" w:rsidRPr="00A41902">
        <w:t>ception</w:t>
      </w:r>
      <w:r w:rsidR="00F62FB5" w:rsidRPr="00A41902">
        <w:t>)</w:t>
      </w:r>
      <w:r w:rsidR="00217B57" w:rsidRPr="00A41902">
        <w:t xml:space="preserve"> with </w:t>
      </w:r>
      <w:r w:rsidR="00181F89" w:rsidRPr="00A41902">
        <w:t xml:space="preserve">low power devices </w:t>
      </w:r>
      <w:r w:rsidR="00217B57" w:rsidRPr="00A41902">
        <w:t xml:space="preserve">located </w:t>
      </w:r>
      <w:r w:rsidRPr="00A41902">
        <w:t>in the national territory</w:t>
      </w:r>
      <w:r w:rsidR="00FE5450" w:rsidRPr="00A41902">
        <w:t>(</w:t>
      </w:r>
      <w:proofErr w:type="spellStart"/>
      <w:r w:rsidR="00FE5450" w:rsidRPr="00A41902">
        <w:t>ies</w:t>
      </w:r>
      <w:proofErr w:type="spellEnd"/>
      <w:r w:rsidR="00FE5450" w:rsidRPr="00A41902">
        <w:t>)</w:t>
      </w:r>
      <w:r w:rsidRPr="00A41902">
        <w:t xml:space="preserve"> of the affected administration(s)</w:t>
      </w:r>
      <w:r w:rsidR="001F1C31" w:rsidRPr="00A41902">
        <w:t>.</w:t>
      </w:r>
    </w:p>
    <w:p w14:paraId="633C1BA1" w14:textId="49FDB898" w:rsidR="00AD76E0" w:rsidRPr="00A41902" w:rsidRDefault="00A842C0" w:rsidP="00E60576">
      <w:pPr>
        <w:pStyle w:val="ECCBulletsLv1"/>
      </w:pPr>
      <w:r w:rsidRPr="00A41902">
        <w:t>In such cases of unresolved interference, t</w:t>
      </w:r>
      <w:r w:rsidR="00AD76E0" w:rsidRPr="00A41902">
        <w:t>he concerned CEPT regulatory authority(</w:t>
      </w:r>
      <w:proofErr w:type="spellStart"/>
      <w:r w:rsidR="00AD76E0" w:rsidRPr="00A41902">
        <w:t>ies</w:t>
      </w:r>
      <w:proofErr w:type="spellEnd"/>
      <w:r w:rsidR="00AD76E0" w:rsidRPr="00A41902">
        <w:t xml:space="preserve">) can request removal of the satellite system from </w:t>
      </w:r>
      <w:r w:rsidR="00017FA1" w:rsidRPr="00A41902">
        <w:fldChar w:fldCharType="begin"/>
      </w:r>
      <w:r w:rsidR="00017FA1" w:rsidRPr="00A41902">
        <w:instrText xml:space="preserve"> REF _Ref189476138 \r \h </w:instrText>
      </w:r>
      <w:r w:rsidR="00017FA1" w:rsidRPr="00A41902">
        <w:fldChar w:fldCharType="separate"/>
      </w:r>
      <w:r w:rsidR="00017FA1" w:rsidRPr="00A41902">
        <w:t>Annex 2</w:t>
      </w:r>
      <w:r w:rsidR="00017FA1" w:rsidRPr="00A41902">
        <w:fldChar w:fldCharType="end"/>
      </w:r>
      <w:r w:rsidRPr="00A41902">
        <w:t>.</w:t>
      </w:r>
    </w:p>
    <w:p w14:paraId="3987EAC2" w14:textId="3F5791CF" w:rsidR="006522F2" w:rsidRPr="00A41902" w:rsidRDefault="00E228E3" w:rsidP="00C12634">
      <w:pPr>
        <w:rPr>
          <w:lang w:val="en-GB"/>
        </w:rPr>
      </w:pPr>
      <w:r w:rsidRPr="00A41902">
        <w:rPr>
          <w:lang w:val="en-GB"/>
        </w:rPr>
        <w:t xml:space="preserve"> </w:t>
      </w:r>
    </w:p>
    <w:p w14:paraId="2E45EBEB" w14:textId="75493785" w:rsidR="00C05199" w:rsidRPr="00A41902" w:rsidRDefault="00895C9B" w:rsidP="00F0592A">
      <w:pPr>
        <w:pStyle w:val="ECCAnnex-heading1"/>
      </w:pPr>
      <w:bookmarkStart w:id="5" w:name="_Ref189476138"/>
      <w:r w:rsidRPr="00A41902">
        <w:lastRenderedPageBreak/>
        <w:t xml:space="preserve">List </w:t>
      </w:r>
      <w:r w:rsidR="00C05199" w:rsidRPr="00A41902">
        <w:t xml:space="preserve">of satellite systems </w:t>
      </w:r>
      <w:r w:rsidR="009E22A6" w:rsidRPr="00A41902">
        <w:t xml:space="preserve">COMPLIANT </w:t>
      </w:r>
      <w:r w:rsidR="00C05199" w:rsidRPr="00A41902">
        <w:t>with requirements of Annex 1</w:t>
      </w:r>
      <w:bookmarkEnd w:id="5"/>
    </w:p>
    <w:p w14:paraId="4B786F3C" w14:textId="61A55E3B" w:rsidR="0065543A" w:rsidRPr="00A41902" w:rsidRDefault="0065543A" w:rsidP="0065543A">
      <w:pPr>
        <w:rPr>
          <w:lang w:val="en-GB"/>
        </w:rPr>
      </w:pPr>
      <w:r w:rsidRPr="00A41902">
        <w:rPr>
          <w:lang w:val="en-GB"/>
        </w:rPr>
        <w:t xml:space="preserve">ECC </w:t>
      </w:r>
      <w:r w:rsidR="00CA5353" w:rsidRPr="00A41902">
        <w:rPr>
          <w:lang w:val="en-GB"/>
        </w:rPr>
        <w:t>considers</w:t>
      </w:r>
      <w:r w:rsidRPr="00A41902">
        <w:rPr>
          <w:lang w:val="en-GB"/>
        </w:rPr>
        <w:t xml:space="preserve"> </w:t>
      </w:r>
      <w:r w:rsidR="00917E04" w:rsidRPr="00A41902">
        <w:rPr>
          <w:lang w:val="en-GB"/>
        </w:rPr>
        <w:t xml:space="preserve">the following satellite systems </w:t>
      </w:r>
      <w:r w:rsidRPr="00A41902">
        <w:rPr>
          <w:lang w:val="en-GB"/>
        </w:rPr>
        <w:t>t</w:t>
      </w:r>
      <w:r w:rsidR="00917E04" w:rsidRPr="00A41902">
        <w:rPr>
          <w:lang w:val="en-GB"/>
        </w:rPr>
        <w:t>o be</w:t>
      </w:r>
      <w:r w:rsidRPr="00A41902">
        <w:rPr>
          <w:lang w:val="en-GB"/>
        </w:rPr>
        <w:t xml:space="preserve"> complian</w:t>
      </w:r>
      <w:r w:rsidR="00917E04" w:rsidRPr="00A41902">
        <w:rPr>
          <w:lang w:val="en-GB"/>
        </w:rPr>
        <w:t>t</w:t>
      </w:r>
      <w:r w:rsidRPr="00A41902">
        <w:rPr>
          <w:lang w:val="en-GB"/>
        </w:rPr>
        <w:t xml:space="preserve"> </w:t>
      </w:r>
      <w:r w:rsidR="00CA5353" w:rsidRPr="00A41902">
        <w:rPr>
          <w:lang w:val="en-GB"/>
        </w:rPr>
        <w:t xml:space="preserve">with </w:t>
      </w:r>
      <w:r w:rsidR="006522F2" w:rsidRPr="00A41902">
        <w:rPr>
          <w:lang w:val="en-GB"/>
        </w:rPr>
        <w:t xml:space="preserve">the technical and operational conditions of  </w:t>
      </w:r>
      <w:r w:rsidR="00DD5042" w:rsidRPr="00A41902">
        <w:rPr>
          <w:lang w:val="en-GB"/>
        </w:rPr>
        <w:fldChar w:fldCharType="begin"/>
      </w:r>
      <w:r w:rsidR="00DD5042" w:rsidRPr="00A41902">
        <w:rPr>
          <w:lang w:val="en-GB"/>
        </w:rPr>
        <w:instrText xml:space="preserve"> REF _Ref189472444 \r \h </w:instrText>
      </w:r>
      <w:r w:rsidR="00DD5042" w:rsidRPr="00A41902">
        <w:rPr>
          <w:lang w:val="en-GB"/>
        </w:rPr>
      </w:r>
      <w:r w:rsidR="00DD5042" w:rsidRPr="00A41902">
        <w:rPr>
          <w:lang w:val="en-GB"/>
        </w:rPr>
        <w:fldChar w:fldCharType="separate"/>
      </w:r>
      <w:r w:rsidR="00DD5042" w:rsidRPr="00A41902">
        <w:rPr>
          <w:lang w:val="en-GB"/>
        </w:rPr>
        <w:t>Annex 1</w:t>
      </w:r>
      <w:r w:rsidR="00DD5042" w:rsidRPr="00A41902">
        <w:rPr>
          <w:lang w:val="en-GB"/>
        </w:rPr>
        <w:fldChar w:fldCharType="end"/>
      </w:r>
      <w:r w:rsidR="00CC15E0" w:rsidRPr="00A41902">
        <w:rPr>
          <w:lang w:val="en-GB"/>
        </w:rPr>
        <w:t>, for</w:t>
      </w:r>
      <w:r w:rsidR="00CB6466" w:rsidRPr="00A41902">
        <w:rPr>
          <w:lang w:val="en-GB"/>
        </w:rPr>
        <w:t xml:space="preserve"> which</w:t>
      </w:r>
      <w:r w:rsidR="00CA5353" w:rsidRPr="00A41902">
        <w:rPr>
          <w:lang w:val="en-GB"/>
        </w:rPr>
        <w:t xml:space="preserve"> t</w:t>
      </w:r>
      <w:r w:rsidR="00D10BF5" w:rsidRPr="00A41902">
        <w:rPr>
          <w:lang w:val="en-GB"/>
        </w:rPr>
        <w:t>he notifying administrations have confirmed compliance in a commitment letter</w:t>
      </w:r>
      <w:r w:rsidR="00913115" w:rsidRPr="00A41902">
        <w:rPr>
          <w:lang w:val="en-GB"/>
        </w:rPr>
        <w:t xml:space="preserve">. </w:t>
      </w:r>
    </w:p>
    <w:p w14:paraId="66503AF8" w14:textId="77777777" w:rsidR="0065543A" w:rsidRPr="00A41902" w:rsidRDefault="0065543A" w:rsidP="006522F2">
      <w:pPr>
        <w:rPr>
          <w:lang w:val="en-GB"/>
        </w:rPr>
      </w:pPr>
    </w:p>
    <w:tbl>
      <w:tblPr>
        <w:tblStyle w:val="ECCTable-redheader"/>
        <w:tblW w:w="9776" w:type="dxa"/>
        <w:tblInd w:w="0" w:type="dxa"/>
        <w:tblLook w:val="04A0" w:firstRow="1" w:lastRow="0" w:firstColumn="1" w:lastColumn="0" w:noHBand="0" w:noVBand="1"/>
      </w:tblPr>
      <w:tblGrid>
        <w:gridCol w:w="1061"/>
        <w:gridCol w:w="2460"/>
        <w:gridCol w:w="2711"/>
        <w:gridCol w:w="3544"/>
      </w:tblGrid>
      <w:tr w:rsidR="00C12634" w:rsidRPr="00A41902" w14:paraId="4E4777CC" w14:textId="77777777" w:rsidTr="00133BC3">
        <w:trPr>
          <w:cnfStyle w:val="100000000000" w:firstRow="1" w:lastRow="0" w:firstColumn="0" w:lastColumn="0" w:oddVBand="0" w:evenVBand="0" w:oddHBand="0" w:evenHBand="0" w:firstRowFirstColumn="0" w:firstRowLastColumn="0" w:lastRowFirstColumn="0" w:lastRowLastColumn="0"/>
        </w:trPr>
        <w:tc>
          <w:tcPr>
            <w:tcW w:w="1061" w:type="dxa"/>
          </w:tcPr>
          <w:p w14:paraId="2EF324B2" w14:textId="597175A1" w:rsidR="00C12634" w:rsidRPr="00A41902" w:rsidRDefault="00C12634" w:rsidP="00C05199">
            <w:pPr>
              <w:rPr>
                <w:lang w:val="en-GB"/>
              </w:rPr>
            </w:pPr>
            <w:r w:rsidRPr="00A41902">
              <w:rPr>
                <w:lang w:val="en-GB"/>
              </w:rPr>
              <w:t>Satellite system</w:t>
            </w:r>
            <w:r w:rsidR="00D10BF5" w:rsidRPr="00A41902">
              <w:rPr>
                <w:lang w:val="en-GB"/>
              </w:rPr>
              <w:t>/ Operator</w:t>
            </w:r>
          </w:p>
        </w:tc>
        <w:tc>
          <w:tcPr>
            <w:tcW w:w="2460" w:type="dxa"/>
          </w:tcPr>
          <w:p w14:paraId="0E62B4FD" w14:textId="2697EB06" w:rsidR="00AB2AFD" w:rsidRPr="00A41902" w:rsidRDefault="00AB2AFD" w:rsidP="00661F44">
            <w:pPr>
              <w:spacing w:after="0"/>
              <w:rPr>
                <w:lang w:val="en-GB"/>
              </w:rPr>
            </w:pPr>
            <w:r w:rsidRPr="00A41902">
              <w:rPr>
                <w:lang w:val="en-GB"/>
              </w:rPr>
              <w:t>Notifying administration /</w:t>
            </w:r>
            <w:r w:rsidR="00984E26" w:rsidRPr="00A41902">
              <w:rPr>
                <w:lang w:val="en-GB"/>
              </w:rPr>
              <w:t xml:space="preserve"> </w:t>
            </w:r>
          </w:p>
          <w:p w14:paraId="7BC61936" w14:textId="66F3C7BD" w:rsidR="00C12634" w:rsidRPr="00A41902" w:rsidRDefault="00C12634" w:rsidP="00661F44">
            <w:pPr>
              <w:spacing w:before="0"/>
              <w:rPr>
                <w:lang w:val="en-GB"/>
              </w:rPr>
            </w:pPr>
            <w:r w:rsidRPr="00A41902">
              <w:rPr>
                <w:lang w:val="en-GB"/>
              </w:rPr>
              <w:t>ITU name of the frequency assignment</w:t>
            </w:r>
          </w:p>
        </w:tc>
        <w:tc>
          <w:tcPr>
            <w:tcW w:w="2711" w:type="dxa"/>
          </w:tcPr>
          <w:p w14:paraId="79C21B82" w14:textId="2D201C3F" w:rsidR="00AB2AFD" w:rsidRPr="00A41902" w:rsidRDefault="00FE5450" w:rsidP="00984E26">
            <w:pPr>
              <w:spacing w:after="0"/>
              <w:rPr>
                <w:lang w:val="en-GB"/>
              </w:rPr>
            </w:pPr>
            <w:r w:rsidRPr="00A41902">
              <w:rPr>
                <w:lang w:val="en-GB"/>
              </w:rPr>
              <w:t>R</w:t>
            </w:r>
            <w:r w:rsidR="00AB2AFD" w:rsidRPr="00A41902">
              <w:rPr>
                <w:lang w:val="en-GB"/>
              </w:rPr>
              <w:t>eference of the commitment letter from the notifying administration</w:t>
            </w:r>
            <w:r w:rsidR="00984E26" w:rsidRPr="00A41902">
              <w:rPr>
                <w:lang w:val="en-GB"/>
              </w:rPr>
              <w:t xml:space="preserve"> </w:t>
            </w:r>
          </w:p>
          <w:p w14:paraId="26A643D6" w14:textId="43E3BDA1" w:rsidR="00C12634" w:rsidRPr="00A41902" w:rsidRDefault="00AB2AFD" w:rsidP="00984E26">
            <w:pPr>
              <w:spacing w:before="0"/>
              <w:rPr>
                <w:lang w:val="en-GB"/>
              </w:rPr>
            </w:pPr>
            <w:r w:rsidRPr="00A41902">
              <w:rPr>
                <w:lang w:val="en-GB"/>
              </w:rPr>
              <w:t>(</w:t>
            </w:r>
            <w:r w:rsidR="00B321C9" w:rsidRPr="00A41902">
              <w:rPr>
                <w:lang w:val="en-GB"/>
              </w:rPr>
              <w:t>PFD</w:t>
            </w:r>
            <w:r w:rsidRPr="00A41902">
              <w:rPr>
                <w:lang w:val="en-GB"/>
              </w:rPr>
              <w:t xml:space="preserve"> compliance)</w:t>
            </w:r>
          </w:p>
        </w:tc>
        <w:tc>
          <w:tcPr>
            <w:tcW w:w="3544" w:type="dxa"/>
          </w:tcPr>
          <w:p w14:paraId="53853B16" w14:textId="6CA449CF" w:rsidR="00AB2AFD" w:rsidRPr="00A41902" w:rsidRDefault="00FE5450" w:rsidP="00984E26">
            <w:pPr>
              <w:spacing w:after="0"/>
              <w:rPr>
                <w:lang w:val="en-GB"/>
              </w:rPr>
            </w:pPr>
            <w:r w:rsidRPr="00A41902">
              <w:rPr>
                <w:lang w:val="en-GB"/>
              </w:rPr>
              <w:t>R</w:t>
            </w:r>
            <w:r w:rsidR="00AB2AFD" w:rsidRPr="00A41902">
              <w:rPr>
                <w:lang w:val="en-GB"/>
              </w:rPr>
              <w:t xml:space="preserve">eference of </w:t>
            </w:r>
            <w:r w:rsidR="00CB6466" w:rsidRPr="00A41902">
              <w:rPr>
                <w:lang w:val="en-GB"/>
              </w:rPr>
              <w:t xml:space="preserve">the authorisation </w:t>
            </w:r>
            <w:r w:rsidR="00682385" w:rsidRPr="00A41902">
              <w:rPr>
                <w:lang w:val="en-GB"/>
              </w:rPr>
              <w:t xml:space="preserve">or </w:t>
            </w:r>
            <w:r w:rsidR="00AB2AFD" w:rsidRPr="00A41902">
              <w:rPr>
                <w:lang w:val="en-GB"/>
              </w:rPr>
              <w:t xml:space="preserve">the commitment letter from the notifying administration </w:t>
            </w:r>
          </w:p>
          <w:p w14:paraId="3938ACBC" w14:textId="670BD4C0" w:rsidR="00C12634" w:rsidRPr="00A41902" w:rsidRDefault="00B97ECF" w:rsidP="00984E26">
            <w:pPr>
              <w:spacing w:before="0"/>
              <w:rPr>
                <w:lang w:val="en-GB"/>
              </w:rPr>
            </w:pPr>
            <w:r w:rsidRPr="00A41902">
              <w:rPr>
                <w:iCs/>
                <w:lang w:val="en-GB"/>
              </w:rPr>
              <w:t>on involuntarily received signals by satellites</w:t>
            </w:r>
          </w:p>
        </w:tc>
      </w:tr>
      <w:tr w:rsidR="00C12634" w:rsidRPr="00A41902" w14:paraId="28D0D210" w14:textId="77777777" w:rsidTr="00133BC3">
        <w:tc>
          <w:tcPr>
            <w:tcW w:w="1061" w:type="dxa"/>
          </w:tcPr>
          <w:p w14:paraId="26CB9C3C" w14:textId="2219AC14" w:rsidR="00C12634" w:rsidRPr="00A41902" w:rsidRDefault="00CB6466" w:rsidP="00984E26">
            <w:pPr>
              <w:jc w:val="left"/>
              <w:rPr>
                <w:lang w:val="en-GB"/>
              </w:rPr>
            </w:pPr>
            <w:r w:rsidRPr="00A41902">
              <w:rPr>
                <w:lang w:val="en-GB"/>
              </w:rPr>
              <w:t xml:space="preserve">Ex: </w:t>
            </w:r>
            <w:r w:rsidR="00D10BF5" w:rsidRPr="00A41902">
              <w:rPr>
                <w:lang w:val="en-GB"/>
              </w:rPr>
              <w:t>Lacuna Space</w:t>
            </w:r>
          </w:p>
        </w:tc>
        <w:tc>
          <w:tcPr>
            <w:tcW w:w="2460" w:type="dxa"/>
          </w:tcPr>
          <w:p w14:paraId="6C357C71" w14:textId="3BAE2D9E" w:rsidR="00C12634" w:rsidRPr="00A41902" w:rsidRDefault="00D10BF5" w:rsidP="00984E26">
            <w:pPr>
              <w:jc w:val="left"/>
              <w:rPr>
                <w:lang w:val="en-GB"/>
              </w:rPr>
            </w:pPr>
            <w:r w:rsidRPr="00A41902">
              <w:rPr>
                <w:lang w:val="en-GB"/>
              </w:rPr>
              <w:t>Germany</w:t>
            </w:r>
            <w:r w:rsidR="00907177" w:rsidRPr="00A41902">
              <w:rPr>
                <w:lang w:val="en-GB"/>
              </w:rPr>
              <w:t xml:space="preserve"> </w:t>
            </w:r>
            <w:r w:rsidRPr="00A41902">
              <w:rPr>
                <w:lang w:val="en-GB"/>
              </w:rPr>
              <w:t xml:space="preserve">/ LS-4 </w:t>
            </w:r>
          </w:p>
        </w:tc>
        <w:tc>
          <w:tcPr>
            <w:tcW w:w="2711" w:type="dxa"/>
          </w:tcPr>
          <w:p w14:paraId="5AF3E24D" w14:textId="6A37E38C" w:rsidR="00C12634" w:rsidRPr="00A41902" w:rsidRDefault="00D10BF5" w:rsidP="00984E26">
            <w:pPr>
              <w:jc w:val="left"/>
              <w:rPr>
                <w:lang w:val="en-GB"/>
              </w:rPr>
            </w:pPr>
            <w:r w:rsidRPr="00A41902">
              <w:rPr>
                <w:lang w:val="en-GB"/>
              </w:rPr>
              <w:t>To be added</w:t>
            </w:r>
          </w:p>
        </w:tc>
        <w:tc>
          <w:tcPr>
            <w:tcW w:w="3544" w:type="dxa"/>
          </w:tcPr>
          <w:p w14:paraId="593D8980" w14:textId="77777777" w:rsidR="00C12634" w:rsidRPr="00A41902" w:rsidRDefault="00D10BF5" w:rsidP="00984E26">
            <w:pPr>
              <w:jc w:val="left"/>
              <w:rPr>
                <w:lang w:val="en-GB"/>
              </w:rPr>
            </w:pPr>
            <w:r w:rsidRPr="00A41902">
              <w:rPr>
                <w:lang w:val="en-GB"/>
              </w:rPr>
              <w:t>To be added</w:t>
            </w:r>
          </w:p>
        </w:tc>
      </w:tr>
      <w:tr w:rsidR="00913115" w:rsidRPr="00A41902" w14:paraId="1B5C0F7A" w14:textId="77777777" w:rsidTr="00133BC3">
        <w:tc>
          <w:tcPr>
            <w:tcW w:w="1061" w:type="dxa"/>
          </w:tcPr>
          <w:p w14:paraId="6E176C21" w14:textId="4A86AA01" w:rsidR="00913115" w:rsidRPr="00A41902" w:rsidRDefault="0039384E" w:rsidP="00984E26">
            <w:pPr>
              <w:jc w:val="left"/>
              <w:rPr>
                <w:lang w:val="en-GB"/>
              </w:rPr>
            </w:pPr>
            <w:r w:rsidRPr="00A41902">
              <w:rPr>
                <w:lang w:val="en-GB"/>
              </w:rPr>
              <w:t xml:space="preserve">Ex </w:t>
            </w:r>
            <w:r w:rsidR="00CB6466" w:rsidRPr="00A41902">
              <w:rPr>
                <w:lang w:val="en-GB"/>
              </w:rPr>
              <w:t xml:space="preserve">: </w:t>
            </w:r>
            <w:r w:rsidR="00D10BF5" w:rsidRPr="00A41902">
              <w:rPr>
                <w:lang w:val="en-GB"/>
              </w:rPr>
              <w:t>Plan-S</w:t>
            </w:r>
          </w:p>
        </w:tc>
        <w:tc>
          <w:tcPr>
            <w:tcW w:w="2460" w:type="dxa"/>
          </w:tcPr>
          <w:p w14:paraId="6529F312" w14:textId="74880AF7" w:rsidR="00D10BF5" w:rsidRPr="00A41902" w:rsidRDefault="00D10BF5" w:rsidP="00984E26">
            <w:pPr>
              <w:jc w:val="left"/>
              <w:rPr>
                <w:lang w:val="en-GB"/>
              </w:rPr>
            </w:pPr>
            <w:r w:rsidRPr="00A41902">
              <w:rPr>
                <w:lang w:val="en-GB"/>
              </w:rPr>
              <w:t>Türkiye</w:t>
            </w:r>
            <w:r w:rsidR="00907177" w:rsidRPr="00A41902">
              <w:rPr>
                <w:lang w:val="en-GB"/>
              </w:rPr>
              <w:t xml:space="preserve"> </w:t>
            </w:r>
            <w:r w:rsidRPr="00A41902">
              <w:rPr>
                <w:lang w:val="en-GB"/>
              </w:rPr>
              <w:t xml:space="preserve">/ </w:t>
            </w:r>
            <w:proofErr w:type="spellStart"/>
            <w:r w:rsidRPr="00A41902">
              <w:rPr>
                <w:lang w:val="en-GB"/>
              </w:rPr>
              <w:t>Connecta</w:t>
            </w:r>
            <w:proofErr w:type="spellEnd"/>
            <w:r w:rsidRPr="00A41902">
              <w:rPr>
                <w:lang w:val="en-GB"/>
              </w:rPr>
              <w:t xml:space="preserve"> IoT</w:t>
            </w:r>
          </w:p>
        </w:tc>
        <w:tc>
          <w:tcPr>
            <w:tcW w:w="2711" w:type="dxa"/>
          </w:tcPr>
          <w:p w14:paraId="155EF3FA" w14:textId="77777777" w:rsidR="00913115" w:rsidRPr="00A41902" w:rsidRDefault="00D10BF5" w:rsidP="00984E26">
            <w:pPr>
              <w:jc w:val="left"/>
              <w:rPr>
                <w:lang w:val="en-GB"/>
              </w:rPr>
            </w:pPr>
            <w:r w:rsidRPr="00A41902">
              <w:rPr>
                <w:lang w:val="en-GB"/>
              </w:rPr>
              <w:t>To be added</w:t>
            </w:r>
          </w:p>
        </w:tc>
        <w:tc>
          <w:tcPr>
            <w:tcW w:w="3544" w:type="dxa"/>
          </w:tcPr>
          <w:p w14:paraId="76C269A6" w14:textId="77777777" w:rsidR="00913115" w:rsidRPr="00A41902" w:rsidRDefault="00D10BF5" w:rsidP="00984E26">
            <w:pPr>
              <w:jc w:val="left"/>
              <w:rPr>
                <w:lang w:val="en-GB"/>
              </w:rPr>
            </w:pPr>
            <w:r w:rsidRPr="00A41902">
              <w:rPr>
                <w:lang w:val="en-GB"/>
              </w:rPr>
              <w:t>To be added</w:t>
            </w:r>
          </w:p>
        </w:tc>
      </w:tr>
      <w:tr w:rsidR="00984E26" w:rsidRPr="00A41902" w14:paraId="7D5D774A" w14:textId="77777777">
        <w:tc>
          <w:tcPr>
            <w:tcW w:w="9776" w:type="dxa"/>
            <w:gridSpan w:val="4"/>
          </w:tcPr>
          <w:p w14:paraId="76FA5A0C" w14:textId="3608620E" w:rsidR="00984E26" w:rsidRPr="00A41902" w:rsidRDefault="00984E26" w:rsidP="005346C0">
            <w:pPr>
              <w:pStyle w:val="ECCTablenote"/>
            </w:pPr>
            <w:r w:rsidRPr="00A41902">
              <w:t>Note: this table is available in EFIS in the satellite section.</w:t>
            </w:r>
          </w:p>
        </w:tc>
      </w:tr>
    </w:tbl>
    <w:p w14:paraId="35CA6CB3" w14:textId="77777777" w:rsidR="00C12634" w:rsidRPr="00A41902" w:rsidRDefault="00C12634" w:rsidP="00C05199">
      <w:pPr>
        <w:rPr>
          <w:lang w:val="en-GB"/>
        </w:rPr>
      </w:pPr>
    </w:p>
    <w:p w14:paraId="2AC41D03" w14:textId="77777777" w:rsidR="006708AA" w:rsidRPr="00A41902" w:rsidRDefault="006708AA" w:rsidP="00F0592A">
      <w:pPr>
        <w:pStyle w:val="ECCAnnex-heading1"/>
      </w:pPr>
      <w:bookmarkStart w:id="6" w:name="_Toc380059620"/>
      <w:bookmarkStart w:id="7" w:name="_Toc380059762"/>
      <w:bookmarkStart w:id="8" w:name="_Toc396383876"/>
      <w:bookmarkStart w:id="9" w:name="_Toc396917309"/>
      <w:bookmarkStart w:id="10" w:name="_Toc396917420"/>
      <w:bookmarkStart w:id="11" w:name="_Toc396917640"/>
      <w:bookmarkStart w:id="12" w:name="_Toc396917655"/>
      <w:bookmarkStart w:id="13" w:name="_Toc396917760"/>
      <w:bookmarkStart w:id="14" w:name="_Toc79649515"/>
      <w:bookmarkStart w:id="15" w:name="_Ref189472093"/>
      <w:bookmarkStart w:id="16" w:name="_Toc79649516"/>
      <w:bookmarkEnd w:id="4"/>
      <w:r w:rsidRPr="00A41902">
        <w:lastRenderedPageBreak/>
        <w:t>List of Reference</w:t>
      </w:r>
      <w:bookmarkEnd w:id="6"/>
      <w:bookmarkEnd w:id="7"/>
      <w:bookmarkEnd w:id="8"/>
      <w:bookmarkEnd w:id="9"/>
      <w:bookmarkEnd w:id="10"/>
      <w:bookmarkEnd w:id="11"/>
      <w:bookmarkEnd w:id="12"/>
      <w:bookmarkEnd w:id="13"/>
      <w:r w:rsidRPr="00A41902">
        <w:t>s</w:t>
      </w:r>
      <w:bookmarkEnd w:id="14"/>
      <w:bookmarkEnd w:id="15"/>
    </w:p>
    <w:bookmarkStart w:id="17" w:name="_Ref189470974"/>
    <w:p w14:paraId="4099B4F6" w14:textId="2E4E4575" w:rsidR="006708AA" w:rsidRPr="00A41902" w:rsidRDefault="006708AA" w:rsidP="006708AA">
      <w:pPr>
        <w:pStyle w:val="ECCReference"/>
        <w:numPr>
          <w:ilvl w:val="0"/>
          <w:numId w:val="8"/>
        </w:numPr>
      </w:pPr>
      <w:r w:rsidRPr="00A41902">
        <w:fldChar w:fldCharType="begin"/>
      </w:r>
      <w:r w:rsidRPr="00A41902">
        <w:instrText>HYPERLINK "https://docdb.cept.org/document/845"</w:instrText>
      </w:r>
      <w:r w:rsidRPr="00A41902">
        <w:fldChar w:fldCharType="separate"/>
      </w:r>
      <w:r w:rsidRPr="00A41902">
        <w:rPr>
          <w:rStyle w:val="Hyperlink"/>
        </w:rPr>
        <w:t>ERC Recommendation 70-03</w:t>
      </w:r>
      <w:r w:rsidRPr="00A41902">
        <w:fldChar w:fldCharType="end"/>
      </w:r>
      <w:r w:rsidRPr="00A41902">
        <w:t xml:space="preserve">: “Relating to the use of </w:t>
      </w:r>
      <w:proofErr w:type="gramStart"/>
      <w:r w:rsidRPr="00A41902">
        <w:t>Short Range</w:t>
      </w:r>
      <w:proofErr w:type="gramEnd"/>
      <w:r w:rsidRPr="00A41902">
        <w:t xml:space="preserve"> Devices (SRD)”,</w:t>
      </w:r>
      <w:r w:rsidRPr="00A41902">
        <w:rPr>
          <w:rFonts w:eastAsia="Times New Roman"/>
          <w:szCs w:val="24"/>
          <w:lang w:eastAsia="en-US"/>
        </w:rPr>
        <w:t xml:space="preserve"> </w:t>
      </w:r>
      <w:r w:rsidRPr="00A41902">
        <w:t xml:space="preserve">approved 1997, latest amendment </w:t>
      </w:r>
      <w:r w:rsidR="00232B78" w:rsidRPr="00A41902">
        <w:t xml:space="preserve">February </w:t>
      </w:r>
      <w:r w:rsidRPr="00A41902">
        <w:t>202</w:t>
      </w:r>
      <w:r w:rsidR="00232B78" w:rsidRPr="00A41902">
        <w:t>5</w:t>
      </w:r>
      <w:bookmarkEnd w:id="17"/>
    </w:p>
    <w:bookmarkStart w:id="18" w:name="_Ref189471008"/>
    <w:p w14:paraId="63C01609" w14:textId="77777777" w:rsidR="006708AA" w:rsidRPr="00A41902" w:rsidRDefault="006708AA" w:rsidP="006708AA">
      <w:pPr>
        <w:pStyle w:val="ECCReference"/>
        <w:numPr>
          <w:ilvl w:val="0"/>
          <w:numId w:val="8"/>
        </w:numPr>
      </w:pPr>
      <w:r w:rsidRPr="00A41902">
        <w:fldChar w:fldCharType="begin"/>
      </w:r>
      <w:r w:rsidRPr="00A41902">
        <w:instrText>HYPERLINK "https://docdb.cept.org/document/28614"</w:instrText>
      </w:r>
      <w:r w:rsidRPr="00A41902">
        <w:fldChar w:fldCharType="separate"/>
      </w:r>
      <w:r w:rsidRPr="00A41902">
        <w:rPr>
          <w:rStyle w:val="Hyperlink"/>
        </w:rPr>
        <w:t>ECC Report 357</w:t>
      </w:r>
      <w:r w:rsidRPr="00A41902">
        <w:fldChar w:fldCharType="end"/>
      </w:r>
      <w:r w:rsidRPr="00A41902">
        <w:t>: “Regulatory analyses of satellite use in the band 862-870 MHz to communicate with terrestrial SRD”, approved June 2024</w:t>
      </w:r>
      <w:bookmarkEnd w:id="18"/>
    </w:p>
    <w:p w14:paraId="17066D9F" w14:textId="366B6860" w:rsidR="001F1C31" w:rsidRPr="00A41902" w:rsidRDefault="001F1C31" w:rsidP="006708AA">
      <w:pPr>
        <w:pStyle w:val="ECCReference"/>
        <w:numPr>
          <w:ilvl w:val="0"/>
          <w:numId w:val="8"/>
        </w:numPr>
      </w:pPr>
      <w:bookmarkStart w:id="19" w:name="_Ref189477406"/>
      <w:r w:rsidRPr="00A41902">
        <w:t>Commission Implementing Decision (EU) 2025/105 of 22 January 2025 amending Decision 2006/771/EC updating harmonised technical conditions in the area of radio spectrum use for short-range devices and repealing Implementing Decision 2014/641/EU on harmonised technical conditions of radio spectrum use by wireless audio programme making and special events equipment in the Union</w:t>
      </w:r>
      <w:bookmarkEnd w:id="19"/>
    </w:p>
    <w:bookmarkEnd w:id="16"/>
    <w:p w14:paraId="0F7BFFE9" w14:textId="77777777" w:rsidR="000100FE" w:rsidRPr="00A41902" w:rsidRDefault="000100FE" w:rsidP="006C03D0">
      <w:pPr>
        <w:pStyle w:val="ECCParagraph"/>
      </w:pPr>
    </w:p>
    <w:sectPr w:rsidR="000100FE" w:rsidRPr="00A41902" w:rsidSect="00F26C2E">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FD1F6" w14:textId="77777777" w:rsidR="00931CAF" w:rsidRDefault="00931CAF" w:rsidP="006C03D0">
      <w:r>
        <w:separator/>
      </w:r>
    </w:p>
    <w:p w14:paraId="0F668869" w14:textId="77777777" w:rsidR="00931CAF" w:rsidRDefault="00931CAF"/>
  </w:endnote>
  <w:endnote w:type="continuationSeparator" w:id="0">
    <w:p w14:paraId="7126260C" w14:textId="77777777" w:rsidR="00931CAF" w:rsidRDefault="00931CAF" w:rsidP="006C03D0">
      <w:r>
        <w:continuationSeparator/>
      </w:r>
    </w:p>
    <w:p w14:paraId="5F8E9D8F" w14:textId="77777777" w:rsidR="00931CAF" w:rsidRDefault="00931CAF"/>
  </w:endnote>
  <w:endnote w:type="continuationNotice" w:id="1">
    <w:p w14:paraId="015BA370" w14:textId="77777777" w:rsidR="00931CAF" w:rsidRDefault="00931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8D60A" w14:textId="77777777" w:rsidR="00931CAF" w:rsidRDefault="00931CAF" w:rsidP="006C03D0">
      <w:r>
        <w:separator/>
      </w:r>
    </w:p>
    <w:p w14:paraId="23A83705" w14:textId="77777777" w:rsidR="00931CAF" w:rsidRDefault="00931CAF"/>
  </w:footnote>
  <w:footnote w:type="continuationSeparator" w:id="0">
    <w:p w14:paraId="283673D9" w14:textId="77777777" w:rsidR="00931CAF" w:rsidRDefault="00931CAF" w:rsidP="006C03D0">
      <w:r>
        <w:continuationSeparator/>
      </w:r>
    </w:p>
    <w:p w14:paraId="4C071E54" w14:textId="77777777" w:rsidR="00931CAF" w:rsidRDefault="00931CAF"/>
  </w:footnote>
  <w:footnote w:type="continuationNotice" w:id="1">
    <w:p w14:paraId="0EA093A4" w14:textId="77777777" w:rsidR="00931CAF" w:rsidRDefault="00931CAF"/>
  </w:footnote>
  <w:footnote w:id="2">
    <w:p w14:paraId="089F4662" w14:textId="332B42FA" w:rsidR="00BC36D3" w:rsidRPr="00AB0571" w:rsidRDefault="00BC36D3">
      <w:pPr>
        <w:pStyle w:val="FootnoteText"/>
        <w:rPr>
          <w:lang w:val="en-GB"/>
        </w:rPr>
      </w:pPr>
      <w:r w:rsidRPr="00AB0571">
        <w:rPr>
          <w:rStyle w:val="FootnoteReference"/>
          <w:sz w:val="16"/>
          <w:lang w:val="en-GB"/>
        </w:rPr>
        <w:t>I</w:t>
      </w:r>
      <w:r w:rsidRPr="00AB0571">
        <w:rPr>
          <w:sz w:val="16"/>
          <w:lang w:val="en-GB"/>
        </w:rPr>
        <w:t xml:space="preserve"> In those bands, harmonised standard EN 300 220 applies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FB5EA" w14:textId="45117E08" w:rsidR="00E60576" w:rsidRPr="00840D0F" w:rsidRDefault="00E722A7" w:rsidP="00134178">
    <w:pPr>
      <w:pStyle w:val="Header"/>
      <w:rPr>
        <w:lang w:val="fr-FR"/>
      </w:rPr>
    </w:pPr>
    <w:r>
      <w:rPr>
        <w:noProof/>
      </w:rPr>
      <w:pict w14:anchorId="64C54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123001" o:spid="_x0000_s2051" type="#_x0000_t136" style="position:absolute;margin-left:0;margin-top:0;width:486.95pt;height:192.5pt;rotation:315;z-index:-251658237;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571C2">
      <w:rPr>
        <w:lang w:val="da-DK"/>
      </w:rPr>
      <w:t xml:space="preserve">Draft </w:t>
    </w:r>
    <w:r w:rsidR="00B03382">
      <w:rPr>
        <w:lang w:val="da-DK"/>
      </w:rPr>
      <w:t>ECC/DEC/</w:t>
    </w:r>
    <w:r w:rsidR="00FA4704" w:rsidRPr="007C5F95">
      <w:rPr>
        <w:lang w:val="da-DK"/>
      </w:rPr>
      <w:t>(</w:t>
    </w:r>
    <w:r w:rsidR="00AD76E0">
      <w:rPr>
        <w:lang w:val="da-DK"/>
      </w:rPr>
      <w:t>25</w:t>
    </w:r>
    <w:r w:rsidR="00FA4704" w:rsidRPr="007C5F95">
      <w:rPr>
        <w:lang w:val="da-DK"/>
      </w:rPr>
      <w:t>)</w:t>
    </w:r>
    <w:r w:rsidR="00D2620F">
      <w:rPr>
        <w:lang w:val="da-DK"/>
      </w:rPr>
      <w:t>02</w:t>
    </w:r>
    <w:r w:rsidR="00FA4704" w:rsidRPr="007C5F95">
      <w:rPr>
        <w:lang w:val="da-DK"/>
      </w:rPr>
      <w:t xml:space="preserve"> </w:t>
    </w:r>
    <w:r w:rsidR="00FA4704">
      <w:rPr>
        <w:szCs w:val="16"/>
        <w:lang w:val="da-DK"/>
      </w:rPr>
      <w:t xml:space="preserve">Page </w:t>
    </w:r>
    <w:r w:rsidR="00FA4704">
      <w:rPr>
        <w:b w:val="0"/>
      </w:rPr>
      <w:fldChar w:fldCharType="begin"/>
    </w:r>
    <w:r w:rsidR="00FA4704" w:rsidRPr="00840D0F">
      <w:rPr>
        <w:lang w:val="fr-FR"/>
      </w:rPr>
      <w:instrText xml:space="preserve"> PAGE  \* Arabic  \* MERGEFORMAT </w:instrText>
    </w:r>
    <w:r w:rsidR="00FA4704">
      <w:rPr>
        <w:b w:val="0"/>
      </w:rPr>
      <w:fldChar w:fldCharType="separate"/>
    </w:r>
    <w:r w:rsidR="000835A8" w:rsidRPr="000835A8">
      <w:rPr>
        <w:noProof/>
        <w:szCs w:val="16"/>
        <w:lang w:val="da-DK"/>
      </w:rPr>
      <w:t>8</w:t>
    </w:r>
    <w:r w:rsidR="00FA4704">
      <w:rPr>
        <w:b w:val="0"/>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BA3E4" w14:textId="11948B25" w:rsidR="00E60576" w:rsidRPr="00840D0F" w:rsidRDefault="00E722A7" w:rsidP="009C196E">
    <w:pPr>
      <w:pStyle w:val="Header"/>
      <w:jc w:val="right"/>
      <w:rPr>
        <w:lang w:val="fr-FR"/>
      </w:rPr>
    </w:pPr>
    <w:r>
      <w:rPr>
        <w:noProof/>
      </w:rPr>
      <w:pict w14:anchorId="7F1F10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123002" o:spid="_x0000_s2050" type="#_x0000_t136" style="position:absolute;left:0;text-align:left;margin-left:0;margin-top:0;width:486.95pt;height:192.5pt;rotation:315;z-index:-251658236;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65674">
      <w:rPr>
        <w:lang w:val="da-DK"/>
      </w:rPr>
      <w:t xml:space="preserve">Draft </w:t>
    </w:r>
    <w:r w:rsidR="00B03382">
      <w:rPr>
        <w:lang w:val="da-DK"/>
      </w:rPr>
      <w:t>ECC/DEC/</w:t>
    </w:r>
    <w:r w:rsidR="00FA4704" w:rsidRPr="007C5F95">
      <w:rPr>
        <w:lang w:val="da-DK"/>
      </w:rPr>
      <w:t>(</w:t>
    </w:r>
    <w:r w:rsidR="00AD76E0">
      <w:rPr>
        <w:lang w:val="da-DK"/>
      </w:rPr>
      <w:t>25</w:t>
    </w:r>
    <w:r w:rsidR="00FA4704" w:rsidRPr="007C5F95">
      <w:rPr>
        <w:lang w:val="da-DK"/>
      </w:rPr>
      <w:t>)</w:t>
    </w:r>
    <w:r w:rsidR="00D2620F">
      <w:rPr>
        <w:lang w:val="da-DK"/>
      </w:rPr>
      <w:t>02</w:t>
    </w:r>
    <w:r w:rsidR="00FA4704" w:rsidRPr="007C5F95">
      <w:rPr>
        <w:lang w:val="da-DK"/>
      </w:rPr>
      <w:t xml:space="preserve"> </w:t>
    </w:r>
    <w:r w:rsidR="00FA4704">
      <w:rPr>
        <w:szCs w:val="16"/>
        <w:lang w:val="da-DK"/>
      </w:rPr>
      <w:t xml:space="preserve">Page </w:t>
    </w:r>
    <w:r w:rsidR="00FA4704">
      <w:rPr>
        <w:b w:val="0"/>
      </w:rPr>
      <w:fldChar w:fldCharType="begin"/>
    </w:r>
    <w:r w:rsidR="00FA4704" w:rsidRPr="00840D0F">
      <w:rPr>
        <w:lang w:val="fr-FR"/>
      </w:rPr>
      <w:instrText xml:space="preserve"> PAGE  \* Arabic  \* MERGEFORMAT </w:instrText>
    </w:r>
    <w:r w:rsidR="00FA4704">
      <w:rPr>
        <w:b w:val="0"/>
      </w:rPr>
      <w:fldChar w:fldCharType="separate"/>
    </w:r>
    <w:r w:rsidR="000835A8" w:rsidRPr="000835A8">
      <w:rPr>
        <w:noProof/>
        <w:szCs w:val="16"/>
        <w:lang w:val="da-DK"/>
      </w:rPr>
      <w:t>9</w:t>
    </w:r>
    <w:r w:rsidR="00FA4704">
      <w:rPr>
        <w:b w:val="0"/>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57CEE" w14:textId="004BADEE" w:rsidR="00FA4704" w:rsidRDefault="00E722A7" w:rsidP="007D0A0D">
    <w:pPr>
      <w:pStyle w:val="Header"/>
      <w:jc w:val="right"/>
    </w:pPr>
    <w:r>
      <w:rPr>
        <w:noProof/>
      </w:rPr>
      <w:pict w14:anchorId="65CF0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123000" o:spid="_x0000_s2049" type="#_x0000_t136" style="position:absolute;left:0;text-align:left;margin-left:0;margin-top:0;width:486.95pt;height:192.5pt;rotation:315;z-index:-251658238;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FA4704">
      <w:rPr>
        <w:noProof/>
        <w:szCs w:val="20"/>
        <w:lang w:val="de-DE" w:eastAsia="de-DE"/>
      </w:rPr>
      <w:drawing>
        <wp:anchor distT="0" distB="0" distL="114300" distR="114300" simplePos="0" relativeHeight="251658241" behindDoc="0" locked="0" layoutInCell="1" allowOverlap="1" wp14:anchorId="5322FDF5" wp14:editId="00757893">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00FA4704">
      <w:rPr>
        <w:noProof/>
        <w:szCs w:val="20"/>
        <w:lang w:val="de-DE" w:eastAsia="de-DE"/>
      </w:rPr>
      <w:drawing>
        <wp:anchor distT="0" distB="0" distL="114300" distR="114300" simplePos="0" relativeHeight="251658240" behindDoc="0" locked="0" layoutInCell="1" allowOverlap="1" wp14:anchorId="359F4757" wp14:editId="3A80A754">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870B8"/>
    <w:multiLevelType w:val="hybridMultilevel"/>
    <w:tmpl w:val="0D5CBE5C"/>
    <w:lvl w:ilvl="0" w:tplc="6B4A692A">
      <w:start w:val="1"/>
      <w:numFmt w:val="decimal"/>
      <w:lvlText w:val="%1)"/>
      <w:lvlJc w:val="left"/>
      <w:pPr>
        <w:tabs>
          <w:tab w:val="num" w:pos="4547"/>
        </w:tabs>
        <w:ind w:left="4547" w:hanging="360"/>
      </w:pPr>
      <w:rPr>
        <w:rFonts w:hint="default"/>
      </w:rPr>
    </w:lvl>
    <w:lvl w:ilvl="1" w:tplc="04130019">
      <w:start w:val="1"/>
      <w:numFmt w:val="lowerLetter"/>
      <w:lvlText w:val="%2."/>
      <w:lvlJc w:val="left"/>
      <w:pPr>
        <w:tabs>
          <w:tab w:val="num" w:pos="5267"/>
        </w:tabs>
        <w:ind w:left="5267" w:hanging="360"/>
      </w:pPr>
    </w:lvl>
    <w:lvl w:ilvl="2" w:tplc="0413001B">
      <w:start w:val="1"/>
      <w:numFmt w:val="lowerRoman"/>
      <w:lvlText w:val="%3."/>
      <w:lvlJc w:val="right"/>
      <w:pPr>
        <w:tabs>
          <w:tab w:val="num" w:pos="5987"/>
        </w:tabs>
        <w:ind w:left="5987" w:hanging="180"/>
      </w:pPr>
    </w:lvl>
    <w:lvl w:ilvl="3" w:tplc="0413000F">
      <w:start w:val="1"/>
      <w:numFmt w:val="decimal"/>
      <w:lvlText w:val="%4."/>
      <w:lvlJc w:val="left"/>
      <w:pPr>
        <w:tabs>
          <w:tab w:val="num" w:pos="6707"/>
        </w:tabs>
        <w:ind w:left="6707" w:hanging="360"/>
      </w:pPr>
    </w:lvl>
    <w:lvl w:ilvl="4" w:tplc="04130019">
      <w:start w:val="1"/>
      <w:numFmt w:val="lowerLetter"/>
      <w:lvlText w:val="%5."/>
      <w:lvlJc w:val="left"/>
      <w:pPr>
        <w:tabs>
          <w:tab w:val="num" w:pos="7427"/>
        </w:tabs>
        <w:ind w:left="7427" w:hanging="360"/>
      </w:pPr>
    </w:lvl>
    <w:lvl w:ilvl="5" w:tplc="0413001B">
      <w:start w:val="1"/>
      <w:numFmt w:val="lowerRoman"/>
      <w:lvlText w:val="%6."/>
      <w:lvlJc w:val="right"/>
      <w:pPr>
        <w:tabs>
          <w:tab w:val="num" w:pos="8147"/>
        </w:tabs>
        <w:ind w:left="8147" w:hanging="180"/>
      </w:pPr>
    </w:lvl>
    <w:lvl w:ilvl="6" w:tplc="0413000F">
      <w:start w:val="1"/>
      <w:numFmt w:val="decimal"/>
      <w:lvlText w:val="%7."/>
      <w:lvlJc w:val="left"/>
      <w:pPr>
        <w:tabs>
          <w:tab w:val="num" w:pos="8867"/>
        </w:tabs>
        <w:ind w:left="8867" w:hanging="360"/>
      </w:pPr>
    </w:lvl>
    <w:lvl w:ilvl="7" w:tplc="04130019">
      <w:start w:val="1"/>
      <w:numFmt w:val="lowerLetter"/>
      <w:lvlText w:val="%8."/>
      <w:lvlJc w:val="left"/>
      <w:pPr>
        <w:tabs>
          <w:tab w:val="num" w:pos="9587"/>
        </w:tabs>
        <w:ind w:left="9587" w:hanging="360"/>
      </w:pPr>
    </w:lvl>
    <w:lvl w:ilvl="8" w:tplc="0413001B">
      <w:start w:val="1"/>
      <w:numFmt w:val="lowerRoman"/>
      <w:lvlText w:val="%9."/>
      <w:lvlJc w:val="right"/>
      <w:pPr>
        <w:tabs>
          <w:tab w:val="num" w:pos="10307"/>
        </w:tabs>
        <w:ind w:left="10307" w:hanging="180"/>
      </w:pPr>
    </w:lvl>
  </w:abstractNum>
  <w:abstractNum w:abstractNumId="1"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7D361C"/>
    <w:multiLevelType w:val="hybridMultilevel"/>
    <w:tmpl w:val="0D781AAC"/>
    <w:lvl w:ilvl="0" w:tplc="D12E4F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15:restartNumberingAfterBreak="0">
    <w:nsid w:val="212F4188"/>
    <w:multiLevelType w:val="multilevel"/>
    <w:tmpl w:val="20745CB8"/>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9211B1C"/>
    <w:multiLevelType w:val="hybridMultilevel"/>
    <w:tmpl w:val="5D5AA570"/>
    <w:lvl w:ilvl="0" w:tplc="2000000F">
      <w:start w:val="1"/>
      <w:numFmt w:val="decimal"/>
      <w:lvlText w:val="%1."/>
      <w:lvlJc w:val="left"/>
      <w:pPr>
        <w:ind w:left="360" w:hanging="360"/>
      </w:pPr>
      <w:rPr>
        <w:rFont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D8E59A0"/>
    <w:multiLevelType w:val="hybridMultilevel"/>
    <w:tmpl w:val="4DA29F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F9A72C9"/>
    <w:multiLevelType w:val="hybridMultilevel"/>
    <w:tmpl w:val="CF882B38"/>
    <w:lvl w:ilvl="0" w:tplc="78E8E71C">
      <w:start w:val="1"/>
      <w:numFmt w:val="lowerLetter"/>
      <w:lvlText w:val="%1)"/>
      <w:lvlJc w:val="left"/>
      <w:pPr>
        <w:ind w:left="360"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014" w:hanging="360"/>
      </w:pPr>
    </w:lvl>
    <w:lvl w:ilvl="2" w:tplc="0406001B" w:tentative="1">
      <w:start w:val="1"/>
      <w:numFmt w:val="lowerRoman"/>
      <w:lvlText w:val="%3."/>
      <w:lvlJc w:val="right"/>
      <w:pPr>
        <w:ind w:left="1734" w:hanging="180"/>
      </w:pPr>
    </w:lvl>
    <w:lvl w:ilvl="3" w:tplc="0406000F" w:tentative="1">
      <w:start w:val="1"/>
      <w:numFmt w:val="decimal"/>
      <w:lvlText w:val="%4."/>
      <w:lvlJc w:val="left"/>
      <w:pPr>
        <w:ind w:left="2454" w:hanging="360"/>
      </w:pPr>
    </w:lvl>
    <w:lvl w:ilvl="4" w:tplc="04060019" w:tentative="1">
      <w:start w:val="1"/>
      <w:numFmt w:val="lowerLetter"/>
      <w:lvlText w:val="%5."/>
      <w:lvlJc w:val="left"/>
      <w:pPr>
        <w:ind w:left="3174" w:hanging="360"/>
      </w:pPr>
    </w:lvl>
    <w:lvl w:ilvl="5" w:tplc="0406001B" w:tentative="1">
      <w:start w:val="1"/>
      <w:numFmt w:val="lowerRoman"/>
      <w:lvlText w:val="%6."/>
      <w:lvlJc w:val="right"/>
      <w:pPr>
        <w:ind w:left="3894" w:hanging="180"/>
      </w:pPr>
    </w:lvl>
    <w:lvl w:ilvl="6" w:tplc="0406000F" w:tentative="1">
      <w:start w:val="1"/>
      <w:numFmt w:val="decimal"/>
      <w:lvlText w:val="%7."/>
      <w:lvlJc w:val="left"/>
      <w:pPr>
        <w:ind w:left="4614" w:hanging="360"/>
      </w:pPr>
    </w:lvl>
    <w:lvl w:ilvl="7" w:tplc="04060019" w:tentative="1">
      <w:start w:val="1"/>
      <w:numFmt w:val="lowerLetter"/>
      <w:lvlText w:val="%8."/>
      <w:lvlJc w:val="left"/>
      <w:pPr>
        <w:ind w:left="5334" w:hanging="360"/>
      </w:pPr>
    </w:lvl>
    <w:lvl w:ilvl="8" w:tplc="0406001B" w:tentative="1">
      <w:start w:val="1"/>
      <w:numFmt w:val="lowerRoman"/>
      <w:lvlText w:val="%9."/>
      <w:lvlJc w:val="right"/>
      <w:pPr>
        <w:ind w:left="6054" w:hanging="180"/>
      </w:pPr>
    </w:lvl>
  </w:abstractNum>
  <w:abstractNum w:abstractNumId="11"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3" w15:restartNumberingAfterBreak="0">
    <w:nsid w:val="331D2CAF"/>
    <w:multiLevelType w:val="multilevel"/>
    <w:tmpl w:val="67C69F3A"/>
    <w:lvl w:ilvl="0">
      <w:start w:val="1"/>
      <w:numFmt w:val="decimal"/>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4"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163F7A"/>
    <w:multiLevelType w:val="multilevel"/>
    <w:tmpl w:val="23D051F6"/>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D5D6347"/>
    <w:multiLevelType w:val="hybridMultilevel"/>
    <w:tmpl w:val="BA444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E6242A"/>
    <w:multiLevelType w:val="hybridMultilevel"/>
    <w:tmpl w:val="C9EE696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7C74D070">
      <w:start w:val="1"/>
      <w:numFmt w:val="decimal"/>
      <w:lvlText w:val="%2."/>
      <w:lvlJc w:val="left"/>
      <w:pPr>
        <w:ind w:left="1800" w:hanging="72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9BE4C9A"/>
    <w:multiLevelType w:val="multilevel"/>
    <w:tmpl w:val="D2886BDA"/>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3" w15:restartNumberingAfterBreak="0">
    <w:nsid w:val="5A147264"/>
    <w:multiLevelType w:val="hybridMultilevel"/>
    <w:tmpl w:val="59B03A70"/>
    <w:lvl w:ilvl="0" w:tplc="268A042E">
      <w:start w:val="1"/>
      <w:numFmt w:val="bullet"/>
      <w:lvlText w:val=""/>
      <w:lvlJc w:val="left"/>
      <w:pPr>
        <w:ind w:left="700" w:hanging="360"/>
      </w:pPr>
      <w:rPr>
        <w:rFonts w:ascii="Wingdings" w:hAnsi="Wingdings" w:hint="default"/>
        <w:color w:val="FF0000"/>
      </w:rPr>
    </w:lvl>
    <w:lvl w:ilvl="1" w:tplc="933E380C" w:tentative="1">
      <w:start w:val="1"/>
      <w:numFmt w:val="bullet"/>
      <w:lvlText w:val="o"/>
      <w:lvlJc w:val="left"/>
      <w:pPr>
        <w:ind w:left="1420" w:hanging="360"/>
      </w:pPr>
      <w:rPr>
        <w:rFonts w:ascii="Courier New" w:hAnsi="Courier New" w:cs="Courier New" w:hint="default"/>
      </w:rPr>
    </w:lvl>
    <w:lvl w:ilvl="2" w:tplc="70A86444" w:tentative="1">
      <w:start w:val="1"/>
      <w:numFmt w:val="bullet"/>
      <w:lvlText w:val=""/>
      <w:lvlJc w:val="left"/>
      <w:pPr>
        <w:ind w:left="2140" w:hanging="360"/>
      </w:pPr>
      <w:rPr>
        <w:rFonts w:ascii="Wingdings" w:hAnsi="Wingdings" w:hint="default"/>
      </w:rPr>
    </w:lvl>
    <w:lvl w:ilvl="3" w:tplc="F330FBDE" w:tentative="1">
      <w:start w:val="1"/>
      <w:numFmt w:val="bullet"/>
      <w:lvlText w:val=""/>
      <w:lvlJc w:val="left"/>
      <w:pPr>
        <w:ind w:left="2860" w:hanging="360"/>
      </w:pPr>
      <w:rPr>
        <w:rFonts w:ascii="Symbol" w:hAnsi="Symbol" w:hint="default"/>
      </w:rPr>
    </w:lvl>
    <w:lvl w:ilvl="4" w:tplc="25A6C4B2" w:tentative="1">
      <w:start w:val="1"/>
      <w:numFmt w:val="bullet"/>
      <w:lvlText w:val="o"/>
      <w:lvlJc w:val="left"/>
      <w:pPr>
        <w:ind w:left="3580" w:hanging="360"/>
      </w:pPr>
      <w:rPr>
        <w:rFonts w:ascii="Courier New" w:hAnsi="Courier New" w:cs="Courier New" w:hint="default"/>
      </w:rPr>
    </w:lvl>
    <w:lvl w:ilvl="5" w:tplc="973C4B78" w:tentative="1">
      <w:start w:val="1"/>
      <w:numFmt w:val="bullet"/>
      <w:lvlText w:val=""/>
      <w:lvlJc w:val="left"/>
      <w:pPr>
        <w:ind w:left="4300" w:hanging="360"/>
      </w:pPr>
      <w:rPr>
        <w:rFonts w:ascii="Wingdings" w:hAnsi="Wingdings" w:hint="default"/>
      </w:rPr>
    </w:lvl>
    <w:lvl w:ilvl="6" w:tplc="C5B6719C" w:tentative="1">
      <w:start w:val="1"/>
      <w:numFmt w:val="bullet"/>
      <w:lvlText w:val=""/>
      <w:lvlJc w:val="left"/>
      <w:pPr>
        <w:ind w:left="5020" w:hanging="360"/>
      </w:pPr>
      <w:rPr>
        <w:rFonts w:ascii="Symbol" w:hAnsi="Symbol" w:hint="default"/>
      </w:rPr>
    </w:lvl>
    <w:lvl w:ilvl="7" w:tplc="EC889B54" w:tentative="1">
      <w:start w:val="1"/>
      <w:numFmt w:val="bullet"/>
      <w:lvlText w:val="o"/>
      <w:lvlJc w:val="left"/>
      <w:pPr>
        <w:ind w:left="5740" w:hanging="360"/>
      </w:pPr>
      <w:rPr>
        <w:rFonts w:ascii="Courier New" w:hAnsi="Courier New" w:cs="Courier New" w:hint="default"/>
      </w:rPr>
    </w:lvl>
    <w:lvl w:ilvl="8" w:tplc="8926EC22" w:tentative="1">
      <w:start w:val="1"/>
      <w:numFmt w:val="bullet"/>
      <w:lvlText w:val=""/>
      <w:lvlJc w:val="left"/>
      <w:pPr>
        <w:ind w:left="6460" w:hanging="360"/>
      </w:pPr>
      <w:rPr>
        <w:rFonts w:ascii="Wingdings" w:hAnsi="Wingdings" w:hint="default"/>
      </w:rPr>
    </w:lvl>
  </w:abstractNum>
  <w:abstractNum w:abstractNumId="24"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5"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6"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7"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0F4210F"/>
    <w:multiLevelType w:val="hybridMultilevel"/>
    <w:tmpl w:val="EDFA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CA757DC"/>
    <w:multiLevelType w:val="hybridMultilevel"/>
    <w:tmpl w:val="2EEA2220"/>
    <w:lvl w:ilvl="0" w:tplc="1516429E">
      <w:start w:val="1"/>
      <w:numFmt w:val="bullet"/>
      <w:lvlText w:val=""/>
      <w:lvlJc w:val="left"/>
      <w:pPr>
        <w:ind w:left="700" w:hanging="360"/>
      </w:pPr>
      <w:rPr>
        <w:rFonts w:ascii="Wingdings" w:hAnsi="Wingdings" w:hint="default"/>
        <w:color w:val="FF0000"/>
      </w:rPr>
    </w:lvl>
    <w:lvl w:ilvl="1" w:tplc="04060003">
      <w:start w:val="1"/>
      <w:numFmt w:val="bullet"/>
      <w:lvlText w:val=""/>
      <w:lvlJc w:val="left"/>
      <w:pPr>
        <w:ind w:left="1420" w:hanging="360"/>
      </w:pPr>
      <w:rPr>
        <w:rFonts w:ascii="Wingdings" w:hAnsi="Wingdings" w:hint="default"/>
        <w:color w:val="FF0000"/>
      </w:rPr>
    </w:lvl>
    <w:lvl w:ilvl="2" w:tplc="04060005" w:tentative="1">
      <w:start w:val="1"/>
      <w:numFmt w:val="bullet"/>
      <w:lvlText w:val=""/>
      <w:lvlJc w:val="left"/>
      <w:pPr>
        <w:ind w:left="2140" w:hanging="360"/>
      </w:pPr>
      <w:rPr>
        <w:rFonts w:ascii="Wingdings" w:hAnsi="Wingdings" w:hint="default"/>
      </w:rPr>
    </w:lvl>
    <w:lvl w:ilvl="3" w:tplc="04060001" w:tentative="1">
      <w:start w:val="1"/>
      <w:numFmt w:val="bullet"/>
      <w:lvlText w:val=""/>
      <w:lvlJc w:val="left"/>
      <w:pPr>
        <w:ind w:left="2860" w:hanging="360"/>
      </w:pPr>
      <w:rPr>
        <w:rFonts w:ascii="Symbol" w:hAnsi="Symbol" w:hint="default"/>
      </w:rPr>
    </w:lvl>
    <w:lvl w:ilvl="4" w:tplc="04060003" w:tentative="1">
      <w:start w:val="1"/>
      <w:numFmt w:val="bullet"/>
      <w:lvlText w:val="o"/>
      <w:lvlJc w:val="left"/>
      <w:pPr>
        <w:ind w:left="3580" w:hanging="360"/>
      </w:pPr>
      <w:rPr>
        <w:rFonts w:ascii="Courier New" w:hAnsi="Courier New" w:cs="Courier New" w:hint="default"/>
      </w:rPr>
    </w:lvl>
    <w:lvl w:ilvl="5" w:tplc="04060005" w:tentative="1">
      <w:start w:val="1"/>
      <w:numFmt w:val="bullet"/>
      <w:lvlText w:val=""/>
      <w:lvlJc w:val="left"/>
      <w:pPr>
        <w:ind w:left="4300" w:hanging="360"/>
      </w:pPr>
      <w:rPr>
        <w:rFonts w:ascii="Wingdings" w:hAnsi="Wingdings" w:hint="default"/>
      </w:rPr>
    </w:lvl>
    <w:lvl w:ilvl="6" w:tplc="04060001" w:tentative="1">
      <w:start w:val="1"/>
      <w:numFmt w:val="bullet"/>
      <w:lvlText w:val=""/>
      <w:lvlJc w:val="left"/>
      <w:pPr>
        <w:ind w:left="5020" w:hanging="360"/>
      </w:pPr>
      <w:rPr>
        <w:rFonts w:ascii="Symbol" w:hAnsi="Symbol" w:hint="default"/>
      </w:rPr>
    </w:lvl>
    <w:lvl w:ilvl="7" w:tplc="04060003" w:tentative="1">
      <w:start w:val="1"/>
      <w:numFmt w:val="bullet"/>
      <w:lvlText w:val="o"/>
      <w:lvlJc w:val="left"/>
      <w:pPr>
        <w:ind w:left="5740" w:hanging="360"/>
      </w:pPr>
      <w:rPr>
        <w:rFonts w:ascii="Courier New" w:hAnsi="Courier New" w:cs="Courier New" w:hint="default"/>
      </w:rPr>
    </w:lvl>
    <w:lvl w:ilvl="8" w:tplc="04060005" w:tentative="1">
      <w:start w:val="1"/>
      <w:numFmt w:val="bullet"/>
      <w:lvlText w:val=""/>
      <w:lvlJc w:val="left"/>
      <w:pPr>
        <w:ind w:left="6460" w:hanging="360"/>
      </w:pPr>
      <w:rPr>
        <w:rFonts w:ascii="Wingdings" w:hAnsi="Wingdings" w:hint="default"/>
      </w:rPr>
    </w:lvl>
  </w:abstractNum>
  <w:abstractNum w:abstractNumId="32"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EBB2466"/>
    <w:multiLevelType w:val="hybridMultilevel"/>
    <w:tmpl w:val="2C0898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83022276">
    <w:abstractNumId w:val="17"/>
  </w:num>
  <w:num w:numId="2" w16cid:durableId="1239943436">
    <w:abstractNumId w:val="29"/>
  </w:num>
  <w:num w:numId="3" w16cid:durableId="578251355">
    <w:abstractNumId w:val="21"/>
  </w:num>
  <w:num w:numId="4" w16cid:durableId="121658096">
    <w:abstractNumId w:val="6"/>
  </w:num>
  <w:num w:numId="5" w16cid:durableId="1947887181">
    <w:abstractNumId w:val="24"/>
  </w:num>
  <w:num w:numId="6" w16cid:durableId="1261138557">
    <w:abstractNumId w:val="14"/>
  </w:num>
  <w:num w:numId="7" w16cid:durableId="108279139">
    <w:abstractNumId w:val="12"/>
  </w:num>
  <w:num w:numId="8" w16cid:durableId="1842696626">
    <w:abstractNumId w:val="20"/>
  </w:num>
  <w:num w:numId="9" w16cid:durableId="1867325926">
    <w:abstractNumId w:val="19"/>
  </w:num>
  <w:num w:numId="10" w16cid:durableId="1018851751">
    <w:abstractNumId w:val="15"/>
  </w:num>
  <w:num w:numId="11" w16cid:durableId="759721612">
    <w:abstractNumId w:val="20"/>
    <w:lvlOverride w:ilvl="0">
      <w:startOverride w:val="1"/>
    </w:lvlOverride>
  </w:num>
  <w:num w:numId="12" w16cid:durableId="746147690">
    <w:abstractNumId w:val="5"/>
  </w:num>
  <w:num w:numId="13" w16cid:durableId="2071539797">
    <w:abstractNumId w:val="3"/>
  </w:num>
  <w:num w:numId="14" w16cid:durableId="1163230790">
    <w:abstractNumId w:val="26"/>
  </w:num>
  <w:num w:numId="15" w16cid:durableId="1782606161">
    <w:abstractNumId w:val="25"/>
  </w:num>
  <w:num w:numId="16" w16cid:durableId="14110004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9879915">
    <w:abstractNumId w:val="10"/>
  </w:num>
  <w:num w:numId="18" w16cid:durableId="281765252">
    <w:abstractNumId w:val="11"/>
  </w:num>
  <w:num w:numId="19" w16cid:durableId="871579084">
    <w:abstractNumId w:val="27"/>
  </w:num>
  <w:num w:numId="20" w16cid:durableId="2129620957">
    <w:abstractNumId w:val="16"/>
  </w:num>
  <w:num w:numId="21" w16cid:durableId="1431857545">
    <w:abstractNumId w:val="30"/>
  </w:num>
  <w:num w:numId="22" w16cid:durableId="1902249744">
    <w:abstractNumId w:val="32"/>
  </w:num>
  <w:num w:numId="23" w16cid:durableId="1453135760">
    <w:abstractNumId w:val="0"/>
  </w:num>
  <w:num w:numId="24" w16cid:durableId="1703936026">
    <w:abstractNumId w:val="4"/>
  </w:num>
  <w:num w:numId="25" w16cid:durableId="1852524244">
    <w:abstractNumId w:val="1"/>
  </w:num>
  <w:num w:numId="26" w16cid:durableId="2058047362">
    <w:abstractNumId w:val="13"/>
  </w:num>
  <w:num w:numId="27" w16cid:durableId="1851748937">
    <w:abstractNumId w:val="8"/>
  </w:num>
  <w:num w:numId="28" w16cid:durableId="1531145241">
    <w:abstractNumId w:val="22"/>
  </w:num>
  <w:num w:numId="29" w16cid:durableId="1721393949">
    <w:abstractNumId w:val="23"/>
  </w:num>
  <w:num w:numId="30" w16cid:durableId="1906913537">
    <w:abstractNumId w:val="31"/>
  </w:num>
  <w:num w:numId="31" w16cid:durableId="828249012">
    <w:abstractNumId w:val="7"/>
  </w:num>
  <w:num w:numId="32" w16cid:durableId="120079553">
    <w:abstractNumId w:val="9"/>
  </w:num>
  <w:num w:numId="33" w16cid:durableId="1020621221">
    <w:abstractNumId w:val="13"/>
    <w:lvlOverride w:ilvl="0">
      <w:lvl w:ilvl="0">
        <w:start w:val="1"/>
        <w:numFmt w:val="decimal"/>
        <w:lvlText w:val="%1"/>
        <w:lvlJc w:val="left"/>
        <w:pPr>
          <w:ind w:left="360" w:hanging="360"/>
        </w:pPr>
        <w:rPr>
          <w:rFonts w:hint="default"/>
          <w:b w:val="0"/>
          <w:i w:val="0"/>
          <w:color w:val="D2232A"/>
          <w:sz w:val="20"/>
        </w:rPr>
      </w:lvl>
    </w:lvlOverride>
    <w:lvlOverride w:ilvl="1">
      <w:lvl w:ilvl="1">
        <w:start w:val="1"/>
        <w:numFmt w:val="lowerLetter"/>
        <w:lvlText w:val="%2"/>
        <w:lvlJc w:val="left"/>
        <w:pPr>
          <w:tabs>
            <w:tab w:val="num" w:pos="680"/>
          </w:tabs>
          <w:ind w:left="680" w:hanging="340"/>
        </w:pPr>
        <w:rPr>
          <w:rFonts w:hint="default"/>
          <w:color w:val="C0000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34" w16cid:durableId="48651498">
    <w:abstractNumId w:val="13"/>
    <w:lvlOverride w:ilvl="0">
      <w:lvl w:ilvl="0">
        <w:start w:val="1"/>
        <w:numFmt w:val="decimal"/>
        <w:lvlText w:val="%1"/>
        <w:lvlJc w:val="left"/>
        <w:pPr>
          <w:ind w:left="360" w:hanging="360"/>
        </w:pPr>
        <w:rPr>
          <w:rFonts w:hint="default"/>
          <w:b w:val="0"/>
          <w:i w:val="0"/>
          <w:color w:val="D2232A"/>
          <w:sz w:val="20"/>
        </w:rPr>
      </w:lvl>
    </w:lvlOverride>
    <w:lvlOverride w:ilvl="1">
      <w:lvl w:ilvl="1">
        <w:start w:val="1"/>
        <w:numFmt w:val="lowerLetter"/>
        <w:lvlText w:val="%2"/>
        <w:lvlJc w:val="left"/>
        <w:pPr>
          <w:tabs>
            <w:tab w:val="num" w:pos="680"/>
          </w:tabs>
          <w:ind w:left="680" w:hanging="340"/>
        </w:pPr>
        <w:rPr>
          <w:rFonts w:hint="default"/>
          <w:color w:val="C00000"/>
        </w:rPr>
      </w:lvl>
    </w:lvlOverride>
    <w:lvlOverride w:ilvl="2">
      <w:lvl w:ilvl="2">
        <w:start w:val="1"/>
        <w:numFmt w:val="lowerRoman"/>
        <w:lvlText w:val="%3"/>
        <w:lvlJc w:val="left"/>
        <w:pPr>
          <w:tabs>
            <w:tab w:val="num" w:pos="1021"/>
          </w:tabs>
          <w:ind w:left="1021" w:hanging="341"/>
        </w:pPr>
        <w:rPr>
          <w:rFonts w:hint="default"/>
          <w:color w:val="C00000"/>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35" w16cid:durableId="992485463">
    <w:abstractNumId w:val="22"/>
    <w:lvlOverride w:ilvl="0">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Override>
    <w:lvlOverride w:ilvl="1">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none"/>
        <w:lvlText w:val=""/>
        <w:lvlJc w:val="left"/>
        <w:pPr>
          <w:tabs>
            <w:tab w:val="num" w:pos="1077"/>
          </w:tabs>
          <w:ind w:left="1728" w:hanging="648"/>
        </w:pPr>
        <w:rPr>
          <w:rFonts w:hint="default"/>
        </w:rPr>
      </w:lvl>
    </w:lvlOverride>
    <w:lvlOverride w:ilvl="4">
      <w:lvl w:ilvl="4">
        <w:start w:val="1"/>
        <w:numFmt w:val="none"/>
        <w:lvlText w:val=""/>
        <w:lvlJc w:val="left"/>
        <w:pPr>
          <w:ind w:left="2232" w:hanging="792"/>
        </w:pPr>
        <w:rPr>
          <w:rFonts w:hint="default"/>
        </w:rPr>
      </w:lvl>
    </w:lvlOverride>
    <w:lvlOverride w:ilvl="5">
      <w:lvl w:ilvl="5">
        <w:start w:val="1"/>
        <w:numFmt w:val="none"/>
        <w:lvlText w:val=""/>
        <w:lvlJc w:val="left"/>
        <w:pPr>
          <w:ind w:left="2736" w:hanging="936"/>
        </w:pPr>
        <w:rPr>
          <w:rFonts w:hint="default"/>
        </w:rPr>
      </w:lvl>
    </w:lvlOverride>
    <w:lvlOverride w:ilvl="6">
      <w:lvl w:ilvl="6">
        <w:start w:val="1"/>
        <w:numFmt w:val="none"/>
        <w:lvlText w:val=""/>
        <w:lvlJc w:val="left"/>
        <w:pPr>
          <w:ind w:left="3240" w:hanging="1080"/>
        </w:pPr>
        <w:rPr>
          <w:rFonts w:hint="default"/>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36" w16cid:durableId="1529109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592111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98954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9055881">
    <w:abstractNumId w:val="17"/>
  </w:num>
  <w:num w:numId="40" w16cid:durableId="1493327279">
    <w:abstractNumId w:val="18"/>
  </w:num>
  <w:num w:numId="41" w16cid:durableId="214584844">
    <w:abstractNumId w:val="33"/>
  </w:num>
  <w:num w:numId="42" w16cid:durableId="1628852698">
    <w:abstractNumId w:val="28"/>
  </w:num>
  <w:num w:numId="43" w16cid:durableId="114955503">
    <w:abstractNumId w:val="2"/>
  </w:num>
  <w:num w:numId="44" w16cid:durableId="1564758873">
    <w:abstractNumId w:val="25"/>
  </w:num>
  <w:num w:numId="45" w16cid:durableId="15333489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27F"/>
    <w:rsid w:val="000022C8"/>
    <w:rsid w:val="0000374F"/>
    <w:rsid w:val="000060E9"/>
    <w:rsid w:val="000100FE"/>
    <w:rsid w:val="00011FF6"/>
    <w:rsid w:val="00014EC7"/>
    <w:rsid w:val="000176EA"/>
    <w:rsid w:val="00017FA1"/>
    <w:rsid w:val="00023F9A"/>
    <w:rsid w:val="00031379"/>
    <w:rsid w:val="0003608D"/>
    <w:rsid w:val="000378B4"/>
    <w:rsid w:val="000420F8"/>
    <w:rsid w:val="000423E5"/>
    <w:rsid w:val="000500E9"/>
    <w:rsid w:val="00053B15"/>
    <w:rsid w:val="00056634"/>
    <w:rsid w:val="000571C2"/>
    <w:rsid w:val="00064290"/>
    <w:rsid w:val="000646DB"/>
    <w:rsid w:val="00066243"/>
    <w:rsid w:val="00072B81"/>
    <w:rsid w:val="00074FBA"/>
    <w:rsid w:val="00080A1A"/>
    <w:rsid w:val="000835A8"/>
    <w:rsid w:val="00085003"/>
    <w:rsid w:val="00091479"/>
    <w:rsid w:val="00095017"/>
    <w:rsid w:val="000A4556"/>
    <w:rsid w:val="000A6965"/>
    <w:rsid w:val="000B38A4"/>
    <w:rsid w:val="000B64AA"/>
    <w:rsid w:val="000C183F"/>
    <w:rsid w:val="000C5234"/>
    <w:rsid w:val="000C5A8C"/>
    <w:rsid w:val="000C620E"/>
    <w:rsid w:val="000C6527"/>
    <w:rsid w:val="000C710E"/>
    <w:rsid w:val="000C7E1F"/>
    <w:rsid w:val="000D7EF4"/>
    <w:rsid w:val="000E1FB6"/>
    <w:rsid w:val="000E2955"/>
    <w:rsid w:val="000E337F"/>
    <w:rsid w:val="000F060E"/>
    <w:rsid w:val="000F3919"/>
    <w:rsid w:val="000F6C82"/>
    <w:rsid w:val="00110F13"/>
    <w:rsid w:val="001158C6"/>
    <w:rsid w:val="00126672"/>
    <w:rsid w:val="00133BC3"/>
    <w:rsid w:val="00134178"/>
    <w:rsid w:val="0013619B"/>
    <w:rsid w:val="00137561"/>
    <w:rsid w:val="0014029B"/>
    <w:rsid w:val="00140BFA"/>
    <w:rsid w:val="0014329C"/>
    <w:rsid w:val="00145F60"/>
    <w:rsid w:val="00151621"/>
    <w:rsid w:val="001557AD"/>
    <w:rsid w:val="001561DF"/>
    <w:rsid w:val="0016030F"/>
    <w:rsid w:val="00164B5A"/>
    <w:rsid w:val="00166BBA"/>
    <w:rsid w:val="00174559"/>
    <w:rsid w:val="00176F13"/>
    <w:rsid w:val="00180877"/>
    <w:rsid w:val="00181D42"/>
    <w:rsid w:val="00181F89"/>
    <w:rsid w:val="001849E6"/>
    <w:rsid w:val="001A0535"/>
    <w:rsid w:val="001A55FE"/>
    <w:rsid w:val="001B18C0"/>
    <w:rsid w:val="001B1F5E"/>
    <w:rsid w:val="001B2CA2"/>
    <w:rsid w:val="001B34A0"/>
    <w:rsid w:val="001B4C9A"/>
    <w:rsid w:val="001B76CC"/>
    <w:rsid w:val="001C158A"/>
    <w:rsid w:val="001C21FE"/>
    <w:rsid w:val="001C445A"/>
    <w:rsid w:val="001C46EA"/>
    <w:rsid w:val="001C4B5A"/>
    <w:rsid w:val="001D0611"/>
    <w:rsid w:val="001D179A"/>
    <w:rsid w:val="001D208F"/>
    <w:rsid w:val="001E0C8D"/>
    <w:rsid w:val="001F1C31"/>
    <w:rsid w:val="0020171B"/>
    <w:rsid w:val="00201FFE"/>
    <w:rsid w:val="00207864"/>
    <w:rsid w:val="0021606C"/>
    <w:rsid w:val="00217B57"/>
    <w:rsid w:val="002268F6"/>
    <w:rsid w:val="00230D1E"/>
    <w:rsid w:val="00232510"/>
    <w:rsid w:val="00232B78"/>
    <w:rsid w:val="00232C90"/>
    <w:rsid w:val="00235BD9"/>
    <w:rsid w:val="002459D9"/>
    <w:rsid w:val="00246BD6"/>
    <w:rsid w:val="0025125A"/>
    <w:rsid w:val="00252862"/>
    <w:rsid w:val="002532F9"/>
    <w:rsid w:val="00257EEF"/>
    <w:rsid w:val="00265E01"/>
    <w:rsid w:val="00272251"/>
    <w:rsid w:val="002741A5"/>
    <w:rsid w:val="0027560B"/>
    <w:rsid w:val="002826A5"/>
    <w:rsid w:val="00284319"/>
    <w:rsid w:val="00286A3E"/>
    <w:rsid w:val="00292116"/>
    <w:rsid w:val="002A0A97"/>
    <w:rsid w:val="002A5AE1"/>
    <w:rsid w:val="002B58B3"/>
    <w:rsid w:val="002C1988"/>
    <w:rsid w:val="002C2BA5"/>
    <w:rsid w:val="002C3E1C"/>
    <w:rsid w:val="002D27C6"/>
    <w:rsid w:val="002D589A"/>
    <w:rsid w:val="002E0ED5"/>
    <w:rsid w:val="002E3522"/>
    <w:rsid w:val="002E435A"/>
    <w:rsid w:val="002E56E9"/>
    <w:rsid w:val="002F2718"/>
    <w:rsid w:val="002F47F2"/>
    <w:rsid w:val="002F4A26"/>
    <w:rsid w:val="002F7EFE"/>
    <w:rsid w:val="00301ED7"/>
    <w:rsid w:val="00302A3B"/>
    <w:rsid w:val="003030FE"/>
    <w:rsid w:val="00303E3E"/>
    <w:rsid w:val="00312BCE"/>
    <w:rsid w:val="00314F38"/>
    <w:rsid w:val="003178D4"/>
    <w:rsid w:val="00321F85"/>
    <w:rsid w:val="003229A0"/>
    <w:rsid w:val="00327AB2"/>
    <w:rsid w:val="00331140"/>
    <w:rsid w:val="00331B4A"/>
    <w:rsid w:val="00331F09"/>
    <w:rsid w:val="003341D1"/>
    <w:rsid w:val="00334576"/>
    <w:rsid w:val="00340A62"/>
    <w:rsid w:val="003533D6"/>
    <w:rsid w:val="0036029A"/>
    <w:rsid w:val="00360521"/>
    <w:rsid w:val="0036343C"/>
    <w:rsid w:val="003708BE"/>
    <w:rsid w:val="00374045"/>
    <w:rsid w:val="003752DD"/>
    <w:rsid w:val="00390C4E"/>
    <w:rsid w:val="003922E9"/>
    <w:rsid w:val="00393576"/>
    <w:rsid w:val="0039384E"/>
    <w:rsid w:val="0039551B"/>
    <w:rsid w:val="00396D88"/>
    <w:rsid w:val="003B57DD"/>
    <w:rsid w:val="003C2512"/>
    <w:rsid w:val="003C3BE3"/>
    <w:rsid w:val="003C4433"/>
    <w:rsid w:val="003C64AC"/>
    <w:rsid w:val="003D7522"/>
    <w:rsid w:val="003E1AB6"/>
    <w:rsid w:val="003E38A9"/>
    <w:rsid w:val="003E41E0"/>
    <w:rsid w:val="003F18CE"/>
    <w:rsid w:val="003F1E7B"/>
    <w:rsid w:val="003F3883"/>
    <w:rsid w:val="004002F8"/>
    <w:rsid w:val="00400D6B"/>
    <w:rsid w:val="00401D25"/>
    <w:rsid w:val="00402557"/>
    <w:rsid w:val="00402AFB"/>
    <w:rsid w:val="004036AB"/>
    <w:rsid w:val="00411E75"/>
    <w:rsid w:val="00412E32"/>
    <w:rsid w:val="00414132"/>
    <w:rsid w:val="00421BAA"/>
    <w:rsid w:val="00421D3F"/>
    <w:rsid w:val="00423566"/>
    <w:rsid w:val="0042369C"/>
    <w:rsid w:val="00426D3F"/>
    <w:rsid w:val="00440F99"/>
    <w:rsid w:val="004417C4"/>
    <w:rsid w:val="004437FB"/>
    <w:rsid w:val="00453C08"/>
    <w:rsid w:val="00457EB9"/>
    <w:rsid w:val="004629EC"/>
    <w:rsid w:val="00462C11"/>
    <w:rsid w:val="004651C9"/>
    <w:rsid w:val="0047528B"/>
    <w:rsid w:val="00475EEB"/>
    <w:rsid w:val="004761A4"/>
    <w:rsid w:val="004770A6"/>
    <w:rsid w:val="004774FE"/>
    <w:rsid w:val="00477D3C"/>
    <w:rsid w:val="00484487"/>
    <w:rsid w:val="00490CF2"/>
    <w:rsid w:val="00497873"/>
    <w:rsid w:val="004B2E89"/>
    <w:rsid w:val="004B47B4"/>
    <w:rsid w:val="004B6A09"/>
    <w:rsid w:val="004C01E9"/>
    <w:rsid w:val="004C0277"/>
    <w:rsid w:val="004C34D1"/>
    <w:rsid w:val="004C730D"/>
    <w:rsid w:val="004D29D1"/>
    <w:rsid w:val="004D4301"/>
    <w:rsid w:val="004D6217"/>
    <w:rsid w:val="004E2234"/>
    <w:rsid w:val="004E22D8"/>
    <w:rsid w:val="004E4E73"/>
    <w:rsid w:val="004E60ED"/>
    <w:rsid w:val="004F2DBE"/>
    <w:rsid w:val="004F34D6"/>
    <w:rsid w:val="004F42A3"/>
    <w:rsid w:val="00502D25"/>
    <w:rsid w:val="00512D4C"/>
    <w:rsid w:val="005166D6"/>
    <w:rsid w:val="00520A1B"/>
    <w:rsid w:val="005249F1"/>
    <w:rsid w:val="005346C0"/>
    <w:rsid w:val="005347C0"/>
    <w:rsid w:val="005365D4"/>
    <w:rsid w:val="00537EA9"/>
    <w:rsid w:val="00541774"/>
    <w:rsid w:val="00544A22"/>
    <w:rsid w:val="0054607F"/>
    <w:rsid w:val="00547718"/>
    <w:rsid w:val="0055373E"/>
    <w:rsid w:val="00561F2A"/>
    <w:rsid w:val="0056503B"/>
    <w:rsid w:val="005665FA"/>
    <w:rsid w:val="00570241"/>
    <w:rsid w:val="00573207"/>
    <w:rsid w:val="005852BD"/>
    <w:rsid w:val="00585E7C"/>
    <w:rsid w:val="0059212B"/>
    <w:rsid w:val="00593986"/>
    <w:rsid w:val="005A28A5"/>
    <w:rsid w:val="005A416B"/>
    <w:rsid w:val="005A67EA"/>
    <w:rsid w:val="005B5702"/>
    <w:rsid w:val="005B7EDD"/>
    <w:rsid w:val="005C03B6"/>
    <w:rsid w:val="005C3326"/>
    <w:rsid w:val="005D0C72"/>
    <w:rsid w:val="005D2C3B"/>
    <w:rsid w:val="005D58EC"/>
    <w:rsid w:val="005D6448"/>
    <w:rsid w:val="005D6CC8"/>
    <w:rsid w:val="005D73D7"/>
    <w:rsid w:val="005E0AAE"/>
    <w:rsid w:val="005E1A5B"/>
    <w:rsid w:val="005E5A5E"/>
    <w:rsid w:val="005E639D"/>
    <w:rsid w:val="005E7988"/>
    <w:rsid w:val="005F0BD1"/>
    <w:rsid w:val="005F17F6"/>
    <w:rsid w:val="005F1E65"/>
    <w:rsid w:val="005F5642"/>
    <w:rsid w:val="005F71D5"/>
    <w:rsid w:val="005F7AD5"/>
    <w:rsid w:val="0060035C"/>
    <w:rsid w:val="00606BD4"/>
    <w:rsid w:val="00607B68"/>
    <w:rsid w:val="00611F35"/>
    <w:rsid w:val="0061374D"/>
    <w:rsid w:val="00636A83"/>
    <w:rsid w:val="006449C3"/>
    <w:rsid w:val="00644CC2"/>
    <w:rsid w:val="00646894"/>
    <w:rsid w:val="006522F2"/>
    <w:rsid w:val="0065543A"/>
    <w:rsid w:val="00657F42"/>
    <w:rsid w:val="00661F44"/>
    <w:rsid w:val="00662238"/>
    <w:rsid w:val="00662536"/>
    <w:rsid w:val="00662CBD"/>
    <w:rsid w:val="006645E5"/>
    <w:rsid w:val="006674B9"/>
    <w:rsid w:val="006708AA"/>
    <w:rsid w:val="00671939"/>
    <w:rsid w:val="00672DB2"/>
    <w:rsid w:val="00682385"/>
    <w:rsid w:val="00684EB9"/>
    <w:rsid w:val="006858D0"/>
    <w:rsid w:val="00686F6D"/>
    <w:rsid w:val="00687A9D"/>
    <w:rsid w:val="00692103"/>
    <w:rsid w:val="0069269C"/>
    <w:rsid w:val="006952EC"/>
    <w:rsid w:val="006A0E54"/>
    <w:rsid w:val="006A104E"/>
    <w:rsid w:val="006A3037"/>
    <w:rsid w:val="006B136D"/>
    <w:rsid w:val="006B1967"/>
    <w:rsid w:val="006B2B44"/>
    <w:rsid w:val="006B567D"/>
    <w:rsid w:val="006C0334"/>
    <w:rsid w:val="006C03D0"/>
    <w:rsid w:val="006C5F4A"/>
    <w:rsid w:val="006D561E"/>
    <w:rsid w:val="006D63D0"/>
    <w:rsid w:val="006D767E"/>
    <w:rsid w:val="006D7E8E"/>
    <w:rsid w:val="006E11EF"/>
    <w:rsid w:val="0070052E"/>
    <w:rsid w:val="007047B9"/>
    <w:rsid w:val="00710E9E"/>
    <w:rsid w:val="00713DBA"/>
    <w:rsid w:val="0071547C"/>
    <w:rsid w:val="00720E82"/>
    <w:rsid w:val="00726376"/>
    <w:rsid w:val="00731DFD"/>
    <w:rsid w:val="00733D0E"/>
    <w:rsid w:val="0073540E"/>
    <w:rsid w:val="00747919"/>
    <w:rsid w:val="007509A1"/>
    <w:rsid w:val="007540D6"/>
    <w:rsid w:val="00756D15"/>
    <w:rsid w:val="007658DC"/>
    <w:rsid w:val="0077018B"/>
    <w:rsid w:val="007744EB"/>
    <w:rsid w:val="0077674C"/>
    <w:rsid w:val="00777466"/>
    <w:rsid w:val="007802CA"/>
    <w:rsid w:val="007828A8"/>
    <w:rsid w:val="00783602"/>
    <w:rsid w:val="007863DC"/>
    <w:rsid w:val="00790F58"/>
    <w:rsid w:val="00791203"/>
    <w:rsid w:val="00792D16"/>
    <w:rsid w:val="0079403B"/>
    <w:rsid w:val="007A2EF7"/>
    <w:rsid w:val="007B3768"/>
    <w:rsid w:val="007B3B7F"/>
    <w:rsid w:val="007B4F67"/>
    <w:rsid w:val="007B5417"/>
    <w:rsid w:val="007B630E"/>
    <w:rsid w:val="007C060A"/>
    <w:rsid w:val="007C3622"/>
    <w:rsid w:val="007C565E"/>
    <w:rsid w:val="007C6571"/>
    <w:rsid w:val="007D0A0D"/>
    <w:rsid w:val="007D547D"/>
    <w:rsid w:val="007D6DC5"/>
    <w:rsid w:val="007E11A0"/>
    <w:rsid w:val="007E23E4"/>
    <w:rsid w:val="007E4836"/>
    <w:rsid w:val="007E4956"/>
    <w:rsid w:val="007E6A59"/>
    <w:rsid w:val="007E6C69"/>
    <w:rsid w:val="007F1172"/>
    <w:rsid w:val="00807857"/>
    <w:rsid w:val="008134CC"/>
    <w:rsid w:val="00814550"/>
    <w:rsid w:val="00820D4A"/>
    <w:rsid w:val="00831F0A"/>
    <w:rsid w:val="0083310A"/>
    <w:rsid w:val="00840D0F"/>
    <w:rsid w:val="00842B6C"/>
    <w:rsid w:val="008433D8"/>
    <w:rsid w:val="0086206F"/>
    <w:rsid w:val="008626AC"/>
    <w:rsid w:val="008638B7"/>
    <w:rsid w:val="0086488C"/>
    <w:rsid w:val="0086712F"/>
    <w:rsid w:val="00870690"/>
    <w:rsid w:val="00870918"/>
    <w:rsid w:val="00872BE8"/>
    <w:rsid w:val="00881740"/>
    <w:rsid w:val="00892028"/>
    <w:rsid w:val="00895C9B"/>
    <w:rsid w:val="008A39FF"/>
    <w:rsid w:val="008B0528"/>
    <w:rsid w:val="008C1F97"/>
    <w:rsid w:val="008C570F"/>
    <w:rsid w:val="008C677A"/>
    <w:rsid w:val="008D65CA"/>
    <w:rsid w:val="008E239F"/>
    <w:rsid w:val="008F1264"/>
    <w:rsid w:val="008F5944"/>
    <w:rsid w:val="009009AF"/>
    <w:rsid w:val="00904526"/>
    <w:rsid w:val="00907177"/>
    <w:rsid w:val="00913115"/>
    <w:rsid w:val="00917E04"/>
    <w:rsid w:val="00920644"/>
    <w:rsid w:val="009250A6"/>
    <w:rsid w:val="00927764"/>
    <w:rsid w:val="00931CAF"/>
    <w:rsid w:val="00937643"/>
    <w:rsid w:val="00941CB1"/>
    <w:rsid w:val="00962166"/>
    <w:rsid w:val="009624D9"/>
    <w:rsid w:val="0096307C"/>
    <w:rsid w:val="00965CDB"/>
    <w:rsid w:val="009713E7"/>
    <w:rsid w:val="00983754"/>
    <w:rsid w:val="00983E85"/>
    <w:rsid w:val="00984E26"/>
    <w:rsid w:val="00985114"/>
    <w:rsid w:val="0099460E"/>
    <w:rsid w:val="00995C49"/>
    <w:rsid w:val="009A64AB"/>
    <w:rsid w:val="009B65BC"/>
    <w:rsid w:val="009C196E"/>
    <w:rsid w:val="009C2B0F"/>
    <w:rsid w:val="009C2CCB"/>
    <w:rsid w:val="009C3984"/>
    <w:rsid w:val="009C5ED9"/>
    <w:rsid w:val="009D63D9"/>
    <w:rsid w:val="009D78F0"/>
    <w:rsid w:val="009E18F6"/>
    <w:rsid w:val="009E19D8"/>
    <w:rsid w:val="009E22A6"/>
    <w:rsid w:val="009E559E"/>
    <w:rsid w:val="009E725F"/>
    <w:rsid w:val="009F0A9C"/>
    <w:rsid w:val="009F168A"/>
    <w:rsid w:val="009F5975"/>
    <w:rsid w:val="009F62B8"/>
    <w:rsid w:val="009F7358"/>
    <w:rsid w:val="00A02BF3"/>
    <w:rsid w:val="00A03041"/>
    <w:rsid w:val="00A1098F"/>
    <w:rsid w:val="00A14CB2"/>
    <w:rsid w:val="00A15970"/>
    <w:rsid w:val="00A17787"/>
    <w:rsid w:val="00A27EB8"/>
    <w:rsid w:val="00A3471F"/>
    <w:rsid w:val="00A41673"/>
    <w:rsid w:val="00A41902"/>
    <w:rsid w:val="00A4758F"/>
    <w:rsid w:val="00A50344"/>
    <w:rsid w:val="00A60A66"/>
    <w:rsid w:val="00A61046"/>
    <w:rsid w:val="00A654C4"/>
    <w:rsid w:val="00A65674"/>
    <w:rsid w:val="00A74EB3"/>
    <w:rsid w:val="00A8085A"/>
    <w:rsid w:val="00A80D61"/>
    <w:rsid w:val="00A842C0"/>
    <w:rsid w:val="00A90412"/>
    <w:rsid w:val="00A91F63"/>
    <w:rsid w:val="00A922C5"/>
    <w:rsid w:val="00A941D2"/>
    <w:rsid w:val="00A97DC5"/>
    <w:rsid w:val="00AA0883"/>
    <w:rsid w:val="00AA1A9E"/>
    <w:rsid w:val="00AA1E85"/>
    <w:rsid w:val="00AA3921"/>
    <w:rsid w:val="00AA3A3C"/>
    <w:rsid w:val="00AA4AD5"/>
    <w:rsid w:val="00AA7529"/>
    <w:rsid w:val="00AB0571"/>
    <w:rsid w:val="00AB0A55"/>
    <w:rsid w:val="00AB2AFD"/>
    <w:rsid w:val="00AB2E65"/>
    <w:rsid w:val="00AB40C7"/>
    <w:rsid w:val="00AB4F8D"/>
    <w:rsid w:val="00AB794F"/>
    <w:rsid w:val="00AC0B35"/>
    <w:rsid w:val="00AC21BF"/>
    <w:rsid w:val="00AD1DB7"/>
    <w:rsid w:val="00AD28CC"/>
    <w:rsid w:val="00AD50E2"/>
    <w:rsid w:val="00AD55A0"/>
    <w:rsid w:val="00AD76E0"/>
    <w:rsid w:val="00AE242D"/>
    <w:rsid w:val="00AF086B"/>
    <w:rsid w:val="00AF3C13"/>
    <w:rsid w:val="00AF3DBC"/>
    <w:rsid w:val="00AF4388"/>
    <w:rsid w:val="00AF4B02"/>
    <w:rsid w:val="00AF52C0"/>
    <w:rsid w:val="00AF6350"/>
    <w:rsid w:val="00AF777B"/>
    <w:rsid w:val="00B02254"/>
    <w:rsid w:val="00B03382"/>
    <w:rsid w:val="00B04FE6"/>
    <w:rsid w:val="00B105FA"/>
    <w:rsid w:val="00B1330D"/>
    <w:rsid w:val="00B170A1"/>
    <w:rsid w:val="00B23041"/>
    <w:rsid w:val="00B2333F"/>
    <w:rsid w:val="00B2406C"/>
    <w:rsid w:val="00B26323"/>
    <w:rsid w:val="00B31930"/>
    <w:rsid w:val="00B321C9"/>
    <w:rsid w:val="00B32647"/>
    <w:rsid w:val="00B3778F"/>
    <w:rsid w:val="00B43127"/>
    <w:rsid w:val="00B51CA9"/>
    <w:rsid w:val="00B54BC4"/>
    <w:rsid w:val="00B55938"/>
    <w:rsid w:val="00B633D4"/>
    <w:rsid w:val="00B660CE"/>
    <w:rsid w:val="00B713B7"/>
    <w:rsid w:val="00B76B93"/>
    <w:rsid w:val="00B801A4"/>
    <w:rsid w:val="00B81434"/>
    <w:rsid w:val="00B82FD1"/>
    <w:rsid w:val="00B911FE"/>
    <w:rsid w:val="00B97ECF"/>
    <w:rsid w:val="00BA0953"/>
    <w:rsid w:val="00BA63FA"/>
    <w:rsid w:val="00BA69A5"/>
    <w:rsid w:val="00BB4860"/>
    <w:rsid w:val="00BB641C"/>
    <w:rsid w:val="00BC2F35"/>
    <w:rsid w:val="00BC36D3"/>
    <w:rsid w:val="00BC47AF"/>
    <w:rsid w:val="00BC590D"/>
    <w:rsid w:val="00BC59C1"/>
    <w:rsid w:val="00BC6A86"/>
    <w:rsid w:val="00BD1B8C"/>
    <w:rsid w:val="00BD327F"/>
    <w:rsid w:val="00BD7E8E"/>
    <w:rsid w:val="00BE0479"/>
    <w:rsid w:val="00BF1DF7"/>
    <w:rsid w:val="00BF6D68"/>
    <w:rsid w:val="00BF76E0"/>
    <w:rsid w:val="00BF7857"/>
    <w:rsid w:val="00C05199"/>
    <w:rsid w:val="00C119CF"/>
    <w:rsid w:val="00C11F9C"/>
    <w:rsid w:val="00C1215A"/>
    <w:rsid w:val="00C12634"/>
    <w:rsid w:val="00C1340F"/>
    <w:rsid w:val="00C15D5C"/>
    <w:rsid w:val="00C23781"/>
    <w:rsid w:val="00C271A6"/>
    <w:rsid w:val="00C34327"/>
    <w:rsid w:val="00C35F1E"/>
    <w:rsid w:val="00C37D59"/>
    <w:rsid w:val="00C40D21"/>
    <w:rsid w:val="00C44487"/>
    <w:rsid w:val="00C5088D"/>
    <w:rsid w:val="00C50BC9"/>
    <w:rsid w:val="00C520E1"/>
    <w:rsid w:val="00C52E82"/>
    <w:rsid w:val="00C536CB"/>
    <w:rsid w:val="00C553FB"/>
    <w:rsid w:val="00C56477"/>
    <w:rsid w:val="00C64D00"/>
    <w:rsid w:val="00C665E0"/>
    <w:rsid w:val="00C7194D"/>
    <w:rsid w:val="00C7356B"/>
    <w:rsid w:val="00C74919"/>
    <w:rsid w:val="00C80D3E"/>
    <w:rsid w:val="00C8171A"/>
    <w:rsid w:val="00C83C62"/>
    <w:rsid w:val="00CA1F15"/>
    <w:rsid w:val="00CA4197"/>
    <w:rsid w:val="00CA49BE"/>
    <w:rsid w:val="00CA5353"/>
    <w:rsid w:val="00CA5544"/>
    <w:rsid w:val="00CA6C60"/>
    <w:rsid w:val="00CB6466"/>
    <w:rsid w:val="00CB7207"/>
    <w:rsid w:val="00CB758F"/>
    <w:rsid w:val="00CC15E0"/>
    <w:rsid w:val="00CC38A5"/>
    <w:rsid w:val="00CC38D3"/>
    <w:rsid w:val="00CD06C5"/>
    <w:rsid w:val="00CD4109"/>
    <w:rsid w:val="00CD5633"/>
    <w:rsid w:val="00CD64BC"/>
    <w:rsid w:val="00CE4BF0"/>
    <w:rsid w:val="00CE585A"/>
    <w:rsid w:val="00CE71B0"/>
    <w:rsid w:val="00CF2627"/>
    <w:rsid w:val="00CF4C81"/>
    <w:rsid w:val="00D00718"/>
    <w:rsid w:val="00D03DCD"/>
    <w:rsid w:val="00D05AF2"/>
    <w:rsid w:val="00D06801"/>
    <w:rsid w:val="00D10BF5"/>
    <w:rsid w:val="00D14E6F"/>
    <w:rsid w:val="00D16164"/>
    <w:rsid w:val="00D17CF0"/>
    <w:rsid w:val="00D2620F"/>
    <w:rsid w:val="00D34AE4"/>
    <w:rsid w:val="00D36831"/>
    <w:rsid w:val="00D47A36"/>
    <w:rsid w:val="00D5075A"/>
    <w:rsid w:val="00D6031E"/>
    <w:rsid w:val="00D60A6C"/>
    <w:rsid w:val="00D60B6E"/>
    <w:rsid w:val="00D66C05"/>
    <w:rsid w:val="00D837F1"/>
    <w:rsid w:val="00D84B44"/>
    <w:rsid w:val="00D90B0A"/>
    <w:rsid w:val="00D977EF"/>
    <w:rsid w:val="00D97E0C"/>
    <w:rsid w:val="00DA090D"/>
    <w:rsid w:val="00DA2C00"/>
    <w:rsid w:val="00DB08EB"/>
    <w:rsid w:val="00DB33A4"/>
    <w:rsid w:val="00DC0568"/>
    <w:rsid w:val="00DC2345"/>
    <w:rsid w:val="00DC2C1E"/>
    <w:rsid w:val="00DC4558"/>
    <w:rsid w:val="00DC592E"/>
    <w:rsid w:val="00DC5DE1"/>
    <w:rsid w:val="00DD3F01"/>
    <w:rsid w:val="00DD40D4"/>
    <w:rsid w:val="00DD5042"/>
    <w:rsid w:val="00DD7253"/>
    <w:rsid w:val="00DE114A"/>
    <w:rsid w:val="00DE3623"/>
    <w:rsid w:val="00DE36D4"/>
    <w:rsid w:val="00DF2042"/>
    <w:rsid w:val="00DF38DA"/>
    <w:rsid w:val="00DF3C20"/>
    <w:rsid w:val="00DF7D79"/>
    <w:rsid w:val="00E008C8"/>
    <w:rsid w:val="00E04185"/>
    <w:rsid w:val="00E0529B"/>
    <w:rsid w:val="00E05484"/>
    <w:rsid w:val="00E1668A"/>
    <w:rsid w:val="00E17DB4"/>
    <w:rsid w:val="00E20199"/>
    <w:rsid w:val="00E228E3"/>
    <w:rsid w:val="00E30186"/>
    <w:rsid w:val="00E3088F"/>
    <w:rsid w:val="00E36112"/>
    <w:rsid w:val="00E36178"/>
    <w:rsid w:val="00E40E15"/>
    <w:rsid w:val="00E4536B"/>
    <w:rsid w:val="00E4543F"/>
    <w:rsid w:val="00E47DF5"/>
    <w:rsid w:val="00E52B7E"/>
    <w:rsid w:val="00E5312C"/>
    <w:rsid w:val="00E553BB"/>
    <w:rsid w:val="00E5778A"/>
    <w:rsid w:val="00E60576"/>
    <w:rsid w:val="00E6355B"/>
    <w:rsid w:val="00E65A42"/>
    <w:rsid w:val="00E65C9C"/>
    <w:rsid w:val="00E65E22"/>
    <w:rsid w:val="00E666D0"/>
    <w:rsid w:val="00E71643"/>
    <w:rsid w:val="00E722A7"/>
    <w:rsid w:val="00E73D39"/>
    <w:rsid w:val="00E772AA"/>
    <w:rsid w:val="00E8697D"/>
    <w:rsid w:val="00EA059A"/>
    <w:rsid w:val="00EA1661"/>
    <w:rsid w:val="00EA7168"/>
    <w:rsid w:val="00EA7297"/>
    <w:rsid w:val="00EA7CF3"/>
    <w:rsid w:val="00EB7202"/>
    <w:rsid w:val="00EB797F"/>
    <w:rsid w:val="00EC0AE6"/>
    <w:rsid w:val="00EC2917"/>
    <w:rsid w:val="00EC30B4"/>
    <w:rsid w:val="00ED2BF9"/>
    <w:rsid w:val="00EE4F46"/>
    <w:rsid w:val="00EE719A"/>
    <w:rsid w:val="00EF0870"/>
    <w:rsid w:val="00F027A4"/>
    <w:rsid w:val="00F0592A"/>
    <w:rsid w:val="00F125F8"/>
    <w:rsid w:val="00F16B03"/>
    <w:rsid w:val="00F177F1"/>
    <w:rsid w:val="00F20C07"/>
    <w:rsid w:val="00F26C2E"/>
    <w:rsid w:val="00F32EE8"/>
    <w:rsid w:val="00F33167"/>
    <w:rsid w:val="00F37870"/>
    <w:rsid w:val="00F42C09"/>
    <w:rsid w:val="00F42FE9"/>
    <w:rsid w:val="00F44F17"/>
    <w:rsid w:val="00F44F2D"/>
    <w:rsid w:val="00F45E46"/>
    <w:rsid w:val="00F47CE4"/>
    <w:rsid w:val="00F538CB"/>
    <w:rsid w:val="00F542B3"/>
    <w:rsid w:val="00F62C5C"/>
    <w:rsid w:val="00F62FB5"/>
    <w:rsid w:val="00F6308D"/>
    <w:rsid w:val="00F63296"/>
    <w:rsid w:val="00F67BA7"/>
    <w:rsid w:val="00F71569"/>
    <w:rsid w:val="00F77CA2"/>
    <w:rsid w:val="00F845D3"/>
    <w:rsid w:val="00F85A08"/>
    <w:rsid w:val="00F932D7"/>
    <w:rsid w:val="00F95EE3"/>
    <w:rsid w:val="00FA01D6"/>
    <w:rsid w:val="00FA431B"/>
    <w:rsid w:val="00FA4704"/>
    <w:rsid w:val="00FA7BC9"/>
    <w:rsid w:val="00FA7C48"/>
    <w:rsid w:val="00FC2DA9"/>
    <w:rsid w:val="00FD3BF5"/>
    <w:rsid w:val="00FE3702"/>
    <w:rsid w:val="00FE5450"/>
    <w:rsid w:val="00FF303C"/>
    <w:rsid w:val="07143977"/>
    <w:rsid w:val="0ABEA561"/>
    <w:rsid w:val="2299A825"/>
    <w:rsid w:val="294496D4"/>
    <w:rsid w:val="3DDE5114"/>
    <w:rsid w:val="50292C6B"/>
    <w:rsid w:val="63B38689"/>
    <w:rsid w:val="6905F9D8"/>
    <w:rsid w:val="6A89E635"/>
    <w:rsid w:val="6CC5335C"/>
    <w:rsid w:val="7338C9C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EED415A"/>
  <w15:docId w15:val="{5AB01885-B5FE-4E8F-9931-3F4DB8A5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0592A"/>
    <w:pPr>
      <w:keepNext/>
      <w:pageBreakBefore/>
      <w:spacing w:before="400" w:after="240"/>
      <w:jc w:val="both"/>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5D2C3B"/>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uiPriority w:val="99"/>
    <w:qFormat/>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0B64AA"/>
    <w:pPr>
      <w:spacing w:after="0"/>
      <w:ind w:left="567" w:hanging="567"/>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ECCBulletsLv1">
    <w:name w:val="ECC Bullets Lv1"/>
    <w:basedOn w:val="Normal"/>
    <w:qFormat/>
    <w:rsid w:val="000100FE"/>
    <w:pPr>
      <w:numPr>
        <w:numId w:val="25"/>
      </w:numPr>
      <w:tabs>
        <w:tab w:val="left" w:pos="340"/>
      </w:tabs>
      <w:spacing w:before="60"/>
      <w:ind w:left="340" w:hanging="340"/>
      <w:jc w:val="both"/>
    </w:pPr>
    <w:rPr>
      <w:rFonts w:eastAsia="Calibri"/>
      <w:szCs w:val="22"/>
      <w:lang w:val="en-GB"/>
    </w:rPr>
  </w:style>
  <w:style w:type="paragraph" w:customStyle="1" w:styleId="ECCReference">
    <w:name w:val="ECC Reference"/>
    <w:basedOn w:val="Normal"/>
    <w:qFormat/>
    <w:rsid w:val="000100FE"/>
    <w:pPr>
      <w:tabs>
        <w:tab w:val="num" w:pos="397"/>
      </w:tabs>
      <w:spacing w:after="120"/>
      <w:ind w:left="397" w:hanging="397"/>
      <w:jc w:val="both"/>
    </w:pPr>
    <w:rPr>
      <w:rFonts w:eastAsia="Calibri"/>
      <w:szCs w:val="22"/>
      <w:lang w:val="en-GB" w:eastAsia="ja-JP"/>
    </w:rPr>
  </w:style>
  <w:style w:type="paragraph" w:customStyle="1" w:styleId="ECCEditorsNote">
    <w:name w:val="ECC Editor's Note"/>
    <w:next w:val="Normal"/>
    <w:qFormat/>
    <w:rsid w:val="000100FE"/>
    <w:pPr>
      <w:numPr>
        <w:numId w:val="27"/>
      </w:numPr>
      <w:shd w:val="solid" w:color="FFFF00" w:fill="auto"/>
      <w:spacing w:before="120" w:after="60"/>
      <w:jc w:val="both"/>
    </w:pPr>
    <w:rPr>
      <w:rFonts w:ascii="Arial" w:eastAsia="Calibri" w:hAnsi="Arial"/>
      <w:szCs w:val="22"/>
      <w:lang w:val="da-DK" w:eastAsia="de-DE"/>
    </w:rPr>
  </w:style>
  <w:style w:type="character" w:customStyle="1" w:styleId="ECCHLyellow">
    <w:name w:val="ECC HL yellow"/>
    <w:basedOn w:val="DefaultParagraphFont"/>
    <w:uiPriority w:val="1"/>
    <w:qFormat/>
    <w:rsid w:val="000100FE"/>
    <w:rPr>
      <w:rFonts w:ascii="Arial" w:eastAsia="Calibri" w:hAnsi="Arial"/>
      <w:i w:val="0"/>
      <w:sz w:val="20"/>
      <w:szCs w:val="22"/>
      <w:bdr w:val="none" w:sz="0" w:space="0" w:color="auto"/>
      <w:shd w:val="solid" w:color="FFFF00" w:fill="auto"/>
      <w:lang w:val="en-GB"/>
    </w:rPr>
  </w:style>
  <w:style w:type="character" w:styleId="CommentReference">
    <w:name w:val="annotation reference"/>
    <w:basedOn w:val="DefaultParagraphFont"/>
    <w:uiPriority w:val="99"/>
    <w:semiHidden/>
    <w:unhideWhenUsed/>
    <w:rsid w:val="000100FE"/>
    <w:rPr>
      <w:sz w:val="16"/>
      <w:szCs w:val="16"/>
    </w:rPr>
  </w:style>
  <w:style w:type="paragraph" w:styleId="CommentText">
    <w:name w:val="annotation text"/>
    <w:basedOn w:val="Normal"/>
    <w:link w:val="CommentTextChar"/>
    <w:uiPriority w:val="99"/>
    <w:unhideWhenUsed/>
    <w:rsid w:val="000100FE"/>
    <w:pPr>
      <w:spacing w:before="240" w:after="60"/>
      <w:jc w:val="both"/>
    </w:pPr>
    <w:rPr>
      <w:rFonts w:eastAsia="Calibri"/>
      <w:szCs w:val="20"/>
      <w:lang w:val="en-GB"/>
    </w:rPr>
  </w:style>
  <w:style w:type="character" w:customStyle="1" w:styleId="CommentTextChar">
    <w:name w:val="Comment Text Char"/>
    <w:basedOn w:val="DefaultParagraphFont"/>
    <w:link w:val="CommentText"/>
    <w:uiPriority w:val="99"/>
    <w:rsid w:val="000100FE"/>
    <w:rPr>
      <w:rFonts w:ascii="Arial" w:eastAsia="Calibri" w:hAnsi="Arial"/>
    </w:rPr>
  </w:style>
  <w:style w:type="paragraph" w:styleId="CommentSubject">
    <w:name w:val="annotation subject"/>
    <w:basedOn w:val="CommentText"/>
    <w:next w:val="CommentText"/>
    <w:link w:val="CommentSubjectChar"/>
    <w:uiPriority w:val="99"/>
    <w:semiHidden/>
    <w:unhideWhenUsed/>
    <w:rsid w:val="000100FE"/>
    <w:pPr>
      <w:spacing w:before="0" w:after="0"/>
      <w:jc w:val="left"/>
    </w:pPr>
    <w:rPr>
      <w:rFonts w:eastAsia="Times New Roman"/>
      <w:b/>
      <w:bCs/>
      <w:lang w:val="en-US"/>
    </w:rPr>
  </w:style>
  <w:style w:type="character" w:customStyle="1" w:styleId="CommentSubjectChar">
    <w:name w:val="Comment Subject Char"/>
    <w:basedOn w:val="CommentTextChar"/>
    <w:link w:val="CommentSubject"/>
    <w:uiPriority w:val="99"/>
    <w:semiHidden/>
    <w:rsid w:val="000100FE"/>
    <w:rPr>
      <w:rFonts w:ascii="Arial" w:eastAsia="Calibri" w:hAnsi="Arial"/>
      <w:b/>
      <w:bCs/>
      <w:lang w:val="en-US"/>
    </w:rPr>
  </w:style>
  <w:style w:type="character" w:styleId="PlaceholderText">
    <w:name w:val="Placeholder Text"/>
    <w:basedOn w:val="DefaultParagraphFont"/>
    <w:uiPriority w:val="99"/>
    <w:semiHidden/>
    <w:rsid w:val="005F17F6"/>
    <w:rPr>
      <w:color w:val="808080"/>
    </w:rPr>
  </w:style>
  <w:style w:type="paragraph" w:customStyle="1" w:styleId="ECCHLboldanditalics">
    <w:name w:val="ECC HL bold and italics"/>
    <w:basedOn w:val="Normal"/>
    <w:qFormat/>
    <w:rsid w:val="008F5944"/>
    <w:pPr>
      <w:spacing w:before="240" w:after="60"/>
      <w:jc w:val="both"/>
    </w:pPr>
    <w:rPr>
      <w:rFonts w:eastAsia="Calibri"/>
      <w:b/>
      <w:bCs/>
      <w:i/>
      <w:szCs w:val="30"/>
      <w:lang w:val="en-GB"/>
    </w:rPr>
  </w:style>
  <w:style w:type="paragraph" w:customStyle="1" w:styleId="ECCAnnexheading1">
    <w:name w:val="ECC Annex heading1"/>
    <w:next w:val="Normal"/>
    <w:autoRedefine/>
    <w:qFormat/>
    <w:rsid w:val="00C05199"/>
    <w:pPr>
      <w:keepNext/>
      <w:pageBreakBefore/>
      <w:spacing w:before="240" w:after="60"/>
      <w:jc w:val="both"/>
      <w:outlineLvl w:val="0"/>
    </w:pPr>
    <w:rPr>
      <w:rFonts w:ascii="Arial" w:hAnsi="Arial"/>
      <w:b/>
      <w:caps/>
      <w:color w:val="D2232A"/>
      <w:lang w:val="da-DK"/>
    </w:rPr>
  </w:style>
  <w:style w:type="paragraph" w:styleId="Caption">
    <w:name w:val="caption"/>
    <w:aliases w:val="ECC Figure Caption"/>
    <w:next w:val="Normal"/>
    <w:link w:val="CaptionChar"/>
    <w:qFormat/>
    <w:rsid w:val="006645E5"/>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ECCBulletsLv2">
    <w:name w:val="ECC Bullets Lv2"/>
    <w:basedOn w:val="ECCBulletsLv1"/>
    <w:rsid w:val="006645E5"/>
    <w:pPr>
      <w:numPr>
        <w:numId w:val="0"/>
      </w:numPr>
      <w:tabs>
        <w:tab w:val="left" w:pos="680"/>
      </w:tabs>
      <w:ind w:left="680" w:hanging="340"/>
    </w:pPr>
  </w:style>
  <w:style w:type="paragraph" w:customStyle="1" w:styleId="ECCBulletsLv3">
    <w:name w:val="ECC Bullets Lv3"/>
    <w:basedOn w:val="ECCBulletsLv1"/>
    <w:rsid w:val="006645E5"/>
    <w:pPr>
      <w:numPr>
        <w:numId w:val="0"/>
      </w:numPr>
      <w:tabs>
        <w:tab w:val="left" w:pos="1021"/>
      </w:tabs>
      <w:ind w:left="1020" w:hanging="340"/>
    </w:pPr>
  </w:style>
  <w:style w:type="paragraph" w:customStyle="1" w:styleId="ECCLetteredList">
    <w:name w:val="ECC Lettered List"/>
    <w:qFormat/>
    <w:rsid w:val="006645E5"/>
    <w:pPr>
      <w:numPr>
        <w:numId w:val="28"/>
      </w:numPr>
      <w:spacing w:before="240"/>
      <w:jc w:val="both"/>
    </w:pPr>
    <w:rPr>
      <w:rFonts w:ascii="Arial" w:hAnsi="Arial"/>
    </w:rPr>
  </w:style>
  <w:style w:type="paragraph" w:customStyle="1" w:styleId="ECCFiguregraphcentred">
    <w:name w:val="ECC Figure/graph centred"/>
    <w:next w:val="Normal"/>
    <w:qFormat/>
    <w:rsid w:val="006645E5"/>
    <w:pPr>
      <w:spacing w:before="240" w:after="240"/>
      <w:jc w:val="center"/>
    </w:pPr>
    <w:rPr>
      <w:rFonts w:ascii="Arial" w:hAnsi="Arial"/>
      <w:noProof/>
      <w:lang w:val="de-DE" w:eastAsia="de-DE"/>
      <w14:cntxtAlts/>
    </w:rPr>
  </w:style>
  <w:style w:type="paragraph" w:customStyle="1" w:styleId="ECCTableHeaderwhitefont">
    <w:name w:val="ECC Table Header white font"/>
    <w:qFormat/>
    <w:rsid w:val="006645E5"/>
    <w:pPr>
      <w:keepNext/>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6645E5"/>
    <w:pPr>
      <w:keepNext/>
      <w:spacing w:after="60"/>
    </w:pPr>
    <w:rPr>
      <w:rFonts w:eastAsia="Calibri"/>
      <w:szCs w:val="22"/>
      <w:lang w:val="en-GB"/>
    </w:rPr>
  </w:style>
  <w:style w:type="paragraph" w:customStyle="1" w:styleId="ECCHeadingnonumbering">
    <w:name w:val="ECC Heading no numbering"/>
    <w:next w:val="NormalWeb"/>
    <w:rsid w:val="006645E5"/>
    <w:pPr>
      <w:tabs>
        <w:tab w:val="left" w:pos="0"/>
        <w:tab w:val="center" w:pos="4820"/>
        <w:tab w:val="right" w:pos="9639"/>
      </w:tabs>
      <w:spacing w:before="240" w:after="60"/>
      <w:jc w:val="both"/>
    </w:pPr>
    <w:rPr>
      <w:rFonts w:ascii="Arial" w:hAnsi="Arial" w:cs="Arial"/>
      <w:bCs/>
      <w:color w:val="D2232A"/>
      <w:kern w:val="32"/>
      <w:szCs w:val="32"/>
      <w:u w:val="single"/>
      <w:lang w:val="da-DK"/>
    </w:rPr>
  </w:style>
  <w:style w:type="table" w:customStyle="1" w:styleId="ECCTable-redheader">
    <w:name w:val="ECC Table - red header"/>
    <w:basedOn w:val="TableNormal"/>
    <w:uiPriority w:val="99"/>
    <w:qFormat/>
    <w:rsid w:val="006645E5"/>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CaptionChar">
    <w:name w:val="Caption Char"/>
    <w:aliases w:val="ECC Figure Caption Char"/>
    <w:link w:val="Caption"/>
    <w:qFormat/>
    <w:rsid w:val="006645E5"/>
    <w:rPr>
      <w:rFonts w:ascii="Arial" w:hAnsi="Arial"/>
      <w:b/>
      <w:bCs/>
      <w:color w:val="D2232A"/>
      <w:lang w:val="da-DK"/>
    </w:rPr>
  </w:style>
  <w:style w:type="paragraph" w:styleId="NormalWeb">
    <w:name w:val="Normal (Web)"/>
    <w:basedOn w:val="Normal"/>
    <w:uiPriority w:val="99"/>
    <w:semiHidden/>
    <w:unhideWhenUsed/>
    <w:rsid w:val="006645E5"/>
    <w:pPr>
      <w:spacing w:before="240" w:after="60"/>
      <w:jc w:val="both"/>
    </w:pPr>
    <w:rPr>
      <w:rFonts w:ascii="Times New Roman" w:eastAsia="Calibri" w:hAnsi="Times New Roman"/>
      <w:sz w:val="24"/>
      <w:lang w:val="en-GB"/>
    </w:rPr>
  </w:style>
  <w:style w:type="paragraph" w:customStyle="1" w:styleId="ECCNumberedlist0">
    <w:name w:val="ECC Numbered list"/>
    <w:aliases w:val="level 2"/>
    <w:basedOn w:val="ECCAnnexheading3"/>
    <w:qFormat/>
    <w:rsid w:val="006645E5"/>
    <w:pPr>
      <w:keepNext/>
      <w:numPr>
        <w:ilvl w:val="0"/>
        <w:numId w:val="0"/>
      </w:numPr>
      <w:tabs>
        <w:tab w:val="num" w:pos="720"/>
      </w:tabs>
      <w:spacing w:after="60"/>
      <w:ind w:left="720" w:hanging="720"/>
      <w:jc w:val="both"/>
      <w:outlineLvl w:val="2"/>
    </w:pPr>
    <w:rPr>
      <w:szCs w:val="20"/>
      <w:lang w:val="en-GB"/>
    </w:rPr>
  </w:style>
  <w:style w:type="paragraph" w:customStyle="1" w:styleId="ECCNumberedListlevel2">
    <w:name w:val="ECC Numbered List level 2"/>
    <w:qFormat/>
    <w:rsid w:val="006645E5"/>
    <w:pPr>
      <w:tabs>
        <w:tab w:val="num" w:pos="680"/>
      </w:tabs>
      <w:spacing w:before="240"/>
      <w:ind w:left="680" w:hanging="340"/>
      <w:jc w:val="both"/>
    </w:pPr>
    <w:rPr>
      <w:rFonts w:eastAsia="Calibri"/>
    </w:rPr>
  </w:style>
  <w:style w:type="paragraph" w:customStyle="1" w:styleId="ECCLetteredListLevel2">
    <w:name w:val="ECC Lettered List Level 2"/>
    <w:basedOn w:val="ECCLetteredList"/>
    <w:qFormat/>
    <w:rsid w:val="006645E5"/>
    <w:pPr>
      <w:numPr>
        <w:ilvl w:val="1"/>
      </w:numPr>
    </w:pPr>
  </w:style>
  <w:style w:type="character" w:customStyle="1" w:styleId="UnresolvedMention1">
    <w:name w:val="Unresolved Mention1"/>
    <w:basedOn w:val="DefaultParagraphFont"/>
    <w:uiPriority w:val="99"/>
    <w:semiHidden/>
    <w:unhideWhenUsed/>
    <w:rsid w:val="008C570F"/>
    <w:rPr>
      <w:color w:val="605E5C"/>
      <w:shd w:val="clear" w:color="auto" w:fill="E1DFDD"/>
    </w:rPr>
  </w:style>
  <w:style w:type="character" w:customStyle="1" w:styleId="FootnoteTextChar">
    <w:name w:val="Footnote Text Char"/>
    <w:basedOn w:val="DefaultParagraphFont"/>
    <w:link w:val="FootnoteText"/>
    <w:uiPriority w:val="99"/>
    <w:qFormat/>
    <w:locked/>
    <w:rsid w:val="002F47F2"/>
    <w:rPr>
      <w:rFonts w:ascii="Arial" w:hAnsi="Arial"/>
      <w:lang w:val="en-US"/>
    </w:rPr>
  </w:style>
  <w:style w:type="paragraph" w:styleId="Revision">
    <w:name w:val="Revision"/>
    <w:hidden/>
    <w:uiPriority w:val="99"/>
    <w:semiHidden/>
    <w:rsid w:val="0055373E"/>
    <w:rPr>
      <w:rFonts w:ascii="Arial" w:hAnsi="Arial"/>
      <w:szCs w:val="24"/>
      <w:lang w:val="en-US"/>
    </w:rPr>
  </w:style>
  <w:style w:type="character" w:styleId="UnresolvedMention">
    <w:name w:val="Unresolved Mention"/>
    <w:basedOn w:val="DefaultParagraphFont"/>
    <w:uiPriority w:val="99"/>
    <w:semiHidden/>
    <w:unhideWhenUsed/>
    <w:rsid w:val="00085003"/>
    <w:rPr>
      <w:color w:val="605E5C"/>
      <w:shd w:val="clear" w:color="auto" w:fill="E1DFDD"/>
    </w:rPr>
  </w:style>
  <w:style w:type="paragraph" w:customStyle="1" w:styleId="Kopfzeile1">
    <w:name w:val="Kopfzeile1"/>
    <w:basedOn w:val="Header"/>
    <w:rsid w:val="006952EC"/>
    <w:pPr>
      <w:tabs>
        <w:tab w:val="clear" w:pos="4320"/>
        <w:tab w:val="clear" w:pos="8640"/>
        <w:tab w:val="center" w:pos="4536"/>
        <w:tab w:val="right" w:pos="9072"/>
      </w:tabs>
    </w:pPr>
    <w:rPr>
      <w:sz w:val="22"/>
      <w:szCs w:val="20"/>
      <w:lang w:val="nb-NO" w:eastAsia="de-DE"/>
    </w:rPr>
  </w:style>
  <w:style w:type="character" w:styleId="Mention">
    <w:name w:val="Mention"/>
    <w:basedOn w:val="DefaultParagraphFont"/>
    <w:uiPriority w:val="99"/>
    <w:unhideWhenUsed/>
    <w:rsid w:val="00BF78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13339">
      <w:bodyDiv w:val="1"/>
      <w:marLeft w:val="0"/>
      <w:marRight w:val="0"/>
      <w:marTop w:val="0"/>
      <w:marBottom w:val="0"/>
      <w:divBdr>
        <w:top w:val="none" w:sz="0" w:space="0" w:color="auto"/>
        <w:left w:val="none" w:sz="0" w:space="0" w:color="auto"/>
        <w:bottom w:val="none" w:sz="0" w:space="0" w:color="auto"/>
        <w:right w:val="none" w:sz="0" w:space="0" w:color="auto"/>
      </w:divBdr>
    </w:div>
    <w:div w:id="25101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db.cept.org/"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2524D-5BEA-4EFB-86DA-F486ECD1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2193</Words>
  <Characters>12503</Characters>
  <Application>Microsoft Office Word</Application>
  <DocSecurity>0</DocSecurity>
  <Lines>104</Lines>
  <Paragraphs>29</Paragraphs>
  <ScaleCrop>false</ScaleCrop>
  <HeadingPairs>
    <vt:vector size="8" baseType="variant">
      <vt:variant>
        <vt:lpstr>Titre</vt:lpstr>
      </vt:variant>
      <vt:variant>
        <vt:i4>1</vt:i4>
      </vt:variant>
      <vt:variant>
        <vt:lpstr>Titel</vt:lpstr>
      </vt:variant>
      <vt:variant>
        <vt:i4>1</vt:i4>
      </vt:variant>
      <vt:variant>
        <vt:lpstr>Title</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14667</CharactersWithSpaces>
  <SharedDoc>false</SharedDoc>
  <HLinks>
    <vt:vector size="18" baseType="variant">
      <vt:variant>
        <vt:i4>983114</vt:i4>
      </vt:variant>
      <vt:variant>
        <vt:i4>60</vt:i4>
      </vt:variant>
      <vt:variant>
        <vt:i4>0</vt:i4>
      </vt:variant>
      <vt:variant>
        <vt:i4>5</vt:i4>
      </vt:variant>
      <vt:variant>
        <vt:lpwstr>https://docdb.cept.org/document/28614</vt:lpwstr>
      </vt:variant>
      <vt:variant>
        <vt:lpwstr/>
      </vt:variant>
      <vt:variant>
        <vt:i4>3276918</vt:i4>
      </vt:variant>
      <vt:variant>
        <vt:i4>57</vt:i4>
      </vt:variant>
      <vt:variant>
        <vt:i4>0</vt:i4>
      </vt:variant>
      <vt:variant>
        <vt:i4>5</vt:i4>
      </vt:variant>
      <vt:variant>
        <vt:lpwstr>https://docdb.cept.org/document/845</vt:lpwstr>
      </vt:variant>
      <vt:variant>
        <vt:lpwstr/>
      </vt:variant>
      <vt:variant>
        <vt:i4>2949226</vt:i4>
      </vt:variant>
      <vt:variant>
        <vt:i4>48</vt:i4>
      </vt:variant>
      <vt:variant>
        <vt:i4>0</vt:i4>
      </vt:variant>
      <vt:variant>
        <vt:i4>5</vt:i4>
      </vt:variant>
      <vt:variant>
        <vt:lpwstr>https://docdb.cept.org/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dc:creator>
  <cp:keywords/>
  <dc:description/>
  <cp:lastModifiedBy>ECO</cp:lastModifiedBy>
  <cp:revision>2</cp:revision>
  <dcterms:created xsi:type="dcterms:W3CDTF">2025-02-14T13:46:00Z</dcterms:created>
  <dcterms:modified xsi:type="dcterms:W3CDTF">2025-02-14T13:46:00Z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