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7CC0" w14:textId="77777777" w:rsidR="006C03D0" w:rsidRDefault="006C03D0"/>
    <w:p w14:paraId="462D9F13" w14:textId="77777777" w:rsidR="006C03D0" w:rsidRPr="0010769E" w:rsidRDefault="006C03D0" w:rsidP="006C03D0">
      <w:pPr>
        <w:jc w:val="center"/>
      </w:pPr>
    </w:p>
    <w:p w14:paraId="5F3C8720" w14:textId="77777777" w:rsidR="006C03D0" w:rsidRPr="0010769E" w:rsidRDefault="006C03D0" w:rsidP="006C03D0">
      <w:pPr>
        <w:jc w:val="center"/>
      </w:pPr>
    </w:p>
    <w:p w14:paraId="3018ADB1" w14:textId="77777777" w:rsidR="006C03D0" w:rsidRPr="0010769E" w:rsidRDefault="006C03D0" w:rsidP="006C03D0"/>
    <w:p w14:paraId="3DCC3BB0" w14:textId="77777777" w:rsidR="006C03D0" w:rsidRPr="0010769E" w:rsidRDefault="006C03D0" w:rsidP="006C03D0"/>
    <w:p w14:paraId="5F1AA75A" w14:textId="77777777"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334C78DD" wp14:editId="17C5984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08A4" w14:textId="68C79863"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A51553">
                                <w:rPr>
                                  <w:color w:val="887E6E"/>
                                  <w:sz w:val="68"/>
                                </w:rPr>
                                <w:t>26</w:t>
                              </w:r>
                              <w:r w:rsidRPr="001E2FAA">
                                <w:rPr>
                                  <w:color w:val="887E6E"/>
                                  <w:sz w:val="68"/>
                                </w:rPr>
                                <w:t>)</w:t>
                              </w:r>
                              <w:r w:rsidR="00A51553">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C78DD"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016908A4" w14:textId="68C79863"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A51553">
                          <w:rPr>
                            <w:color w:val="887E6E"/>
                            <w:sz w:val="68"/>
                          </w:rPr>
                          <w:t>26</w:t>
                        </w:r>
                        <w:r w:rsidRPr="001E2FAA">
                          <w:rPr>
                            <w:color w:val="887E6E"/>
                            <w:sz w:val="68"/>
                          </w:rPr>
                          <w:t>)</w:t>
                        </w:r>
                        <w:r w:rsidR="00A51553">
                          <w:rPr>
                            <w:color w:val="887E6E"/>
                            <w:sz w:val="68"/>
                          </w:rPr>
                          <w:t>01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C930E6D" w14:textId="77777777" w:rsidR="006C03D0" w:rsidRPr="0010769E" w:rsidRDefault="006C03D0" w:rsidP="006C03D0">
      <w:pPr>
        <w:jc w:val="center"/>
        <w:rPr>
          <w:b/>
          <w:sz w:val="24"/>
        </w:rPr>
      </w:pPr>
    </w:p>
    <w:p w14:paraId="509D2032" w14:textId="77777777" w:rsidR="006C03D0" w:rsidRPr="0010769E" w:rsidRDefault="006C03D0" w:rsidP="006C03D0">
      <w:pPr>
        <w:jc w:val="center"/>
        <w:rPr>
          <w:b/>
          <w:sz w:val="24"/>
        </w:rPr>
      </w:pPr>
    </w:p>
    <w:p w14:paraId="36E90BA3" w14:textId="77777777" w:rsidR="006C03D0" w:rsidRPr="0010769E" w:rsidRDefault="006C03D0" w:rsidP="006C03D0">
      <w:pPr>
        <w:jc w:val="center"/>
        <w:rPr>
          <w:b/>
          <w:sz w:val="24"/>
        </w:rPr>
      </w:pPr>
    </w:p>
    <w:p w14:paraId="25702E27" w14:textId="77777777" w:rsidR="006C03D0" w:rsidRPr="0010769E" w:rsidRDefault="006C03D0" w:rsidP="006C03D0">
      <w:pPr>
        <w:jc w:val="center"/>
        <w:rPr>
          <w:b/>
          <w:sz w:val="24"/>
        </w:rPr>
      </w:pPr>
    </w:p>
    <w:p w14:paraId="5BA76203" w14:textId="77777777" w:rsidR="006C03D0" w:rsidRPr="0010769E" w:rsidRDefault="006C03D0" w:rsidP="006C03D0">
      <w:pPr>
        <w:jc w:val="center"/>
        <w:rPr>
          <w:b/>
          <w:sz w:val="24"/>
        </w:rPr>
      </w:pPr>
    </w:p>
    <w:p w14:paraId="3F67F0BF" w14:textId="77777777" w:rsidR="006C03D0" w:rsidRPr="0010769E" w:rsidRDefault="006C03D0" w:rsidP="006C03D0">
      <w:pPr>
        <w:jc w:val="center"/>
        <w:rPr>
          <w:b/>
          <w:sz w:val="24"/>
        </w:rPr>
      </w:pPr>
    </w:p>
    <w:p w14:paraId="118B9932" w14:textId="77777777" w:rsidR="006C03D0" w:rsidRPr="0010769E" w:rsidRDefault="006C03D0" w:rsidP="006C03D0">
      <w:pPr>
        <w:jc w:val="center"/>
        <w:rPr>
          <w:b/>
          <w:sz w:val="24"/>
        </w:rPr>
      </w:pPr>
    </w:p>
    <w:p w14:paraId="3380C36B" w14:textId="77777777" w:rsidR="006C03D0" w:rsidRPr="0010769E" w:rsidRDefault="006C03D0" w:rsidP="006C03D0">
      <w:pPr>
        <w:jc w:val="center"/>
        <w:rPr>
          <w:b/>
          <w:sz w:val="24"/>
        </w:rPr>
      </w:pPr>
    </w:p>
    <w:p w14:paraId="6DD5B8CF" w14:textId="77777777" w:rsidR="006C03D0" w:rsidRPr="0010769E" w:rsidRDefault="006C03D0" w:rsidP="006C03D0">
      <w:pPr>
        <w:jc w:val="center"/>
        <w:rPr>
          <w:b/>
          <w:sz w:val="24"/>
        </w:rPr>
      </w:pPr>
    </w:p>
    <w:p w14:paraId="3B1FCE57" w14:textId="77777777" w:rsidR="006C03D0" w:rsidRPr="0010769E" w:rsidRDefault="006C03D0" w:rsidP="006C03D0">
      <w:pPr>
        <w:jc w:val="center"/>
        <w:rPr>
          <w:b/>
          <w:sz w:val="24"/>
        </w:rPr>
      </w:pPr>
    </w:p>
    <w:p w14:paraId="4E3BC43C" w14:textId="77777777" w:rsidR="006C03D0" w:rsidRPr="0010769E" w:rsidRDefault="006C03D0" w:rsidP="006C03D0">
      <w:pPr>
        <w:rPr>
          <w:b/>
          <w:sz w:val="24"/>
        </w:rPr>
      </w:pPr>
    </w:p>
    <w:p w14:paraId="65E40976" w14:textId="77777777" w:rsidR="006C03D0" w:rsidRPr="0010769E" w:rsidRDefault="006C03D0" w:rsidP="006C03D0">
      <w:pPr>
        <w:jc w:val="center"/>
        <w:rPr>
          <w:b/>
          <w:sz w:val="24"/>
        </w:rPr>
      </w:pPr>
    </w:p>
    <w:p w14:paraId="784BE1A2" w14:textId="647DEB00" w:rsidR="006C03D0" w:rsidRPr="005A00E5" w:rsidRDefault="00A51553" w:rsidP="00AD64F9">
      <w:pPr>
        <w:pStyle w:val="Reporttitledescription"/>
        <w:jc w:val="both"/>
        <w:rPr>
          <w:color w:val="auto"/>
        </w:rPr>
      </w:pPr>
      <w:r w:rsidRPr="007F1316">
        <w:rPr>
          <w:color w:val="auto"/>
          <w:lang w:val="en-GB"/>
        </w:rPr>
        <w:t>The harmonised use and exemption from individual licensing of s</w:t>
      </w:r>
      <w:r w:rsidRPr="006F24C9">
        <w:rPr>
          <w:color w:val="auto"/>
          <w:lang w:val="en-GB"/>
        </w:rPr>
        <w:t xml:space="preserve">mall IoT transmit-only terminals </w:t>
      </w:r>
      <w:r>
        <w:rPr>
          <w:color w:val="auto"/>
          <w:lang w:val="en-GB"/>
        </w:rPr>
        <w:t xml:space="preserve">communicating with GSO FSS networks </w:t>
      </w:r>
      <w:r w:rsidRPr="0019579D">
        <w:rPr>
          <w:color w:val="auto"/>
          <w:lang w:val="en-GB"/>
        </w:rPr>
        <w:t xml:space="preserve">in the </w:t>
      </w:r>
      <w:r>
        <w:rPr>
          <w:color w:val="auto"/>
          <w:lang w:val="en-GB"/>
        </w:rPr>
        <w:t xml:space="preserve">frequency </w:t>
      </w:r>
      <w:r w:rsidRPr="0019579D">
        <w:rPr>
          <w:color w:val="auto"/>
          <w:lang w:val="en-GB"/>
        </w:rPr>
        <w:t xml:space="preserve">band </w:t>
      </w:r>
      <w:r w:rsidRPr="00FF2A84">
        <w:rPr>
          <w:color w:val="auto"/>
          <w:lang w:val="en-GB"/>
        </w:rPr>
        <w:t>5850</w:t>
      </w:r>
      <w:r>
        <w:rPr>
          <w:color w:val="auto"/>
          <w:lang w:val="en-GB"/>
        </w:rPr>
        <w:t>-</w:t>
      </w:r>
      <w:r w:rsidRPr="00FF2A84">
        <w:rPr>
          <w:color w:val="auto"/>
          <w:lang w:val="en-GB"/>
        </w:rPr>
        <w:t>5875 MHz (IoT-</w:t>
      </w:r>
      <w:r>
        <w:t>S</w:t>
      </w:r>
      <w:r w:rsidRPr="00FF2A84">
        <w:rPr>
          <w:color w:val="auto"/>
          <w:lang w:val="en-GB"/>
        </w:rPr>
        <w:t xml:space="preserve"> terminals</w:t>
      </w:r>
      <w:r w:rsidR="00A1288C">
        <w:rPr>
          <w:color w:val="auto"/>
          <w:lang w:val="en-GB"/>
        </w:rPr>
        <w:t>)</w:t>
      </w:r>
    </w:p>
    <w:p w14:paraId="121C0807" w14:textId="0BA222D9" w:rsidR="006C03D0" w:rsidRPr="005A00E5" w:rsidRDefault="00A1288C" w:rsidP="006C03D0">
      <w:pPr>
        <w:pStyle w:val="Reporttitledescription"/>
        <w:rPr>
          <w:b/>
          <w:color w:val="auto"/>
          <w:sz w:val="18"/>
        </w:rPr>
      </w:pPr>
      <w:r>
        <w:rPr>
          <w:b/>
          <w:color w:val="auto"/>
          <w:sz w:val="18"/>
        </w:rPr>
        <w:fldChar w:fldCharType="begin">
          <w:ffData>
            <w:name w:val="Text8"/>
            <w:enabled/>
            <w:calcOnExit w:val="0"/>
            <w:textInput>
              <w:default w:val="approved DD Month YYYY"/>
            </w:textInput>
          </w:ffData>
        </w:fldChar>
      </w:r>
      <w:r>
        <w:rPr>
          <w:b/>
          <w:color w:val="auto"/>
          <w:sz w:val="18"/>
        </w:rPr>
        <w:instrText xml:space="preserve"> </w:instrText>
      </w:r>
      <w:bookmarkStart w:id="0"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approved DD Month YYYY</w:t>
      </w:r>
      <w:r>
        <w:rPr>
          <w:b/>
          <w:color w:val="auto"/>
          <w:sz w:val="18"/>
        </w:rPr>
        <w:fldChar w:fldCharType="end"/>
      </w:r>
      <w:bookmarkEnd w:id="0"/>
    </w:p>
    <w:p w14:paraId="40514FE7" w14:textId="2C139B4D" w:rsidR="008F5944" w:rsidRPr="00072B81" w:rsidRDefault="00A951CB" w:rsidP="006C03D0">
      <w:pPr>
        <w:pStyle w:val="Lastupdated"/>
        <w:rPr>
          <w:b/>
        </w:rPr>
      </w:pPr>
      <w:r>
        <w:rPr>
          <w:b/>
        </w:rPr>
        <w:fldChar w:fldCharType="begin">
          <w:ffData>
            <w:name w:val="Text3"/>
            <w:enabled/>
            <w:calcOnExit w:val="0"/>
            <w:textInput/>
          </w:ffData>
        </w:fldChar>
      </w:r>
      <w:bookmarkStart w:id="1"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p w14:paraId="5DD7FE12" w14:textId="4DDA4304" w:rsidR="006C03D0" w:rsidRDefault="005F7AD5" w:rsidP="001F56C8">
      <w:pPr>
        <w:pStyle w:val="Heading1"/>
      </w:pPr>
      <w:r>
        <w:lastRenderedPageBreak/>
        <w:t>explanatory memorandum</w:t>
      </w:r>
    </w:p>
    <w:p w14:paraId="3E69225A" w14:textId="77777777" w:rsidR="00F81582" w:rsidRPr="00C05199" w:rsidRDefault="00F81582" w:rsidP="00F81582">
      <w:pPr>
        <w:pStyle w:val="Heading2"/>
        <w:rPr>
          <w:lang w:val="en-GB"/>
        </w:rPr>
      </w:pPr>
      <w:r w:rsidRPr="00C05199">
        <w:rPr>
          <w:lang w:val="en-GB"/>
        </w:rPr>
        <w:t>INTRODUCTION</w:t>
      </w:r>
    </w:p>
    <w:p w14:paraId="7AAC6EF5" w14:textId="65A6F8CE" w:rsidR="00BD27BC" w:rsidRDefault="00BD27BC" w:rsidP="00BD27BC">
      <w:pPr>
        <w:pStyle w:val="ECCParagraph"/>
      </w:pPr>
      <w:r>
        <w:t xml:space="preserve">This Decision addresses the harmonised use of frequency bands 5850-5875 MHz (Earth-to-space) for </w:t>
      </w:r>
      <w:r w:rsidRPr="00B16BC0">
        <w:t xml:space="preserve">small IoT transmit-only FSS terminals </w:t>
      </w:r>
      <w:r>
        <w:t>(IoT-S terminals) within the fixed-satellite service (FSS) allocation, and exemption from individual licensing of such terminals.</w:t>
      </w:r>
    </w:p>
    <w:p w14:paraId="44299B86" w14:textId="77777777" w:rsidR="00BD27BC" w:rsidRDefault="00BD27BC" w:rsidP="00BD27BC">
      <w:pPr>
        <w:pStyle w:val="ECCParagraph"/>
      </w:pPr>
      <w:r>
        <w:t xml:space="preserve">The main applications of M2M/IoT operation via satellite are described in ECC Report 305 </w:t>
      </w:r>
      <w:r>
        <w:fldChar w:fldCharType="begin"/>
      </w:r>
      <w:r>
        <w:instrText xml:space="preserve"> REF _Ref224828847 \r \h </w:instrText>
      </w:r>
      <w:r>
        <w:fldChar w:fldCharType="separate"/>
      </w:r>
      <w:r>
        <w:t>[1]</w:t>
      </w:r>
      <w:r>
        <w:fldChar w:fldCharType="end"/>
      </w:r>
      <w:r>
        <w:t xml:space="preserve">. </w:t>
      </w:r>
    </w:p>
    <w:p w14:paraId="0B403A86" w14:textId="77777777" w:rsidR="00BD27BC" w:rsidRDefault="00BD27BC" w:rsidP="00BD27BC">
      <w:pPr>
        <w:pStyle w:val="ECCParagraph"/>
      </w:pPr>
      <w:r>
        <w:t>Technological innovations in the areas of small antennas, signal processing and interference cancellation have opened up alternative solutions for small IoT terminals using existing C-band.</w:t>
      </w:r>
    </w:p>
    <w:p w14:paraId="3A11EE29" w14:textId="1459C6C3" w:rsidR="00BD27BC" w:rsidRDefault="00BD27BC" w:rsidP="00BD27BC">
      <w:pPr>
        <w:pStyle w:val="ECCParagraph"/>
      </w:pPr>
      <w:r>
        <w:t>The nature of many IoT applications is “transmit-only”, i.e. the IoT terminals might be implemented without simultaneously available bi-directional satellite connectivity. For terminals without bi-directional satellite connectivity, a different network control channel will allow equipment reconfiguration, from time to time.</w:t>
      </w:r>
    </w:p>
    <w:p w14:paraId="5CEA7FAC" w14:textId="4C5B5C15" w:rsidR="00BD27BC" w:rsidRDefault="00BD27BC" w:rsidP="00BD27BC">
      <w:pPr>
        <w:pStyle w:val="ECCParagraph"/>
      </w:pPr>
      <w:r>
        <w:t>The low e</w:t>
      </w:r>
      <w:r w:rsidRPr="00035557">
        <w:t xml:space="preserve">quivalent </w:t>
      </w:r>
      <w:r>
        <w:t>i</w:t>
      </w:r>
      <w:r w:rsidRPr="00035557">
        <w:t xml:space="preserve">sotropic </w:t>
      </w:r>
      <w:r>
        <w:t>r</w:t>
      </w:r>
      <w:r w:rsidRPr="00035557">
        <w:t xml:space="preserve">adiated </w:t>
      </w:r>
      <w:r>
        <w:t>p</w:t>
      </w:r>
      <w:r w:rsidRPr="00035557">
        <w:t xml:space="preserve">ower </w:t>
      </w:r>
      <w:r w:rsidRPr="006B58A2">
        <w:t>(</w:t>
      </w:r>
      <w:r w:rsidRPr="00AE7ADC">
        <w:rPr>
          <w:i/>
          <w:iCs/>
        </w:rPr>
        <w:t>e.i.r.p.</w:t>
      </w:r>
      <w:r w:rsidRPr="006B58A2">
        <w:t>)</w:t>
      </w:r>
      <w:r>
        <w:t xml:space="preserve"> of small uplink terminals (approximately 30 dBm) leads to limited SNR values in the reception, i.e. lower than -20 dB. Nevertheless, these low SNR values are sufficient to demodulate and decode the received messages, thanks to optimized signal processing algorithms in the receiver, and low data rate transmissions. Furthermore, typical IoT applications do not require the level of availability normally expected for satellite links.</w:t>
      </w:r>
    </w:p>
    <w:p w14:paraId="2B30CF17" w14:textId="67DE6FFC" w:rsidR="00BD27BC" w:rsidRDefault="00BD27BC" w:rsidP="00BD27BC">
      <w:pPr>
        <w:pStyle w:val="ECCParagraph"/>
      </w:pPr>
      <w:r>
        <w:t xml:space="preserve">The size of the terminal antennas is typically not larger than 5*5 cm in C-band. The small size of the terminal antennas leads to gain values typically lower than 5 dBi. The terminals are essentially transmit-only. The receiving end is implemented using regular teleport infrastructure, i.e. benefiting from large receiving antennas, and therefore higher gain values. </w:t>
      </w:r>
    </w:p>
    <w:p w14:paraId="0A856486" w14:textId="17296E5F" w:rsidR="00BD27BC" w:rsidRDefault="00BD27BC" w:rsidP="00BD27BC">
      <w:pPr>
        <w:pStyle w:val="ECCParagraph"/>
      </w:pPr>
      <w:r w:rsidRPr="00F9743E">
        <w:t xml:space="preserve">The IoT terminals under discussion would typically also have low duty cycles and are pre-designed to transmit in such a way as to limit the number of simultaneously transmitting </w:t>
      </w:r>
      <w:r>
        <w:t>terminal</w:t>
      </w:r>
      <w:r w:rsidRPr="00F9743E">
        <w:t>s.</w:t>
      </w:r>
      <w:r>
        <w:t xml:space="preserve"> </w:t>
      </w:r>
      <w:r w:rsidRPr="00F9743E">
        <w:t xml:space="preserve">This reduces the </w:t>
      </w:r>
      <w:r>
        <w:t>risk</w:t>
      </w:r>
      <w:r w:rsidRPr="00F9743E">
        <w:t xml:space="preserve"> for interference</w:t>
      </w:r>
      <w:r>
        <w:t xml:space="preserve"> and facilitates sharing the same frequency band with a large number of IoT terminals</w:t>
      </w:r>
      <w:r w:rsidRPr="00F9743E">
        <w:t>. Specific measures shall be put in place such that no accidental or synchronous events (e.g. at network start up, malfunctioning of IoT terminals) occur that would violate the statistical nature of this simultaneous interference.</w:t>
      </w:r>
      <w:r w:rsidRPr="005F39B3">
        <w:t xml:space="preserve"> </w:t>
      </w:r>
    </w:p>
    <w:p w14:paraId="3A6E20E0" w14:textId="77777777" w:rsidR="00BD27BC" w:rsidRPr="00C05199" w:rsidRDefault="00BD27BC" w:rsidP="00BD27BC">
      <w:pPr>
        <w:pStyle w:val="ECCParagraph"/>
      </w:pPr>
      <w:r>
        <w:t>In particular, the population of IoT-S terminals</w:t>
      </w:r>
      <w:r w:rsidDel="000D3AA8">
        <w:t xml:space="preserve"> </w:t>
      </w:r>
      <w:r>
        <w:t xml:space="preserve">will be configured to transmit in such a manner that the </w:t>
      </w:r>
      <w:r w:rsidRPr="006B58A2">
        <w:t xml:space="preserve">aggregate </w:t>
      </w:r>
      <w:r w:rsidRPr="007A1967">
        <w:rPr>
          <w:i/>
          <w:iCs/>
        </w:rPr>
        <w:t>e.i.r.p.</w:t>
      </w:r>
      <w:r w:rsidRPr="006B58A2">
        <w:t xml:space="preserve"> density</w:t>
      </w:r>
      <w:r w:rsidRPr="00617096">
        <w:t xml:space="preserve"> </w:t>
      </w:r>
      <w:r>
        <w:t>is maintained below the off</w:t>
      </w:r>
      <w:r w:rsidRPr="006B58A2">
        <w:t xml:space="preserve">-axis </w:t>
      </w:r>
      <w:r w:rsidRPr="007A1967">
        <w:rPr>
          <w:i/>
          <w:iCs/>
        </w:rPr>
        <w:t>e.i.r.p.</w:t>
      </w:r>
      <w:r w:rsidRPr="006B58A2">
        <w:t xml:space="preserve"> density limits</w:t>
      </w:r>
      <w:r>
        <w:t xml:space="preserve"> established by the different satellite operators through coordination procedures.</w:t>
      </w:r>
    </w:p>
    <w:p w14:paraId="00F5D803" w14:textId="77777777" w:rsidR="006C03D0" w:rsidRDefault="005F7AD5" w:rsidP="00F81582">
      <w:pPr>
        <w:pStyle w:val="Heading2"/>
      </w:pPr>
      <w:r>
        <w:t xml:space="preserve">BACKGROUND </w:t>
      </w:r>
    </w:p>
    <w:p w14:paraId="42F95B80" w14:textId="77777777" w:rsidR="00A1288C" w:rsidRDefault="00A1288C" w:rsidP="00A1288C">
      <w:pPr>
        <w:pStyle w:val="ECCParagraph"/>
      </w:pPr>
      <w:r w:rsidRPr="00C05199">
        <w:t xml:space="preserve">Satellites services communicating with </w:t>
      </w:r>
      <w:r>
        <w:t>small antennas for e.g. IoT/M2M</w:t>
      </w:r>
      <w:r w:rsidRPr="00C05199">
        <w:t xml:space="preserve"> are </w:t>
      </w:r>
      <w:r>
        <w:t xml:space="preserve">increasingly being </w:t>
      </w:r>
      <w:r w:rsidRPr="00C05199">
        <w:t>used inside and outside Europe.</w:t>
      </w:r>
    </w:p>
    <w:p w14:paraId="4A8AEEC7" w14:textId="21808C30" w:rsidR="00A1288C" w:rsidRDefault="00A1288C" w:rsidP="00A1288C">
      <w:pPr>
        <w:pStyle w:val="ECCParagraph"/>
      </w:pPr>
      <w:r>
        <w:t>N</w:t>
      </w:r>
      <w:r w:rsidRPr="00F9743E">
        <w:t xml:space="preserve">o coexistence issues </w:t>
      </w:r>
      <w:r>
        <w:t xml:space="preserve">with other radio services and applications were </w:t>
      </w:r>
      <w:r w:rsidRPr="00F9743E">
        <w:t xml:space="preserve">identified in the frequency range </w:t>
      </w:r>
      <w:r>
        <w:t>5850</w:t>
      </w:r>
      <w:r w:rsidR="00475277">
        <w:noBreakHyphen/>
      </w:r>
      <w:r>
        <w:t xml:space="preserve">5875 MHz when the aggregated </w:t>
      </w:r>
      <w:r w:rsidRPr="007A1967">
        <w:rPr>
          <w:i/>
          <w:iCs/>
        </w:rPr>
        <w:t>e.i.r.p.</w:t>
      </w:r>
      <w:r w:rsidRPr="00083D51">
        <w:t xml:space="preserve"> density that would result from the total population of </w:t>
      </w:r>
      <w:r>
        <w:t>IoT-S</w:t>
      </w:r>
      <w:r w:rsidRPr="00083D51">
        <w:t xml:space="preserve"> terminals</w:t>
      </w:r>
      <w:r>
        <w:t xml:space="preserve"> is less than the off-axis </w:t>
      </w:r>
      <w:r w:rsidRPr="007A1967">
        <w:rPr>
          <w:i/>
          <w:iCs/>
        </w:rPr>
        <w:t>e.i.r.p.</w:t>
      </w:r>
      <w:r w:rsidRPr="000D5C9C">
        <w:t xml:space="preserve"> density mask</w:t>
      </w:r>
      <w:r>
        <w:t xml:space="preserve"> defined for FSS use. That is, the limit of interference to protect existing </w:t>
      </w:r>
      <w:r w:rsidRPr="00C5093D">
        <w:t xml:space="preserve">satellite services and applications within the </w:t>
      </w:r>
      <w:r>
        <w:t>5850-5875 MHz band is sufficient to protect potential (non-satellite) victim receivers with these non-directive transmitters.</w:t>
      </w:r>
    </w:p>
    <w:p w14:paraId="7880D40F" w14:textId="10605B21" w:rsidR="00A1288C" w:rsidRDefault="00A1288C" w:rsidP="00A1288C">
      <w:pPr>
        <w:pStyle w:val="ECCParagraph"/>
      </w:pPr>
      <w:r>
        <w:t xml:space="preserve">Furthermore, the Radio Equipment Directive 2014/53/EU </w:t>
      </w:r>
      <w:r>
        <w:fldChar w:fldCharType="begin"/>
      </w:r>
      <w:r>
        <w:instrText xml:space="preserve"> REF _Ref224828865 \r \h  \* MERGEFORMAT </w:instrText>
      </w:r>
      <w:r>
        <w:fldChar w:fldCharType="separate"/>
      </w:r>
      <w:r>
        <w:t>[2]</w:t>
      </w:r>
      <w:r>
        <w:fldChar w:fldCharType="end"/>
      </w:r>
      <w:r>
        <w:t xml:space="preserve"> places an emphasis on efficient and effective use of the spectrum. This is achieved by requiring the performance of the transmitter, as well as its receiver, meeting certain performance specifications. The relevant ETSI harmonised European standards carry such specifications on both receiver and transmitter parameters which ensure that equipment does not cause harmful interference to other systems and services as well as equipment is built to use spectrum efficiently.</w:t>
      </w:r>
    </w:p>
    <w:p w14:paraId="6B8D80A9" w14:textId="77777777" w:rsidR="006C03D0" w:rsidRDefault="005F7AD5" w:rsidP="00F81582">
      <w:pPr>
        <w:pStyle w:val="Heading2"/>
      </w:pPr>
      <w:r>
        <w:lastRenderedPageBreak/>
        <w:t>REQUIREMENT FOR AN ECC DECISION</w:t>
      </w:r>
    </w:p>
    <w:p w14:paraId="59C5BD53" w14:textId="77777777" w:rsidR="0046313D" w:rsidRDefault="0046313D" w:rsidP="0046313D">
      <w:pPr>
        <w:pStyle w:val="ECCParagraph"/>
      </w:pPr>
      <w:r>
        <w:t xml:space="preserve">There is </w:t>
      </w:r>
      <w:r w:rsidRPr="00F9743E">
        <w:t>the necessity of establishing harmonised spectrum rules to ensure the efficient use of the spectrum.</w:t>
      </w:r>
    </w:p>
    <w:p w14:paraId="11FCF29F" w14:textId="77777777" w:rsidR="0046313D" w:rsidRDefault="0046313D" w:rsidP="0046313D">
      <w:pPr>
        <w:pStyle w:val="ECCParagraph"/>
      </w:pPr>
      <w:r w:rsidRPr="007C0E07">
        <w:t>The provision of Pan European services will be greatly assisted when CEPT administrations harmonis</w:t>
      </w:r>
      <w:r>
        <w:t xml:space="preserve">e </w:t>
      </w:r>
      <w:r w:rsidRPr="007C0E07">
        <w:t xml:space="preserve">the technical conditions for the use of </w:t>
      </w:r>
      <w:r>
        <w:t>IoT-S terminals communica</w:t>
      </w:r>
      <w:r w:rsidRPr="007C0E07">
        <w:t xml:space="preserve">ting with GSO FSS </w:t>
      </w:r>
      <w:r>
        <w:t>networks</w:t>
      </w:r>
      <w:r w:rsidRPr="007C0E07">
        <w:t xml:space="preserve"> in the frequency band </w:t>
      </w:r>
      <w:r>
        <w:t>5850-5875 MHz</w:t>
      </w:r>
      <w:r w:rsidRPr="007C0E07">
        <w:t xml:space="preserve"> that are specifically identified as operating with low power levels and low duty cycles that are unlikely to cause harmful interference to other authorised services. </w:t>
      </w:r>
    </w:p>
    <w:p w14:paraId="106338B2" w14:textId="7E0568ED" w:rsidR="006C03D0" w:rsidRPr="00FE1795" w:rsidRDefault="005F7AD5" w:rsidP="001F56C8">
      <w:pPr>
        <w:pStyle w:val="Heading1"/>
      </w:pPr>
      <w:r w:rsidRPr="00FE1795">
        <w:lastRenderedPageBreak/>
        <w:t>ECC Decision of</w:t>
      </w:r>
      <w:r w:rsidR="00A8085A">
        <w:t xml:space="preserve"> dd month yyyy </w:t>
      </w:r>
      <w:r w:rsidRPr="00FE1795">
        <w:t>on</w:t>
      </w:r>
      <w:r w:rsidR="00A8085A">
        <w:t xml:space="preserve"> </w:t>
      </w:r>
      <w:r w:rsidR="000947C9" w:rsidRPr="000947C9">
        <w:t>The harmonised use and exemption from individual licensing of small IoT transmit-only terminals communicating with GSO FSS networks in the frequency band 5850-5875 MHz (IoT-S terminals)</w:t>
      </w:r>
      <w:r w:rsidR="00A8085A">
        <w:t xml:space="preserve"> (</w:t>
      </w:r>
      <w:r w:rsidR="00995C49">
        <w:t>ECC</w:t>
      </w:r>
      <w:r w:rsidR="005D58EC">
        <w:t xml:space="preserve"> </w:t>
      </w:r>
      <w:r w:rsidR="00A8085A">
        <w:t xml:space="preserve">decision </w:t>
      </w:r>
      <w:r w:rsidR="005D58EC">
        <w:t>(</w:t>
      </w:r>
      <w:r w:rsidR="000947C9">
        <w:t>26</w:t>
      </w:r>
      <w:r w:rsidR="005D58EC">
        <w:t>)</w:t>
      </w:r>
      <w:r w:rsidR="000947C9">
        <w:t>01</w:t>
      </w:r>
      <w:r w:rsidR="00A8085A">
        <w:t>)</w:t>
      </w:r>
    </w:p>
    <w:p w14:paraId="4982C866" w14:textId="2A9DC598" w:rsidR="006C03D0" w:rsidRDefault="005F7AD5" w:rsidP="006C03D0">
      <w:pPr>
        <w:pStyle w:val="ECCParagraph"/>
      </w:pPr>
      <w:r>
        <w:t>“The European Conference of Postal and Telecommunications Administrations,</w:t>
      </w:r>
      <w:r w:rsidRPr="00044EDB">
        <w:t xml:space="preserve"> </w:t>
      </w:r>
    </w:p>
    <w:p w14:paraId="3A7AF9C3" w14:textId="77777777" w:rsidR="00581657" w:rsidRPr="000A5105" w:rsidRDefault="00581657" w:rsidP="00581657">
      <w:pPr>
        <w:pStyle w:val="ECCParagraph"/>
        <w:rPr>
          <w:i/>
          <w:color w:val="D2232A"/>
        </w:rPr>
      </w:pPr>
      <w:r w:rsidRPr="000A5105">
        <w:rPr>
          <w:i/>
          <w:color w:val="D2232A"/>
        </w:rPr>
        <w:t>considering</w:t>
      </w:r>
    </w:p>
    <w:p w14:paraId="1ACC83B6" w14:textId="603B8541" w:rsidR="00581657" w:rsidRPr="000A5105" w:rsidRDefault="00581657" w:rsidP="0004561A">
      <w:pPr>
        <w:pStyle w:val="ECCLetteredList"/>
      </w:pPr>
      <w:r w:rsidRPr="000A5105">
        <w:t>that the band 5850</w:t>
      </w:r>
      <w:r>
        <w:t>-</w:t>
      </w:r>
      <w:r w:rsidRPr="000A5105">
        <w:t xml:space="preserve">5875 MHz is allocated on a worldwide and primary basis to the FSS (Earth-to-space) in the ITU Radio Regulations </w:t>
      </w:r>
      <w:r w:rsidRPr="000A5105">
        <w:fldChar w:fldCharType="begin"/>
      </w:r>
      <w:r w:rsidRPr="000A5105">
        <w:instrText xml:space="preserve"> REF _Ref224828347 \r \h  \* MERGEFORMAT </w:instrText>
      </w:r>
      <w:r w:rsidRPr="000A5105">
        <w:fldChar w:fldCharType="separate"/>
      </w:r>
      <w:r w:rsidRPr="000A5105">
        <w:t>[4]</w:t>
      </w:r>
      <w:r w:rsidRPr="000A5105">
        <w:fldChar w:fldCharType="end"/>
      </w:r>
      <w:r w:rsidRPr="000A5105">
        <w:t>, and it is generally available for satellite services within the CEPT and elsewhere;</w:t>
      </w:r>
    </w:p>
    <w:p w14:paraId="2CD49E4A" w14:textId="6EDD53C2" w:rsidR="00581657" w:rsidRPr="000A5105" w:rsidRDefault="00581657" w:rsidP="0004561A">
      <w:pPr>
        <w:pStyle w:val="ECCLetteredList"/>
      </w:pPr>
      <w:r w:rsidRPr="000A5105">
        <w:t>that harmonised regulations across Europe foster a robust single market for these specific radio applications, leading to economies of scale and benefits for European industry, while preventing enforcement challenges stemming from divergent national regulations</w:t>
      </w:r>
      <w:r w:rsidR="003A3816">
        <w:t>;</w:t>
      </w:r>
    </w:p>
    <w:p w14:paraId="73C93740" w14:textId="77777777" w:rsidR="00581657" w:rsidRDefault="00581657" w:rsidP="0004561A">
      <w:pPr>
        <w:pStyle w:val="ECCLetteredList"/>
      </w:pPr>
      <w:r w:rsidRPr="000A5105">
        <w:t xml:space="preserve">that no coexistence issues to other radio services and applications were identified in ECC Report 376 </w:t>
      </w:r>
      <w:r w:rsidRPr="000A5105">
        <w:fldChar w:fldCharType="begin"/>
      </w:r>
      <w:r w:rsidRPr="000A5105">
        <w:instrText xml:space="preserve"> REF _Ref224828913 \r \h  \* MERGEFORMAT </w:instrText>
      </w:r>
      <w:r w:rsidRPr="000A5105">
        <w:fldChar w:fldCharType="separate"/>
      </w:r>
      <w:r w:rsidRPr="000A5105">
        <w:t>[3]</w:t>
      </w:r>
      <w:r w:rsidRPr="000A5105">
        <w:fldChar w:fldCharType="end"/>
      </w:r>
      <w:r w:rsidRPr="000A5105">
        <w:t xml:space="preserve"> in the frequency range 5850</w:t>
      </w:r>
      <w:r>
        <w:t>-</w:t>
      </w:r>
      <w:r w:rsidRPr="000A5105">
        <w:t xml:space="preserve">5875 MHz related to such use of </w:t>
      </w:r>
      <w:r>
        <w:t>IoT-S</w:t>
      </w:r>
      <w:r w:rsidRPr="000A5105">
        <w:t xml:space="preserve"> terminals. Furthermore</w:t>
      </w:r>
      <w:r>
        <w:t>,</w:t>
      </w:r>
      <w:r w:rsidRPr="000A5105">
        <w:t xml:space="preserve"> unacceptable interference on current satellite services and applications within the 5850-5875 MHz frequency range needs to be avoided;</w:t>
      </w:r>
    </w:p>
    <w:p w14:paraId="09597F33" w14:textId="0B5E767D" w:rsidR="00581657" w:rsidRPr="000A5105" w:rsidRDefault="00581657" w:rsidP="0004561A">
      <w:pPr>
        <w:pStyle w:val="ECCLetteredList"/>
      </w:pPr>
      <w:r w:rsidRPr="002636C0">
        <w:rPr>
          <w:lang w:val="en-US"/>
        </w:rPr>
        <w:t xml:space="preserve">that ETSI is developing the European Standard EN </w:t>
      </w:r>
      <w:r w:rsidRPr="00521A53">
        <w:t>304 652</w:t>
      </w:r>
      <w:r w:rsidRPr="002636C0">
        <w:rPr>
          <w:lang w:val="en-US"/>
        </w:rPr>
        <w:t xml:space="preserve"> “</w:t>
      </w:r>
      <w:r w:rsidRPr="002636C0">
        <w:t>Satellite Earth Stations &amp; Systems (SES);</w:t>
      </w:r>
      <w:r w:rsidR="005847AF">
        <w:t xml:space="preserve"> </w:t>
      </w:r>
      <w:r w:rsidRPr="002636C0">
        <w:t>Very Small Transmit-only GSO Satellite IoT Terminals, operating within the 5850-5875 MHz band</w:t>
      </w:r>
      <w:r w:rsidRPr="002636C0">
        <w:rPr>
          <w:lang w:val="en-US"/>
        </w:rPr>
        <w:t xml:space="preserve">” </w:t>
      </w:r>
      <w:r>
        <w:rPr>
          <w:lang w:val="en-US"/>
        </w:rPr>
        <w:fldChar w:fldCharType="begin"/>
      </w:r>
      <w:r>
        <w:rPr>
          <w:lang w:val="en-US"/>
        </w:rPr>
        <w:instrText xml:space="preserve"> REF _Ref231367262 \r \h </w:instrText>
      </w:r>
      <w:r w:rsidR="002A057C">
        <w:rPr>
          <w:lang w:val="en-US"/>
        </w:rPr>
        <w:instrText xml:space="preserve"> \* MERGEFORMAT </w:instrText>
      </w:r>
      <w:r>
        <w:rPr>
          <w:lang w:val="en-US"/>
        </w:rPr>
      </w:r>
      <w:r>
        <w:rPr>
          <w:lang w:val="en-US"/>
        </w:rPr>
        <w:fldChar w:fldCharType="separate"/>
      </w:r>
      <w:r>
        <w:rPr>
          <w:lang w:val="en-US"/>
        </w:rPr>
        <w:t>[5]</w:t>
      </w:r>
      <w:r>
        <w:rPr>
          <w:lang w:val="en-US"/>
        </w:rPr>
        <w:fldChar w:fldCharType="end"/>
      </w:r>
      <w:r w:rsidRPr="002636C0">
        <w:rPr>
          <w:lang w:val="en-US"/>
        </w:rPr>
        <w:t>;</w:t>
      </w:r>
    </w:p>
    <w:p w14:paraId="49717F33" w14:textId="77777777" w:rsidR="00581657" w:rsidRPr="000A5105" w:rsidRDefault="00581657" w:rsidP="0004561A">
      <w:pPr>
        <w:pStyle w:val="ECCLetteredList"/>
      </w:pPr>
      <w:r w:rsidRPr="000A5105">
        <w:t>the parameters for technical harmonisation are derived from ECC Report 376;</w:t>
      </w:r>
    </w:p>
    <w:p w14:paraId="22299FCC" w14:textId="77777777" w:rsidR="00581657" w:rsidRPr="000A5105" w:rsidRDefault="00581657" w:rsidP="0004561A">
      <w:pPr>
        <w:pStyle w:val="ECCLetteredList"/>
      </w:pPr>
      <w:r w:rsidRPr="000A5105">
        <w:t xml:space="preserve">that some CEPT administrations may require that operators of </w:t>
      </w:r>
      <w:r>
        <w:t>IoT-S</w:t>
      </w:r>
      <w:r w:rsidRPr="000A5105">
        <w:t xml:space="preserve"> terminals to obtain an individual authorisation for their network; </w:t>
      </w:r>
    </w:p>
    <w:p w14:paraId="31E4078A" w14:textId="77777777" w:rsidR="00581657" w:rsidRPr="000A5105" w:rsidRDefault="00581657" w:rsidP="0004561A">
      <w:pPr>
        <w:pStyle w:val="ECCLetteredList"/>
      </w:pPr>
      <w:r w:rsidRPr="000A5105">
        <w:t xml:space="preserve">that in EU/EFTA countries the radio equipment that is under the scope of this Decision shall comply with the Radio Equipment (RE) Directive </w:t>
      </w:r>
      <w:r w:rsidRPr="000A5105">
        <w:fldChar w:fldCharType="begin"/>
      </w:r>
      <w:r w:rsidRPr="000A5105">
        <w:instrText xml:space="preserve"> REF _Ref224828865 \r \h  \* MERGEFORMAT </w:instrText>
      </w:r>
      <w:r w:rsidRPr="000A5105">
        <w:fldChar w:fldCharType="separate"/>
      </w:r>
      <w:r w:rsidRPr="000A5105">
        <w:t>[2]</w:t>
      </w:r>
      <w:r w:rsidRPr="000A5105">
        <w:fldChar w:fldCharType="end"/>
      </w:r>
      <w:r w:rsidRPr="000A5105">
        <w:t xml:space="preserve">. </w:t>
      </w:r>
      <w:r w:rsidRPr="000A5105">
        <w:rPr>
          <w:sz w:val="18"/>
          <w:szCs w:val="22"/>
        </w:rPr>
        <w:t>Conformity</w:t>
      </w:r>
      <w:r w:rsidRPr="000A5105">
        <w:t xml:space="preserve"> with the essential requirements of the RE Directive may be demonstrated by compliance with the applicable harmonised European standard(s), cited in the Official Journal (OJ) of the European Union, or by using the other conformity assessment procedures set out in the RE Directive. </w:t>
      </w:r>
    </w:p>
    <w:p w14:paraId="1401F5FA" w14:textId="77777777" w:rsidR="00581657" w:rsidRPr="00C05199" w:rsidRDefault="00581657" w:rsidP="00581657">
      <w:pPr>
        <w:pStyle w:val="ECCParagraph"/>
        <w:rPr>
          <w:color w:val="D2232A"/>
        </w:rPr>
      </w:pPr>
      <w:r w:rsidRPr="00C05199">
        <w:rPr>
          <w:i/>
          <w:color w:val="D2232A"/>
        </w:rPr>
        <w:t>DECIDES</w:t>
      </w:r>
    </w:p>
    <w:p w14:paraId="2A463E2E" w14:textId="77777777" w:rsidR="00581657" w:rsidRDefault="00581657" w:rsidP="00581657">
      <w:pPr>
        <w:pStyle w:val="NumberedList"/>
      </w:pPr>
      <w:r>
        <w:t>t</w:t>
      </w:r>
      <w:r w:rsidRPr="00C05199">
        <w:t xml:space="preserve">hat Administrations </w:t>
      </w:r>
      <w:r>
        <w:t xml:space="preserve">shall exempt IoT-S terminals </w:t>
      </w:r>
      <w:r w:rsidRPr="00CD1949">
        <w:t>within</w:t>
      </w:r>
      <w:r>
        <w:t xml:space="preserve"> the frequency band 5850-5875 MHz</w:t>
      </w:r>
      <w:r w:rsidRPr="00CD1949" w:rsidDel="00907F74">
        <w:t xml:space="preserve"> </w:t>
      </w:r>
      <w:r w:rsidRPr="00CD1949">
        <w:t>from individual licensing</w:t>
      </w:r>
      <w:r>
        <w:t>;</w:t>
      </w:r>
    </w:p>
    <w:p w14:paraId="63CC33B0" w14:textId="77777777" w:rsidR="00581657" w:rsidRDefault="00581657" w:rsidP="00581657">
      <w:pPr>
        <w:pStyle w:val="NumberedList"/>
      </w:pPr>
      <w:r>
        <w:t>that IoT-S terminals shall comply with</w:t>
      </w:r>
      <w:r w:rsidRPr="00F37C1C">
        <w:t xml:space="preserve"> </w:t>
      </w:r>
      <w:r>
        <w:t>the technical and operational requirements of Annex 1;</w:t>
      </w:r>
    </w:p>
    <w:p w14:paraId="2BE7E3FF" w14:textId="77777777" w:rsidR="00581657" w:rsidRDefault="00581657" w:rsidP="00581657">
      <w:pPr>
        <w:pStyle w:val="NumberedList"/>
      </w:pPr>
      <w:r w:rsidRPr="00F37C1C">
        <w:rPr>
          <w:lang w:val="en-US"/>
        </w:rPr>
        <w:t xml:space="preserve">that Annex </w:t>
      </w:r>
      <w:r>
        <w:rPr>
          <w:lang w:val="en-US"/>
        </w:rPr>
        <w:t>2</w:t>
      </w:r>
      <w:r w:rsidRPr="00F37C1C">
        <w:rPr>
          <w:lang w:val="en-US"/>
        </w:rPr>
        <w:t xml:space="preserve"> information shall be provided to the Office by the </w:t>
      </w:r>
      <w:r>
        <w:rPr>
          <w:lang w:val="en-US"/>
        </w:rPr>
        <w:t>operator of IoT-S terminals;</w:t>
      </w:r>
    </w:p>
    <w:p w14:paraId="299AF321" w14:textId="77777777" w:rsidR="00713DBA" w:rsidRDefault="00713DBA" w:rsidP="006C03D0">
      <w:pPr>
        <w:pStyle w:val="NumberedList"/>
      </w:pPr>
      <w:r w:rsidRPr="003E77A5">
        <w:t xml:space="preserve">that this Decision </w:t>
      </w:r>
      <w:r w:rsidRPr="003E77A5">
        <w:rPr>
          <w:b/>
        </w:rPr>
        <w:t>enters into force</w:t>
      </w:r>
      <w:r w:rsidRPr="003E77A5">
        <w:t xml:space="preserve"> on [date</w:t>
      </w:r>
      <w:r w:rsidR="00D90B0A">
        <w:t>: XX Month YYYY</w:t>
      </w:r>
      <w:r w:rsidRPr="003E77A5">
        <w:t>];</w:t>
      </w:r>
    </w:p>
    <w:p w14:paraId="386E0976" w14:textId="77777777" w:rsidR="00713DBA" w:rsidRDefault="00D90B0A" w:rsidP="006C03D0">
      <w:pPr>
        <w:pStyle w:val="NumberedList"/>
      </w:pPr>
      <w:r>
        <w:t>that the preferred</w:t>
      </w:r>
      <w:r w:rsidR="00713DBA" w:rsidRPr="003E77A5">
        <w:t xml:space="preserve"> </w:t>
      </w:r>
      <w:r w:rsidR="00713DBA" w:rsidRPr="003E77A5">
        <w:rPr>
          <w:b/>
        </w:rPr>
        <w:t>date for implementation</w:t>
      </w:r>
      <w:r w:rsidR="00713DBA" w:rsidRPr="003E77A5">
        <w:t xml:space="preserve"> of this Decision shall be [date</w:t>
      </w:r>
      <w:r>
        <w:t>: XX Month YYYY</w:t>
      </w:r>
      <w:r w:rsidR="00713DBA" w:rsidRPr="003E77A5">
        <w:t>];</w:t>
      </w:r>
    </w:p>
    <w:p w14:paraId="706DD0DA" w14:textId="064D7E37" w:rsidR="006C03D0" w:rsidRDefault="00713DBA" w:rsidP="00D90B0A">
      <w:pPr>
        <w:pStyle w:val="NumberedList"/>
        <w:keepNext/>
      </w:pPr>
      <w:r w:rsidRPr="003E77A5">
        <w:t xml:space="preserve">that CEPT administrations shall communicate the </w:t>
      </w:r>
      <w:r w:rsidRPr="003E77A5">
        <w:rPr>
          <w:b/>
        </w:rPr>
        <w:t>national measures</w:t>
      </w:r>
      <w:r w:rsidRPr="003E77A5">
        <w:t xml:space="preserve"> implementing this Decision to the </w:t>
      </w:r>
      <w:smartTag w:uri="urn:schemas-microsoft-com:office:smarttags" w:element="stockticker">
        <w:r w:rsidRPr="003E77A5">
          <w:t>ECC</w:t>
        </w:r>
      </w:smartTag>
      <w:r w:rsidRPr="003E77A5">
        <w:t xml:space="preserve"> Chair and the </w:t>
      </w:r>
      <w:r w:rsidR="00025738">
        <w:t xml:space="preserve">European Communications </w:t>
      </w:r>
      <w:r w:rsidRPr="003E77A5">
        <w:t>Office when th</w:t>
      </w:r>
      <w:r w:rsidR="00F32EE8">
        <w:t>is ECC</w:t>
      </w:r>
      <w:r w:rsidRPr="003E77A5">
        <w:t xml:space="preserve"> Decision is nationally implemented.</w:t>
      </w:r>
      <w:r>
        <w:t>”</w:t>
      </w:r>
    </w:p>
    <w:p w14:paraId="47821065" w14:textId="77777777" w:rsidR="001C46EA" w:rsidRPr="00FE1795" w:rsidRDefault="001C46EA" w:rsidP="00D90B0A">
      <w:pPr>
        <w:pStyle w:val="ECCParagraph"/>
        <w:keepNext/>
        <w:rPr>
          <w:i/>
          <w:color w:val="D2232A"/>
        </w:rPr>
      </w:pPr>
      <w:r w:rsidRPr="00FE1795">
        <w:rPr>
          <w:i/>
          <w:color w:val="D2232A"/>
        </w:rPr>
        <w:t xml:space="preserve">Note: </w:t>
      </w:r>
    </w:p>
    <w:p w14:paraId="63BBD0A6" w14:textId="244BEC06" w:rsidR="001C46EA" w:rsidRDefault="001C46EA" w:rsidP="00D90B0A">
      <w:pPr>
        <w:pStyle w:val="ECCParagraph"/>
        <w:keepNext/>
      </w:pPr>
      <w:r w:rsidRPr="00E80C5C">
        <w:rPr>
          <w:i/>
          <w:szCs w:val="20"/>
        </w:rPr>
        <w:t xml:space="preserve">Please check the </w:t>
      </w:r>
      <w:r w:rsidR="00025738">
        <w:rPr>
          <w:i/>
          <w:szCs w:val="20"/>
        </w:rPr>
        <w:t>ECO D</w:t>
      </w:r>
      <w:r>
        <w:rPr>
          <w:i/>
          <w:szCs w:val="20"/>
        </w:rPr>
        <w:t xml:space="preserve">ocumentation </w:t>
      </w:r>
      <w:r w:rsidR="00025738">
        <w:rPr>
          <w:i/>
          <w:szCs w:val="20"/>
        </w:rPr>
        <w:t>D</w:t>
      </w:r>
      <w:r>
        <w:rPr>
          <w:i/>
          <w:szCs w:val="20"/>
        </w:rPr>
        <w:t>atabase</w:t>
      </w:r>
      <w:r w:rsidR="003F3883">
        <w:rPr>
          <w:i/>
          <w:szCs w:val="20"/>
        </w:rPr>
        <w:t xml:space="preserve"> </w:t>
      </w:r>
      <w:hyperlink r:id="rId8" w:history="1">
        <w:r w:rsidR="008C570F" w:rsidRPr="00DD1B18">
          <w:rPr>
            <w:rStyle w:val="Hyperlink"/>
            <w:i/>
            <w:szCs w:val="20"/>
          </w:rPr>
          <w:t>https://docdb.cept.org/</w:t>
        </w:r>
      </w:hyperlink>
      <w:r>
        <w:rPr>
          <w:i/>
          <w:szCs w:val="20"/>
        </w:rPr>
        <w:t xml:space="preserve">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14:paraId="125C491C" w14:textId="77777777" w:rsidR="00041975" w:rsidRDefault="00041975" w:rsidP="001F56C8">
      <w:pPr>
        <w:pStyle w:val="ECCAnnex-heading1"/>
      </w:pPr>
      <w:r>
        <w:lastRenderedPageBreak/>
        <w:t xml:space="preserve">Technical and operational requirements </w:t>
      </w:r>
      <w:r w:rsidRPr="00C12634">
        <w:t xml:space="preserve">for </w:t>
      </w:r>
      <w:r>
        <w:t>IoT-S terminals</w:t>
      </w:r>
      <w:r w:rsidRPr="007E755C" w:rsidDel="00A947C5">
        <w:t xml:space="preserve"> </w:t>
      </w:r>
      <w:r w:rsidRPr="007E755C">
        <w:t xml:space="preserve">  </w:t>
      </w:r>
    </w:p>
    <w:p w14:paraId="796D7E0D" w14:textId="77777777" w:rsidR="00041975" w:rsidRDefault="00041975" w:rsidP="00041975">
      <w:pPr>
        <w:pStyle w:val="ECCParagraph"/>
        <w:rPr>
          <w:lang w:val="en-US"/>
        </w:rPr>
      </w:pPr>
      <w:r>
        <w:t>IoT-S terminals</w:t>
      </w:r>
      <w:r w:rsidDel="00A947C5">
        <w:rPr>
          <w:lang w:val="en-US"/>
        </w:rPr>
        <w:t xml:space="preserve"> </w:t>
      </w:r>
      <w:r>
        <w:rPr>
          <w:lang w:val="en-US"/>
        </w:rPr>
        <w:t>shall comply with the following technical and operational requirements:</w:t>
      </w:r>
    </w:p>
    <w:p w14:paraId="7889B27A" w14:textId="77777777" w:rsidR="00041975" w:rsidRDefault="00041975" w:rsidP="0004561A">
      <w:pPr>
        <w:pStyle w:val="ECCLetteredList"/>
        <w:numPr>
          <w:ilvl w:val="0"/>
          <w:numId w:val="43"/>
        </w:numPr>
      </w:pPr>
      <w:r>
        <w:t xml:space="preserve">Any IoT-S terminal, when deployed, shall conform to a maximum </w:t>
      </w:r>
      <w:r w:rsidRPr="0083700E">
        <w:rPr>
          <w:i/>
          <w:iCs/>
        </w:rPr>
        <w:t>e.i.r.p.</w:t>
      </w:r>
      <w:r>
        <w:t xml:space="preserve"> of 33 dBm, maximum bandwidth of 500 kHz, maximum duty cycle 0.1%</w:t>
      </w:r>
      <w:r>
        <w:rPr>
          <w:rStyle w:val="FootnoteReference"/>
        </w:rPr>
        <w:footnoteReference w:id="1"/>
      </w:r>
      <w:r>
        <w:t>.</w:t>
      </w:r>
    </w:p>
    <w:p w14:paraId="5590F8F7" w14:textId="77777777" w:rsidR="00041975" w:rsidRDefault="00041975" w:rsidP="00041975">
      <w:pPr>
        <w:pStyle w:val="ECCLetteredList"/>
      </w:pPr>
      <w:r>
        <w:t xml:space="preserve">The total population of </w:t>
      </w:r>
      <w:r>
        <w:rPr>
          <w:lang w:val="en-US"/>
        </w:rPr>
        <w:t>IoT-S</w:t>
      </w:r>
      <w:r w:rsidRPr="00CD6C10">
        <w:rPr>
          <w:lang w:val="en-US"/>
        </w:rPr>
        <w:t xml:space="preserve"> terminals</w:t>
      </w:r>
      <w:r w:rsidRPr="00CD6C10" w:rsidDel="00CD6C10">
        <w:rPr>
          <w:lang w:val="en-US"/>
        </w:rPr>
        <w:t xml:space="preserve"> </w:t>
      </w:r>
      <w:r>
        <w:t>over CEPT countries for the network of the operator of IoT-S terminals shall have an aggregated maximum</w:t>
      </w:r>
      <w:r w:rsidRPr="00617096">
        <w:t xml:space="preserve"> </w:t>
      </w:r>
      <w:r w:rsidRPr="0083700E">
        <w:rPr>
          <w:i/>
          <w:iCs/>
        </w:rPr>
        <w:t>e.i.r.p</w:t>
      </w:r>
      <w:r w:rsidRPr="00CF0F39">
        <w:rPr>
          <w:i/>
          <w:iCs/>
        </w:rPr>
        <w:t>.</w:t>
      </w:r>
      <w:r w:rsidRPr="00617096">
        <w:t xml:space="preserve"> density that is less than </w:t>
      </w:r>
      <w:r>
        <w:t>-7</w:t>
      </w:r>
      <w:r w:rsidRPr="00617096">
        <w:t xml:space="preserve"> dBW/4kHz</w:t>
      </w:r>
      <w:r>
        <w:t>;</w:t>
      </w:r>
    </w:p>
    <w:p w14:paraId="35AC054E" w14:textId="77777777" w:rsidR="00041975" w:rsidRDefault="00041975" w:rsidP="00041975">
      <w:pPr>
        <w:pStyle w:val="ECCLetteredList"/>
      </w:pPr>
      <w:r>
        <w:t>Each IoT-S terminal shall transmit in such a manner to temporally spread transmissions to statistically minimise the number of simultaneously active IoT-S terminals as well as uniform spreading within the used spectrum range;</w:t>
      </w:r>
    </w:p>
    <w:p w14:paraId="2354588E" w14:textId="77777777" w:rsidR="00041975" w:rsidRDefault="00041975" w:rsidP="00041975">
      <w:pPr>
        <w:pStyle w:val="ECCLetteredList"/>
      </w:pPr>
      <w:r>
        <w:t xml:space="preserve">In order to protect road tolling systems operating in </w:t>
      </w:r>
      <w:r w:rsidRPr="006A271D">
        <w:t>5795-5815</w:t>
      </w:r>
      <w:r>
        <w:t xml:space="preserve"> MHz, IoT-S terminals that are deployed on the outside of vehicles, with a transmit duration of more than 7s, shall have unwanted emissions less than -65 dBm/MHz </w:t>
      </w:r>
      <w:r w:rsidRPr="0083700E">
        <w:rPr>
          <w:i/>
          <w:iCs/>
        </w:rPr>
        <w:t>e.i.r.p.</w:t>
      </w:r>
      <w:r>
        <w:t xml:space="preserve"> in the band 5795-5815 MHz.</w:t>
      </w:r>
    </w:p>
    <w:p w14:paraId="75D6038B" w14:textId="77777777" w:rsidR="00041975" w:rsidRDefault="00041975" w:rsidP="00041975">
      <w:pPr>
        <w:pStyle w:val="ECCParagraph"/>
        <w:rPr>
          <w:highlight w:val="yellow"/>
        </w:rPr>
      </w:pPr>
    </w:p>
    <w:p w14:paraId="2E52E209" w14:textId="77777777" w:rsidR="00041975" w:rsidRDefault="00041975" w:rsidP="0004561A">
      <w:pPr>
        <w:pStyle w:val="ECCAnnexheading1"/>
      </w:pPr>
      <w:r w:rsidRPr="00D238A7">
        <w:lastRenderedPageBreak/>
        <w:t xml:space="preserve">ANNEX </w:t>
      </w:r>
      <w:r>
        <w:t>2</w:t>
      </w:r>
      <w:r w:rsidRPr="00D238A7">
        <w:t xml:space="preserve">: </w:t>
      </w:r>
      <w:r w:rsidRPr="004C34F2">
        <w:t xml:space="preserve">DECLARATION TO BE SUBMITTED TO THE OFFICE BY THE OPERATOR </w:t>
      </w:r>
      <w:r>
        <w:t xml:space="preserve">of IoT-S terminals </w:t>
      </w:r>
    </w:p>
    <w:p w14:paraId="3CB63488" w14:textId="2AC9F204" w:rsidR="00041975" w:rsidRDefault="00041975" w:rsidP="00041975">
      <w:pPr>
        <w:pStyle w:val="ECCParagraph"/>
        <w:rPr>
          <w:lang w:val="en-US"/>
        </w:rPr>
      </w:pPr>
      <w:r w:rsidRPr="00BA66D2">
        <w:rPr>
          <w:lang w:val="en-US"/>
        </w:rPr>
        <w:t xml:space="preserve">Any GSO operator intending to deploy </w:t>
      </w:r>
      <w:r>
        <w:t>IoT-S terminals</w:t>
      </w:r>
      <w:r w:rsidDel="0003665A">
        <w:rPr>
          <w:lang w:val="en-US"/>
        </w:rPr>
        <w:t xml:space="preserve"> </w:t>
      </w:r>
      <w:r>
        <w:rPr>
          <w:lang w:val="en-US"/>
        </w:rPr>
        <w:t xml:space="preserve">within the </w:t>
      </w:r>
      <w:r w:rsidRPr="00BA66D2">
        <w:rPr>
          <w:lang w:val="en-US"/>
        </w:rPr>
        <w:t>framework of this Decision is required to submit to the Office (</w:t>
      </w:r>
      <w:hyperlink r:id="rId9" w:history="1">
        <w:r w:rsidR="000968B0" w:rsidRPr="00472B4C">
          <w:rPr>
            <w:rStyle w:val="Hyperlink"/>
            <w:lang w:val="en-US"/>
          </w:rPr>
          <w:t>https://www.cept.org/eco</w:t>
        </w:r>
      </w:hyperlink>
      <w:r w:rsidRPr="00BA66D2">
        <w:rPr>
          <w:lang w:val="en-US"/>
        </w:rPr>
        <w:t xml:space="preserve">) a declaration given in </w:t>
      </w:r>
      <w:r>
        <w:rPr>
          <w:lang w:val="en-US"/>
        </w:rPr>
        <w:fldChar w:fldCharType="begin"/>
      </w:r>
      <w:r>
        <w:rPr>
          <w:lang w:val="en-US"/>
        </w:rPr>
        <w:instrText xml:space="preserve"> REF _Ref222573723 \h </w:instrText>
      </w:r>
      <w:r>
        <w:rPr>
          <w:lang w:val="en-US"/>
        </w:rPr>
      </w:r>
      <w:r>
        <w:rPr>
          <w:lang w:val="en-US"/>
        </w:rPr>
        <w:fldChar w:fldCharType="separate"/>
      </w:r>
      <w:r>
        <w:t xml:space="preserve">Table </w:t>
      </w:r>
      <w:r>
        <w:rPr>
          <w:noProof/>
        </w:rPr>
        <w:t>1</w:t>
      </w:r>
      <w:r>
        <w:rPr>
          <w:lang w:val="en-US"/>
        </w:rPr>
        <w:fldChar w:fldCharType="end"/>
      </w:r>
      <w:r w:rsidRPr="00BA66D2">
        <w:rPr>
          <w:lang w:val="en-US"/>
        </w:rPr>
        <w:t>. Any future changes to the information sought by the declaration should also be brought to the attention of the Office as soon as possible.</w:t>
      </w:r>
    </w:p>
    <w:p w14:paraId="350A2743" w14:textId="77777777" w:rsidR="00041975" w:rsidRDefault="00041975" w:rsidP="00041975">
      <w:pPr>
        <w:pStyle w:val="Caption"/>
        <w:rPr>
          <w:lang w:val="en-US"/>
        </w:rPr>
      </w:pPr>
      <w:bookmarkStart w:id="2" w:name="_Ref222573723"/>
      <w:r>
        <w:t xml:space="preserve">Table </w:t>
      </w:r>
      <w:r>
        <w:fldChar w:fldCharType="begin"/>
      </w:r>
      <w:r>
        <w:instrText xml:space="preserve"> SEQ Table \* ARABIC </w:instrText>
      </w:r>
      <w:r>
        <w:fldChar w:fldCharType="separate"/>
      </w:r>
      <w:r>
        <w:rPr>
          <w:noProof/>
        </w:rPr>
        <w:t>1</w:t>
      </w:r>
      <w:r>
        <w:fldChar w:fldCharType="end"/>
      </w:r>
      <w:bookmarkEnd w:id="2"/>
      <w:r>
        <w:t xml:space="preserve">: </w:t>
      </w:r>
      <w:r w:rsidRPr="00BA66D2">
        <w:rPr>
          <w:lang w:val="en-US"/>
        </w:rPr>
        <w:t>Declaration to be provided to the Office</w:t>
      </w:r>
    </w:p>
    <w:tbl>
      <w:tblPr>
        <w:tblStyle w:val="ECCTable-redheader"/>
        <w:tblW w:w="9918" w:type="dxa"/>
        <w:tblInd w:w="0" w:type="dxa"/>
        <w:tblLayout w:type="fixed"/>
        <w:tblLook w:val="00A0" w:firstRow="1" w:lastRow="0" w:firstColumn="1" w:lastColumn="0" w:noHBand="0" w:noVBand="0"/>
      </w:tblPr>
      <w:tblGrid>
        <w:gridCol w:w="6941"/>
        <w:gridCol w:w="2977"/>
      </w:tblGrid>
      <w:tr w:rsidR="00041975" w:rsidRPr="00D34DC1" w14:paraId="5D9B9586" w14:textId="77777777" w:rsidTr="003407EB">
        <w:trPr>
          <w:cnfStyle w:val="100000000000" w:firstRow="1" w:lastRow="0" w:firstColumn="0" w:lastColumn="0" w:oddVBand="0" w:evenVBand="0" w:oddHBand="0" w:evenHBand="0" w:firstRowFirstColumn="0" w:firstRowLastColumn="0" w:lastRowFirstColumn="0" w:lastRowLastColumn="0"/>
          <w:trHeight w:val="621"/>
        </w:trPr>
        <w:tc>
          <w:tcPr>
            <w:tcW w:w="6941" w:type="dxa"/>
          </w:tcPr>
          <w:p w14:paraId="619117B8" w14:textId="77777777" w:rsidR="00041975" w:rsidRPr="00D34DC1" w:rsidRDefault="00041975" w:rsidP="00430CF7">
            <w:pPr>
              <w:pStyle w:val="ECCTabletext"/>
              <w:rPr>
                <w:sz w:val="18"/>
                <w:szCs w:val="18"/>
              </w:rPr>
            </w:pPr>
            <w:r w:rsidRPr="00D34DC1">
              <w:rPr>
                <w:sz w:val="18"/>
                <w:szCs w:val="18"/>
              </w:rPr>
              <w:t>Type ID</w:t>
            </w:r>
          </w:p>
        </w:tc>
        <w:tc>
          <w:tcPr>
            <w:tcW w:w="2977" w:type="dxa"/>
          </w:tcPr>
          <w:p w14:paraId="1647DAA4" w14:textId="77777777" w:rsidR="00041975" w:rsidRPr="00D34DC1" w:rsidRDefault="00041975" w:rsidP="00430CF7">
            <w:pPr>
              <w:pStyle w:val="ECCTabletext"/>
              <w:rPr>
                <w:sz w:val="18"/>
                <w:szCs w:val="18"/>
              </w:rPr>
            </w:pPr>
            <w:r>
              <w:rPr>
                <w:sz w:val="18"/>
                <w:szCs w:val="18"/>
              </w:rPr>
              <w:t>Information</w:t>
            </w:r>
          </w:p>
        </w:tc>
      </w:tr>
      <w:tr w:rsidR="00041975" w:rsidRPr="00AC1CC3" w14:paraId="749A95EC" w14:textId="77777777" w:rsidTr="003407EB">
        <w:trPr>
          <w:trHeight w:val="326"/>
        </w:trPr>
        <w:tc>
          <w:tcPr>
            <w:tcW w:w="6941" w:type="dxa"/>
          </w:tcPr>
          <w:p w14:paraId="34C42E9D" w14:textId="77777777" w:rsidR="00041975" w:rsidRPr="00BA6B48" w:rsidRDefault="00041975" w:rsidP="0004561A">
            <w:pPr>
              <w:pStyle w:val="ECCTabletext"/>
              <w:jc w:val="left"/>
              <w:rPr>
                <w:sz w:val="18"/>
                <w:szCs w:val="18"/>
              </w:rPr>
            </w:pPr>
            <w:r w:rsidRPr="00BA6B48">
              <w:t xml:space="preserve">IoT-S terminals operator’s name </w:t>
            </w:r>
          </w:p>
        </w:tc>
        <w:tc>
          <w:tcPr>
            <w:tcW w:w="2977" w:type="dxa"/>
          </w:tcPr>
          <w:p w14:paraId="653D1D51" w14:textId="77777777" w:rsidR="00041975" w:rsidRPr="00BA6B48" w:rsidRDefault="00041975" w:rsidP="00430CF7">
            <w:pPr>
              <w:pStyle w:val="ECCTabletext"/>
              <w:rPr>
                <w:sz w:val="18"/>
                <w:szCs w:val="18"/>
              </w:rPr>
            </w:pPr>
          </w:p>
        </w:tc>
      </w:tr>
      <w:tr w:rsidR="00041975" w:rsidRPr="00D34DC1" w14:paraId="6173552D" w14:textId="77777777" w:rsidTr="003407EB">
        <w:trPr>
          <w:trHeight w:val="310"/>
        </w:trPr>
        <w:tc>
          <w:tcPr>
            <w:tcW w:w="6941" w:type="dxa"/>
          </w:tcPr>
          <w:p w14:paraId="69767558" w14:textId="77777777" w:rsidR="00041975" w:rsidRPr="00D34DC1" w:rsidRDefault="00041975" w:rsidP="0004561A">
            <w:pPr>
              <w:pStyle w:val="ECCTabletext"/>
              <w:jc w:val="left"/>
              <w:rPr>
                <w:sz w:val="18"/>
                <w:szCs w:val="18"/>
              </w:rPr>
            </w:pPr>
            <w:r>
              <w:t xml:space="preserve">IoT-S terminals </w:t>
            </w:r>
            <w:r w:rsidRPr="00266107">
              <w:t xml:space="preserve">operator’s Contact </w:t>
            </w:r>
            <w:r>
              <w:t>Information</w:t>
            </w:r>
          </w:p>
        </w:tc>
        <w:tc>
          <w:tcPr>
            <w:tcW w:w="2977" w:type="dxa"/>
          </w:tcPr>
          <w:p w14:paraId="00809F7E" w14:textId="77777777" w:rsidR="00041975" w:rsidRPr="00D34DC1" w:rsidRDefault="00041975" w:rsidP="00430CF7">
            <w:pPr>
              <w:pStyle w:val="ECCTabletext"/>
              <w:rPr>
                <w:sz w:val="18"/>
                <w:szCs w:val="18"/>
              </w:rPr>
            </w:pPr>
          </w:p>
        </w:tc>
      </w:tr>
      <w:tr w:rsidR="00041975" w:rsidRPr="00D34DC1" w14:paraId="119EE8C1" w14:textId="77777777" w:rsidTr="003407EB">
        <w:trPr>
          <w:trHeight w:val="310"/>
        </w:trPr>
        <w:tc>
          <w:tcPr>
            <w:tcW w:w="6941" w:type="dxa"/>
          </w:tcPr>
          <w:p w14:paraId="2097863A" w14:textId="77777777" w:rsidR="00041975" w:rsidRDefault="00041975" w:rsidP="0004561A">
            <w:pPr>
              <w:pStyle w:val="ECCTabletext"/>
              <w:jc w:val="left"/>
            </w:pPr>
            <w:r>
              <w:t xml:space="preserve">Commercial </w:t>
            </w:r>
            <w:r w:rsidRPr="00266107">
              <w:t>name of the</w:t>
            </w:r>
            <w:r>
              <w:t xml:space="preserve"> GSO</w:t>
            </w:r>
            <w:r w:rsidRPr="00266107">
              <w:t xml:space="preserve"> satellite network(s)</w:t>
            </w:r>
          </w:p>
        </w:tc>
        <w:tc>
          <w:tcPr>
            <w:tcW w:w="2977" w:type="dxa"/>
          </w:tcPr>
          <w:p w14:paraId="70052D11" w14:textId="77777777" w:rsidR="00041975" w:rsidRPr="00D34DC1" w:rsidRDefault="00041975" w:rsidP="00430CF7">
            <w:pPr>
              <w:pStyle w:val="ECCTabletext"/>
              <w:rPr>
                <w:sz w:val="18"/>
                <w:szCs w:val="18"/>
              </w:rPr>
            </w:pPr>
          </w:p>
        </w:tc>
      </w:tr>
      <w:tr w:rsidR="00041975" w:rsidRPr="00D34DC1" w14:paraId="00D897A0" w14:textId="77777777" w:rsidTr="003407EB">
        <w:trPr>
          <w:trHeight w:val="326"/>
        </w:trPr>
        <w:tc>
          <w:tcPr>
            <w:tcW w:w="6941" w:type="dxa"/>
          </w:tcPr>
          <w:p w14:paraId="1853E618" w14:textId="77777777" w:rsidR="00041975" w:rsidRPr="00D34DC1" w:rsidRDefault="00041975" w:rsidP="0004561A">
            <w:pPr>
              <w:pStyle w:val="ECCTabletext"/>
              <w:jc w:val="left"/>
              <w:rPr>
                <w:sz w:val="18"/>
                <w:szCs w:val="18"/>
              </w:rPr>
            </w:pPr>
            <w:r>
              <w:t>ITU Notifying Administration of the GSO satellite network</w:t>
            </w:r>
          </w:p>
        </w:tc>
        <w:tc>
          <w:tcPr>
            <w:tcW w:w="2977" w:type="dxa"/>
          </w:tcPr>
          <w:p w14:paraId="65AEE01D" w14:textId="77777777" w:rsidR="00041975" w:rsidRPr="00D34DC1" w:rsidRDefault="00041975" w:rsidP="00430CF7">
            <w:pPr>
              <w:pStyle w:val="ECCTabletext"/>
              <w:rPr>
                <w:sz w:val="18"/>
                <w:szCs w:val="18"/>
              </w:rPr>
            </w:pPr>
          </w:p>
        </w:tc>
      </w:tr>
      <w:tr w:rsidR="00041975" w:rsidRPr="00D34DC1" w14:paraId="18C1112C" w14:textId="77777777" w:rsidTr="003407EB">
        <w:trPr>
          <w:trHeight w:val="326"/>
        </w:trPr>
        <w:tc>
          <w:tcPr>
            <w:tcW w:w="6941" w:type="dxa"/>
          </w:tcPr>
          <w:p w14:paraId="103D757F" w14:textId="77777777" w:rsidR="00041975" w:rsidRPr="00AA130B" w:rsidRDefault="00041975" w:rsidP="0004561A">
            <w:pPr>
              <w:pStyle w:val="ECCTabletext"/>
              <w:jc w:val="left"/>
            </w:pPr>
            <w:r w:rsidRPr="00AA130B">
              <w:t>Declaration of compliance with the technical and operational requirements of Annex 1</w:t>
            </w:r>
            <w:r>
              <w:t>.</w:t>
            </w:r>
            <w:r w:rsidRPr="00AA130B">
              <w:t xml:space="preserve"> </w:t>
            </w:r>
          </w:p>
        </w:tc>
        <w:tc>
          <w:tcPr>
            <w:tcW w:w="2977" w:type="dxa"/>
          </w:tcPr>
          <w:p w14:paraId="20D14E99" w14:textId="77777777" w:rsidR="00041975" w:rsidRPr="00D34DC1" w:rsidRDefault="00041975" w:rsidP="00430CF7">
            <w:pPr>
              <w:pStyle w:val="ECCTabletext"/>
              <w:rPr>
                <w:sz w:val="18"/>
                <w:szCs w:val="18"/>
              </w:rPr>
            </w:pPr>
          </w:p>
        </w:tc>
      </w:tr>
      <w:tr w:rsidR="00041975" w:rsidRPr="00D34DC1" w14:paraId="25B5F586" w14:textId="77777777" w:rsidTr="003407EB">
        <w:trPr>
          <w:trHeight w:val="326"/>
        </w:trPr>
        <w:tc>
          <w:tcPr>
            <w:tcW w:w="6941" w:type="dxa"/>
          </w:tcPr>
          <w:p w14:paraId="41BC8F0D" w14:textId="77777777" w:rsidR="00041975" w:rsidRPr="00AA130B" w:rsidRDefault="00041975" w:rsidP="0004561A">
            <w:pPr>
              <w:pStyle w:val="ECCTabletext"/>
              <w:jc w:val="left"/>
            </w:pPr>
            <w:r w:rsidRPr="00256E06">
              <w:t>Network Control Facility contact details (address, telephone number, email)</w:t>
            </w:r>
          </w:p>
        </w:tc>
        <w:tc>
          <w:tcPr>
            <w:tcW w:w="2977" w:type="dxa"/>
          </w:tcPr>
          <w:p w14:paraId="79C8C18B" w14:textId="77777777" w:rsidR="00041975" w:rsidRPr="00D34DC1" w:rsidRDefault="00041975" w:rsidP="00430CF7">
            <w:pPr>
              <w:pStyle w:val="ECCTabletext"/>
              <w:rPr>
                <w:sz w:val="18"/>
                <w:szCs w:val="18"/>
              </w:rPr>
            </w:pPr>
          </w:p>
        </w:tc>
      </w:tr>
      <w:tr w:rsidR="00041975" w:rsidRPr="00D34DC1" w14:paraId="56D89A38" w14:textId="77777777" w:rsidTr="003407EB">
        <w:trPr>
          <w:trHeight w:val="326"/>
        </w:trPr>
        <w:tc>
          <w:tcPr>
            <w:tcW w:w="6941" w:type="dxa"/>
          </w:tcPr>
          <w:p w14:paraId="5098CB41" w14:textId="77777777" w:rsidR="00041975" w:rsidRPr="00256E06" w:rsidRDefault="00041975" w:rsidP="0004561A">
            <w:pPr>
              <w:pStyle w:val="ECCTabletext"/>
              <w:jc w:val="left"/>
            </w:pPr>
            <w:r>
              <w:t>ITU BR filing name</w:t>
            </w:r>
          </w:p>
        </w:tc>
        <w:tc>
          <w:tcPr>
            <w:tcW w:w="2977" w:type="dxa"/>
          </w:tcPr>
          <w:p w14:paraId="10BA5196" w14:textId="77777777" w:rsidR="00041975" w:rsidRPr="00D34DC1" w:rsidRDefault="00041975" w:rsidP="00430CF7">
            <w:pPr>
              <w:pStyle w:val="ECCTabletext"/>
              <w:rPr>
                <w:sz w:val="18"/>
                <w:szCs w:val="18"/>
              </w:rPr>
            </w:pPr>
          </w:p>
        </w:tc>
      </w:tr>
      <w:tr w:rsidR="00041975" w:rsidRPr="00D34DC1" w14:paraId="7AE6E06A" w14:textId="77777777" w:rsidTr="003407EB">
        <w:trPr>
          <w:trHeight w:val="326"/>
        </w:trPr>
        <w:tc>
          <w:tcPr>
            <w:tcW w:w="6941" w:type="dxa"/>
          </w:tcPr>
          <w:p w14:paraId="4EA12F0F" w14:textId="77777777" w:rsidR="00041975" w:rsidRPr="00E06D98" w:rsidRDefault="00041975" w:rsidP="0004561A">
            <w:pPr>
              <w:pStyle w:val="ECCTabletext"/>
              <w:jc w:val="left"/>
            </w:pPr>
            <w:r>
              <w:t>Detailed description of the maximum aggregated</w:t>
            </w:r>
            <w:r w:rsidRPr="00CB50D9">
              <w:t xml:space="preserve"> </w:t>
            </w:r>
            <w:r w:rsidRPr="0083700E">
              <w:rPr>
                <w:i/>
                <w:iCs/>
              </w:rPr>
              <w:t>e.i.r.p.</w:t>
            </w:r>
            <w:r w:rsidRPr="00CB50D9">
              <w:t xml:space="preserve"> density</w:t>
            </w:r>
            <w:r>
              <w:t xml:space="preserve"> that would result from the total population of IoT-S terminals in the operator network operating over all CEPT countries. This maximum aggregate value shall be less than -7 dBW/4kHz and be derived by averaging transmissions of the network of terminals over a period of at least one hour.</w:t>
            </w:r>
          </w:p>
        </w:tc>
        <w:tc>
          <w:tcPr>
            <w:tcW w:w="2977" w:type="dxa"/>
          </w:tcPr>
          <w:p w14:paraId="18972EB0" w14:textId="77777777" w:rsidR="00041975" w:rsidRPr="00D34DC1" w:rsidRDefault="00041975" w:rsidP="00430CF7">
            <w:pPr>
              <w:pStyle w:val="ECCTabletext"/>
              <w:rPr>
                <w:sz w:val="18"/>
                <w:szCs w:val="18"/>
              </w:rPr>
            </w:pPr>
          </w:p>
        </w:tc>
      </w:tr>
    </w:tbl>
    <w:p w14:paraId="063C317B" w14:textId="77777777" w:rsidR="00041975" w:rsidRDefault="00041975" w:rsidP="00041975"/>
    <w:p w14:paraId="4E42EF9C" w14:textId="77777777" w:rsidR="00041975" w:rsidRDefault="00041975" w:rsidP="00041975"/>
    <w:p w14:paraId="78EF08CA" w14:textId="77777777" w:rsidR="00041975" w:rsidRDefault="00041975" w:rsidP="00041975">
      <w:pPr>
        <w:rPr>
          <w:b/>
          <w:caps/>
          <w:color w:val="D2232A"/>
          <w:szCs w:val="20"/>
          <w:lang w:val="da-DK"/>
        </w:rPr>
      </w:pPr>
      <w:r>
        <w:br w:type="page"/>
      </w:r>
    </w:p>
    <w:p w14:paraId="0531146A" w14:textId="77777777" w:rsidR="00041975" w:rsidRPr="00AA130B" w:rsidRDefault="00041975" w:rsidP="00041975">
      <w:pPr>
        <w:pStyle w:val="ECCAnnexheading1"/>
      </w:pPr>
      <w:r>
        <w:lastRenderedPageBreak/>
        <w:t xml:space="preserve">ANNEX 3: </w:t>
      </w:r>
      <w:r w:rsidRPr="00AA130B">
        <w:t>List of References</w:t>
      </w:r>
    </w:p>
    <w:p w14:paraId="46E8D0B1" w14:textId="77777777" w:rsidR="00041975" w:rsidRPr="00C05199" w:rsidRDefault="00041975" w:rsidP="00041975">
      <w:pPr>
        <w:rPr>
          <w:lang w:val="en-GB"/>
        </w:rPr>
      </w:pPr>
    </w:p>
    <w:bookmarkStart w:id="3" w:name="_Ref224828847"/>
    <w:p w14:paraId="6C9AFA41" w14:textId="35FA5A14" w:rsidR="00041975" w:rsidRPr="00ED2F63" w:rsidRDefault="00041975" w:rsidP="00041975">
      <w:pPr>
        <w:pStyle w:val="ECCReference"/>
        <w:numPr>
          <w:ilvl w:val="0"/>
          <w:numId w:val="8"/>
        </w:numPr>
      </w:pPr>
      <w:r>
        <w:fldChar w:fldCharType="begin"/>
      </w:r>
      <w:r>
        <w:instrText>HYPERLINK "https://docdb.cept.org/document/13607"</w:instrText>
      </w:r>
      <w:r>
        <w:fldChar w:fldCharType="separate"/>
      </w:r>
      <w:r w:rsidRPr="00AF2ED8">
        <w:rPr>
          <w:rStyle w:val="Hyperlink"/>
        </w:rPr>
        <w:t>ECC Report 305</w:t>
      </w:r>
      <w:r>
        <w:fldChar w:fldCharType="end"/>
      </w:r>
      <w:r>
        <w:t>: “</w:t>
      </w:r>
      <w:r w:rsidRPr="00AF2ED8">
        <w:rPr>
          <w:lang w:val="en-US"/>
        </w:rPr>
        <w:t>M2M/IoT Operation via Satellite</w:t>
      </w:r>
      <w:r>
        <w:rPr>
          <w:lang w:val="en-US"/>
        </w:rPr>
        <w:t>, approved 14 February 2020”,</w:t>
      </w:r>
      <w:r w:rsidRPr="007A2CA1">
        <w:t xml:space="preserve"> </w:t>
      </w:r>
      <w:r w:rsidRPr="007A2CA1">
        <w:rPr>
          <w:lang w:val="en-US"/>
        </w:rPr>
        <w:t>approved February 2020</w:t>
      </w:r>
      <w:bookmarkEnd w:id="3"/>
    </w:p>
    <w:bookmarkStart w:id="4" w:name="_Ref224828865"/>
    <w:p w14:paraId="107F754B" w14:textId="1626462C" w:rsidR="00041975" w:rsidRDefault="00041975" w:rsidP="00041975">
      <w:pPr>
        <w:pStyle w:val="ECCReference"/>
        <w:numPr>
          <w:ilvl w:val="0"/>
          <w:numId w:val="8"/>
        </w:numPr>
      </w:pPr>
      <w:r>
        <w:fldChar w:fldCharType="begin"/>
      </w:r>
      <w:r>
        <w:instrText>HYPERLINK "http://data.europa.eu/eli/dir/2014/53/2023-10-01"</w:instrText>
      </w:r>
      <w:r>
        <w:fldChar w:fldCharType="separate"/>
      </w:r>
      <w:r w:rsidRPr="00FD37F9">
        <w:rPr>
          <w:rStyle w:val="Hyperlink"/>
        </w:rPr>
        <w:t>Directive 2014/53/EU</w:t>
      </w:r>
      <w:r>
        <w:fldChar w:fldCharType="end"/>
      </w:r>
      <w:r w:rsidRPr="00FD37F9">
        <w:t xml:space="preserve"> of the European Parliament and of the Council of 16 April 2014 on the harmonisation of the laws of the Member States relating to the making available on the market of radio equipmen</w:t>
      </w:r>
      <w:r>
        <w:t xml:space="preserve">t </w:t>
      </w:r>
      <w:bookmarkEnd w:id="4"/>
    </w:p>
    <w:bookmarkStart w:id="5" w:name="_Ref224828913"/>
    <w:p w14:paraId="04C38475" w14:textId="4A85F029" w:rsidR="00041975" w:rsidRPr="00C05199" w:rsidRDefault="00697937" w:rsidP="00041975">
      <w:pPr>
        <w:pStyle w:val="ECCReference"/>
        <w:numPr>
          <w:ilvl w:val="0"/>
          <w:numId w:val="8"/>
        </w:numPr>
      </w:pPr>
      <w:r w:rsidRPr="00697937">
        <w:rPr>
          <w:lang w:val="en-US"/>
        </w:rPr>
        <w:fldChar w:fldCharType="begin"/>
      </w:r>
      <w:r w:rsidRPr="00697937">
        <w:rPr>
          <w:lang w:val="en-US"/>
        </w:rPr>
        <w:instrText>HYPERLINK "https://docdb.cept.org/document/28670"</w:instrText>
      </w:r>
      <w:r w:rsidRPr="00697937">
        <w:rPr>
          <w:lang w:val="en-US"/>
        </w:rPr>
      </w:r>
      <w:r w:rsidRPr="00697937">
        <w:rPr>
          <w:lang w:val="en-US"/>
        </w:rPr>
        <w:fldChar w:fldCharType="separate"/>
      </w:r>
      <w:r w:rsidRPr="00697937">
        <w:rPr>
          <w:rStyle w:val="Hyperlink"/>
          <w:lang w:val="en-US"/>
        </w:rPr>
        <w:t>ECC Report 376</w:t>
      </w:r>
      <w:r w:rsidRPr="00697937">
        <w:rPr>
          <w:lang w:val="en-US"/>
        </w:rPr>
        <w:fldChar w:fldCharType="end"/>
      </w:r>
      <w:r w:rsidR="00041975">
        <w:rPr>
          <w:lang w:val="en-US"/>
        </w:rPr>
        <w:t>: “</w:t>
      </w:r>
      <w:r w:rsidR="00041975" w:rsidRPr="00C11EDC">
        <w:rPr>
          <w:lang w:val="en-US"/>
        </w:rPr>
        <w:t>Technical report on small IoT transmit-only satellite terminals for land and maritime applications transmitting in the 5850-5875 MHz and 14.0-14.5 GHz band</w:t>
      </w:r>
      <w:r w:rsidR="00041975">
        <w:rPr>
          <w:lang w:val="en-US"/>
        </w:rPr>
        <w:t>”</w:t>
      </w:r>
      <w:bookmarkEnd w:id="5"/>
      <w:r w:rsidR="005B6AB9">
        <w:rPr>
          <w:lang w:val="en-US"/>
        </w:rPr>
        <w:t>, approved May 2026</w:t>
      </w:r>
    </w:p>
    <w:p w14:paraId="5BBD378C" w14:textId="67B1FCD8" w:rsidR="00041975" w:rsidRDefault="00041975" w:rsidP="00041975">
      <w:pPr>
        <w:pStyle w:val="ECCReference"/>
        <w:numPr>
          <w:ilvl w:val="0"/>
          <w:numId w:val="8"/>
        </w:numPr>
      </w:pPr>
      <w:bookmarkStart w:id="6" w:name="_Ref224828347"/>
      <w:r w:rsidRPr="00430CF7">
        <w:t>ITU Radio Regulations, 2024 Edition</w:t>
      </w:r>
      <w:bookmarkEnd w:id="6"/>
    </w:p>
    <w:p w14:paraId="0508D4CC" w14:textId="77777777" w:rsidR="00041975" w:rsidRPr="002D7B9F" w:rsidRDefault="00041975" w:rsidP="00041975">
      <w:pPr>
        <w:pStyle w:val="ECCReference"/>
        <w:numPr>
          <w:ilvl w:val="0"/>
          <w:numId w:val="8"/>
        </w:numPr>
      </w:pPr>
      <w:bookmarkStart w:id="7" w:name="_Ref231367262"/>
      <w:r>
        <w:t xml:space="preserve">Draft ETSI </w:t>
      </w:r>
      <w:r w:rsidRPr="00A21BD5">
        <w:t>EN 304 652</w:t>
      </w:r>
      <w:r>
        <w:t>:</w:t>
      </w:r>
      <w:r w:rsidRPr="00A21BD5">
        <w:t xml:space="preserve"> “Satellite Earth Stations &amp; Systems (SES);Very Small Transmit-only GSO Satellite IoT Terminals, operating within the 5850 - 5875 MHz band”</w:t>
      </w:r>
      <w:r>
        <w:t xml:space="preserve"> </w:t>
      </w:r>
      <w:bookmarkEnd w:id="7"/>
    </w:p>
    <w:p w14:paraId="10F313C9" w14:textId="77777777" w:rsidR="006C03D0" w:rsidRDefault="006C03D0" w:rsidP="006C03D0">
      <w:pPr>
        <w:pStyle w:val="ECCParagraph"/>
      </w:pPr>
    </w:p>
    <w:p w14:paraId="0EEF8A0E" w14:textId="77777777" w:rsidR="000100FE" w:rsidRPr="000A672F" w:rsidRDefault="000100FE" w:rsidP="006C03D0">
      <w:pPr>
        <w:pStyle w:val="ECCParagraph"/>
      </w:pPr>
    </w:p>
    <w:sectPr w:rsidR="000100FE" w:rsidRPr="000A672F"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1DE2" w14:textId="77777777" w:rsidR="003A2E43" w:rsidRDefault="003A2E43" w:rsidP="006C03D0">
      <w:r>
        <w:separator/>
      </w:r>
    </w:p>
  </w:endnote>
  <w:endnote w:type="continuationSeparator" w:id="0">
    <w:p w14:paraId="7721F202" w14:textId="77777777" w:rsidR="003A2E43" w:rsidRDefault="003A2E43"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0ABD" w14:textId="77777777" w:rsidR="003A2E43" w:rsidRDefault="003A2E43" w:rsidP="006C03D0">
      <w:r>
        <w:separator/>
      </w:r>
    </w:p>
  </w:footnote>
  <w:footnote w:type="continuationSeparator" w:id="0">
    <w:p w14:paraId="4F38634B" w14:textId="77777777" w:rsidR="003A2E43" w:rsidRDefault="003A2E43" w:rsidP="006C03D0">
      <w:r>
        <w:continuationSeparator/>
      </w:r>
    </w:p>
  </w:footnote>
  <w:footnote w:id="1">
    <w:p w14:paraId="3ED84EE8" w14:textId="77777777" w:rsidR="00041975" w:rsidRPr="00381B08" w:rsidRDefault="00041975" w:rsidP="00041975">
      <w:pPr>
        <w:pStyle w:val="FootnoteText"/>
        <w:rPr>
          <w:sz w:val="16"/>
          <w:szCs w:val="16"/>
        </w:rPr>
      </w:pPr>
      <w:r w:rsidRPr="00381B08">
        <w:rPr>
          <w:rStyle w:val="FootnoteReference"/>
          <w:sz w:val="16"/>
          <w:szCs w:val="16"/>
        </w:rPr>
        <w:footnoteRef/>
      </w:r>
      <w:r w:rsidRPr="00381B08">
        <w:rPr>
          <w:sz w:val="16"/>
          <w:szCs w:val="16"/>
        </w:rPr>
        <w:t xml:space="preserve"> The duty cycle shall be measured over a period of at least one hour. In the event of low target duty cycles, the observation period will consist of multiple periods of 1 hour so that a representative average duty cycle can be estimated.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DE3D" w14:textId="36201EC5" w:rsidR="00FA4704" w:rsidRPr="007C5F95" w:rsidRDefault="003A2E43">
    <w:pPr>
      <w:pStyle w:val="Header"/>
      <w:rPr>
        <w:szCs w:val="16"/>
        <w:lang w:val="da-DK"/>
      </w:rPr>
    </w:pPr>
    <w:r>
      <w:rPr>
        <w:noProof/>
      </w:rPr>
      <w:pict w14:anchorId="3D1A5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1" o:spid="_x0000_s1026" type="#_x0000_t136" style="position:absolute;margin-left:0;margin-top:0;width:486.95pt;height:192.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571C2">
      <w:rPr>
        <w:lang w:val="da-DK"/>
      </w:rPr>
      <w:t xml:space="preserve">Draft </w:t>
    </w:r>
    <w:r w:rsidR="00B03382">
      <w:rPr>
        <w:lang w:val="da-DK"/>
      </w:rPr>
      <w:t>ECC/DEC/</w:t>
    </w:r>
    <w:r w:rsidR="00FA4704" w:rsidRPr="007C5F95">
      <w:rPr>
        <w:lang w:val="da-DK"/>
      </w:rPr>
      <w:t>(</w:t>
    </w:r>
    <w:r w:rsidR="00A51553">
      <w:rPr>
        <w:lang w:val="da-DK"/>
      </w:rPr>
      <w:t>26</w:t>
    </w:r>
    <w:r w:rsidR="00FA4704" w:rsidRPr="007C5F95">
      <w:rPr>
        <w:lang w:val="da-DK"/>
      </w:rPr>
      <w:t>)</w:t>
    </w:r>
    <w:r w:rsidR="00A51553">
      <w:rPr>
        <w:lang w:val="da-DK"/>
      </w:rPr>
      <w:t>01</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206E" w14:textId="085AB20F" w:rsidR="00FA4704" w:rsidRPr="007C5F95" w:rsidRDefault="003A2E43" w:rsidP="006C03D0">
    <w:pPr>
      <w:pStyle w:val="Header"/>
      <w:jc w:val="right"/>
      <w:rPr>
        <w:szCs w:val="16"/>
        <w:lang w:val="da-DK"/>
      </w:rPr>
    </w:pPr>
    <w:r>
      <w:rPr>
        <w:noProof/>
      </w:rPr>
      <w:pict w14:anchorId="78E1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2" o:spid="_x0000_s1027" type="#_x0000_t136" style="position:absolute;left:0;text-align:left;margin-left:0;margin-top:0;width:486.95pt;height:192.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65674">
      <w:rPr>
        <w:lang w:val="da-DK"/>
      </w:rPr>
      <w:t xml:space="preserve">Draft </w:t>
    </w:r>
    <w:r w:rsidR="00B03382">
      <w:rPr>
        <w:lang w:val="da-DK"/>
      </w:rPr>
      <w:t>ECC/DEC/</w:t>
    </w:r>
    <w:r w:rsidR="00FA4704" w:rsidRPr="007C5F95">
      <w:rPr>
        <w:lang w:val="da-DK"/>
      </w:rPr>
      <w:t>(</w:t>
    </w:r>
    <w:r w:rsidR="00727B25">
      <w:rPr>
        <w:lang w:val="da-DK"/>
      </w:rPr>
      <w:t>26</w:t>
    </w:r>
    <w:r w:rsidR="00FA4704" w:rsidRPr="007C5F95">
      <w:rPr>
        <w:lang w:val="da-DK"/>
      </w:rPr>
      <w:t>)</w:t>
    </w:r>
    <w:r w:rsidR="00727B25">
      <w:rPr>
        <w:lang w:val="da-DK"/>
      </w:rPr>
      <w:t>02</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C62D" w14:textId="2D94C0E8" w:rsidR="00FA4704" w:rsidRDefault="003A2E43">
    <w:pPr>
      <w:pStyle w:val="Header"/>
    </w:pPr>
    <w:r>
      <w:rPr>
        <w:noProof/>
      </w:rPr>
      <w:pict w14:anchorId="6B015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0" o:spid="_x0000_s1025" type="#_x0000_t136" style="position:absolute;margin-left:0;margin-top:0;width:486.95pt;height:192.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A4704">
      <w:rPr>
        <w:noProof/>
        <w:szCs w:val="20"/>
        <w:lang w:val="da-DK" w:eastAsia="da-DK"/>
      </w:rPr>
      <w:drawing>
        <wp:anchor distT="0" distB="0" distL="114300" distR="114300" simplePos="0" relativeHeight="251658240" behindDoc="0" locked="0" layoutInCell="1" allowOverlap="1" wp14:anchorId="388DA1F1" wp14:editId="2C8A7058">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A4704">
      <w:rPr>
        <w:noProof/>
        <w:szCs w:val="20"/>
        <w:lang w:val="da-DK" w:eastAsia="da-DK"/>
      </w:rPr>
      <w:drawing>
        <wp:anchor distT="0" distB="0" distL="114300" distR="114300" simplePos="0" relativeHeight="251657216" behindDoc="0" locked="0" layoutInCell="1" allowOverlap="1" wp14:anchorId="5604B8FC" wp14:editId="0E396D4C">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5E7"/>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0E0870B8"/>
    <w:multiLevelType w:val="hybridMultilevel"/>
    <w:tmpl w:val="0D5CBE5C"/>
    <w:lvl w:ilvl="0" w:tplc="6B4A692A">
      <w:start w:val="1"/>
      <w:numFmt w:val="decimal"/>
      <w:lvlText w:val="%1)"/>
      <w:lvlJc w:val="left"/>
      <w:pPr>
        <w:tabs>
          <w:tab w:val="num" w:pos="4547"/>
        </w:tabs>
        <w:ind w:left="4547" w:hanging="360"/>
      </w:pPr>
      <w:rPr>
        <w:rFonts w:hint="default"/>
      </w:rPr>
    </w:lvl>
    <w:lvl w:ilvl="1" w:tplc="04130019">
      <w:start w:val="1"/>
      <w:numFmt w:val="lowerLetter"/>
      <w:lvlText w:val="%2."/>
      <w:lvlJc w:val="left"/>
      <w:pPr>
        <w:tabs>
          <w:tab w:val="num" w:pos="5267"/>
        </w:tabs>
        <w:ind w:left="5267" w:hanging="360"/>
      </w:pPr>
    </w:lvl>
    <w:lvl w:ilvl="2" w:tplc="0413001B">
      <w:start w:val="1"/>
      <w:numFmt w:val="lowerRoman"/>
      <w:lvlText w:val="%3."/>
      <w:lvlJc w:val="right"/>
      <w:pPr>
        <w:tabs>
          <w:tab w:val="num" w:pos="5987"/>
        </w:tabs>
        <w:ind w:left="5987" w:hanging="180"/>
      </w:pPr>
    </w:lvl>
    <w:lvl w:ilvl="3" w:tplc="0413000F">
      <w:start w:val="1"/>
      <w:numFmt w:val="decimal"/>
      <w:lvlText w:val="%4."/>
      <w:lvlJc w:val="left"/>
      <w:pPr>
        <w:tabs>
          <w:tab w:val="num" w:pos="6707"/>
        </w:tabs>
        <w:ind w:left="6707" w:hanging="360"/>
      </w:pPr>
    </w:lvl>
    <w:lvl w:ilvl="4" w:tplc="04130019">
      <w:start w:val="1"/>
      <w:numFmt w:val="lowerLetter"/>
      <w:lvlText w:val="%5."/>
      <w:lvlJc w:val="left"/>
      <w:pPr>
        <w:tabs>
          <w:tab w:val="num" w:pos="7427"/>
        </w:tabs>
        <w:ind w:left="7427" w:hanging="360"/>
      </w:pPr>
    </w:lvl>
    <w:lvl w:ilvl="5" w:tplc="0413001B">
      <w:start w:val="1"/>
      <w:numFmt w:val="lowerRoman"/>
      <w:lvlText w:val="%6."/>
      <w:lvlJc w:val="right"/>
      <w:pPr>
        <w:tabs>
          <w:tab w:val="num" w:pos="8147"/>
        </w:tabs>
        <w:ind w:left="8147" w:hanging="180"/>
      </w:pPr>
    </w:lvl>
    <w:lvl w:ilvl="6" w:tplc="0413000F">
      <w:start w:val="1"/>
      <w:numFmt w:val="decimal"/>
      <w:lvlText w:val="%7."/>
      <w:lvlJc w:val="left"/>
      <w:pPr>
        <w:tabs>
          <w:tab w:val="num" w:pos="8867"/>
        </w:tabs>
        <w:ind w:left="8867" w:hanging="360"/>
      </w:pPr>
    </w:lvl>
    <w:lvl w:ilvl="7" w:tplc="04130019">
      <w:start w:val="1"/>
      <w:numFmt w:val="lowerLetter"/>
      <w:lvlText w:val="%8."/>
      <w:lvlJc w:val="left"/>
      <w:pPr>
        <w:tabs>
          <w:tab w:val="num" w:pos="9587"/>
        </w:tabs>
        <w:ind w:left="9587" w:hanging="360"/>
      </w:pPr>
    </w:lvl>
    <w:lvl w:ilvl="8" w:tplc="0413001B">
      <w:start w:val="1"/>
      <w:numFmt w:val="lowerRoman"/>
      <w:lvlText w:val="%9."/>
      <w:lvlJc w:val="right"/>
      <w:pPr>
        <w:tabs>
          <w:tab w:val="num" w:pos="10307"/>
        </w:tabs>
        <w:ind w:left="10307" w:hanging="180"/>
      </w:p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F17C3D"/>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163F7A"/>
    <w:multiLevelType w:val="multilevel"/>
    <w:tmpl w:val="2B7A3F4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4"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6"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31"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218">
    <w:abstractNumId w:val="18"/>
  </w:num>
  <w:num w:numId="2" w16cid:durableId="533269860">
    <w:abstractNumId w:val="28"/>
  </w:num>
  <w:num w:numId="3" w16cid:durableId="1283153144">
    <w:abstractNumId w:val="21"/>
  </w:num>
  <w:num w:numId="4" w16cid:durableId="1778452674">
    <w:abstractNumId w:val="7"/>
  </w:num>
  <w:num w:numId="5" w16cid:durableId="1017850345">
    <w:abstractNumId w:val="24"/>
  </w:num>
  <w:num w:numId="6" w16cid:durableId="1063022748">
    <w:abstractNumId w:val="15"/>
  </w:num>
  <w:num w:numId="7" w16cid:durableId="661851813">
    <w:abstractNumId w:val="13"/>
  </w:num>
  <w:num w:numId="8" w16cid:durableId="1069577348">
    <w:abstractNumId w:val="20"/>
  </w:num>
  <w:num w:numId="9" w16cid:durableId="1782720995">
    <w:abstractNumId w:val="19"/>
  </w:num>
  <w:num w:numId="10" w16cid:durableId="797648246">
    <w:abstractNumId w:val="16"/>
  </w:num>
  <w:num w:numId="11" w16cid:durableId="59712148">
    <w:abstractNumId w:val="20"/>
    <w:lvlOverride w:ilvl="0">
      <w:startOverride w:val="1"/>
    </w:lvlOverride>
  </w:num>
  <w:num w:numId="12" w16cid:durableId="770901190">
    <w:abstractNumId w:val="5"/>
  </w:num>
  <w:num w:numId="13" w16cid:durableId="1330019271">
    <w:abstractNumId w:val="3"/>
  </w:num>
  <w:num w:numId="14" w16cid:durableId="986127365">
    <w:abstractNumId w:val="26"/>
  </w:num>
  <w:num w:numId="15" w16cid:durableId="863907454">
    <w:abstractNumId w:val="25"/>
  </w:num>
  <w:num w:numId="16" w16cid:durableId="537622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935077">
    <w:abstractNumId w:val="11"/>
  </w:num>
  <w:num w:numId="18" w16cid:durableId="631710818">
    <w:abstractNumId w:val="12"/>
  </w:num>
  <w:num w:numId="19" w16cid:durableId="501435227">
    <w:abstractNumId w:val="27"/>
  </w:num>
  <w:num w:numId="20" w16cid:durableId="1174345504">
    <w:abstractNumId w:val="17"/>
  </w:num>
  <w:num w:numId="21" w16cid:durableId="494341050">
    <w:abstractNumId w:val="29"/>
  </w:num>
  <w:num w:numId="22" w16cid:durableId="167133290">
    <w:abstractNumId w:val="31"/>
  </w:num>
  <w:num w:numId="23" w16cid:durableId="1041973841">
    <w:abstractNumId w:val="1"/>
  </w:num>
  <w:num w:numId="24" w16cid:durableId="2072922001">
    <w:abstractNumId w:val="4"/>
  </w:num>
  <w:num w:numId="25" w16cid:durableId="1545865207">
    <w:abstractNumId w:val="2"/>
  </w:num>
  <w:num w:numId="26" w16cid:durableId="214243137">
    <w:abstractNumId w:val="14"/>
  </w:num>
  <w:num w:numId="27" w16cid:durableId="1796018800">
    <w:abstractNumId w:val="9"/>
  </w:num>
  <w:num w:numId="28" w16cid:durableId="570698806">
    <w:abstractNumId w:val="22"/>
  </w:num>
  <w:num w:numId="29" w16cid:durableId="118232160">
    <w:abstractNumId w:val="23"/>
  </w:num>
  <w:num w:numId="30" w16cid:durableId="447168846">
    <w:abstractNumId w:val="30"/>
  </w:num>
  <w:num w:numId="31" w16cid:durableId="216404538">
    <w:abstractNumId w:val="8"/>
  </w:num>
  <w:num w:numId="32" w16cid:durableId="1385065363">
    <w:abstractNumId w:val="10"/>
  </w:num>
  <w:num w:numId="33" w16cid:durableId="621812999">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4" w16cid:durableId="813983904">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5" w16cid:durableId="183901830">
    <w:abstractNumId w:val="22"/>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6" w16cid:durableId="267204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79194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3471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6968689">
    <w:abstractNumId w:val="25"/>
  </w:num>
  <w:num w:numId="40" w16cid:durableId="315766202">
    <w:abstractNumId w:val="6"/>
  </w:num>
  <w:num w:numId="41" w16cid:durableId="689063818">
    <w:abstractNumId w:val="25"/>
  </w:num>
  <w:num w:numId="42" w16cid:durableId="577011156">
    <w:abstractNumId w:val="0"/>
  </w:num>
  <w:num w:numId="43" w16cid:durableId="2083326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7F"/>
    <w:rsid w:val="000100FE"/>
    <w:rsid w:val="0002547D"/>
    <w:rsid w:val="00025738"/>
    <w:rsid w:val="00031379"/>
    <w:rsid w:val="00041975"/>
    <w:rsid w:val="0004561A"/>
    <w:rsid w:val="000571C2"/>
    <w:rsid w:val="000646DB"/>
    <w:rsid w:val="00072B81"/>
    <w:rsid w:val="00080A1A"/>
    <w:rsid w:val="000947C9"/>
    <w:rsid w:val="000968B0"/>
    <w:rsid w:val="000A668D"/>
    <w:rsid w:val="000B38A4"/>
    <w:rsid w:val="000B64AA"/>
    <w:rsid w:val="000B667D"/>
    <w:rsid w:val="000C183F"/>
    <w:rsid w:val="000C5A8C"/>
    <w:rsid w:val="000D46B3"/>
    <w:rsid w:val="000F3919"/>
    <w:rsid w:val="00127578"/>
    <w:rsid w:val="0013619B"/>
    <w:rsid w:val="00137561"/>
    <w:rsid w:val="001B1F5E"/>
    <w:rsid w:val="001C46EA"/>
    <w:rsid w:val="001E0C8D"/>
    <w:rsid w:val="001F56C8"/>
    <w:rsid w:val="0020171B"/>
    <w:rsid w:val="002242AB"/>
    <w:rsid w:val="0023686C"/>
    <w:rsid w:val="002741A5"/>
    <w:rsid w:val="0027560B"/>
    <w:rsid w:val="002A057C"/>
    <w:rsid w:val="002A5AE1"/>
    <w:rsid w:val="002C1988"/>
    <w:rsid w:val="002C355E"/>
    <w:rsid w:val="002C3E1C"/>
    <w:rsid w:val="002D122E"/>
    <w:rsid w:val="002F47F2"/>
    <w:rsid w:val="002F62B0"/>
    <w:rsid w:val="00314F38"/>
    <w:rsid w:val="00337EAB"/>
    <w:rsid w:val="003407EB"/>
    <w:rsid w:val="00370EBF"/>
    <w:rsid w:val="00381B08"/>
    <w:rsid w:val="003A2E43"/>
    <w:rsid w:val="003A3816"/>
    <w:rsid w:val="003B646E"/>
    <w:rsid w:val="003F3883"/>
    <w:rsid w:val="00406A59"/>
    <w:rsid w:val="00412E32"/>
    <w:rsid w:val="0041625A"/>
    <w:rsid w:val="00423CAF"/>
    <w:rsid w:val="00434323"/>
    <w:rsid w:val="00453C08"/>
    <w:rsid w:val="004611F7"/>
    <w:rsid w:val="0046313D"/>
    <w:rsid w:val="00475277"/>
    <w:rsid w:val="004A11EC"/>
    <w:rsid w:val="004C730D"/>
    <w:rsid w:val="004D4301"/>
    <w:rsid w:val="004D6E4A"/>
    <w:rsid w:val="005345D5"/>
    <w:rsid w:val="00547718"/>
    <w:rsid w:val="005567AA"/>
    <w:rsid w:val="00581657"/>
    <w:rsid w:val="00583EC8"/>
    <w:rsid w:val="005847AF"/>
    <w:rsid w:val="00597DA7"/>
    <w:rsid w:val="005A5C80"/>
    <w:rsid w:val="005B6AB9"/>
    <w:rsid w:val="005D58EC"/>
    <w:rsid w:val="005F17F6"/>
    <w:rsid w:val="005F1AAD"/>
    <w:rsid w:val="005F7AD5"/>
    <w:rsid w:val="006449C3"/>
    <w:rsid w:val="006645E5"/>
    <w:rsid w:val="00697937"/>
    <w:rsid w:val="006C03D0"/>
    <w:rsid w:val="0070052E"/>
    <w:rsid w:val="007111D8"/>
    <w:rsid w:val="00713DBA"/>
    <w:rsid w:val="00727B25"/>
    <w:rsid w:val="007A1967"/>
    <w:rsid w:val="007B4F67"/>
    <w:rsid w:val="007C6571"/>
    <w:rsid w:val="007D547D"/>
    <w:rsid w:val="007D6DC5"/>
    <w:rsid w:val="007E1838"/>
    <w:rsid w:val="007E23E4"/>
    <w:rsid w:val="00801EA4"/>
    <w:rsid w:val="008134CC"/>
    <w:rsid w:val="00820D4A"/>
    <w:rsid w:val="00831F0A"/>
    <w:rsid w:val="0083700E"/>
    <w:rsid w:val="00842B6C"/>
    <w:rsid w:val="00897B3E"/>
    <w:rsid w:val="008A7544"/>
    <w:rsid w:val="008C570F"/>
    <w:rsid w:val="008F5944"/>
    <w:rsid w:val="00914881"/>
    <w:rsid w:val="009250A6"/>
    <w:rsid w:val="00937643"/>
    <w:rsid w:val="00945C49"/>
    <w:rsid w:val="00995C49"/>
    <w:rsid w:val="009C7327"/>
    <w:rsid w:val="009D4C93"/>
    <w:rsid w:val="009E559E"/>
    <w:rsid w:val="00A1288C"/>
    <w:rsid w:val="00A15970"/>
    <w:rsid w:val="00A27EB8"/>
    <w:rsid w:val="00A41673"/>
    <w:rsid w:val="00A51553"/>
    <w:rsid w:val="00A65674"/>
    <w:rsid w:val="00A8085A"/>
    <w:rsid w:val="00A951CB"/>
    <w:rsid w:val="00AA7529"/>
    <w:rsid w:val="00AB40C7"/>
    <w:rsid w:val="00AC0B35"/>
    <w:rsid w:val="00AC784C"/>
    <w:rsid w:val="00AD64F9"/>
    <w:rsid w:val="00AE7ADC"/>
    <w:rsid w:val="00AF6350"/>
    <w:rsid w:val="00AF777B"/>
    <w:rsid w:val="00B03382"/>
    <w:rsid w:val="00B23041"/>
    <w:rsid w:val="00B2406C"/>
    <w:rsid w:val="00B46382"/>
    <w:rsid w:val="00B56AE9"/>
    <w:rsid w:val="00B60B3B"/>
    <w:rsid w:val="00B9545C"/>
    <w:rsid w:val="00BA1A58"/>
    <w:rsid w:val="00BD27BC"/>
    <w:rsid w:val="00BD327F"/>
    <w:rsid w:val="00C11F9C"/>
    <w:rsid w:val="00C1340F"/>
    <w:rsid w:val="00C15358"/>
    <w:rsid w:val="00C16583"/>
    <w:rsid w:val="00C308B8"/>
    <w:rsid w:val="00C40ED0"/>
    <w:rsid w:val="00C5088D"/>
    <w:rsid w:val="00C64D00"/>
    <w:rsid w:val="00C665E0"/>
    <w:rsid w:val="00CA49DE"/>
    <w:rsid w:val="00CB0507"/>
    <w:rsid w:val="00CC1B22"/>
    <w:rsid w:val="00CF0F39"/>
    <w:rsid w:val="00D00718"/>
    <w:rsid w:val="00D03DCD"/>
    <w:rsid w:val="00D14E6F"/>
    <w:rsid w:val="00D34AE4"/>
    <w:rsid w:val="00D64908"/>
    <w:rsid w:val="00D76C15"/>
    <w:rsid w:val="00D84B44"/>
    <w:rsid w:val="00D90B0A"/>
    <w:rsid w:val="00D95349"/>
    <w:rsid w:val="00DA090D"/>
    <w:rsid w:val="00DA0D24"/>
    <w:rsid w:val="00DC0568"/>
    <w:rsid w:val="00DC2345"/>
    <w:rsid w:val="00DC4AA8"/>
    <w:rsid w:val="00DC5DE1"/>
    <w:rsid w:val="00DF2042"/>
    <w:rsid w:val="00DF38DA"/>
    <w:rsid w:val="00E04185"/>
    <w:rsid w:val="00E0529B"/>
    <w:rsid w:val="00E36178"/>
    <w:rsid w:val="00E47DF5"/>
    <w:rsid w:val="00E65E22"/>
    <w:rsid w:val="00E73D39"/>
    <w:rsid w:val="00E7595D"/>
    <w:rsid w:val="00EB66B3"/>
    <w:rsid w:val="00F063B7"/>
    <w:rsid w:val="00F177F1"/>
    <w:rsid w:val="00F32EE8"/>
    <w:rsid w:val="00F61BF7"/>
    <w:rsid w:val="00F6308D"/>
    <w:rsid w:val="00F81582"/>
    <w:rsid w:val="00F832FD"/>
    <w:rsid w:val="00FA431B"/>
    <w:rsid w:val="00FA4704"/>
    <w:rsid w:val="00FC1A01"/>
    <w:rsid w:val="00FF303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237B340C"/>
  <w15:docId w15:val="{71B9A76B-47BD-4724-9FDF-85D6422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1F56C8"/>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81582"/>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1625A"/>
    <w:pPr>
      <w:spacing w:before="240" w:after="6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0B64AA"/>
    <w:pPr>
      <w:spacing w:after="0"/>
      <w:ind w:left="567" w:hanging="567"/>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BulletsLv1">
    <w:name w:val="ECC Bullets Lv1"/>
    <w:basedOn w:val="Normal"/>
    <w:qFormat/>
    <w:rsid w:val="000100FE"/>
    <w:pPr>
      <w:numPr>
        <w:numId w:val="25"/>
      </w:numPr>
      <w:tabs>
        <w:tab w:val="left" w:pos="340"/>
      </w:tabs>
      <w:spacing w:before="60"/>
      <w:ind w:left="340" w:hanging="340"/>
      <w:jc w:val="both"/>
    </w:pPr>
    <w:rPr>
      <w:rFonts w:eastAsia="Calibri"/>
      <w:szCs w:val="22"/>
      <w:lang w:val="en-GB"/>
    </w:rPr>
  </w:style>
  <w:style w:type="paragraph" w:customStyle="1" w:styleId="ECCReference">
    <w:name w:val="ECC Reference"/>
    <w:basedOn w:val="Normal"/>
    <w:qFormat/>
    <w:rsid w:val="000100FE"/>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0100FE"/>
    <w:pPr>
      <w:numPr>
        <w:numId w:val="27"/>
      </w:numPr>
      <w:shd w:val="solid" w:color="FFFF00" w:fill="auto"/>
      <w:spacing w:before="120" w:after="60"/>
      <w:jc w:val="both"/>
    </w:pPr>
    <w:rPr>
      <w:rFonts w:ascii="Arial" w:eastAsia="Calibri" w:hAnsi="Arial"/>
      <w:szCs w:val="22"/>
      <w:lang w:val="da-DK" w:eastAsia="de-DE"/>
    </w:rPr>
  </w:style>
  <w:style w:type="character" w:customStyle="1" w:styleId="ECCHLyellow">
    <w:name w:val="ECC HL yellow"/>
    <w:basedOn w:val="DefaultParagraphFont"/>
    <w:uiPriority w:val="1"/>
    <w:qFormat/>
    <w:rsid w:val="000100FE"/>
    <w:rPr>
      <w:rFonts w:ascii="Arial" w:eastAsia="Calibri" w:hAnsi="Arial"/>
      <w:i w:val="0"/>
      <w:sz w:val="20"/>
      <w:szCs w:val="22"/>
      <w:bdr w:val="none" w:sz="0" w:space="0" w:color="auto"/>
      <w:shd w:val="solid" w:color="FFFF00" w:fill="auto"/>
      <w:lang w:val="en-GB"/>
    </w:rPr>
  </w:style>
  <w:style w:type="character" w:styleId="CommentReference">
    <w:name w:val="annotation reference"/>
    <w:basedOn w:val="DefaultParagraphFont"/>
    <w:uiPriority w:val="99"/>
    <w:semiHidden/>
    <w:unhideWhenUsed/>
    <w:rsid w:val="000100FE"/>
    <w:rPr>
      <w:sz w:val="16"/>
      <w:szCs w:val="16"/>
    </w:rPr>
  </w:style>
  <w:style w:type="paragraph" w:styleId="CommentText">
    <w:name w:val="annotation text"/>
    <w:basedOn w:val="Normal"/>
    <w:link w:val="CommentTextChar"/>
    <w:uiPriority w:val="99"/>
    <w:unhideWhenUsed/>
    <w:rsid w:val="000100FE"/>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0100FE"/>
    <w:rPr>
      <w:rFonts w:ascii="Arial" w:eastAsia="Calibri" w:hAnsi="Arial"/>
    </w:rPr>
  </w:style>
  <w:style w:type="paragraph" w:styleId="CommentSubject">
    <w:name w:val="annotation subject"/>
    <w:basedOn w:val="CommentText"/>
    <w:next w:val="CommentText"/>
    <w:link w:val="CommentSubjectChar"/>
    <w:uiPriority w:val="99"/>
    <w:semiHidden/>
    <w:unhideWhenUsed/>
    <w:rsid w:val="000100FE"/>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0100FE"/>
    <w:rPr>
      <w:rFonts w:ascii="Arial" w:eastAsia="Calibri" w:hAnsi="Arial"/>
      <w:b/>
      <w:bCs/>
      <w:lang w:val="en-US"/>
    </w:rPr>
  </w:style>
  <w:style w:type="character" w:styleId="PlaceholderText">
    <w:name w:val="Placeholder Text"/>
    <w:basedOn w:val="DefaultParagraphFont"/>
    <w:uiPriority w:val="99"/>
    <w:semiHidden/>
    <w:rsid w:val="005F17F6"/>
    <w:rPr>
      <w:color w:val="808080"/>
    </w:rPr>
  </w:style>
  <w:style w:type="paragraph" w:customStyle="1" w:styleId="ECCHLboldanditalics">
    <w:name w:val="ECC HL bold and italics"/>
    <w:basedOn w:val="Normal"/>
    <w:qFormat/>
    <w:rsid w:val="008F5944"/>
    <w:pPr>
      <w:spacing w:before="240" w:after="60"/>
      <w:jc w:val="both"/>
    </w:pPr>
    <w:rPr>
      <w:rFonts w:eastAsia="Calibri"/>
      <w:b/>
      <w:bCs/>
      <w:i/>
      <w:szCs w:val="30"/>
      <w:lang w:val="en-GB"/>
    </w:rPr>
  </w:style>
  <w:style w:type="paragraph" w:customStyle="1" w:styleId="ECCAnnexheading1">
    <w:name w:val="ECC Annex heading1"/>
    <w:next w:val="Normal"/>
    <w:autoRedefine/>
    <w:qFormat/>
    <w:rsid w:val="006645E5"/>
    <w:pPr>
      <w:keepNext/>
      <w:pageBreakBefore/>
      <w:spacing w:before="240" w:after="60"/>
      <w:jc w:val="both"/>
      <w:outlineLvl w:val="0"/>
    </w:pPr>
    <w:rPr>
      <w:rFonts w:ascii="Arial" w:hAnsi="Arial"/>
      <w:b/>
      <w:caps/>
      <w:color w:val="D2232A"/>
      <w:lang w:val="da-DK"/>
    </w:rPr>
  </w:style>
  <w:style w:type="paragraph" w:styleId="Caption">
    <w:name w:val="caption"/>
    <w:aliases w:val="ECC Figure Caption,ECC Caption,Ca,Figure-caption,CAPTION,Figure Caption,Figure-caption1,CAPTION1,Figure Caption1,Figure-caption2,CAPTION2,Figure Caption2,Figure-caption3,CAPTION3,Figure Caption3,Figure-caption4,CAPTION4,Figure Caption4"/>
    <w:next w:val="Normal"/>
    <w:link w:val="CaptionChar"/>
    <w:uiPriority w:val="99"/>
    <w:qFormat/>
    <w:rsid w:val="006645E5"/>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6645E5"/>
    <w:pPr>
      <w:numPr>
        <w:numId w:val="0"/>
      </w:numPr>
      <w:tabs>
        <w:tab w:val="left" w:pos="680"/>
      </w:tabs>
      <w:ind w:left="680" w:hanging="340"/>
    </w:pPr>
  </w:style>
  <w:style w:type="paragraph" w:customStyle="1" w:styleId="ECCBulletsLv3">
    <w:name w:val="ECC Bullets Lv3"/>
    <w:basedOn w:val="ECCBulletsLv1"/>
    <w:rsid w:val="006645E5"/>
    <w:pPr>
      <w:numPr>
        <w:numId w:val="0"/>
      </w:numPr>
      <w:tabs>
        <w:tab w:val="left" w:pos="1021"/>
      </w:tabs>
      <w:ind w:left="1020" w:hanging="340"/>
    </w:pPr>
  </w:style>
  <w:style w:type="paragraph" w:customStyle="1" w:styleId="ECCLetteredList">
    <w:name w:val="ECC Lettered List"/>
    <w:qFormat/>
    <w:rsid w:val="006645E5"/>
    <w:pPr>
      <w:numPr>
        <w:numId w:val="28"/>
      </w:numPr>
      <w:spacing w:before="240"/>
      <w:jc w:val="both"/>
    </w:pPr>
    <w:rPr>
      <w:rFonts w:ascii="Arial" w:hAnsi="Arial"/>
    </w:rPr>
  </w:style>
  <w:style w:type="paragraph" w:customStyle="1" w:styleId="ECCFiguregraphcentred">
    <w:name w:val="ECC Figure/graph centred"/>
    <w:next w:val="Normal"/>
    <w:qFormat/>
    <w:rsid w:val="006645E5"/>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6645E5"/>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6645E5"/>
    <w:pPr>
      <w:keepNext/>
      <w:spacing w:after="60"/>
    </w:pPr>
    <w:rPr>
      <w:rFonts w:eastAsia="Calibri"/>
      <w:szCs w:val="22"/>
      <w:lang w:val="en-GB"/>
    </w:rPr>
  </w:style>
  <w:style w:type="paragraph" w:customStyle="1" w:styleId="ECCHeadingnonumbering">
    <w:name w:val="ECC Heading no numbering"/>
    <w:next w:val="NormalWeb"/>
    <w:rsid w:val="006645E5"/>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6645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ECC Caption Char,Ca Char,Figure-caption Char,CAPTION Char,Figure Caption Char,Figure-caption1 Char,CAPTION1 Char,Figure Caption1 Char,Figure-caption2 Char,CAPTION2 Char,Figure Caption2 Char,Figure-caption3 Char"/>
    <w:link w:val="Caption"/>
    <w:uiPriority w:val="99"/>
    <w:qFormat/>
    <w:rsid w:val="006645E5"/>
    <w:rPr>
      <w:rFonts w:ascii="Arial" w:hAnsi="Arial"/>
      <w:b/>
      <w:bCs/>
      <w:color w:val="D2232A"/>
      <w:lang w:val="da-DK"/>
    </w:rPr>
  </w:style>
  <w:style w:type="paragraph" w:styleId="NormalWeb">
    <w:name w:val="Normal (Web)"/>
    <w:basedOn w:val="Normal"/>
    <w:uiPriority w:val="99"/>
    <w:semiHidden/>
    <w:unhideWhenUsed/>
    <w:rsid w:val="006645E5"/>
    <w:pPr>
      <w:spacing w:before="240" w:after="60"/>
      <w:jc w:val="both"/>
    </w:pPr>
    <w:rPr>
      <w:rFonts w:ascii="Times New Roman" w:eastAsia="Calibri" w:hAnsi="Times New Roman"/>
      <w:sz w:val="24"/>
      <w:lang w:val="en-GB"/>
    </w:rPr>
  </w:style>
  <w:style w:type="paragraph" w:customStyle="1" w:styleId="ECCNumberedlist0">
    <w:name w:val="ECC Numbered list"/>
    <w:aliases w:val="level 2"/>
    <w:basedOn w:val="ECCAnnexheading3"/>
    <w:qFormat/>
    <w:rsid w:val="006645E5"/>
    <w:pPr>
      <w:keepNext/>
      <w:numPr>
        <w:ilvl w:val="0"/>
        <w:numId w:val="0"/>
      </w:numPr>
      <w:tabs>
        <w:tab w:val="num" w:pos="720"/>
      </w:tabs>
      <w:spacing w:after="60"/>
      <w:ind w:left="720" w:hanging="720"/>
      <w:jc w:val="both"/>
      <w:outlineLvl w:val="2"/>
    </w:pPr>
    <w:rPr>
      <w:szCs w:val="20"/>
      <w:lang w:val="en-GB"/>
    </w:rPr>
  </w:style>
  <w:style w:type="paragraph" w:customStyle="1" w:styleId="ECCNumberedListlevel2">
    <w:name w:val="ECC Numbered List level 2"/>
    <w:qFormat/>
    <w:rsid w:val="006645E5"/>
    <w:pPr>
      <w:tabs>
        <w:tab w:val="num" w:pos="680"/>
      </w:tabs>
      <w:spacing w:before="240"/>
      <w:ind w:left="680" w:hanging="340"/>
      <w:jc w:val="both"/>
    </w:pPr>
    <w:rPr>
      <w:rFonts w:eastAsia="Calibri"/>
    </w:rPr>
  </w:style>
  <w:style w:type="paragraph" w:customStyle="1" w:styleId="ECCLetteredListLevel2">
    <w:name w:val="ECC Lettered List Level 2"/>
    <w:basedOn w:val="ECCLetteredList"/>
    <w:qFormat/>
    <w:rsid w:val="006645E5"/>
    <w:pPr>
      <w:numPr>
        <w:ilvl w:val="1"/>
      </w:numPr>
    </w:pPr>
  </w:style>
  <w:style w:type="character" w:styleId="UnresolvedMention">
    <w:name w:val="Unresolved Mention"/>
    <w:basedOn w:val="DefaultParagraphFont"/>
    <w:uiPriority w:val="99"/>
    <w:semiHidden/>
    <w:unhideWhenUsed/>
    <w:rsid w:val="008C570F"/>
    <w:rPr>
      <w:color w:val="605E5C"/>
      <w:shd w:val="clear" w:color="auto" w:fill="E1DFDD"/>
    </w:rPr>
  </w:style>
  <w:style w:type="character" w:customStyle="1" w:styleId="FootnoteTextChar">
    <w:name w:val="Footnote Text Char"/>
    <w:basedOn w:val="DefaultParagraphFont"/>
    <w:link w:val="FootnoteText"/>
    <w:uiPriority w:val="99"/>
    <w:qFormat/>
    <w:locked/>
    <w:rsid w:val="002F47F2"/>
    <w:rPr>
      <w:rFonts w:ascii="Arial" w:hAnsi="Arial"/>
      <w:lang w:val="en-US"/>
    </w:rPr>
  </w:style>
  <w:style w:type="paragraph" w:styleId="Revision">
    <w:name w:val="Revision"/>
    <w:hidden/>
    <w:uiPriority w:val="99"/>
    <w:semiHidden/>
    <w:rsid w:val="00C15358"/>
    <w:rPr>
      <w:rFonts w:ascii="Arial" w:hAnsi="Arial"/>
      <w:szCs w:val="24"/>
      <w:lang w:val="en-US"/>
    </w:rPr>
  </w:style>
  <w:style w:type="character" w:customStyle="1" w:styleId="Heading1Char">
    <w:name w:val="Heading 1 Char"/>
    <w:aliases w:val="ECC Heading 1 Char"/>
    <w:basedOn w:val="DefaultParagraphFont"/>
    <w:link w:val="Heading1"/>
    <w:rsid w:val="001F56C8"/>
    <w:rPr>
      <w:rFonts w:ascii="Arial" w:hAnsi="Arial" w:cs="Arial"/>
      <w:b/>
      <w:bCs/>
      <w:caps/>
      <w:color w:val="D2232A"/>
      <w:kern w:val="32"/>
      <w:szCs w:val="32"/>
    </w:rPr>
  </w:style>
  <w:style w:type="character" w:styleId="Mention">
    <w:name w:val="Mention"/>
    <w:basedOn w:val="DefaultParagraphFont"/>
    <w:uiPriority w:val="99"/>
    <w:unhideWhenUsed/>
    <w:rsid w:val="008A75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pt.org/eco"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fonso\Downloads\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2F22-AEC0-46E1-B01C-240E6B0D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38</TotalTime>
  <Pages>7</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10838</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(26)01</dc:title>
  <dc:creator>ECC</dc:creator>
  <cp:keywords>Draft ECC Decision (26)01</cp:keywords>
  <dc:description>This template is used as guidance to draft ECC Reports.</dc:description>
  <cp:lastModifiedBy>ECO</cp:lastModifiedBy>
  <cp:revision>50</cp:revision>
  <cp:lastPrinted>1901-01-01T00:00:00Z</cp:lastPrinted>
  <dcterms:created xsi:type="dcterms:W3CDTF">2026-06-03T06:26:00Z</dcterms:created>
  <dcterms:modified xsi:type="dcterms:W3CDTF">2026-06-09T13:25:00Z</dcterms:modified>
</cp:coreProperties>
</file>