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3732" w14:textId="719DCE3C" w:rsidR="00C74BE6" w:rsidRPr="005E09D6" w:rsidRDefault="00C74BE6" w:rsidP="005E09D6">
      <w:pPr>
        <w:pStyle w:val="Heading4"/>
      </w:pPr>
    </w:p>
    <w:p w14:paraId="32157F83" w14:textId="77777777" w:rsidR="00C74BE6" w:rsidRPr="00B24357" w:rsidRDefault="00C74BE6" w:rsidP="00C74BE6">
      <w:pPr>
        <w:jc w:val="center"/>
        <w:rPr>
          <w:lang w:val="en-GB"/>
        </w:rPr>
      </w:pPr>
    </w:p>
    <w:p w14:paraId="7DC99249" w14:textId="77777777" w:rsidR="00C74BE6" w:rsidRPr="00B24357" w:rsidRDefault="00C74BE6" w:rsidP="00C74BE6">
      <w:pPr>
        <w:jc w:val="center"/>
        <w:rPr>
          <w:lang w:val="en-GB"/>
        </w:rPr>
      </w:pPr>
    </w:p>
    <w:p w14:paraId="38FE0896" w14:textId="77777777" w:rsidR="00C74BE6" w:rsidRPr="00B24357" w:rsidRDefault="00C74BE6" w:rsidP="00C74BE6">
      <w:pPr>
        <w:rPr>
          <w:lang w:val="en-GB"/>
        </w:rPr>
      </w:pPr>
    </w:p>
    <w:p w14:paraId="049C24F5" w14:textId="77777777" w:rsidR="00C74BE6" w:rsidRPr="00B24357" w:rsidRDefault="00C74BE6" w:rsidP="00C74BE6">
      <w:pPr>
        <w:rPr>
          <w:lang w:val="en-GB"/>
        </w:rPr>
      </w:pPr>
    </w:p>
    <w:p w14:paraId="754282E6" w14:textId="77777777" w:rsidR="00C74BE6" w:rsidRPr="00B24357" w:rsidRDefault="00FD3FA4" w:rsidP="00C74BE6">
      <w:pPr>
        <w:jc w:val="center"/>
        <w:rPr>
          <w:b/>
          <w:sz w:val="24"/>
          <w:lang w:val="en-GB"/>
        </w:rPr>
      </w:pPr>
      <w:r w:rsidRPr="00B24357">
        <w:rPr>
          <w:b/>
          <w:noProof/>
          <w:sz w:val="24"/>
          <w:szCs w:val="20"/>
          <w:lang w:val="en-GB" w:eastAsia="de-DE"/>
        </w:rPr>
        <mc:AlternateContent>
          <mc:Choice Requires="wpg">
            <w:drawing>
              <wp:anchor distT="0" distB="0" distL="114300" distR="114300" simplePos="0" relativeHeight="251658240" behindDoc="0" locked="0" layoutInCell="1" allowOverlap="1" wp14:anchorId="251BCAFC" wp14:editId="3646DAF9">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06276" w14:textId="2614820D" w:rsidR="00176452" w:rsidRPr="00C95C7C" w:rsidRDefault="00176452" w:rsidP="00C74BE6">
                              <w:pPr>
                                <w:rPr>
                                  <w:color w:val="FFFFFF"/>
                                  <w:sz w:val="68"/>
                                </w:rPr>
                              </w:pPr>
                              <w:r w:rsidRPr="00C95C7C">
                                <w:rPr>
                                  <w:color w:val="FFFFFF"/>
                                  <w:sz w:val="68"/>
                                </w:rPr>
                                <w:t xml:space="preserve">ECC Recommendation </w:t>
                              </w:r>
                              <w:r w:rsidRPr="002C6AA9">
                                <w:rPr>
                                  <w:color w:val="887E6E"/>
                                  <w:sz w:val="68"/>
                                </w:rPr>
                                <w:t>(</w:t>
                              </w:r>
                              <w:r>
                                <w:rPr>
                                  <w:color w:val="887E6E"/>
                                  <w:sz w:val="68"/>
                                </w:rPr>
                                <w:t>2</w:t>
                              </w:r>
                              <w:r w:rsidR="009171D1">
                                <w:rPr>
                                  <w:color w:val="887E6E"/>
                                  <w:sz w:val="68"/>
                                </w:rPr>
                                <w:t>6</w:t>
                              </w:r>
                              <w:r w:rsidRPr="002C6AA9">
                                <w:rPr>
                                  <w:color w:val="887E6E"/>
                                  <w:sz w:val="68"/>
                                </w:rPr>
                                <w:t>)</w:t>
                              </w:r>
                              <w:r w:rsidR="00611D2C">
                                <w:rPr>
                                  <w:color w:val="887E6E"/>
                                  <w:sz w:val="68"/>
                                </w:rPr>
                                <w:t>04</w:t>
                              </w:r>
                            </w:p>
                            <w:p w14:paraId="14DE2807" w14:textId="77777777" w:rsidR="00176452" w:rsidRPr="00C95C7C" w:rsidRDefault="00176452"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1BCAFC" id="Group 31"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46506276" w14:textId="2614820D" w:rsidR="00176452" w:rsidRPr="00C95C7C" w:rsidRDefault="00176452" w:rsidP="00C74BE6">
                        <w:pPr>
                          <w:rPr>
                            <w:color w:val="FFFFFF"/>
                            <w:sz w:val="68"/>
                          </w:rPr>
                        </w:pPr>
                        <w:r w:rsidRPr="00C95C7C">
                          <w:rPr>
                            <w:color w:val="FFFFFF"/>
                            <w:sz w:val="68"/>
                          </w:rPr>
                          <w:t xml:space="preserve">ECC Recommendation </w:t>
                        </w:r>
                        <w:r w:rsidRPr="002C6AA9">
                          <w:rPr>
                            <w:color w:val="887E6E"/>
                            <w:sz w:val="68"/>
                          </w:rPr>
                          <w:t>(</w:t>
                        </w:r>
                        <w:r>
                          <w:rPr>
                            <w:color w:val="887E6E"/>
                            <w:sz w:val="68"/>
                          </w:rPr>
                          <w:t>2</w:t>
                        </w:r>
                        <w:r w:rsidR="009171D1">
                          <w:rPr>
                            <w:color w:val="887E6E"/>
                            <w:sz w:val="68"/>
                          </w:rPr>
                          <w:t>6</w:t>
                        </w:r>
                        <w:r w:rsidRPr="002C6AA9">
                          <w:rPr>
                            <w:color w:val="887E6E"/>
                            <w:sz w:val="68"/>
                          </w:rPr>
                          <w:t>)</w:t>
                        </w:r>
                        <w:r w:rsidR="00611D2C">
                          <w:rPr>
                            <w:color w:val="887E6E"/>
                            <w:sz w:val="68"/>
                          </w:rPr>
                          <w:t>04</w:t>
                        </w:r>
                      </w:p>
                      <w:p w14:paraId="14DE2807" w14:textId="77777777" w:rsidR="00176452" w:rsidRPr="00C95C7C" w:rsidRDefault="00176452"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13A49EBA" w14:textId="77777777" w:rsidR="00C74BE6" w:rsidRPr="00B24357" w:rsidRDefault="00C74BE6" w:rsidP="00C74BE6">
      <w:pPr>
        <w:jc w:val="center"/>
        <w:rPr>
          <w:b/>
          <w:sz w:val="24"/>
          <w:lang w:val="en-GB"/>
        </w:rPr>
      </w:pPr>
    </w:p>
    <w:p w14:paraId="2D6A1213" w14:textId="77777777" w:rsidR="00C74BE6" w:rsidRPr="00B24357" w:rsidRDefault="00C74BE6" w:rsidP="00C74BE6">
      <w:pPr>
        <w:jc w:val="center"/>
        <w:rPr>
          <w:b/>
          <w:sz w:val="24"/>
          <w:lang w:val="en-GB"/>
        </w:rPr>
      </w:pPr>
    </w:p>
    <w:p w14:paraId="594427D6" w14:textId="77777777" w:rsidR="00C74BE6" w:rsidRPr="00B24357" w:rsidRDefault="00C74BE6" w:rsidP="00C74BE6">
      <w:pPr>
        <w:jc w:val="center"/>
        <w:rPr>
          <w:b/>
          <w:sz w:val="24"/>
          <w:lang w:val="en-GB"/>
        </w:rPr>
      </w:pPr>
    </w:p>
    <w:p w14:paraId="26B91AC7" w14:textId="77777777" w:rsidR="00C74BE6" w:rsidRPr="00B24357" w:rsidRDefault="00C74BE6" w:rsidP="00C74BE6">
      <w:pPr>
        <w:jc w:val="center"/>
        <w:rPr>
          <w:b/>
          <w:sz w:val="24"/>
          <w:lang w:val="en-GB"/>
        </w:rPr>
      </w:pPr>
    </w:p>
    <w:p w14:paraId="26451C8F" w14:textId="77777777" w:rsidR="00C74BE6" w:rsidRPr="00B24357" w:rsidRDefault="00C74BE6" w:rsidP="00C74BE6">
      <w:pPr>
        <w:jc w:val="center"/>
        <w:rPr>
          <w:b/>
          <w:sz w:val="24"/>
          <w:lang w:val="en-GB"/>
        </w:rPr>
      </w:pPr>
    </w:p>
    <w:p w14:paraId="446572BD" w14:textId="77777777" w:rsidR="00C74BE6" w:rsidRPr="00B24357" w:rsidRDefault="00C74BE6" w:rsidP="00C74BE6">
      <w:pPr>
        <w:jc w:val="center"/>
        <w:rPr>
          <w:b/>
          <w:sz w:val="24"/>
          <w:lang w:val="en-GB"/>
        </w:rPr>
      </w:pPr>
    </w:p>
    <w:p w14:paraId="02EF9FDF" w14:textId="77777777" w:rsidR="00C74BE6" w:rsidRPr="00B24357" w:rsidRDefault="00C74BE6" w:rsidP="00C74BE6">
      <w:pPr>
        <w:jc w:val="center"/>
        <w:rPr>
          <w:b/>
          <w:sz w:val="24"/>
          <w:lang w:val="en-GB"/>
        </w:rPr>
      </w:pPr>
    </w:p>
    <w:p w14:paraId="3DD4CE02" w14:textId="77777777" w:rsidR="00C74BE6" w:rsidRPr="00B24357" w:rsidRDefault="00C74BE6" w:rsidP="00C74BE6">
      <w:pPr>
        <w:jc w:val="center"/>
        <w:rPr>
          <w:b/>
          <w:sz w:val="24"/>
          <w:lang w:val="en-GB"/>
        </w:rPr>
      </w:pPr>
    </w:p>
    <w:p w14:paraId="27EFEBB6" w14:textId="77777777" w:rsidR="00C74BE6" w:rsidRPr="00B24357" w:rsidRDefault="00C74BE6" w:rsidP="00C74BE6">
      <w:pPr>
        <w:jc w:val="center"/>
        <w:rPr>
          <w:b/>
          <w:sz w:val="24"/>
          <w:lang w:val="en-GB"/>
        </w:rPr>
      </w:pPr>
    </w:p>
    <w:p w14:paraId="3A326C73" w14:textId="77777777" w:rsidR="00C74BE6" w:rsidRPr="00B24357" w:rsidRDefault="00C74BE6" w:rsidP="00C74BE6">
      <w:pPr>
        <w:jc w:val="center"/>
        <w:rPr>
          <w:b/>
          <w:sz w:val="24"/>
          <w:lang w:val="en-GB"/>
        </w:rPr>
      </w:pPr>
    </w:p>
    <w:p w14:paraId="3B774E9F" w14:textId="77777777" w:rsidR="00C74BE6" w:rsidRPr="00B24357" w:rsidRDefault="00C74BE6" w:rsidP="00C74BE6">
      <w:pPr>
        <w:rPr>
          <w:b/>
          <w:sz w:val="24"/>
          <w:lang w:val="en-GB"/>
        </w:rPr>
      </w:pPr>
    </w:p>
    <w:p w14:paraId="6B0FF13E" w14:textId="77777777" w:rsidR="00C74BE6" w:rsidRPr="00B24357" w:rsidRDefault="00C74BE6" w:rsidP="00C74BE6">
      <w:pPr>
        <w:jc w:val="center"/>
        <w:rPr>
          <w:b/>
          <w:sz w:val="24"/>
          <w:lang w:val="en-GB"/>
        </w:rPr>
      </w:pPr>
    </w:p>
    <w:p w14:paraId="5DA6BC4D" w14:textId="0A8B227B" w:rsidR="00C74BE6" w:rsidRPr="00B24357" w:rsidRDefault="009171D1" w:rsidP="000F7B84">
      <w:pPr>
        <w:pStyle w:val="Reporttitledescription"/>
        <w:jc w:val="both"/>
        <w:rPr>
          <w:lang w:val="en-GB"/>
        </w:rPr>
      </w:pPr>
      <w:r w:rsidRPr="009171D1">
        <w:rPr>
          <w:lang w:val="en-GB"/>
        </w:rPr>
        <w:t xml:space="preserve">Guidance related to the authorisation and/or renewal of </w:t>
      </w:r>
      <w:r w:rsidR="00B440D3" w:rsidRPr="00B440D3">
        <w:rPr>
          <w:lang w:val="en-GB"/>
        </w:rPr>
        <w:t xml:space="preserve">Mobile-Satellite Service </w:t>
      </w:r>
      <w:r w:rsidR="00B440D3">
        <w:rPr>
          <w:lang w:val="en-GB"/>
        </w:rPr>
        <w:t>(MSS)</w:t>
      </w:r>
      <w:r w:rsidRPr="009171D1">
        <w:rPr>
          <w:lang w:val="en-GB"/>
        </w:rPr>
        <w:t xml:space="preserve"> satellite </w:t>
      </w:r>
      <w:r w:rsidR="001D041A">
        <w:rPr>
          <w:lang w:val="en-GB"/>
        </w:rPr>
        <w:t>system</w:t>
      </w:r>
      <w:r w:rsidR="00B440D3">
        <w:rPr>
          <w:lang w:val="en-GB"/>
        </w:rPr>
        <w:t>s</w:t>
      </w:r>
      <w:r w:rsidR="00053843">
        <w:rPr>
          <w:lang w:val="en-GB"/>
        </w:rPr>
        <w:t xml:space="preserve"> operating downlinks within 1613.8-1626.5 MHz (space-to-Earth)</w:t>
      </w:r>
      <w:r w:rsidRPr="009171D1">
        <w:rPr>
          <w:lang w:val="en-GB"/>
        </w:rPr>
        <w:t xml:space="preserve"> as per ECC/DEC/(09)02 and </w:t>
      </w:r>
      <w:proofErr w:type="gramStart"/>
      <w:r w:rsidRPr="009171D1">
        <w:rPr>
          <w:lang w:val="en-GB"/>
        </w:rPr>
        <w:t>potential</w:t>
      </w:r>
      <w:proofErr w:type="gramEnd"/>
      <w:r w:rsidRPr="009171D1">
        <w:rPr>
          <w:lang w:val="en-GB"/>
        </w:rPr>
        <w:t xml:space="preserve"> relevant mechanisms to deal with non-compliance in a coordinated action of CEPT administrations</w:t>
      </w:r>
    </w:p>
    <w:p w14:paraId="6092BBA6" w14:textId="47BF886C" w:rsidR="00C74BE6" w:rsidRPr="00B24357" w:rsidRDefault="00611D2C" w:rsidP="00C74BE6">
      <w:pPr>
        <w:pStyle w:val="Reporttitledescription"/>
        <w:rPr>
          <w:b/>
          <w:sz w:val="18"/>
          <w:lang w:val="en-GB"/>
        </w:rPr>
      </w:pPr>
      <w:r>
        <w:rPr>
          <w:b/>
          <w:sz w:val="18"/>
          <w:lang w:val="en-GB"/>
        </w:rPr>
        <w:fldChar w:fldCharType="begin">
          <w:ffData>
            <w:name w:val="Text8"/>
            <w:enabled/>
            <w:calcOnExit w:val="0"/>
            <w:textInput>
              <w:default w:val="approved DD Month YYYY"/>
            </w:textInput>
          </w:ffData>
        </w:fldChar>
      </w:r>
      <w:bookmarkStart w:id="0" w:name="Text8"/>
      <w:r>
        <w:rPr>
          <w:b/>
          <w:sz w:val="18"/>
          <w:lang w:val="en-GB"/>
        </w:rPr>
        <w:instrText xml:space="preserve"> FORMTEXT </w:instrText>
      </w:r>
      <w:r>
        <w:rPr>
          <w:b/>
          <w:sz w:val="18"/>
          <w:lang w:val="en-GB"/>
        </w:rPr>
      </w:r>
      <w:r>
        <w:rPr>
          <w:b/>
          <w:sz w:val="18"/>
          <w:lang w:val="en-GB"/>
        </w:rPr>
        <w:fldChar w:fldCharType="separate"/>
      </w:r>
      <w:r>
        <w:rPr>
          <w:b/>
          <w:noProof/>
          <w:sz w:val="18"/>
          <w:lang w:val="en-GB"/>
        </w:rPr>
        <w:t>approved DD Month YYYY</w:t>
      </w:r>
      <w:r>
        <w:rPr>
          <w:b/>
          <w:sz w:val="18"/>
          <w:lang w:val="en-GB"/>
        </w:rPr>
        <w:fldChar w:fldCharType="end"/>
      </w:r>
      <w:bookmarkEnd w:id="0"/>
      <w:r w:rsidR="00C74BE6" w:rsidRPr="00B24357">
        <w:rPr>
          <w:b/>
          <w:sz w:val="18"/>
          <w:lang w:val="en-GB"/>
        </w:rPr>
        <w:tab/>
      </w:r>
    </w:p>
    <w:p w14:paraId="7835BBCC" w14:textId="77777777" w:rsidR="00C74BE6" w:rsidRPr="00B24357" w:rsidRDefault="00C74BE6">
      <w:pPr>
        <w:rPr>
          <w:lang w:val="en-GB"/>
        </w:rPr>
      </w:pPr>
    </w:p>
    <w:p w14:paraId="407281E9" w14:textId="77777777" w:rsidR="00203E66" w:rsidRPr="00CC4B41" w:rsidRDefault="00203E66">
      <w:pPr>
        <w:rPr>
          <w:lang w:val="en-GB"/>
        </w:rPr>
        <w:sectPr w:rsidR="00203E66" w:rsidRPr="00CC4B41">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03EEAAC7" w14:textId="77777777" w:rsidR="00C74BE6" w:rsidRPr="00CC4B41" w:rsidRDefault="00835C5B" w:rsidP="00361F6B">
      <w:pPr>
        <w:pStyle w:val="Heading1"/>
      </w:pPr>
      <w:r w:rsidRPr="00CC4B41">
        <w:lastRenderedPageBreak/>
        <w:t>introduction</w:t>
      </w:r>
    </w:p>
    <w:p w14:paraId="761A53AE" w14:textId="6B440B94" w:rsidR="009171D1" w:rsidRDefault="009171D1" w:rsidP="0059243D">
      <w:pPr>
        <w:pStyle w:val="ECCParagraph"/>
      </w:pPr>
      <w:r>
        <w:t xml:space="preserve">This </w:t>
      </w:r>
      <w:r w:rsidRPr="009171D1">
        <w:t xml:space="preserve">Recommendation </w:t>
      </w:r>
      <w:r>
        <w:t xml:space="preserve">has been </w:t>
      </w:r>
      <w:r w:rsidRPr="009171D1">
        <w:t xml:space="preserve">developed on the basis of ECC Decision (09)02 </w:t>
      </w:r>
      <w:r w:rsidR="004148D4">
        <w:fldChar w:fldCharType="begin"/>
      </w:r>
      <w:r w:rsidR="004148D4">
        <w:instrText xml:space="preserve"> REF _Ref230608236 \r \h </w:instrText>
      </w:r>
      <w:r w:rsidR="004148D4">
        <w:fldChar w:fldCharType="separate"/>
      </w:r>
      <w:r w:rsidR="004148D4">
        <w:t>[1]</w:t>
      </w:r>
      <w:r w:rsidR="004148D4">
        <w:fldChar w:fldCharType="end"/>
      </w:r>
      <w:r w:rsidR="004148D4">
        <w:t xml:space="preserve"> </w:t>
      </w:r>
      <w:r w:rsidRPr="009171D1">
        <w:t>on the harmonisation of the bands 1610-1626.5 MHz and 2483.5-2500 MHz for use by systems in the Mobile-Satellite Service</w:t>
      </w:r>
      <w:r w:rsidR="00B440D3">
        <w:t xml:space="preserve"> (MSS)</w:t>
      </w:r>
      <w:r w:rsidRPr="009171D1">
        <w:t xml:space="preserve">, and </w:t>
      </w:r>
      <w:r>
        <w:t xml:space="preserve">provides guidance </w:t>
      </w:r>
      <w:r w:rsidRPr="009171D1">
        <w:t xml:space="preserve">to </w:t>
      </w:r>
      <w:r>
        <w:t xml:space="preserve">the </w:t>
      </w:r>
      <w:r w:rsidRPr="009171D1">
        <w:t xml:space="preserve">authorisation of </w:t>
      </w:r>
      <w:r w:rsidR="00B440D3">
        <w:t>MSS</w:t>
      </w:r>
      <w:r>
        <w:t xml:space="preserve"> satellite system</w:t>
      </w:r>
      <w:r w:rsidR="00B440D3">
        <w:t>s</w:t>
      </w:r>
      <w:r w:rsidRPr="009171D1">
        <w:t xml:space="preserve"> and/or </w:t>
      </w:r>
      <w:r w:rsidR="00B440D3">
        <w:t xml:space="preserve">their </w:t>
      </w:r>
      <w:r w:rsidRPr="009171D1">
        <w:t>renewal, which may be of assistance to some administrations, including potential mechanisms to deal with non-</w:t>
      </w:r>
      <w:r w:rsidR="00A33D75" w:rsidRPr="009171D1">
        <w:t>complian</w:t>
      </w:r>
      <w:r w:rsidR="00A33D75">
        <w:t>t downlinks</w:t>
      </w:r>
      <w:r w:rsidR="00A33D75" w:rsidRPr="009171D1">
        <w:t xml:space="preserve"> </w:t>
      </w:r>
      <w:r w:rsidRPr="009171D1">
        <w:t>in a coordinated action of CEPT administrations</w:t>
      </w:r>
      <w:r>
        <w:t>.</w:t>
      </w:r>
    </w:p>
    <w:p w14:paraId="6B092DAC" w14:textId="204F6783" w:rsidR="00B90F20" w:rsidRDefault="00B90F20" w:rsidP="0059243D">
      <w:pPr>
        <w:pStyle w:val="ECCParagraph"/>
      </w:pPr>
      <w:r>
        <w:t xml:space="preserve">Other ECC deliverables also provide information that can be taken into account by CEPT administrations when considering the </w:t>
      </w:r>
      <w:r w:rsidRPr="00B90F20">
        <w:t xml:space="preserve">authorisation and/or renewal of </w:t>
      </w:r>
      <w:r w:rsidR="00B440D3">
        <w:t>MSS</w:t>
      </w:r>
      <w:r w:rsidRPr="00B90F20">
        <w:t xml:space="preserve"> satellite network services</w:t>
      </w:r>
      <w:r>
        <w:t>:</w:t>
      </w:r>
    </w:p>
    <w:p w14:paraId="5A2A1C3D" w14:textId="4916F36E" w:rsidR="00D479F5" w:rsidRDefault="00D479F5" w:rsidP="00943C9C">
      <w:pPr>
        <w:pStyle w:val="ECCBulletsLv1"/>
      </w:pPr>
      <w:r w:rsidRPr="00D479F5">
        <w:t>ECC Report 095</w:t>
      </w:r>
      <w:r>
        <w:t xml:space="preserve"> </w:t>
      </w:r>
      <w:r w:rsidR="00144F4A">
        <w:fldChar w:fldCharType="begin"/>
      </w:r>
      <w:r w:rsidR="00144F4A">
        <w:instrText xml:space="preserve"> REF _Ref230608518 \r \h </w:instrText>
      </w:r>
      <w:r w:rsidR="00144F4A">
        <w:fldChar w:fldCharType="separate"/>
      </w:r>
      <w:r w:rsidR="00350EE1">
        <w:t>[2]</w:t>
      </w:r>
      <w:r w:rsidR="00144F4A">
        <w:fldChar w:fldCharType="end"/>
      </w:r>
      <w:r w:rsidR="00144F4A">
        <w:t xml:space="preserve"> </w:t>
      </w:r>
      <w:r>
        <w:t>also includes information about the s</w:t>
      </w:r>
      <w:r w:rsidRPr="00D479F5">
        <w:t>haring between MSS systems using TDMA and MSS systems using CDMA in the band 1610</w:t>
      </w:r>
      <w:r w:rsidR="004148D4">
        <w:t>-</w:t>
      </w:r>
      <w:r w:rsidRPr="00D479F5">
        <w:t>1626.5 MHz</w:t>
      </w:r>
      <w:r>
        <w:t>.</w:t>
      </w:r>
    </w:p>
    <w:p w14:paraId="36615A9A" w14:textId="15E45F76" w:rsidR="000A4884" w:rsidRPr="00C229C2" w:rsidRDefault="00D163E0" w:rsidP="00943C9C">
      <w:pPr>
        <w:pStyle w:val="ECCBulletsLv1"/>
      </w:pPr>
      <w:r w:rsidRPr="00D163E0">
        <w:t xml:space="preserve">ECC Report 349 </w:t>
      </w:r>
      <w:r>
        <w:fldChar w:fldCharType="begin"/>
      </w:r>
      <w:r>
        <w:instrText xml:space="preserve"> REF _Ref230609732 \r \h </w:instrText>
      </w:r>
      <w:r>
        <w:fldChar w:fldCharType="separate"/>
      </w:r>
      <w:r w:rsidR="00350EE1">
        <w:t>[3]</w:t>
      </w:r>
      <w:r>
        <w:fldChar w:fldCharType="end"/>
      </w:r>
      <w:r>
        <w:t xml:space="preserve"> </w:t>
      </w:r>
      <w:r w:rsidR="000A4884">
        <w:t>includes information on u</w:t>
      </w:r>
      <w:r w:rsidR="000A4884" w:rsidRPr="000A4884">
        <w:t>nwanted emissions of IRIDIUM NEXT satellites in the band 1610.6-1613.8 MHz, monitoring campaign of November 2020 to May 2021</w:t>
      </w:r>
      <w:r w:rsidR="000A4884">
        <w:t xml:space="preserve">. Further measurements were conducted by the Leeheim </w:t>
      </w:r>
      <w:r w:rsidR="00113C42">
        <w:t xml:space="preserve">satellite </w:t>
      </w:r>
      <w:r w:rsidR="000A4884">
        <w:t>monitoring station on an annual basis with up to three measurement campaigns p.a.</w:t>
      </w:r>
      <w:r w:rsidR="00B90F20">
        <w:t xml:space="preserve"> within the 2022</w:t>
      </w:r>
      <w:r w:rsidR="007409EF">
        <w:t>-</w:t>
      </w:r>
      <w:r w:rsidR="00B90F20">
        <w:t>202</w:t>
      </w:r>
      <w:r w:rsidR="00B440D3">
        <w:t>6</w:t>
      </w:r>
      <w:r w:rsidR="00B90F20">
        <w:t xml:space="preserve"> timeframe. While </w:t>
      </w:r>
      <w:r w:rsidR="000A4884">
        <w:t xml:space="preserve">the measured exceedance of the RAS protection levels </w:t>
      </w:r>
      <w:r w:rsidR="00B90F20">
        <w:t>still exists, the situation has improved following improvements by Iridium in 2024 but still requires that a radioastronomy protection mode is used over Europe by Iridium.</w:t>
      </w:r>
      <w:r w:rsidR="00E942E5">
        <w:t xml:space="preserve"> Using the radioastronomy protection mode, t</w:t>
      </w:r>
      <w:r w:rsidR="00E942E5" w:rsidRPr="00E942E5">
        <w:t>he Iridium NEXT system</w:t>
      </w:r>
      <w:r w:rsidR="00E942E5">
        <w:t xml:space="preserve"> operates </w:t>
      </w:r>
      <w:r w:rsidR="00E942E5" w:rsidRPr="00E942E5">
        <w:t xml:space="preserve">in the band 1621.35-1626.5 MHz (space-to-Earth) </w:t>
      </w:r>
      <w:r w:rsidR="00E942E5">
        <w:t>since 2022.</w:t>
      </w:r>
      <w:r w:rsidR="0025669B">
        <w:t xml:space="preserve"> This Recommendation </w:t>
      </w:r>
      <w:r w:rsidR="00A747DA">
        <w:t>proposes</w:t>
      </w:r>
      <w:r w:rsidR="001D041A">
        <w:t xml:space="preserve"> that CEPT administration take this aspect into account, which is needed in addition to </w:t>
      </w:r>
      <w:r w:rsidR="00A747DA">
        <w:t xml:space="preserve">the </w:t>
      </w:r>
      <w:r w:rsidR="001D041A">
        <w:t xml:space="preserve">application of </w:t>
      </w:r>
      <w:r w:rsidR="0025669B" w:rsidRPr="00943C9C">
        <w:rPr>
          <w:rFonts w:eastAsia="Times New Roman"/>
          <w:szCs w:val="24"/>
        </w:rPr>
        <w:t>ECC Decision (12)01</w:t>
      </w:r>
      <w:r w:rsidR="0085098B">
        <w:rPr>
          <w:rFonts w:eastAsia="Times New Roman"/>
          <w:szCs w:val="24"/>
        </w:rPr>
        <w:t xml:space="preserve"> </w:t>
      </w:r>
      <w:r w:rsidR="0085098B">
        <w:rPr>
          <w:rFonts w:eastAsia="Times New Roman"/>
          <w:szCs w:val="24"/>
        </w:rPr>
        <w:fldChar w:fldCharType="begin"/>
      </w:r>
      <w:r w:rsidR="0085098B">
        <w:rPr>
          <w:rFonts w:eastAsia="Times New Roman"/>
          <w:szCs w:val="24"/>
        </w:rPr>
        <w:instrText xml:space="preserve"> REF _Ref230608340 \r \h </w:instrText>
      </w:r>
      <w:r w:rsidR="0085098B">
        <w:rPr>
          <w:rFonts w:eastAsia="Times New Roman"/>
          <w:szCs w:val="24"/>
        </w:rPr>
      </w:r>
      <w:r w:rsidR="0085098B">
        <w:rPr>
          <w:rFonts w:eastAsia="Times New Roman"/>
          <w:szCs w:val="24"/>
        </w:rPr>
        <w:fldChar w:fldCharType="separate"/>
      </w:r>
      <w:r w:rsidR="00350EE1">
        <w:rPr>
          <w:rFonts w:eastAsia="Times New Roman"/>
          <w:szCs w:val="24"/>
        </w:rPr>
        <w:t>[4]</w:t>
      </w:r>
      <w:r w:rsidR="0085098B">
        <w:rPr>
          <w:rFonts w:eastAsia="Times New Roman"/>
          <w:szCs w:val="24"/>
        </w:rPr>
        <w:fldChar w:fldCharType="end"/>
      </w:r>
      <w:r w:rsidR="0085098B">
        <w:rPr>
          <w:rFonts w:eastAsia="Times New Roman"/>
          <w:szCs w:val="24"/>
        </w:rPr>
        <w:t xml:space="preserve"> </w:t>
      </w:r>
      <w:r w:rsidR="0025669B" w:rsidRPr="00943C9C">
        <w:rPr>
          <w:rFonts w:eastAsia="Times New Roman"/>
          <w:szCs w:val="24"/>
        </w:rPr>
        <w:t>on the exemption from individual licensing and free circulation and use of satellite mobile terminals operating under the control of networks in the range 1 to 3 GHz</w:t>
      </w:r>
      <w:r w:rsidR="00A747DA" w:rsidRPr="00943C9C">
        <w:rPr>
          <w:rFonts w:eastAsia="Times New Roman"/>
          <w:szCs w:val="24"/>
        </w:rPr>
        <w:t>.</w:t>
      </w:r>
    </w:p>
    <w:p w14:paraId="7B9B7569" w14:textId="77777777" w:rsidR="00C229C2" w:rsidRDefault="00C229C2" w:rsidP="00C229C2"/>
    <w:p w14:paraId="03114621" w14:textId="77777777" w:rsidR="00B90F20" w:rsidRDefault="00B90F20" w:rsidP="0059243D">
      <w:pPr>
        <w:pStyle w:val="ECCParagraph"/>
      </w:pPr>
    </w:p>
    <w:p w14:paraId="48BC14BD" w14:textId="252E6185" w:rsidR="00C74BE6" w:rsidRPr="00CC4B41" w:rsidRDefault="00835C5B" w:rsidP="00361F6B">
      <w:pPr>
        <w:pStyle w:val="Heading1"/>
      </w:pPr>
      <w:r w:rsidRPr="00CC4B41">
        <w:lastRenderedPageBreak/>
        <w:t xml:space="preserve">ECC recommendation </w:t>
      </w:r>
      <w:bookmarkStart w:id="1" w:name="Text4"/>
      <w:r w:rsidR="00256399" w:rsidRPr="00CC4B41">
        <w:t>(</w:t>
      </w:r>
      <w:r w:rsidR="00EF4527">
        <w:t>26</w:t>
      </w:r>
      <w:r w:rsidR="00256399" w:rsidRPr="00CC4B41">
        <w:t>)</w:t>
      </w:r>
      <w:bookmarkEnd w:id="1"/>
      <w:r w:rsidR="00EF4527">
        <w:t>04</w:t>
      </w:r>
      <w:r w:rsidRPr="00CC4B41">
        <w:t xml:space="preserve"> </w:t>
      </w:r>
      <w:r w:rsidR="00C759A4" w:rsidRPr="00E5113C">
        <w:t xml:space="preserve">of </w:t>
      </w:r>
      <w:r w:rsidR="00C759A4">
        <w:t>DD MM YYYY</w:t>
      </w:r>
      <w:r w:rsidR="00C759A4" w:rsidRPr="00E5113C">
        <w:t xml:space="preserve"> </w:t>
      </w:r>
      <w:r w:rsidRPr="00CC4B41">
        <w:t xml:space="preserve">on </w:t>
      </w:r>
      <w:r w:rsidR="009171D1" w:rsidRPr="009171D1">
        <w:t xml:space="preserve">Guidance related to the authorisation and/or renewal of </w:t>
      </w:r>
      <w:r w:rsidR="00B440D3" w:rsidRPr="00B440D3">
        <w:rPr>
          <w:lang w:val="en-US"/>
        </w:rPr>
        <w:t>Mobile-Satellite Service (MSS)</w:t>
      </w:r>
      <w:r w:rsidR="009171D1" w:rsidRPr="009171D1">
        <w:t xml:space="preserve"> satellite </w:t>
      </w:r>
      <w:r w:rsidR="00113C42">
        <w:t>System</w:t>
      </w:r>
      <w:r w:rsidR="00B440D3">
        <w:t>S</w:t>
      </w:r>
      <w:r w:rsidR="00A33D75">
        <w:t xml:space="preserve"> operating downlinks within 1613.8-1626.5 MHz (space-to-Earth)</w:t>
      </w:r>
      <w:r w:rsidR="009171D1" w:rsidRPr="009171D1">
        <w:t xml:space="preserve"> as per ECC/DEC/(09)02 and </w:t>
      </w:r>
      <w:proofErr w:type="gramStart"/>
      <w:r w:rsidR="009171D1" w:rsidRPr="009171D1">
        <w:t>potential</w:t>
      </w:r>
      <w:proofErr w:type="gramEnd"/>
      <w:r w:rsidR="009171D1" w:rsidRPr="009171D1">
        <w:t xml:space="preserve"> relevant mechanisms to deal with non-compliance in a coordinated action of CEPT administrations</w:t>
      </w:r>
    </w:p>
    <w:p w14:paraId="72746BB4" w14:textId="77777777" w:rsidR="00C74BE6" w:rsidRPr="00CC4B41" w:rsidRDefault="00835C5B" w:rsidP="00C74BE6">
      <w:pPr>
        <w:pStyle w:val="ECCParagraph"/>
      </w:pPr>
      <w:r w:rsidRPr="00CC4B41">
        <w:t xml:space="preserve">“The European Conference of Postal and Telecommunications Administrations, </w:t>
      </w:r>
    </w:p>
    <w:p w14:paraId="7754CF73" w14:textId="77777777" w:rsidR="00C74BE6" w:rsidRPr="00CC4B41" w:rsidRDefault="00835C5B" w:rsidP="00C74BE6">
      <w:pPr>
        <w:pStyle w:val="ECCParagraph"/>
        <w:rPr>
          <w:i/>
          <w:color w:val="D2232A"/>
        </w:rPr>
      </w:pPr>
      <w:r w:rsidRPr="00CC4B41">
        <w:rPr>
          <w:i/>
          <w:color w:val="D2232A"/>
        </w:rPr>
        <w:t>considering</w:t>
      </w:r>
    </w:p>
    <w:p w14:paraId="0BA760BF" w14:textId="39FBF7AF" w:rsidR="001F54C5" w:rsidRDefault="001F54C5" w:rsidP="001F54C5">
      <w:pPr>
        <w:pStyle w:val="LetteredList"/>
        <w:rPr>
          <w:lang w:val="en-GB" w:eastAsia="fr-FR"/>
        </w:rPr>
      </w:pPr>
      <w:r>
        <w:rPr>
          <w:lang w:val="en-GB" w:eastAsia="fr-FR"/>
        </w:rPr>
        <w:t xml:space="preserve">that some CEPT </w:t>
      </w:r>
      <w:r w:rsidRPr="001F54C5">
        <w:rPr>
          <w:lang w:val="en-GB" w:eastAsia="fr-FR"/>
        </w:rPr>
        <w:t xml:space="preserve">administrations </w:t>
      </w:r>
      <w:r>
        <w:rPr>
          <w:lang w:val="en-GB" w:eastAsia="fr-FR"/>
        </w:rPr>
        <w:t xml:space="preserve">require </w:t>
      </w:r>
      <w:r w:rsidRPr="001F54C5">
        <w:rPr>
          <w:lang w:val="en-GB" w:eastAsia="fr-FR"/>
        </w:rPr>
        <w:t xml:space="preserve">a form of notification/registration from the </w:t>
      </w:r>
      <w:r w:rsidR="00B440D3">
        <w:rPr>
          <w:lang w:val="en-GB" w:eastAsia="fr-FR"/>
        </w:rPr>
        <w:t>MSS</w:t>
      </w:r>
      <w:r>
        <w:rPr>
          <w:lang w:val="en-GB" w:eastAsia="fr-FR"/>
        </w:rPr>
        <w:t xml:space="preserve"> </w:t>
      </w:r>
      <w:r w:rsidRPr="001F54C5">
        <w:rPr>
          <w:lang w:val="en-GB" w:eastAsia="fr-FR"/>
        </w:rPr>
        <w:t>satellite operator/service provider to provide services in their country</w:t>
      </w:r>
      <w:r>
        <w:rPr>
          <w:lang w:val="en-GB" w:eastAsia="fr-FR"/>
        </w:rPr>
        <w:t>;</w:t>
      </w:r>
    </w:p>
    <w:p w14:paraId="2F373D81" w14:textId="4CD6AD62" w:rsidR="007E7D06" w:rsidRDefault="001F54C5" w:rsidP="001F54C5">
      <w:pPr>
        <w:pStyle w:val="LetteredList"/>
        <w:rPr>
          <w:lang w:val="en-GB" w:eastAsia="fr-FR"/>
        </w:rPr>
      </w:pPr>
      <w:r>
        <w:rPr>
          <w:lang w:val="en-GB" w:eastAsia="fr-FR"/>
        </w:rPr>
        <w:t xml:space="preserve">that </w:t>
      </w:r>
      <w:r w:rsidR="007E7D06">
        <w:rPr>
          <w:lang w:val="en-GB" w:eastAsia="fr-FR"/>
        </w:rPr>
        <w:t>an i</w:t>
      </w:r>
      <w:r w:rsidRPr="001F54C5">
        <w:rPr>
          <w:lang w:val="en-GB" w:eastAsia="fr-FR"/>
        </w:rPr>
        <w:t xml:space="preserve">ndividual authorisation for the </w:t>
      </w:r>
      <w:r w:rsidR="00A33D75">
        <w:rPr>
          <w:lang w:val="en-GB" w:eastAsia="fr-FR"/>
        </w:rPr>
        <w:t>MSS</w:t>
      </w:r>
      <w:r w:rsidR="00A33D75" w:rsidRPr="001F54C5">
        <w:rPr>
          <w:lang w:val="en-GB" w:eastAsia="fr-FR"/>
        </w:rPr>
        <w:t xml:space="preserve"> </w:t>
      </w:r>
      <w:r w:rsidRPr="001F54C5">
        <w:rPr>
          <w:lang w:val="en-GB" w:eastAsia="fr-FR"/>
        </w:rPr>
        <w:t xml:space="preserve">network/system with which the MSS user terminals communicate </w:t>
      </w:r>
      <w:r w:rsidR="007E7D06">
        <w:rPr>
          <w:lang w:val="en-GB" w:eastAsia="fr-FR"/>
        </w:rPr>
        <w:t>can be used by an administration;</w:t>
      </w:r>
    </w:p>
    <w:p w14:paraId="753F4797" w14:textId="2623F1C5" w:rsidR="001F54C5" w:rsidRPr="001F54C5" w:rsidRDefault="007E7D06" w:rsidP="001F54C5">
      <w:pPr>
        <w:pStyle w:val="LetteredList"/>
        <w:rPr>
          <w:lang w:val="en-GB" w:eastAsia="fr-FR"/>
        </w:rPr>
      </w:pPr>
      <w:r>
        <w:rPr>
          <w:lang w:val="en-GB" w:eastAsia="fr-FR"/>
        </w:rPr>
        <w:t xml:space="preserve">that an </w:t>
      </w:r>
      <w:r w:rsidR="001F54C5" w:rsidRPr="001F54C5">
        <w:rPr>
          <w:lang w:val="en-GB" w:eastAsia="fr-FR"/>
        </w:rPr>
        <w:t xml:space="preserve">administration </w:t>
      </w:r>
      <w:r>
        <w:rPr>
          <w:lang w:val="en-GB" w:eastAsia="fr-FR"/>
        </w:rPr>
        <w:t>can restrict the use of earth stations/</w:t>
      </w:r>
      <w:r w:rsidR="001F54C5" w:rsidRPr="001F54C5">
        <w:rPr>
          <w:lang w:val="en-GB" w:eastAsia="fr-FR"/>
        </w:rPr>
        <w:t xml:space="preserve">user terminals </w:t>
      </w:r>
      <w:r>
        <w:rPr>
          <w:lang w:val="en-GB" w:eastAsia="fr-FR"/>
        </w:rPr>
        <w:t xml:space="preserve">to </w:t>
      </w:r>
      <w:r w:rsidR="001F54C5" w:rsidRPr="001F54C5">
        <w:rPr>
          <w:lang w:val="en-GB" w:eastAsia="fr-FR"/>
        </w:rPr>
        <w:t xml:space="preserve">only be allowed to communicate with </w:t>
      </w:r>
      <w:r>
        <w:rPr>
          <w:lang w:val="en-GB" w:eastAsia="fr-FR"/>
        </w:rPr>
        <w:t xml:space="preserve">a </w:t>
      </w:r>
      <w:r w:rsidR="001F54C5" w:rsidRPr="001F54C5">
        <w:rPr>
          <w:lang w:val="en-GB" w:eastAsia="fr-FR"/>
        </w:rPr>
        <w:t xml:space="preserve">satellite </w:t>
      </w:r>
      <w:r w:rsidR="003423A1">
        <w:rPr>
          <w:lang w:val="en-GB" w:eastAsia="fr-FR"/>
        </w:rPr>
        <w:t>that comply with the Radio regulations;</w:t>
      </w:r>
    </w:p>
    <w:p w14:paraId="17AA61DF" w14:textId="6C0F889A" w:rsidR="007E7D06" w:rsidRPr="007E7D06" w:rsidRDefault="007E7D06" w:rsidP="007E7D06">
      <w:pPr>
        <w:pStyle w:val="LetteredList"/>
        <w:rPr>
          <w:lang w:val="en-GB"/>
        </w:rPr>
      </w:pPr>
      <w:r>
        <w:rPr>
          <w:lang w:val="en-GB"/>
        </w:rPr>
        <w:t xml:space="preserve">that there is a need </w:t>
      </w:r>
      <w:r w:rsidRPr="007E7D06">
        <w:rPr>
          <w:lang w:val="en-GB"/>
        </w:rPr>
        <w:t xml:space="preserve">that the authorisation to the </w:t>
      </w:r>
      <w:r w:rsidR="00A33D75">
        <w:rPr>
          <w:lang w:val="en-GB"/>
        </w:rPr>
        <w:t>MSS</w:t>
      </w:r>
      <w:r w:rsidR="00A33D75" w:rsidRPr="007E7D06">
        <w:rPr>
          <w:lang w:val="en-GB"/>
        </w:rPr>
        <w:t xml:space="preserve"> </w:t>
      </w:r>
      <w:r w:rsidRPr="007E7D06">
        <w:rPr>
          <w:lang w:val="en-GB"/>
        </w:rPr>
        <w:t>satellite system</w:t>
      </w:r>
      <w:r>
        <w:rPr>
          <w:lang w:val="en-GB"/>
        </w:rPr>
        <w:t xml:space="preserve"> </w:t>
      </w:r>
      <w:r w:rsidRPr="007E7D06">
        <w:rPr>
          <w:lang w:val="en-GB"/>
        </w:rPr>
        <w:t>contain</w:t>
      </w:r>
      <w:r w:rsidR="00D813FF">
        <w:rPr>
          <w:lang w:val="en-GB"/>
        </w:rPr>
        <w:t>s</w:t>
      </w:r>
      <w:r w:rsidRPr="007E7D06">
        <w:rPr>
          <w:lang w:val="en-GB"/>
        </w:rPr>
        <w:t xml:space="preserve"> specific conditions for the protection of national </w:t>
      </w:r>
      <w:r>
        <w:rPr>
          <w:lang w:val="en-GB"/>
        </w:rPr>
        <w:t xml:space="preserve">radioastronomy </w:t>
      </w:r>
      <w:r w:rsidRPr="007E7D06">
        <w:rPr>
          <w:lang w:val="en-GB"/>
        </w:rPr>
        <w:t>sites or those in neighbouring countries</w:t>
      </w:r>
      <w:r>
        <w:rPr>
          <w:lang w:val="en-GB"/>
        </w:rPr>
        <w:t>;</w:t>
      </w:r>
    </w:p>
    <w:p w14:paraId="7E795EC8" w14:textId="2E3D80D2" w:rsidR="000A4884" w:rsidRDefault="000A4884" w:rsidP="007E7D06">
      <w:pPr>
        <w:pStyle w:val="LetteredList"/>
        <w:rPr>
          <w:lang w:val="en-GB"/>
        </w:rPr>
      </w:pPr>
      <w:r>
        <w:rPr>
          <w:lang w:val="en-GB"/>
        </w:rPr>
        <w:t xml:space="preserve">that ECC Decision (09)02 </w:t>
      </w:r>
      <w:r w:rsidR="00E3542D">
        <w:rPr>
          <w:lang w:val="en-GB"/>
        </w:rPr>
        <w:fldChar w:fldCharType="begin"/>
      </w:r>
      <w:r w:rsidR="00E3542D">
        <w:rPr>
          <w:lang w:val="en-GB"/>
        </w:rPr>
        <w:instrText xml:space="preserve"> REF _Ref230608236 \r \h </w:instrText>
      </w:r>
      <w:r w:rsidR="00E3542D">
        <w:rPr>
          <w:lang w:val="en-GB"/>
        </w:rPr>
      </w:r>
      <w:r w:rsidR="00E3542D">
        <w:rPr>
          <w:lang w:val="en-GB"/>
        </w:rPr>
        <w:fldChar w:fldCharType="separate"/>
      </w:r>
      <w:r w:rsidR="00E3542D">
        <w:rPr>
          <w:lang w:val="en-GB"/>
        </w:rPr>
        <w:t>[1]</w:t>
      </w:r>
      <w:r w:rsidR="00E3542D">
        <w:rPr>
          <w:lang w:val="en-GB"/>
        </w:rPr>
        <w:fldChar w:fldCharType="end"/>
      </w:r>
      <w:r w:rsidR="00E3542D">
        <w:rPr>
          <w:lang w:val="en-GB"/>
        </w:rPr>
        <w:t xml:space="preserve"> </w:t>
      </w:r>
      <w:r w:rsidRPr="000A4884">
        <w:rPr>
          <w:lang w:val="en-GB"/>
        </w:rPr>
        <w:t>reflect</w:t>
      </w:r>
      <w:r>
        <w:rPr>
          <w:lang w:val="en-GB"/>
        </w:rPr>
        <w:t>s</w:t>
      </w:r>
      <w:r w:rsidRPr="000A4884">
        <w:rPr>
          <w:lang w:val="en-GB"/>
        </w:rPr>
        <w:t xml:space="preserve"> the provisions already made by CEPT for a common approach to the mobile satellite service (MSS) allocations and to harmonise the use of spectrum within the bands 1610</w:t>
      </w:r>
      <w:r w:rsidR="007321DF">
        <w:rPr>
          <w:lang w:val="en-GB"/>
        </w:rPr>
        <w:noBreakHyphen/>
      </w:r>
      <w:r w:rsidRPr="000A4884">
        <w:rPr>
          <w:lang w:val="en-GB"/>
        </w:rPr>
        <w:t>1626.5 MHz and 2483.5</w:t>
      </w:r>
      <w:r w:rsidR="005C458B">
        <w:rPr>
          <w:lang w:val="en-GB"/>
        </w:rPr>
        <w:noBreakHyphen/>
      </w:r>
      <w:r w:rsidRPr="000A4884">
        <w:rPr>
          <w:lang w:val="en-GB"/>
        </w:rPr>
        <w:t>2500 MHz for Mobile Earth Stations (MES’s);</w:t>
      </w:r>
    </w:p>
    <w:p w14:paraId="11361665" w14:textId="77777777" w:rsidR="005D780D" w:rsidRPr="005D780D" w:rsidRDefault="005D780D" w:rsidP="005D780D">
      <w:pPr>
        <w:pStyle w:val="LetteredList"/>
        <w:rPr>
          <w:lang w:val="en-GB"/>
        </w:rPr>
      </w:pPr>
      <w:r w:rsidRPr="005D780D">
        <w:rPr>
          <w:lang w:val="en-GB"/>
        </w:rPr>
        <w:t>that the transmissions from mobile satellite user terminals in the band 1610-1626.5 MHz are subject to the e.i.r.p. limits given in Radio Regulations No. 5.364;</w:t>
      </w:r>
    </w:p>
    <w:p w14:paraId="6305DE5B" w14:textId="731EC8C0" w:rsidR="005D780D" w:rsidRDefault="005D780D" w:rsidP="005D780D">
      <w:pPr>
        <w:pStyle w:val="LetteredList"/>
        <w:rPr>
          <w:lang w:val="en-GB"/>
        </w:rPr>
      </w:pPr>
      <w:r w:rsidRPr="005D780D">
        <w:rPr>
          <w:lang w:val="en-GB"/>
        </w:rPr>
        <w:t xml:space="preserve">that Radio Regulations No. 5.372 as well as Recommendations </w:t>
      </w:r>
      <w:r w:rsidR="00EC624B" w:rsidRPr="00EC624B">
        <w:rPr>
          <w:lang w:val="en-GB"/>
        </w:rPr>
        <w:t xml:space="preserve">ITU-R RA.769 </w:t>
      </w:r>
      <w:r w:rsidR="00EC624B">
        <w:rPr>
          <w:lang w:val="en-GB"/>
        </w:rPr>
        <w:fldChar w:fldCharType="begin"/>
      </w:r>
      <w:r w:rsidR="00EC624B">
        <w:rPr>
          <w:lang w:val="en-GB"/>
        </w:rPr>
        <w:instrText xml:space="preserve"> REF _Ref230609671 \r \h </w:instrText>
      </w:r>
      <w:r w:rsidR="00EC624B">
        <w:rPr>
          <w:lang w:val="en-GB"/>
        </w:rPr>
      </w:r>
      <w:r w:rsidR="00EC624B">
        <w:rPr>
          <w:lang w:val="en-GB"/>
        </w:rPr>
        <w:fldChar w:fldCharType="separate"/>
      </w:r>
      <w:r w:rsidR="00EC624B">
        <w:rPr>
          <w:lang w:val="en-GB"/>
        </w:rPr>
        <w:t>[5]</w:t>
      </w:r>
      <w:r w:rsidR="00EC624B">
        <w:rPr>
          <w:lang w:val="en-GB"/>
        </w:rPr>
        <w:fldChar w:fldCharType="end"/>
      </w:r>
      <w:r w:rsidR="00EC624B">
        <w:t xml:space="preserve"> </w:t>
      </w:r>
      <w:r w:rsidR="00EC624B" w:rsidRPr="00EC624B">
        <w:rPr>
          <w:lang w:val="en-GB"/>
        </w:rPr>
        <w:t>and</w:t>
      </w:r>
      <w:r w:rsidR="00EC624B">
        <w:t xml:space="preserve"> ITU-R</w:t>
      </w:r>
      <w:r w:rsidR="00EC624B" w:rsidRPr="00EC624B">
        <w:rPr>
          <w:lang w:val="en-GB"/>
        </w:rPr>
        <w:t xml:space="preserve"> RA.1513</w:t>
      </w:r>
      <w:r w:rsidR="00EC624B">
        <w:t xml:space="preserve"> </w:t>
      </w:r>
      <w:r w:rsidR="00EC624B">
        <w:rPr>
          <w:lang w:val="en-GB"/>
        </w:rPr>
        <w:fldChar w:fldCharType="begin"/>
      </w:r>
      <w:r w:rsidR="00EC624B">
        <w:instrText xml:space="preserve"> REF _Ref230609678 \r \h </w:instrText>
      </w:r>
      <w:r w:rsidR="00EC624B">
        <w:rPr>
          <w:lang w:val="en-GB"/>
        </w:rPr>
      </w:r>
      <w:r w:rsidR="00EC624B">
        <w:rPr>
          <w:lang w:val="en-GB"/>
        </w:rPr>
        <w:fldChar w:fldCharType="separate"/>
      </w:r>
      <w:r w:rsidR="00EC624B">
        <w:t>[6]</w:t>
      </w:r>
      <w:r w:rsidR="00EC624B">
        <w:rPr>
          <w:lang w:val="en-GB"/>
        </w:rPr>
        <w:fldChar w:fldCharType="end"/>
      </w:r>
      <w:r w:rsidR="00EC624B" w:rsidRPr="00EC624B">
        <w:rPr>
          <w:lang w:val="en-GB"/>
        </w:rPr>
        <w:t xml:space="preserve"> </w:t>
      </w:r>
      <w:r w:rsidRPr="005D780D">
        <w:rPr>
          <w:lang w:val="en-GB"/>
        </w:rPr>
        <w:t>require that harmful interference shall not be caused to stations of the radio astronomy service using the band 1610.6-1613.8 MHz by stations of the mobile-satellite service in the bands 1610-1626.5 MHz;</w:t>
      </w:r>
    </w:p>
    <w:p w14:paraId="733035B4" w14:textId="77777777" w:rsidR="005D780D" w:rsidRPr="005D780D" w:rsidRDefault="005D780D" w:rsidP="005D780D">
      <w:pPr>
        <w:pStyle w:val="LetteredList"/>
        <w:rPr>
          <w:lang w:val="en-GB"/>
        </w:rPr>
      </w:pPr>
      <w:r w:rsidRPr="005D780D">
        <w:rPr>
          <w:lang w:val="en-GB"/>
        </w:rPr>
        <w:t xml:space="preserve">that some administrations have authorised mobile satellite user terminals and/or MSS systems in a specific segmentation of the band between CDMA and TDMA operation; </w:t>
      </w:r>
    </w:p>
    <w:p w14:paraId="780FBAE2" w14:textId="3B95097A" w:rsidR="00C229C2" w:rsidRDefault="00E942E5" w:rsidP="00382002">
      <w:pPr>
        <w:pStyle w:val="LetteredList"/>
        <w:rPr>
          <w:lang w:val="en-GB"/>
        </w:rPr>
      </w:pPr>
      <w:r w:rsidRPr="00A747DA">
        <w:rPr>
          <w:lang w:val="en-GB"/>
        </w:rPr>
        <w:t>that the compliance with the conditions for use of radio frequencies by the Iridium NEXT systems in the band 1621.35-1626.5 MHz (space-to-Earth) and the degree of interference in the frequency band 1610.6</w:t>
      </w:r>
      <w:r w:rsidR="00ED0447">
        <w:rPr>
          <w:lang w:val="en-GB"/>
        </w:rPr>
        <w:noBreakHyphen/>
      </w:r>
      <w:r w:rsidRPr="00A747DA">
        <w:rPr>
          <w:lang w:val="en-GB"/>
        </w:rPr>
        <w:t>1613.8 MHz caused by this usage is monitored regularly (e.g. once a year) by a competent body and the results be reported to the ECC;</w:t>
      </w:r>
    </w:p>
    <w:p w14:paraId="77079417" w14:textId="53801126" w:rsidR="005D780D" w:rsidRDefault="008B1379" w:rsidP="00382002">
      <w:pPr>
        <w:pStyle w:val="LetteredList"/>
        <w:rPr>
          <w:lang w:val="en-GB"/>
        </w:rPr>
      </w:pPr>
      <w:r w:rsidRPr="008B1379">
        <w:rPr>
          <w:lang w:val="en-GB"/>
        </w:rPr>
        <w:t>that a s</w:t>
      </w:r>
      <w:bookmarkStart w:id="2" w:name="_Hlk215715294"/>
      <w:r w:rsidRPr="008B1379">
        <w:rPr>
          <w:lang w:val="en-GB"/>
        </w:rPr>
        <w:t>ummary of the responses to the questionnaire to CEPT administrations to collect information about authorisation for the IRIDIUM mobil</w:t>
      </w:r>
      <w:r w:rsidR="0025669B">
        <w:rPr>
          <w:lang w:val="en-GB"/>
        </w:rPr>
        <w:t>e</w:t>
      </w:r>
      <w:r w:rsidRPr="008B1379">
        <w:rPr>
          <w:lang w:val="en-GB"/>
        </w:rPr>
        <w:t xml:space="preserve"> satellite system and earth stations under the control of the IRIDIUM system in CEPT countries </w:t>
      </w:r>
      <w:r w:rsidR="00D813FF" w:rsidRPr="008B1379">
        <w:rPr>
          <w:lang w:val="en-GB"/>
        </w:rPr>
        <w:t xml:space="preserve">which was collected in the 2024/25 timeframe </w:t>
      </w:r>
      <w:r w:rsidR="002B5B74">
        <w:rPr>
          <w:lang w:val="en-GB"/>
        </w:rPr>
        <w:fldChar w:fldCharType="begin"/>
      </w:r>
      <w:r w:rsidR="002B5B74">
        <w:rPr>
          <w:lang w:val="en-GB"/>
        </w:rPr>
        <w:instrText xml:space="preserve"> REF _Ref230608372 \r \h </w:instrText>
      </w:r>
      <w:r w:rsidR="002B5B74">
        <w:rPr>
          <w:lang w:val="en-GB"/>
        </w:rPr>
      </w:r>
      <w:r w:rsidR="002B5B74">
        <w:rPr>
          <w:lang w:val="en-GB"/>
        </w:rPr>
        <w:fldChar w:fldCharType="separate"/>
      </w:r>
      <w:r w:rsidR="00EC624B">
        <w:rPr>
          <w:lang w:val="en-GB"/>
        </w:rPr>
        <w:t>[7]</w:t>
      </w:r>
      <w:r w:rsidR="002B5B74">
        <w:rPr>
          <w:lang w:val="en-GB"/>
        </w:rPr>
        <w:fldChar w:fldCharType="end"/>
      </w:r>
      <w:r w:rsidR="002B5B74">
        <w:rPr>
          <w:lang w:val="en-GB"/>
        </w:rPr>
        <w:t xml:space="preserve"> </w:t>
      </w:r>
      <w:r w:rsidR="00D813FF" w:rsidRPr="008B1379">
        <w:rPr>
          <w:lang w:val="en-GB"/>
        </w:rPr>
        <w:t>can be used by CEPT administrations in their considerations</w:t>
      </w:r>
      <w:r w:rsidR="00C229C2">
        <w:rPr>
          <w:lang w:val="en-GB"/>
        </w:rPr>
        <w:t>;</w:t>
      </w:r>
      <w:bookmarkEnd w:id="2"/>
    </w:p>
    <w:p w14:paraId="78C91CDB" w14:textId="16E07FD1" w:rsidR="005D780D" w:rsidRPr="005A32CA" w:rsidRDefault="009E3F8D" w:rsidP="00382002">
      <w:pPr>
        <w:pStyle w:val="LetteredList"/>
        <w:rPr>
          <w:lang w:val="en-GB"/>
        </w:rPr>
      </w:pPr>
      <w:r w:rsidRPr="00C229C2">
        <w:rPr>
          <w:lang w:val="en-GB"/>
        </w:rPr>
        <w:t xml:space="preserve">that </w:t>
      </w:r>
      <w:r w:rsidRPr="005D780D">
        <w:t>ECC Report 095</w:t>
      </w:r>
      <w:r w:rsidR="001A721A">
        <w:t xml:space="preserve"> </w:t>
      </w:r>
      <w:r w:rsidR="001A721A">
        <w:fldChar w:fldCharType="begin"/>
      </w:r>
      <w:r w:rsidR="001A721A">
        <w:instrText xml:space="preserve"> REF _Ref231830702 \r \h </w:instrText>
      </w:r>
      <w:r w:rsidR="001A721A">
        <w:fldChar w:fldCharType="separate"/>
      </w:r>
      <w:r w:rsidR="001A721A">
        <w:t>[2]</w:t>
      </w:r>
      <w:r w:rsidR="001A721A">
        <w:fldChar w:fldCharType="end"/>
      </w:r>
      <w:r w:rsidRPr="005D780D">
        <w:t xml:space="preserve"> includes information about the sharing between MSS systems using TDMA and MSS systems using CDMA in the band 1610</w:t>
      </w:r>
      <w:r w:rsidR="00E3542D">
        <w:t>-</w:t>
      </w:r>
      <w:r w:rsidRPr="005D780D">
        <w:t>1626.5 MHz</w:t>
      </w:r>
      <w:r w:rsidR="00C229C2">
        <w:t>;</w:t>
      </w:r>
    </w:p>
    <w:p w14:paraId="12312647" w14:textId="7BC42214" w:rsidR="003423A1" w:rsidRPr="005A32CA" w:rsidRDefault="003423A1" w:rsidP="00382002">
      <w:pPr>
        <w:pStyle w:val="LetteredList"/>
        <w:rPr>
          <w:lang w:val="en-GB"/>
        </w:rPr>
      </w:pPr>
      <w:r>
        <w:t xml:space="preserve">that some CEPT administrations have a general authorization regime that </w:t>
      </w:r>
      <w:proofErr w:type="gramStart"/>
      <w:r>
        <w:t>do</w:t>
      </w:r>
      <w:proofErr w:type="gramEnd"/>
      <w:r>
        <w:t xml:space="preserve"> not specify the edges of iridium authorized downlinks and </w:t>
      </w:r>
      <w:r w:rsidR="006D0D3B">
        <w:t>only refer</w:t>
      </w:r>
      <w:r>
        <w:t xml:space="preserve"> </w:t>
      </w:r>
      <w:r w:rsidR="006D0D3B">
        <w:t>to</w:t>
      </w:r>
      <w:r>
        <w:t xml:space="preserve"> ECC Decision (12)01 </w:t>
      </w:r>
      <w:r w:rsidR="002B5B74">
        <w:fldChar w:fldCharType="begin"/>
      </w:r>
      <w:r w:rsidR="002B5B74">
        <w:instrText xml:space="preserve"> REF _Ref230608340 \r \h </w:instrText>
      </w:r>
      <w:r w:rsidR="002B5B74">
        <w:fldChar w:fldCharType="separate"/>
      </w:r>
      <w:r w:rsidR="00967B34">
        <w:t>[4]</w:t>
      </w:r>
      <w:r w:rsidR="002B5B74">
        <w:fldChar w:fldCharType="end"/>
      </w:r>
      <w:r w:rsidR="002B5B74">
        <w:t xml:space="preserve"> </w:t>
      </w:r>
      <w:r>
        <w:t>and ECC Decision (09)02</w:t>
      </w:r>
      <w:r w:rsidR="002B5B74">
        <w:t xml:space="preserve"> </w:t>
      </w:r>
      <w:r w:rsidR="002B5B74">
        <w:fldChar w:fldCharType="begin"/>
      </w:r>
      <w:r w:rsidR="002B5B74">
        <w:instrText xml:space="preserve"> REF _Ref230608236 \r \h </w:instrText>
      </w:r>
      <w:r w:rsidR="002B5B74">
        <w:fldChar w:fldCharType="separate"/>
      </w:r>
      <w:r w:rsidR="00967B34">
        <w:t>[1]</w:t>
      </w:r>
      <w:r w:rsidR="002B5B74">
        <w:fldChar w:fldCharType="end"/>
      </w:r>
      <w:r>
        <w:t>;</w:t>
      </w:r>
    </w:p>
    <w:p w14:paraId="44A7B000" w14:textId="7ED4880C" w:rsidR="00F54017" w:rsidRPr="00C229C2" w:rsidRDefault="00F54017" w:rsidP="00382002">
      <w:pPr>
        <w:pStyle w:val="LetteredList"/>
        <w:rPr>
          <w:lang w:val="en-GB"/>
        </w:rPr>
      </w:pPr>
      <w:r>
        <w:rPr>
          <w:lang w:val="en-GB"/>
        </w:rPr>
        <w:t>that some CEPT administration do not regulate earth stations receivers.</w:t>
      </w:r>
    </w:p>
    <w:p w14:paraId="5664E9FB" w14:textId="77777777" w:rsidR="00D37EE3" w:rsidRPr="00D0384C" w:rsidRDefault="00835C5B" w:rsidP="00D37EE3">
      <w:pPr>
        <w:pStyle w:val="ECCParagraph"/>
        <w:rPr>
          <w:i/>
          <w:color w:val="D2232A"/>
        </w:rPr>
      </w:pPr>
      <w:r w:rsidRPr="00D0384C">
        <w:rPr>
          <w:i/>
          <w:color w:val="D2232A"/>
        </w:rPr>
        <w:t>recommends</w:t>
      </w:r>
      <w:r w:rsidR="00D37EE3" w:rsidRPr="00D0384C">
        <w:rPr>
          <w:i/>
          <w:color w:val="D2232A"/>
        </w:rPr>
        <w:t xml:space="preserve"> </w:t>
      </w:r>
    </w:p>
    <w:p w14:paraId="0E176D07" w14:textId="7E5CF605" w:rsidR="00955C7F" w:rsidRPr="00955C7F" w:rsidRDefault="00955C7F" w:rsidP="00D128BD">
      <w:pPr>
        <w:pStyle w:val="ListParagraph"/>
        <w:numPr>
          <w:ilvl w:val="0"/>
          <w:numId w:val="8"/>
        </w:numPr>
      </w:pPr>
      <w:r w:rsidRPr="00955C7F">
        <w:t xml:space="preserve">that CEPT administration should consider including a provision </w:t>
      </w:r>
      <w:r>
        <w:t>in their general authorisation or their individual authorisation for</w:t>
      </w:r>
      <w:r w:rsidRPr="00955C7F">
        <w:t xml:space="preserve"> satellite networks </w:t>
      </w:r>
      <w:r>
        <w:t>to</w:t>
      </w:r>
      <w:r w:rsidRPr="00955C7F">
        <w:t xml:space="preserve"> terminals communicating with MSS satellite systems operating downlinks within the band 1613.8-1626.5 MHz</w:t>
      </w:r>
      <w:r w:rsidR="0033177D">
        <w:t>,</w:t>
      </w:r>
      <w:r w:rsidRPr="00955C7F">
        <w:t xml:space="preserve"> which allows them to enforce</w:t>
      </w:r>
      <w:r w:rsidR="0033177D">
        <w:t>, on a national basis,</w:t>
      </w:r>
      <w:r w:rsidRPr="00955C7F">
        <w:t xml:space="preserve"> </w:t>
      </w:r>
      <w:r w:rsidR="0033177D">
        <w:t>the</w:t>
      </w:r>
      <w:r w:rsidRPr="00955C7F">
        <w:t xml:space="preserve"> </w:t>
      </w:r>
      <w:r>
        <w:t>limit</w:t>
      </w:r>
      <w:r w:rsidR="0033177D">
        <w:t>ation of</w:t>
      </w:r>
      <w:r>
        <w:t xml:space="preserve"> communications</w:t>
      </w:r>
      <w:r w:rsidR="0033177D">
        <w:t xml:space="preserve"> to</w:t>
      </w:r>
      <w:r>
        <w:t xml:space="preserve"> satellites that comply</w:t>
      </w:r>
      <w:r w:rsidRPr="00955C7F">
        <w:t xml:space="preserve"> with the technical conditions of ECC Decision (09)02 </w:t>
      </w:r>
      <w:r w:rsidRPr="00955C7F">
        <w:fldChar w:fldCharType="begin"/>
      </w:r>
      <w:r w:rsidRPr="00955C7F">
        <w:instrText xml:space="preserve"> REF _Ref231308773 \r \h </w:instrText>
      </w:r>
      <w:r w:rsidRPr="00955C7F">
        <w:fldChar w:fldCharType="separate"/>
      </w:r>
      <w:r w:rsidRPr="00955C7F">
        <w:t>[1]</w:t>
      </w:r>
      <w:r w:rsidRPr="00955C7F">
        <w:fldChar w:fldCharType="end"/>
      </w:r>
      <w:r w:rsidRPr="00955C7F">
        <w:t xml:space="preserve"> and the technical conditions of footnote 5.372 of the Radio Regulations adopted by the WRC-19;</w:t>
      </w:r>
    </w:p>
    <w:p w14:paraId="510C6FAE" w14:textId="544ED0B7" w:rsidR="00F93BA1" w:rsidRPr="00F93BA1" w:rsidRDefault="00F93BA1" w:rsidP="00D128BD">
      <w:pPr>
        <w:pStyle w:val="ListParagraph"/>
        <w:numPr>
          <w:ilvl w:val="0"/>
          <w:numId w:val="8"/>
        </w:numPr>
      </w:pPr>
      <w:r w:rsidRPr="00F93BA1">
        <w:t>that CEPT administrations</w:t>
      </w:r>
      <w:r w:rsidR="00345445">
        <w:t xml:space="preserve"> </w:t>
      </w:r>
      <w:r w:rsidR="005518DA">
        <w:t xml:space="preserve">when licencing the </w:t>
      </w:r>
      <w:r w:rsidR="005518DA" w:rsidRPr="00F93BA1">
        <w:t xml:space="preserve">Iridium NEXT </w:t>
      </w:r>
      <w:r w:rsidR="005518DA" w:rsidRPr="005518DA">
        <w:t>systems</w:t>
      </w:r>
      <w:r w:rsidR="0033177D">
        <w:t>,</w:t>
      </w:r>
      <w:r w:rsidR="005518DA" w:rsidRPr="005518DA">
        <w:t xml:space="preserve"> </w:t>
      </w:r>
      <w:r w:rsidR="005518DA">
        <w:t xml:space="preserve">may </w:t>
      </w:r>
      <w:r w:rsidR="00345445">
        <w:t>also</w:t>
      </w:r>
      <w:r>
        <w:t xml:space="preserve"> consider</w:t>
      </w:r>
      <w:r w:rsidRPr="00F93BA1">
        <w:t>:</w:t>
      </w:r>
    </w:p>
    <w:p w14:paraId="65253F86" w14:textId="75F02CE6" w:rsidR="00F93BA1" w:rsidRPr="00F93BA1" w:rsidRDefault="00F93BA1" w:rsidP="00925C7B">
      <w:pPr>
        <w:pStyle w:val="ECCLetteredList"/>
        <w:numPr>
          <w:ilvl w:val="1"/>
          <w:numId w:val="51"/>
        </w:numPr>
        <w:spacing w:before="60" w:after="60"/>
      </w:pPr>
      <w:r w:rsidRPr="00F93BA1">
        <w:t>limit</w:t>
      </w:r>
      <w:r w:rsidR="00A935C4">
        <w:t>ing</w:t>
      </w:r>
      <w:r w:rsidRPr="00F93BA1">
        <w:t xml:space="preserve"> downlink operations over Europe to the frequency band 1621.35-1626.5 MHz;</w:t>
      </w:r>
    </w:p>
    <w:p w14:paraId="4B71A58A" w14:textId="42BF46A4" w:rsidR="007212B4" w:rsidRPr="00F93BA1" w:rsidRDefault="00F93BA1" w:rsidP="00925C7B">
      <w:pPr>
        <w:pStyle w:val="ECCLetteredList"/>
        <w:spacing w:before="60" w:after="60"/>
      </w:pPr>
      <w:r w:rsidRPr="00F93BA1">
        <w:t>requir</w:t>
      </w:r>
      <w:r w:rsidR="00AB4A0E">
        <w:t xml:space="preserve">ing </w:t>
      </w:r>
      <w:r w:rsidRPr="00F93BA1">
        <w:t>that the</w:t>
      </w:r>
      <w:r w:rsidR="005518DA">
        <w:t>ir</w:t>
      </w:r>
      <w:r w:rsidRPr="00F93BA1">
        <w:t xml:space="preserve"> radioastronomy protection mode is used over Europe </w:t>
      </w:r>
      <w:r w:rsidR="0033177D">
        <w:t>for</w:t>
      </w:r>
      <w:r w:rsidRPr="00F93BA1">
        <w:t xml:space="preserve"> downlink operations;</w:t>
      </w:r>
    </w:p>
    <w:p w14:paraId="615EBE81" w14:textId="77777777" w:rsidR="000D09FF" w:rsidRDefault="000D09FF" w:rsidP="000D09FF">
      <w:pPr>
        <w:pStyle w:val="ListParagraph"/>
        <w:ind w:left="360"/>
        <w:rPr>
          <w:rFonts w:eastAsia="Times New Roman"/>
          <w:szCs w:val="24"/>
        </w:rPr>
      </w:pPr>
    </w:p>
    <w:p w14:paraId="06BED585" w14:textId="08C548B5" w:rsidR="003E7750" w:rsidRPr="004B5A1F" w:rsidRDefault="002453D8" w:rsidP="004B5A1F">
      <w:pPr>
        <w:pStyle w:val="ListParagraph"/>
        <w:numPr>
          <w:ilvl w:val="0"/>
          <w:numId w:val="8"/>
        </w:numPr>
        <w:rPr>
          <w:rFonts w:eastAsia="Times New Roman"/>
          <w:szCs w:val="24"/>
        </w:rPr>
      </w:pPr>
      <w:r w:rsidRPr="003E7750">
        <w:rPr>
          <w:rFonts w:eastAsia="Times New Roman"/>
          <w:szCs w:val="24"/>
        </w:rPr>
        <w:t xml:space="preserve">that </w:t>
      </w:r>
      <w:r w:rsidR="003E7750" w:rsidRPr="003E7750">
        <w:rPr>
          <w:rFonts w:eastAsia="Times New Roman"/>
          <w:szCs w:val="24"/>
        </w:rPr>
        <w:t>when a</w:t>
      </w:r>
      <w:r w:rsidR="00AB4A0E">
        <w:t xml:space="preserve">n instance of </w:t>
      </w:r>
      <w:r w:rsidR="003E7750" w:rsidRPr="003E7750">
        <w:rPr>
          <w:rFonts w:eastAsia="Times New Roman"/>
          <w:szCs w:val="24"/>
        </w:rPr>
        <w:t xml:space="preserve">non-compliance </w:t>
      </w:r>
      <w:r w:rsidR="00AB4A0E">
        <w:t xml:space="preserve">downlink operations </w:t>
      </w:r>
      <w:r w:rsidR="00A747DA">
        <w:rPr>
          <w:rFonts w:eastAsia="Times New Roman"/>
          <w:szCs w:val="24"/>
        </w:rPr>
        <w:t xml:space="preserve">cannot </w:t>
      </w:r>
      <w:r w:rsidR="00C229C2">
        <w:rPr>
          <w:rFonts w:eastAsia="Times New Roman"/>
          <w:szCs w:val="24"/>
        </w:rPr>
        <w:t xml:space="preserve">be </w:t>
      </w:r>
      <w:r w:rsidR="00C229C2" w:rsidRPr="003E7750">
        <w:rPr>
          <w:rFonts w:eastAsia="Times New Roman"/>
          <w:szCs w:val="24"/>
        </w:rPr>
        <w:t>resolved</w:t>
      </w:r>
      <w:r w:rsidR="003E7750" w:rsidRPr="003E7750">
        <w:rPr>
          <w:rFonts w:eastAsia="Times New Roman"/>
          <w:szCs w:val="24"/>
        </w:rPr>
        <w:t xml:space="preserve"> at national level, CEPT administrations should </w:t>
      </w:r>
      <w:r w:rsidR="009F52C8">
        <w:t xml:space="preserve">commonly identify the level </w:t>
      </w:r>
      <w:r w:rsidR="009F52C8" w:rsidRPr="009F52C8">
        <w:t>of non-compliance</w:t>
      </w:r>
      <w:r w:rsidR="00AE0AB7">
        <w:t xml:space="preserve">, </w:t>
      </w:r>
      <w:r w:rsidR="00AE0AB7" w:rsidRPr="00AE0AB7">
        <w:t>i.e. mutual assessment or confirmation of an interference or non-compliance situation</w:t>
      </w:r>
      <w:r w:rsidR="00AE0AB7">
        <w:t>,</w:t>
      </w:r>
      <w:r w:rsidR="009F52C8" w:rsidRPr="009F52C8">
        <w:t xml:space="preserve"> </w:t>
      </w:r>
      <w:r w:rsidR="009F52C8">
        <w:t xml:space="preserve">and </w:t>
      </w:r>
      <w:r w:rsidR="003E7750" w:rsidRPr="003E7750">
        <w:rPr>
          <w:rFonts w:eastAsia="Times New Roman"/>
          <w:szCs w:val="24"/>
        </w:rPr>
        <w:t>discuss a collective action.</w:t>
      </w:r>
    </w:p>
    <w:p w14:paraId="62121260" w14:textId="77777777" w:rsidR="00C74BE6" w:rsidRPr="00CC4B41" w:rsidRDefault="00C74BE6" w:rsidP="00D37EE3">
      <w:pPr>
        <w:pStyle w:val="ECCParagraph"/>
      </w:pPr>
    </w:p>
    <w:p w14:paraId="6A57DC84" w14:textId="77777777" w:rsidR="00A2604A" w:rsidRPr="00CC4B41" w:rsidRDefault="00A2604A" w:rsidP="00A2604A">
      <w:pPr>
        <w:pStyle w:val="ECCParagraph"/>
        <w:rPr>
          <w:i/>
          <w:color w:val="D2232A"/>
        </w:rPr>
      </w:pPr>
      <w:r w:rsidRPr="00CC4B41">
        <w:rPr>
          <w:i/>
          <w:color w:val="D2232A"/>
        </w:rPr>
        <w:t xml:space="preserve">Note: </w:t>
      </w:r>
    </w:p>
    <w:p w14:paraId="59E11189" w14:textId="77777777" w:rsidR="005F553F" w:rsidRPr="00415F2D" w:rsidRDefault="005F553F" w:rsidP="005F553F">
      <w:r w:rsidRPr="00415F2D">
        <w:rPr>
          <w:i/>
          <w:szCs w:val="20"/>
        </w:rPr>
        <w:t xml:space="preserve">Please check the ECO Documentation Database </w:t>
      </w:r>
      <w:hyperlink r:id="rId14" w:history="1">
        <w:r w:rsidRPr="00415F2D">
          <w:rPr>
            <w:rStyle w:val="Hyperlink"/>
            <w:i/>
            <w:szCs w:val="20"/>
          </w:rPr>
          <w:t>https://docdb.cept.org/</w:t>
        </w:r>
      </w:hyperlink>
      <w:r w:rsidRPr="00415F2D">
        <w:rPr>
          <w:i/>
          <w:szCs w:val="20"/>
        </w:rPr>
        <w:t xml:space="preserve"> for the up-to-date position on the implementation of this and other ECC Recommendations.</w:t>
      </w:r>
    </w:p>
    <w:p w14:paraId="1B7F3A4D" w14:textId="77777777" w:rsidR="00043FD1" w:rsidRPr="00B24357" w:rsidRDefault="00043FD1" w:rsidP="00043FD1">
      <w:pPr>
        <w:pStyle w:val="ECCAnnexheading1"/>
        <w:rPr>
          <w:lang w:val="en-GB"/>
        </w:rPr>
      </w:pPr>
      <w:r w:rsidRPr="00B24357">
        <w:rPr>
          <w:lang w:val="en-GB"/>
        </w:rPr>
        <w:lastRenderedPageBreak/>
        <w:t>List of References</w:t>
      </w:r>
    </w:p>
    <w:p w14:paraId="7AEC5AE9" w14:textId="77777777" w:rsidR="00043FD1" w:rsidRPr="00B24357" w:rsidRDefault="00043FD1" w:rsidP="00043FD1">
      <w:pPr>
        <w:rPr>
          <w:lang w:val="en-GB"/>
        </w:rPr>
      </w:pPr>
    </w:p>
    <w:bookmarkStart w:id="3" w:name="_Ref230608236"/>
    <w:bookmarkStart w:id="4" w:name="_Ref231308773"/>
    <w:p w14:paraId="58688CA9" w14:textId="5EBF3A7A" w:rsidR="00D479F5" w:rsidRPr="00D479F5" w:rsidRDefault="002B6161" w:rsidP="007D46E1">
      <w:pPr>
        <w:pStyle w:val="reference"/>
        <w:numPr>
          <w:ilvl w:val="0"/>
          <w:numId w:val="49"/>
        </w:numPr>
        <w:spacing w:before="60" w:after="60"/>
        <w:jc w:val="both"/>
        <w:rPr>
          <w:lang w:val="en-GB"/>
        </w:rPr>
      </w:pPr>
      <w:r>
        <w:rPr>
          <w:lang w:val="en-GB"/>
        </w:rPr>
        <w:fldChar w:fldCharType="begin"/>
      </w:r>
      <w:r>
        <w:rPr>
          <w:lang w:val="en-GB"/>
        </w:rPr>
        <w:instrText>HYPERLINK "https://docdb.cept.org/document/421"</w:instrText>
      </w:r>
      <w:r>
        <w:rPr>
          <w:lang w:val="en-GB"/>
        </w:rPr>
      </w:r>
      <w:r>
        <w:rPr>
          <w:lang w:val="en-GB"/>
        </w:rPr>
        <w:fldChar w:fldCharType="separate"/>
      </w:r>
      <w:r w:rsidR="00D479F5" w:rsidRPr="002B6161">
        <w:rPr>
          <w:rStyle w:val="Hyperlink"/>
          <w:lang w:val="en-GB"/>
        </w:rPr>
        <w:t>ECC</w:t>
      </w:r>
      <w:r w:rsidR="00553507" w:rsidRPr="002B6161">
        <w:rPr>
          <w:rStyle w:val="Hyperlink"/>
        </w:rPr>
        <w:t xml:space="preserve"> </w:t>
      </w:r>
      <w:r w:rsidR="00D479F5" w:rsidRPr="002B6161">
        <w:rPr>
          <w:rStyle w:val="Hyperlink"/>
          <w:lang w:val="en-GB"/>
        </w:rPr>
        <w:t>D</w:t>
      </w:r>
      <w:r w:rsidR="00553507" w:rsidRPr="002B6161">
        <w:rPr>
          <w:rStyle w:val="Hyperlink"/>
        </w:rPr>
        <w:t xml:space="preserve">ecision </w:t>
      </w:r>
      <w:r w:rsidR="00D479F5" w:rsidRPr="002B6161">
        <w:rPr>
          <w:rStyle w:val="Hyperlink"/>
          <w:lang w:val="en-GB"/>
        </w:rPr>
        <w:t>(09)02</w:t>
      </w:r>
      <w:r>
        <w:rPr>
          <w:lang w:val="en-GB"/>
        </w:rPr>
        <w:fldChar w:fldCharType="end"/>
      </w:r>
      <w:r w:rsidR="00553507">
        <w:t>: "</w:t>
      </w:r>
      <w:r w:rsidR="00A74824">
        <w:t>On the h</w:t>
      </w:r>
      <w:proofErr w:type="spellStart"/>
      <w:r w:rsidR="00D479F5" w:rsidRPr="00D479F5">
        <w:rPr>
          <w:lang w:val="en-GB"/>
        </w:rPr>
        <w:t>armonisation</w:t>
      </w:r>
      <w:proofErr w:type="spellEnd"/>
      <w:r w:rsidR="00D479F5" w:rsidRPr="00D479F5">
        <w:rPr>
          <w:lang w:val="en-GB"/>
        </w:rPr>
        <w:t xml:space="preserve"> of the bands 1610-1626.5 MHz and 2483.5-2500 MHz for use by systems in the Mobile-Satellite Service</w:t>
      </w:r>
      <w:bookmarkEnd w:id="3"/>
      <w:r w:rsidR="00553507">
        <w:t>"</w:t>
      </w:r>
      <w:r w:rsidR="008E2A18">
        <w:t>, approved</w:t>
      </w:r>
      <w:r w:rsidR="00A74824">
        <w:t xml:space="preserve"> June 2009, </w:t>
      </w:r>
      <w:r w:rsidR="00556E5D" w:rsidRPr="00556E5D">
        <w:t>latest amendment</w:t>
      </w:r>
      <w:r w:rsidR="00323C83" w:rsidRPr="00323C83">
        <w:t xml:space="preserve"> November 2012</w:t>
      </w:r>
      <w:bookmarkEnd w:id="4"/>
    </w:p>
    <w:bookmarkStart w:id="5" w:name="_Ref230608518"/>
    <w:bookmarkStart w:id="6" w:name="_Ref231830702"/>
    <w:p w14:paraId="3DE91E83" w14:textId="193D9C23" w:rsidR="00D479F5" w:rsidRDefault="003F7769" w:rsidP="007D46E1">
      <w:pPr>
        <w:pStyle w:val="reference"/>
        <w:spacing w:before="60" w:after="60"/>
        <w:jc w:val="both"/>
        <w:rPr>
          <w:lang w:val="en-GB"/>
        </w:rPr>
      </w:pPr>
      <w:r>
        <w:rPr>
          <w:lang w:val="en-GB"/>
        </w:rPr>
        <w:fldChar w:fldCharType="begin"/>
      </w:r>
      <w:r>
        <w:rPr>
          <w:lang w:val="en-GB"/>
        </w:rPr>
        <w:instrText>HYPERLINK "https://docdb.cept.org/document/203"</w:instrText>
      </w:r>
      <w:r>
        <w:rPr>
          <w:lang w:val="en-GB"/>
        </w:rPr>
      </w:r>
      <w:r>
        <w:rPr>
          <w:lang w:val="en-GB"/>
        </w:rPr>
        <w:fldChar w:fldCharType="separate"/>
      </w:r>
      <w:r w:rsidR="00D479F5" w:rsidRPr="003F7769">
        <w:rPr>
          <w:rStyle w:val="Hyperlink"/>
          <w:lang w:val="en-GB"/>
        </w:rPr>
        <w:t>ECC Report 095</w:t>
      </w:r>
      <w:r>
        <w:rPr>
          <w:lang w:val="en-GB"/>
        </w:rPr>
        <w:fldChar w:fldCharType="end"/>
      </w:r>
      <w:r w:rsidR="008E2A18">
        <w:t>:</w:t>
      </w:r>
      <w:r w:rsidR="00D479F5" w:rsidRPr="00D479F5">
        <w:rPr>
          <w:lang w:val="en-GB"/>
        </w:rPr>
        <w:t xml:space="preserve"> </w:t>
      </w:r>
      <w:r w:rsidR="008E2A18">
        <w:t>"S</w:t>
      </w:r>
      <w:r w:rsidR="00D479F5" w:rsidRPr="00D479F5">
        <w:rPr>
          <w:lang w:val="en-GB"/>
        </w:rPr>
        <w:t>haring between MSS systems using TDMA and MSS systems using CDMA in the band 1610</w:t>
      </w:r>
      <w:r w:rsidR="008E2A18">
        <w:t>-</w:t>
      </w:r>
      <w:r w:rsidR="00D479F5" w:rsidRPr="00D479F5">
        <w:rPr>
          <w:lang w:val="en-GB"/>
        </w:rPr>
        <w:t>1626.5 MH</w:t>
      </w:r>
      <w:r w:rsidR="00D479F5">
        <w:rPr>
          <w:lang w:val="en-GB"/>
        </w:rPr>
        <w:t>z</w:t>
      </w:r>
      <w:bookmarkEnd w:id="5"/>
      <w:r w:rsidR="008E2A18">
        <w:t>", approved</w:t>
      </w:r>
      <w:r w:rsidR="00E80EB6">
        <w:t xml:space="preserve"> February 2007</w:t>
      </w:r>
      <w:bookmarkEnd w:id="6"/>
    </w:p>
    <w:bookmarkStart w:id="7" w:name="_Ref230609732"/>
    <w:p w14:paraId="7DC20E8C" w14:textId="0A8E32EC" w:rsidR="00967B34" w:rsidRDefault="00154984" w:rsidP="007D46E1">
      <w:pPr>
        <w:pStyle w:val="reference"/>
        <w:spacing w:before="60" w:after="60"/>
        <w:jc w:val="both"/>
        <w:rPr>
          <w:lang w:val="en-GB"/>
        </w:rPr>
      </w:pPr>
      <w:r>
        <w:fldChar w:fldCharType="begin"/>
      </w:r>
      <w:r>
        <w:instrText>HYPERLINK "https://docdb.cept.org/document/28589"</w:instrText>
      </w:r>
      <w:r>
        <w:fldChar w:fldCharType="separate"/>
      </w:r>
      <w:r w:rsidR="008152E8" w:rsidRPr="00154984">
        <w:rPr>
          <w:rStyle w:val="Hyperlink"/>
        </w:rPr>
        <w:t>ECC Report 349</w:t>
      </w:r>
      <w:r>
        <w:fldChar w:fldCharType="end"/>
      </w:r>
      <w:r>
        <w:t xml:space="preserve">: </w:t>
      </w:r>
      <w:r w:rsidR="008E2A18">
        <w:t>"</w:t>
      </w:r>
      <w:r w:rsidR="00E01A48" w:rsidRPr="00E01A48">
        <w:t>Unwanted emissions of IRIDIUM NEXT satellites in the band 1610.6-1613.8 MHz, monitoring campaign of November 2020 to May 2021</w:t>
      </w:r>
      <w:r w:rsidR="008E2A18">
        <w:t xml:space="preserve">", approved </w:t>
      </w:r>
      <w:r w:rsidR="00E01A48" w:rsidRPr="00E01A48">
        <w:t>February 2023</w:t>
      </w:r>
      <w:bookmarkEnd w:id="7"/>
    </w:p>
    <w:bookmarkStart w:id="8" w:name="_Ref230608340"/>
    <w:p w14:paraId="300E435C" w14:textId="35013655" w:rsidR="00D479F5" w:rsidRDefault="00E648C1" w:rsidP="007D46E1">
      <w:pPr>
        <w:pStyle w:val="reference"/>
        <w:spacing w:before="60" w:after="60"/>
        <w:jc w:val="both"/>
        <w:rPr>
          <w:lang w:val="en-GB"/>
        </w:rPr>
      </w:pPr>
      <w:r>
        <w:rPr>
          <w:lang w:val="en-GB"/>
        </w:rPr>
        <w:fldChar w:fldCharType="begin"/>
      </w:r>
      <w:r>
        <w:rPr>
          <w:lang w:val="en-GB"/>
        </w:rPr>
        <w:instrText>HYPERLINK "https://docdb.cept.org/document/435"</w:instrText>
      </w:r>
      <w:r>
        <w:rPr>
          <w:lang w:val="en-GB"/>
        </w:rPr>
      </w:r>
      <w:r>
        <w:rPr>
          <w:lang w:val="en-GB"/>
        </w:rPr>
        <w:fldChar w:fldCharType="separate"/>
      </w:r>
      <w:r w:rsidR="001D041A" w:rsidRPr="00E648C1">
        <w:rPr>
          <w:rStyle w:val="Hyperlink"/>
          <w:lang w:val="en-GB"/>
        </w:rPr>
        <w:t>ECC Decision (12)01</w:t>
      </w:r>
      <w:r>
        <w:rPr>
          <w:lang w:val="en-GB"/>
        </w:rPr>
        <w:fldChar w:fldCharType="end"/>
      </w:r>
      <w:r w:rsidR="008E2A18">
        <w:t>: "</w:t>
      </w:r>
      <w:r w:rsidR="00E21D64">
        <w:t>E</w:t>
      </w:r>
      <w:proofErr w:type="spellStart"/>
      <w:r w:rsidR="001D041A" w:rsidRPr="001D041A">
        <w:rPr>
          <w:lang w:val="en-GB"/>
        </w:rPr>
        <w:t>xemption</w:t>
      </w:r>
      <w:proofErr w:type="spellEnd"/>
      <w:r w:rsidR="001D041A" w:rsidRPr="001D041A">
        <w:rPr>
          <w:lang w:val="en-GB"/>
        </w:rPr>
        <w:t xml:space="preserve"> from individual licensing and free circulation and use of satellite mobile terminals operating under the control of networks in the range 1 to 3 GHz</w:t>
      </w:r>
      <w:bookmarkEnd w:id="8"/>
      <w:r w:rsidR="008E2A18">
        <w:t xml:space="preserve">", approved </w:t>
      </w:r>
      <w:r w:rsidR="00E21D64">
        <w:t xml:space="preserve">June 2012, </w:t>
      </w:r>
      <w:r w:rsidR="00556E5D" w:rsidRPr="00556E5D">
        <w:t>latest amendment</w:t>
      </w:r>
      <w:r w:rsidR="00E21D64">
        <w:t xml:space="preserve"> March 2022</w:t>
      </w:r>
    </w:p>
    <w:p w14:paraId="29060B20" w14:textId="267EDA7D" w:rsidR="00A22263" w:rsidRPr="00E21D64" w:rsidRDefault="00A22263" w:rsidP="007D46E1">
      <w:pPr>
        <w:pStyle w:val="reference"/>
        <w:spacing w:before="60" w:after="60"/>
        <w:jc w:val="both"/>
      </w:pPr>
      <w:bookmarkStart w:id="9" w:name="_Ref230609671"/>
      <w:r w:rsidRPr="00E21D64">
        <w:t xml:space="preserve">Recommendation </w:t>
      </w:r>
      <w:r w:rsidR="00E21D64" w:rsidRPr="00E21D64">
        <w:t>ITU-R RA.769:</w:t>
      </w:r>
      <w:r w:rsidR="003B3F99">
        <w:t xml:space="preserve"> "</w:t>
      </w:r>
      <w:r w:rsidR="003B3F99" w:rsidRPr="003B3F99">
        <w:t>Protection criteria used for radio astronomical measurements</w:t>
      </w:r>
      <w:r w:rsidR="003B3F99">
        <w:t>"</w:t>
      </w:r>
      <w:bookmarkEnd w:id="9"/>
    </w:p>
    <w:p w14:paraId="3D5BCDC7" w14:textId="021D1C30" w:rsidR="00A22263" w:rsidRPr="00E21D64" w:rsidRDefault="00A22263" w:rsidP="007D46E1">
      <w:pPr>
        <w:pStyle w:val="reference"/>
        <w:spacing w:before="60" w:after="60"/>
        <w:jc w:val="both"/>
      </w:pPr>
      <w:bookmarkStart w:id="10" w:name="_Ref230609678"/>
      <w:r w:rsidRPr="00E21D64">
        <w:t xml:space="preserve">Recommendation </w:t>
      </w:r>
      <w:r w:rsidR="00E21D64" w:rsidRPr="00E21D64">
        <w:t>ITU-R RA.1513</w:t>
      </w:r>
      <w:r w:rsidR="00E21D64">
        <w:t xml:space="preserve">: </w:t>
      </w:r>
      <w:r w:rsidR="003B3F99">
        <w:t>"</w:t>
      </w:r>
      <w:r w:rsidR="00135724" w:rsidRPr="00135724">
        <w:t>Levels of data loss to radio astronomy observations and percentage-of-time criteria resulting from degradation by interference for frequency bands allocated to the radio astronomy service on a primary basis</w:t>
      </w:r>
      <w:r w:rsidR="003B3F99">
        <w:t>"</w:t>
      </w:r>
      <w:bookmarkEnd w:id="10"/>
    </w:p>
    <w:p w14:paraId="1C4B0E26" w14:textId="0ED93603" w:rsidR="00967B34" w:rsidRPr="00967B34" w:rsidRDefault="00967B34" w:rsidP="007D46E1">
      <w:pPr>
        <w:pStyle w:val="reference"/>
        <w:spacing w:before="60" w:after="60"/>
        <w:jc w:val="both"/>
        <w:rPr>
          <w:lang w:val="en-GB"/>
        </w:rPr>
      </w:pPr>
      <w:bookmarkStart w:id="11" w:name="_Ref230608372"/>
      <w:r w:rsidRPr="00967B34">
        <w:rPr>
          <w:lang w:val="en-GB"/>
        </w:rPr>
        <w:t xml:space="preserve">WG FM Chair’s Report, Doc. </w:t>
      </w:r>
      <w:hyperlink r:id="rId15" w:history="1">
        <w:r w:rsidRPr="00EC624B">
          <w:rPr>
            <w:rStyle w:val="Hyperlink"/>
            <w:lang w:val="en-GB"/>
          </w:rPr>
          <w:t>FM(25)126 Annex 12</w:t>
        </w:r>
      </w:hyperlink>
      <w:r w:rsidRPr="00967B34">
        <w:rPr>
          <w:lang w:val="en-GB"/>
        </w:rPr>
        <w:t>: “Summary of the responses to the questionnaire to CEPT administrations to collect information about authorisation for the IRIDIUM mobile satellite system and earth stations under the control of the IRIDIUM system in CEPT countries”</w:t>
      </w:r>
      <w:bookmarkEnd w:id="11"/>
      <w:r w:rsidR="00EB1174" w:rsidRPr="00EB1174">
        <w:rPr>
          <w:lang w:val="en-GB"/>
        </w:rPr>
        <w:t xml:space="preserve">, </w:t>
      </w:r>
      <w:r w:rsidR="00EC624B">
        <w:t xml:space="preserve">approved </w:t>
      </w:r>
      <w:r w:rsidR="00EB1174" w:rsidRPr="00EB1174">
        <w:rPr>
          <w:lang w:val="en-GB"/>
        </w:rPr>
        <w:t>October 2025</w:t>
      </w:r>
    </w:p>
    <w:p w14:paraId="2E3AE97A" w14:textId="77777777" w:rsidR="00043FD1" w:rsidRPr="00B24357" w:rsidRDefault="00043FD1" w:rsidP="007D46E1">
      <w:pPr>
        <w:pStyle w:val="reference"/>
        <w:numPr>
          <w:ilvl w:val="0"/>
          <w:numId w:val="0"/>
        </w:numPr>
        <w:rPr>
          <w:lang w:val="en-GB"/>
        </w:rPr>
      </w:pPr>
    </w:p>
    <w:sectPr w:rsidR="00043FD1" w:rsidRPr="00B24357" w:rsidSect="00C74BE6">
      <w:headerReference w:type="even" r:id="rId16"/>
      <w:headerReference w:type="default" r:id="rId17"/>
      <w:headerReference w:type="first" r:id="rId18"/>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5E2E" w14:textId="77777777" w:rsidR="009D7A1A" w:rsidRDefault="009D7A1A" w:rsidP="00C74BE6">
      <w:r>
        <w:separator/>
      </w:r>
    </w:p>
  </w:endnote>
  <w:endnote w:type="continuationSeparator" w:id="0">
    <w:p w14:paraId="69B1828D" w14:textId="77777777" w:rsidR="009D7A1A" w:rsidRDefault="009D7A1A"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47CC" w14:textId="77777777" w:rsidR="00176452" w:rsidRDefault="00176452">
    <w:pPr>
      <w:pStyle w:val="Footer"/>
    </w:pPr>
    <w:r w:rsidRPr="00822AE0">
      <w:rPr>
        <w:sz w:val="18"/>
        <w:szCs w:val="18"/>
        <w:lang w:val="da-DK"/>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6E3C" w14:textId="77777777" w:rsidR="00176452" w:rsidRDefault="00176452">
    <w:pPr>
      <w:pStyle w:val="Footer"/>
    </w:pPr>
    <w:r w:rsidRPr="00822AE0">
      <w:rPr>
        <w:sz w:val="18"/>
        <w:szCs w:val="18"/>
        <w:lang w:val="da-DK"/>
      </w:rPr>
      <w:t>Edition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083C" w14:textId="77777777" w:rsidR="00176452" w:rsidRPr="00822AE0" w:rsidRDefault="00176452">
    <w:pPr>
      <w:pStyle w:val="Footer"/>
      <w:rPr>
        <w:sz w:val="18"/>
        <w:szCs w:val="18"/>
        <w:lang w:val="da-DK"/>
      </w:rPr>
    </w:pPr>
    <w:r w:rsidRPr="00822AE0">
      <w:rPr>
        <w:sz w:val="18"/>
        <w:szCs w:val="18"/>
        <w:lang w:val="da-DK"/>
      </w:rPr>
      <w:t>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C58F" w14:textId="77777777" w:rsidR="009D7A1A" w:rsidRDefault="009D7A1A" w:rsidP="00C74BE6">
      <w:r>
        <w:separator/>
      </w:r>
    </w:p>
  </w:footnote>
  <w:footnote w:type="continuationSeparator" w:id="0">
    <w:p w14:paraId="75D0D24D" w14:textId="77777777" w:rsidR="009D7A1A" w:rsidRDefault="009D7A1A"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8AC3" w14:textId="35B800D1" w:rsidR="00176452" w:rsidRPr="007C5F95" w:rsidRDefault="003D5542">
    <w:pPr>
      <w:pStyle w:val="Header"/>
      <w:rPr>
        <w:b w:val="0"/>
        <w:lang w:val="da-DK"/>
      </w:rPr>
    </w:pPr>
    <w:r>
      <w:rPr>
        <w:noProof/>
      </w:rPr>
      <mc:AlternateContent>
        <mc:Choice Requires="wps">
          <w:drawing>
            <wp:anchor distT="0" distB="0" distL="0" distR="0" simplePos="0" relativeHeight="251658248" behindDoc="0" locked="0" layoutInCell="1" allowOverlap="1" wp14:anchorId="6F041B34" wp14:editId="344D652C">
              <wp:simplePos x="635" y="635"/>
              <wp:positionH relativeFrom="page">
                <wp:align>left</wp:align>
              </wp:positionH>
              <wp:positionV relativeFrom="page">
                <wp:align>top</wp:align>
              </wp:positionV>
              <wp:extent cx="2256155" cy="376555"/>
              <wp:effectExtent l="0" t="0" r="10795" b="4445"/>
              <wp:wrapNone/>
              <wp:docPr id="1778741211"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6155" cy="376555"/>
                      </a:xfrm>
                      <a:prstGeom prst="rect">
                        <a:avLst/>
                      </a:prstGeom>
                      <a:noFill/>
                      <a:ln>
                        <a:noFill/>
                      </a:ln>
                    </wps:spPr>
                    <wps:txbx>
                      <w:txbxContent>
                        <w:p w14:paraId="2D20D97D" w14:textId="6044630E" w:rsidR="003D5542" w:rsidRPr="003D5542" w:rsidRDefault="003D5542" w:rsidP="003D5542">
                          <w:pPr>
                            <w:rPr>
                              <w:rFonts w:ascii="Aptos" w:eastAsia="Aptos" w:hAnsi="Aptos" w:cs="Aptos"/>
                              <w:noProof/>
                              <w:color w:val="000000"/>
                              <w:sz w:val="24"/>
                            </w:rPr>
                          </w:pPr>
                          <w:r w:rsidRPr="003D5542">
                            <w:rPr>
                              <w:rFonts w:ascii="Aptos" w:eastAsia="Aptos" w:hAnsi="Aptos" w:cs="Aptos"/>
                              <w:noProof/>
                              <w:color w:val="000000"/>
                              <w:sz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041B34" id="_x0000_t202" coordsize="21600,21600" o:spt="202" path="m,l,21600r21600,l21600,xe">
              <v:stroke joinstyle="miter"/>
              <v:path gradientshapeok="t" o:connecttype="rect"/>
            </v:shapetype>
            <v:shape id="Text Box 2" o:spid="_x0000_s1032" type="#_x0000_t202" alt="Classification: CONFIDENTIAL" style="position:absolute;margin-left:0;margin-top:0;width:177.65pt;height:29.6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" filled="f" stroked="f">
              <v:textbox style="mso-fit-shape-to-text:t" inset="20pt,15pt,0,0">
                <w:txbxContent>
                  <w:p w14:paraId="2D20D97D" w14:textId="6044630E" w:rsidR="003D5542" w:rsidRPr="003D5542" w:rsidRDefault="003D5542" w:rsidP="003D5542">
                    <w:pPr>
                      <w:rPr>
                        <w:rFonts w:ascii="Aptos" w:eastAsia="Aptos" w:hAnsi="Aptos" w:cs="Aptos"/>
                        <w:noProof/>
                        <w:color w:val="000000"/>
                        <w:sz w:val="24"/>
                      </w:rPr>
                    </w:pPr>
                    <w:r w:rsidRPr="003D5542">
                      <w:rPr>
                        <w:rFonts w:ascii="Aptos" w:eastAsia="Aptos" w:hAnsi="Aptos" w:cs="Aptos"/>
                        <w:noProof/>
                        <w:color w:val="000000"/>
                        <w:sz w:val="24"/>
                      </w:rPr>
                      <w:t>Classification: CONFIDENTIAL</w:t>
                    </w:r>
                  </w:p>
                </w:txbxContent>
              </v:textbox>
              <w10:wrap anchorx="page" anchory="page"/>
            </v:shape>
          </w:pict>
        </mc:Fallback>
      </mc:AlternateContent>
    </w:r>
    <w:r w:rsidR="00000000">
      <w:rPr>
        <w:noProof/>
      </w:rPr>
      <w:pict w14:anchorId="14370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6" o:spid="_x0000_s1026" type="#_x0000_t136" style="position:absolute;margin-left:0;margin-top:0;width:486.95pt;height:192.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76452" w:rsidRPr="007C5F95">
      <w:rPr>
        <w:b w:val="0"/>
        <w:lang w:val="da-DK"/>
      </w:rPr>
      <w:t>Draft ECC REPORT XXX</w:t>
    </w:r>
  </w:p>
  <w:p w14:paraId="7B0F5F4F" w14:textId="77777777" w:rsidR="00176452" w:rsidRPr="007C5F95" w:rsidRDefault="00176452">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B5A" w14:textId="5F59E84C" w:rsidR="00176452" w:rsidRPr="007C5F95" w:rsidRDefault="003D5542" w:rsidP="00C74BE6">
    <w:pPr>
      <w:pStyle w:val="Header"/>
      <w:jc w:val="right"/>
      <w:rPr>
        <w:b w:val="0"/>
        <w:lang w:val="da-DK"/>
      </w:rPr>
    </w:pPr>
    <w:r>
      <w:rPr>
        <w:noProof/>
      </w:rPr>
      <mc:AlternateContent>
        <mc:Choice Requires="wps">
          <w:drawing>
            <wp:anchor distT="0" distB="0" distL="0" distR="0" simplePos="0" relativeHeight="251658249" behindDoc="0" locked="0" layoutInCell="1" allowOverlap="1" wp14:anchorId="17319F6A" wp14:editId="0FF94266">
              <wp:simplePos x="635" y="635"/>
              <wp:positionH relativeFrom="page">
                <wp:align>left</wp:align>
              </wp:positionH>
              <wp:positionV relativeFrom="page">
                <wp:align>top</wp:align>
              </wp:positionV>
              <wp:extent cx="2256155" cy="376555"/>
              <wp:effectExtent l="0" t="0" r="10795" b="4445"/>
              <wp:wrapNone/>
              <wp:docPr id="275989436" name="Text Box 3"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6155" cy="376555"/>
                      </a:xfrm>
                      <a:prstGeom prst="rect">
                        <a:avLst/>
                      </a:prstGeom>
                      <a:noFill/>
                      <a:ln>
                        <a:noFill/>
                      </a:ln>
                    </wps:spPr>
                    <wps:txbx>
                      <w:txbxContent>
                        <w:p w14:paraId="5BD70828" w14:textId="6360DFD7" w:rsidR="003D5542" w:rsidRPr="003D5542" w:rsidRDefault="003D5542" w:rsidP="003D5542">
                          <w:pPr>
                            <w:rPr>
                              <w:rFonts w:ascii="Aptos" w:eastAsia="Aptos" w:hAnsi="Aptos" w:cs="Aptos"/>
                              <w:noProof/>
                              <w:color w:val="000000"/>
                              <w:sz w:val="24"/>
                            </w:rPr>
                          </w:pPr>
                          <w:r w:rsidRPr="003D5542">
                            <w:rPr>
                              <w:rFonts w:ascii="Aptos" w:eastAsia="Aptos" w:hAnsi="Aptos" w:cs="Aptos"/>
                              <w:noProof/>
                              <w:color w:val="000000"/>
                              <w:sz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319F6A" id="_x0000_t202" coordsize="21600,21600" o:spt="202" path="m,l,21600r21600,l21600,xe">
              <v:stroke joinstyle="miter"/>
              <v:path gradientshapeok="t" o:connecttype="rect"/>
            </v:shapetype>
            <v:shape id="Text Box 3" o:spid="_x0000_s1033" type="#_x0000_t202" alt="Classification: CONFIDENTIAL" style="position:absolute;left:0;text-align:left;margin-left:0;margin-top:0;width:177.65pt;height:29.6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" filled="f" stroked="f">
              <v:textbox style="mso-fit-shape-to-text:t" inset="20pt,15pt,0,0">
                <w:txbxContent>
                  <w:p w14:paraId="5BD70828" w14:textId="6360DFD7" w:rsidR="003D5542" w:rsidRPr="003D5542" w:rsidRDefault="003D5542" w:rsidP="003D5542">
                    <w:pPr>
                      <w:rPr>
                        <w:rFonts w:ascii="Aptos" w:eastAsia="Aptos" w:hAnsi="Aptos" w:cs="Aptos"/>
                        <w:noProof/>
                        <w:color w:val="000000"/>
                        <w:sz w:val="24"/>
                      </w:rPr>
                    </w:pPr>
                    <w:r w:rsidRPr="003D5542">
                      <w:rPr>
                        <w:rFonts w:ascii="Aptos" w:eastAsia="Aptos" w:hAnsi="Aptos" w:cs="Aptos"/>
                        <w:noProof/>
                        <w:color w:val="000000"/>
                        <w:sz w:val="24"/>
                      </w:rPr>
                      <w:t>Classification: CONFIDENTIAL</w:t>
                    </w:r>
                  </w:p>
                </w:txbxContent>
              </v:textbox>
              <w10:wrap anchorx="page" anchory="page"/>
            </v:shape>
          </w:pict>
        </mc:Fallback>
      </mc:AlternateContent>
    </w:r>
    <w:r w:rsidR="00000000">
      <w:rPr>
        <w:noProof/>
      </w:rPr>
      <w:pict w14:anchorId="1E27A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7" o:spid="_x0000_s1027"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76452" w:rsidRPr="007C5F95">
      <w:rPr>
        <w:b w:val="0"/>
        <w:lang w:val="da-DK"/>
      </w:rPr>
      <w:t>Draft ECC REPORT XXX</w:t>
    </w:r>
  </w:p>
  <w:p w14:paraId="06AC563F" w14:textId="77777777" w:rsidR="00176452" w:rsidRPr="007C5F95" w:rsidRDefault="00176452"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0AF4" w14:textId="19142EB4" w:rsidR="00176452" w:rsidRDefault="00000000">
    <w:pPr>
      <w:pStyle w:val="Header"/>
    </w:pPr>
    <w:r>
      <w:rPr>
        <w:noProof/>
      </w:rPr>
      <w:pict w14:anchorId="72825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5" o:spid="_x0000_s1025" type="#_x0000_t136" style="position:absolute;margin-left:0;margin-top:0;width:486.95pt;height:19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76452">
      <w:rPr>
        <w:noProof/>
        <w:szCs w:val="20"/>
        <w:lang w:val="de-DE" w:eastAsia="de-DE"/>
      </w:rPr>
      <w:drawing>
        <wp:anchor distT="0" distB="0" distL="114300" distR="114300" simplePos="0" relativeHeight="251658241" behindDoc="0" locked="0" layoutInCell="1" allowOverlap="1" wp14:anchorId="0E41C3EA" wp14:editId="0C05AE5E">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176452">
      <w:rPr>
        <w:noProof/>
        <w:szCs w:val="20"/>
        <w:lang w:val="de-DE" w:eastAsia="de-DE"/>
      </w:rPr>
      <w:drawing>
        <wp:anchor distT="0" distB="0" distL="114300" distR="114300" simplePos="0" relativeHeight="251658240" behindDoc="0" locked="0" layoutInCell="1" allowOverlap="1" wp14:anchorId="50FF1521" wp14:editId="64DA69AE">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D3B8" w14:textId="73F81E6F" w:rsidR="00176452" w:rsidRPr="00B24357" w:rsidRDefault="00000000">
    <w:pPr>
      <w:pStyle w:val="Header"/>
      <w:rPr>
        <w:szCs w:val="16"/>
      </w:rPr>
    </w:pPr>
    <w:r>
      <w:rPr>
        <w:noProof/>
      </w:rPr>
      <w:pict w14:anchorId="2A151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9" o:spid="_x0000_s1029" type="#_x0000_t136" style="position:absolute;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76452" w:rsidRPr="00B24357">
      <w:t>Draft ECC/REC/(</w:t>
    </w:r>
    <w:r w:rsidR="00176452">
      <w:t>2</w:t>
    </w:r>
    <w:r w:rsidR="00611D2C">
      <w:t>6</w:t>
    </w:r>
    <w:r w:rsidR="00176452" w:rsidRPr="00B24357">
      <w:t>)</w:t>
    </w:r>
    <w:r w:rsidR="00611D2C">
      <w:t>04</w:t>
    </w:r>
    <w:r w:rsidR="00176452" w:rsidRPr="00B24357">
      <w:rPr>
        <w:szCs w:val="16"/>
      </w:rPr>
      <w:t xml:space="preserve"> - Page </w:t>
    </w:r>
    <w:r w:rsidR="00176452">
      <w:fldChar w:fldCharType="begin"/>
    </w:r>
    <w:r w:rsidR="00176452">
      <w:instrText xml:space="preserve"> PAGE  \* Arabic  \* MERGEFORMAT </w:instrText>
    </w:r>
    <w:r w:rsidR="00176452">
      <w:fldChar w:fldCharType="separate"/>
    </w:r>
    <w:r w:rsidR="00176452" w:rsidRPr="00AE5EC6">
      <w:rPr>
        <w:noProof/>
        <w:szCs w:val="16"/>
      </w:rPr>
      <w:t>14</w:t>
    </w:r>
    <w:r w:rsidR="00176452">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2A2D" w14:textId="207ADE20" w:rsidR="00176452" w:rsidRPr="00B24357" w:rsidRDefault="00000000" w:rsidP="00C74BE6">
    <w:pPr>
      <w:pStyle w:val="Header"/>
      <w:jc w:val="right"/>
      <w:rPr>
        <w:szCs w:val="16"/>
      </w:rPr>
    </w:pPr>
    <w:r>
      <w:rPr>
        <w:noProof/>
      </w:rPr>
      <w:pict w14:anchorId="064B2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30" o:spid="_x0000_s1030" type="#_x0000_t136" style="position:absolute;left:0;text-align:left;margin-left:0;margin-top:0;width:486.95pt;height:192.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76452" w:rsidRPr="00B24357">
      <w:t>Draft ECC/REC/(</w:t>
    </w:r>
    <w:r w:rsidR="009171D1">
      <w:t>26</w:t>
    </w:r>
    <w:r w:rsidR="00176452" w:rsidRPr="00B24357">
      <w:t>)</w:t>
    </w:r>
    <w:r w:rsidR="00611D2C">
      <w:t>04</w:t>
    </w:r>
    <w:r w:rsidR="00176452" w:rsidRPr="00B24357">
      <w:t xml:space="preserve"> - </w:t>
    </w:r>
    <w:r w:rsidR="00176452" w:rsidRPr="00B24357">
      <w:rPr>
        <w:szCs w:val="16"/>
      </w:rPr>
      <w:t xml:space="preserve">Page </w:t>
    </w:r>
    <w:r w:rsidR="00176452">
      <w:fldChar w:fldCharType="begin"/>
    </w:r>
    <w:r w:rsidR="00176452">
      <w:instrText xml:space="preserve"> PAGE  \* Arabic  \* MERGEFORMAT </w:instrText>
    </w:r>
    <w:r w:rsidR="00176452">
      <w:fldChar w:fldCharType="separate"/>
    </w:r>
    <w:r w:rsidR="00176452" w:rsidRPr="00AE5EC6">
      <w:rPr>
        <w:noProof/>
        <w:szCs w:val="16"/>
      </w:rPr>
      <w:t>15</w:t>
    </w:r>
    <w:r w:rsidR="00176452">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6081" w14:textId="6AA3EB42" w:rsidR="00176452" w:rsidRPr="001223D0" w:rsidRDefault="003D5542" w:rsidP="00C74BE6">
    <w:pPr>
      <w:pStyle w:val="Header"/>
      <w:rPr>
        <w:szCs w:val="16"/>
      </w:rPr>
    </w:pPr>
    <w:r>
      <w:rPr>
        <w:noProof/>
      </w:rPr>
      <mc:AlternateContent>
        <mc:Choice Requires="wps">
          <w:drawing>
            <wp:anchor distT="0" distB="0" distL="0" distR="0" simplePos="0" relativeHeight="251658250" behindDoc="0" locked="0" layoutInCell="1" allowOverlap="1" wp14:anchorId="2D8522BD" wp14:editId="06DD65F1">
              <wp:simplePos x="635" y="635"/>
              <wp:positionH relativeFrom="page">
                <wp:align>left</wp:align>
              </wp:positionH>
              <wp:positionV relativeFrom="page">
                <wp:align>top</wp:align>
              </wp:positionV>
              <wp:extent cx="2256155" cy="376555"/>
              <wp:effectExtent l="0" t="0" r="10795" b="4445"/>
              <wp:wrapNone/>
              <wp:docPr id="1337599405" name="Text Box 4"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6155" cy="376555"/>
                      </a:xfrm>
                      <a:prstGeom prst="rect">
                        <a:avLst/>
                      </a:prstGeom>
                      <a:noFill/>
                      <a:ln>
                        <a:noFill/>
                      </a:ln>
                    </wps:spPr>
                    <wps:txbx>
                      <w:txbxContent>
                        <w:p w14:paraId="4919D3B3" w14:textId="7EDB628C" w:rsidR="003D5542" w:rsidRPr="003D5542" w:rsidRDefault="003D5542" w:rsidP="003D5542">
                          <w:pPr>
                            <w:rPr>
                              <w:rFonts w:ascii="Aptos" w:eastAsia="Aptos" w:hAnsi="Aptos" w:cs="Aptos"/>
                              <w:noProof/>
                              <w:color w:val="000000"/>
                              <w:sz w:val="24"/>
                            </w:rPr>
                          </w:pPr>
                          <w:r w:rsidRPr="003D5542">
                            <w:rPr>
                              <w:rFonts w:ascii="Aptos" w:eastAsia="Aptos" w:hAnsi="Aptos" w:cs="Aptos"/>
                              <w:noProof/>
                              <w:color w:val="000000"/>
                              <w:sz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8522BD" id="_x0000_t202" coordsize="21600,21600" o:spt="202" path="m,l,21600r21600,l21600,xe">
              <v:stroke joinstyle="miter"/>
              <v:path gradientshapeok="t" o:connecttype="rect"/>
            </v:shapetype>
            <v:shape id="Text Box 4" o:spid="_x0000_s1034" type="#_x0000_t202" alt="Classification: CONFIDENTIAL" style="position:absolute;margin-left:0;margin-top:0;width:177.65pt;height:29.65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" filled="f" stroked="f">
              <v:textbox style="mso-fit-shape-to-text:t" inset="20pt,15pt,0,0">
                <w:txbxContent>
                  <w:p w14:paraId="4919D3B3" w14:textId="7EDB628C" w:rsidR="003D5542" w:rsidRPr="003D5542" w:rsidRDefault="003D5542" w:rsidP="003D5542">
                    <w:pPr>
                      <w:rPr>
                        <w:rFonts w:ascii="Aptos" w:eastAsia="Aptos" w:hAnsi="Aptos" w:cs="Aptos"/>
                        <w:noProof/>
                        <w:color w:val="000000"/>
                        <w:sz w:val="24"/>
                      </w:rPr>
                    </w:pPr>
                    <w:r w:rsidRPr="003D5542">
                      <w:rPr>
                        <w:rFonts w:ascii="Aptos" w:eastAsia="Aptos" w:hAnsi="Aptos" w:cs="Aptos"/>
                        <w:noProof/>
                        <w:color w:val="000000"/>
                        <w:sz w:val="24"/>
                      </w:rPr>
                      <w:t>Classification: CONFIDENTIAL</w:t>
                    </w:r>
                  </w:p>
                </w:txbxContent>
              </v:textbox>
              <w10:wrap anchorx="page" anchory="page"/>
            </v:shape>
          </w:pict>
        </mc:Fallback>
      </mc:AlternateContent>
    </w:r>
    <w:r w:rsidR="00000000">
      <w:rPr>
        <w:noProof/>
      </w:rPr>
      <w:pict w14:anchorId="0BADD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8" o:spid="_x0000_s1028" type="#_x0000_t136" style="position:absolute;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61C5"/>
    <w:multiLevelType w:val="hybridMultilevel"/>
    <w:tmpl w:val="C63ED9DC"/>
    <w:lvl w:ilvl="0" w:tplc="B30C7CE4">
      <w:numFmt w:val="bullet"/>
      <w:lvlText w:val="•"/>
      <w:lvlJc w:val="left"/>
      <w:pPr>
        <w:ind w:left="1429"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A0161"/>
    <w:multiLevelType w:val="hybridMultilevel"/>
    <w:tmpl w:val="0AE40AC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F4188"/>
    <w:multiLevelType w:val="multilevel"/>
    <w:tmpl w:val="4620B64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9" w15:restartNumberingAfterBreak="0">
    <w:nsid w:val="3CCF0FBE"/>
    <w:multiLevelType w:val="hybridMultilevel"/>
    <w:tmpl w:val="1624A5A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3D163F7A"/>
    <w:multiLevelType w:val="multilevel"/>
    <w:tmpl w:val="0272473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F2E02EB"/>
    <w:multiLevelType w:val="hybridMultilevel"/>
    <w:tmpl w:val="7BFAA592"/>
    <w:lvl w:ilvl="0" w:tplc="F5266CAC">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E6242A"/>
    <w:multiLevelType w:val="hybridMultilevel"/>
    <w:tmpl w:val="3C10A558"/>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4CC72D00"/>
    <w:multiLevelType w:val="hybridMultilevel"/>
    <w:tmpl w:val="E87A4DC4"/>
    <w:lvl w:ilvl="0" w:tplc="A1444D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9A583F"/>
    <w:multiLevelType w:val="hybridMultilevel"/>
    <w:tmpl w:val="DD5C956E"/>
    <w:lvl w:ilvl="0" w:tplc="725EE3C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200C1B"/>
    <w:multiLevelType w:val="hybridMultilevel"/>
    <w:tmpl w:val="170203D8"/>
    <w:lvl w:ilvl="0" w:tplc="A1444D18">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546B622E"/>
    <w:multiLevelType w:val="hybridMultilevel"/>
    <w:tmpl w:val="B0728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EF2C08"/>
    <w:multiLevelType w:val="hybridMultilevel"/>
    <w:tmpl w:val="43E62272"/>
    <w:lvl w:ilvl="0" w:tplc="347CDEA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B3761B"/>
    <w:multiLevelType w:val="hybridMultilevel"/>
    <w:tmpl w:val="653AF25E"/>
    <w:lvl w:ilvl="0" w:tplc="B30C7C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6F666BF4"/>
    <w:multiLevelType w:val="hybridMultilevel"/>
    <w:tmpl w:val="440E28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956908"/>
    <w:multiLevelType w:val="multilevel"/>
    <w:tmpl w:val="5FF6F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4549C"/>
    <w:multiLevelType w:val="hybridMultilevel"/>
    <w:tmpl w:val="55A03E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E460663"/>
    <w:multiLevelType w:val="hybridMultilevel"/>
    <w:tmpl w:val="88246726"/>
    <w:lvl w:ilvl="0" w:tplc="A1444D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0666055">
    <w:abstractNumId w:val="4"/>
  </w:num>
  <w:num w:numId="2" w16cid:durableId="1428043027">
    <w:abstractNumId w:val="10"/>
  </w:num>
  <w:num w:numId="3" w16cid:durableId="559875086">
    <w:abstractNumId w:val="26"/>
  </w:num>
  <w:num w:numId="4" w16cid:durableId="65883988">
    <w:abstractNumId w:val="13"/>
  </w:num>
  <w:num w:numId="5" w16cid:durableId="1408575318">
    <w:abstractNumId w:val="12"/>
  </w:num>
  <w:num w:numId="6" w16cid:durableId="327366084">
    <w:abstractNumId w:val="5"/>
  </w:num>
  <w:num w:numId="7" w16cid:durableId="1105152755">
    <w:abstractNumId w:val="3"/>
  </w:num>
  <w:num w:numId="8" w16cid:durableId="1534271037">
    <w:abstractNumId w:val="19"/>
  </w:num>
  <w:num w:numId="9" w16cid:durableId="1707368744">
    <w:abstractNumId w:val="8"/>
  </w:num>
  <w:num w:numId="10" w16cid:durableId="967321448">
    <w:abstractNumId w:val="14"/>
  </w:num>
  <w:num w:numId="11" w16cid:durableId="949433997">
    <w:abstractNumId w:val="22"/>
  </w:num>
  <w:num w:numId="12" w16cid:durableId="1590888166">
    <w:abstractNumId w:val="2"/>
  </w:num>
  <w:num w:numId="13" w16cid:durableId="772282827">
    <w:abstractNumId w:val="7"/>
  </w:num>
  <w:num w:numId="14" w16cid:durableId="712998740">
    <w:abstractNumId w:val="6"/>
  </w:num>
  <w:num w:numId="15" w16cid:durableId="470252290">
    <w:abstractNumId w:val="15"/>
  </w:num>
  <w:num w:numId="16" w16cid:durableId="1549756604">
    <w:abstractNumId w:val="27"/>
  </w:num>
  <w:num w:numId="17" w16cid:durableId="1435514975">
    <w:abstractNumId w:val="17"/>
  </w:num>
  <w:num w:numId="18" w16cid:durableId="1116558319">
    <w:abstractNumId w:val="16"/>
  </w:num>
  <w:num w:numId="19" w16cid:durableId="1552692623">
    <w:abstractNumId w:val="20"/>
  </w:num>
  <w:num w:numId="20" w16cid:durableId="387191880">
    <w:abstractNumId w:val="24"/>
  </w:num>
  <w:num w:numId="21" w16cid:durableId="490175898">
    <w:abstractNumId w:val="1"/>
  </w:num>
  <w:num w:numId="22" w16cid:durableId="785082862">
    <w:abstractNumId w:val="12"/>
  </w:num>
  <w:num w:numId="23" w16cid:durableId="1190922120">
    <w:abstractNumId w:val="12"/>
  </w:num>
  <w:num w:numId="24" w16cid:durableId="1034037223">
    <w:abstractNumId w:val="25"/>
  </w:num>
  <w:num w:numId="25" w16cid:durableId="1643654112">
    <w:abstractNumId w:val="12"/>
    <w:lvlOverride w:ilvl="0">
      <w:startOverride w:val="1"/>
    </w:lvlOverride>
  </w:num>
  <w:num w:numId="26" w16cid:durableId="131101268">
    <w:abstractNumId w:val="10"/>
  </w:num>
  <w:num w:numId="27" w16cid:durableId="1886869546">
    <w:abstractNumId w:val="23"/>
  </w:num>
  <w:num w:numId="28" w16cid:durableId="1211190591">
    <w:abstractNumId w:val="5"/>
  </w:num>
  <w:num w:numId="29" w16cid:durableId="909652310">
    <w:abstractNumId w:val="5"/>
  </w:num>
  <w:num w:numId="30" w16cid:durableId="1709992321">
    <w:abstractNumId w:val="5"/>
  </w:num>
  <w:num w:numId="31" w16cid:durableId="1849057842">
    <w:abstractNumId w:val="5"/>
  </w:num>
  <w:num w:numId="32" w16cid:durableId="1308779504">
    <w:abstractNumId w:val="5"/>
  </w:num>
  <w:num w:numId="33" w16cid:durableId="918715258">
    <w:abstractNumId w:val="5"/>
  </w:num>
  <w:num w:numId="34" w16cid:durableId="1380594394">
    <w:abstractNumId w:val="5"/>
  </w:num>
  <w:num w:numId="35" w16cid:durableId="2111898077">
    <w:abstractNumId w:val="5"/>
  </w:num>
  <w:num w:numId="36" w16cid:durableId="1365015787">
    <w:abstractNumId w:val="5"/>
  </w:num>
  <w:num w:numId="37" w16cid:durableId="53628454">
    <w:abstractNumId w:val="5"/>
  </w:num>
  <w:num w:numId="38" w16cid:durableId="516893398">
    <w:abstractNumId w:val="5"/>
  </w:num>
  <w:num w:numId="39" w16cid:durableId="564535957">
    <w:abstractNumId w:val="5"/>
  </w:num>
  <w:num w:numId="40" w16cid:durableId="1395737270">
    <w:abstractNumId w:val="5"/>
  </w:num>
  <w:num w:numId="41" w16cid:durableId="1214999450">
    <w:abstractNumId w:val="5"/>
  </w:num>
  <w:num w:numId="42" w16cid:durableId="84814123">
    <w:abstractNumId w:val="5"/>
  </w:num>
  <w:num w:numId="43" w16cid:durableId="1953974281">
    <w:abstractNumId w:val="5"/>
  </w:num>
  <w:num w:numId="44" w16cid:durableId="596137148">
    <w:abstractNumId w:val="5"/>
  </w:num>
  <w:num w:numId="45" w16cid:durableId="1906990462">
    <w:abstractNumId w:val="18"/>
  </w:num>
  <w:num w:numId="46" w16cid:durableId="128204555">
    <w:abstractNumId w:val="0"/>
  </w:num>
  <w:num w:numId="47" w16cid:durableId="90862298">
    <w:abstractNumId w:val="21"/>
  </w:num>
  <w:num w:numId="48" w16cid:durableId="1264994736">
    <w:abstractNumId w:val="9"/>
  </w:num>
  <w:num w:numId="49" w16cid:durableId="1967392671">
    <w:abstractNumId w:val="12"/>
    <w:lvlOverride w:ilvl="0">
      <w:startOverride w:val="1"/>
    </w:lvlOverride>
  </w:num>
  <w:num w:numId="50" w16cid:durableId="1787892619">
    <w:abstractNumId w:val="11"/>
  </w:num>
  <w:num w:numId="51" w16cid:durableId="1403062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cumentProtection w:formatting="1" w:enforcement="0"/>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FE"/>
    <w:rsid w:val="00000B2A"/>
    <w:rsid w:val="000152D5"/>
    <w:rsid w:val="00020F5D"/>
    <w:rsid w:val="00023E57"/>
    <w:rsid w:val="00034515"/>
    <w:rsid w:val="0004032E"/>
    <w:rsid w:val="00043FD1"/>
    <w:rsid w:val="000464C4"/>
    <w:rsid w:val="000473EC"/>
    <w:rsid w:val="00047997"/>
    <w:rsid w:val="000534DE"/>
    <w:rsid w:val="00053843"/>
    <w:rsid w:val="00061486"/>
    <w:rsid w:val="00066C29"/>
    <w:rsid w:val="0007195A"/>
    <w:rsid w:val="00073658"/>
    <w:rsid w:val="0008437B"/>
    <w:rsid w:val="00086ED4"/>
    <w:rsid w:val="00094BCF"/>
    <w:rsid w:val="000A4884"/>
    <w:rsid w:val="000B3482"/>
    <w:rsid w:val="000B677D"/>
    <w:rsid w:val="000C3A7D"/>
    <w:rsid w:val="000C488C"/>
    <w:rsid w:val="000D09FF"/>
    <w:rsid w:val="000D0B07"/>
    <w:rsid w:val="000D3C10"/>
    <w:rsid w:val="000E0577"/>
    <w:rsid w:val="000F6B01"/>
    <w:rsid w:val="000F7B84"/>
    <w:rsid w:val="00102C5F"/>
    <w:rsid w:val="00111CDD"/>
    <w:rsid w:val="00112691"/>
    <w:rsid w:val="00113C42"/>
    <w:rsid w:val="0011790B"/>
    <w:rsid w:val="00124AB8"/>
    <w:rsid w:val="00132A68"/>
    <w:rsid w:val="00135724"/>
    <w:rsid w:val="001369B0"/>
    <w:rsid w:val="00144F4A"/>
    <w:rsid w:val="0015457F"/>
    <w:rsid w:val="00154984"/>
    <w:rsid w:val="001622E0"/>
    <w:rsid w:val="00171402"/>
    <w:rsid w:val="00171447"/>
    <w:rsid w:val="00173606"/>
    <w:rsid w:val="00176452"/>
    <w:rsid w:val="00176C2E"/>
    <w:rsid w:val="0017721D"/>
    <w:rsid w:val="001910CD"/>
    <w:rsid w:val="00196C4B"/>
    <w:rsid w:val="00196F76"/>
    <w:rsid w:val="0019763F"/>
    <w:rsid w:val="001A0432"/>
    <w:rsid w:val="001A4154"/>
    <w:rsid w:val="001A721A"/>
    <w:rsid w:val="001B00B4"/>
    <w:rsid w:val="001B1AE5"/>
    <w:rsid w:val="001C1FF3"/>
    <w:rsid w:val="001C3AF1"/>
    <w:rsid w:val="001C503E"/>
    <w:rsid w:val="001D041A"/>
    <w:rsid w:val="001D4F7D"/>
    <w:rsid w:val="001E406E"/>
    <w:rsid w:val="001E4ABF"/>
    <w:rsid w:val="001F451B"/>
    <w:rsid w:val="001F54C5"/>
    <w:rsid w:val="00201F82"/>
    <w:rsid w:val="00203E66"/>
    <w:rsid w:val="002212F0"/>
    <w:rsid w:val="00223C12"/>
    <w:rsid w:val="002337C7"/>
    <w:rsid w:val="00234C4E"/>
    <w:rsid w:val="002402CE"/>
    <w:rsid w:val="002402D1"/>
    <w:rsid w:val="002428E1"/>
    <w:rsid w:val="002453D8"/>
    <w:rsid w:val="00256399"/>
    <w:rsid w:val="0025669B"/>
    <w:rsid w:val="00256836"/>
    <w:rsid w:val="0026037C"/>
    <w:rsid w:val="00273468"/>
    <w:rsid w:val="002827DB"/>
    <w:rsid w:val="00283E75"/>
    <w:rsid w:val="00285CE1"/>
    <w:rsid w:val="002954AD"/>
    <w:rsid w:val="00296FFF"/>
    <w:rsid w:val="002973BB"/>
    <w:rsid w:val="002A175F"/>
    <w:rsid w:val="002A328A"/>
    <w:rsid w:val="002B502F"/>
    <w:rsid w:val="002B5B74"/>
    <w:rsid w:val="002B6161"/>
    <w:rsid w:val="002C3B9F"/>
    <w:rsid w:val="002C5453"/>
    <w:rsid w:val="002D05EF"/>
    <w:rsid w:val="002D0C7B"/>
    <w:rsid w:val="002D7734"/>
    <w:rsid w:val="002D7E6A"/>
    <w:rsid w:val="002E0B92"/>
    <w:rsid w:val="002E21F7"/>
    <w:rsid w:val="002F62B0"/>
    <w:rsid w:val="002F6F27"/>
    <w:rsid w:val="002F7CA3"/>
    <w:rsid w:val="00300B0C"/>
    <w:rsid w:val="00300D68"/>
    <w:rsid w:val="00312047"/>
    <w:rsid w:val="00317455"/>
    <w:rsid w:val="00323C83"/>
    <w:rsid w:val="003300FB"/>
    <w:rsid w:val="0033177D"/>
    <w:rsid w:val="003423A1"/>
    <w:rsid w:val="00345445"/>
    <w:rsid w:val="00350EE1"/>
    <w:rsid w:val="00355FBA"/>
    <w:rsid w:val="00356D29"/>
    <w:rsid w:val="00360831"/>
    <w:rsid w:val="00361F6B"/>
    <w:rsid w:val="00366A81"/>
    <w:rsid w:val="00367D5A"/>
    <w:rsid w:val="0037206D"/>
    <w:rsid w:val="00372DD0"/>
    <w:rsid w:val="00382002"/>
    <w:rsid w:val="00385A0F"/>
    <w:rsid w:val="003936BF"/>
    <w:rsid w:val="003A18F7"/>
    <w:rsid w:val="003A5FA9"/>
    <w:rsid w:val="003A7DF7"/>
    <w:rsid w:val="003B3F99"/>
    <w:rsid w:val="003B6468"/>
    <w:rsid w:val="003C7471"/>
    <w:rsid w:val="003D21E3"/>
    <w:rsid w:val="003D5542"/>
    <w:rsid w:val="003E3C40"/>
    <w:rsid w:val="003E4793"/>
    <w:rsid w:val="003E5FDD"/>
    <w:rsid w:val="003E7750"/>
    <w:rsid w:val="003F0E45"/>
    <w:rsid w:val="003F1C76"/>
    <w:rsid w:val="003F2922"/>
    <w:rsid w:val="003F54ED"/>
    <w:rsid w:val="003F7769"/>
    <w:rsid w:val="00401113"/>
    <w:rsid w:val="004057E4"/>
    <w:rsid w:val="00413616"/>
    <w:rsid w:val="004148D4"/>
    <w:rsid w:val="00416826"/>
    <w:rsid w:val="004174AE"/>
    <w:rsid w:val="00417B35"/>
    <w:rsid w:val="00420A64"/>
    <w:rsid w:val="00422729"/>
    <w:rsid w:val="004263DB"/>
    <w:rsid w:val="00435BFC"/>
    <w:rsid w:val="00443875"/>
    <w:rsid w:val="004513C5"/>
    <w:rsid w:val="00457BAD"/>
    <w:rsid w:val="00482544"/>
    <w:rsid w:val="00483997"/>
    <w:rsid w:val="004907A7"/>
    <w:rsid w:val="00490FBF"/>
    <w:rsid w:val="00491276"/>
    <w:rsid w:val="004A0F1C"/>
    <w:rsid w:val="004A5067"/>
    <w:rsid w:val="004B5A1F"/>
    <w:rsid w:val="004C2F0D"/>
    <w:rsid w:val="004D2570"/>
    <w:rsid w:val="004D47AA"/>
    <w:rsid w:val="004F0136"/>
    <w:rsid w:val="00503F5F"/>
    <w:rsid w:val="00510D3F"/>
    <w:rsid w:val="00515961"/>
    <w:rsid w:val="00521CC1"/>
    <w:rsid w:val="00522C5A"/>
    <w:rsid w:val="00522C7B"/>
    <w:rsid w:val="00533C45"/>
    <w:rsid w:val="005411D5"/>
    <w:rsid w:val="0054120B"/>
    <w:rsid w:val="00544613"/>
    <w:rsid w:val="00546EA8"/>
    <w:rsid w:val="0054758B"/>
    <w:rsid w:val="005518DA"/>
    <w:rsid w:val="00553507"/>
    <w:rsid w:val="0055625C"/>
    <w:rsid w:val="00556E5D"/>
    <w:rsid w:val="00557E01"/>
    <w:rsid w:val="00562E97"/>
    <w:rsid w:val="00563770"/>
    <w:rsid w:val="005655B9"/>
    <w:rsid w:val="00575A8D"/>
    <w:rsid w:val="005766C3"/>
    <w:rsid w:val="005774DD"/>
    <w:rsid w:val="005845E2"/>
    <w:rsid w:val="00584E3B"/>
    <w:rsid w:val="00585FA4"/>
    <w:rsid w:val="0059243D"/>
    <w:rsid w:val="00597B07"/>
    <w:rsid w:val="005A32CA"/>
    <w:rsid w:val="005A410A"/>
    <w:rsid w:val="005A4EDC"/>
    <w:rsid w:val="005B1711"/>
    <w:rsid w:val="005B2F1A"/>
    <w:rsid w:val="005B3B39"/>
    <w:rsid w:val="005B5D93"/>
    <w:rsid w:val="005C3957"/>
    <w:rsid w:val="005C458B"/>
    <w:rsid w:val="005C77B2"/>
    <w:rsid w:val="005D18AE"/>
    <w:rsid w:val="005D2DF8"/>
    <w:rsid w:val="005D695C"/>
    <w:rsid w:val="005D780D"/>
    <w:rsid w:val="005E09D6"/>
    <w:rsid w:val="005E50A0"/>
    <w:rsid w:val="005F4A7C"/>
    <w:rsid w:val="005F553F"/>
    <w:rsid w:val="006030A0"/>
    <w:rsid w:val="00606806"/>
    <w:rsid w:val="00611D2C"/>
    <w:rsid w:val="006148DB"/>
    <w:rsid w:val="006216C1"/>
    <w:rsid w:val="00622AB7"/>
    <w:rsid w:val="00622BAA"/>
    <w:rsid w:val="00622D3F"/>
    <w:rsid w:val="0064480C"/>
    <w:rsid w:val="006479BE"/>
    <w:rsid w:val="006607A4"/>
    <w:rsid w:val="006678CD"/>
    <w:rsid w:val="0067157A"/>
    <w:rsid w:val="006718A1"/>
    <w:rsid w:val="00682C77"/>
    <w:rsid w:val="006A127C"/>
    <w:rsid w:val="006B26A3"/>
    <w:rsid w:val="006B32F4"/>
    <w:rsid w:val="006C2E04"/>
    <w:rsid w:val="006C48A2"/>
    <w:rsid w:val="006D0D3B"/>
    <w:rsid w:val="006D11BB"/>
    <w:rsid w:val="006D524D"/>
    <w:rsid w:val="006D557F"/>
    <w:rsid w:val="006D6331"/>
    <w:rsid w:val="006E3414"/>
    <w:rsid w:val="006E682D"/>
    <w:rsid w:val="006F7EA9"/>
    <w:rsid w:val="00713269"/>
    <w:rsid w:val="00715481"/>
    <w:rsid w:val="007212B4"/>
    <w:rsid w:val="00725AFB"/>
    <w:rsid w:val="007321DF"/>
    <w:rsid w:val="00735490"/>
    <w:rsid w:val="007373E1"/>
    <w:rsid w:val="007409EF"/>
    <w:rsid w:val="00745410"/>
    <w:rsid w:val="007845EF"/>
    <w:rsid w:val="00794B5A"/>
    <w:rsid w:val="007964BE"/>
    <w:rsid w:val="007A2CCB"/>
    <w:rsid w:val="007B52B2"/>
    <w:rsid w:val="007C01DD"/>
    <w:rsid w:val="007C2D2A"/>
    <w:rsid w:val="007C6507"/>
    <w:rsid w:val="007C72CF"/>
    <w:rsid w:val="007D46E1"/>
    <w:rsid w:val="007D7EC6"/>
    <w:rsid w:val="007D7FF6"/>
    <w:rsid w:val="007E2D81"/>
    <w:rsid w:val="007E550C"/>
    <w:rsid w:val="007E7D06"/>
    <w:rsid w:val="007F13D2"/>
    <w:rsid w:val="007F4A0E"/>
    <w:rsid w:val="00804C85"/>
    <w:rsid w:val="00805F44"/>
    <w:rsid w:val="00807693"/>
    <w:rsid w:val="00810E3C"/>
    <w:rsid w:val="008152E8"/>
    <w:rsid w:val="00817053"/>
    <w:rsid w:val="008179CF"/>
    <w:rsid w:val="00822AE0"/>
    <w:rsid w:val="00824FDC"/>
    <w:rsid w:val="00832171"/>
    <w:rsid w:val="00834D10"/>
    <w:rsid w:val="00835C5B"/>
    <w:rsid w:val="00836F73"/>
    <w:rsid w:val="008472FE"/>
    <w:rsid w:val="00850144"/>
    <w:rsid w:val="0085098B"/>
    <w:rsid w:val="00856088"/>
    <w:rsid w:val="00861E82"/>
    <w:rsid w:val="00875221"/>
    <w:rsid w:val="00875809"/>
    <w:rsid w:val="00882570"/>
    <w:rsid w:val="00884120"/>
    <w:rsid w:val="008858EA"/>
    <w:rsid w:val="00887FC0"/>
    <w:rsid w:val="008A6C5B"/>
    <w:rsid w:val="008B0CE4"/>
    <w:rsid w:val="008B1379"/>
    <w:rsid w:val="008B505B"/>
    <w:rsid w:val="008B5333"/>
    <w:rsid w:val="008C0366"/>
    <w:rsid w:val="008D51B4"/>
    <w:rsid w:val="008D78B3"/>
    <w:rsid w:val="008E2A18"/>
    <w:rsid w:val="008E608C"/>
    <w:rsid w:val="008F05EF"/>
    <w:rsid w:val="008F1325"/>
    <w:rsid w:val="008F1470"/>
    <w:rsid w:val="008F410A"/>
    <w:rsid w:val="008F730E"/>
    <w:rsid w:val="00903946"/>
    <w:rsid w:val="00911FA2"/>
    <w:rsid w:val="00913C9E"/>
    <w:rsid w:val="009171D1"/>
    <w:rsid w:val="00920487"/>
    <w:rsid w:val="0092083A"/>
    <w:rsid w:val="00925C7B"/>
    <w:rsid w:val="0093212F"/>
    <w:rsid w:val="00932893"/>
    <w:rsid w:val="00935706"/>
    <w:rsid w:val="00936A66"/>
    <w:rsid w:val="00943C9C"/>
    <w:rsid w:val="00951876"/>
    <w:rsid w:val="00951B68"/>
    <w:rsid w:val="00955C7F"/>
    <w:rsid w:val="009603BD"/>
    <w:rsid w:val="009611FB"/>
    <w:rsid w:val="00961D13"/>
    <w:rsid w:val="00966243"/>
    <w:rsid w:val="00967261"/>
    <w:rsid w:val="00967B34"/>
    <w:rsid w:val="00970407"/>
    <w:rsid w:val="009704E5"/>
    <w:rsid w:val="0097299D"/>
    <w:rsid w:val="00976773"/>
    <w:rsid w:val="009876B0"/>
    <w:rsid w:val="009900E5"/>
    <w:rsid w:val="009A02F2"/>
    <w:rsid w:val="009A3E97"/>
    <w:rsid w:val="009A44B4"/>
    <w:rsid w:val="009B419F"/>
    <w:rsid w:val="009C7C3C"/>
    <w:rsid w:val="009D7A1A"/>
    <w:rsid w:val="009E3ABC"/>
    <w:rsid w:val="009E3F8D"/>
    <w:rsid w:val="009E62B3"/>
    <w:rsid w:val="009F078F"/>
    <w:rsid w:val="009F52C8"/>
    <w:rsid w:val="009F73D1"/>
    <w:rsid w:val="00A01C2E"/>
    <w:rsid w:val="00A076BC"/>
    <w:rsid w:val="00A14412"/>
    <w:rsid w:val="00A17097"/>
    <w:rsid w:val="00A22263"/>
    <w:rsid w:val="00A2604A"/>
    <w:rsid w:val="00A32F0B"/>
    <w:rsid w:val="00A33B1A"/>
    <w:rsid w:val="00A33C64"/>
    <w:rsid w:val="00A33D75"/>
    <w:rsid w:val="00A35738"/>
    <w:rsid w:val="00A40D0B"/>
    <w:rsid w:val="00A45677"/>
    <w:rsid w:val="00A559CD"/>
    <w:rsid w:val="00A6337C"/>
    <w:rsid w:val="00A6489E"/>
    <w:rsid w:val="00A66712"/>
    <w:rsid w:val="00A67C6D"/>
    <w:rsid w:val="00A70FCB"/>
    <w:rsid w:val="00A747DA"/>
    <w:rsid w:val="00A74824"/>
    <w:rsid w:val="00A820D8"/>
    <w:rsid w:val="00A841B6"/>
    <w:rsid w:val="00A935C4"/>
    <w:rsid w:val="00A94CE6"/>
    <w:rsid w:val="00AB1FC1"/>
    <w:rsid w:val="00AB2208"/>
    <w:rsid w:val="00AB4A0E"/>
    <w:rsid w:val="00AB5C26"/>
    <w:rsid w:val="00AE0193"/>
    <w:rsid w:val="00AE0AB7"/>
    <w:rsid w:val="00AE2515"/>
    <w:rsid w:val="00AE5EC6"/>
    <w:rsid w:val="00AF37B5"/>
    <w:rsid w:val="00B00849"/>
    <w:rsid w:val="00B054CF"/>
    <w:rsid w:val="00B05D39"/>
    <w:rsid w:val="00B12AE0"/>
    <w:rsid w:val="00B23E70"/>
    <w:rsid w:val="00B24357"/>
    <w:rsid w:val="00B267E6"/>
    <w:rsid w:val="00B31C11"/>
    <w:rsid w:val="00B374F5"/>
    <w:rsid w:val="00B3795E"/>
    <w:rsid w:val="00B440D3"/>
    <w:rsid w:val="00B442C5"/>
    <w:rsid w:val="00B544F3"/>
    <w:rsid w:val="00B55620"/>
    <w:rsid w:val="00B5744F"/>
    <w:rsid w:val="00B60327"/>
    <w:rsid w:val="00B61D1F"/>
    <w:rsid w:val="00B671E0"/>
    <w:rsid w:val="00B741D4"/>
    <w:rsid w:val="00B77529"/>
    <w:rsid w:val="00B80A2E"/>
    <w:rsid w:val="00B812D3"/>
    <w:rsid w:val="00B8286C"/>
    <w:rsid w:val="00B839FF"/>
    <w:rsid w:val="00B90F20"/>
    <w:rsid w:val="00B935DF"/>
    <w:rsid w:val="00B95887"/>
    <w:rsid w:val="00BA50CB"/>
    <w:rsid w:val="00BB13C1"/>
    <w:rsid w:val="00BB1A60"/>
    <w:rsid w:val="00BB4F53"/>
    <w:rsid w:val="00BB5ADB"/>
    <w:rsid w:val="00BB635F"/>
    <w:rsid w:val="00BC2BBE"/>
    <w:rsid w:val="00BC43E9"/>
    <w:rsid w:val="00BC752D"/>
    <w:rsid w:val="00BD62E5"/>
    <w:rsid w:val="00BD7E2C"/>
    <w:rsid w:val="00BE0362"/>
    <w:rsid w:val="00BE3AC2"/>
    <w:rsid w:val="00BE7C53"/>
    <w:rsid w:val="00BF26EA"/>
    <w:rsid w:val="00BF3031"/>
    <w:rsid w:val="00BF5FE7"/>
    <w:rsid w:val="00C11CAC"/>
    <w:rsid w:val="00C11E28"/>
    <w:rsid w:val="00C12473"/>
    <w:rsid w:val="00C1509B"/>
    <w:rsid w:val="00C16583"/>
    <w:rsid w:val="00C16D57"/>
    <w:rsid w:val="00C229C2"/>
    <w:rsid w:val="00C26913"/>
    <w:rsid w:val="00C27B41"/>
    <w:rsid w:val="00C33946"/>
    <w:rsid w:val="00C3770C"/>
    <w:rsid w:val="00C42170"/>
    <w:rsid w:val="00C435E6"/>
    <w:rsid w:val="00C549F3"/>
    <w:rsid w:val="00C61606"/>
    <w:rsid w:val="00C74BE6"/>
    <w:rsid w:val="00C759A4"/>
    <w:rsid w:val="00C82A07"/>
    <w:rsid w:val="00C85ADE"/>
    <w:rsid w:val="00C9074D"/>
    <w:rsid w:val="00CA05DE"/>
    <w:rsid w:val="00CA4D7F"/>
    <w:rsid w:val="00CB0582"/>
    <w:rsid w:val="00CB091F"/>
    <w:rsid w:val="00CC13F0"/>
    <w:rsid w:val="00CC4B41"/>
    <w:rsid w:val="00CC5E91"/>
    <w:rsid w:val="00CE180A"/>
    <w:rsid w:val="00CE6813"/>
    <w:rsid w:val="00CF42C8"/>
    <w:rsid w:val="00CF7002"/>
    <w:rsid w:val="00D0384C"/>
    <w:rsid w:val="00D10ACC"/>
    <w:rsid w:val="00D128BD"/>
    <w:rsid w:val="00D163E0"/>
    <w:rsid w:val="00D252B3"/>
    <w:rsid w:val="00D253EA"/>
    <w:rsid w:val="00D2755A"/>
    <w:rsid w:val="00D36582"/>
    <w:rsid w:val="00D37EE3"/>
    <w:rsid w:val="00D405E6"/>
    <w:rsid w:val="00D479F5"/>
    <w:rsid w:val="00D47BB7"/>
    <w:rsid w:val="00D60E04"/>
    <w:rsid w:val="00D61512"/>
    <w:rsid w:val="00D64FFF"/>
    <w:rsid w:val="00D74609"/>
    <w:rsid w:val="00D802B8"/>
    <w:rsid w:val="00D802CA"/>
    <w:rsid w:val="00D813FF"/>
    <w:rsid w:val="00D87072"/>
    <w:rsid w:val="00D95454"/>
    <w:rsid w:val="00D954D0"/>
    <w:rsid w:val="00D960EA"/>
    <w:rsid w:val="00D9745C"/>
    <w:rsid w:val="00D97E09"/>
    <w:rsid w:val="00DA0976"/>
    <w:rsid w:val="00DA54D3"/>
    <w:rsid w:val="00DA79CB"/>
    <w:rsid w:val="00DB1131"/>
    <w:rsid w:val="00DB2E03"/>
    <w:rsid w:val="00DB4CDB"/>
    <w:rsid w:val="00DC1375"/>
    <w:rsid w:val="00DC1751"/>
    <w:rsid w:val="00DC2DD1"/>
    <w:rsid w:val="00DC3791"/>
    <w:rsid w:val="00DD1BC4"/>
    <w:rsid w:val="00DD5958"/>
    <w:rsid w:val="00DD7C39"/>
    <w:rsid w:val="00DD7EE5"/>
    <w:rsid w:val="00DE5BFC"/>
    <w:rsid w:val="00DE63AA"/>
    <w:rsid w:val="00E01A48"/>
    <w:rsid w:val="00E02400"/>
    <w:rsid w:val="00E03DE7"/>
    <w:rsid w:val="00E063EA"/>
    <w:rsid w:val="00E066E2"/>
    <w:rsid w:val="00E131CD"/>
    <w:rsid w:val="00E21D64"/>
    <w:rsid w:val="00E2332C"/>
    <w:rsid w:val="00E31C42"/>
    <w:rsid w:val="00E347D2"/>
    <w:rsid w:val="00E3542D"/>
    <w:rsid w:val="00E43BF4"/>
    <w:rsid w:val="00E450B2"/>
    <w:rsid w:val="00E52041"/>
    <w:rsid w:val="00E521B1"/>
    <w:rsid w:val="00E565E0"/>
    <w:rsid w:val="00E648C1"/>
    <w:rsid w:val="00E66144"/>
    <w:rsid w:val="00E80A1D"/>
    <w:rsid w:val="00E80EB6"/>
    <w:rsid w:val="00E84E93"/>
    <w:rsid w:val="00E912F9"/>
    <w:rsid w:val="00E942E5"/>
    <w:rsid w:val="00EA2EC7"/>
    <w:rsid w:val="00EA5B24"/>
    <w:rsid w:val="00EA73EE"/>
    <w:rsid w:val="00EB0A57"/>
    <w:rsid w:val="00EB1174"/>
    <w:rsid w:val="00EC2E2D"/>
    <w:rsid w:val="00EC5703"/>
    <w:rsid w:val="00EC624B"/>
    <w:rsid w:val="00EC698C"/>
    <w:rsid w:val="00ED0447"/>
    <w:rsid w:val="00ED4E7A"/>
    <w:rsid w:val="00EF4527"/>
    <w:rsid w:val="00EF56D5"/>
    <w:rsid w:val="00EF5731"/>
    <w:rsid w:val="00EF5F03"/>
    <w:rsid w:val="00F03E27"/>
    <w:rsid w:val="00F0550B"/>
    <w:rsid w:val="00F117C3"/>
    <w:rsid w:val="00F15556"/>
    <w:rsid w:val="00F223D3"/>
    <w:rsid w:val="00F24FB3"/>
    <w:rsid w:val="00F267E4"/>
    <w:rsid w:val="00F27833"/>
    <w:rsid w:val="00F34817"/>
    <w:rsid w:val="00F362CD"/>
    <w:rsid w:val="00F46AD7"/>
    <w:rsid w:val="00F54017"/>
    <w:rsid w:val="00F659C7"/>
    <w:rsid w:val="00F6767C"/>
    <w:rsid w:val="00F736C2"/>
    <w:rsid w:val="00F75AAA"/>
    <w:rsid w:val="00F82B37"/>
    <w:rsid w:val="00F93BA1"/>
    <w:rsid w:val="00F945B9"/>
    <w:rsid w:val="00F95442"/>
    <w:rsid w:val="00FA6D68"/>
    <w:rsid w:val="00FA795A"/>
    <w:rsid w:val="00FB1D46"/>
    <w:rsid w:val="00FB42CE"/>
    <w:rsid w:val="00FC4157"/>
    <w:rsid w:val="00FC606D"/>
    <w:rsid w:val="00FD2210"/>
    <w:rsid w:val="00FD2642"/>
    <w:rsid w:val="00FD3FA4"/>
    <w:rsid w:val="00FD51EA"/>
    <w:rsid w:val="00FD5F32"/>
    <w:rsid w:val="00FF456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096132AB"/>
  <w15:docId w15:val="{5F560105-37DB-4BA6-BC40-3FE8F812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361F6B"/>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824FDC"/>
    <w:pPr>
      <w:keepNext/>
      <w:spacing w:before="120" w:after="120"/>
      <w:ind w:left="578"/>
      <w:outlineLvl w:val="1"/>
    </w:pPr>
    <w:rPr>
      <w:rFonts w:cs="Arial"/>
      <w:b/>
      <w:bCs/>
      <w:iCs/>
      <w:caps/>
      <w:szCs w:val="28"/>
    </w:rPr>
  </w:style>
  <w:style w:type="paragraph" w:styleId="Heading3">
    <w:name w:val="heading 3"/>
    <w:aliases w:val="ECC Heading 3"/>
    <w:basedOn w:val="Normal"/>
    <w:next w:val="ECCParagraph"/>
    <w:autoRedefine/>
    <w:qFormat/>
    <w:rsid w:val="00824FDC"/>
    <w:pPr>
      <w:keepNext/>
      <w:spacing w:before="120" w:after="120"/>
      <w:ind w:left="720"/>
      <w:outlineLvl w:val="2"/>
    </w:pPr>
    <w:rPr>
      <w:rFonts w:cs="Arial"/>
      <w:b/>
      <w:bCs/>
      <w:szCs w:val="26"/>
    </w:rPr>
  </w:style>
  <w:style w:type="paragraph" w:styleId="Heading4">
    <w:name w:val="heading 4"/>
    <w:aliases w:val="ECC Heading 4"/>
    <w:basedOn w:val="Normal"/>
    <w:next w:val="ECCParagraph"/>
    <w:autoRedefine/>
    <w:qFormat/>
    <w:rsid w:val="005E09D6"/>
    <w:pPr>
      <w:spacing w:before="360" w:after="120"/>
      <w:outlineLvl w:val="3"/>
    </w:pPr>
    <w:rPr>
      <w:rFonts w:cs="Arial"/>
      <w:bCs/>
      <w:i/>
      <w:szCs w:val="26"/>
      <w:lang w:val="en-GB"/>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qFormat/>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F24FB3"/>
    <w:pPr>
      <w:spacing w:before="60" w:after="0"/>
      <w:ind w:left="567" w:hanging="567"/>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aliases w:val="ECC Figure Caption"/>
    <w:basedOn w:val="Normal"/>
    <w:next w:val="Normal"/>
    <w:link w:val="CaptionChar"/>
    <w:unhideWhenUsed/>
    <w:qFormat/>
    <w:rsid w:val="00BD7E2C"/>
    <w:pPr>
      <w:spacing w:before="240" w:after="240"/>
      <w:jc w:val="center"/>
    </w:pPr>
    <w:rPr>
      <w:b/>
      <w:bCs/>
      <w:color w:val="D2232A"/>
      <w:szCs w:val="20"/>
    </w:rPr>
  </w:style>
  <w:style w:type="paragraph" w:customStyle="1" w:styleId="ECCLetteredList">
    <w:name w:val="ECC Lettered List"/>
    <w:qFormat/>
    <w:rsid w:val="000534DE"/>
    <w:pPr>
      <w:numPr>
        <w:ilvl w:val="1"/>
        <w:numId w:val="10"/>
      </w:numPr>
      <w:spacing w:before="240"/>
      <w:jc w:val="both"/>
    </w:pPr>
    <w:rPr>
      <w:rFonts w:ascii="Arial" w:hAnsi="Arial"/>
      <w:lang w:val="da-DK"/>
    </w:rPr>
  </w:style>
  <w:style w:type="character" w:styleId="CommentReference">
    <w:name w:val="annotation reference"/>
    <w:basedOn w:val="DefaultParagraphFont"/>
    <w:uiPriority w:val="99"/>
    <w:semiHidden/>
    <w:unhideWhenUsed/>
    <w:rsid w:val="006148DB"/>
    <w:rPr>
      <w:sz w:val="16"/>
      <w:szCs w:val="16"/>
    </w:rPr>
  </w:style>
  <w:style w:type="paragraph" w:styleId="CommentText">
    <w:name w:val="annotation text"/>
    <w:basedOn w:val="Normal"/>
    <w:link w:val="CommentTextChar"/>
    <w:uiPriority w:val="99"/>
    <w:unhideWhenUsed/>
    <w:rsid w:val="006148DB"/>
    <w:rPr>
      <w:szCs w:val="20"/>
    </w:rPr>
  </w:style>
  <w:style w:type="character" w:customStyle="1" w:styleId="CommentTextChar">
    <w:name w:val="Comment Text Char"/>
    <w:basedOn w:val="DefaultParagraphFont"/>
    <w:link w:val="CommentText"/>
    <w:uiPriority w:val="99"/>
    <w:rsid w:val="006148DB"/>
    <w:rPr>
      <w:rFonts w:ascii="Arial" w:hAnsi="Arial"/>
      <w:lang w:val="en-US"/>
    </w:rPr>
  </w:style>
  <w:style w:type="paragraph" w:styleId="CommentSubject">
    <w:name w:val="annotation subject"/>
    <w:basedOn w:val="CommentText"/>
    <w:next w:val="CommentText"/>
    <w:link w:val="CommentSubjectChar"/>
    <w:uiPriority w:val="99"/>
    <w:semiHidden/>
    <w:unhideWhenUsed/>
    <w:rsid w:val="006148DB"/>
    <w:rPr>
      <w:b/>
      <w:bCs/>
    </w:rPr>
  </w:style>
  <w:style w:type="character" w:customStyle="1" w:styleId="CommentSubjectChar">
    <w:name w:val="Comment Subject Char"/>
    <w:basedOn w:val="CommentTextChar"/>
    <w:link w:val="CommentSubject"/>
    <w:uiPriority w:val="99"/>
    <w:semiHidden/>
    <w:rsid w:val="006148DB"/>
    <w:rPr>
      <w:rFonts w:ascii="Arial" w:hAnsi="Arial"/>
      <w:b/>
      <w:bCs/>
      <w:lang w:val="en-US"/>
    </w:rPr>
  </w:style>
  <w:style w:type="numbering" w:customStyle="1" w:styleId="ECCNumbers-Letters">
    <w:name w:val="ECC Numbers-Letters"/>
    <w:uiPriority w:val="99"/>
    <w:rsid w:val="006148DB"/>
    <w:pPr>
      <w:numPr>
        <w:numId w:val="11"/>
      </w:numPr>
    </w:pPr>
  </w:style>
  <w:style w:type="paragraph" w:customStyle="1" w:styleId="ECCNumbered-LetteredList">
    <w:name w:val="ECC Numbered-Lettered List"/>
    <w:basedOn w:val="Normal"/>
    <w:rsid w:val="006148DB"/>
    <w:pPr>
      <w:numPr>
        <w:numId w:val="11"/>
      </w:numPr>
    </w:pPr>
  </w:style>
  <w:style w:type="paragraph" w:customStyle="1" w:styleId="ECCHLboldanditalics">
    <w:name w:val="ECC HL bold and italics"/>
    <w:basedOn w:val="Normal"/>
    <w:qFormat/>
    <w:rsid w:val="006148DB"/>
    <w:pPr>
      <w:spacing w:before="240" w:after="60"/>
      <w:jc w:val="both"/>
    </w:pPr>
    <w:rPr>
      <w:rFonts w:eastAsia="Calibri"/>
      <w:b/>
      <w:bCs/>
      <w:i/>
      <w:szCs w:val="30"/>
      <w:lang w:val="en-GB"/>
    </w:rPr>
  </w:style>
  <w:style w:type="paragraph" w:customStyle="1" w:styleId="ECCBulletsLv1">
    <w:name w:val="ECC Bullets Lv1"/>
    <w:basedOn w:val="Normal"/>
    <w:qFormat/>
    <w:rsid w:val="00CC5E91"/>
    <w:pPr>
      <w:numPr>
        <w:numId w:val="12"/>
      </w:numPr>
      <w:tabs>
        <w:tab w:val="left" w:pos="340"/>
      </w:tabs>
      <w:spacing w:before="60"/>
      <w:ind w:left="340" w:hanging="340"/>
      <w:jc w:val="both"/>
    </w:pPr>
    <w:rPr>
      <w:rFonts w:eastAsia="Calibri"/>
      <w:szCs w:val="22"/>
      <w:lang w:val="en-GB"/>
    </w:rPr>
  </w:style>
  <w:style w:type="paragraph" w:customStyle="1" w:styleId="ECCAnnexheading1">
    <w:name w:val="ECC Annex heading1"/>
    <w:next w:val="Normal"/>
    <w:autoRedefine/>
    <w:qFormat/>
    <w:rsid w:val="00B00849"/>
    <w:pPr>
      <w:keepNext/>
      <w:pageBreakBefore/>
      <w:numPr>
        <w:numId w:val="6"/>
      </w:numPr>
      <w:spacing w:before="240" w:after="60"/>
      <w:jc w:val="both"/>
      <w:outlineLvl w:val="0"/>
    </w:pPr>
    <w:rPr>
      <w:rFonts w:ascii="Arial" w:hAnsi="Arial"/>
      <w:b/>
      <w:caps/>
      <w:color w:val="D2232A"/>
      <w:lang w:val="da-DK"/>
    </w:rPr>
  </w:style>
  <w:style w:type="paragraph" w:customStyle="1" w:styleId="ECCBulletsLv2">
    <w:name w:val="ECC Bullets Lv2"/>
    <w:basedOn w:val="ECCBulletsLv1"/>
    <w:rsid w:val="00CC5E91"/>
    <w:pPr>
      <w:tabs>
        <w:tab w:val="clear" w:pos="340"/>
        <w:tab w:val="left" w:pos="680"/>
      </w:tabs>
      <w:ind w:left="680"/>
    </w:pPr>
  </w:style>
  <w:style w:type="paragraph" w:customStyle="1" w:styleId="ECCBulletsLv3">
    <w:name w:val="ECC Bullets Lv3"/>
    <w:basedOn w:val="ECCBulletsLv1"/>
    <w:rsid w:val="00CC5E91"/>
    <w:pPr>
      <w:tabs>
        <w:tab w:val="clear" w:pos="340"/>
        <w:tab w:val="left" w:pos="1021"/>
      </w:tabs>
      <w:ind w:left="1020"/>
    </w:pPr>
  </w:style>
  <w:style w:type="paragraph" w:customStyle="1" w:styleId="ECCNumberedList0">
    <w:name w:val="ECC Numbered List"/>
    <w:basedOn w:val="Normal"/>
    <w:qFormat/>
    <w:rsid w:val="00CC5E91"/>
    <w:pPr>
      <w:numPr>
        <w:numId w:val="13"/>
      </w:numPr>
      <w:spacing w:before="240"/>
      <w:jc w:val="both"/>
    </w:pPr>
    <w:rPr>
      <w:rFonts w:eastAsia="Calibri"/>
      <w:szCs w:val="20"/>
      <w:lang w:val="en-GB"/>
    </w:rPr>
  </w:style>
  <w:style w:type="paragraph" w:customStyle="1" w:styleId="ECCReference">
    <w:name w:val="ECC Reference"/>
    <w:basedOn w:val="Normal"/>
    <w:qFormat/>
    <w:rsid w:val="00CC5E91"/>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CC5E91"/>
    <w:pPr>
      <w:numPr>
        <w:numId w:val="14"/>
      </w:numPr>
      <w:shd w:val="solid" w:color="FFFF00" w:fill="auto"/>
      <w:spacing w:before="120" w:after="120" w:line="360" w:lineRule="auto"/>
      <w:ind w:left="1559"/>
      <w:jc w:val="both"/>
    </w:pPr>
    <w:rPr>
      <w:rFonts w:ascii="Arial" w:eastAsia="Calibri" w:hAnsi="Arial"/>
      <w:szCs w:val="22"/>
      <w:lang w:val="da-DK" w:eastAsia="de-DE"/>
    </w:rPr>
  </w:style>
  <w:style w:type="paragraph" w:customStyle="1" w:styleId="ECCFiguregraphcentred">
    <w:name w:val="ECC Figure/graph centred"/>
    <w:next w:val="Normal"/>
    <w:qFormat/>
    <w:rsid w:val="00CC5E91"/>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CC5E91"/>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CC5E91"/>
    <w:pPr>
      <w:keepNext/>
      <w:spacing w:after="60"/>
    </w:pPr>
    <w:rPr>
      <w:rFonts w:eastAsia="Calibri"/>
      <w:szCs w:val="22"/>
      <w:lang w:val="en-GB"/>
    </w:rPr>
  </w:style>
  <w:style w:type="paragraph" w:styleId="ListParagraph">
    <w:name w:val="List Paragraph"/>
    <w:basedOn w:val="Normal"/>
    <w:uiPriority w:val="34"/>
    <w:qFormat/>
    <w:rsid w:val="00CC5E91"/>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CC5E91"/>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CC5E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CC5E91"/>
    <w:rPr>
      <w:rFonts w:ascii="Arial" w:hAnsi="Arial"/>
      <w:b/>
      <w:bCs/>
      <w:color w:val="D2232A"/>
      <w:lang w:val="en-US"/>
    </w:rPr>
  </w:style>
  <w:style w:type="paragraph" w:styleId="NormalWeb">
    <w:name w:val="Normal (Web)"/>
    <w:basedOn w:val="Normal"/>
    <w:uiPriority w:val="99"/>
    <w:semiHidden/>
    <w:unhideWhenUsed/>
    <w:rsid w:val="00CC5E91"/>
    <w:pPr>
      <w:spacing w:before="240" w:after="60"/>
      <w:jc w:val="both"/>
    </w:pPr>
    <w:rPr>
      <w:rFonts w:ascii="Times New Roman" w:eastAsia="Calibri" w:hAnsi="Times New Roman"/>
      <w:sz w:val="24"/>
      <w:lang w:val="en-GB"/>
    </w:rPr>
  </w:style>
  <w:style w:type="paragraph" w:customStyle="1" w:styleId="ECCNumberedlist">
    <w:name w:val="ECC Numbered list"/>
    <w:aliases w:val="level 2"/>
    <w:basedOn w:val="ECCAnnexheading3"/>
    <w:qFormat/>
    <w:rsid w:val="00CC5E91"/>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CC5E91"/>
    <w:pPr>
      <w:numPr>
        <w:ilvl w:val="1"/>
      </w:numPr>
    </w:pPr>
  </w:style>
  <w:style w:type="paragraph" w:customStyle="1" w:styleId="ECCLetteredListLevel2">
    <w:name w:val="ECC Lettered List Level 2"/>
    <w:basedOn w:val="ECCLetteredList"/>
    <w:qFormat/>
    <w:rsid w:val="00CC5E91"/>
    <w:pPr>
      <w:numPr>
        <w:ilvl w:val="0"/>
        <w:numId w:val="0"/>
      </w:numPr>
      <w:tabs>
        <w:tab w:val="num" w:pos="680"/>
      </w:tabs>
      <w:ind w:left="680" w:hanging="340"/>
    </w:pPr>
    <w:rPr>
      <w:lang w:val="en-GB"/>
    </w:rPr>
  </w:style>
  <w:style w:type="paragraph" w:styleId="Revision">
    <w:name w:val="Revision"/>
    <w:hidden/>
    <w:uiPriority w:val="99"/>
    <w:semiHidden/>
    <w:rsid w:val="00B95887"/>
    <w:rPr>
      <w:rFonts w:ascii="Arial" w:hAnsi="Arial"/>
      <w:szCs w:val="24"/>
      <w:lang w:val="en-US"/>
    </w:rPr>
  </w:style>
  <w:style w:type="character" w:customStyle="1" w:styleId="NichtaufgelsteErwhnung1">
    <w:name w:val="Nicht aufgelöste Erwähnung1"/>
    <w:basedOn w:val="DefaultParagraphFont"/>
    <w:uiPriority w:val="99"/>
    <w:semiHidden/>
    <w:unhideWhenUsed/>
    <w:rsid w:val="00B95887"/>
    <w:rPr>
      <w:color w:val="605E5C"/>
      <w:shd w:val="clear" w:color="auto" w:fill="E1DFDD"/>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qFormat/>
    <w:rsid w:val="00B741D4"/>
    <w:rPr>
      <w:rFonts w:ascii="Arial" w:hAnsi="Arial"/>
      <w:lang w:val="en-US"/>
    </w:rPr>
  </w:style>
  <w:style w:type="character" w:styleId="PlaceholderText">
    <w:name w:val="Placeholder Text"/>
    <w:basedOn w:val="DefaultParagraphFont"/>
    <w:uiPriority w:val="99"/>
    <w:semiHidden/>
    <w:rsid w:val="001A0432"/>
    <w:rPr>
      <w:color w:val="666666"/>
    </w:rPr>
  </w:style>
  <w:style w:type="character" w:styleId="FollowedHyperlink">
    <w:name w:val="FollowedHyperlink"/>
    <w:basedOn w:val="DefaultParagraphFont"/>
    <w:uiPriority w:val="99"/>
    <w:semiHidden/>
    <w:unhideWhenUsed/>
    <w:rsid w:val="00585FA4"/>
    <w:rPr>
      <w:color w:val="800080" w:themeColor="followedHyperlink"/>
      <w:u w:val="single"/>
    </w:rPr>
  </w:style>
  <w:style w:type="character" w:styleId="Strong">
    <w:name w:val="Strong"/>
    <w:basedOn w:val="DefaultParagraphFont"/>
    <w:uiPriority w:val="22"/>
    <w:qFormat/>
    <w:rsid w:val="006E682D"/>
    <w:rPr>
      <w:b/>
      <w:bCs/>
    </w:rPr>
  </w:style>
  <w:style w:type="paragraph" w:customStyle="1" w:styleId="Default">
    <w:name w:val="Default"/>
    <w:rsid w:val="00521CC1"/>
    <w:pPr>
      <w:autoSpaceDE w:val="0"/>
      <w:autoSpaceDN w:val="0"/>
      <w:adjustRightInd w:val="0"/>
    </w:pPr>
    <w:rPr>
      <w:rFonts w:ascii="Arial" w:hAnsi="Arial" w:cs="Arial"/>
      <w:color w:val="000000"/>
      <w:sz w:val="24"/>
      <w:szCs w:val="24"/>
      <w:lang w:val="fr-FR"/>
    </w:rPr>
  </w:style>
  <w:style w:type="character" w:styleId="UnresolvedMention">
    <w:name w:val="Unresolved Mention"/>
    <w:basedOn w:val="DefaultParagraphFont"/>
    <w:uiPriority w:val="99"/>
    <w:semiHidden/>
    <w:unhideWhenUsed/>
    <w:rsid w:val="00510D3F"/>
    <w:rPr>
      <w:color w:val="605E5C"/>
      <w:shd w:val="clear" w:color="auto" w:fill="E1DFDD"/>
    </w:rPr>
  </w:style>
  <w:style w:type="table" w:customStyle="1" w:styleId="ECCTable-whiteheader">
    <w:name w:val="ECC Table - white header"/>
    <w:basedOn w:val="TableNormal"/>
    <w:uiPriority w:val="99"/>
    <w:rsid w:val="00D479F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1">
    <w:name w:val="ECC Table - red header1"/>
    <w:basedOn w:val="TableNormal"/>
    <w:uiPriority w:val="99"/>
    <w:rsid w:val="00D479F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character" w:styleId="Mention">
    <w:name w:val="Mention"/>
    <w:basedOn w:val="DefaultParagraphFont"/>
    <w:uiPriority w:val="99"/>
    <w:unhideWhenUsed/>
    <w:rsid w:val="005E09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3806">
      <w:bodyDiv w:val="1"/>
      <w:marLeft w:val="0"/>
      <w:marRight w:val="0"/>
      <w:marTop w:val="0"/>
      <w:marBottom w:val="0"/>
      <w:divBdr>
        <w:top w:val="none" w:sz="0" w:space="0" w:color="auto"/>
        <w:left w:val="none" w:sz="0" w:space="0" w:color="auto"/>
        <w:bottom w:val="none" w:sz="0" w:space="0" w:color="auto"/>
        <w:right w:val="none" w:sz="0" w:space="0" w:color="auto"/>
      </w:divBdr>
    </w:div>
    <w:div w:id="192353672">
      <w:bodyDiv w:val="1"/>
      <w:marLeft w:val="0"/>
      <w:marRight w:val="0"/>
      <w:marTop w:val="0"/>
      <w:marBottom w:val="0"/>
      <w:divBdr>
        <w:top w:val="none" w:sz="0" w:space="0" w:color="auto"/>
        <w:left w:val="none" w:sz="0" w:space="0" w:color="auto"/>
        <w:bottom w:val="none" w:sz="0" w:space="0" w:color="auto"/>
        <w:right w:val="none" w:sz="0" w:space="0" w:color="auto"/>
      </w:divBdr>
    </w:div>
    <w:div w:id="841551447">
      <w:bodyDiv w:val="1"/>
      <w:marLeft w:val="0"/>
      <w:marRight w:val="0"/>
      <w:marTop w:val="0"/>
      <w:marBottom w:val="0"/>
      <w:divBdr>
        <w:top w:val="none" w:sz="0" w:space="0" w:color="auto"/>
        <w:left w:val="none" w:sz="0" w:space="0" w:color="auto"/>
        <w:bottom w:val="none" w:sz="0" w:space="0" w:color="auto"/>
        <w:right w:val="none" w:sz="0" w:space="0" w:color="auto"/>
      </w:divBdr>
      <w:divsChild>
        <w:div w:id="194390597">
          <w:marLeft w:val="0"/>
          <w:marRight w:val="0"/>
          <w:marTop w:val="0"/>
          <w:marBottom w:val="0"/>
          <w:divBdr>
            <w:top w:val="none" w:sz="0" w:space="0" w:color="auto"/>
            <w:left w:val="none" w:sz="0" w:space="0" w:color="auto"/>
            <w:bottom w:val="none" w:sz="0" w:space="0" w:color="auto"/>
            <w:right w:val="none" w:sz="0" w:space="0" w:color="auto"/>
          </w:divBdr>
        </w:div>
        <w:div w:id="357631246">
          <w:marLeft w:val="0"/>
          <w:marRight w:val="0"/>
          <w:marTop w:val="0"/>
          <w:marBottom w:val="0"/>
          <w:divBdr>
            <w:top w:val="none" w:sz="0" w:space="0" w:color="auto"/>
            <w:left w:val="none" w:sz="0" w:space="0" w:color="auto"/>
            <w:bottom w:val="none" w:sz="0" w:space="0" w:color="auto"/>
            <w:right w:val="none" w:sz="0" w:space="0" w:color="auto"/>
          </w:divBdr>
        </w:div>
        <w:div w:id="482238182">
          <w:marLeft w:val="0"/>
          <w:marRight w:val="0"/>
          <w:marTop w:val="0"/>
          <w:marBottom w:val="0"/>
          <w:divBdr>
            <w:top w:val="none" w:sz="0" w:space="0" w:color="auto"/>
            <w:left w:val="none" w:sz="0" w:space="0" w:color="auto"/>
            <w:bottom w:val="none" w:sz="0" w:space="0" w:color="auto"/>
            <w:right w:val="none" w:sz="0" w:space="0" w:color="auto"/>
          </w:divBdr>
        </w:div>
        <w:div w:id="758479124">
          <w:marLeft w:val="0"/>
          <w:marRight w:val="0"/>
          <w:marTop w:val="0"/>
          <w:marBottom w:val="0"/>
          <w:divBdr>
            <w:top w:val="none" w:sz="0" w:space="0" w:color="auto"/>
            <w:left w:val="none" w:sz="0" w:space="0" w:color="auto"/>
            <w:bottom w:val="none" w:sz="0" w:space="0" w:color="auto"/>
            <w:right w:val="none" w:sz="0" w:space="0" w:color="auto"/>
          </w:divBdr>
        </w:div>
        <w:div w:id="1939947258">
          <w:marLeft w:val="0"/>
          <w:marRight w:val="0"/>
          <w:marTop w:val="0"/>
          <w:marBottom w:val="0"/>
          <w:divBdr>
            <w:top w:val="none" w:sz="0" w:space="0" w:color="auto"/>
            <w:left w:val="none" w:sz="0" w:space="0" w:color="auto"/>
            <w:bottom w:val="none" w:sz="0" w:space="0" w:color="auto"/>
            <w:right w:val="none" w:sz="0" w:space="0" w:color="auto"/>
          </w:divBdr>
        </w:div>
      </w:divsChild>
    </w:div>
    <w:div w:id="943685563">
      <w:bodyDiv w:val="1"/>
      <w:marLeft w:val="0"/>
      <w:marRight w:val="0"/>
      <w:marTop w:val="0"/>
      <w:marBottom w:val="0"/>
      <w:divBdr>
        <w:top w:val="none" w:sz="0" w:space="0" w:color="auto"/>
        <w:left w:val="none" w:sz="0" w:space="0" w:color="auto"/>
        <w:bottom w:val="none" w:sz="0" w:space="0" w:color="auto"/>
        <w:right w:val="none" w:sz="0" w:space="0" w:color="auto"/>
      </w:divBdr>
    </w:div>
    <w:div w:id="965889900">
      <w:bodyDiv w:val="1"/>
      <w:marLeft w:val="0"/>
      <w:marRight w:val="0"/>
      <w:marTop w:val="0"/>
      <w:marBottom w:val="0"/>
      <w:divBdr>
        <w:top w:val="none" w:sz="0" w:space="0" w:color="auto"/>
        <w:left w:val="none" w:sz="0" w:space="0" w:color="auto"/>
        <w:bottom w:val="none" w:sz="0" w:space="0" w:color="auto"/>
        <w:right w:val="none" w:sz="0" w:space="0" w:color="auto"/>
      </w:divBdr>
      <w:divsChild>
        <w:div w:id="225069328">
          <w:marLeft w:val="0"/>
          <w:marRight w:val="0"/>
          <w:marTop w:val="0"/>
          <w:marBottom w:val="0"/>
          <w:divBdr>
            <w:top w:val="none" w:sz="0" w:space="0" w:color="auto"/>
            <w:left w:val="none" w:sz="0" w:space="0" w:color="auto"/>
            <w:bottom w:val="none" w:sz="0" w:space="0" w:color="auto"/>
            <w:right w:val="none" w:sz="0" w:space="0" w:color="auto"/>
          </w:divBdr>
        </w:div>
        <w:div w:id="355926775">
          <w:marLeft w:val="0"/>
          <w:marRight w:val="0"/>
          <w:marTop w:val="0"/>
          <w:marBottom w:val="0"/>
          <w:divBdr>
            <w:top w:val="none" w:sz="0" w:space="0" w:color="auto"/>
            <w:left w:val="none" w:sz="0" w:space="0" w:color="auto"/>
            <w:bottom w:val="none" w:sz="0" w:space="0" w:color="auto"/>
            <w:right w:val="none" w:sz="0" w:space="0" w:color="auto"/>
          </w:divBdr>
        </w:div>
        <w:div w:id="777675736">
          <w:marLeft w:val="0"/>
          <w:marRight w:val="0"/>
          <w:marTop w:val="0"/>
          <w:marBottom w:val="0"/>
          <w:divBdr>
            <w:top w:val="none" w:sz="0" w:space="0" w:color="auto"/>
            <w:left w:val="none" w:sz="0" w:space="0" w:color="auto"/>
            <w:bottom w:val="none" w:sz="0" w:space="0" w:color="auto"/>
            <w:right w:val="none" w:sz="0" w:space="0" w:color="auto"/>
          </w:divBdr>
        </w:div>
        <w:div w:id="1414011774">
          <w:marLeft w:val="0"/>
          <w:marRight w:val="0"/>
          <w:marTop w:val="0"/>
          <w:marBottom w:val="0"/>
          <w:divBdr>
            <w:top w:val="none" w:sz="0" w:space="0" w:color="auto"/>
            <w:left w:val="none" w:sz="0" w:space="0" w:color="auto"/>
            <w:bottom w:val="none" w:sz="0" w:space="0" w:color="auto"/>
            <w:right w:val="none" w:sz="0" w:space="0" w:color="auto"/>
          </w:divBdr>
        </w:div>
        <w:div w:id="2144735677">
          <w:marLeft w:val="0"/>
          <w:marRight w:val="0"/>
          <w:marTop w:val="0"/>
          <w:marBottom w:val="0"/>
          <w:divBdr>
            <w:top w:val="none" w:sz="0" w:space="0" w:color="auto"/>
            <w:left w:val="none" w:sz="0" w:space="0" w:color="auto"/>
            <w:bottom w:val="none" w:sz="0" w:space="0" w:color="auto"/>
            <w:right w:val="none" w:sz="0" w:space="0" w:color="auto"/>
          </w:divBdr>
        </w:div>
      </w:divsChild>
    </w:div>
    <w:div w:id="1110585799">
      <w:bodyDiv w:val="1"/>
      <w:marLeft w:val="0"/>
      <w:marRight w:val="0"/>
      <w:marTop w:val="0"/>
      <w:marBottom w:val="0"/>
      <w:divBdr>
        <w:top w:val="none" w:sz="0" w:space="0" w:color="auto"/>
        <w:left w:val="none" w:sz="0" w:space="0" w:color="auto"/>
        <w:bottom w:val="none" w:sz="0" w:space="0" w:color="auto"/>
        <w:right w:val="none" w:sz="0" w:space="0" w:color="auto"/>
      </w:divBdr>
      <w:divsChild>
        <w:div w:id="48454802">
          <w:marLeft w:val="0"/>
          <w:marRight w:val="0"/>
          <w:marTop w:val="0"/>
          <w:marBottom w:val="0"/>
          <w:divBdr>
            <w:top w:val="none" w:sz="0" w:space="0" w:color="auto"/>
            <w:left w:val="none" w:sz="0" w:space="0" w:color="auto"/>
            <w:bottom w:val="none" w:sz="0" w:space="0" w:color="auto"/>
            <w:right w:val="none" w:sz="0" w:space="0" w:color="auto"/>
          </w:divBdr>
        </w:div>
        <w:div w:id="82729207">
          <w:marLeft w:val="0"/>
          <w:marRight w:val="0"/>
          <w:marTop w:val="0"/>
          <w:marBottom w:val="0"/>
          <w:divBdr>
            <w:top w:val="none" w:sz="0" w:space="0" w:color="auto"/>
            <w:left w:val="none" w:sz="0" w:space="0" w:color="auto"/>
            <w:bottom w:val="none" w:sz="0" w:space="0" w:color="auto"/>
            <w:right w:val="none" w:sz="0" w:space="0" w:color="auto"/>
          </w:divBdr>
        </w:div>
        <w:div w:id="252279520">
          <w:marLeft w:val="0"/>
          <w:marRight w:val="0"/>
          <w:marTop w:val="0"/>
          <w:marBottom w:val="0"/>
          <w:divBdr>
            <w:top w:val="none" w:sz="0" w:space="0" w:color="auto"/>
            <w:left w:val="none" w:sz="0" w:space="0" w:color="auto"/>
            <w:bottom w:val="none" w:sz="0" w:space="0" w:color="auto"/>
            <w:right w:val="none" w:sz="0" w:space="0" w:color="auto"/>
          </w:divBdr>
        </w:div>
        <w:div w:id="355884253">
          <w:marLeft w:val="0"/>
          <w:marRight w:val="0"/>
          <w:marTop w:val="0"/>
          <w:marBottom w:val="0"/>
          <w:divBdr>
            <w:top w:val="none" w:sz="0" w:space="0" w:color="auto"/>
            <w:left w:val="none" w:sz="0" w:space="0" w:color="auto"/>
            <w:bottom w:val="none" w:sz="0" w:space="0" w:color="auto"/>
            <w:right w:val="none" w:sz="0" w:space="0" w:color="auto"/>
          </w:divBdr>
        </w:div>
        <w:div w:id="371031547">
          <w:marLeft w:val="0"/>
          <w:marRight w:val="0"/>
          <w:marTop w:val="0"/>
          <w:marBottom w:val="0"/>
          <w:divBdr>
            <w:top w:val="none" w:sz="0" w:space="0" w:color="auto"/>
            <w:left w:val="none" w:sz="0" w:space="0" w:color="auto"/>
            <w:bottom w:val="none" w:sz="0" w:space="0" w:color="auto"/>
            <w:right w:val="none" w:sz="0" w:space="0" w:color="auto"/>
          </w:divBdr>
        </w:div>
        <w:div w:id="453595251">
          <w:marLeft w:val="0"/>
          <w:marRight w:val="0"/>
          <w:marTop w:val="0"/>
          <w:marBottom w:val="0"/>
          <w:divBdr>
            <w:top w:val="none" w:sz="0" w:space="0" w:color="auto"/>
            <w:left w:val="none" w:sz="0" w:space="0" w:color="auto"/>
            <w:bottom w:val="none" w:sz="0" w:space="0" w:color="auto"/>
            <w:right w:val="none" w:sz="0" w:space="0" w:color="auto"/>
          </w:divBdr>
        </w:div>
        <w:div w:id="750616130">
          <w:marLeft w:val="0"/>
          <w:marRight w:val="0"/>
          <w:marTop w:val="0"/>
          <w:marBottom w:val="0"/>
          <w:divBdr>
            <w:top w:val="none" w:sz="0" w:space="0" w:color="auto"/>
            <w:left w:val="none" w:sz="0" w:space="0" w:color="auto"/>
            <w:bottom w:val="none" w:sz="0" w:space="0" w:color="auto"/>
            <w:right w:val="none" w:sz="0" w:space="0" w:color="auto"/>
          </w:divBdr>
        </w:div>
        <w:div w:id="1053820196">
          <w:marLeft w:val="0"/>
          <w:marRight w:val="0"/>
          <w:marTop w:val="0"/>
          <w:marBottom w:val="0"/>
          <w:divBdr>
            <w:top w:val="none" w:sz="0" w:space="0" w:color="auto"/>
            <w:left w:val="none" w:sz="0" w:space="0" w:color="auto"/>
            <w:bottom w:val="none" w:sz="0" w:space="0" w:color="auto"/>
            <w:right w:val="none" w:sz="0" w:space="0" w:color="auto"/>
          </w:divBdr>
        </w:div>
        <w:div w:id="1202281568">
          <w:marLeft w:val="0"/>
          <w:marRight w:val="0"/>
          <w:marTop w:val="0"/>
          <w:marBottom w:val="0"/>
          <w:divBdr>
            <w:top w:val="none" w:sz="0" w:space="0" w:color="auto"/>
            <w:left w:val="none" w:sz="0" w:space="0" w:color="auto"/>
            <w:bottom w:val="none" w:sz="0" w:space="0" w:color="auto"/>
            <w:right w:val="none" w:sz="0" w:space="0" w:color="auto"/>
          </w:divBdr>
        </w:div>
        <w:div w:id="1556236026">
          <w:marLeft w:val="0"/>
          <w:marRight w:val="0"/>
          <w:marTop w:val="0"/>
          <w:marBottom w:val="0"/>
          <w:divBdr>
            <w:top w:val="none" w:sz="0" w:space="0" w:color="auto"/>
            <w:left w:val="none" w:sz="0" w:space="0" w:color="auto"/>
            <w:bottom w:val="none" w:sz="0" w:space="0" w:color="auto"/>
            <w:right w:val="none" w:sz="0" w:space="0" w:color="auto"/>
          </w:divBdr>
        </w:div>
        <w:div w:id="1557427118">
          <w:marLeft w:val="0"/>
          <w:marRight w:val="0"/>
          <w:marTop w:val="0"/>
          <w:marBottom w:val="0"/>
          <w:divBdr>
            <w:top w:val="none" w:sz="0" w:space="0" w:color="auto"/>
            <w:left w:val="none" w:sz="0" w:space="0" w:color="auto"/>
            <w:bottom w:val="none" w:sz="0" w:space="0" w:color="auto"/>
            <w:right w:val="none" w:sz="0" w:space="0" w:color="auto"/>
          </w:divBdr>
        </w:div>
        <w:div w:id="1725639717">
          <w:marLeft w:val="0"/>
          <w:marRight w:val="0"/>
          <w:marTop w:val="0"/>
          <w:marBottom w:val="0"/>
          <w:divBdr>
            <w:top w:val="none" w:sz="0" w:space="0" w:color="auto"/>
            <w:left w:val="none" w:sz="0" w:space="0" w:color="auto"/>
            <w:bottom w:val="none" w:sz="0" w:space="0" w:color="auto"/>
            <w:right w:val="none" w:sz="0" w:space="0" w:color="auto"/>
          </w:divBdr>
        </w:div>
        <w:div w:id="1755513966">
          <w:marLeft w:val="0"/>
          <w:marRight w:val="0"/>
          <w:marTop w:val="0"/>
          <w:marBottom w:val="0"/>
          <w:divBdr>
            <w:top w:val="none" w:sz="0" w:space="0" w:color="auto"/>
            <w:left w:val="none" w:sz="0" w:space="0" w:color="auto"/>
            <w:bottom w:val="none" w:sz="0" w:space="0" w:color="auto"/>
            <w:right w:val="none" w:sz="0" w:space="0" w:color="auto"/>
          </w:divBdr>
        </w:div>
        <w:div w:id="1918009200">
          <w:marLeft w:val="0"/>
          <w:marRight w:val="0"/>
          <w:marTop w:val="0"/>
          <w:marBottom w:val="0"/>
          <w:divBdr>
            <w:top w:val="none" w:sz="0" w:space="0" w:color="auto"/>
            <w:left w:val="none" w:sz="0" w:space="0" w:color="auto"/>
            <w:bottom w:val="none" w:sz="0" w:space="0" w:color="auto"/>
            <w:right w:val="none" w:sz="0" w:space="0" w:color="auto"/>
          </w:divBdr>
        </w:div>
        <w:div w:id="192441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ept.org/documents/wg-fm/91785/fm-25-126annex12-_summary-of-answers-to-the-questionnaire-on-iridiu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CBF7-2616-45A4-ACB8-878938AE7284}">
  <ds:schemaRefs>
    <ds:schemaRef ds:uri="http://schemas.openxmlformats.org/officeDocument/2006/bibliography"/>
  </ds:schemaRefs>
</ds:datastoreItem>
</file>

<file path=docMetadata/LabelInfo.xml><?xml version="1.0" encoding="utf-8"?>
<clbl:labelList xmlns:clbl="http://schemas.microsoft.com/office/2020/mipLabelMetadata">
  <clbl:label id="{c377c913-9174-4e24-bb49-d479a9f5dee4}" enabled="1" method="Privileged" siteId="{ad83e65c-03f6-4cfd-b799-47a2fafd7bce}" removed="0"/>
  <clbl:label id="{fd60f3b8-f236-4830-aecc-da0a7fc54679}" enabled="1" method="Standard" siteId="{76f33c20-5979-4408-adf7-8b3c4be95e52}" removed="0"/>
</clbl:labelList>
</file>

<file path=docProps/app.xml><?xml version="1.0" encoding="utf-8"?>
<Properties xmlns="http://schemas.openxmlformats.org/officeDocument/2006/extended-properties" xmlns:vt="http://schemas.openxmlformats.org/officeDocument/2006/docPropsVTypes">
  <Template>ECC Recommendation_January_2014</Template>
  <TotalTime>19</TotalTime>
  <Pages>5</Pages>
  <Words>1294</Words>
  <Characters>7378</Characters>
  <Application>Microsoft Office Word</Application>
  <DocSecurity>0</DocSecurity>
  <Lines>61</Lines>
  <Paragraphs>17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8655</CharactersWithSpaces>
  <SharedDoc>false</SharedDoc>
  <HLinks>
    <vt:vector size="36" baseType="variant">
      <vt:variant>
        <vt:i4>2949207</vt:i4>
      </vt:variant>
      <vt:variant>
        <vt:i4>54</vt:i4>
      </vt:variant>
      <vt:variant>
        <vt:i4>0</vt:i4>
      </vt:variant>
      <vt:variant>
        <vt:i4>5</vt:i4>
      </vt:variant>
      <vt:variant>
        <vt:lpwstr>https://cept.org/documents/wg-fm/91785/fm-25-126annex12-_summary-of-answers-to-the-questionnaire-on-iridium</vt:lpwstr>
      </vt:variant>
      <vt:variant>
        <vt:lpwstr/>
      </vt:variant>
      <vt:variant>
        <vt:i4>3473530</vt:i4>
      </vt:variant>
      <vt:variant>
        <vt:i4>51</vt:i4>
      </vt:variant>
      <vt:variant>
        <vt:i4>0</vt:i4>
      </vt:variant>
      <vt:variant>
        <vt:i4>5</vt:i4>
      </vt:variant>
      <vt:variant>
        <vt:lpwstr>https://docdb.cept.org/document/435</vt:lpwstr>
      </vt:variant>
      <vt:variant>
        <vt:lpwstr/>
      </vt:variant>
      <vt:variant>
        <vt:i4>393289</vt:i4>
      </vt:variant>
      <vt:variant>
        <vt:i4>48</vt:i4>
      </vt:variant>
      <vt:variant>
        <vt:i4>0</vt:i4>
      </vt:variant>
      <vt:variant>
        <vt:i4>5</vt:i4>
      </vt:variant>
      <vt:variant>
        <vt:lpwstr>https://docdb.cept.org/document/28589</vt:lpwstr>
      </vt:variant>
      <vt:variant>
        <vt:lpwstr/>
      </vt:variant>
      <vt:variant>
        <vt:i4>3539068</vt:i4>
      </vt:variant>
      <vt:variant>
        <vt:i4>45</vt:i4>
      </vt:variant>
      <vt:variant>
        <vt:i4>0</vt:i4>
      </vt:variant>
      <vt:variant>
        <vt:i4>5</vt:i4>
      </vt:variant>
      <vt:variant>
        <vt:lpwstr>https://docdb.cept.org/document/203</vt:lpwstr>
      </vt:variant>
      <vt:variant>
        <vt:lpwstr/>
      </vt:variant>
      <vt:variant>
        <vt:i4>3407994</vt:i4>
      </vt:variant>
      <vt:variant>
        <vt:i4>42</vt:i4>
      </vt:variant>
      <vt:variant>
        <vt:i4>0</vt:i4>
      </vt:variant>
      <vt:variant>
        <vt:i4>5</vt:i4>
      </vt:variant>
      <vt:variant>
        <vt:lpwstr>https://docdb.cept.org/document/421</vt:lpwstr>
      </vt:variant>
      <vt:variant>
        <vt:lpwstr/>
      </vt:variant>
      <vt:variant>
        <vt:i4>2949226</vt:i4>
      </vt:variant>
      <vt:variant>
        <vt:i4>39</vt:i4>
      </vt:variant>
      <vt:variant>
        <vt:i4>0</vt:i4>
      </vt:variant>
      <vt:variant>
        <vt:i4>5</vt:i4>
      </vt:variant>
      <vt:variant>
        <vt:lpwstr>https://docdb.cept.org/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ECO</dc:creator>
  <cp:keywords/>
  <dc:description>This template is used as guidance to draft ECC Reports.</dc:description>
  <cp:lastModifiedBy>ECO</cp:lastModifiedBy>
  <cp:revision>22</cp:revision>
  <cp:lastPrinted>1901-01-01T09:00:00Z</cp:lastPrinted>
  <dcterms:created xsi:type="dcterms:W3CDTF">2026-06-08T23:42:00Z</dcterms:created>
  <dcterms:modified xsi:type="dcterms:W3CDTF">2026-06-09T13:27:00Z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4ac86bef,6a056fdb,107343bc,4fba25ad,26a26c4,765b46f4</vt:lpwstr>
  </property>
  <property fmtid="{D5CDD505-2E9C-101B-9397-08002B2CF9AE}" pid="4" name="ClassificationContentMarkingHeaderFontProps">
    <vt:lpwstr>#000000,12,Aptos</vt:lpwstr>
  </property>
  <property fmtid="{D5CDD505-2E9C-101B-9397-08002B2CF9AE}" pid="5" name="ClassificationContentMarkingHeaderText">
    <vt:lpwstr>Classification: CONFIDENTIAL</vt:lpwstr>
  </property>
  <property fmtid="{D5CDD505-2E9C-101B-9397-08002B2CF9AE}" pid="6" name="MSIP_Label_fd62d909-8ced-407f-8be5-423ea0394e59_Enabled">
    <vt:lpwstr>true</vt:lpwstr>
  </property>
  <property fmtid="{D5CDD505-2E9C-101B-9397-08002B2CF9AE}" pid="7" name="MSIP_Label_fd62d909-8ced-407f-8be5-423ea0394e59_SetDate">
    <vt:lpwstr>2026-06-02T15:42:35Z</vt:lpwstr>
  </property>
  <property fmtid="{D5CDD505-2E9C-101B-9397-08002B2CF9AE}" pid="8" name="MSIP_Label_fd62d909-8ced-407f-8be5-423ea0394e59_Method">
    <vt:lpwstr>Privileged</vt:lpwstr>
  </property>
  <property fmtid="{D5CDD505-2E9C-101B-9397-08002B2CF9AE}" pid="9" name="MSIP_Label_fd62d909-8ced-407f-8be5-423ea0394e59_Name">
    <vt:lpwstr>fd62d909-8ced-407f-8be5-423ea0394e59</vt:lpwstr>
  </property>
  <property fmtid="{D5CDD505-2E9C-101B-9397-08002B2CF9AE}" pid="10" name="MSIP_Label_fd62d909-8ced-407f-8be5-423ea0394e59_SiteId">
    <vt:lpwstr>0af648de-310c-4068-8ae4-f9418bae24cc</vt:lpwstr>
  </property>
  <property fmtid="{D5CDD505-2E9C-101B-9397-08002B2CF9AE}" pid="11" name="MSIP_Label_fd62d909-8ced-407f-8be5-423ea0394e59_ActionId">
    <vt:lpwstr>c842f399-1dc8-40af-9ab0-a057dc262677</vt:lpwstr>
  </property>
  <property fmtid="{D5CDD505-2E9C-101B-9397-08002B2CF9AE}" pid="12" name="MSIP_Label_fd62d909-8ced-407f-8be5-423ea0394e59_ContentBits">
    <vt:lpwstr>1</vt:lpwstr>
  </property>
  <property fmtid="{D5CDD505-2E9C-101B-9397-08002B2CF9AE}" pid="13" name="MSIP_Label_fd62d909-8ced-407f-8be5-423ea0394e59_Tag">
    <vt:lpwstr>10, 0, 1, 1</vt:lpwstr>
  </property>
</Properties>
</file>